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8D8" w:rsidRPr="00CD33E4" w:rsidRDefault="00962954" w:rsidP="00D80C6A">
      <w:pPr>
        <w:spacing w:before="120" w:after="360" w:line="240" w:lineRule="auto"/>
        <w:jc w:val="center"/>
        <w:rPr>
          <w:rFonts w:ascii="Times New Roman" w:hAnsi="Times New Roman"/>
          <w:b/>
          <w:sz w:val="26"/>
          <w:szCs w:val="26"/>
        </w:rPr>
      </w:pPr>
      <w:r w:rsidRPr="00CD33E4">
        <w:rPr>
          <w:rFonts w:ascii="Times New Roman" w:hAnsi="Times New Roman"/>
          <w:b/>
          <w:sz w:val="26"/>
          <w:szCs w:val="26"/>
        </w:rPr>
        <w:t xml:space="preserve">Informatīvais ziņojums </w:t>
      </w:r>
      <w:bookmarkStart w:id="0" w:name="_Hlk532340717"/>
      <w:bookmarkStart w:id="1" w:name="_Hlk531860692"/>
      <w:r w:rsidR="000B78D8" w:rsidRPr="00CD33E4">
        <w:rPr>
          <w:rFonts w:ascii="Times New Roman" w:hAnsi="Times New Roman"/>
          <w:b/>
          <w:sz w:val="26"/>
          <w:szCs w:val="26"/>
        </w:rPr>
        <w:br/>
      </w:r>
      <w:r w:rsidR="008D5BB5">
        <w:rPr>
          <w:rFonts w:ascii="Times New Roman" w:hAnsi="Times New Roman"/>
          <w:b/>
          <w:sz w:val="26"/>
          <w:szCs w:val="26"/>
        </w:rPr>
        <w:t>P</w:t>
      </w:r>
      <w:r w:rsidR="00066D60" w:rsidRPr="00CD33E4">
        <w:rPr>
          <w:rFonts w:ascii="Times New Roman" w:hAnsi="Times New Roman"/>
          <w:b/>
          <w:sz w:val="26"/>
          <w:szCs w:val="26"/>
        </w:rPr>
        <w:t xml:space="preserve">ar </w:t>
      </w:r>
      <w:r w:rsidR="00440C86" w:rsidRPr="00CD33E4">
        <w:rPr>
          <w:rFonts w:ascii="Times New Roman" w:hAnsi="Times New Roman"/>
          <w:b/>
          <w:sz w:val="26"/>
          <w:szCs w:val="26"/>
        </w:rPr>
        <w:t>Saeimas 2019.gada 10.</w:t>
      </w:r>
      <w:r w:rsidR="00B81A54" w:rsidRPr="00CD33E4">
        <w:rPr>
          <w:rFonts w:ascii="Times New Roman" w:hAnsi="Times New Roman"/>
          <w:b/>
          <w:sz w:val="26"/>
          <w:szCs w:val="26"/>
        </w:rPr>
        <w:t>ja</w:t>
      </w:r>
      <w:r w:rsidR="00066D60" w:rsidRPr="00CD33E4">
        <w:rPr>
          <w:rFonts w:ascii="Times New Roman" w:hAnsi="Times New Roman"/>
          <w:b/>
          <w:sz w:val="26"/>
          <w:szCs w:val="26"/>
        </w:rPr>
        <w:t xml:space="preserve">nvāra lēmuma </w:t>
      </w:r>
      <w:r w:rsidR="000B78D8" w:rsidRPr="00CD33E4">
        <w:rPr>
          <w:rFonts w:ascii="Times New Roman" w:hAnsi="Times New Roman"/>
          <w:b/>
          <w:sz w:val="26"/>
          <w:szCs w:val="26"/>
        </w:rPr>
        <w:br/>
        <w:t>“</w:t>
      </w:r>
      <w:r w:rsidR="000B78D8" w:rsidRPr="00CD33E4">
        <w:rPr>
          <w:rFonts w:ascii="Times New Roman" w:hAnsi="Times New Roman"/>
          <w:b/>
          <w:bCs/>
          <w:sz w:val="26"/>
          <w:szCs w:val="26"/>
        </w:rPr>
        <w:t>Par obligātā iepirkuma komponentes atcelšanu” izpildi</w:t>
      </w:r>
    </w:p>
    <w:bookmarkEnd w:id="0"/>
    <w:bookmarkEnd w:id="1"/>
    <w:p w:rsidR="00B63189" w:rsidRPr="007833AC" w:rsidRDefault="00F90BC8" w:rsidP="007833AC">
      <w:pPr>
        <w:spacing w:before="360" w:after="120" w:line="240" w:lineRule="auto"/>
        <w:rPr>
          <w:rFonts w:ascii="Times New Roman" w:hAnsi="Times New Roman"/>
          <w:b/>
          <w:sz w:val="26"/>
          <w:szCs w:val="26"/>
          <w:u w:val="single"/>
        </w:rPr>
      </w:pPr>
      <w:r w:rsidRPr="007833AC">
        <w:rPr>
          <w:rFonts w:ascii="Times New Roman" w:hAnsi="Times New Roman"/>
          <w:b/>
          <w:sz w:val="26"/>
          <w:szCs w:val="26"/>
          <w:u w:val="single"/>
        </w:rPr>
        <w:t>I. </w:t>
      </w:r>
      <w:r w:rsidR="00C15D15" w:rsidRPr="007833AC">
        <w:rPr>
          <w:rFonts w:ascii="Times New Roman" w:hAnsi="Times New Roman"/>
          <w:b/>
          <w:sz w:val="26"/>
          <w:szCs w:val="26"/>
          <w:u w:val="single"/>
        </w:rPr>
        <w:t>Ievads</w:t>
      </w:r>
    </w:p>
    <w:p w:rsidR="00974E7F" w:rsidRPr="007833AC" w:rsidRDefault="008F7B37" w:rsidP="006D6309">
      <w:pPr>
        <w:tabs>
          <w:tab w:val="left" w:pos="3119"/>
        </w:tabs>
        <w:spacing w:before="120" w:after="120" w:line="240" w:lineRule="auto"/>
        <w:jc w:val="both"/>
        <w:rPr>
          <w:rFonts w:ascii="Times New Roman" w:hAnsi="Times New Roman"/>
          <w:sz w:val="26"/>
          <w:szCs w:val="26"/>
          <w:shd w:val="clear" w:color="auto" w:fill="FFFFFF"/>
        </w:rPr>
      </w:pPr>
      <w:r w:rsidRPr="00592E2D">
        <w:rPr>
          <w:rFonts w:ascii="Times New Roman" w:hAnsi="Times New Roman"/>
          <w:sz w:val="26"/>
          <w:szCs w:val="26"/>
        </w:rPr>
        <w:t>2019.gada 10</w:t>
      </w:r>
      <w:r w:rsidR="006E3381" w:rsidRPr="00592E2D">
        <w:rPr>
          <w:rFonts w:ascii="Times New Roman" w:hAnsi="Times New Roman"/>
          <w:sz w:val="26"/>
          <w:szCs w:val="26"/>
        </w:rPr>
        <w:t>.janvārī Saeima pieņēma lēmumu</w:t>
      </w:r>
      <w:r w:rsidR="00F4024B" w:rsidRPr="00592E2D">
        <w:rPr>
          <w:rFonts w:ascii="Times New Roman" w:hAnsi="Times New Roman"/>
          <w:sz w:val="26"/>
          <w:szCs w:val="26"/>
        </w:rPr>
        <w:t xml:space="preserve"> “Par obligātā iepirkuma komponentes atcelšanu”</w:t>
      </w:r>
      <w:r w:rsidR="00974E7F" w:rsidRPr="007833AC">
        <w:rPr>
          <w:rFonts w:ascii="Times New Roman" w:hAnsi="Times New Roman"/>
          <w:sz w:val="26"/>
          <w:szCs w:val="26"/>
        </w:rPr>
        <w:t xml:space="preserve"> (turpmāk – Lēmums)</w:t>
      </w:r>
      <w:r w:rsidR="00F4024B" w:rsidRPr="007833AC">
        <w:rPr>
          <w:rFonts w:ascii="Times New Roman" w:hAnsi="Times New Roman"/>
          <w:sz w:val="26"/>
          <w:szCs w:val="26"/>
        </w:rPr>
        <w:t>.</w:t>
      </w:r>
      <w:r w:rsidR="00974E7F" w:rsidRPr="007833AC">
        <w:rPr>
          <w:rFonts w:ascii="Times New Roman" w:hAnsi="Times New Roman"/>
          <w:sz w:val="26"/>
          <w:szCs w:val="26"/>
        </w:rPr>
        <w:t xml:space="preserve"> Lēmumā Saeima aicināja </w:t>
      </w:r>
      <w:r w:rsidR="009A47F2" w:rsidRPr="007833AC">
        <w:rPr>
          <w:rFonts w:ascii="Times New Roman" w:hAnsi="Times New Roman"/>
          <w:sz w:val="26"/>
          <w:szCs w:val="26"/>
          <w:shd w:val="clear" w:color="auto" w:fill="FFFFFF"/>
        </w:rPr>
        <w:t xml:space="preserve">Ekonomikas ministriju steidzami izstrādāt tiesību aktus obligātā iepirkuma komponentes </w:t>
      </w:r>
      <w:r w:rsidR="00974E7F" w:rsidRPr="007833AC">
        <w:rPr>
          <w:rFonts w:ascii="Times New Roman" w:hAnsi="Times New Roman"/>
          <w:sz w:val="26"/>
          <w:szCs w:val="26"/>
          <w:shd w:val="clear" w:color="auto" w:fill="FFFFFF"/>
        </w:rPr>
        <w:t xml:space="preserve">(turpmāk – OIK) </w:t>
      </w:r>
      <w:r w:rsidR="009A47F2" w:rsidRPr="007833AC">
        <w:rPr>
          <w:rFonts w:ascii="Times New Roman" w:hAnsi="Times New Roman"/>
          <w:sz w:val="26"/>
          <w:szCs w:val="26"/>
          <w:shd w:val="clear" w:color="auto" w:fill="FFFFFF"/>
        </w:rPr>
        <w:t>atcelšanai no 2019.gada 31.marta ar mērķi samazināt elektroenerģijas izmaksas visiem Latvijas elektroenerģijas patērētājiem.</w:t>
      </w:r>
    </w:p>
    <w:p w:rsidR="009A47F2" w:rsidRPr="007833AC" w:rsidRDefault="00974E7F" w:rsidP="00CC1117">
      <w:pPr>
        <w:tabs>
          <w:tab w:val="left" w:pos="3119"/>
        </w:tabs>
        <w:spacing w:before="120" w:after="120" w:line="240" w:lineRule="auto"/>
        <w:jc w:val="both"/>
        <w:rPr>
          <w:rFonts w:ascii="Times New Roman" w:hAnsi="Times New Roman"/>
          <w:sz w:val="26"/>
          <w:szCs w:val="26"/>
          <w:shd w:val="clear" w:color="auto" w:fill="FFFFFF"/>
        </w:rPr>
      </w:pPr>
      <w:r w:rsidRPr="007833AC">
        <w:rPr>
          <w:rFonts w:ascii="Times New Roman" w:hAnsi="Times New Roman"/>
          <w:sz w:val="26"/>
          <w:szCs w:val="26"/>
          <w:shd w:val="clear" w:color="auto" w:fill="FFFFFF"/>
        </w:rPr>
        <w:t xml:space="preserve">Lēmuma izpildē Saeima ir aicinājusi </w:t>
      </w:r>
      <w:r w:rsidR="008C5032" w:rsidRPr="007833AC">
        <w:rPr>
          <w:rFonts w:ascii="Times New Roman" w:hAnsi="Times New Roman"/>
          <w:sz w:val="26"/>
          <w:szCs w:val="26"/>
          <w:shd w:val="clear" w:color="auto" w:fill="FFFFFF"/>
        </w:rPr>
        <w:t xml:space="preserve">Ekonomikas ministriju </w:t>
      </w:r>
      <w:r w:rsidRPr="007833AC">
        <w:rPr>
          <w:rFonts w:ascii="Times New Roman" w:hAnsi="Times New Roman"/>
          <w:sz w:val="26"/>
          <w:szCs w:val="26"/>
          <w:shd w:val="clear" w:color="auto" w:fill="FFFFFF"/>
        </w:rPr>
        <w:t xml:space="preserve">ievērot </w:t>
      </w:r>
      <w:r w:rsidR="009A47F2" w:rsidRPr="007833AC">
        <w:rPr>
          <w:rFonts w:ascii="Times New Roman" w:hAnsi="Times New Roman"/>
          <w:sz w:val="26"/>
          <w:szCs w:val="26"/>
          <w:shd w:val="clear" w:color="auto" w:fill="FFFFFF"/>
        </w:rPr>
        <w:t>tiesiskuma principu</w:t>
      </w:r>
      <w:r w:rsidR="00CC1117" w:rsidRPr="007833AC">
        <w:rPr>
          <w:rFonts w:ascii="Times New Roman" w:hAnsi="Times New Roman"/>
          <w:sz w:val="26"/>
          <w:szCs w:val="26"/>
          <w:shd w:val="clear" w:color="auto" w:fill="FFFFFF"/>
        </w:rPr>
        <w:t>s un</w:t>
      </w:r>
      <w:r w:rsidRPr="007833AC">
        <w:rPr>
          <w:rFonts w:ascii="Times New Roman" w:hAnsi="Times New Roman"/>
          <w:sz w:val="26"/>
          <w:szCs w:val="26"/>
          <w:shd w:val="clear" w:color="auto" w:fill="FFFFFF"/>
        </w:rPr>
        <w:t xml:space="preserve"> n</w:t>
      </w:r>
      <w:r w:rsidR="009A47F2" w:rsidRPr="007833AC">
        <w:rPr>
          <w:rFonts w:ascii="Times New Roman" w:hAnsi="Times New Roman"/>
          <w:sz w:val="26"/>
          <w:szCs w:val="26"/>
          <w:shd w:val="clear" w:color="auto" w:fill="FFFFFF"/>
        </w:rPr>
        <w:t xml:space="preserve">epieļaut </w:t>
      </w:r>
      <w:r w:rsidR="00CC1117" w:rsidRPr="007833AC">
        <w:rPr>
          <w:rFonts w:ascii="Times New Roman" w:hAnsi="Times New Roman"/>
          <w:sz w:val="26"/>
          <w:szCs w:val="26"/>
          <w:shd w:val="clear" w:color="auto" w:fill="FFFFFF"/>
        </w:rPr>
        <w:t>OIK</w:t>
      </w:r>
      <w:r w:rsidR="009A47F2" w:rsidRPr="007833AC">
        <w:rPr>
          <w:rFonts w:ascii="Times New Roman" w:hAnsi="Times New Roman"/>
          <w:sz w:val="26"/>
          <w:szCs w:val="26"/>
          <w:shd w:val="clear" w:color="auto" w:fill="FFFFFF"/>
        </w:rPr>
        <w:t xml:space="preserve"> maksājumu veikšanu no citiem finanšu avotiem</w:t>
      </w:r>
      <w:r w:rsidR="00CC1117" w:rsidRPr="007833AC">
        <w:rPr>
          <w:rFonts w:ascii="Times New Roman" w:hAnsi="Times New Roman"/>
          <w:sz w:val="26"/>
          <w:szCs w:val="26"/>
          <w:shd w:val="clear" w:color="auto" w:fill="FFFFFF"/>
        </w:rPr>
        <w:t xml:space="preserve">, kā arī </w:t>
      </w:r>
      <w:r w:rsidR="00E67D1B" w:rsidRPr="007833AC">
        <w:rPr>
          <w:rFonts w:ascii="Times New Roman" w:hAnsi="Times New Roman"/>
          <w:sz w:val="26"/>
          <w:szCs w:val="26"/>
          <w:shd w:val="clear" w:color="auto" w:fill="FFFFFF"/>
        </w:rPr>
        <w:t xml:space="preserve">nepieļaut </w:t>
      </w:r>
      <w:r w:rsidR="00CC1117" w:rsidRPr="007833AC">
        <w:rPr>
          <w:rFonts w:ascii="Times New Roman" w:hAnsi="Times New Roman"/>
          <w:sz w:val="26"/>
          <w:szCs w:val="26"/>
          <w:shd w:val="clear" w:color="auto" w:fill="FFFFFF"/>
        </w:rPr>
        <w:t xml:space="preserve">to </w:t>
      </w:r>
      <w:r w:rsidR="009A47F2" w:rsidRPr="007833AC">
        <w:rPr>
          <w:rFonts w:ascii="Times New Roman" w:hAnsi="Times New Roman"/>
          <w:sz w:val="26"/>
          <w:szCs w:val="26"/>
          <w:shd w:val="clear" w:color="auto" w:fill="FFFFFF"/>
        </w:rPr>
        <w:t>pārveidi par cita veida maksājumiem</w:t>
      </w:r>
      <w:r w:rsidR="00CC1117" w:rsidRPr="007833AC">
        <w:rPr>
          <w:rFonts w:ascii="Times New Roman" w:hAnsi="Times New Roman"/>
          <w:sz w:val="26"/>
          <w:szCs w:val="26"/>
          <w:shd w:val="clear" w:color="auto" w:fill="FFFFFF"/>
        </w:rPr>
        <w:t xml:space="preserve"> vai </w:t>
      </w:r>
      <w:r w:rsidR="009A47F2" w:rsidRPr="007833AC">
        <w:rPr>
          <w:rFonts w:ascii="Times New Roman" w:hAnsi="Times New Roman"/>
          <w:sz w:val="26"/>
          <w:szCs w:val="26"/>
          <w:shd w:val="clear" w:color="auto" w:fill="FFFFFF"/>
        </w:rPr>
        <w:t>attiecīgo maksājumu nosaukumu maiņu.</w:t>
      </w:r>
    </w:p>
    <w:p w:rsidR="009A47F2" w:rsidRPr="007833AC" w:rsidRDefault="009A47F2" w:rsidP="006D6309">
      <w:pPr>
        <w:spacing w:before="120" w:after="120" w:line="240" w:lineRule="auto"/>
        <w:jc w:val="both"/>
        <w:rPr>
          <w:rFonts w:ascii="Times New Roman" w:hAnsi="Times New Roman"/>
          <w:sz w:val="26"/>
          <w:szCs w:val="26"/>
          <w:shd w:val="clear" w:color="auto" w:fill="FFFFFF"/>
        </w:rPr>
      </w:pPr>
      <w:r w:rsidRPr="007833AC">
        <w:rPr>
          <w:rFonts w:ascii="Times New Roman" w:hAnsi="Times New Roman"/>
          <w:sz w:val="26"/>
          <w:szCs w:val="26"/>
          <w:shd w:val="clear" w:color="auto" w:fill="FFFFFF"/>
        </w:rPr>
        <w:t>Saeima 2019.gada 10.janvāra lēmumā ir arī aicinājusi Ekonomikas ministriju izbeigt Latvijas iedzīvotājiem netaisnīgu, uz atsevišķu personu i</w:t>
      </w:r>
      <w:r w:rsidR="008C603B" w:rsidRPr="007833AC">
        <w:rPr>
          <w:rFonts w:ascii="Times New Roman" w:hAnsi="Times New Roman"/>
          <w:sz w:val="26"/>
          <w:szCs w:val="26"/>
          <w:shd w:val="clear" w:color="auto" w:fill="FFFFFF"/>
        </w:rPr>
        <w:t>nterešu atbalstu vērstu režīmu.</w:t>
      </w:r>
    </w:p>
    <w:p w:rsidR="00A87DB5" w:rsidRPr="007833AC" w:rsidRDefault="00612EE3" w:rsidP="00065A5A">
      <w:pPr>
        <w:spacing w:before="120" w:after="120" w:line="240" w:lineRule="auto"/>
        <w:jc w:val="both"/>
        <w:rPr>
          <w:rFonts w:ascii="Times New Roman" w:hAnsi="Times New Roman"/>
          <w:sz w:val="26"/>
          <w:szCs w:val="26"/>
          <w:u w:val="single"/>
        </w:rPr>
      </w:pPr>
      <w:r w:rsidRPr="007833AC">
        <w:rPr>
          <w:rFonts w:ascii="Times New Roman" w:hAnsi="Times New Roman"/>
          <w:sz w:val="26"/>
          <w:szCs w:val="26"/>
          <w:u w:val="single"/>
          <w:shd w:val="clear" w:color="auto" w:fill="FFFFFF"/>
        </w:rPr>
        <w:t>Izpildot Saeimas L</w:t>
      </w:r>
      <w:r w:rsidR="00065A5A" w:rsidRPr="007833AC">
        <w:rPr>
          <w:rFonts w:ascii="Times New Roman" w:hAnsi="Times New Roman"/>
          <w:sz w:val="26"/>
          <w:szCs w:val="26"/>
          <w:u w:val="single"/>
          <w:shd w:val="clear" w:color="auto" w:fill="FFFFFF"/>
        </w:rPr>
        <w:t>ēmumu</w:t>
      </w:r>
      <w:r w:rsidR="00D740C4" w:rsidRPr="007833AC">
        <w:rPr>
          <w:rFonts w:ascii="Times New Roman" w:hAnsi="Times New Roman"/>
          <w:sz w:val="26"/>
          <w:szCs w:val="26"/>
          <w:u w:val="single"/>
          <w:shd w:val="clear" w:color="auto" w:fill="FFFFFF"/>
        </w:rPr>
        <w:t>, kā arī 2019.gada 14.janvāra Ministru prezidenta rezolūciju Nr.12/2019-JUR-2</w:t>
      </w:r>
      <w:r w:rsidR="00065A5A" w:rsidRPr="007833AC">
        <w:rPr>
          <w:rFonts w:ascii="Times New Roman" w:hAnsi="Times New Roman"/>
          <w:sz w:val="26"/>
          <w:szCs w:val="26"/>
          <w:u w:val="single"/>
          <w:shd w:val="clear" w:color="auto" w:fill="FFFFFF"/>
        </w:rPr>
        <w:t xml:space="preserve"> </w:t>
      </w:r>
      <w:r w:rsidR="002B66F2" w:rsidRPr="007833AC">
        <w:rPr>
          <w:rFonts w:ascii="Times New Roman" w:hAnsi="Times New Roman"/>
          <w:sz w:val="26"/>
          <w:szCs w:val="26"/>
          <w:u w:val="single"/>
        </w:rPr>
        <w:t>steidzami izstrādāt tiesību aktu projektus</w:t>
      </w:r>
      <w:r w:rsidR="00065A5A" w:rsidRPr="007833AC">
        <w:rPr>
          <w:rFonts w:ascii="Times New Roman" w:hAnsi="Times New Roman"/>
          <w:sz w:val="26"/>
          <w:szCs w:val="26"/>
          <w:u w:val="single"/>
        </w:rPr>
        <w:t xml:space="preserve"> OIK atcelšanai, Ekonomikas ministrija ir sagatavojusi </w:t>
      </w:r>
      <w:r w:rsidR="00D81163" w:rsidRPr="007833AC">
        <w:rPr>
          <w:rFonts w:ascii="Times New Roman" w:hAnsi="Times New Roman"/>
          <w:sz w:val="26"/>
          <w:szCs w:val="26"/>
          <w:u w:val="single"/>
        </w:rPr>
        <w:t>normatīvā akta projektu</w:t>
      </w:r>
      <w:r w:rsidR="00065A5A" w:rsidRPr="007833AC">
        <w:rPr>
          <w:rFonts w:ascii="Times New Roman" w:hAnsi="Times New Roman"/>
          <w:sz w:val="26"/>
          <w:szCs w:val="26"/>
          <w:u w:val="single"/>
        </w:rPr>
        <w:t xml:space="preserve"> </w:t>
      </w:r>
      <w:r w:rsidR="00D81163" w:rsidRPr="007833AC">
        <w:rPr>
          <w:rFonts w:ascii="Times New Roman" w:hAnsi="Times New Roman"/>
          <w:sz w:val="26"/>
          <w:szCs w:val="26"/>
          <w:u w:val="single"/>
        </w:rPr>
        <w:t>“Grozījumi E</w:t>
      </w:r>
      <w:r w:rsidR="00564076" w:rsidRPr="007833AC">
        <w:rPr>
          <w:rFonts w:ascii="Times New Roman" w:hAnsi="Times New Roman"/>
          <w:sz w:val="26"/>
          <w:szCs w:val="26"/>
          <w:u w:val="single"/>
        </w:rPr>
        <w:t>lektroenerģijas tirgus likumā”</w:t>
      </w:r>
      <w:r w:rsidR="00C53DD5">
        <w:rPr>
          <w:rFonts w:ascii="Times New Roman" w:hAnsi="Times New Roman"/>
          <w:sz w:val="26"/>
          <w:szCs w:val="26"/>
          <w:u w:val="single"/>
        </w:rPr>
        <w:t xml:space="preserve"> (turpmāk – Likumprojekts)</w:t>
      </w:r>
      <w:r w:rsidRPr="007833AC">
        <w:rPr>
          <w:rFonts w:ascii="Times New Roman" w:hAnsi="Times New Roman"/>
          <w:sz w:val="26"/>
          <w:szCs w:val="26"/>
          <w:u w:val="single"/>
        </w:rPr>
        <w:t xml:space="preserve"> un </w:t>
      </w:r>
      <w:r w:rsidR="0070328B" w:rsidRPr="007833AC">
        <w:rPr>
          <w:rFonts w:ascii="Times New Roman" w:hAnsi="Times New Roman"/>
          <w:sz w:val="26"/>
          <w:szCs w:val="26"/>
          <w:u w:val="single"/>
        </w:rPr>
        <w:t xml:space="preserve">tā sākotnējās ietekmes novērtējumu (anotāciju) un </w:t>
      </w:r>
      <w:r w:rsidRPr="007833AC">
        <w:rPr>
          <w:rFonts w:ascii="Times New Roman" w:hAnsi="Times New Roman"/>
          <w:sz w:val="26"/>
          <w:szCs w:val="26"/>
          <w:u w:val="single"/>
        </w:rPr>
        <w:t>kopā ar šo informatīvo ziņojumu iesniedz izskatīšanai Ministru kabinetā</w:t>
      </w:r>
      <w:r w:rsidR="002B66F2" w:rsidRPr="007833AC">
        <w:rPr>
          <w:rFonts w:ascii="Times New Roman" w:hAnsi="Times New Roman"/>
          <w:sz w:val="26"/>
          <w:szCs w:val="26"/>
          <w:u w:val="single"/>
        </w:rPr>
        <w:t>.</w:t>
      </w:r>
    </w:p>
    <w:p w:rsidR="007A03A5" w:rsidRPr="00592E2D" w:rsidRDefault="007A03A5" w:rsidP="00065A5A">
      <w:pPr>
        <w:spacing w:before="120" w:after="120" w:line="240" w:lineRule="auto"/>
        <w:jc w:val="both"/>
        <w:rPr>
          <w:rFonts w:ascii="Times New Roman" w:hAnsi="Times New Roman"/>
          <w:sz w:val="26"/>
          <w:szCs w:val="26"/>
        </w:rPr>
      </w:pPr>
      <w:r w:rsidRPr="007833AC">
        <w:rPr>
          <w:rFonts w:ascii="Times New Roman" w:hAnsi="Times New Roman"/>
          <w:sz w:val="26"/>
          <w:szCs w:val="26"/>
        </w:rPr>
        <w:t>Līdztekus tam Ekonomikas ministrijas uzdevumā KPMG</w:t>
      </w:r>
      <w:r w:rsidR="006A0695" w:rsidRPr="007833AC">
        <w:rPr>
          <w:rFonts w:ascii="Times New Roman" w:hAnsi="Times New Roman"/>
          <w:sz w:val="26"/>
          <w:szCs w:val="26"/>
        </w:rPr>
        <w:t xml:space="preserve"> Zvērinātu advokātu birojs</w:t>
      </w:r>
      <w:r w:rsidRPr="007833AC">
        <w:rPr>
          <w:rFonts w:ascii="Times New Roman" w:hAnsi="Times New Roman"/>
          <w:sz w:val="26"/>
          <w:szCs w:val="26"/>
        </w:rPr>
        <w:t xml:space="preserve"> </w:t>
      </w:r>
      <w:r w:rsidR="003D4B69">
        <w:rPr>
          <w:rFonts w:ascii="Times New Roman" w:hAnsi="Times New Roman"/>
          <w:sz w:val="26"/>
          <w:szCs w:val="26"/>
        </w:rPr>
        <w:t>ir veicis</w:t>
      </w:r>
      <w:r w:rsidRPr="007833AC">
        <w:rPr>
          <w:rFonts w:ascii="Times New Roman" w:hAnsi="Times New Roman"/>
          <w:sz w:val="26"/>
          <w:szCs w:val="26"/>
        </w:rPr>
        <w:t xml:space="preserve"> </w:t>
      </w:r>
      <w:bookmarkStart w:id="2" w:name="_Hlk4132080"/>
      <w:r w:rsidRPr="007833AC">
        <w:rPr>
          <w:rFonts w:ascii="Times New Roman" w:hAnsi="Times New Roman"/>
          <w:sz w:val="26"/>
          <w:szCs w:val="26"/>
        </w:rPr>
        <w:t xml:space="preserve">OIK atcelšanas </w:t>
      </w:r>
      <w:r w:rsidR="003D2099" w:rsidRPr="007833AC">
        <w:rPr>
          <w:rFonts w:ascii="Times New Roman" w:hAnsi="Times New Roman"/>
          <w:sz w:val="26"/>
          <w:szCs w:val="26"/>
        </w:rPr>
        <w:t>tiesisko</w:t>
      </w:r>
      <w:r w:rsidRPr="007833AC">
        <w:rPr>
          <w:rFonts w:ascii="Times New Roman" w:hAnsi="Times New Roman"/>
          <w:sz w:val="26"/>
          <w:szCs w:val="26"/>
        </w:rPr>
        <w:t xml:space="preserve"> izvērtējumu</w:t>
      </w:r>
      <w:bookmarkEnd w:id="2"/>
      <w:r w:rsidR="003D4B69">
        <w:rPr>
          <w:rFonts w:ascii="Times New Roman" w:hAnsi="Times New Roman"/>
          <w:sz w:val="26"/>
          <w:szCs w:val="26"/>
        </w:rPr>
        <w:t>.</w:t>
      </w:r>
    </w:p>
    <w:p w:rsidR="00465CEC" w:rsidRPr="007833AC" w:rsidRDefault="00F90BC8" w:rsidP="007833AC">
      <w:pPr>
        <w:spacing w:before="360" w:after="120" w:line="240" w:lineRule="auto"/>
        <w:rPr>
          <w:rFonts w:ascii="Times New Roman" w:hAnsi="Times New Roman"/>
          <w:b/>
          <w:sz w:val="26"/>
          <w:szCs w:val="26"/>
          <w:u w:val="single"/>
        </w:rPr>
      </w:pPr>
      <w:r w:rsidRPr="007833AC">
        <w:rPr>
          <w:rFonts w:ascii="Times New Roman" w:hAnsi="Times New Roman"/>
          <w:b/>
          <w:sz w:val="26"/>
          <w:szCs w:val="26"/>
          <w:u w:val="single"/>
        </w:rPr>
        <w:t>II. </w:t>
      </w:r>
      <w:r w:rsidR="00465CEC" w:rsidRPr="007833AC">
        <w:rPr>
          <w:rFonts w:ascii="Times New Roman" w:hAnsi="Times New Roman"/>
          <w:b/>
          <w:sz w:val="26"/>
          <w:szCs w:val="26"/>
          <w:u w:val="single"/>
        </w:rPr>
        <w:t>Aktuālā situācija</w:t>
      </w:r>
    </w:p>
    <w:p w:rsidR="00376E46" w:rsidRPr="00592E2D" w:rsidRDefault="00FF117E" w:rsidP="007833AC">
      <w:pPr>
        <w:spacing w:before="240" w:after="120" w:line="240" w:lineRule="auto"/>
        <w:jc w:val="both"/>
        <w:rPr>
          <w:rFonts w:ascii="Times New Roman" w:hAnsi="Times New Roman"/>
          <w:b/>
          <w:i/>
          <w:sz w:val="26"/>
          <w:szCs w:val="26"/>
        </w:rPr>
      </w:pPr>
      <w:r w:rsidRPr="00592E2D">
        <w:rPr>
          <w:rFonts w:ascii="Times New Roman" w:hAnsi="Times New Roman"/>
          <w:b/>
          <w:i/>
          <w:sz w:val="26"/>
          <w:szCs w:val="26"/>
        </w:rPr>
        <w:t xml:space="preserve">1) Spēkā esošais </w:t>
      </w:r>
      <w:r w:rsidR="00376E46" w:rsidRPr="00592E2D">
        <w:rPr>
          <w:rFonts w:ascii="Times New Roman" w:hAnsi="Times New Roman"/>
          <w:b/>
          <w:i/>
          <w:sz w:val="26"/>
          <w:szCs w:val="26"/>
        </w:rPr>
        <w:t>OIK mehānisms</w:t>
      </w:r>
    </w:p>
    <w:p w:rsidR="00376E46" w:rsidRPr="007833AC" w:rsidRDefault="00376E46" w:rsidP="00376E46">
      <w:pPr>
        <w:spacing w:before="120" w:after="120" w:line="240" w:lineRule="auto"/>
        <w:jc w:val="both"/>
        <w:rPr>
          <w:rFonts w:ascii="Times New Roman" w:hAnsi="Times New Roman"/>
          <w:sz w:val="26"/>
          <w:szCs w:val="26"/>
          <w:shd w:val="clear" w:color="auto" w:fill="FFFFFF"/>
        </w:rPr>
      </w:pPr>
      <w:r w:rsidRPr="007833AC">
        <w:rPr>
          <w:rFonts w:ascii="Times New Roman" w:hAnsi="Times New Roman"/>
          <w:sz w:val="26"/>
          <w:szCs w:val="26"/>
          <w:shd w:val="clear" w:color="auto" w:fill="FFFFFF"/>
        </w:rPr>
        <w:t>OIK ir maksājums, ko sedz visi elektroenerģijas galalietotāji un kas papildus elektroenerģijas tirgus cenai, sadales un pārvades tarifam un pievienotās vērtības nodoklim tiek iekļauta elektroenerģijas gala cenā.</w:t>
      </w:r>
    </w:p>
    <w:p w:rsidR="00376E46" w:rsidRPr="00D15EDB" w:rsidRDefault="00376E46" w:rsidP="00376E46">
      <w:pPr>
        <w:spacing w:before="120" w:after="120" w:line="240" w:lineRule="auto"/>
        <w:jc w:val="both"/>
        <w:rPr>
          <w:rFonts w:ascii="Times New Roman" w:hAnsi="Times New Roman"/>
          <w:sz w:val="26"/>
          <w:szCs w:val="26"/>
        </w:rPr>
      </w:pPr>
      <w:r w:rsidRPr="00D15EDB">
        <w:rPr>
          <w:rFonts w:ascii="Times New Roman" w:hAnsi="Times New Roman"/>
          <w:sz w:val="26"/>
          <w:szCs w:val="26"/>
        </w:rPr>
        <w:t>Šobrīd spēkā esošais elektroenerģijas obligātā iepirkuma mehānisms ir izveidots saskaņā ar Elektroenerģijas tirgus likuma (turpmāk – ETL) 28., 29. un 30.pantu, savukārt garantētā maksa par elektrostacijā uzstādīto elektrisko jaudu izveidota saskaņā ar ETL 28.</w:t>
      </w:r>
      <w:r w:rsidRPr="00D15EDB">
        <w:rPr>
          <w:rFonts w:ascii="Times New Roman" w:hAnsi="Times New Roman"/>
          <w:sz w:val="26"/>
          <w:szCs w:val="26"/>
          <w:vertAlign w:val="superscript"/>
        </w:rPr>
        <w:t>1</w:t>
      </w:r>
      <w:r w:rsidRPr="00D15EDB">
        <w:rPr>
          <w:rFonts w:ascii="Times New Roman" w:hAnsi="Times New Roman"/>
          <w:sz w:val="26"/>
          <w:szCs w:val="26"/>
        </w:rPr>
        <w:t xml:space="preserve"> pantu (turpmāk attiecībā uz abiem šiem maksājumiem – OI mehānisms).</w:t>
      </w:r>
    </w:p>
    <w:p w:rsidR="00376E46" w:rsidRPr="00D15EDB" w:rsidRDefault="00376E46" w:rsidP="00376E46">
      <w:pPr>
        <w:spacing w:before="120" w:after="120" w:line="240" w:lineRule="auto"/>
        <w:jc w:val="both"/>
        <w:rPr>
          <w:rFonts w:ascii="Times New Roman" w:hAnsi="Times New Roman"/>
          <w:sz w:val="26"/>
          <w:szCs w:val="26"/>
        </w:rPr>
      </w:pPr>
      <w:proofErr w:type="spellStart"/>
      <w:r w:rsidRPr="00D15EDB">
        <w:rPr>
          <w:rFonts w:ascii="Times New Roman" w:hAnsi="Times New Roman"/>
          <w:sz w:val="26"/>
          <w:szCs w:val="26"/>
        </w:rPr>
        <w:t>Pirmssākums</w:t>
      </w:r>
      <w:proofErr w:type="spellEnd"/>
      <w:r w:rsidRPr="00D15EDB">
        <w:rPr>
          <w:rFonts w:ascii="Times New Roman" w:hAnsi="Times New Roman"/>
          <w:sz w:val="26"/>
          <w:szCs w:val="26"/>
        </w:rPr>
        <w:t xml:space="preserve"> šāda mehānisma izveidei ir </w:t>
      </w:r>
      <w:r w:rsidRPr="00D15EDB">
        <w:rPr>
          <w:rFonts w:ascii="Times New Roman" w:hAnsi="Times New Roman"/>
          <w:b/>
          <w:sz w:val="26"/>
          <w:szCs w:val="26"/>
        </w:rPr>
        <w:t>1995.gads</w:t>
      </w:r>
      <w:r w:rsidRPr="00D15EDB">
        <w:rPr>
          <w:rFonts w:ascii="Times New Roman" w:hAnsi="Times New Roman"/>
          <w:sz w:val="26"/>
          <w:szCs w:val="26"/>
        </w:rPr>
        <w:t xml:space="preserve">, kas laika gaitā tika attīstīts un sekojoši tika iestrādāts Enerģētikas likumā. </w:t>
      </w:r>
    </w:p>
    <w:p w:rsidR="00376E46" w:rsidRPr="00D15EDB" w:rsidRDefault="00376E46" w:rsidP="00376E46">
      <w:pPr>
        <w:spacing w:before="120" w:after="120" w:line="240" w:lineRule="auto"/>
        <w:jc w:val="both"/>
        <w:rPr>
          <w:rFonts w:ascii="Times New Roman" w:hAnsi="Times New Roman"/>
          <w:sz w:val="26"/>
          <w:szCs w:val="26"/>
        </w:rPr>
      </w:pPr>
      <w:r w:rsidRPr="00D15EDB">
        <w:rPr>
          <w:rFonts w:ascii="Times New Roman" w:hAnsi="Times New Roman"/>
          <w:b/>
          <w:sz w:val="26"/>
          <w:szCs w:val="26"/>
        </w:rPr>
        <w:t>2005.gadā</w:t>
      </w:r>
      <w:r w:rsidRPr="00D15EDB">
        <w:rPr>
          <w:rFonts w:ascii="Times New Roman" w:hAnsi="Times New Roman"/>
          <w:sz w:val="26"/>
          <w:szCs w:val="26"/>
        </w:rPr>
        <w:t xml:space="preserve"> spēkā stājās ETL, uz kā pamata secīgi tika izdoti vairāki Ministru kabineta noteikumi, saskaņā ar kuriem komersantiem tika piešķirtas tiesības uz atbalstu esošā OI mehānisma ietvaros par elektroenerģijas ražošanu no atjaunojamiem energoresursiem vai koģenerācijā (turpmāk – OI tiesības). Jāmin, ka atsevišķas vēja elektrostacijas neizmantoja iespēju pāriet uz jauno OI mehānismu un turpināja saņemt atbalstu saskaņā ar ETL pārejas noteikumu 52.punktu.</w:t>
      </w:r>
    </w:p>
    <w:p w:rsidR="00376E46" w:rsidRPr="00592E2D" w:rsidRDefault="00376E46" w:rsidP="00376E46">
      <w:pPr>
        <w:spacing w:before="120" w:after="120" w:line="240" w:lineRule="auto"/>
        <w:jc w:val="both"/>
        <w:rPr>
          <w:rFonts w:ascii="Times New Roman" w:hAnsi="Times New Roman"/>
          <w:sz w:val="26"/>
          <w:szCs w:val="26"/>
        </w:rPr>
      </w:pPr>
      <w:r w:rsidRPr="00D15EDB">
        <w:rPr>
          <w:rFonts w:ascii="Times New Roman" w:hAnsi="Times New Roman"/>
          <w:sz w:val="26"/>
          <w:szCs w:val="26"/>
        </w:rPr>
        <w:lastRenderedPageBreak/>
        <w:t xml:space="preserve">Šobrīd spēkā esošie Ministru kabineta noteikumi, kas </w:t>
      </w:r>
      <w:proofErr w:type="spellStart"/>
      <w:r w:rsidRPr="00D15EDB">
        <w:rPr>
          <w:rFonts w:ascii="Times New Roman" w:hAnsi="Times New Roman"/>
          <w:sz w:val="26"/>
          <w:szCs w:val="26"/>
        </w:rPr>
        <w:t>citastarp</w:t>
      </w:r>
      <w:proofErr w:type="spellEnd"/>
      <w:r w:rsidRPr="00D15EDB">
        <w:rPr>
          <w:rFonts w:ascii="Times New Roman" w:hAnsi="Times New Roman"/>
          <w:sz w:val="26"/>
          <w:szCs w:val="26"/>
        </w:rPr>
        <w:t xml:space="preserve"> nosaka elektrostaciju darbības nosacījumus atbalsta saņemšanai ir Ministru kabineta 2010.gada 16.marta noteikumi Nr.262 “Noteikumi par elektroenerģijas ražošanu, izmantojot atjaunojamos energoresursus, un cenu noteikšanas kārtību”</w:t>
      </w:r>
      <w:r w:rsidRPr="00592E2D">
        <w:rPr>
          <w:rStyle w:val="FootnoteReference"/>
          <w:rFonts w:ascii="Times New Roman" w:hAnsi="Times New Roman"/>
          <w:sz w:val="26"/>
          <w:szCs w:val="26"/>
        </w:rPr>
        <w:footnoteReference w:id="2"/>
      </w:r>
      <w:r w:rsidRPr="00592E2D">
        <w:rPr>
          <w:rFonts w:ascii="Times New Roman" w:hAnsi="Times New Roman"/>
          <w:sz w:val="26"/>
          <w:szCs w:val="26"/>
        </w:rPr>
        <w:t xml:space="preserve"> (turpmāk – MK noteikumi Nr.262) un Ministru kabineta 2009.gada 10.marta noteikumi Nr.221 “Noteikumi par elektroenerģijas ražošanu un cenu noteikšanu, ražojot elektroenerģiju koģenerācijā”</w:t>
      </w:r>
      <w:r w:rsidRPr="00592E2D">
        <w:rPr>
          <w:rStyle w:val="FootnoteReference"/>
          <w:rFonts w:ascii="Times New Roman" w:hAnsi="Times New Roman"/>
          <w:sz w:val="26"/>
          <w:szCs w:val="26"/>
        </w:rPr>
        <w:footnoteReference w:id="3"/>
      </w:r>
      <w:r w:rsidRPr="00592E2D">
        <w:rPr>
          <w:rFonts w:ascii="Times New Roman" w:hAnsi="Times New Roman"/>
          <w:sz w:val="26"/>
          <w:szCs w:val="26"/>
        </w:rPr>
        <w:t xml:space="preserve"> (turpmāk – MK noteikumi Nr.221).</w:t>
      </w:r>
    </w:p>
    <w:p w:rsidR="00376E46" w:rsidRPr="007833AC" w:rsidRDefault="00376E46" w:rsidP="00376E46">
      <w:pPr>
        <w:spacing w:before="120" w:after="120" w:line="240" w:lineRule="auto"/>
        <w:jc w:val="both"/>
        <w:rPr>
          <w:rFonts w:ascii="Times New Roman" w:hAnsi="Times New Roman"/>
          <w:sz w:val="26"/>
          <w:szCs w:val="26"/>
        </w:rPr>
      </w:pPr>
      <w:r w:rsidRPr="007833AC">
        <w:rPr>
          <w:rFonts w:ascii="Times New Roman" w:hAnsi="Times New Roman"/>
          <w:sz w:val="26"/>
          <w:szCs w:val="26"/>
        </w:rPr>
        <w:t>Ar ETL 28., 28.</w:t>
      </w:r>
      <w:r w:rsidRPr="007833AC">
        <w:rPr>
          <w:rFonts w:ascii="Times New Roman" w:hAnsi="Times New Roman"/>
          <w:sz w:val="26"/>
          <w:szCs w:val="26"/>
          <w:vertAlign w:val="superscript"/>
        </w:rPr>
        <w:t>1</w:t>
      </w:r>
      <w:r w:rsidRPr="007833AC">
        <w:rPr>
          <w:rFonts w:ascii="Times New Roman" w:hAnsi="Times New Roman"/>
          <w:sz w:val="26"/>
          <w:szCs w:val="26"/>
        </w:rPr>
        <w:t xml:space="preserve"> un 30.pantu ir noteikts arī princips, kā tiek segtas izmaksas, kas radušās īstenojot OI mehānismu.</w:t>
      </w:r>
    </w:p>
    <w:p w:rsidR="00376E46" w:rsidRPr="00D15EDB" w:rsidRDefault="00376E46" w:rsidP="00376E46">
      <w:pPr>
        <w:spacing w:before="120" w:after="120" w:line="240" w:lineRule="auto"/>
        <w:jc w:val="both"/>
        <w:rPr>
          <w:rFonts w:ascii="Times New Roman" w:hAnsi="Times New Roman"/>
          <w:sz w:val="26"/>
          <w:szCs w:val="26"/>
        </w:rPr>
      </w:pPr>
      <w:r w:rsidRPr="00D15EDB">
        <w:rPr>
          <w:rFonts w:ascii="Times New Roman" w:hAnsi="Times New Roman"/>
          <w:sz w:val="26"/>
          <w:szCs w:val="26"/>
        </w:rPr>
        <w:t>Saskaņā ar ETL 28.panta piekto daļu un 30.panta trešo daļu izmaksas, kas radušās īstenojot saskaņā ar minētajiem pantiem sniegto atbalstu, sedz visi Latvijas elektroenerģijas galalietotāji proporcionāli savam elektroenerģijas patēriņam. Savukārt saskaņā ar ETL 28.</w:t>
      </w:r>
      <w:r w:rsidRPr="00D15EDB">
        <w:rPr>
          <w:rFonts w:ascii="Times New Roman" w:hAnsi="Times New Roman"/>
          <w:sz w:val="26"/>
          <w:szCs w:val="26"/>
          <w:vertAlign w:val="superscript"/>
        </w:rPr>
        <w:t>1</w:t>
      </w:r>
      <w:r w:rsidRPr="00D15EDB">
        <w:rPr>
          <w:rFonts w:ascii="Times New Roman" w:hAnsi="Times New Roman"/>
          <w:sz w:val="26"/>
          <w:szCs w:val="26"/>
        </w:rPr>
        <w:t xml:space="preserve"> panta ceturto daļu izmaksas, ko veido maksājumi par uzstādīto elektrisko jaudu, sedz visi Latvijas elektroenerģijas galalietotāji, un tās tiek sadalītas pa sprieguma un patēriņa līmeņa grupām proporcionāli ieņēmumu fiksētajai daļai no sistēmas pakalpojumiem. Atbalsta izmaksu attiecināšanas aprēķina metodiku nosaka Sabiedrisko pakalpojumu regulēšanas komisija (turpmāk – SPRK).</w:t>
      </w:r>
    </w:p>
    <w:p w:rsidR="00376E46" w:rsidRPr="00592E2D" w:rsidRDefault="00376E46" w:rsidP="00376E46">
      <w:pPr>
        <w:spacing w:before="120" w:after="120" w:line="240" w:lineRule="auto"/>
        <w:jc w:val="both"/>
        <w:rPr>
          <w:rFonts w:ascii="Times New Roman" w:hAnsi="Times New Roman"/>
          <w:color w:val="FF0000"/>
          <w:sz w:val="26"/>
          <w:szCs w:val="26"/>
        </w:rPr>
      </w:pPr>
      <w:r w:rsidRPr="00D15EDB">
        <w:rPr>
          <w:rFonts w:ascii="Times New Roman" w:hAnsi="Times New Roman"/>
          <w:color w:val="000000"/>
          <w:sz w:val="26"/>
          <w:szCs w:val="26"/>
        </w:rPr>
        <w:t>Atbilstoši SPRK izdotajai metodikai</w:t>
      </w:r>
      <w:r w:rsidRPr="00592E2D">
        <w:rPr>
          <w:rStyle w:val="FootnoteReference"/>
          <w:rFonts w:ascii="Times New Roman" w:hAnsi="Times New Roman"/>
          <w:color w:val="000000"/>
          <w:sz w:val="26"/>
          <w:szCs w:val="26"/>
        </w:rPr>
        <w:footnoteReference w:id="4"/>
      </w:r>
      <w:r w:rsidRPr="00592E2D">
        <w:rPr>
          <w:rFonts w:ascii="Times New Roman" w:hAnsi="Times New Roman"/>
          <w:color w:val="000000"/>
          <w:sz w:val="26"/>
          <w:szCs w:val="26"/>
        </w:rPr>
        <w:t>, AS “Enerģijas publiskais tirgotājs” (turpmāk – publiskais tirgotājs) OIK tekošajā gadā iekļauj iepriekšējā gada faktiskās izmaksas, kas rada situāciju, ka izmaksas publiskajam tirgotājam tiek kompensētas ar viena gada nobīdi. OIK izmaksu cikls 2018.gadā ir attēlots 1.attēlā.</w:t>
      </w:r>
    </w:p>
    <w:p w:rsidR="00376E46" w:rsidRPr="00D15EDB" w:rsidRDefault="00376E46" w:rsidP="00376E46">
      <w:pPr>
        <w:spacing w:before="120" w:after="120" w:line="240" w:lineRule="auto"/>
        <w:jc w:val="center"/>
        <w:rPr>
          <w:rFonts w:ascii="Times New Roman" w:hAnsi="Times New Roman"/>
          <w:sz w:val="26"/>
          <w:szCs w:val="26"/>
        </w:rPr>
      </w:pPr>
      <w:r w:rsidRPr="007833AC">
        <w:rPr>
          <w:rFonts w:ascii="Times New Roman" w:hAnsi="Times New Roman"/>
          <w:noProof/>
          <w:sz w:val="26"/>
          <w:szCs w:val="26"/>
        </w:rPr>
        <w:drawing>
          <wp:inline distT="0" distB="0" distL="0" distR="0" wp14:anchorId="02CC7784" wp14:editId="7911BA3F">
            <wp:extent cx="4486260" cy="2164456"/>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3576" cy="2167986"/>
                    </a:xfrm>
                    <a:prstGeom prst="rect">
                      <a:avLst/>
                    </a:prstGeom>
                    <a:noFill/>
                  </pic:spPr>
                </pic:pic>
              </a:graphicData>
            </a:graphic>
          </wp:inline>
        </w:drawing>
      </w:r>
    </w:p>
    <w:p w:rsidR="00376E46" w:rsidRPr="00D15EDB" w:rsidRDefault="00376E46" w:rsidP="00376E46">
      <w:pPr>
        <w:spacing w:before="120" w:after="120" w:line="240" w:lineRule="auto"/>
        <w:jc w:val="center"/>
        <w:rPr>
          <w:rFonts w:ascii="Times New Roman" w:hAnsi="Times New Roman"/>
          <w:sz w:val="26"/>
          <w:szCs w:val="26"/>
        </w:rPr>
      </w:pPr>
      <w:r w:rsidRPr="00D15EDB">
        <w:rPr>
          <w:rFonts w:ascii="Times New Roman" w:hAnsi="Times New Roman"/>
          <w:i/>
          <w:sz w:val="26"/>
          <w:szCs w:val="26"/>
        </w:rPr>
        <w:t>1. attēls.</w:t>
      </w:r>
      <w:r w:rsidRPr="00D15EDB">
        <w:rPr>
          <w:rFonts w:ascii="Times New Roman" w:hAnsi="Times New Roman"/>
          <w:sz w:val="26"/>
          <w:szCs w:val="26"/>
        </w:rPr>
        <w:t xml:space="preserve"> </w:t>
      </w:r>
      <w:r w:rsidRPr="00D15EDB">
        <w:rPr>
          <w:rFonts w:ascii="Times New Roman" w:hAnsi="Times New Roman"/>
          <w:b/>
          <w:sz w:val="26"/>
          <w:szCs w:val="26"/>
        </w:rPr>
        <w:t>OIK izmaksu cikls 2018.gadā.</w:t>
      </w:r>
    </w:p>
    <w:p w:rsidR="00376E46" w:rsidRPr="00592E2D" w:rsidRDefault="00376E46" w:rsidP="00376E46">
      <w:pPr>
        <w:spacing w:before="120" w:after="120" w:line="240" w:lineRule="auto"/>
        <w:jc w:val="both"/>
        <w:rPr>
          <w:rFonts w:ascii="Times New Roman" w:hAnsi="Times New Roman"/>
          <w:sz w:val="26"/>
          <w:szCs w:val="26"/>
        </w:rPr>
      </w:pPr>
      <w:r w:rsidRPr="00592E2D">
        <w:rPr>
          <w:rFonts w:ascii="Times New Roman" w:hAnsi="Times New Roman"/>
          <w:sz w:val="26"/>
          <w:szCs w:val="26"/>
        </w:rPr>
        <w:t>OI tiesības atjaunojamās enerģijas ražotājiem saskaņā ar MK noteikumiem Nr.262 netiek piešķirtas kopš 2011.gada vidus, savukārt komersantiem, kas elektroenerģiju ražo koģenerācijā, tostarp no atjaunojamiem energoresursiem, saskaņā ar MK noteikumiem Nr.221 - kopš 2012. gada beigām.</w:t>
      </w:r>
    </w:p>
    <w:p w:rsidR="00AA1535" w:rsidRPr="00D15EDB" w:rsidRDefault="00AA1535" w:rsidP="00D15EDB">
      <w:pPr>
        <w:spacing w:before="240" w:after="120" w:line="240" w:lineRule="auto"/>
        <w:jc w:val="both"/>
        <w:rPr>
          <w:rFonts w:ascii="Times New Roman" w:hAnsi="Times New Roman"/>
          <w:sz w:val="26"/>
          <w:szCs w:val="26"/>
        </w:rPr>
      </w:pPr>
      <w:r w:rsidRPr="007833AC">
        <w:rPr>
          <w:rFonts w:ascii="Times New Roman" w:hAnsi="Times New Roman"/>
          <w:b/>
          <w:i/>
          <w:sz w:val="26"/>
          <w:szCs w:val="26"/>
        </w:rPr>
        <w:t>2) </w:t>
      </w:r>
      <w:r w:rsidRPr="00D15EDB">
        <w:rPr>
          <w:rFonts w:ascii="Times New Roman" w:hAnsi="Times New Roman"/>
          <w:b/>
          <w:i/>
          <w:sz w:val="26"/>
          <w:szCs w:val="26"/>
        </w:rPr>
        <w:t>OI tiesības</w:t>
      </w:r>
      <w:r w:rsidRPr="00592E2D">
        <w:rPr>
          <w:rFonts w:ascii="Times New Roman" w:hAnsi="Times New Roman"/>
          <w:b/>
          <w:i/>
          <w:sz w:val="26"/>
          <w:szCs w:val="26"/>
        </w:rPr>
        <w:t xml:space="preserve"> – izsniegtās atļaujas</w:t>
      </w:r>
    </w:p>
    <w:p w:rsidR="00AA1535" w:rsidRPr="00D15EDB" w:rsidRDefault="00AA1535" w:rsidP="00AA1535">
      <w:pPr>
        <w:pStyle w:val="paragraph"/>
        <w:spacing w:before="120" w:beforeAutospacing="0" w:after="120" w:afterAutospacing="0"/>
        <w:jc w:val="both"/>
        <w:textAlignment w:val="baseline"/>
        <w:rPr>
          <w:rStyle w:val="normaltextrun"/>
          <w:sz w:val="26"/>
          <w:szCs w:val="26"/>
        </w:rPr>
      </w:pPr>
      <w:r w:rsidRPr="00D15EDB">
        <w:rPr>
          <w:rStyle w:val="normaltextrun"/>
          <w:sz w:val="26"/>
          <w:szCs w:val="26"/>
        </w:rPr>
        <w:lastRenderedPageBreak/>
        <w:t>Šobrīd spēkā esošas elektroenerģijas OI tiesības ir 356 elektroenerģijas ražošanu un pārdošanu publiskajam tirgotājam uzsākušām elektrostacijām:</w:t>
      </w:r>
    </w:p>
    <w:p w:rsidR="00AA1535" w:rsidRPr="00D15EDB" w:rsidRDefault="00AA1535" w:rsidP="00AA1535">
      <w:pPr>
        <w:pStyle w:val="paragraph"/>
        <w:numPr>
          <w:ilvl w:val="0"/>
          <w:numId w:val="21"/>
        </w:numPr>
        <w:spacing w:before="0" w:beforeAutospacing="0" w:after="0" w:afterAutospacing="0"/>
        <w:ind w:left="357" w:hanging="357"/>
        <w:jc w:val="both"/>
        <w:textAlignment w:val="baseline"/>
        <w:rPr>
          <w:rStyle w:val="normaltextrun"/>
          <w:sz w:val="26"/>
          <w:szCs w:val="26"/>
        </w:rPr>
      </w:pPr>
      <w:r w:rsidRPr="00D15EDB">
        <w:rPr>
          <w:rStyle w:val="normaltextrun"/>
          <w:sz w:val="26"/>
          <w:szCs w:val="26"/>
        </w:rPr>
        <w:t xml:space="preserve"> 53 biogāzes stacijām – 33 saskaņā ar MK noteikumiem Nr.262, 20 saskaņā ar MK noteikumiem Nr.221;</w:t>
      </w:r>
    </w:p>
    <w:p w:rsidR="00AA1535" w:rsidRPr="00D15EDB" w:rsidRDefault="00AA1535" w:rsidP="00AA1535">
      <w:pPr>
        <w:pStyle w:val="paragraph"/>
        <w:numPr>
          <w:ilvl w:val="0"/>
          <w:numId w:val="21"/>
        </w:numPr>
        <w:spacing w:before="0" w:beforeAutospacing="0" w:after="0" w:afterAutospacing="0"/>
        <w:ind w:left="357" w:hanging="357"/>
        <w:jc w:val="both"/>
        <w:textAlignment w:val="baseline"/>
        <w:rPr>
          <w:rStyle w:val="normaltextrun"/>
          <w:sz w:val="26"/>
          <w:szCs w:val="26"/>
        </w:rPr>
      </w:pPr>
      <w:r w:rsidRPr="00D15EDB">
        <w:rPr>
          <w:rStyle w:val="normaltextrun"/>
          <w:sz w:val="26"/>
          <w:szCs w:val="26"/>
        </w:rPr>
        <w:t xml:space="preserve"> 46 biomasas stacijām – 8 saskaņā ar MK noteikumiem Nr.262, 38 saskaņā ar MK noteikumiem Nr.221</w:t>
      </w:r>
    </w:p>
    <w:p w:rsidR="00AA1535" w:rsidRPr="00D15EDB" w:rsidRDefault="00AA1535" w:rsidP="00AA1535">
      <w:pPr>
        <w:pStyle w:val="paragraph"/>
        <w:numPr>
          <w:ilvl w:val="0"/>
          <w:numId w:val="21"/>
        </w:numPr>
        <w:spacing w:before="0" w:beforeAutospacing="0" w:after="0" w:afterAutospacing="0"/>
        <w:ind w:left="357" w:hanging="357"/>
        <w:jc w:val="both"/>
        <w:textAlignment w:val="baseline"/>
        <w:rPr>
          <w:rStyle w:val="normaltextrun"/>
          <w:sz w:val="26"/>
          <w:szCs w:val="26"/>
        </w:rPr>
      </w:pPr>
      <w:r w:rsidRPr="00D15EDB">
        <w:rPr>
          <w:rStyle w:val="normaltextrun"/>
          <w:sz w:val="26"/>
          <w:szCs w:val="26"/>
        </w:rPr>
        <w:t xml:space="preserve"> 64 dabasgāzes stacijām saskaņā ar MK noteikumiem Nr.221</w:t>
      </w:r>
    </w:p>
    <w:p w:rsidR="00AA1535" w:rsidRPr="00D15EDB" w:rsidRDefault="00AA1535" w:rsidP="00AA1535">
      <w:pPr>
        <w:pStyle w:val="paragraph"/>
        <w:numPr>
          <w:ilvl w:val="0"/>
          <w:numId w:val="21"/>
        </w:numPr>
        <w:spacing w:before="0" w:beforeAutospacing="0" w:after="0" w:afterAutospacing="0"/>
        <w:ind w:left="357" w:hanging="357"/>
        <w:jc w:val="both"/>
        <w:textAlignment w:val="baseline"/>
        <w:rPr>
          <w:rStyle w:val="normaltextrun"/>
          <w:sz w:val="26"/>
          <w:szCs w:val="26"/>
        </w:rPr>
      </w:pPr>
      <w:r w:rsidRPr="00D15EDB">
        <w:rPr>
          <w:rStyle w:val="normaltextrun"/>
          <w:sz w:val="26"/>
          <w:szCs w:val="26"/>
        </w:rPr>
        <w:t>141 hidroelektrostacijām (turpmāk -HES) saskaņā ar MK noteikumiem Nr.262</w:t>
      </w:r>
    </w:p>
    <w:p w:rsidR="00AA1535" w:rsidRPr="00D15EDB" w:rsidRDefault="00AA1535" w:rsidP="00AA1535">
      <w:pPr>
        <w:pStyle w:val="paragraph"/>
        <w:numPr>
          <w:ilvl w:val="0"/>
          <w:numId w:val="21"/>
        </w:numPr>
        <w:spacing w:before="0" w:beforeAutospacing="0" w:after="0" w:afterAutospacing="0"/>
        <w:ind w:left="357" w:hanging="357"/>
        <w:jc w:val="both"/>
        <w:textAlignment w:val="baseline"/>
        <w:rPr>
          <w:rStyle w:val="normaltextrun"/>
          <w:sz w:val="26"/>
          <w:szCs w:val="26"/>
        </w:rPr>
      </w:pPr>
      <w:r w:rsidRPr="00D15EDB">
        <w:rPr>
          <w:rStyle w:val="normaltextrun"/>
          <w:sz w:val="26"/>
          <w:szCs w:val="26"/>
        </w:rPr>
        <w:t>52 vēja elektrostacijām – 38 saskaņā ar MK noteikumiem Nr.262, 13 saskaņā ar ETL Pārejas noteikumu 52.punktu. 1 elektrostacija, kas darbību uzsākusi pirms ETL spēkā stāšanās, ir izvēlējusies tiesības pāriet uz MK noteikumu Nr.262 cenas aprēķināšanas formulām.</w:t>
      </w:r>
    </w:p>
    <w:p w:rsidR="00AA1535" w:rsidRPr="00D15EDB" w:rsidRDefault="00AA1535" w:rsidP="00AA1535">
      <w:pPr>
        <w:pStyle w:val="paragraph"/>
        <w:spacing w:before="120" w:beforeAutospacing="0" w:after="120" w:afterAutospacing="0"/>
        <w:jc w:val="both"/>
        <w:textAlignment w:val="baseline"/>
        <w:rPr>
          <w:sz w:val="26"/>
          <w:szCs w:val="26"/>
        </w:rPr>
      </w:pPr>
      <w:r w:rsidRPr="00D15EDB">
        <w:rPr>
          <w:rStyle w:val="normaltextrun"/>
          <w:sz w:val="26"/>
          <w:szCs w:val="26"/>
        </w:rPr>
        <w:t>Tiesības saņemt garantētu maksu par koģenerācijas stacijā uzstādīto elektrisko jaudu saskaņā ar MK noteikumiem Nr.221 ir 5 koģenerācijas stacijām (4 dabasgāzes stacijām un 1 biomasas koģenerācijas stacijai).</w:t>
      </w:r>
    </w:p>
    <w:p w:rsidR="00AA1535" w:rsidRPr="00D15EDB" w:rsidRDefault="00AA1535">
      <w:pPr>
        <w:pStyle w:val="paragraph"/>
        <w:spacing w:before="120" w:beforeAutospacing="0" w:after="120" w:afterAutospacing="0"/>
        <w:jc w:val="both"/>
        <w:textAlignment w:val="baseline"/>
        <w:rPr>
          <w:rStyle w:val="normaltextrun"/>
          <w:sz w:val="26"/>
          <w:szCs w:val="26"/>
        </w:rPr>
      </w:pPr>
      <w:r w:rsidRPr="00D15EDB">
        <w:rPr>
          <w:rStyle w:val="normaltextrun"/>
          <w:sz w:val="26"/>
          <w:szCs w:val="26"/>
        </w:rPr>
        <w:t xml:space="preserve">MK noteikumos Nr.262 atbalsta periods ir noteikts 20 gadi, sākot no elektrostacijas ekspluatācijas uzsākšanas dienas, izņemot HES, kurām tie ir 20 gadi kopš EM pieņēmusi lēmumu par OI tiesību piešķiršanu. Otrajos 10 gados visām elektrostacijām tiek piemērota samazināta iepirkuma cena. </w:t>
      </w:r>
    </w:p>
    <w:p w:rsidR="00AA1535" w:rsidRPr="00D15EDB" w:rsidRDefault="00AA1535" w:rsidP="00AA1535">
      <w:pPr>
        <w:pStyle w:val="paragraph"/>
        <w:spacing w:before="120" w:beforeAutospacing="0" w:after="120" w:afterAutospacing="0"/>
        <w:jc w:val="both"/>
        <w:textAlignment w:val="baseline"/>
        <w:rPr>
          <w:rStyle w:val="normaltextrun"/>
          <w:sz w:val="26"/>
          <w:szCs w:val="26"/>
        </w:rPr>
      </w:pPr>
      <w:r w:rsidRPr="00D15EDB">
        <w:rPr>
          <w:rStyle w:val="normaltextrun"/>
          <w:sz w:val="26"/>
          <w:szCs w:val="26"/>
        </w:rPr>
        <w:t xml:space="preserve">Arī ETL pārejas noteikumu 52.punktā ir noteikts, ka ražotājiem, kas elektroenerģijas ražošanai izmanto atjaunojamos energoresursus un kas uzsākuši darbību pirms ETL spēkā stāšanās, tiesības pārdot elektroenerģiju publiskajam tirgotājam ir 20 gadus no elektrostacijas ekspluatācijas uzsākšanas dienas. </w:t>
      </w:r>
    </w:p>
    <w:p w:rsidR="00AA1535" w:rsidRPr="00D15EDB" w:rsidRDefault="00AA1535" w:rsidP="00AA1535">
      <w:pPr>
        <w:pStyle w:val="paragraph"/>
        <w:spacing w:before="120" w:beforeAutospacing="0" w:after="120" w:afterAutospacing="0"/>
        <w:jc w:val="both"/>
        <w:textAlignment w:val="baseline"/>
        <w:rPr>
          <w:rStyle w:val="normaltextrun"/>
          <w:sz w:val="26"/>
          <w:szCs w:val="26"/>
        </w:rPr>
      </w:pPr>
      <w:r w:rsidRPr="00D15EDB">
        <w:rPr>
          <w:rStyle w:val="normaltextrun"/>
          <w:sz w:val="26"/>
          <w:szCs w:val="26"/>
        </w:rPr>
        <w:t xml:space="preserve">MK noteikumos Nr.221 noteiktais atbalsta periods ir 10 gadi kopš koģenerācijas stacija ir nodota ekspluatācijā saskaņā ar sistēmas operatora izdotu atļauju pieslēgt sistēmai koģenerācijas staciju vai atsevišķu šīs elektrostacijas koģenerācijas iekārtu, bet, ja šāda atļauja nav izsniegta, ar stacijas ekspluatācijā pieņemšanas dienu. Ņemot vērā, ka atbalsta termiņš tika noteikts tikai 2012.gadā, MK noteikumos Nr.221 tika noteikts pārejas periods līdz 2017.gada 1.jūlijam šīs normas par atbalsta perioda ierobežošanu piemērošanai. </w:t>
      </w:r>
    </w:p>
    <w:p w:rsidR="00AA1535" w:rsidRPr="00D15EDB" w:rsidRDefault="00AA1535" w:rsidP="00AA1535">
      <w:pPr>
        <w:pStyle w:val="paragraph"/>
        <w:spacing w:before="120" w:beforeAutospacing="0" w:after="120" w:afterAutospacing="0"/>
        <w:jc w:val="both"/>
        <w:textAlignment w:val="baseline"/>
        <w:rPr>
          <w:rStyle w:val="normaltextrun"/>
          <w:sz w:val="26"/>
          <w:szCs w:val="26"/>
        </w:rPr>
      </w:pPr>
      <w:r w:rsidRPr="00D15EDB">
        <w:rPr>
          <w:rStyle w:val="normaltextrun"/>
          <w:sz w:val="26"/>
          <w:szCs w:val="26"/>
        </w:rPr>
        <w:t xml:space="preserve">Līdz ar to kopš 2017.gada 1.jūlija pirmajām elektrostacijām sāk beigties atbalsta termiņi. </w:t>
      </w:r>
      <w:r w:rsidRPr="00D15EDB">
        <w:rPr>
          <w:rStyle w:val="normaltextrun"/>
          <w:b/>
          <w:sz w:val="26"/>
          <w:szCs w:val="26"/>
        </w:rPr>
        <w:t>Elektrostaciju atbalsta beigu termiņu iestāšanās redzama 1.tabulā</w:t>
      </w:r>
      <w:r w:rsidRPr="00D15EDB">
        <w:rPr>
          <w:rStyle w:val="normaltextrun"/>
          <w:sz w:val="26"/>
          <w:szCs w:val="26"/>
        </w:rPr>
        <w:t>:</w:t>
      </w:r>
    </w:p>
    <w:p w:rsidR="00AA1535" w:rsidRPr="00D15EDB" w:rsidDel="0045589E" w:rsidRDefault="00AA1535" w:rsidP="00AA1535">
      <w:pPr>
        <w:pStyle w:val="paragraph"/>
        <w:spacing w:before="120" w:beforeAutospacing="0" w:after="120" w:afterAutospacing="0"/>
        <w:jc w:val="right"/>
        <w:textAlignment w:val="baseline"/>
        <w:rPr>
          <w:rStyle w:val="normaltextrun"/>
          <w:i/>
          <w:sz w:val="26"/>
          <w:szCs w:val="26"/>
        </w:rPr>
      </w:pPr>
      <w:r w:rsidRPr="00D15EDB">
        <w:rPr>
          <w:rStyle w:val="normaltextrun"/>
          <w:i/>
          <w:sz w:val="26"/>
          <w:szCs w:val="26"/>
        </w:rPr>
        <w:t>1.tabula</w:t>
      </w:r>
    </w:p>
    <w:tbl>
      <w:tblPr>
        <w:tblW w:w="6055" w:type="dxa"/>
        <w:jc w:val="center"/>
        <w:tblLayout w:type="fixed"/>
        <w:tblLook w:val="04A0" w:firstRow="1" w:lastRow="0" w:firstColumn="1" w:lastColumn="0" w:noHBand="0" w:noVBand="1"/>
      </w:tblPr>
      <w:tblGrid>
        <w:gridCol w:w="950"/>
        <w:gridCol w:w="2161"/>
        <w:gridCol w:w="818"/>
        <w:gridCol w:w="2126"/>
      </w:tblGrid>
      <w:tr w:rsidR="00AA1535" w:rsidRPr="00D15EDB" w:rsidTr="00362911">
        <w:trPr>
          <w:trHeight w:val="257"/>
          <w:jc w:val="center"/>
        </w:trPr>
        <w:tc>
          <w:tcPr>
            <w:tcW w:w="9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1535" w:rsidRPr="00D15EDB" w:rsidRDefault="00AA1535" w:rsidP="00362911">
            <w:pPr>
              <w:spacing w:after="0" w:line="240" w:lineRule="auto"/>
              <w:jc w:val="center"/>
              <w:rPr>
                <w:rFonts w:ascii="Times New Roman" w:eastAsia="Times New Roman" w:hAnsi="Times New Roman"/>
                <w:b/>
                <w:bCs/>
                <w:sz w:val="26"/>
                <w:szCs w:val="26"/>
                <w:lang w:eastAsia="lv-LV"/>
              </w:rPr>
            </w:pPr>
            <w:r w:rsidRPr="00D15EDB">
              <w:rPr>
                <w:rFonts w:ascii="Times New Roman" w:eastAsia="Times New Roman" w:hAnsi="Times New Roman"/>
                <w:b/>
                <w:bCs/>
                <w:sz w:val="26"/>
                <w:szCs w:val="26"/>
                <w:lang w:eastAsia="lv-LV"/>
              </w:rPr>
              <w:t>Gads</w:t>
            </w:r>
          </w:p>
        </w:tc>
        <w:tc>
          <w:tcPr>
            <w:tcW w:w="2161" w:type="dxa"/>
            <w:tcBorders>
              <w:top w:val="single" w:sz="4" w:space="0" w:color="auto"/>
              <w:left w:val="nil"/>
              <w:bottom w:val="single" w:sz="4" w:space="0" w:color="auto"/>
              <w:right w:val="single" w:sz="4" w:space="0" w:color="auto"/>
            </w:tcBorders>
            <w:shd w:val="clear" w:color="auto" w:fill="auto"/>
            <w:vAlign w:val="bottom"/>
            <w:hideMark/>
          </w:tcPr>
          <w:p w:rsidR="00AA1535" w:rsidRPr="00D15EDB" w:rsidRDefault="00AA1535" w:rsidP="00362911">
            <w:pPr>
              <w:spacing w:after="0" w:line="240" w:lineRule="auto"/>
              <w:rPr>
                <w:rFonts w:ascii="Times New Roman" w:eastAsia="Times New Roman" w:hAnsi="Times New Roman"/>
                <w:b/>
                <w:bCs/>
                <w:sz w:val="26"/>
                <w:szCs w:val="26"/>
                <w:lang w:eastAsia="lv-LV"/>
              </w:rPr>
            </w:pPr>
            <w:r w:rsidRPr="00D15EDB">
              <w:rPr>
                <w:rFonts w:ascii="Times New Roman" w:eastAsia="Times New Roman" w:hAnsi="Times New Roman"/>
                <w:b/>
                <w:bCs/>
                <w:sz w:val="26"/>
                <w:szCs w:val="26"/>
                <w:lang w:eastAsia="lv-LV"/>
              </w:rPr>
              <w:t>Elektrostaciju skaits, kam beidzas atbalsta termiņš</w:t>
            </w:r>
          </w:p>
        </w:tc>
        <w:tc>
          <w:tcPr>
            <w:tcW w:w="818" w:type="dxa"/>
            <w:tcBorders>
              <w:top w:val="single" w:sz="4" w:space="0" w:color="auto"/>
              <w:left w:val="nil"/>
              <w:bottom w:val="single" w:sz="4" w:space="0" w:color="auto"/>
              <w:right w:val="single" w:sz="4" w:space="0" w:color="auto"/>
            </w:tcBorders>
            <w:vAlign w:val="bottom"/>
          </w:tcPr>
          <w:p w:rsidR="00AA1535" w:rsidRPr="00D15EDB" w:rsidRDefault="00AA1535" w:rsidP="00362911">
            <w:pPr>
              <w:spacing w:after="0" w:line="240" w:lineRule="auto"/>
              <w:jc w:val="center"/>
              <w:rPr>
                <w:rFonts w:ascii="Times New Roman" w:eastAsia="Times New Roman" w:hAnsi="Times New Roman"/>
                <w:b/>
                <w:bCs/>
                <w:sz w:val="26"/>
                <w:szCs w:val="26"/>
                <w:lang w:eastAsia="lv-LV"/>
              </w:rPr>
            </w:pPr>
            <w:r w:rsidRPr="00D15EDB">
              <w:rPr>
                <w:rFonts w:ascii="Times New Roman" w:eastAsia="Times New Roman" w:hAnsi="Times New Roman"/>
                <w:b/>
                <w:bCs/>
                <w:sz w:val="26"/>
                <w:szCs w:val="26"/>
                <w:lang w:eastAsia="lv-LV"/>
              </w:rPr>
              <w:t>Gads</w:t>
            </w:r>
          </w:p>
        </w:tc>
        <w:tc>
          <w:tcPr>
            <w:tcW w:w="2126" w:type="dxa"/>
            <w:tcBorders>
              <w:top w:val="single" w:sz="4" w:space="0" w:color="auto"/>
              <w:left w:val="nil"/>
              <w:bottom w:val="single" w:sz="4" w:space="0" w:color="auto"/>
              <w:right w:val="single" w:sz="4" w:space="0" w:color="auto"/>
            </w:tcBorders>
          </w:tcPr>
          <w:p w:rsidR="00AA1535" w:rsidRPr="00D15EDB" w:rsidRDefault="00AA1535" w:rsidP="00362911">
            <w:pPr>
              <w:spacing w:after="0" w:line="240" w:lineRule="auto"/>
              <w:rPr>
                <w:rFonts w:ascii="Times New Roman" w:eastAsia="Times New Roman" w:hAnsi="Times New Roman"/>
                <w:b/>
                <w:bCs/>
                <w:sz w:val="26"/>
                <w:szCs w:val="26"/>
                <w:lang w:eastAsia="lv-LV"/>
              </w:rPr>
            </w:pPr>
            <w:r w:rsidRPr="00D15EDB">
              <w:rPr>
                <w:rFonts w:ascii="Times New Roman" w:eastAsia="Times New Roman" w:hAnsi="Times New Roman"/>
                <w:b/>
                <w:bCs/>
                <w:sz w:val="26"/>
                <w:szCs w:val="26"/>
                <w:lang w:eastAsia="lv-LV"/>
              </w:rPr>
              <w:t>Elektrostaciju skaits, kam beidzas atbalsta termiņš</w:t>
            </w:r>
          </w:p>
        </w:tc>
      </w:tr>
      <w:tr w:rsidR="00AA1535" w:rsidRPr="00D15EDB" w:rsidTr="00362911">
        <w:trPr>
          <w:trHeight w:val="300"/>
          <w:jc w:val="center"/>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AA1535" w:rsidRPr="00D15EDB" w:rsidRDefault="00AA1535" w:rsidP="00362911">
            <w:pPr>
              <w:spacing w:after="0" w:line="240" w:lineRule="auto"/>
              <w:jc w:val="right"/>
              <w:rPr>
                <w:rFonts w:ascii="Times New Roman" w:eastAsia="Times New Roman" w:hAnsi="Times New Roman"/>
                <w:sz w:val="26"/>
                <w:szCs w:val="26"/>
                <w:lang w:eastAsia="lv-LV"/>
              </w:rPr>
            </w:pPr>
            <w:r w:rsidRPr="00D15EDB">
              <w:rPr>
                <w:rFonts w:ascii="Times New Roman" w:eastAsia="Times New Roman" w:hAnsi="Times New Roman"/>
                <w:sz w:val="26"/>
                <w:szCs w:val="26"/>
                <w:lang w:eastAsia="lv-LV"/>
              </w:rPr>
              <w:t>2017</w:t>
            </w:r>
          </w:p>
        </w:tc>
        <w:tc>
          <w:tcPr>
            <w:tcW w:w="2161" w:type="dxa"/>
            <w:tcBorders>
              <w:top w:val="nil"/>
              <w:left w:val="nil"/>
              <w:bottom w:val="single" w:sz="4" w:space="0" w:color="auto"/>
              <w:right w:val="single" w:sz="4" w:space="0" w:color="auto"/>
            </w:tcBorders>
            <w:shd w:val="clear" w:color="auto" w:fill="auto"/>
            <w:noWrap/>
            <w:vAlign w:val="bottom"/>
            <w:hideMark/>
          </w:tcPr>
          <w:p w:rsidR="00AA1535" w:rsidRPr="00D15EDB" w:rsidRDefault="00AA1535" w:rsidP="00362911">
            <w:pPr>
              <w:spacing w:after="0" w:line="240" w:lineRule="auto"/>
              <w:jc w:val="center"/>
              <w:rPr>
                <w:rFonts w:ascii="Times New Roman" w:eastAsia="Times New Roman" w:hAnsi="Times New Roman"/>
                <w:sz w:val="26"/>
                <w:szCs w:val="26"/>
                <w:lang w:eastAsia="lv-LV"/>
              </w:rPr>
            </w:pPr>
            <w:r w:rsidRPr="00D15EDB">
              <w:rPr>
                <w:rFonts w:ascii="Times New Roman" w:eastAsia="Times New Roman" w:hAnsi="Times New Roman"/>
                <w:sz w:val="26"/>
                <w:szCs w:val="26"/>
                <w:lang w:eastAsia="lv-LV"/>
              </w:rPr>
              <w:t>24</w:t>
            </w:r>
          </w:p>
        </w:tc>
        <w:tc>
          <w:tcPr>
            <w:tcW w:w="818" w:type="dxa"/>
            <w:tcBorders>
              <w:top w:val="nil"/>
              <w:left w:val="nil"/>
              <w:bottom w:val="single" w:sz="4" w:space="0" w:color="auto"/>
              <w:right w:val="single" w:sz="4" w:space="0" w:color="auto"/>
            </w:tcBorders>
            <w:vAlign w:val="bottom"/>
          </w:tcPr>
          <w:p w:rsidR="00AA1535" w:rsidRPr="00D15EDB" w:rsidRDefault="00AA1535" w:rsidP="00362911">
            <w:pPr>
              <w:spacing w:after="0" w:line="240" w:lineRule="auto"/>
              <w:jc w:val="center"/>
              <w:rPr>
                <w:rFonts w:ascii="Times New Roman" w:eastAsia="Times New Roman" w:hAnsi="Times New Roman"/>
                <w:sz w:val="26"/>
                <w:szCs w:val="26"/>
                <w:lang w:eastAsia="lv-LV"/>
              </w:rPr>
            </w:pPr>
            <w:r w:rsidRPr="00D15EDB">
              <w:rPr>
                <w:rFonts w:ascii="Times New Roman" w:eastAsia="Times New Roman" w:hAnsi="Times New Roman"/>
                <w:sz w:val="26"/>
                <w:szCs w:val="26"/>
                <w:lang w:eastAsia="lv-LV"/>
              </w:rPr>
              <w:t>2027</w:t>
            </w:r>
          </w:p>
        </w:tc>
        <w:tc>
          <w:tcPr>
            <w:tcW w:w="2126" w:type="dxa"/>
            <w:tcBorders>
              <w:top w:val="nil"/>
              <w:left w:val="nil"/>
              <w:bottom w:val="single" w:sz="4" w:space="0" w:color="auto"/>
              <w:right w:val="single" w:sz="4" w:space="0" w:color="auto"/>
            </w:tcBorders>
            <w:vAlign w:val="bottom"/>
          </w:tcPr>
          <w:p w:rsidR="00AA1535" w:rsidRPr="00D15EDB" w:rsidRDefault="00AA1535" w:rsidP="00362911">
            <w:pPr>
              <w:spacing w:after="0" w:line="240" w:lineRule="auto"/>
              <w:jc w:val="center"/>
              <w:rPr>
                <w:rFonts w:ascii="Times New Roman" w:eastAsia="Times New Roman" w:hAnsi="Times New Roman"/>
                <w:sz w:val="26"/>
                <w:szCs w:val="26"/>
                <w:lang w:eastAsia="lv-LV"/>
              </w:rPr>
            </w:pPr>
            <w:r w:rsidRPr="00D15EDB">
              <w:rPr>
                <w:rFonts w:ascii="Times New Roman" w:eastAsia="Times New Roman" w:hAnsi="Times New Roman"/>
                <w:sz w:val="26"/>
                <w:szCs w:val="26"/>
                <w:lang w:eastAsia="lv-LV"/>
              </w:rPr>
              <w:t>52</w:t>
            </w:r>
          </w:p>
        </w:tc>
      </w:tr>
      <w:tr w:rsidR="00AA1535" w:rsidRPr="00D15EDB" w:rsidTr="00362911">
        <w:trPr>
          <w:trHeight w:val="300"/>
          <w:jc w:val="center"/>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AA1535" w:rsidRPr="00D15EDB" w:rsidRDefault="00AA1535" w:rsidP="00362911">
            <w:pPr>
              <w:spacing w:after="0" w:line="240" w:lineRule="auto"/>
              <w:jc w:val="right"/>
              <w:rPr>
                <w:rFonts w:ascii="Times New Roman" w:eastAsia="Times New Roman" w:hAnsi="Times New Roman"/>
                <w:sz w:val="26"/>
                <w:szCs w:val="26"/>
                <w:lang w:eastAsia="lv-LV"/>
              </w:rPr>
            </w:pPr>
            <w:r w:rsidRPr="00D15EDB">
              <w:rPr>
                <w:rFonts w:ascii="Times New Roman" w:eastAsia="Times New Roman" w:hAnsi="Times New Roman"/>
                <w:sz w:val="26"/>
                <w:szCs w:val="26"/>
                <w:lang w:eastAsia="lv-LV"/>
              </w:rPr>
              <w:t>2018</w:t>
            </w:r>
          </w:p>
        </w:tc>
        <w:tc>
          <w:tcPr>
            <w:tcW w:w="2161" w:type="dxa"/>
            <w:tcBorders>
              <w:top w:val="nil"/>
              <w:left w:val="nil"/>
              <w:bottom w:val="single" w:sz="4" w:space="0" w:color="auto"/>
              <w:right w:val="single" w:sz="4" w:space="0" w:color="auto"/>
            </w:tcBorders>
            <w:shd w:val="clear" w:color="auto" w:fill="auto"/>
            <w:noWrap/>
            <w:vAlign w:val="bottom"/>
            <w:hideMark/>
          </w:tcPr>
          <w:p w:rsidR="00AA1535" w:rsidRPr="00D15EDB" w:rsidRDefault="00AA1535" w:rsidP="00362911">
            <w:pPr>
              <w:spacing w:after="0" w:line="240" w:lineRule="auto"/>
              <w:jc w:val="center"/>
              <w:rPr>
                <w:rFonts w:ascii="Times New Roman" w:eastAsia="Times New Roman" w:hAnsi="Times New Roman"/>
                <w:sz w:val="26"/>
                <w:szCs w:val="26"/>
                <w:lang w:eastAsia="lv-LV"/>
              </w:rPr>
            </w:pPr>
            <w:r w:rsidRPr="00D15EDB">
              <w:rPr>
                <w:rFonts w:ascii="Times New Roman" w:eastAsia="Times New Roman" w:hAnsi="Times New Roman"/>
                <w:sz w:val="26"/>
                <w:szCs w:val="26"/>
                <w:lang w:eastAsia="lv-LV"/>
              </w:rPr>
              <w:t>6</w:t>
            </w:r>
          </w:p>
        </w:tc>
        <w:tc>
          <w:tcPr>
            <w:tcW w:w="818" w:type="dxa"/>
            <w:tcBorders>
              <w:top w:val="nil"/>
              <w:left w:val="nil"/>
              <w:bottom w:val="single" w:sz="4" w:space="0" w:color="auto"/>
              <w:right w:val="single" w:sz="4" w:space="0" w:color="auto"/>
            </w:tcBorders>
            <w:vAlign w:val="bottom"/>
          </w:tcPr>
          <w:p w:rsidR="00AA1535" w:rsidRPr="00D15EDB" w:rsidRDefault="00AA1535" w:rsidP="00362911">
            <w:pPr>
              <w:spacing w:after="0" w:line="240" w:lineRule="auto"/>
              <w:jc w:val="center"/>
              <w:rPr>
                <w:rFonts w:ascii="Times New Roman" w:eastAsia="Times New Roman" w:hAnsi="Times New Roman"/>
                <w:sz w:val="26"/>
                <w:szCs w:val="26"/>
                <w:lang w:eastAsia="lv-LV"/>
              </w:rPr>
            </w:pPr>
            <w:r w:rsidRPr="00D15EDB">
              <w:rPr>
                <w:rFonts w:ascii="Times New Roman" w:eastAsia="Times New Roman" w:hAnsi="Times New Roman"/>
                <w:sz w:val="26"/>
                <w:szCs w:val="26"/>
                <w:lang w:eastAsia="lv-LV"/>
              </w:rPr>
              <w:t>2028</w:t>
            </w:r>
          </w:p>
        </w:tc>
        <w:tc>
          <w:tcPr>
            <w:tcW w:w="2126" w:type="dxa"/>
            <w:tcBorders>
              <w:top w:val="nil"/>
              <w:left w:val="nil"/>
              <w:bottom w:val="single" w:sz="4" w:space="0" w:color="auto"/>
              <w:right w:val="single" w:sz="4" w:space="0" w:color="auto"/>
            </w:tcBorders>
            <w:vAlign w:val="bottom"/>
          </w:tcPr>
          <w:p w:rsidR="00AA1535" w:rsidRPr="00D15EDB" w:rsidRDefault="00AA1535" w:rsidP="00362911">
            <w:pPr>
              <w:spacing w:after="0" w:line="240" w:lineRule="auto"/>
              <w:jc w:val="center"/>
              <w:rPr>
                <w:rFonts w:ascii="Times New Roman" w:eastAsia="Times New Roman" w:hAnsi="Times New Roman"/>
                <w:sz w:val="26"/>
                <w:szCs w:val="26"/>
                <w:lang w:eastAsia="lv-LV"/>
              </w:rPr>
            </w:pPr>
            <w:r w:rsidRPr="00D15EDB">
              <w:rPr>
                <w:rFonts w:ascii="Times New Roman" w:eastAsia="Times New Roman" w:hAnsi="Times New Roman"/>
                <w:sz w:val="26"/>
                <w:szCs w:val="26"/>
                <w:lang w:eastAsia="lv-LV"/>
              </w:rPr>
              <w:t>46</w:t>
            </w:r>
          </w:p>
        </w:tc>
      </w:tr>
      <w:tr w:rsidR="00AA1535" w:rsidRPr="00D15EDB" w:rsidTr="00362911">
        <w:trPr>
          <w:trHeight w:val="300"/>
          <w:jc w:val="center"/>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AA1535" w:rsidRPr="00D15EDB" w:rsidRDefault="00AA1535" w:rsidP="00362911">
            <w:pPr>
              <w:spacing w:after="0" w:line="240" w:lineRule="auto"/>
              <w:jc w:val="right"/>
              <w:rPr>
                <w:rFonts w:ascii="Times New Roman" w:eastAsia="Times New Roman" w:hAnsi="Times New Roman"/>
                <w:sz w:val="26"/>
                <w:szCs w:val="26"/>
                <w:lang w:eastAsia="lv-LV"/>
              </w:rPr>
            </w:pPr>
            <w:r w:rsidRPr="00D15EDB">
              <w:rPr>
                <w:rFonts w:ascii="Times New Roman" w:eastAsia="Times New Roman" w:hAnsi="Times New Roman"/>
                <w:sz w:val="26"/>
                <w:szCs w:val="26"/>
                <w:lang w:eastAsia="lv-LV"/>
              </w:rPr>
              <w:t>2019</w:t>
            </w:r>
          </w:p>
        </w:tc>
        <w:tc>
          <w:tcPr>
            <w:tcW w:w="2161" w:type="dxa"/>
            <w:tcBorders>
              <w:top w:val="nil"/>
              <w:left w:val="nil"/>
              <w:bottom w:val="single" w:sz="4" w:space="0" w:color="auto"/>
              <w:right w:val="single" w:sz="4" w:space="0" w:color="auto"/>
            </w:tcBorders>
            <w:shd w:val="clear" w:color="auto" w:fill="auto"/>
            <w:noWrap/>
            <w:vAlign w:val="bottom"/>
            <w:hideMark/>
          </w:tcPr>
          <w:p w:rsidR="00AA1535" w:rsidRPr="00D15EDB" w:rsidRDefault="00AA1535" w:rsidP="00362911">
            <w:pPr>
              <w:spacing w:after="0" w:line="240" w:lineRule="auto"/>
              <w:jc w:val="center"/>
              <w:rPr>
                <w:rFonts w:ascii="Times New Roman" w:eastAsia="Times New Roman" w:hAnsi="Times New Roman"/>
                <w:sz w:val="26"/>
                <w:szCs w:val="26"/>
                <w:lang w:eastAsia="lv-LV"/>
              </w:rPr>
            </w:pPr>
            <w:r w:rsidRPr="00D15EDB">
              <w:rPr>
                <w:rFonts w:ascii="Times New Roman" w:eastAsia="Times New Roman" w:hAnsi="Times New Roman"/>
                <w:sz w:val="26"/>
                <w:szCs w:val="26"/>
                <w:lang w:eastAsia="lv-LV"/>
              </w:rPr>
              <w:t>10</w:t>
            </w:r>
          </w:p>
        </w:tc>
        <w:tc>
          <w:tcPr>
            <w:tcW w:w="818" w:type="dxa"/>
            <w:tcBorders>
              <w:top w:val="nil"/>
              <w:left w:val="nil"/>
              <w:bottom w:val="single" w:sz="4" w:space="0" w:color="auto"/>
              <w:right w:val="single" w:sz="4" w:space="0" w:color="auto"/>
            </w:tcBorders>
            <w:vAlign w:val="bottom"/>
          </w:tcPr>
          <w:p w:rsidR="00AA1535" w:rsidRPr="00D15EDB" w:rsidRDefault="00AA1535" w:rsidP="00362911">
            <w:pPr>
              <w:spacing w:after="0" w:line="240" w:lineRule="auto"/>
              <w:jc w:val="center"/>
              <w:rPr>
                <w:rFonts w:ascii="Times New Roman" w:eastAsia="Times New Roman" w:hAnsi="Times New Roman"/>
                <w:sz w:val="26"/>
                <w:szCs w:val="26"/>
                <w:lang w:eastAsia="lv-LV"/>
              </w:rPr>
            </w:pPr>
            <w:r w:rsidRPr="00D15EDB">
              <w:rPr>
                <w:rFonts w:ascii="Times New Roman" w:eastAsia="Times New Roman" w:hAnsi="Times New Roman"/>
                <w:sz w:val="26"/>
                <w:szCs w:val="26"/>
                <w:lang w:eastAsia="lv-LV"/>
              </w:rPr>
              <w:t>2029</w:t>
            </w:r>
          </w:p>
        </w:tc>
        <w:tc>
          <w:tcPr>
            <w:tcW w:w="2126" w:type="dxa"/>
            <w:tcBorders>
              <w:top w:val="nil"/>
              <w:left w:val="nil"/>
              <w:bottom w:val="single" w:sz="4" w:space="0" w:color="auto"/>
              <w:right w:val="single" w:sz="4" w:space="0" w:color="auto"/>
            </w:tcBorders>
            <w:vAlign w:val="bottom"/>
          </w:tcPr>
          <w:p w:rsidR="00AA1535" w:rsidRPr="00D15EDB" w:rsidRDefault="00AA1535" w:rsidP="00362911">
            <w:pPr>
              <w:spacing w:after="0" w:line="240" w:lineRule="auto"/>
              <w:jc w:val="center"/>
              <w:rPr>
                <w:rFonts w:ascii="Times New Roman" w:eastAsia="Times New Roman" w:hAnsi="Times New Roman"/>
                <w:sz w:val="26"/>
                <w:szCs w:val="26"/>
                <w:lang w:eastAsia="lv-LV"/>
              </w:rPr>
            </w:pPr>
            <w:r w:rsidRPr="00D15EDB">
              <w:rPr>
                <w:rFonts w:ascii="Times New Roman" w:eastAsia="Times New Roman" w:hAnsi="Times New Roman"/>
                <w:sz w:val="26"/>
                <w:szCs w:val="26"/>
                <w:lang w:eastAsia="lv-LV"/>
              </w:rPr>
              <w:t>44</w:t>
            </w:r>
          </w:p>
        </w:tc>
      </w:tr>
      <w:tr w:rsidR="00AA1535" w:rsidRPr="00D15EDB" w:rsidTr="00362911">
        <w:trPr>
          <w:trHeight w:val="300"/>
          <w:jc w:val="center"/>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AA1535" w:rsidRPr="00D15EDB" w:rsidRDefault="00AA1535" w:rsidP="00362911">
            <w:pPr>
              <w:spacing w:after="0" w:line="240" w:lineRule="auto"/>
              <w:jc w:val="right"/>
              <w:rPr>
                <w:rFonts w:ascii="Times New Roman" w:eastAsia="Times New Roman" w:hAnsi="Times New Roman"/>
                <w:sz w:val="26"/>
                <w:szCs w:val="26"/>
                <w:lang w:eastAsia="lv-LV"/>
              </w:rPr>
            </w:pPr>
            <w:r w:rsidRPr="00D15EDB">
              <w:rPr>
                <w:rFonts w:ascii="Times New Roman" w:eastAsia="Times New Roman" w:hAnsi="Times New Roman"/>
                <w:sz w:val="26"/>
                <w:szCs w:val="26"/>
                <w:lang w:eastAsia="lv-LV"/>
              </w:rPr>
              <w:t>2020</w:t>
            </w:r>
          </w:p>
        </w:tc>
        <w:tc>
          <w:tcPr>
            <w:tcW w:w="2161" w:type="dxa"/>
            <w:tcBorders>
              <w:top w:val="nil"/>
              <w:left w:val="nil"/>
              <w:bottom w:val="single" w:sz="4" w:space="0" w:color="auto"/>
              <w:right w:val="single" w:sz="4" w:space="0" w:color="auto"/>
            </w:tcBorders>
            <w:shd w:val="clear" w:color="auto" w:fill="auto"/>
            <w:noWrap/>
            <w:vAlign w:val="bottom"/>
            <w:hideMark/>
          </w:tcPr>
          <w:p w:rsidR="00AA1535" w:rsidRPr="00D15EDB" w:rsidRDefault="00AA1535" w:rsidP="00362911">
            <w:pPr>
              <w:spacing w:after="0" w:line="240" w:lineRule="auto"/>
              <w:jc w:val="center"/>
              <w:rPr>
                <w:rFonts w:ascii="Times New Roman" w:eastAsia="Times New Roman" w:hAnsi="Times New Roman"/>
                <w:sz w:val="26"/>
                <w:szCs w:val="26"/>
                <w:lang w:eastAsia="lv-LV"/>
              </w:rPr>
            </w:pPr>
            <w:r w:rsidRPr="00D15EDB">
              <w:rPr>
                <w:rFonts w:ascii="Times New Roman" w:eastAsia="Times New Roman" w:hAnsi="Times New Roman"/>
                <w:sz w:val="26"/>
                <w:szCs w:val="26"/>
                <w:lang w:eastAsia="lv-LV"/>
              </w:rPr>
              <w:t>9</w:t>
            </w:r>
          </w:p>
        </w:tc>
        <w:tc>
          <w:tcPr>
            <w:tcW w:w="818" w:type="dxa"/>
            <w:tcBorders>
              <w:top w:val="nil"/>
              <w:left w:val="nil"/>
              <w:bottom w:val="single" w:sz="4" w:space="0" w:color="auto"/>
              <w:right w:val="single" w:sz="4" w:space="0" w:color="auto"/>
            </w:tcBorders>
            <w:vAlign w:val="bottom"/>
          </w:tcPr>
          <w:p w:rsidR="00AA1535" w:rsidRPr="00D15EDB" w:rsidRDefault="00AA1535" w:rsidP="00362911">
            <w:pPr>
              <w:spacing w:after="0" w:line="240" w:lineRule="auto"/>
              <w:jc w:val="center"/>
              <w:rPr>
                <w:rFonts w:ascii="Times New Roman" w:eastAsia="Times New Roman" w:hAnsi="Times New Roman"/>
                <w:sz w:val="26"/>
                <w:szCs w:val="26"/>
                <w:lang w:eastAsia="lv-LV"/>
              </w:rPr>
            </w:pPr>
            <w:r w:rsidRPr="00D15EDB">
              <w:rPr>
                <w:rFonts w:ascii="Times New Roman" w:eastAsia="Times New Roman" w:hAnsi="Times New Roman"/>
                <w:sz w:val="26"/>
                <w:szCs w:val="26"/>
                <w:lang w:eastAsia="lv-LV"/>
              </w:rPr>
              <w:t>2030</w:t>
            </w:r>
          </w:p>
        </w:tc>
        <w:tc>
          <w:tcPr>
            <w:tcW w:w="2126" w:type="dxa"/>
            <w:tcBorders>
              <w:top w:val="nil"/>
              <w:left w:val="nil"/>
              <w:bottom w:val="single" w:sz="4" w:space="0" w:color="auto"/>
              <w:right w:val="single" w:sz="4" w:space="0" w:color="auto"/>
            </w:tcBorders>
            <w:vAlign w:val="bottom"/>
          </w:tcPr>
          <w:p w:rsidR="00AA1535" w:rsidRPr="00D15EDB" w:rsidRDefault="00AA1535" w:rsidP="00362911">
            <w:pPr>
              <w:spacing w:after="0" w:line="240" w:lineRule="auto"/>
              <w:jc w:val="center"/>
              <w:rPr>
                <w:rFonts w:ascii="Times New Roman" w:eastAsia="Times New Roman" w:hAnsi="Times New Roman"/>
                <w:sz w:val="26"/>
                <w:szCs w:val="26"/>
                <w:lang w:eastAsia="lv-LV"/>
              </w:rPr>
            </w:pPr>
            <w:r w:rsidRPr="00D15EDB">
              <w:rPr>
                <w:rFonts w:ascii="Times New Roman" w:eastAsia="Times New Roman" w:hAnsi="Times New Roman"/>
                <w:sz w:val="26"/>
                <w:szCs w:val="26"/>
                <w:lang w:eastAsia="lv-LV"/>
              </w:rPr>
              <w:t>21</w:t>
            </w:r>
          </w:p>
        </w:tc>
      </w:tr>
      <w:tr w:rsidR="00AA1535" w:rsidRPr="00D15EDB" w:rsidTr="00362911">
        <w:trPr>
          <w:trHeight w:val="300"/>
          <w:jc w:val="center"/>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AA1535" w:rsidRPr="00D15EDB" w:rsidRDefault="00AA1535" w:rsidP="00362911">
            <w:pPr>
              <w:spacing w:after="0" w:line="240" w:lineRule="auto"/>
              <w:jc w:val="right"/>
              <w:rPr>
                <w:rFonts w:ascii="Times New Roman" w:eastAsia="Times New Roman" w:hAnsi="Times New Roman"/>
                <w:sz w:val="26"/>
                <w:szCs w:val="26"/>
                <w:lang w:eastAsia="lv-LV"/>
              </w:rPr>
            </w:pPr>
            <w:r w:rsidRPr="00D15EDB">
              <w:rPr>
                <w:rFonts w:ascii="Times New Roman" w:eastAsia="Times New Roman" w:hAnsi="Times New Roman"/>
                <w:sz w:val="26"/>
                <w:szCs w:val="26"/>
                <w:lang w:eastAsia="lv-LV"/>
              </w:rPr>
              <w:t>2021</w:t>
            </w:r>
          </w:p>
        </w:tc>
        <w:tc>
          <w:tcPr>
            <w:tcW w:w="2161" w:type="dxa"/>
            <w:tcBorders>
              <w:top w:val="nil"/>
              <w:left w:val="nil"/>
              <w:bottom w:val="single" w:sz="4" w:space="0" w:color="auto"/>
              <w:right w:val="single" w:sz="4" w:space="0" w:color="auto"/>
            </w:tcBorders>
            <w:shd w:val="clear" w:color="auto" w:fill="auto"/>
            <w:noWrap/>
            <w:vAlign w:val="bottom"/>
            <w:hideMark/>
          </w:tcPr>
          <w:p w:rsidR="00AA1535" w:rsidRPr="00D15EDB" w:rsidRDefault="00AA1535" w:rsidP="00362911">
            <w:pPr>
              <w:spacing w:after="0" w:line="240" w:lineRule="auto"/>
              <w:jc w:val="center"/>
              <w:rPr>
                <w:rFonts w:ascii="Times New Roman" w:eastAsia="Times New Roman" w:hAnsi="Times New Roman"/>
                <w:sz w:val="26"/>
                <w:szCs w:val="26"/>
                <w:lang w:eastAsia="lv-LV"/>
              </w:rPr>
            </w:pPr>
            <w:r w:rsidRPr="00D15EDB">
              <w:rPr>
                <w:rFonts w:ascii="Times New Roman" w:eastAsia="Times New Roman" w:hAnsi="Times New Roman"/>
                <w:sz w:val="26"/>
                <w:szCs w:val="26"/>
                <w:lang w:eastAsia="lv-LV"/>
              </w:rPr>
              <w:t>11</w:t>
            </w:r>
          </w:p>
        </w:tc>
        <w:tc>
          <w:tcPr>
            <w:tcW w:w="818" w:type="dxa"/>
            <w:tcBorders>
              <w:top w:val="nil"/>
              <w:left w:val="nil"/>
              <w:bottom w:val="single" w:sz="4" w:space="0" w:color="auto"/>
              <w:right w:val="single" w:sz="4" w:space="0" w:color="auto"/>
            </w:tcBorders>
            <w:vAlign w:val="bottom"/>
          </w:tcPr>
          <w:p w:rsidR="00AA1535" w:rsidRPr="00D15EDB" w:rsidRDefault="00AA1535" w:rsidP="00362911">
            <w:pPr>
              <w:spacing w:after="0" w:line="240" w:lineRule="auto"/>
              <w:jc w:val="center"/>
              <w:rPr>
                <w:rFonts w:ascii="Times New Roman" w:eastAsia="Times New Roman" w:hAnsi="Times New Roman"/>
                <w:sz w:val="26"/>
                <w:szCs w:val="26"/>
                <w:lang w:eastAsia="lv-LV"/>
              </w:rPr>
            </w:pPr>
            <w:r w:rsidRPr="00D15EDB">
              <w:rPr>
                <w:rFonts w:ascii="Times New Roman" w:eastAsia="Times New Roman" w:hAnsi="Times New Roman"/>
                <w:sz w:val="26"/>
                <w:szCs w:val="26"/>
                <w:lang w:eastAsia="lv-LV"/>
              </w:rPr>
              <w:t>2031</w:t>
            </w:r>
          </w:p>
        </w:tc>
        <w:tc>
          <w:tcPr>
            <w:tcW w:w="2126" w:type="dxa"/>
            <w:tcBorders>
              <w:top w:val="nil"/>
              <w:left w:val="nil"/>
              <w:bottom w:val="single" w:sz="4" w:space="0" w:color="auto"/>
              <w:right w:val="single" w:sz="4" w:space="0" w:color="auto"/>
            </w:tcBorders>
            <w:vAlign w:val="bottom"/>
          </w:tcPr>
          <w:p w:rsidR="00AA1535" w:rsidRPr="00D15EDB" w:rsidRDefault="00AA1535" w:rsidP="00362911">
            <w:pPr>
              <w:spacing w:after="0" w:line="240" w:lineRule="auto"/>
              <w:jc w:val="center"/>
              <w:rPr>
                <w:rFonts w:ascii="Times New Roman" w:eastAsia="Times New Roman" w:hAnsi="Times New Roman"/>
                <w:sz w:val="26"/>
                <w:szCs w:val="26"/>
                <w:lang w:eastAsia="lv-LV"/>
              </w:rPr>
            </w:pPr>
            <w:r w:rsidRPr="00D15EDB">
              <w:rPr>
                <w:rFonts w:ascii="Times New Roman" w:eastAsia="Times New Roman" w:hAnsi="Times New Roman"/>
                <w:sz w:val="26"/>
                <w:szCs w:val="26"/>
                <w:lang w:eastAsia="lv-LV"/>
              </w:rPr>
              <w:t>26</w:t>
            </w:r>
          </w:p>
        </w:tc>
      </w:tr>
      <w:tr w:rsidR="00AA1535" w:rsidRPr="00D15EDB" w:rsidTr="00362911">
        <w:trPr>
          <w:trHeight w:val="300"/>
          <w:jc w:val="center"/>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AA1535" w:rsidRPr="00D15EDB" w:rsidRDefault="00AA1535" w:rsidP="00362911">
            <w:pPr>
              <w:spacing w:after="0" w:line="240" w:lineRule="auto"/>
              <w:jc w:val="right"/>
              <w:rPr>
                <w:rFonts w:ascii="Times New Roman" w:eastAsia="Times New Roman" w:hAnsi="Times New Roman"/>
                <w:sz w:val="26"/>
                <w:szCs w:val="26"/>
                <w:lang w:eastAsia="lv-LV"/>
              </w:rPr>
            </w:pPr>
            <w:r w:rsidRPr="00D15EDB">
              <w:rPr>
                <w:rFonts w:ascii="Times New Roman" w:eastAsia="Times New Roman" w:hAnsi="Times New Roman"/>
                <w:sz w:val="26"/>
                <w:szCs w:val="26"/>
                <w:lang w:eastAsia="lv-LV"/>
              </w:rPr>
              <w:t>2022</w:t>
            </w:r>
          </w:p>
        </w:tc>
        <w:tc>
          <w:tcPr>
            <w:tcW w:w="2161" w:type="dxa"/>
            <w:tcBorders>
              <w:top w:val="nil"/>
              <w:left w:val="nil"/>
              <w:bottom w:val="single" w:sz="4" w:space="0" w:color="auto"/>
              <w:right w:val="single" w:sz="4" w:space="0" w:color="auto"/>
            </w:tcBorders>
            <w:shd w:val="clear" w:color="auto" w:fill="auto"/>
            <w:noWrap/>
            <w:vAlign w:val="bottom"/>
            <w:hideMark/>
          </w:tcPr>
          <w:p w:rsidR="00AA1535" w:rsidRPr="00D15EDB" w:rsidRDefault="00AA1535" w:rsidP="00362911">
            <w:pPr>
              <w:spacing w:after="0" w:line="240" w:lineRule="auto"/>
              <w:jc w:val="center"/>
              <w:rPr>
                <w:rFonts w:ascii="Times New Roman" w:eastAsia="Times New Roman" w:hAnsi="Times New Roman"/>
                <w:sz w:val="26"/>
                <w:szCs w:val="26"/>
                <w:lang w:eastAsia="lv-LV"/>
              </w:rPr>
            </w:pPr>
            <w:r w:rsidRPr="00D15EDB">
              <w:rPr>
                <w:rFonts w:ascii="Times New Roman" w:eastAsia="Times New Roman" w:hAnsi="Times New Roman"/>
                <w:sz w:val="26"/>
                <w:szCs w:val="26"/>
                <w:lang w:eastAsia="lv-LV"/>
              </w:rPr>
              <w:t>47</w:t>
            </w:r>
          </w:p>
        </w:tc>
        <w:tc>
          <w:tcPr>
            <w:tcW w:w="818" w:type="dxa"/>
            <w:tcBorders>
              <w:top w:val="nil"/>
              <w:left w:val="nil"/>
              <w:bottom w:val="single" w:sz="4" w:space="0" w:color="auto"/>
              <w:right w:val="single" w:sz="4" w:space="0" w:color="auto"/>
            </w:tcBorders>
            <w:vAlign w:val="bottom"/>
          </w:tcPr>
          <w:p w:rsidR="00AA1535" w:rsidRPr="00D15EDB" w:rsidRDefault="00AA1535" w:rsidP="00362911">
            <w:pPr>
              <w:spacing w:after="0" w:line="240" w:lineRule="auto"/>
              <w:jc w:val="center"/>
              <w:rPr>
                <w:rFonts w:ascii="Times New Roman" w:eastAsia="Times New Roman" w:hAnsi="Times New Roman"/>
                <w:sz w:val="26"/>
                <w:szCs w:val="26"/>
                <w:lang w:eastAsia="lv-LV"/>
              </w:rPr>
            </w:pPr>
            <w:r w:rsidRPr="00D15EDB">
              <w:rPr>
                <w:rFonts w:ascii="Times New Roman" w:eastAsia="Times New Roman" w:hAnsi="Times New Roman"/>
                <w:sz w:val="26"/>
                <w:szCs w:val="26"/>
                <w:lang w:eastAsia="lv-LV"/>
              </w:rPr>
              <w:t>2032</w:t>
            </w:r>
          </w:p>
        </w:tc>
        <w:tc>
          <w:tcPr>
            <w:tcW w:w="2126" w:type="dxa"/>
            <w:tcBorders>
              <w:top w:val="nil"/>
              <w:left w:val="nil"/>
              <w:bottom w:val="single" w:sz="4" w:space="0" w:color="auto"/>
              <w:right w:val="single" w:sz="4" w:space="0" w:color="auto"/>
            </w:tcBorders>
            <w:vAlign w:val="bottom"/>
          </w:tcPr>
          <w:p w:rsidR="00AA1535" w:rsidRPr="00D15EDB" w:rsidRDefault="00AA1535" w:rsidP="00362911">
            <w:pPr>
              <w:spacing w:after="0" w:line="240" w:lineRule="auto"/>
              <w:jc w:val="center"/>
              <w:rPr>
                <w:rFonts w:ascii="Times New Roman" w:eastAsia="Times New Roman" w:hAnsi="Times New Roman"/>
                <w:sz w:val="26"/>
                <w:szCs w:val="26"/>
                <w:lang w:eastAsia="lv-LV"/>
              </w:rPr>
            </w:pPr>
            <w:r w:rsidRPr="00D15EDB">
              <w:rPr>
                <w:rFonts w:ascii="Times New Roman" w:eastAsia="Times New Roman" w:hAnsi="Times New Roman"/>
                <w:sz w:val="26"/>
                <w:szCs w:val="26"/>
                <w:lang w:eastAsia="lv-LV"/>
              </w:rPr>
              <w:t>30</w:t>
            </w:r>
          </w:p>
        </w:tc>
      </w:tr>
      <w:tr w:rsidR="00AA1535" w:rsidRPr="00D15EDB" w:rsidTr="00362911">
        <w:trPr>
          <w:trHeight w:val="300"/>
          <w:jc w:val="center"/>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AA1535" w:rsidRPr="00D15EDB" w:rsidRDefault="00AA1535" w:rsidP="00362911">
            <w:pPr>
              <w:spacing w:after="0" w:line="240" w:lineRule="auto"/>
              <w:jc w:val="right"/>
              <w:rPr>
                <w:rFonts w:ascii="Times New Roman" w:eastAsia="Times New Roman" w:hAnsi="Times New Roman"/>
                <w:sz w:val="26"/>
                <w:szCs w:val="26"/>
                <w:lang w:eastAsia="lv-LV"/>
              </w:rPr>
            </w:pPr>
            <w:r w:rsidRPr="00D15EDB">
              <w:rPr>
                <w:rFonts w:ascii="Times New Roman" w:eastAsia="Times New Roman" w:hAnsi="Times New Roman"/>
                <w:sz w:val="26"/>
                <w:szCs w:val="26"/>
                <w:lang w:eastAsia="lv-LV"/>
              </w:rPr>
              <w:t>2023</w:t>
            </w:r>
          </w:p>
        </w:tc>
        <w:tc>
          <w:tcPr>
            <w:tcW w:w="2161" w:type="dxa"/>
            <w:tcBorders>
              <w:top w:val="nil"/>
              <w:left w:val="nil"/>
              <w:bottom w:val="single" w:sz="4" w:space="0" w:color="auto"/>
              <w:right w:val="single" w:sz="4" w:space="0" w:color="auto"/>
            </w:tcBorders>
            <w:shd w:val="clear" w:color="auto" w:fill="auto"/>
            <w:noWrap/>
            <w:vAlign w:val="bottom"/>
            <w:hideMark/>
          </w:tcPr>
          <w:p w:rsidR="00AA1535" w:rsidRPr="00D15EDB" w:rsidRDefault="00AA1535" w:rsidP="00362911">
            <w:pPr>
              <w:spacing w:after="0" w:line="240" w:lineRule="auto"/>
              <w:jc w:val="center"/>
              <w:rPr>
                <w:rFonts w:ascii="Times New Roman" w:eastAsia="Times New Roman" w:hAnsi="Times New Roman"/>
                <w:sz w:val="26"/>
                <w:szCs w:val="26"/>
                <w:lang w:eastAsia="lv-LV"/>
              </w:rPr>
            </w:pPr>
            <w:r w:rsidRPr="00D15EDB">
              <w:rPr>
                <w:rFonts w:ascii="Times New Roman" w:eastAsia="Times New Roman" w:hAnsi="Times New Roman"/>
                <w:sz w:val="26"/>
                <w:szCs w:val="26"/>
                <w:lang w:eastAsia="lv-LV"/>
              </w:rPr>
              <w:t>25</w:t>
            </w:r>
          </w:p>
        </w:tc>
        <w:tc>
          <w:tcPr>
            <w:tcW w:w="818" w:type="dxa"/>
            <w:tcBorders>
              <w:top w:val="nil"/>
              <w:left w:val="nil"/>
              <w:bottom w:val="single" w:sz="4" w:space="0" w:color="auto"/>
              <w:right w:val="single" w:sz="4" w:space="0" w:color="auto"/>
            </w:tcBorders>
            <w:vAlign w:val="bottom"/>
          </w:tcPr>
          <w:p w:rsidR="00AA1535" w:rsidRPr="00D15EDB" w:rsidRDefault="00AA1535" w:rsidP="00362911">
            <w:pPr>
              <w:spacing w:after="0" w:line="240" w:lineRule="auto"/>
              <w:jc w:val="center"/>
              <w:rPr>
                <w:rFonts w:ascii="Times New Roman" w:eastAsia="Times New Roman" w:hAnsi="Times New Roman"/>
                <w:sz w:val="26"/>
                <w:szCs w:val="26"/>
                <w:lang w:eastAsia="lv-LV"/>
              </w:rPr>
            </w:pPr>
            <w:r w:rsidRPr="00D15EDB">
              <w:rPr>
                <w:rFonts w:ascii="Times New Roman" w:eastAsia="Times New Roman" w:hAnsi="Times New Roman"/>
                <w:sz w:val="26"/>
                <w:szCs w:val="26"/>
                <w:lang w:eastAsia="lv-LV"/>
              </w:rPr>
              <w:t>2033</w:t>
            </w:r>
          </w:p>
        </w:tc>
        <w:tc>
          <w:tcPr>
            <w:tcW w:w="2126" w:type="dxa"/>
            <w:tcBorders>
              <w:top w:val="nil"/>
              <w:left w:val="nil"/>
              <w:bottom w:val="single" w:sz="4" w:space="0" w:color="auto"/>
              <w:right w:val="single" w:sz="4" w:space="0" w:color="auto"/>
            </w:tcBorders>
            <w:vAlign w:val="bottom"/>
          </w:tcPr>
          <w:p w:rsidR="00AA1535" w:rsidRPr="00D15EDB" w:rsidRDefault="00AA1535" w:rsidP="00362911">
            <w:pPr>
              <w:spacing w:after="0" w:line="240" w:lineRule="auto"/>
              <w:jc w:val="center"/>
              <w:rPr>
                <w:rFonts w:ascii="Times New Roman" w:eastAsia="Times New Roman" w:hAnsi="Times New Roman"/>
                <w:sz w:val="26"/>
                <w:szCs w:val="26"/>
                <w:lang w:eastAsia="lv-LV"/>
              </w:rPr>
            </w:pPr>
            <w:r w:rsidRPr="00D15EDB">
              <w:rPr>
                <w:rFonts w:ascii="Times New Roman" w:eastAsia="Times New Roman" w:hAnsi="Times New Roman"/>
                <w:sz w:val="26"/>
                <w:szCs w:val="26"/>
                <w:lang w:eastAsia="lv-LV"/>
              </w:rPr>
              <w:t>3</w:t>
            </w:r>
          </w:p>
        </w:tc>
      </w:tr>
      <w:tr w:rsidR="00AA1535" w:rsidRPr="00D15EDB" w:rsidTr="00362911">
        <w:trPr>
          <w:trHeight w:val="300"/>
          <w:jc w:val="center"/>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AA1535" w:rsidRPr="00D15EDB" w:rsidRDefault="00AA1535" w:rsidP="00362911">
            <w:pPr>
              <w:spacing w:after="0" w:line="240" w:lineRule="auto"/>
              <w:jc w:val="right"/>
              <w:rPr>
                <w:rFonts w:ascii="Times New Roman" w:eastAsia="Times New Roman" w:hAnsi="Times New Roman"/>
                <w:sz w:val="26"/>
                <w:szCs w:val="26"/>
                <w:lang w:eastAsia="lv-LV"/>
              </w:rPr>
            </w:pPr>
            <w:r w:rsidRPr="00D15EDB">
              <w:rPr>
                <w:rFonts w:ascii="Times New Roman" w:eastAsia="Times New Roman" w:hAnsi="Times New Roman"/>
                <w:sz w:val="26"/>
                <w:szCs w:val="26"/>
                <w:lang w:eastAsia="lv-LV"/>
              </w:rPr>
              <w:lastRenderedPageBreak/>
              <w:t>2024</w:t>
            </w:r>
          </w:p>
        </w:tc>
        <w:tc>
          <w:tcPr>
            <w:tcW w:w="2161" w:type="dxa"/>
            <w:tcBorders>
              <w:top w:val="nil"/>
              <w:left w:val="nil"/>
              <w:bottom w:val="single" w:sz="4" w:space="0" w:color="auto"/>
              <w:right w:val="single" w:sz="4" w:space="0" w:color="auto"/>
            </w:tcBorders>
            <w:shd w:val="clear" w:color="auto" w:fill="auto"/>
            <w:noWrap/>
            <w:vAlign w:val="bottom"/>
            <w:hideMark/>
          </w:tcPr>
          <w:p w:rsidR="00AA1535" w:rsidRPr="00D15EDB" w:rsidRDefault="00AA1535" w:rsidP="00362911">
            <w:pPr>
              <w:spacing w:after="0" w:line="240" w:lineRule="auto"/>
              <w:jc w:val="center"/>
              <w:rPr>
                <w:rFonts w:ascii="Times New Roman" w:eastAsia="Times New Roman" w:hAnsi="Times New Roman"/>
                <w:sz w:val="26"/>
                <w:szCs w:val="26"/>
                <w:lang w:eastAsia="lv-LV"/>
              </w:rPr>
            </w:pPr>
            <w:r w:rsidRPr="00D15EDB">
              <w:rPr>
                <w:rFonts w:ascii="Times New Roman" w:eastAsia="Times New Roman" w:hAnsi="Times New Roman"/>
                <w:sz w:val="26"/>
                <w:szCs w:val="26"/>
                <w:lang w:eastAsia="lv-LV"/>
              </w:rPr>
              <w:t>17</w:t>
            </w:r>
          </w:p>
        </w:tc>
        <w:tc>
          <w:tcPr>
            <w:tcW w:w="818" w:type="dxa"/>
            <w:tcBorders>
              <w:top w:val="nil"/>
              <w:left w:val="nil"/>
              <w:bottom w:val="single" w:sz="4" w:space="0" w:color="auto"/>
              <w:right w:val="single" w:sz="4" w:space="0" w:color="auto"/>
            </w:tcBorders>
            <w:vAlign w:val="bottom"/>
          </w:tcPr>
          <w:p w:rsidR="00AA1535" w:rsidRPr="00D15EDB" w:rsidRDefault="00AA1535" w:rsidP="00362911">
            <w:pPr>
              <w:spacing w:after="0" w:line="240" w:lineRule="auto"/>
              <w:jc w:val="center"/>
              <w:rPr>
                <w:rFonts w:ascii="Times New Roman" w:eastAsia="Times New Roman" w:hAnsi="Times New Roman"/>
                <w:sz w:val="26"/>
                <w:szCs w:val="26"/>
                <w:lang w:eastAsia="lv-LV"/>
              </w:rPr>
            </w:pPr>
            <w:r w:rsidRPr="00D15EDB">
              <w:rPr>
                <w:rFonts w:ascii="Times New Roman" w:eastAsia="Times New Roman" w:hAnsi="Times New Roman"/>
                <w:sz w:val="26"/>
                <w:szCs w:val="26"/>
                <w:lang w:eastAsia="lv-LV"/>
              </w:rPr>
              <w:t>2034</w:t>
            </w:r>
          </w:p>
        </w:tc>
        <w:tc>
          <w:tcPr>
            <w:tcW w:w="2126" w:type="dxa"/>
            <w:tcBorders>
              <w:top w:val="nil"/>
              <w:left w:val="nil"/>
              <w:bottom w:val="single" w:sz="4" w:space="0" w:color="auto"/>
              <w:right w:val="single" w:sz="4" w:space="0" w:color="auto"/>
            </w:tcBorders>
            <w:vAlign w:val="bottom"/>
          </w:tcPr>
          <w:p w:rsidR="00AA1535" w:rsidRPr="00D15EDB" w:rsidRDefault="00AA1535" w:rsidP="00362911">
            <w:pPr>
              <w:spacing w:after="0" w:line="240" w:lineRule="auto"/>
              <w:jc w:val="center"/>
              <w:rPr>
                <w:rFonts w:ascii="Times New Roman" w:eastAsia="Times New Roman" w:hAnsi="Times New Roman"/>
                <w:sz w:val="26"/>
                <w:szCs w:val="26"/>
                <w:lang w:eastAsia="lv-LV"/>
              </w:rPr>
            </w:pPr>
            <w:r w:rsidRPr="00D15EDB">
              <w:rPr>
                <w:rFonts w:ascii="Times New Roman" w:eastAsia="Times New Roman" w:hAnsi="Times New Roman"/>
                <w:sz w:val="26"/>
                <w:szCs w:val="26"/>
                <w:lang w:eastAsia="lv-LV"/>
              </w:rPr>
              <w:t>0</w:t>
            </w:r>
          </w:p>
        </w:tc>
      </w:tr>
      <w:tr w:rsidR="00AA1535" w:rsidRPr="00D15EDB" w:rsidTr="00362911">
        <w:trPr>
          <w:trHeight w:val="300"/>
          <w:jc w:val="center"/>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AA1535" w:rsidRPr="00D15EDB" w:rsidRDefault="00AA1535" w:rsidP="00362911">
            <w:pPr>
              <w:spacing w:after="0" w:line="240" w:lineRule="auto"/>
              <w:jc w:val="right"/>
              <w:rPr>
                <w:rFonts w:ascii="Times New Roman" w:eastAsia="Times New Roman" w:hAnsi="Times New Roman"/>
                <w:sz w:val="26"/>
                <w:szCs w:val="26"/>
                <w:lang w:eastAsia="lv-LV"/>
              </w:rPr>
            </w:pPr>
            <w:r w:rsidRPr="00D15EDB">
              <w:rPr>
                <w:rFonts w:ascii="Times New Roman" w:eastAsia="Times New Roman" w:hAnsi="Times New Roman"/>
                <w:sz w:val="26"/>
                <w:szCs w:val="26"/>
                <w:lang w:eastAsia="lv-LV"/>
              </w:rPr>
              <w:t>2025</w:t>
            </w:r>
          </w:p>
        </w:tc>
        <w:tc>
          <w:tcPr>
            <w:tcW w:w="2161" w:type="dxa"/>
            <w:tcBorders>
              <w:top w:val="nil"/>
              <w:left w:val="nil"/>
              <w:bottom w:val="single" w:sz="4" w:space="0" w:color="auto"/>
              <w:right w:val="single" w:sz="4" w:space="0" w:color="auto"/>
            </w:tcBorders>
            <w:shd w:val="clear" w:color="auto" w:fill="auto"/>
            <w:noWrap/>
            <w:vAlign w:val="bottom"/>
            <w:hideMark/>
          </w:tcPr>
          <w:p w:rsidR="00AA1535" w:rsidRPr="00D15EDB" w:rsidRDefault="00AA1535" w:rsidP="00362911">
            <w:pPr>
              <w:spacing w:after="0" w:line="240" w:lineRule="auto"/>
              <w:jc w:val="center"/>
              <w:rPr>
                <w:rFonts w:ascii="Times New Roman" w:eastAsia="Times New Roman" w:hAnsi="Times New Roman"/>
                <w:sz w:val="26"/>
                <w:szCs w:val="26"/>
                <w:lang w:eastAsia="lv-LV"/>
              </w:rPr>
            </w:pPr>
            <w:r w:rsidRPr="00D15EDB">
              <w:rPr>
                <w:rFonts w:ascii="Times New Roman" w:eastAsia="Times New Roman" w:hAnsi="Times New Roman"/>
                <w:sz w:val="26"/>
                <w:szCs w:val="26"/>
                <w:lang w:eastAsia="lv-LV"/>
              </w:rPr>
              <w:t>17</w:t>
            </w:r>
          </w:p>
        </w:tc>
        <w:tc>
          <w:tcPr>
            <w:tcW w:w="818" w:type="dxa"/>
            <w:tcBorders>
              <w:top w:val="nil"/>
              <w:left w:val="nil"/>
              <w:bottom w:val="single" w:sz="4" w:space="0" w:color="auto"/>
              <w:right w:val="single" w:sz="4" w:space="0" w:color="auto"/>
            </w:tcBorders>
            <w:vAlign w:val="bottom"/>
          </w:tcPr>
          <w:p w:rsidR="00AA1535" w:rsidRPr="00D15EDB" w:rsidRDefault="00AA1535" w:rsidP="00362911">
            <w:pPr>
              <w:spacing w:after="0" w:line="240" w:lineRule="auto"/>
              <w:jc w:val="center"/>
              <w:rPr>
                <w:rFonts w:ascii="Times New Roman" w:eastAsia="Times New Roman" w:hAnsi="Times New Roman"/>
                <w:sz w:val="26"/>
                <w:szCs w:val="26"/>
                <w:lang w:eastAsia="lv-LV"/>
              </w:rPr>
            </w:pPr>
            <w:r w:rsidRPr="00D15EDB">
              <w:rPr>
                <w:rFonts w:ascii="Times New Roman" w:eastAsia="Times New Roman" w:hAnsi="Times New Roman"/>
                <w:sz w:val="26"/>
                <w:szCs w:val="26"/>
                <w:lang w:eastAsia="lv-LV"/>
              </w:rPr>
              <w:t>2035</w:t>
            </w:r>
          </w:p>
        </w:tc>
        <w:tc>
          <w:tcPr>
            <w:tcW w:w="2126" w:type="dxa"/>
            <w:tcBorders>
              <w:top w:val="nil"/>
              <w:left w:val="nil"/>
              <w:bottom w:val="single" w:sz="4" w:space="0" w:color="auto"/>
              <w:right w:val="single" w:sz="4" w:space="0" w:color="auto"/>
            </w:tcBorders>
            <w:vAlign w:val="bottom"/>
          </w:tcPr>
          <w:p w:rsidR="00AA1535" w:rsidRPr="00D15EDB" w:rsidRDefault="00AA1535" w:rsidP="00362911">
            <w:pPr>
              <w:spacing w:after="0" w:line="240" w:lineRule="auto"/>
              <w:jc w:val="center"/>
              <w:rPr>
                <w:rFonts w:ascii="Times New Roman" w:eastAsia="Times New Roman" w:hAnsi="Times New Roman"/>
                <w:sz w:val="26"/>
                <w:szCs w:val="26"/>
                <w:lang w:eastAsia="lv-LV"/>
              </w:rPr>
            </w:pPr>
            <w:r w:rsidRPr="00D15EDB">
              <w:rPr>
                <w:rFonts w:ascii="Times New Roman" w:eastAsia="Times New Roman" w:hAnsi="Times New Roman"/>
                <w:sz w:val="26"/>
                <w:szCs w:val="26"/>
                <w:lang w:eastAsia="lv-LV"/>
              </w:rPr>
              <w:t>0</w:t>
            </w:r>
          </w:p>
        </w:tc>
      </w:tr>
      <w:tr w:rsidR="00AA1535" w:rsidRPr="00D15EDB" w:rsidTr="00362911">
        <w:trPr>
          <w:trHeight w:val="300"/>
          <w:jc w:val="center"/>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rsidR="00AA1535" w:rsidRPr="00D15EDB" w:rsidRDefault="00AA1535" w:rsidP="00362911">
            <w:pPr>
              <w:spacing w:after="0" w:line="240" w:lineRule="auto"/>
              <w:jc w:val="right"/>
              <w:rPr>
                <w:rFonts w:ascii="Times New Roman" w:eastAsia="Times New Roman" w:hAnsi="Times New Roman"/>
                <w:sz w:val="26"/>
                <w:szCs w:val="26"/>
                <w:lang w:eastAsia="lv-LV"/>
              </w:rPr>
            </w:pPr>
            <w:r w:rsidRPr="00D15EDB">
              <w:rPr>
                <w:rFonts w:ascii="Times New Roman" w:eastAsia="Times New Roman" w:hAnsi="Times New Roman"/>
                <w:sz w:val="26"/>
                <w:szCs w:val="26"/>
                <w:lang w:eastAsia="lv-LV"/>
              </w:rPr>
              <w:t>2026</w:t>
            </w:r>
          </w:p>
        </w:tc>
        <w:tc>
          <w:tcPr>
            <w:tcW w:w="2161" w:type="dxa"/>
            <w:tcBorders>
              <w:top w:val="nil"/>
              <w:left w:val="nil"/>
              <w:bottom w:val="single" w:sz="4" w:space="0" w:color="auto"/>
              <w:right w:val="single" w:sz="4" w:space="0" w:color="auto"/>
            </w:tcBorders>
            <w:shd w:val="clear" w:color="auto" w:fill="auto"/>
            <w:noWrap/>
            <w:vAlign w:val="bottom"/>
            <w:hideMark/>
          </w:tcPr>
          <w:p w:rsidR="00AA1535" w:rsidRPr="00D15EDB" w:rsidRDefault="00AA1535" w:rsidP="00362911">
            <w:pPr>
              <w:spacing w:after="0" w:line="240" w:lineRule="auto"/>
              <w:jc w:val="center"/>
              <w:rPr>
                <w:rFonts w:ascii="Times New Roman" w:eastAsia="Times New Roman" w:hAnsi="Times New Roman"/>
                <w:sz w:val="26"/>
                <w:szCs w:val="26"/>
                <w:lang w:eastAsia="lv-LV"/>
              </w:rPr>
            </w:pPr>
            <w:r w:rsidRPr="00D15EDB">
              <w:rPr>
                <w:rFonts w:ascii="Times New Roman" w:eastAsia="Times New Roman" w:hAnsi="Times New Roman"/>
                <w:sz w:val="26"/>
                <w:szCs w:val="26"/>
                <w:lang w:eastAsia="lv-LV"/>
              </w:rPr>
              <w:t>2</w:t>
            </w:r>
          </w:p>
        </w:tc>
        <w:tc>
          <w:tcPr>
            <w:tcW w:w="818" w:type="dxa"/>
            <w:tcBorders>
              <w:top w:val="nil"/>
              <w:left w:val="nil"/>
              <w:bottom w:val="single" w:sz="4" w:space="0" w:color="auto"/>
              <w:right w:val="single" w:sz="4" w:space="0" w:color="auto"/>
            </w:tcBorders>
            <w:vAlign w:val="bottom"/>
          </w:tcPr>
          <w:p w:rsidR="00AA1535" w:rsidRPr="00D15EDB" w:rsidRDefault="00AA1535" w:rsidP="00362911">
            <w:pPr>
              <w:spacing w:after="0" w:line="240" w:lineRule="auto"/>
              <w:jc w:val="center"/>
              <w:rPr>
                <w:rFonts w:ascii="Times New Roman" w:eastAsia="Times New Roman" w:hAnsi="Times New Roman"/>
                <w:sz w:val="26"/>
                <w:szCs w:val="26"/>
                <w:lang w:eastAsia="lv-LV"/>
              </w:rPr>
            </w:pPr>
            <w:r w:rsidRPr="00D15EDB">
              <w:rPr>
                <w:rFonts w:ascii="Times New Roman" w:eastAsia="Times New Roman" w:hAnsi="Times New Roman"/>
                <w:sz w:val="26"/>
                <w:szCs w:val="26"/>
                <w:lang w:eastAsia="lv-LV"/>
              </w:rPr>
              <w:t>2036</w:t>
            </w:r>
          </w:p>
        </w:tc>
        <w:tc>
          <w:tcPr>
            <w:tcW w:w="2126" w:type="dxa"/>
            <w:tcBorders>
              <w:top w:val="nil"/>
              <w:left w:val="nil"/>
              <w:bottom w:val="single" w:sz="4" w:space="0" w:color="auto"/>
              <w:right w:val="single" w:sz="4" w:space="0" w:color="auto"/>
            </w:tcBorders>
            <w:vAlign w:val="bottom"/>
          </w:tcPr>
          <w:p w:rsidR="00AA1535" w:rsidRPr="00D15EDB" w:rsidRDefault="00AA1535" w:rsidP="00362911">
            <w:pPr>
              <w:spacing w:after="0" w:line="240" w:lineRule="auto"/>
              <w:jc w:val="center"/>
              <w:rPr>
                <w:rFonts w:ascii="Times New Roman" w:eastAsia="Times New Roman" w:hAnsi="Times New Roman"/>
                <w:sz w:val="26"/>
                <w:szCs w:val="26"/>
                <w:lang w:eastAsia="lv-LV"/>
              </w:rPr>
            </w:pPr>
            <w:r w:rsidRPr="00D15EDB">
              <w:rPr>
                <w:rFonts w:ascii="Times New Roman" w:eastAsia="Times New Roman" w:hAnsi="Times New Roman"/>
                <w:sz w:val="26"/>
                <w:szCs w:val="26"/>
                <w:lang w:eastAsia="lv-LV"/>
              </w:rPr>
              <w:t>1</w:t>
            </w:r>
          </w:p>
        </w:tc>
      </w:tr>
    </w:tbl>
    <w:p w:rsidR="00AA1535" w:rsidRPr="00D15EDB" w:rsidRDefault="00AA1535" w:rsidP="00AA1535">
      <w:pPr>
        <w:pStyle w:val="paragraph"/>
        <w:spacing w:before="120" w:beforeAutospacing="0" w:after="120" w:afterAutospacing="0"/>
        <w:jc w:val="both"/>
        <w:textAlignment w:val="baseline"/>
        <w:rPr>
          <w:rStyle w:val="normaltextrun"/>
          <w:sz w:val="26"/>
          <w:szCs w:val="26"/>
        </w:rPr>
      </w:pPr>
      <w:bookmarkStart w:id="3" w:name="_Hlk2617372"/>
      <w:r w:rsidRPr="00D15EDB">
        <w:rPr>
          <w:rStyle w:val="normaltextrun"/>
          <w:sz w:val="26"/>
          <w:szCs w:val="26"/>
        </w:rPr>
        <w:t>Jāņem vērā, ka par vairākiem EM lēmumiem, ar kuriem atceltas komersantiem piešķirtās elektroenerģijas OI tiesības, notiek aktīva tiesvedība, jo tie ir pārsūdzēti administratīvajā tiesā, līdz ar to, komersantiem pozitīva tiesas nolēmuma gadījumā, spēkā esošo OI tiesību skaits var palielināties.</w:t>
      </w:r>
      <w:bookmarkStart w:id="4" w:name="_Hlk2617507"/>
      <w:bookmarkEnd w:id="3"/>
      <w:r w:rsidRPr="00D15EDB">
        <w:rPr>
          <w:rStyle w:val="normaltextrun"/>
          <w:sz w:val="26"/>
          <w:szCs w:val="26"/>
        </w:rPr>
        <w:t xml:space="preserve"> </w:t>
      </w:r>
    </w:p>
    <w:p w:rsidR="00AA1535" w:rsidRPr="00D15EDB" w:rsidRDefault="00AA1535" w:rsidP="00AA1535">
      <w:pPr>
        <w:pStyle w:val="paragraph"/>
        <w:spacing w:before="120" w:beforeAutospacing="0" w:after="120" w:afterAutospacing="0"/>
        <w:jc w:val="both"/>
        <w:textAlignment w:val="baseline"/>
        <w:rPr>
          <w:sz w:val="26"/>
          <w:szCs w:val="26"/>
        </w:rPr>
      </w:pPr>
      <w:r w:rsidRPr="00D15EDB">
        <w:rPr>
          <w:rStyle w:val="normaltextrun"/>
          <w:sz w:val="26"/>
          <w:szCs w:val="26"/>
        </w:rPr>
        <w:t xml:space="preserve">Elektroenerģijas ražošanu un pārdošanu dēļ dažāda rakstura tiesvedībām nav uzsākuši 5 komersanti, no kuriem paredzams, ka darbību varētu uzsākt tikai viens. </w:t>
      </w:r>
    </w:p>
    <w:bookmarkEnd w:id="4"/>
    <w:p w:rsidR="00AA1535" w:rsidRPr="00D15EDB" w:rsidRDefault="00447979" w:rsidP="00D15EDB">
      <w:pPr>
        <w:spacing w:before="240" w:after="120" w:line="240" w:lineRule="auto"/>
        <w:jc w:val="both"/>
        <w:rPr>
          <w:rFonts w:ascii="Times New Roman" w:hAnsi="Times New Roman"/>
          <w:b/>
          <w:i/>
          <w:sz w:val="26"/>
          <w:szCs w:val="26"/>
        </w:rPr>
      </w:pPr>
      <w:r w:rsidRPr="00592E2D">
        <w:rPr>
          <w:rFonts w:ascii="Times New Roman" w:hAnsi="Times New Roman"/>
          <w:b/>
          <w:i/>
          <w:sz w:val="26"/>
          <w:szCs w:val="26"/>
        </w:rPr>
        <w:t>3)</w:t>
      </w:r>
      <w:r w:rsidR="00AA1535" w:rsidRPr="00D15EDB">
        <w:rPr>
          <w:rFonts w:ascii="Times New Roman" w:hAnsi="Times New Roman"/>
          <w:b/>
          <w:i/>
          <w:sz w:val="26"/>
          <w:szCs w:val="26"/>
        </w:rPr>
        <w:t xml:space="preserve"> OI mehānisma izmaksas un ietekme uz tautsaimniecību</w:t>
      </w:r>
    </w:p>
    <w:p w:rsidR="00AA1535" w:rsidRPr="00D15EDB" w:rsidRDefault="00AA1535" w:rsidP="00AA1535">
      <w:pPr>
        <w:spacing w:before="120" w:after="120" w:line="240" w:lineRule="auto"/>
        <w:jc w:val="both"/>
        <w:rPr>
          <w:rFonts w:ascii="Times New Roman" w:eastAsia="Times New Roman" w:hAnsi="Times New Roman"/>
          <w:iCs/>
          <w:sz w:val="26"/>
          <w:szCs w:val="26"/>
          <w:lang w:eastAsia="lv-LV"/>
        </w:rPr>
      </w:pPr>
      <w:r w:rsidRPr="00D15EDB">
        <w:rPr>
          <w:rFonts w:ascii="Times New Roman" w:eastAsia="Times New Roman" w:hAnsi="Times New Roman"/>
          <w:iCs/>
          <w:sz w:val="26"/>
          <w:szCs w:val="26"/>
          <w:lang w:eastAsia="lv-LV"/>
        </w:rPr>
        <w:t>Līdzšinējās un līdz 2027.gadam prognozētās OI mehānisma izmaksas pa staciju grupām un OIK ieņēmumi aplūkojami 2.attēlā.</w:t>
      </w:r>
    </w:p>
    <w:p w:rsidR="00AA1535" w:rsidRPr="00D15EDB" w:rsidRDefault="00AA1535" w:rsidP="00F247AD">
      <w:pPr>
        <w:spacing w:before="120" w:after="120" w:line="240" w:lineRule="auto"/>
        <w:jc w:val="center"/>
        <w:rPr>
          <w:rFonts w:ascii="Times New Roman" w:eastAsia="Times New Roman" w:hAnsi="Times New Roman"/>
          <w:i/>
          <w:iCs/>
          <w:color w:val="FF0000"/>
          <w:sz w:val="26"/>
          <w:szCs w:val="26"/>
          <w:highlight w:val="yellow"/>
          <w:lang w:eastAsia="lv-LV"/>
        </w:rPr>
      </w:pPr>
      <w:r w:rsidRPr="00D15EDB">
        <w:rPr>
          <w:rFonts w:ascii="Times New Roman" w:hAnsi="Times New Roman"/>
          <w:noProof/>
          <w:sz w:val="26"/>
          <w:szCs w:val="26"/>
        </w:rPr>
        <w:drawing>
          <wp:inline distT="0" distB="0" distL="0" distR="0" wp14:anchorId="14B17715" wp14:editId="7732263C">
            <wp:extent cx="4640580" cy="3045349"/>
            <wp:effectExtent l="0" t="0" r="7620" b="3175"/>
            <wp:docPr id="2" name="Chart 2">
              <a:extLst xmlns:a="http://schemas.openxmlformats.org/drawingml/2006/main">
                <a:ext uri="{FF2B5EF4-FFF2-40B4-BE49-F238E27FC236}">
                  <a16:creationId xmlns:a16="http://schemas.microsoft.com/office/drawing/2014/main" id="{3948BFD0-4352-476B-869A-6C06654297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A1535" w:rsidRPr="00D15EDB" w:rsidRDefault="00AA1535" w:rsidP="00AA1535">
      <w:pPr>
        <w:pStyle w:val="ListParagraph"/>
        <w:spacing w:before="120" w:after="120" w:line="240" w:lineRule="auto"/>
        <w:ind w:left="360"/>
        <w:jc w:val="center"/>
        <w:rPr>
          <w:rFonts w:ascii="Times New Roman" w:eastAsia="Times New Roman" w:hAnsi="Times New Roman"/>
          <w:b/>
          <w:i/>
          <w:iCs/>
          <w:color w:val="FF0000"/>
          <w:sz w:val="26"/>
          <w:szCs w:val="26"/>
          <w:highlight w:val="yellow"/>
          <w:lang w:eastAsia="lv-LV"/>
        </w:rPr>
      </w:pPr>
      <w:r w:rsidRPr="00D15EDB">
        <w:rPr>
          <w:rFonts w:ascii="Times New Roman" w:eastAsia="Times New Roman" w:hAnsi="Times New Roman"/>
          <w:i/>
          <w:iCs/>
          <w:sz w:val="26"/>
          <w:szCs w:val="26"/>
          <w:lang w:eastAsia="lv-LV"/>
        </w:rPr>
        <w:t>2.attēls.</w:t>
      </w:r>
      <w:r w:rsidRPr="00D15EDB">
        <w:rPr>
          <w:rFonts w:ascii="Times New Roman" w:eastAsia="Times New Roman" w:hAnsi="Times New Roman"/>
          <w:b/>
          <w:iCs/>
          <w:sz w:val="26"/>
          <w:szCs w:val="26"/>
          <w:lang w:eastAsia="lv-LV"/>
        </w:rPr>
        <w:t xml:space="preserve"> OI mehānisma un OIK ieņēmumu faktiskās un prognozētās izmaksas</w:t>
      </w:r>
    </w:p>
    <w:p w:rsidR="00AA1535" w:rsidRPr="00D15EDB" w:rsidRDefault="00AA1535" w:rsidP="00AA1535">
      <w:pPr>
        <w:spacing w:before="120" w:after="120" w:line="240" w:lineRule="auto"/>
        <w:jc w:val="both"/>
        <w:rPr>
          <w:rFonts w:ascii="Times New Roman" w:eastAsia="Times New Roman" w:hAnsi="Times New Roman"/>
          <w:iCs/>
          <w:sz w:val="26"/>
          <w:szCs w:val="26"/>
          <w:lang w:eastAsia="lv-LV"/>
        </w:rPr>
      </w:pPr>
    </w:p>
    <w:p w:rsidR="00AA1535" w:rsidRPr="00D15EDB" w:rsidRDefault="00AA1535" w:rsidP="00D15EDB">
      <w:pPr>
        <w:pStyle w:val="paragraph"/>
        <w:spacing w:before="120" w:beforeAutospacing="0" w:after="120" w:afterAutospacing="0"/>
        <w:jc w:val="both"/>
        <w:textAlignment w:val="baseline"/>
        <w:rPr>
          <w:iCs/>
          <w:sz w:val="26"/>
          <w:szCs w:val="26"/>
        </w:rPr>
      </w:pPr>
      <w:r w:rsidRPr="00D15EDB">
        <w:rPr>
          <w:iCs/>
          <w:sz w:val="26"/>
          <w:szCs w:val="26"/>
        </w:rPr>
        <w:t xml:space="preserve">Līdz 2017.gadam lielāko īpatsvaru no atbalsta izmaksām veidoja atbalsts dabasgāzes </w:t>
      </w:r>
      <w:r w:rsidRPr="00D15EDB">
        <w:rPr>
          <w:rStyle w:val="normaltextrun"/>
          <w:sz w:val="26"/>
          <w:szCs w:val="26"/>
        </w:rPr>
        <w:t>koģenerācijai</w:t>
      </w:r>
      <w:r w:rsidRPr="00D15EDB">
        <w:rPr>
          <w:iCs/>
          <w:sz w:val="26"/>
          <w:szCs w:val="26"/>
        </w:rPr>
        <w:t>, no kā lielāko daļu veidoja jaudas maksājums dabasgāzes koģenerācijas stacijām. Savukārt 2018.gadā 27% no OI izmaksām veidoja biogāzes stacijas, 26% biomasas elektrostacijas, 24% - koģenerācijas stacijas virs 4 MW.</w:t>
      </w:r>
    </w:p>
    <w:p w:rsidR="00AA1535" w:rsidRPr="00D15EDB" w:rsidRDefault="00AA1535" w:rsidP="00D15EDB">
      <w:pPr>
        <w:pStyle w:val="paragraph"/>
        <w:spacing w:before="120" w:beforeAutospacing="0" w:after="120" w:afterAutospacing="0"/>
        <w:jc w:val="both"/>
        <w:textAlignment w:val="baseline"/>
        <w:rPr>
          <w:iCs/>
          <w:sz w:val="26"/>
          <w:szCs w:val="26"/>
        </w:rPr>
      </w:pPr>
      <w:r w:rsidRPr="00D15EDB">
        <w:rPr>
          <w:b/>
          <w:iCs/>
          <w:sz w:val="26"/>
          <w:szCs w:val="26"/>
        </w:rPr>
        <w:t>OI neto izmaksas (atbalsts virs tirgus cenas) 2018.gadā sasniedza 159 milj. EUR jeb 0,54% no IKP</w:t>
      </w:r>
      <w:r w:rsidRPr="00D15EDB">
        <w:rPr>
          <w:iCs/>
          <w:sz w:val="26"/>
          <w:szCs w:val="26"/>
        </w:rPr>
        <w:t xml:space="preserve">, kas ir straujš kritums salīdzinājumā ar 2017.gadu, kad šis rādītājs sasniedza 1% no IKP. Tas pamatā skaidrojams ar ikgadējo atbalsta izmaksu samazināšanu dabasgāzes koģenerācijas stacijām virs 100 MW un IKP pieaugumu. </w:t>
      </w:r>
    </w:p>
    <w:p w:rsidR="00AA1535" w:rsidRPr="00D15EDB" w:rsidRDefault="00AA1535" w:rsidP="00AA1535">
      <w:pPr>
        <w:spacing w:before="120" w:after="120" w:line="240" w:lineRule="auto"/>
        <w:jc w:val="both"/>
        <w:rPr>
          <w:rFonts w:ascii="Times New Roman" w:eastAsia="Times New Roman" w:hAnsi="Times New Roman"/>
          <w:b/>
          <w:i/>
          <w:iCs/>
          <w:sz w:val="26"/>
          <w:szCs w:val="26"/>
          <w:lang w:eastAsia="lv-LV"/>
        </w:rPr>
      </w:pPr>
      <w:r w:rsidRPr="00D15EDB">
        <w:rPr>
          <w:rFonts w:ascii="Times New Roman" w:eastAsia="Times New Roman" w:hAnsi="Times New Roman"/>
          <w:b/>
          <w:i/>
          <w:iCs/>
          <w:sz w:val="26"/>
          <w:szCs w:val="26"/>
          <w:lang w:eastAsia="lv-LV"/>
        </w:rPr>
        <w:t>OIK elektrības rēķinos</w:t>
      </w:r>
    </w:p>
    <w:p w:rsidR="00AA1535" w:rsidRPr="00D15EDB" w:rsidRDefault="00AA1535" w:rsidP="00AA1535">
      <w:pPr>
        <w:pStyle w:val="paragraph"/>
        <w:spacing w:before="120" w:beforeAutospacing="0" w:after="120" w:afterAutospacing="0"/>
        <w:jc w:val="both"/>
        <w:textAlignment w:val="baseline"/>
        <w:rPr>
          <w:rStyle w:val="normaltextrun"/>
          <w:sz w:val="26"/>
          <w:szCs w:val="26"/>
        </w:rPr>
      </w:pPr>
      <w:r w:rsidRPr="00D15EDB">
        <w:rPr>
          <w:rStyle w:val="normaltextrun"/>
          <w:b/>
          <w:sz w:val="26"/>
          <w:szCs w:val="26"/>
        </w:rPr>
        <w:t>OIK īpatsvars elektroenerģijas gala cenā patērētājiem atšķiras atkarībā no pieslēgumu jaudas, elektroenerģijas patēriņa un nosacījumiem elektroenerģijas lietotāja līgumā ar elektroenerģijas tirgotāju</w:t>
      </w:r>
      <w:r w:rsidRPr="00D15EDB">
        <w:rPr>
          <w:rStyle w:val="normaltextrun"/>
          <w:sz w:val="26"/>
          <w:szCs w:val="26"/>
        </w:rPr>
        <w:t xml:space="preserve">. </w:t>
      </w:r>
    </w:p>
    <w:p w:rsidR="00AA1535" w:rsidRPr="00D15EDB" w:rsidRDefault="00AA1535" w:rsidP="00AA1535">
      <w:pPr>
        <w:pStyle w:val="paragraph"/>
        <w:spacing w:before="120" w:beforeAutospacing="0" w:after="120" w:afterAutospacing="0"/>
        <w:jc w:val="both"/>
        <w:textAlignment w:val="baseline"/>
        <w:rPr>
          <w:sz w:val="26"/>
          <w:szCs w:val="26"/>
        </w:rPr>
      </w:pPr>
      <w:r w:rsidRPr="00D15EDB">
        <w:rPr>
          <w:rStyle w:val="normaltextrun"/>
          <w:sz w:val="26"/>
          <w:szCs w:val="26"/>
        </w:rPr>
        <w:lastRenderedPageBreak/>
        <w:t xml:space="preserve">OIK īpatsvars no elektroenerģijas izmaksām dažādās patērētāju grupās, neņemot vērā elektroenerģijas </w:t>
      </w:r>
      <w:proofErr w:type="spellStart"/>
      <w:r w:rsidRPr="00D15EDB">
        <w:rPr>
          <w:rStyle w:val="normaltextrun"/>
          <w:sz w:val="26"/>
          <w:szCs w:val="26"/>
        </w:rPr>
        <w:t>vairumtirgus</w:t>
      </w:r>
      <w:proofErr w:type="spellEnd"/>
      <w:r w:rsidRPr="00D15EDB">
        <w:rPr>
          <w:rStyle w:val="normaltextrun"/>
          <w:sz w:val="26"/>
          <w:szCs w:val="26"/>
        </w:rPr>
        <w:t xml:space="preserve"> cenas svārstības, 2018.gadā bija ~ 20 – 23 % apmērā apstrādes rūpniecībā, 13 – 15% apmērā pakalpojumu sniedzējiem, ~13% apmērā </w:t>
      </w:r>
      <w:proofErr w:type="spellStart"/>
      <w:r w:rsidRPr="00D15EDB">
        <w:rPr>
          <w:rStyle w:val="normaltextrun"/>
          <w:sz w:val="26"/>
          <w:szCs w:val="26"/>
        </w:rPr>
        <w:t>energointensīvai</w:t>
      </w:r>
      <w:proofErr w:type="spellEnd"/>
      <w:r w:rsidRPr="00D15EDB">
        <w:rPr>
          <w:rStyle w:val="normaltextrun"/>
          <w:sz w:val="26"/>
          <w:szCs w:val="26"/>
        </w:rPr>
        <w:t xml:space="preserve"> apstrādes rūpniecībai, ~17% apmērā lauksaimniecības preču ražotājiem. Mājsaimniecībām elektroenerģijas izmaksas ir ap 15%, savukārt neizmantotiem </w:t>
      </w:r>
      <w:proofErr w:type="spellStart"/>
      <w:r w:rsidRPr="00D15EDB">
        <w:rPr>
          <w:rStyle w:val="normaltextrun"/>
          <w:sz w:val="26"/>
          <w:szCs w:val="26"/>
        </w:rPr>
        <w:t>pieslēgumiem</w:t>
      </w:r>
      <w:proofErr w:type="spellEnd"/>
      <w:r w:rsidRPr="00D15EDB">
        <w:rPr>
          <w:rStyle w:val="normaltextrun"/>
          <w:sz w:val="26"/>
          <w:szCs w:val="26"/>
        </w:rPr>
        <w:t xml:space="preserve"> OIK īpatsvars ir virs 30%.</w:t>
      </w:r>
    </w:p>
    <w:p w:rsidR="00AA1535" w:rsidRPr="00D15EDB" w:rsidRDefault="00AA1535" w:rsidP="007B18CD">
      <w:pPr>
        <w:keepNext/>
        <w:keepLines/>
        <w:spacing w:before="120" w:after="120" w:line="240" w:lineRule="auto"/>
        <w:jc w:val="both"/>
        <w:rPr>
          <w:rFonts w:ascii="Times New Roman" w:eastAsia="Times New Roman" w:hAnsi="Times New Roman"/>
          <w:b/>
          <w:i/>
          <w:iCs/>
          <w:sz w:val="26"/>
          <w:szCs w:val="26"/>
          <w:lang w:eastAsia="lv-LV"/>
        </w:rPr>
      </w:pPr>
      <w:r w:rsidRPr="00D15EDB">
        <w:rPr>
          <w:rFonts w:ascii="Times New Roman" w:eastAsia="Times New Roman" w:hAnsi="Times New Roman"/>
          <w:b/>
          <w:i/>
          <w:iCs/>
          <w:sz w:val="26"/>
          <w:szCs w:val="26"/>
          <w:lang w:eastAsia="lv-LV"/>
        </w:rPr>
        <w:t>OIK ietekme</w:t>
      </w:r>
    </w:p>
    <w:p w:rsidR="00AA1535" w:rsidRPr="00D15EDB" w:rsidRDefault="00AA1535" w:rsidP="007B18CD">
      <w:pPr>
        <w:pStyle w:val="paragraph"/>
        <w:keepNext/>
        <w:keepLines/>
        <w:spacing w:before="120" w:beforeAutospacing="0" w:after="120" w:afterAutospacing="0"/>
        <w:jc w:val="both"/>
        <w:textAlignment w:val="baseline"/>
        <w:rPr>
          <w:iCs/>
          <w:sz w:val="26"/>
          <w:szCs w:val="26"/>
        </w:rPr>
      </w:pPr>
      <w:r w:rsidRPr="00D15EDB">
        <w:rPr>
          <w:iCs/>
          <w:sz w:val="26"/>
          <w:szCs w:val="26"/>
        </w:rPr>
        <w:t xml:space="preserve">Atsevišķām patērētāju grupām elektroenerģija Latvijā ir dārgāka salīdzinājumā ar citām mūsu reģiona valstīm, kas mazina atsevišķu nozaru konkurētspēju. Jau ilgstoši darbaspēka izmaksu kāpums pārsniedz </w:t>
      </w:r>
      <w:r w:rsidRPr="00D15EDB">
        <w:rPr>
          <w:rStyle w:val="normaltextrun"/>
          <w:sz w:val="26"/>
          <w:szCs w:val="26"/>
        </w:rPr>
        <w:t>produktivitātes</w:t>
      </w:r>
      <w:r w:rsidRPr="00D15EDB">
        <w:rPr>
          <w:iCs/>
          <w:sz w:val="26"/>
          <w:szCs w:val="26"/>
        </w:rPr>
        <w:t xml:space="preserve"> pieaugumu un papildu izmaksu slogs enerģijai vēl vairāk pasliktina nozares konkurētspēju un ierobežo attīstības iespējas, samazinot produktivitātes kāpināšanai pieejamos resursus. </w:t>
      </w:r>
    </w:p>
    <w:p w:rsidR="00AA1535" w:rsidRPr="00D15EDB" w:rsidRDefault="00AA1535" w:rsidP="00D15EDB">
      <w:pPr>
        <w:pStyle w:val="paragraph"/>
        <w:spacing w:before="120" w:beforeAutospacing="0" w:after="120" w:afterAutospacing="0"/>
        <w:jc w:val="both"/>
        <w:textAlignment w:val="baseline"/>
        <w:rPr>
          <w:iCs/>
          <w:sz w:val="26"/>
          <w:szCs w:val="26"/>
        </w:rPr>
      </w:pPr>
      <w:r w:rsidRPr="00D15EDB">
        <w:rPr>
          <w:b/>
          <w:iCs/>
          <w:sz w:val="26"/>
          <w:szCs w:val="26"/>
        </w:rPr>
        <w:t xml:space="preserve">2018.gadā OIK diferenciācija un </w:t>
      </w:r>
      <w:proofErr w:type="spellStart"/>
      <w:r w:rsidRPr="00D15EDB">
        <w:rPr>
          <w:b/>
          <w:iCs/>
          <w:sz w:val="26"/>
          <w:szCs w:val="26"/>
        </w:rPr>
        <w:t>energointensīvo</w:t>
      </w:r>
      <w:proofErr w:type="spellEnd"/>
      <w:r w:rsidRPr="00D15EDB">
        <w:rPr>
          <w:b/>
          <w:iCs/>
          <w:sz w:val="26"/>
          <w:szCs w:val="26"/>
        </w:rPr>
        <w:t xml:space="preserve"> uzņēmumu atbalsts ir risinājis lielo un </w:t>
      </w:r>
      <w:proofErr w:type="spellStart"/>
      <w:r w:rsidRPr="00D15EDB">
        <w:rPr>
          <w:b/>
          <w:iCs/>
          <w:sz w:val="26"/>
          <w:szCs w:val="26"/>
        </w:rPr>
        <w:t>energointensīvo</w:t>
      </w:r>
      <w:proofErr w:type="spellEnd"/>
      <w:r w:rsidRPr="00D15EDB">
        <w:rPr>
          <w:b/>
          <w:iCs/>
          <w:sz w:val="26"/>
          <w:szCs w:val="26"/>
        </w:rPr>
        <w:t xml:space="preserve"> uzņēmumu problemātiku, savukārt maziem un vidējiem uzņēmumiem</w:t>
      </w:r>
      <w:r w:rsidRPr="00D15EDB">
        <w:rPr>
          <w:iCs/>
          <w:sz w:val="26"/>
          <w:szCs w:val="26"/>
        </w:rPr>
        <w:t xml:space="preserve"> (MVU) OIK izmaksu mazināšana ir aktuāla problēma, ņemot vērā to, ka tiem elektrības gala cena ir augstāka nekā citu valstu MVU Baltijas jūras reģionā. </w:t>
      </w:r>
    </w:p>
    <w:p w:rsidR="008A26FB" w:rsidRPr="00592E2D" w:rsidRDefault="00AA1535" w:rsidP="00D15EDB">
      <w:pPr>
        <w:pStyle w:val="paragraph"/>
        <w:spacing w:before="120" w:beforeAutospacing="0" w:after="120" w:afterAutospacing="0"/>
        <w:jc w:val="both"/>
        <w:textAlignment w:val="baseline"/>
        <w:rPr>
          <w:iCs/>
          <w:sz w:val="26"/>
          <w:szCs w:val="26"/>
        </w:rPr>
      </w:pPr>
      <w:r w:rsidRPr="00D15EDB">
        <w:rPr>
          <w:b/>
          <w:iCs/>
          <w:sz w:val="26"/>
          <w:szCs w:val="26"/>
        </w:rPr>
        <w:t>Kopējo enerģijas izmaksu īpatsvars apgrozījumā Latvijas apstrādes rūpniecībā ir viens no augstākajiem ES.</w:t>
      </w:r>
      <w:r w:rsidRPr="00D15EDB">
        <w:rPr>
          <w:iCs/>
          <w:sz w:val="26"/>
          <w:szCs w:val="26"/>
        </w:rPr>
        <w:t xml:space="preserve"> Tas nozīmē, ka </w:t>
      </w:r>
      <w:r w:rsidRPr="00D15EDB">
        <w:rPr>
          <w:b/>
          <w:iCs/>
          <w:sz w:val="26"/>
          <w:szCs w:val="26"/>
        </w:rPr>
        <w:t xml:space="preserve">ne tikai augstās elektroenerģijas cenas un OIK slogs ietekmē nozares izmaksas, bet arī zemā energoefektivitāte. </w:t>
      </w:r>
      <w:r w:rsidRPr="00D15EDB">
        <w:rPr>
          <w:iCs/>
          <w:sz w:val="26"/>
          <w:szCs w:val="26"/>
        </w:rPr>
        <w:t xml:space="preserve">Bez OIK sistēmas pārskatīšanas, arī energoefektivitātes </w:t>
      </w:r>
      <w:r w:rsidRPr="00D15EDB">
        <w:rPr>
          <w:rStyle w:val="normaltextrun"/>
          <w:sz w:val="26"/>
          <w:szCs w:val="26"/>
        </w:rPr>
        <w:t>jautājumu</w:t>
      </w:r>
      <w:r w:rsidRPr="00D15EDB">
        <w:rPr>
          <w:iCs/>
          <w:sz w:val="26"/>
          <w:szCs w:val="26"/>
        </w:rPr>
        <w:t xml:space="preserve"> risināšana var būtiski uzlabot nozares starptautisko konkurētspēju. Detalizētāku analīzi par OIK ietekmi skatīt </w:t>
      </w:r>
      <w:r w:rsidR="00C53DD5">
        <w:rPr>
          <w:iCs/>
          <w:sz w:val="26"/>
          <w:szCs w:val="26"/>
        </w:rPr>
        <w:t xml:space="preserve">Likumprojekta anotācijas </w:t>
      </w:r>
      <w:r w:rsidRPr="00D15EDB">
        <w:rPr>
          <w:iCs/>
          <w:sz w:val="26"/>
          <w:szCs w:val="26"/>
        </w:rPr>
        <w:t>2.pielikumā.</w:t>
      </w:r>
    </w:p>
    <w:p w:rsidR="008A26FB" w:rsidRPr="00D15EDB" w:rsidRDefault="008A26FB" w:rsidP="008A26FB">
      <w:pPr>
        <w:keepNext/>
        <w:keepLines/>
        <w:spacing w:before="240" w:after="120" w:line="240" w:lineRule="auto"/>
        <w:jc w:val="both"/>
        <w:rPr>
          <w:rFonts w:ascii="Times New Roman" w:hAnsi="Times New Roman"/>
          <w:b/>
          <w:i/>
          <w:sz w:val="26"/>
          <w:szCs w:val="26"/>
        </w:rPr>
      </w:pPr>
      <w:r w:rsidRPr="00D15EDB">
        <w:rPr>
          <w:rFonts w:ascii="Times New Roman" w:hAnsi="Times New Roman"/>
          <w:b/>
          <w:i/>
          <w:sz w:val="26"/>
          <w:szCs w:val="26"/>
        </w:rPr>
        <w:t>4) EK saskaņojums</w:t>
      </w:r>
    </w:p>
    <w:p w:rsidR="008A26FB" w:rsidRPr="00D15EDB" w:rsidRDefault="008A26FB" w:rsidP="008A26FB">
      <w:pPr>
        <w:spacing w:before="120" w:after="120" w:line="240" w:lineRule="auto"/>
        <w:jc w:val="both"/>
        <w:rPr>
          <w:rFonts w:ascii="Times New Roman" w:hAnsi="Times New Roman"/>
          <w:sz w:val="26"/>
          <w:szCs w:val="26"/>
        </w:rPr>
      </w:pPr>
      <w:r w:rsidRPr="00D15EDB">
        <w:rPr>
          <w:rFonts w:ascii="Times New Roman" w:hAnsi="Times New Roman"/>
          <w:sz w:val="26"/>
          <w:szCs w:val="26"/>
        </w:rPr>
        <w:t>EK savā 2017.gada 24.aprīļa lēmumā par valsts atbalstu SA.43140</w:t>
      </w:r>
      <w:r w:rsidRPr="00D15EDB">
        <w:rPr>
          <w:rStyle w:val="FootnoteReference"/>
          <w:rFonts w:ascii="Times New Roman" w:hAnsi="Times New Roman"/>
          <w:sz w:val="26"/>
          <w:szCs w:val="26"/>
        </w:rPr>
        <w:footnoteReference w:id="5"/>
      </w:r>
      <w:r w:rsidRPr="00D15EDB">
        <w:rPr>
          <w:rFonts w:ascii="Times New Roman" w:hAnsi="Times New Roman"/>
          <w:sz w:val="26"/>
          <w:szCs w:val="26"/>
        </w:rPr>
        <w:t xml:space="preserve"> secināja, ka OI mehānisms ir samērīgs un </w:t>
      </w:r>
      <w:r w:rsidRPr="00592E2D">
        <w:rPr>
          <w:rFonts w:ascii="Times New Roman" w:hAnsi="Times New Roman"/>
          <w:sz w:val="26"/>
          <w:szCs w:val="26"/>
        </w:rPr>
        <w:t>atbilst nosacījumiem, kas noteikti 2001. un 2008.gada pamatnostādnēs par valsts atbalstu vides aizsardzībai</w:t>
      </w:r>
      <w:r w:rsidRPr="00D15EDB">
        <w:rPr>
          <w:rStyle w:val="FootnoteReference"/>
          <w:rFonts w:ascii="Times New Roman" w:hAnsi="Times New Roman"/>
          <w:sz w:val="26"/>
          <w:szCs w:val="26"/>
        </w:rPr>
        <w:footnoteReference w:id="6"/>
      </w:r>
      <w:r w:rsidRPr="00D15EDB">
        <w:rPr>
          <w:rFonts w:ascii="Times New Roman" w:hAnsi="Times New Roman"/>
          <w:sz w:val="26"/>
          <w:szCs w:val="26"/>
        </w:rPr>
        <w:t xml:space="preserve">, un līdz ar to ir saderīgs ar iekšējo tirgu saskaņā ar Līguma par Eiropas Savienības Darbību 107.panta 3.punkta c) apakšpunktu.  Kā tas minēts arī EK lēmumā, spēkā esošā OI mehānisma </w:t>
      </w:r>
      <w:r w:rsidRPr="00D15EDB">
        <w:rPr>
          <w:rFonts w:ascii="Times New Roman" w:hAnsi="Times New Roman"/>
          <w:b/>
          <w:sz w:val="26"/>
          <w:szCs w:val="26"/>
        </w:rPr>
        <w:t>mērķis</w:t>
      </w:r>
      <w:r w:rsidRPr="00D15EDB">
        <w:rPr>
          <w:rFonts w:ascii="Times New Roman" w:hAnsi="Times New Roman"/>
          <w:sz w:val="26"/>
          <w:szCs w:val="26"/>
        </w:rPr>
        <w:t xml:space="preserve"> </w:t>
      </w:r>
      <w:r w:rsidRPr="00D15EDB">
        <w:rPr>
          <w:rFonts w:ascii="Times New Roman" w:hAnsi="Times New Roman"/>
          <w:b/>
          <w:sz w:val="26"/>
          <w:szCs w:val="26"/>
        </w:rPr>
        <w:t>ir veicināt atjaunojamo energoresursu izmantošanu un augstas efektivitātes koģenerāciju</w:t>
      </w:r>
      <w:r w:rsidRPr="00D15EDB">
        <w:rPr>
          <w:rFonts w:ascii="Times New Roman" w:hAnsi="Times New Roman"/>
          <w:sz w:val="26"/>
          <w:szCs w:val="26"/>
        </w:rPr>
        <w:t>, tostarp, lai sasniegtu Latvijai noteiktos mērķus šajās jomās.</w:t>
      </w:r>
    </w:p>
    <w:p w:rsidR="008A26FB" w:rsidRPr="00D15EDB" w:rsidRDefault="008A26FB" w:rsidP="008A26FB">
      <w:pPr>
        <w:spacing w:before="120" w:after="120" w:line="240" w:lineRule="auto"/>
        <w:jc w:val="both"/>
        <w:rPr>
          <w:rFonts w:ascii="Times New Roman" w:hAnsi="Times New Roman"/>
          <w:sz w:val="26"/>
          <w:szCs w:val="26"/>
        </w:rPr>
      </w:pPr>
      <w:r w:rsidRPr="00D15EDB">
        <w:rPr>
          <w:rFonts w:ascii="Times New Roman" w:hAnsi="Times New Roman"/>
          <w:sz w:val="26"/>
          <w:szCs w:val="26"/>
        </w:rPr>
        <w:t>2007.gada 1.jūlijā sākās Latvijas elektroenerģijas tirgus liberalizācija, kas deva iespēju patērētājiem mainīt elektroenerģijas tirgotāju un bija saistīta ar tirgus cenas veidošanos. Attiecīgi, ņemot vērā komercdarbības atbalstu regulējošos ES normatīvos aktus, EK valsts atbalsta OI mehānismu saskaņoja par periodu no 2007.gada 1.jūlija līdz 2012.gada 31.decembrim. Tā kā AS “Latvenergo” TEC-2 elektrostacijas uzstādītā elektriskā jauda pārsniedza 200 MW robežvērtību</w:t>
      </w:r>
      <w:r w:rsidRPr="00D15EDB">
        <w:rPr>
          <w:rStyle w:val="FootnoteReference"/>
          <w:rFonts w:ascii="Times New Roman" w:hAnsi="Times New Roman"/>
          <w:sz w:val="26"/>
          <w:szCs w:val="26"/>
        </w:rPr>
        <w:footnoteReference w:id="7"/>
      </w:r>
      <w:r w:rsidRPr="00D15EDB">
        <w:rPr>
          <w:rFonts w:ascii="Times New Roman" w:hAnsi="Times New Roman"/>
          <w:sz w:val="26"/>
          <w:szCs w:val="26"/>
        </w:rPr>
        <w:t xml:space="preserve"> tad atbalsta saskaņošana TEC-2 tika uzsākta pēc vispārējā OI mehānisma saskaņošanas ar EK. Saskaņā ar ES regulējumu saskaņojuma periods attiecināms uz datumu, kurā piešķirtas tiesības uz valsts atbalstu.</w:t>
      </w:r>
    </w:p>
    <w:p w:rsidR="008A26FB" w:rsidRPr="00D15EDB" w:rsidRDefault="008A26FB" w:rsidP="008A26FB">
      <w:pPr>
        <w:spacing w:before="120" w:after="120" w:line="240" w:lineRule="auto"/>
        <w:jc w:val="both"/>
        <w:rPr>
          <w:rFonts w:ascii="Times New Roman" w:hAnsi="Times New Roman"/>
          <w:sz w:val="26"/>
          <w:szCs w:val="26"/>
        </w:rPr>
      </w:pPr>
      <w:r w:rsidRPr="00D15EDB">
        <w:rPr>
          <w:rFonts w:ascii="Times New Roman" w:hAnsi="Times New Roman"/>
          <w:sz w:val="26"/>
          <w:szCs w:val="26"/>
        </w:rPr>
        <w:lastRenderedPageBreak/>
        <w:t xml:space="preserve">Sarunas par OI mehānisma saskaņošanu ar Eiropas Komisiju Latvija sāka 2013.gadā un </w:t>
      </w:r>
      <w:r w:rsidRPr="00592E2D">
        <w:rPr>
          <w:rFonts w:ascii="Times New Roman" w:hAnsi="Times New Roman"/>
          <w:sz w:val="26"/>
          <w:szCs w:val="26"/>
        </w:rPr>
        <w:t>oficiālais</w:t>
      </w:r>
      <w:r w:rsidRPr="00D15EDB">
        <w:rPr>
          <w:rFonts w:ascii="Times New Roman" w:hAnsi="Times New Roman"/>
          <w:sz w:val="26"/>
          <w:szCs w:val="26"/>
        </w:rPr>
        <w:t xml:space="preserve"> paziņojums tika iesniegts 2015.gadā. Tādējādi no 2007.gada līdz 2015.gadam piešķirtās tiesības uz atbalstu OI mehānisma ietvaros saskaņā ar Līguma par Eiropas Savienības darbību (turpmāk – LESD) 108.panta 3.punktu bija uzskatāms par nepaziņotu un nesaskaņotu valsts atbalstu. Šādos gadījumos ES tiesībās ir nostiprinātas EK un nacionālo tiesu lomas:</w:t>
      </w:r>
    </w:p>
    <w:p w:rsidR="008A26FB" w:rsidRPr="00D15EDB" w:rsidRDefault="008A26FB" w:rsidP="008A26FB">
      <w:pPr>
        <w:spacing w:before="120" w:after="120" w:line="240" w:lineRule="auto"/>
        <w:jc w:val="both"/>
        <w:rPr>
          <w:rFonts w:ascii="Times New Roman" w:hAnsi="Times New Roman"/>
          <w:sz w:val="26"/>
          <w:szCs w:val="26"/>
        </w:rPr>
      </w:pPr>
      <w:r w:rsidRPr="00D15EDB">
        <w:rPr>
          <w:rFonts w:ascii="Times New Roman" w:hAnsi="Times New Roman"/>
          <w:sz w:val="26"/>
          <w:szCs w:val="26"/>
        </w:rPr>
        <w:t>1) Saskaņā ar Regulas Nr.2015/1589</w:t>
      </w:r>
      <w:r w:rsidRPr="00D15EDB">
        <w:rPr>
          <w:rFonts w:ascii="Times New Roman" w:hAnsi="Times New Roman"/>
          <w:sz w:val="26"/>
          <w:szCs w:val="26"/>
          <w:vertAlign w:val="superscript"/>
        </w:rPr>
        <w:footnoteReference w:id="8"/>
      </w:r>
      <w:r w:rsidRPr="00D15EDB">
        <w:rPr>
          <w:rFonts w:ascii="Times New Roman" w:hAnsi="Times New Roman"/>
          <w:sz w:val="26"/>
          <w:szCs w:val="26"/>
        </w:rPr>
        <w:t xml:space="preserve"> 13.panta 1.punktu EK var pieņemt lēmumu, kas prasa dalībvalstij pārtraukt jebkādu nelikumīgu atbalstu, līdz EK pieņem lēmumu par attiecīgā atbalsta saderību ar iekšējo tirgu. Savukārt saskaņā ar Regulas Nr.2015/1589 13.panta 2.punktu EK var pieņemt lēmumu, kas prasa dalībvalstij pagaidām atgūt jebkādu nelikumīgu atbalstu, līdz EK pieņem lēmumu par attiecīgā atbalsta saderību ar iekšējo tirgu. OI mehānisma gadījumā EK attiecīgās savas tiesības nav izmantojusi. </w:t>
      </w:r>
    </w:p>
    <w:p w:rsidR="008A26FB" w:rsidRDefault="008A26FB" w:rsidP="008A26FB">
      <w:pPr>
        <w:spacing w:before="120" w:after="120" w:line="240" w:lineRule="auto"/>
        <w:jc w:val="both"/>
        <w:rPr>
          <w:rFonts w:ascii="Times New Roman" w:hAnsi="Times New Roman"/>
          <w:sz w:val="26"/>
          <w:szCs w:val="26"/>
        </w:rPr>
      </w:pPr>
      <w:r w:rsidRPr="00D15EDB">
        <w:rPr>
          <w:rFonts w:ascii="Times New Roman" w:hAnsi="Times New Roman"/>
          <w:sz w:val="26"/>
          <w:szCs w:val="26"/>
        </w:rPr>
        <w:t>2) Savukārt saskaņā ar Komisijas paziņojumu par valsts atbalsta tiesību normu piemērošanu valstu tiesās</w:t>
      </w:r>
      <w:r w:rsidRPr="00D15EDB">
        <w:rPr>
          <w:rStyle w:val="FootnoteReference"/>
          <w:rFonts w:ascii="Times New Roman" w:hAnsi="Times New Roman"/>
          <w:sz w:val="26"/>
          <w:szCs w:val="26"/>
        </w:rPr>
        <w:footnoteReference w:id="9"/>
      </w:r>
      <w:r w:rsidRPr="00D15EDB">
        <w:rPr>
          <w:rFonts w:ascii="Times New Roman" w:hAnsi="Times New Roman"/>
          <w:sz w:val="26"/>
          <w:szCs w:val="26"/>
        </w:rPr>
        <w:t xml:space="preserve"> 34.punktu valsts tiesas pienākums pieprasīt nelikumīgā atbalsta atgūšanu pilnā apmērā vairs nav piemērojams, ja līdz brīdim, kad valsts tiesa pasludina spriedumu, EK jau ir izlēmusi, ka atbalsts ir saderīgs ar kopējo tirgu.</w:t>
      </w:r>
    </w:p>
    <w:p w:rsidR="006D0C03" w:rsidRPr="006D0C03" w:rsidRDefault="006D0C03" w:rsidP="006D0C03">
      <w:pPr>
        <w:pStyle w:val="Default"/>
        <w:spacing w:before="120" w:after="120"/>
        <w:jc w:val="both"/>
        <w:rPr>
          <w:b/>
          <w:sz w:val="26"/>
          <w:szCs w:val="26"/>
        </w:rPr>
      </w:pPr>
      <w:r w:rsidRPr="006D0C03">
        <w:rPr>
          <w:sz w:val="26"/>
          <w:szCs w:val="26"/>
        </w:rPr>
        <w:t xml:space="preserve">EK savā 2019.gada 14.marta vēstulē (skatīt </w:t>
      </w:r>
      <w:r w:rsidR="00C53DD5">
        <w:rPr>
          <w:sz w:val="26"/>
          <w:szCs w:val="26"/>
        </w:rPr>
        <w:t xml:space="preserve">Likumprojekta anotācijas </w:t>
      </w:r>
      <w:r w:rsidRPr="006D0C03">
        <w:rPr>
          <w:sz w:val="26"/>
          <w:szCs w:val="26"/>
        </w:rPr>
        <w:t>4.pielikumu), atbildot uz Ekonomikas ministrijas jautājumu, vai attiecībā uz atbalstu, kas sniegts pirms 2007.gada 1.jūlija būtu nepieciešams EK saskaņojums, norādījusi, ka tas atkarīgs no fakta, vai tirgus ir bijis atvērts konkurencei, ko var novērtēt nacionālā tiesa, bet EK 2017.gada 24.aprīļa lēmum</w:t>
      </w:r>
      <w:r w:rsidR="004B4430">
        <w:rPr>
          <w:sz w:val="26"/>
          <w:szCs w:val="26"/>
        </w:rPr>
        <w:t>a</w:t>
      </w:r>
      <w:r w:rsidRPr="006D0C03">
        <w:rPr>
          <w:sz w:val="26"/>
          <w:szCs w:val="26"/>
        </w:rPr>
        <w:t xml:space="preserve"> par valsts atbalstu SA.43140 pieņemts, pamatojoties uz informāciju, ka tirgus atvērts konkurencei ir bijis no 2007.gada 1.jūlija.  Savukārt, atbildot uz jautājumu, vai atbalsts, kas izmaksāts periodā līdz EK 2017.gada 24.aprīļa lēmumam (2007.gada 1.jūlijs līdz 2017.gada 24.aprīlis) būtu atgūstams, </w:t>
      </w:r>
      <w:r w:rsidRPr="006D0C03">
        <w:rPr>
          <w:b/>
          <w:sz w:val="26"/>
          <w:szCs w:val="26"/>
        </w:rPr>
        <w:t>EK norādījusi, ka atbalsts, uz kuru tiesības piešķirtas no 2007.gada 1.jūlija līdz 2012.gada 31.decembrim (un kas tiek izmaksāts vēl šobrīd), ir saderīgs ar iekšējo tirgu un šāds atbalsts nav jāatgūst.</w:t>
      </w:r>
    </w:p>
    <w:p w:rsidR="00376E46" w:rsidRPr="00D15EDB" w:rsidRDefault="008A26FB" w:rsidP="00D15EDB">
      <w:pPr>
        <w:keepNext/>
        <w:keepLines/>
        <w:spacing w:before="240" w:after="120" w:line="240" w:lineRule="auto"/>
        <w:jc w:val="both"/>
        <w:rPr>
          <w:rFonts w:ascii="Times New Roman" w:hAnsi="Times New Roman"/>
          <w:b/>
          <w:i/>
          <w:sz w:val="26"/>
          <w:szCs w:val="26"/>
        </w:rPr>
      </w:pPr>
      <w:r w:rsidRPr="00592E2D">
        <w:rPr>
          <w:rFonts w:ascii="Times New Roman" w:hAnsi="Times New Roman"/>
          <w:b/>
          <w:i/>
          <w:sz w:val="26"/>
          <w:szCs w:val="26"/>
        </w:rPr>
        <w:t>5</w:t>
      </w:r>
      <w:r w:rsidR="00FF117E" w:rsidRPr="007833AC">
        <w:rPr>
          <w:rFonts w:ascii="Times New Roman" w:hAnsi="Times New Roman"/>
          <w:b/>
          <w:i/>
          <w:sz w:val="26"/>
          <w:szCs w:val="26"/>
        </w:rPr>
        <w:t>) </w:t>
      </w:r>
      <w:r w:rsidR="00376E46" w:rsidRPr="00D15EDB">
        <w:rPr>
          <w:rFonts w:ascii="Times New Roman" w:hAnsi="Times New Roman"/>
          <w:b/>
          <w:i/>
          <w:sz w:val="26"/>
          <w:szCs w:val="26"/>
        </w:rPr>
        <w:t>Atjaunojamās enerģijas mērķi</w:t>
      </w:r>
    </w:p>
    <w:p w:rsidR="00376E46" w:rsidRPr="00592E2D" w:rsidRDefault="00376E46" w:rsidP="00D15EDB">
      <w:pPr>
        <w:pStyle w:val="Default"/>
        <w:keepNext/>
        <w:keepLines/>
        <w:spacing w:before="120" w:after="120"/>
        <w:jc w:val="both"/>
        <w:rPr>
          <w:sz w:val="26"/>
          <w:szCs w:val="26"/>
        </w:rPr>
      </w:pPr>
      <w:r w:rsidRPr="00D15EDB">
        <w:rPr>
          <w:sz w:val="26"/>
          <w:szCs w:val="26"/>
        </w:rPr>
        <w:t>2006.gadā Eiropas Komisija, publicējot Zaļo grāmatu „Eiropas stratēģija ilgtspējīgai, konkurētspējīgai un drošai enerģijai”</w:t>
      </w:r>
      <w:r w:rsidRPr="00592E2D">
        <w:rPr>
          <w:rStyle w:val="FootnoteReference"/>
          <w:sz w:val="26"/>
          <w:szCs w:val="26"/>
        </w:rPr>
        <w:footnoteReference w:id="10"/>
      </w:r>
      <w:r w:rsidRPr="00592E2D">
        <w:rPr>
          <w:sz w:val="26"/>
          <w:szCs w:val="26"/>
        </w:rPr>
        <w:t xml:space="preserve">, izvērsa diskusiju par kopējas Eiropas enerģētikas politikas nepieciešamību. </w:t>
      </w:r>
    </w:p>
    <w:p w:rsidR="008A26FB" w:rsidRPr="00D15EDB" w:rsidRDefault="00376E46" w:rsidP="00D15EDB">
      <w:pPr>
        <w:pStyle w:val="Default"/>
        <w:spacing w:before="120" w:after="120"/>
        <w:jc w:val="both"/>
        <w:rPr>
          <w:sz w:val="26"/>
          <w:szCs w:val="26"/>
        </w:rPr>
      </w:pPr>
      <w:r w:rsidRPr="007833AC">
        <w:rPr>
          <w:sz w:val="26"/>
          <w:szCs w:val="26"/>
        </w:rPr>
        <w:t xml:space="preserve">2007.gada martā Eiropadome atbalstīja </w:t>
      </w:r>
      <w:r w:rsidRPr="00D15EDB">
        <w:rPr>
          <w:b/>
          <w:sz w:val="26"/>
          <w:szCs w:val="26"/>
        </w:rPr>
        <w:t>mērķus – līdz 2020.gadam Eiropas Savienībai 20 % no ES dalībvalstu (DV) kopējā enerģijas gala patēriņa</w:t>
      </w:r>
      <w:r w:rsidRPr="00D15EDB">
        <w:rPr>
          <w:sz w:val="26"/>
          <w:szCs w:val="26"/>
        </w:rPr>
        <w:t xml:space="preserve"> un 10 % no transporta sektora gala patēriņa </w:t>
      </w:r>
      <w:r w:rsidRPr="00D15EDB">
        <w:rPr>
          <w:b/>
          <w:sz w:val="26"/>
          <w:szCs w:val="26"/>
        </w:rPr>
        <w:t>jānodrošina ar no atjaunojamiem energoresursiem iegūtu enerģiju, nosakot tiem obligātu raksturu</w:t>
      </w:r>
      <w:r w:rsidRPr="00D15EDB">
        <w:rPr>
          <w:sz w:val="26"/>
          <w:szCs w:val="26"/>
        </w:rPr>
        <w:t xml:space="preserve">, kas to izpildi padara saistošu visām DV. </w:t>
      </w:r>
    </w:p>
    <w:p w:rsidR="008A26FB" w:rsidRPr="00D15EDB" w:rsidRDefault="00376E46" w:rsidP="00D15EDB">
      <w:pPr>
        <w:pStyle w:val="Default"/>
        <w:spacing w:before="120" w:after="120"/>
        <w:jc w:val="both"/>
        <w:rPr>
          <w:sz w:val="26"/>
          <w:szCs w:val="26"/>
        </w:rPr>
      </w:pPr>
      <w:r w:rsidRPr="00D15EDB">
        <w:rPr>
          <w:sz w:val="26"/>
          <w:szCs w:val="26"/>
        </w:rPr>
        <w:t xml:space="preserve">2009.gada Klimata un enerģijas tiesību aktu </w:t>
      </w:r>
      <w:proofErr w:type="spellStart"/>
      <w:r w:rsidRPr="00D15EDB">
        <w:rPr>
          <w:sz w:val="26"/>
          <w:szCs w:val="26"/>
        </w:rPr>
        <w:t>pakotnē</w:t>
      </w:r>
      <w:proofErr w:type="spellEnd"/>
      <w:r w:rsidRPr="00D15EDB">
        <w:rPr>
          <w:sz w:val="26"/>
          <w:szCs w:val="26"/>
        </w:rPr>
        <w:t xml:space="preserve"> ietvertā Direktīva 2009/28/EK</w:t>
      </w:r>
      <w:r w:rsidRPr="00D15EDB">
        <w:rPr>
          <w:rStyle w:val="FootnoteReference"/>
          <w:sz w:val="26"/>
          <w:szCs w:val="26"/>
        </w:rPr>
        <w:footnoteReference w:id="11"/>
      </w:r>
      <w:r w:rsidRPr="00D15EDB">
        <w:rPr>
          <w:sz w:val="26"/>
          <w:szCs w:val="26"/>
        </w:rPr>
        <w:t xml:space="preserve"> tika izstrādāta nolūkā radīt ES dalībvalstīs kopēju ietvaru no atjaunojamiem energoresursiem iegūtas enerģijas izmantošanai. Ņemot vērā, ka katrā ES dalībvalstī ir atšķirīga  energoresursu patēriņa struktūra, Direktīva 2009/28/EK kopējo ES </w:t>
      </w:r>
      <w:r w:rsidRPr="00D15EDB">
        <w:rPr>
          <w:sz w:val="26"/>
          <w:szCs w:val="26"/>
        </w:rPr>
        <w:lastRenderedPageBreak/>
        <w:t xml:space="preserve">atjaunojamo energoresursu </w:t>
      </w:r>
      <w:proofErr w:type="spellStart"/>
      <w:r w:rsidRPr="00D15EDB">
        <w:rPr>
          <w:sz w:val="26"/>
          <w:szCs w:val="26"/>
        </w:rPr>
        <w:t>galapatēriņa</w:t>
      </w:r>
      <w:proofErr w:type="spellEnd"/>
      <w:r w:rsidRPr="00D15EDB">
        <w:rPr>
          <w:sz w:val="26"/>
          <w:szCs w:val="26"/>
        </w:rPr>
        <w:t xml:space="preserve"> mērķi (20%) pārveidoja par individuāliem mērķiem katrai dalībvalstij, ievērojot, ka kopējais palielinājuma apjoms, kas noteikts atjaunojamo energoresursu izmantošanai būtu jāsadala starp dalībvalstīm, pamatojoties uz vienlīdzīgu tādu īpatsvara palielinājumu katrā dalībvalstī, kas novērtēts atbilstīgi to iekšzemes kopproduktam (turpmāk – IKP), atspoguļo valstu sākotnējos apstākļus, un aprēķināts, ņemot vērā dalībvalstu energoresursu patēriņa struktūru un iepriekš veiktos pasākumus attiecībā uz tādas enerģijas izmantošanu, kas iegūta no atjaunojamajiem energoresursiem. </w:t>
      </w:r>
    </w:p>
    <w:p w:rsidR="008A26FB" w:rsidRPr="00D15EDB" w:rsidRDefault="00376E46" w:rsidP="00D15EDB">
      <w:pPr>
        <w:autoSpaceDE w:val="0"/>
        <w:autoSpaceDN w:val="0"/>
        <w:adjustRightInd w:val="0"/>
        <w:spacing w:before="120" w:after="120" w:line="240" w:lineRule="auto"/>
        <w:jc w:val="both"/>
        <w:rPr>
          <w:rFonts w:ascii="Times New Roman" w:hAnsi="Times New Roman"/>
          <w:b/>
          <w:sz w:val="26"/>
          <w:szCs w:val="26"/>
        </w:rPr>
      </w:pPr>
      <w:r w:rsidRPr="00D15EDB">
        <w:rPr>
          <w:rFonts w:ascii="Times New Roman" w:hAnsi="Times New Roman"/>
          <w:sz w:val="26"/>
          <w:szCs w:val="26"/>
        </w:rPr>
        <w:t xml:space="preserve">Katras valsts individuālais mērķis ir izteikts procentos no kopējā enerģijas gala patēriņa 2020.gadā. Ņemot vērā minēto, Latvijai saskaņā ar </w:t>
      </w:r>
      <w:r w:rsidRPr="00D15EDB">
        <w:rPr>
          <w:rFonts w:ascii="Times New Roman" w:hAnsi="Times New Roman"/>
          <w:bCs/>
          <w:sz w:val="26"/>
          <w:szCs w:val="26"/>
        </w:rPr>
        <w:t>Direktīvas 2009/28/EK 3.panta 1.punktu un 1.pielikuma A daļu</w:t>
      </w:r>
      <w:r w:rsidRPr="00D15EDB">
        <w:rPr>
          <w:rFonts w:ascii="Times New Roman" w:hAnsi="Times New Roman"/>
          <w:b/>
          <w:bCs/>
          <w:sz w:val="26"/>
          <w:szCs w:val="26"/>
        </w:rPr>
        <w:t xml:space="preserve"> </w:t>
      </w:r>
      <w:r w:rsidRPr="00D15EDB">
        <w:rPr>
          <w:rFonts w:ascii="Times New Roman" w:hAnsi="Times New Roman"/>
          <w:sz w:val="26"/>
          <w:szCs w:val="26"/>
        </w:rPr>
        <w:t xml:space="preserve">ir </w:t>
      </w:r>
      <w:r w:rsidRPr="00D15EDB">
        <w:rPr>
          <w:rFonts w:ascii="Times New Roman" w:hAnsi="Times New Roman"/>
          <w:b/>
          <w:sz w:val="26"/>
          <w:szCs w:val="26"/>
        </w:rPr>
        <w:t xml:space="preserve">noteikts juridiski saistošs mērķis, kas paredz, ka no atjaunojamiem energoresursiem iegūtas enerģijas īpatsvaram kopējā enerģijas gala patēriņā jābūt vismaz 40% līdz 2020.gadam. </w:t>
      </w:r>
    </w:p>
    <w:p w:rsidR="00376E46" w:rsidRPr="00D15EDB" w:rsidRDefault="00376E46" w:rsidP="00D15EDB">
      <w:pPr>
        <w:autoSpaceDE w:val="0"/>
        <w:autoSpaceDN w:val="0"/>
        <w:adjustRightInd w:val="0"/>
        <w:spacing w:before="120" w:after="120" w:line="240" w:lineRule="auto"/>
        <w:jc w:val="both"/>
        <w:rPr>
          <w:rFonts w:ascii="Times New Roman" w:hAnsi="Times New Roman"/>
          <w:sz w:val="26"/>
          <w:szCs w:val="26"/>
          <w:highlight w:val="yellow"/>
        </w:rPr>
      </w:pPr>
      <w:r w:rsidRPr="00D15EDB">
        <w:rPr>
          <w:rFonts w:ascii="Times New Roman" w:hAnsi="Times New Roman"/>
          <w:sz w:val="26"/>
          <w:szCs w:val="26"/>
        </w:rPr>
        <w:t>Ņemot vērā, ka līdz Direktīvas 2009/28/EK pieņemšanai Latvija jau bija sasniegusi augstu atjaunojamās enerģijas īpatsvaru (par izejas punktu tika izmantots 2005.gadam tobrīd aprēķinātais atjaunojamās enerģijas īpatsvars 32,6% apmērā),</w:t>
      </w:r>
      <w:r w:rsidRPr="00D15EDB">
        <w:rPr>
          <w:rFonts w:ascii="Times New Roman" w:hAnsi="Times New Roman"/>
          <w:b/>
          <w:sz w:val="26"/>
          <w:szCs w:val="26"/>
        </w:rPr>
        <w:t xml:space="preserve"> sākotnēji noteiktais atjaunojamās enerģijas īpatsvars Latvijai bija 42%, kas diskusiju gaitā ar Eiropas Komisiju par Direktīvu 2009/28/EK tika samazināts par 2 procentpunktiem. Tādejādi Latvijai izdevās panākt mazāko iespējamo juridiski saistošo mērķi 2020.gadam, nekā bija iepriekš plānots. </w:t>
      </w:r>
      <w:r w:rsidRPr="00D15EDB">
        <w:rPr>
          <w:rFonts w:ascii="Times New Roman" w:hAnsi="Times New Roman"/>
          <w:sz w:val="26"/>
          <w:szCs w:val="26"/>
        </w:rPr>
        <w:t>Vienlaikus jānorāda, ka Latvijai tādējādi tika noteikts sestais zemākais procentpunktu pieaugums starp visām ES dalībvalstīm un zemāks procentpunktu pieaugums kā valstīm ar tobrīd līdzīgu atjaunojamās enerģijas īpatsvaru – Somijai un Zviedrijai. Turklāt procentuālais atjaunojamās enerģijas īpatsvara mērķa pieaugums (22,7%) Latvijai bija zemākais starp ES dalībvalstīm.</w:t>
      </w:r>
    </w:p>
    <w:p w:rsidR="00376E46" w:rsidRPr="00D15EDB" w:rsidRDefault="00376E46" w:rsidP="00376E46">
      <w:pPr>
        <w:pStyle w:val="paragraph"/>
        <w:spacing w:before="120" w:beforeAutospacing="0" w:after="120" w:afterAutospacing="0"/>
        <w:jc w:val="both"/>
        <w:textAlignment w:val="baseline"/>
        <w:rPr>
          <w:sz w:val="26"/>
          <w:szCs w:val="26"/>
        </w:rPr>
      </w:pPr>
      <w:r w:rsidRPr="00592E2D">
        <w:rPr>
          <w:sz w:val="26"/>
          <w:szCs w:val="26"/>
        </w:rPr>
        <w:t>Savukārt transporta sektorā saskaņā ar Direktīvas 2009/28/EK 3.panta 4.punktu visām ES dalībvalstīm 2020.gadā ir jānodrošina, ka no atjaunojamiem energoresu</w:t>
      </w:r>
      <w:r w:rsidRPr="00D15EDB">
        <w:rPr>
          <w:sz w:val="26"/>
          <w:szCs w:val="26"/>
        </w:rPr>
        <w:t xml:space="preserve">rsiem saražotas enerģijas īpatsvars ir </w:t>
      </w:r>
      <w:r w:rsidRPr="00D15EDB">
        <w:rPr>
          <w:b/>
          <w:bCs/>
          <w:sz w:val="26"/>
          <w:szCs w:val="26"/>
        </w:rPr>
        <w:t xml:space="preserve">vismaz 10% </w:t>
      </w:r>
      <w:r w:rsidRPr="00D15EDB">
        <w:rPr>
          <w:sz w:val="26"/>
          <w:szCs w:val="26"/>
        </w:rPr>
        <w:t xml:space="preserve">no enerģijas </w:t>
      </w:r>
      <w:proofErr w:type="spellStart"/>
      <w:r w:rsidRPr="00D15EDB">
        <w:rPr>
          <w:sz w:val="26"/>
          <w:szCs w:val="26"/>
        </w:rPr>
        <w:t>galapatēriņa</w:t>
      </w:r>
      <w:proofErr w:type="spellEnd"/>
      <w:r w:rsidRPr="00D15EDB">
        <w:rPr>
          <w:sz w:val="26"/>
          <w:szCs w:val="26"/>
        </w:rPr>
        <w:t>.</w:t>
      </w:r>
    </w:p>
    <w:p w:rsidR="00376E46" w:rsidRPr="00D15EDB" w:rsidRDefault="00376E46" w:rsidP="00376E46">
      <w:pPr>
        <w:pStyle w:val="paragraph"/>
        <w:spacing w:before="120" w:beforeAutospacing="0" w:after="120" w:afterAutospacing="0"/>
        <w:jc w:val="both"/>
        <w:textAlignment w:val="baseline"/>
        <w:rPr>
          <w:sz w:val="26"/>
          <w:szCs w:val="26"/>
        </w:rPr>
      </w:pPr>
      <w:r w:rsidRPr="00D15EDB">
        <w:rPr>
          <w:b/>
          <w:sz w:val="26"/>
          <w:szCs w:val="26"/>
        </w:rPr>
        <w:t>Direktīvas 2009/28/EK mērķi ir ietverti Latvijas politikas plānošanas dokumentos</w:t>
      </w:r>
      <w:r w:rsidRPr="00D15EDB">
        <w:rPr>
          <w:sz w:val="26"/>
          <w:szCs w:val="26"/>
        </w:rPr>
        <w:t>, tai skaitā:</w:t>
      </w:r>
    </w:p>
    <w:p w:rsidR="00376E46" w:rsidRPr="00D15EDB" w:rsidRDefault="00376E46" w:rsidP="00376E46">
      <w:pPr>
        <w:pStyle w:val="Default"/>
        <w:spacing w:before="120" w:after="120"/>
        <w:jc w:val="both"/>
        <w:rPr>
          <w:sz w:val="26"/>
          <w:szCs w:val="26"/>
        </w:rPr>
      </w:pPr>
      <w:r w:rsidRPr="00D15EDB">
        <w:rPr>
          <w:sz w:val="26"/>
          <w:szCs w:val="26"/>
        </w:rPr>
        <w:t xml:space="preserve">- </w:t>
      </w:r>
      <w:r w:rsidRPr="00D15EDB">
        <w:rPr>
          <w:i/>
          <w:iCs/>
          <w:sz w:val="26"/>
          <w:szCs w:val="26"/>
        </w:rPr>
        <w:t>Latvijas nacionālā reformu programmā "ES 2020" stratēģijas īstenošanai</w:t>
      </w:r>
      <w:r w:rsidRPr="00D15EDB">
        <w:rPr>
          <w:sz w:val="26"/>
          <w:szCs w:val="26"/>
          <w:vertAlign w:val="superscript"/>
        </w:rPr>
        <w:t>5</w:t>
      </w:r>
      <w:r w:rsidR="00A74C7E" w:rsidRPr="00D15EDB">
        <w:rPr>
          <w:sz w:val="26"/>
          <w:szCs w:val="26"/>
        </w:rPr>
        <w:t xml:space="preserve"> (turpmāk </w:t>
      </w:r>
      <w:r w:rsidRPr="00D15EDB">
        <w:rPr>
          <w:sz w:val="26"/>
          <w:szCs w:val="26"/>
        </w:rPr>
        <w:t xml:space="preserve">– Latvijas NRP). Latvijas NRP ir definēti Latvijas kvantitatīvie mērķi 2020. gadam un galvenie pasākumi to sasniegšanai. </w:t>
      </w:r>
    </w:p>
    <w:p w:rsidR="00376E46" w:rsidRPr="00D15EDB" w:rsidRDefault="00376E46" w:rsidP="00376E46">
      <w:pPr>
        <w:pStyle w:val="Default"/>
        <w:spacing w:before="120" w:after="120"/>
        <w:jc w:val="both"/>
        <w:rPr>
          <w:sz w:val="26"/>
          <w:szCs w:val="26"/>
        </w:rPr>
      </w:pPr>
      <w:r w:rsidRPr="00D15EDB">
        <w:rPr>
          <w:sz w:val="26"/>
          <w:szCs w:val="26"/>
        </w:rPr>
        <w:t>- 2012.gada 20.decembrī Saeima apstiprināja hierarhiski augstāko nacionāla līmeņa vidēja termiņa plānošanas dokumentu "</w:t>
      </w:r>
      <w:r w:rsidRPr="00D15EDB">
        <w:rPr>
          <w:i/>
          <w:iCs/>
          <w:sz w:val="26"/>
          <w:szCs w:val="26"/>
        </w:rPr>
        <w:t>Latvijas Nacionālais attīstības plāns 2014.-2020. gadam</w:t>
      </w:r>
      <w:r w:rsidRPr="00D15EDB">
        <w:rPr>
          <w:sz w:val="26"/>
          <w:szCs w:val="26"/>
        </w:rPr>
        <w:t>" (turpmāk - NAP2020), kas ir cieši saistīts ar "</w:t>
      </w:r>
      <w:r w:rsidRPr="00D15EDB">
        <w:rPr>
          <w:i/>
          <w:iCs/>
          <w:sz w:val="26"/>
          <w:szCs w:val="26"/>
        </w:rPr>
        <w:t>Latvijas Ilgtspējīgas attīstības stratēģiju līdz 2030. gadam</w:t>
      </w:r>
      <w:r w:rsidRPr="00D15EDB">
        <w:rPr>
          <w:sz w:val="26"/>
          <w:szCs w:val="26"/>
        </w:rPr>
        <w:t xml:space="preserve">" un Latvijas NRP. NAP2020 mērķa rādītājs 196.punktā noteikts no atjaunojamiem energoresursiem saražotās enerģijas īpatsvars kopējā bruto enerģijas </w:t>
      </w:r>
      <w:proofErr w:type="spellStart"/>
      <w:r w:rsidRPr="00D15EDB">
        <w:rPr>
          <w:sz w:val="26"/>
          <w:szCs w:val="26"/>
        </w:rPr>
        <w:t>galapatēriņā</w:t>
      </w:r>
      <w:proofErr w:type="spellEnd"/>
      <w:r w:rsidRPr="00D15EDB">
        <w:rPr>
          <w:sz w:val="26"/>
          <w:szCs w:val="26"/>
        </w:rPr>
        <w:t xml:space="preserve"> vismaz 40% 2020. gadā.</w:t>
      </w:r>
      <w:r w:rsidRPr="00D15EDB">
        <w:rPr>
          <w:sz w:val="26"/>
          <w:szCs w:val="26"/>
          <w:vertAlign w:val="superscript"/>
        </w:rPr>
        <w:t xml:space="preserve">6 </w:t>
      </w:r>
    </w:p>
    <w:p w:rsidR="00376E46" w:rsidRPr="00592E2D" w:rsidRDefault="00376E46" w:rsidP="00376E46">
      <w:pPr>
        <w:pStyle w:val="Default"/>
        <w:spacing w:before="120" w:after="120"/>
        <w:jc w:val="both"/>
        <w:rPr>
          <w:sz w:val="26"/>
          <w:szCs w:val="26"/>
        </w:rPr>
      </w:pPr>
      <w:r w:rsidRPr="00D15EDB">
        <w:rPr>
          <w:sz w:val="26"/>
          <w:szCs w:val="26"/>
        </w:rPr>
        <w:t>- Ministru kabineta 2016.gada 9.februāra rīkojumu Nr.129 apstiprināts enerģētikas politikas plānošanas dokuments “</w:t>
      </w:r>
      <w:r w:rsidRPr="00D15EDB">
        <w:rPr>
          <w:i/>
          <w:iCs/>
          <w:sz w:val="26"/>
          <w:szCs w:val="26"/>
        </w:rPr>
        <w:t>Enerģētikas attīstības pamatnostādnes 2016-2020. gadam</w:t>
      </w:r>
      <w:r w:rsidRPr="00D15EDB">
        <w:rPr>
          <w:sz w:val="26"/>
          <w:szCs w:val="26"/>
        </w:rPr>
        <w:t>”</w:t>
      </w:r>
      <w:r w:rsidRPr="00592E2D">
        <w:rPr>
          <w:rStyle w:val="FootnoteReference"/>
          <w:sz w:val="26"/>
          <w:szCs w:val="26"/>
        </w:rPr>
        <w:footnoteReference w:id="12"/>
      </w:r>
      <w:r w:rsidRPr="00592E2D">
        <w:rPr>
          <w:sz w:val="26"/>
          <w:szCs w:val="26"/>
        </w:rPr>
        <w:t xml:space="preserve">. </w:t>
      </w:r>
    </w:p>
    <w:p w:rsidR="00376E46" w:rsidRPr="00D15EDB" w:rsidRDefault="00376E46" w:rsidP="00376E46">
      <w:pPr>
        <w:pStyle w:val="Default"/>
        <w:spacing w:before="120" w:after="120"/>
        <w:jc w:val="both"/>
        <w:rPr>
          <w:b/>
          <w:sz w:val="26"/>
          <w:szCs w:val="26"/>
        </w:rPr>
      </w:pPr>
      <w:r w:rsidRPr="00D15EDB">
        <w:rPr>
          <w:sz w:val="26"/>
          <w:szCs w:val="26"/>
        </w:rPr>
        <w:lastRenderedPageBreak/>
        <w:t xml:space="preserve">- Latvija, tāpat kā citas ES dalībvalstis 2010.gadā izstrādājušas Rīcības plānu atjaunojamās enerģijas izmantošanas veicināšanai (turpmāk – Rīcības plāns), kas apkopo līdz 2020.gadam nacionāli īstenojamus un plānotus pasākumus atjaunojamās enerģijas veicināšanai un mērķa sasniegšanai. Rīcības plāns tika izstrādāts atbilstoši Eiropas Komisijas 2009.gada 30.jūnija lēmumam Nr. L 182/33, ar ko izveido paraugu valsts rīcības plāniem atjaunojamās enerģijas jomā atbilstoši Direktīvai 2009/28/EK, un izskatīts Ministru kabineta 2010.gada 12.oktobra sēdē (prot. Nr. 52, 44.§), sekojoši iesniegts Eiropas Komisijā. Tāpat Latvija ir ieviesusi Direktīvas 2009/28/EK normas nacionālajos tiesību aktos. Kā </w:t>
      </w:r>
      <w:r w:rsidRPr="00D15EDB">
        <w:rPr>
          <w:b/>
          <w:sz w:val="26"/>
          <w:szCs w:val="26"/>
        </w:rPr>
        <w:t xml:space="preserve">viens no galvenajiem instrumentiem mērķa sasniegšanai Rīcības plānā tika minēts atbalsta pasākums – </w:t>
      </w:r>
      <w:r w:rsidRPr="00D15EDB">
        <w:rPr>
          <w:b/>
          <w:i/>
          <w:iCs/>
          <w:sz w:val="26"/>
          <w:szCs w:val="26"/>
        </w:rPr>
        <w:t>elektroenerģijas obligātais iepirkums elektroenerģijas ražošanas iekārtās, kurās elektroenerģijas ražošanai izmanto atjaunojamos energoresursus</w:t>
      </w:r>
      <w:r w:rsidRPr="00D15EDB">
        <w:rPr>
          <w:b/>
          <w:sz w:val="26"/>
          <w:szCs w:val="26"/>
        </w:rPr>
        <w:t>.</w:t>
      </w:r>
    </w:p>
    <w:p w:rsidR="00376E46" w:rsidRPr="00D15EDB" w:rsidRDefault="00376E46" w:rsidP="00376E46">
      <w:pPr>
        <w:pStyle w:val="Default"/>
        <w:spacing w:before="120" w:after="120"/>
        <w:jc w:val="both"/>
        <w:rPr>
          <w:b/>
          <w:sz w:val="26"/>
          <w:szCs w:val="26"/>
        </w:rPr>
      </w:pPr>
      <w:r w:rsidRPr="00D15EDB">
        <w:rPr>
          <w:sz w:val="26"/>
          <w:szCs w:val="26"/>
        </w:rPr>
        <w:t>Saskaņā ar Direktīvas 2018/2001</w:t>
      </w:r>
      <w:r w:rsidRPr="00592E2D">
        <w:rPr>
          <w:rStyle w:val="FootnoteReference"/>
          <w:sz w:val="26"/>
          <w:szCs w:val="26"/>
        </w:rPr>
        <w:footnoteReference w:id="13"/>
      </w:r>
      <w:r w:rsidRPr="00592E2D">
        <w:rPr>
          <w:sz w:val="26"/>
          <w:szCs w:val="26"/>
        </w:rPr>
        <w:t xml:space="preserve"> 3.panta 1.punktu ir noteikts, ka no atjaunojamiem energ</w:t>
      </w:r>
      <w:r w:rsidRPr="00D15EDB">
        <w:rPr>
          <w:sz w:val="26"/>
          <w:szCs w:val="26"/>
        </w:rPr>
        <w:t xml:space="preserve">oresursiem iegūtas enerģijas īpatsvaram </w:t>
      </w:r>
      <w:r w:rsidRPr="00D15EDB">
        <w:rPr>
          <w:b/>
          <w:sz w:val="26"/>
          <w:szCs w:val="26"/>
        </w:rPr>
        <w:t xml:space="preserve">ES enerģijas bruto </w:t>
      </w:r>
      <w:proofErr w:type="spellStart"/>
      <w:r w:rsidRPr="00D15EDB">
        <w:rPr>
          <w:b/>
          <w:sz w:val="26"/>
          <w:szCs w:val="26"/>
        </w:rPr>
        <w:t>galapatēriņā</w:t>
      </w:r>
      <w:proofErr w:type="spellEnd"/>
      <w:r w:rsidRPr="00D15EDB">
        <w:rPr>
          <w:b/>
          <w:sz w:val="26"/>
          <w:szCs w:val="26"/>
        </w:rPr>
        <w:t xml:space="preserve"> līdz 2030.gadam ir jāsasniedz vismaz 32% un ES dalībvalstīm, tai skaitā Latvijai ir jāsniedz ieguldījums šī mērķa sasniegšanai. </w:t>
      </w:r>
    </w:p>
    <w:p w:rsidR="00376E46" w:rsidRPr="00D15EDB" w:rsidRDefault="00376E46" w:rsidP="00376E46">
      <w:pPr>
        <w:pStyle w:val="Default"/>
        <w:spacing w:before="120" w:after="120"/>
        <w:jc w:val="both"/>
        <w:rPr>
          <w:sz w:val="26"/>
          <w:szCs w:val="26"/>
        </w:rPr>
      </w:pPr>
      <w:r w:rsidRPr="00D15EDB">
        <w:rPr>
          <w:sz w:val="26"/>
          <w:szCs w:val="26"/>
        </w:rPr>
        <w:t>Šādu pienākumu nosaka gan Direktīva 2018/2001, gan Regula 2018/1999 par enerģētikas savienības un rīcības klimata politikas jomā pārvaldību</w:t>
      </w:r>
      <w:r w:rsidRPr="00592E2D">
        <w:rPr>
          <w:rStyle w:val="FootnoteReference"/>
          <w:sz w:val="26"/>
          <w:szCs w:val="26"/>
        </w:rPr>
        <w:footnoteReference w:id="14"/>
      </w:r>
      <w:r w:rsidRPr="00592E2D">
        <w:rPr>
          <w:sz w:val="26"/>
          <w:szCs w:val="26"/>
        </w:rPr>
        <w:t xml:space="preserve">. Turklāt saskaņā ar minētajiem ES tiesību aktiem </w:t>
      </w:r>
      <w:r w:rsidRPr="00D15EDB">
        <w:rPr>
          <w:b/>
          <w:sz w:val="26"/>
          <w:szCs w:val="26"/>
        </w:rPr>
        <w:t xml:space="preserve">Latvijai tāpat kā citām ES dalībvalstīm ir pienākums nodrošināt, ka pēc 2020.gada no atjaunojamiem energoresursiem saražotas enerģijas īpatsvars enerģijas bruto </w:t>
      </w:r>
      <w:proofErr w:type="spellStart"/>
      <w:r w:rsidRPr="00D15EDB">
        <w:rPr>
          <w:b/>
          <w:sz w:val="26"/>
          <w:szCs w:val="26"/>
        </w:rPr>
        <w:t>galapatēriņā</w:t>
      </w:r>
      <w:proofErr w:type="spellEnd"/>
      <w:r w:rsidRPr="00D15EDB">
        <w:rPr>
          <w:b/>
          <w:sz w:val="26"/>
          <w:szCs w:val="26"/>
        </w:rPr>
        <w:t xml:space="preserve"> ir ne mazāks par 2020.gada mērķa bāzes līmeni – 40%</w:t>
      </w:r>
      <w:r w:rsidRPr="00D15EDB">
        <w:rPr>
          <w:sz w:val="26"/>
          <w:szCs w:val="26"/>
        </w:rPr>
        <w:t>. Savukārt gadījumā, ja tas netiek ievērtos, saskaņā ar Regulas 2018/1999 32.panta 4. punktu dalībvalstij ir juridiski saistošs pienākums viena gada laikā pēc neizpildes iestāšanās nodrošināt vismaz 2020.gada atjaunojamās enerģijas īpatsvara mērķa bāzes līmeni.</w:t>
      </w:r>
    </w:p>
    <w:p w:rsidR="00376E46" w:rsidRPr="00D15EDB" w:rsidRDefault="00376E46" w:rsidP="00376E46">
      <w:pPr>
        <w:pStyle w:val="Default"/>
        <w:spacing w:before="120" w:after="120"/>
        <w:jc w:val="both"/>
        <w:rPr>
          <w:sz w:val="26"/>
          <w:szCs w:val="26"/>
        </w:rPr>
      </w:pPr>
      <w:proofErr w:type="spellStart"/>
      <w:r w:rsidRPr="00D15EDB">
        <w:rPr>
          <w:sz w:val="26"/>
          <w:szCs w:val="26"/>
        </w:rPr>
        <w:t>Citastarp</w:t>
      </w:r>
      <w:proofErr w:type="spellEnd"/>
      <w:r w:rsidRPr="00D15EDB">
        <w:rPr>
          <w:sz w:val="26"/>
          <w:szCs w:val="26"/>
        </w:rPr>
        <w:t xml:space="preserve"> Direktīvas 2018/2001 25. panta 1.punkts paredz, ka uz degvielas piegādātājiem jāuzliek tādi pienākumi, kas nodrošina, ka 2030.gadā katrā ES dalībvalstī no AER iegūtas enerģijas īpatsvars veido 14% no transporta </w:t>
      </w:r>
      <w:proofErr w:type="spellStart"/>
      <w:r w:rsidRPr="00D15EDB">
        <w:rPr>
          <w:sz w:val="26"/>
          <w:szCs w:val="26"/>
        </w:rPr>
        <w:t>galapatēriņā</w:t>
      </w:r>
      <w:proofErr w:type="spellEnd"/>
      <w:r w:rsidRPr="00D15EDB">
        <w:rPr>
          <w:sz w:val="26"/>
          <w:szCs w:val="26"/>
        </w:rPr>
        <w:t>. Direktīvas 2018/2001 25.panta 1.punkts nosaka arī to, ka degvielas piegādātājiem jāuzliek pienākums realizēt biodegvielas un/vai biogāzi/</w:t>
      </w:r>
      <w:proofErr w:type="spellStart"/>
      <w:r w:rsidRPr="00D15EDB">
        <w:rPr>
          <w:sz w:val="26"/>
          <w:szCs w:val="26"/>
        </w:rPr>
        <w:t>biometānu</w:t>
      </w:r>
      <w:proofErr w:type="spellEnd"/>
      <w:r w:rsidRPr="00D15EDB">
        <w:rPr>
          <w:sz w:val="26"/>
          <w:szCs w:val="26"/>
        </w:rPr>
        <w:t>, kas iegūts no Direktīvas 2018/2001 IX pielikuma A daļā norādītajām izejvielām (“</w:t>
      </w:r>
      <w:proofErr w:type="spellStart"/>
      <w:r w:rsidRPr="00D15EDB">
        <w:rPr>
          <w:i/>
          <w:sz w:val="26"/>
          <w:szCs w:val="26"/>
        </w:rPr>
        <w:t>advanced</w:t>
      </w:r>
      <w:proofErr w:type="spellEnd"/>
      <w:r w:rsidRPr="00D15EDB">
        <w:rPr>
          <w:i/>
          <w:sz w:val="26"/>
          <w:szCs w:val="26"/>
        </w:rPr>
        <w:t xml:space="preserve"> </w:t>
      </w:r>
      <w:proofErr w:type="spellStart"/>
      <w:r w:rsidRPr="00D15EDB">
        <w:rPr>
          <w:i/>
          <w:sz w:val="26"/>
          <w:szCs w:val="26"/>
        </w:rPr>
        <w:t>biofuels</w:t>
      </w:r>
      <w:proofErr w:type="spellEnd"/>
      <w:r w:rsidRPr="00D15EDB">
        <w:rPr>
          <w:sz w:val="26"/>
          <w:szCs w:val="26"/>
        </w:rPr>
        <w:t>” jeb modernās biodegvielas), paredzot, ka 2022.gadā 0,2% no kopējā AER īpatsvara transporta sektorā veido šādu biodegvielu un biogāzes/</w:t>
      </w:r>
      <w:proofErr w:type="spellStart"/>
      <w:r w:rsidRPr="00D15EDB">
        <w:rPr>
          <w:sz w:val="26"/>
          <w:szCs w:val="26"/>
        </w:rPr>
        <w:t>biometāna</w:t>
      </w:r>
      <w:proofErr w:type="spellEnd"/>
      <w:r w:rsidRPr="00D15EDB">
        <w:rPr>
          <w:sz w:val="26"/>
          <w:szCs w:val="26"/>
        </w:rPr>
        <w:t xml:space="preserve"> patēriņš, tam pieaugot līdz 3,5% 2030.gadā. Tomēr, ja valsts izlemj, ka biodegvielu, kas iegūtas no pārtikas un dzīvnieku barības kultūraugiem</w:t>
      </w:r>
      <w:r w:rsidRPr="00592E2D">
        <w:rPr>
          <w:rStyle w:val="FootnoteReference"/>
          <w:sz w:val="26"/>
          <w:szCs w:val="26"/>
        </w:rPr>
        <w:footnoteReference w:id="15"/>
      </w:r>
      <w:r w:rsidRPr="00592E2D">
        <w:rPr>
          <w:sz w:val="26"/>
          <w:szCs w:val="26"/>
        </w:rPr>
        <w:t xml:space="preserve"> ieskaite atjaunojamās enerģijas mērķī transportā ir jāierobežo zem 7% no transporta sektora </w:t>
      </w:r>
      <w:proofErr w:type="spellStart"/>
      <w:r w:rsidRPr="00592E2D">
        <w:rPr>
          <w:sz w:val="26"/>
          <w:szCs w:val="26"/>
        </w:rPr>
        <w:t>galapatēriņa</w:t>
      </w:r>
      <w:proofErr w:type="spellEnd"/>
      <w:r w:rsidRPr="00592E2D">
        <w:rPr>
          <w:sz w:val="26"/>
          <w:szCs w:val="26"/>
        </w:rPr>
        <w:t>, tā par proporcionālu daļu var samazinā</w:t>
      </w:r>
      <w:r w:rsidRPr="00D15EDB">
        <w:rPr>
          <w:sz w:val="26"/>
          <w:szCs w:val="26"/>
        </w:rPr>
        <w:t xml:space="preserve">t atjaunojamās enerģijas 14% mērķi transportā 2030.gadā.  </w:t>
      </w:r>
    </w:p>
    <w:p w:rsidR="00376E46" w:rsidRPr="00D15EDB" w:rsidRDefault="00376E46" w:rsidP="00376E46">
      <w:pPr>
        <w:pStyle w:val="Default"/>
        <w:spacing w:before="120" w:after="120"/>
        <w:jc w:val="both"/>
        <w:rPr>
          <w:sz w:val="26"/>
          <w:szCs w:val="26"/>
        </w:rPr>
      </w:pPr>
      <w:r w:rsidRPr="00D15EDB">
        <w:rPr>
          <w:sz w:val="26"/>
          <w:szCs w:val="26"/>
        </w:rPr>
        <w:lastRenderedPageBreak/>
        <w:t>Saskaņā ar Regulas 2018/1999 3.panta 1.punktu Latvijai tāpat kā citām ES dalībvalstīm ir jāizstrādā un līdz 2019.gada 31.decembrim EK jāiesniedz integrēts Nacionālais Enerģētikas un klimata plāns, paredzot pasākumus 2030.gada enerģētikas un klimata mērķu sasniegšanai, tai skaitā atjaunojamās enerģijas veicināšanas jomā</w:t>
      </w:r>
      <w:r w:rsidRPr="00D15EDB">
        <w:rPr>
          <w:b/>
          <w:sz w:val="26"/>
          <w:szCs w:val="26"/>
        </w:rPr>
        <w:t>. Līdz ar to OIK atcelšanas gadījumā ietekme būtu ne tikai uz 2020.gada AER mērķa sasniegšanu, bet arī attiecībā uz Latvijas valsts pienākumiem AER jomā laika posmā līdz 2030.gadam</w:t>
      </w:r>
      <w:r w:rsidRPr="00D15EDB">
        <w:rPr>
          <w:sz w:val="26"/>
          <w:szCs w:val="26"/>
        </w:rPr>
        <w:t>.</w:t>
      </w:r>
    </w:p>
    <w:p w:rsidR="00376E46" w:rsidRPr="00D15EDB" w:rsidRDefault="00376E46" w:rsidP="00376E46">
      <w:pPr>
        <w:pStyle w:val="paragraph"/>
        <w:spacing w:before="120" w:beforeAutospacing="0" w:after="120" w:afterAutospacing="0"/>
        <w:jc w:val="both"/>
        <w:textAlignment w:val="baseline"/>
        <w:rPr>
          <w:rFonts w:eastAsiaTheme="minorHAnsi"/>
          <w:b/>
          <w:i/>
          <w:color w:val="FF0000"/>
          <w:sz w:val="26"/>
          <w:szCs w:val="26"/>
          <w:lang w:eastAsia="en-US"/>
        </w:rPr>
      </w:pPr>
      <w:r w:rsidRPr="00D15EDB">
        <w:rPr>
          <w:sz w:val="26"/>
          <w:szCs w:val="26"/>
        </w:rPr>
        <w:t xml:space="preserve">Ekonomikas ministrija 2019.gada 4.martā saņēma EK 27.februāra vēstuli, kurā </w:t>
      </w:r>
      <w:r w:rsidRPr="00D15EDB">
        <w:rPr>
          <w:b/>
          <w:sz w:val="26"/>
          <w:szCs w:val="26"/>
        </w:rPr>
        <w:t>EK norāda par atjaunojamās enerģijas mērķu saistošo raksturu un dalībvalstu pienākumu ieviest atbilstošus pasākumus šo mērķu sasniegšanai</w:t>
      </w:r>
      <w:r w:rsidRPr="00D15EDB">
        <w:rPr>
          <w:sz w:val="26"/>
          <w:szCs w:val="26"/>
        </w:rPr>
        <w:t xml:space="preserve"> (skatīt </w:t>
      </w:r>
      <w:r w:rsidR="00DF1442">
        <w:rPr>
          <w:sz w:val="26"/>
          <w:szCs w:val="26"/>
        </w:rPr>
        <w:t xml:space="preserve">Likumprojekta anotācijas </w:t>
      </w:r>
      <w:r w:rsidR="003262AB">
        <w:rPr>
          <w:sz w:val="26"/>
          <w:szCs w:val="26"/>
        </w:rPr>
        <w:t>3</w:t>
      </w:r>
      <w:bookmarkStart w:id="5" w:name="_GoBack"/>
      <w:bookmarkEnd w:id="5"/>
      <w:r w:rsidRPr="00D15EDB">
        <w:rPr>
          <w:sz w:val="26"/>
          <w:szCs w:val="26"/>
        </w:rPr>
        <w:t xml:space="preserve">.pielikumu). </w:t>
      </w:r>
      <w:r w:rsidRPr="00D15EDB">
        <w:rPr>
          <w:b/>
          <w:sz w:val="26"/>
          <w:szCs w:val="26"/>
        </w:rPr>
        <w:t>EK ir arī norādījusi, ka ES Tiesa, vērtējot soda naudu apmēru, ņems vērā apstākļus, kas ietekmējuši dalībvalstij noteikto mērķu nesasniegšanu.</w:t>
      </w:r>
    </w:p>
    <w:p w:rsidR="008A26FB" w:rsidRPr="00D15EDB" w:rsidRDefault="00376E46" w:rsidP="00D15EDB">
      <w:pPr>
        <w:autoSpaceDE w:val="0"/>
        <w:autoSpaceDN w:val="0"/>
        <w:adjustRightInd w:val="0"/>
        <w:spacing w:before="120" w:after="120" w:line="240" w:lineRule="auto"/>
        <w:jc w:val="both"/>
        <w:rPr>
          <w:rFonts w:ascii="Times New Roman" w:hAnsi="Times New Roman"/>
          <w:sz w:val="26"/>
          <w:szCs w:val="26"/>
        </w:rPr>
      </w:pPr>
      <w:r w:rsidRPr="00D15EDB">
        <w:rPr>
          <w:rFonts w:ascii="Times New Roman" w:hAnsi="Times New Roman"/>
          <w:sz w:val="26"/>
          <w:szCs w:val="26"/>
        </w:rPr>
        <w:t xml:space="preserve">EK Latvijai minētajā vēstulē ir arī norādījusi, ka </w:t>
      </w:r>
      <w:r w:rsidRPr="00D15EDB">
        <w:rPr>
          <w:rFonts w:ascii="Times New Roman" w:hAnsi="Times New Roman"/>
          <w:b/>
          <w:sz w:val="26"/>
          <w:szCs w:val="26"/>
        </w:rPr>
        <w:t>līdz ar Direktīvu 2018/2001 dalībvalstīm, tai skaitā Latvijai, ir ES tiesību aktos noteikts pienākums nodrošināt AER projektiem piešķirtā valsts atbalsta stabilitāti,</w:t>
      </w:r>
      <w:r w:rsidRPr="00D15EDB">
        <w:rPr>
          <w:rFonts w:ascii="Times New Roman" w:hAnsi="Times New Roman"/>
          <w:sz w:val="26"/>
          <w:szCs w:val="26"/>
        </w:rPr>
        <w:t xml:space="preserve"> neapdraudot uzsākto projektu ekonomisko dzīvotspēju. OI mehānisma atcelšana būtu pretrunā minētajam ES tiesību principam.</w:t>
      </w:r>
    </w:p>
    <w:p w:rsidR="00376E46" w:rsidRPr="00D15EDB" w:rsidRDefault="008A26FB" w:rsidP="00AC3315">
      <w:pPr>
        <w:keepNext/>
        <w:keepLines/>
        <w:autoSpaceDE w:val="0"/>
        <w:autoSpaceDN w:val="0"/>
        <w:adjustRightInd w:val="0"/>
        <w:spacing w:before="120" w:after="120" w:line="240" w:lineRule="auto"/>
        <w:jc w:val="both"/>
        <w:rPr>
          <w:rFonts w:ascii="Times New Roman" w:hAnsi="Times New Roman"/>
          <w:sz w:val="26"/>
          <w:szCs w:val="26"/>
        </w:rPr>
      </w:pPr>
      <w:r w:rsidRPr="00D15EDB">
        <w:rPr>
          <w:rFonts w:ascii="Times New Roman" w:hAnsi="Times New Roman"/>
          <w:b/>
          <w:i/>
          <w:sz w:val="26"/>
          <w:szCs w:val="26"/>
        </w:rPr>
        <w:t>5</w:t>
      </w:r>
      <w:r w:rsidR="00FF117E" w:rsidRPr="00D15EDB">
        <w:rPr>
          <w:rFonts w:ascii="Times New Roman" w:hAnsi="Times New Roman"/>
          <w:b/>
          <w:i/>
          <w:sz w:val="26"/>
          <w:szCs w:val="26"/>
        </w:rPr>
        <w:t>) </w:t>
      </w:r>
      <w:r w:rsidR="00376E46" w:rsidRPr="00D15EDB">
        <w:rPr>
          <w:rFonts w:ascii="Times New Roman" w:hAnsi="Times New Roman"/>
          <w:b/>
          <w:i/>
          <w:sz w:val="26"/>
          <w:szCs w:val="26"/>
        </w:rPr>
        <w:t>Atbalsts augstas efektivitātes koģenerācijai</w:t>
      </w:r>
    </w:p>
    <w:p w:rsidR="00376E46" w:rsidRPr="00D15EDB" w:rsidRDefault="00376E46" w:rsidP="00AC3315">
      <w:pPr>
        <w:pStyle w:val="Default"/>
        <w:keepNext/>
        <w:keepLines/>
        <w:spacing w:before="120" w:after="120"/>
        <w:jc w:val="both"/>
        <w:rPr>
          <w:sz w:val="26"/>
          <w:szCs w:val="26"/>
        </w:rPr>
      </w:pPr>
      <w:r w:rsidRPr="00592E2D">
        <w:rPr>
          <w:sz w:val="26"/>
          <w:szCs w:val="26"/>
        </w:rPr>
        <w:t>Saskaņā ar Direktīvas 2012/27/ES</w:t>
      </w:r>
      <w:r w:rsidRPr="00592E2D">
        <w:rPr>
          <w:rStyle w:val="FootnoteReference"/>
          <w:sz w:val="26"/>
          <w:szCs w:val="26"/>
        </w:rPr>
        <w:footnoteReference w:id="16"/>
      </w:r>
      <w:r w:rsidRPr="00592E2D">
        <w:rPr>
          <w:sz w:val="26"/>
          <w:szCs w:val="26"/>
        </w:rPr>
        <w:t xml:space="preserve"> (Energoefektivitātes direktīva) 14.panta 2.punktu ES dalībvalstis pieņem politikas pasākumus, ar ko mudina vietējā un reģionālā līmenī pienācīgi ņemt vērā efektīvu siltumapgā</w:t>
      </w:r>
      <w:r w:rsidRPr="00D15EDB">
        <w:rPr>
          <w:sz w:val="26"/>
          <w:szCs w:val="26"/>
        </w:rPr>
        <w:t xml:space="preserve">des un dzesēšanas sistēmu izmantošanas potenciālu, jo īpaši tādu sistēmu, kurās tiek izmantota augstas efektivitātes koģenerācija. Izstrādājot pasākumus, dalībvalstīm  jāņem vērā vietēju un reģionālu siltumenerģijas tirgu attīstības potenciālu. </w:t>
      </w:r>
    </w:p>
    <w:p w:rsidR="00376E46" w:rsidRPr="00D15EDB" w:rsidRDefault="00376E46" w:rsidP="00376E46">
      <w:pPr>
        <w:pStyle w:val="Default"/>
        <w:spacing w:before="120" w:after="120"/>
        <w:jc w:val="both"/>
        <w:rPr>
          <w:sz w:val="26"/>
          <w:szCs w:val="26"/>
        </w:rPr>
      </w:pPr>
      <w:r w:rsidRPr="00D15EDB">
        <w:rPr>
          <w:sz w:val="26"/>
          <w:szCs w:val="26"/>
        </w:rPr>
        <w:t xml:space="preserve">Saskaņā ar Direktīvas 2012/27/ES 14.panta 11.punktu ES dalībvalstis nodrošina, ka jebkāds pieejamais koģenerācijas atbalsts tiek piešķirts tikai tad, ja elektroenerģija tiek ražota augstas efektivitātes koģenerācijas režīmā un siltuma pārpalikums tiek lietderīgi izmantots, lai panāktu primārās enerģijas ietaupījumu. </w:t>
      </w:r>
    </w:p>
    <w:p w:rsidR="00376E46" w:rsidRPr="00D15EDB" w:rsidRDefault="00376E46" w:rsidP="00376E46">
      <w:pPr>
        <w:pStyle w:val="Default"/>
        <w:spacing w:before="120" w:after="120"/>
        <w:jc w:val="both"/>
        <w:rPr>
          <w:sz w:val="26"/>
          <w:szCs w:val="26"/>
        </w:rPr>
      </w:pPr>
      <w:r w:rsidRPr="00D15EDB">
        <w:rPr>
          <w:sz w:val="26"/>
          <w:szCs w:val="26"/>
        </w:rPr>
        <w:t xml:space="preserve">Jānorāda, ka </w:t>
      </w:r>
      <w:r w:rsidRPr="00D15EDB">
        <w:rPr>
          <w:b/>
          <w:sz w:val="26"/>
          <w:szCs w:val="26"/>
        </w:rPr>
        <w:t>Direktīva 2012/27/ES aizstāj Direktīvu 2004/8/EK par tādas koģenerācijas veicināšanu, kas balstīta uz lietderīgā siltuma pieprasījumu iekšējā enerģijas tirgū</w:t>
      </w:r>
      <w:r w:rsidRPr="00592E2D">
        <w:rPr>
          <w:rStyle w:val="FootnoteReference"/>
          <w:b/>
          <w:sz w:val="26"/>
          <w:szCs w:val="26"/>
        </w:rPr>
        <w:footnoteReference w:id="17"/>
      </w:r>
      <w:r w:rsidRPr="00592E2D">
        <w:rPr>
          <w:b/>
          <w:sz w:val="26"/>
          <w:szCs w:val="26"/>
        </w:rPr>
        <w:t>, kas bija spēkā Latvijai iestājoties Eiropas Savienībā un kas attiecīgi bija jāpārņem nacionālajos normatīvajos aktos.</w:t>
      </w:r>
    </w:p>
    <w:p w:rsidR="00376E46" w:rsidRPr="00D15EDB" w:rsidRDefault="00376E46" w:rsidP="00376E46">
      <w:pPr>
        <w:pStyle w:val="paragraph"/>
        <w:spacing w:before="120" w:beforeAutospacing="0" w:after="120" w:afterAutospacing="0"/>
        <w:jc w:val="both"/>
        <w:textAlignment w:val="baseline"/>
        <w:rPr>
          <w:sz w:val="26"/>
          <w:szCs w:val="26"/>
        </w:rPr>
      </w:pPr>
      <w:r w:rsidRPr="00D15EDB">
        <w:rPr>
          <w:sz w:val="26"/>
          <w:szCs w:val="26"/>
        </w:rPr>
        <w:t>Tomēr ES līmenī nav noteikti ar koģenerāciju juridiski saistoši mērķi. Vienīgais mērķis, kas ar koģenerāciju tiešā veidā ir saistīts ir no Direktīvas 2012/27/ES izrietošais</w:t>
      </w:r>
      <w:r w:rsidRPr="00D15EDB">
        <w:rPr>
          <w:b/>
          <w:bCs/>
          <w:sz w:val="26"/>
          <w:szCs w:val="26"/>
        </w:rPr>
        <w:t xml:space="preserve"> primāro resursu ietaupījuma (energoefektivitātes) 2020.gada mērķis: primārās enerģijas patēriņš  2020.gadā ne lielāks par 5,37 </w:t>
      </w:r>
      <w:proofErr w:type="spellStart"/>
      <w:r w:rsidRPr="00D15EDB">
        <w:rPr>
          <w:b/>
          <w:bCs/>
          <w:sz w:val="26"/>
          <w:szCs w:val="26"/>
        </w:rPr>
        <w:t>Mtoe</w:t>
      </w:r>
      <w:proofErr w:type="spellEnd"/>
      <w:r w:rsidRPr="00D15EDB">
        <w:rPr>
          <w:sz w:val="26"/>
          <w:szCs w:val="26"/>
        </w:rPr>
        <w:t xml:space="preserve">. </w:t>
      </w:r>
    </w:p>
    <w:p w:rsidR="00FF117E" w:rsidRPr="00592E2D" w:rsidRDefault="00376E46" w:rsidP="00376E46">
      <w:pPr>
        <w:spacing w:before="240" w:after="120" w:line="240" w:lineRule="auto"/>
        <w:jc w:val="both"/>
        <w:rPr>
          <w:rFonts w:ascii="Times New Roman" w:hAnsi="Times New Roman"/>
          <w:b/>
          <w:bCs/>
          <w:sz w:val="26"/>
          <w:szCs w:val="26"/>
        </w:rPr>
      </w:pPr>
      <w:r w:rsidRPr="00D15EDB">
        <w:rPr>
          <w:rFonts w:ascii="Times New Roman" w:hAnsi="Times New Roman"/>
          <w:sz w:val="26"/>
          <w:szCs w:val="26"/>
        </w:rPr>
        <w:t xml:space="preserve">Savukārt uz 2030.gadu primārās enerģijas ietaupījuma mērķis Latvijai ir jāizvirza saskaņā ar Regulu 2018/1999 un Energoefektivitātes direktīvas grozījumiem, kas </w:t>
      </w:r>
      <w:r w:rsidRPr="00D15EDB">
        <w:rPr>
          <w:rFonts w:ascii="Times New Roman" w:hAnsi="Times New Roman"/>
          <w:sz w:val="26"/>
          <w:szCs w:val="26"/>
        </w:rPr>
        <w:lastRenderedPageBreak/>
        <w:t>izdarīti ar Direktīvu 2018/2002</w:t>
      </w:r>
      <w:r w:rsidRPr="00592E2D">
        <w:rPr>
          <w:rStyle w:val="FootnoteReference"/>
          <w:rFonts w:ascii="Times New Roman" w:hAnsi="Times New Roman"/>
          <w:sz w:val="26"/>
          <w:szCs w:val="26"/>
        </w:rPr>
        <w:footnoteReference w:id="18"/>
      </w:r>
      <w:r w:rsidRPr="00592E2D">
        <w:rPr>
          <w:rFonts w:ascii="Times New Roman" w:hAnsi="Times New Roman"/>
          <w:sz w:val="26"/>
          <w:szCs w:val="26"/>
        </w:rPr>
        <w:t>. Latvijas primārās enerģijas ietaupījuma mērķa priekšlikums 2030.gadam iesniegts Eiropas Komisijai ar Latvijas nacionālā Enerģētikas un klimata plāna projektu</w:t>
      </w:r>
      <w:r w:rsidRPr="00592E2D">
        <w:rPr>
          <w:rStyle w:val="FootnoteReference"/>
          <w:rFonts w:ascii="Times New Roman" w:hAnsi="Times New Roman"/>
          <w:sz w:val="26"/>
          <w:szCs w:val="26"/>
        </w:rPr>
        <w:footnoteReference w:id="19"/>
      </w:r>
      <w:r w:rsidRPr="00592E2D">
        <w:rPr>
          <w:rFonts w:ascii="Times New Roman" w:hAnsi="Times New Roman"/>
          <w:sz w:val="26"/>
          <w:szCs w:val="26"/>
        </w:rPr>
        <w:t xml:space="preserve">. </w:t>
      </w:r>
      <w:r w:rsidRPr="00592E2D">
        <w:rPr>
          <w:rFonts w:ascii="Times New Roman" w:hAnsi="Times New Roman"/>
          <w:b/>
          <w:bCs/>
          <w:sz w:val="26"/>
          <w:szCs w:val="26"/>
        </w:rPr>
        <w:t xml:space="preserve">Pašlaik plānotais </w:t>
      </w:r>
      <w:r w:rsidRPr="00D15EDB">
        <w:rPr>
          <w:rFonts w:ascii="Times New Roman" w:hAnsi="Times New Roman"/>
          <w:b/>
          <w:bCs/>
          <w:sz w:val="26"/>
          <w:szCs w:val="26"/>
        </w:rPr>
        <w:t>Latvijai nesaistošs primārās enerģijas ietaupījuma mērķis 2030.gadam:</w:t>
      </w:r>
      <w:r w:rsidR="00B67DA1" w:rsidRPr="00D15EDB">
        <w:rPr>
          <w:rFonts w:ascii="Times New Roman" w:hAnsi="Times New Roman"/>
          <w:b/>
          <w:bCs/>
          <w:sz w:val="26"/>
          <w:szCs w:val="26"/>
        </w:rPr>
        <w:t xml:space="preserve"> primārās enerģijas patēriņš 2030.gadā ne lielāks par 4,33 </w:t>
      </w:r>
      <w:proofErr w:type="spellStart"/>
      <w:r w:rsidR="00B67DA1" w:rsidRPr="00D15EDB">
        <w:rPr>
          <w:rFonts w:ascii="Times New Roman" w:hAnsi="Times New Roman"/>
          <w:b/>
          <w:bCs/>
          <w:sz w:val="26"/>
          <w:szCs w:val="26"/>
        </w:rPr>
        <w:t>Mtoe</w:t>
      </w:r>
      <w:proofErr w:type="spellEnd"/>
      <w:r w:rsidR="00B67DA1" w:rsidRPr="00D15EDB">
        <w:rPr>
          <w:rFonts w:ascii="Times New Roman" w:hAnsi="Times New Roman"/>
          <w:b/>
          <w:bCs/>
          <w:sz w:val="26"/>
          <w:szCs w:val="26"/>
        </w:rPr>
        <w:t>.</w:t>
      </w:r>
    </w:p>
    <w:p w:rsidR="00366728" w:rsidRPr="00D15EDB" w:rsidRDefault="00465CEC" w:rsidP="00D15EDB">
      <w:pPr>
        <w:spacing w:before="360" w:after="120" w:line="240" w:lineRule="auto"/>
        <w:rPr>
          <w:rFonts w:ascii="Times New Roman" w:hAnsi="Times New Roman"/>
          <w:b/>
          <w:sz w:val="26"/>
          <w:szCs w:val="26"/>
          <w:u w:val="single"/>
        </w:rPr>
      </w:pPr>
      <w:r w:rsidRPr="00D15EDB">
        <w:rPr>
          <w:rFonts w:ascii="Times New Roman" w:hAnsi="Times New Roman"/>
          <w:b/>
          <w:sz w:val="26"/>
          <w:szCs w:val="26"/>
          <w:u w:val="single"/>
        </w:rPr>
        <w:t>III. </w:t>
      </w:r>
      <w:r w:rsidR="004C6611" w:rsidRPr="00D15EDB">
        <w:rPr>
          <w:rFonts w:ascii="Times New Roman" w:hAnsi="Times New Roman"/>
          <w:b/>
          <w:sz w:val="26"/>
          <w:szCs w:val="26"/>
          <w:u w:val="single"/>
        </w:rPr>
        <w:t>Tiesiskais r</w:t>
      </w:r>
      <w:r w:rsidR="00F90BC8" w:rsidRPr="00D15EDB">
        <w:rPr>
          <w:rFonts w:ascii="Times New Roman" w:hAnsi="Times New Roman"/>
          <w:b/>
          <w:sz w:val="26"/>
          <w:szCs w:val="26"/>
          <w:u w:val="single"/>
        </w:rPr>
        <w:t>isinājums</w:t>
      </w:r>
      <w:r w:rsidR="00FE3561" w:rsidRPr="009D1E82">
        <w:rPr>
          <w:rFonts w:ascii="Times New Roman" w:hAnsi="Times New Roman"/>
          <w:b/>
          <w:sz w:val="26"/>
          <w:szCs w:val="26"/>
          <w:u w:val="single"/>
          <w:vertAlign w:val="superscript"/>
        </w:rPr>
        <w:footnoteReference w:id="20"/>
      </w:r>
    </w:p>
    <w:p w:rsidR="00D45E74" w:rsidRPr="00D15EDB" w:rsidRDefault="0005109F" w:rsidP="00D45E74">
      <w:pPr>
        <w:spacing w:before="120" w:after="120" w:line="240" w:lineRule="auto"/>
        <w:jc w:val="both"/>
        <w:rPr>
          <w:rFonts w:ascii="Times New Roman" w:hAnsi="Times New Roman"/>
          <w:sz w:val="26"/>
          <w:szCs w:val="26"/>
        </w:rPr>
      </w:pPr>
      <w:r w:rsidRPr="00592E2D">
        <w:rPr>
          <w:rFonts w:ascii="Times New Roman" w:hAnsi="Times New Roman"/>
          <w:sz w:val="26"/>
          <w:szCs w:val="26"/>
          <w:shd w:val="clear" w:color="auto" w:fill="FFFFFF"/>
        </w:rPr>
        <w:t xml:space="preserve">Lai </w:t>
      </w:r>
      <w:r w:rsidR="00327059" w:rsidRPr="00592E2D">
        <w:rPr>
          <w:rFonts w:ascii="Times New Roman" w:hAnsi="Times New Roman"/>
          <w:sz w:val="26"/>
          <w:szCs w:val="26"/>
          <w:shd w:val="clear" w:color="auto" w:fill="FFFFFF"/>
        </w:rPr>
        <w:t>varētu izpildīt</w:t>
      </w:r>
      <w:r w:rsidRPr="00D15EDB">
        <w:rPr>
          <w:rFonts w:ascii="Times New Roman" w:hAnsi="Times New Roman"/>
          <w:sz w:val="26"/>
          <w:szCs w:val="26"/>
          <w:shd w:val="clear" w:color="auto" w:fill="FFFFFF"/>
        </w:rPr>
        <w:t xml:space="preserve"> Saeimas </w:t>
      </w:r>
      <w:r w:rsidR="00705EEE" w:rsidRPr="00D15EDB">
        <w:rPr>
          <w:rFonts w:ascii="Times New Roman" w:hAnsi="Times New Roman"/>
          <w:sz w:val="26"/>
          <w:szCs w:val="26"/>
          <w:shd w:val="clear" w:color="auto" w:fill="FFFFFF"/>
        </w:rPr>
        <w:t xml:space="preserve">Lēmumu, ir </w:t>
      </w:r>
      <w:r w:rsidR="007852A5" w:rsidRPr="00D15EDB">
        <w:rPr>
          <w:rFonts w:ascii="Times New Roman" w:hAnsi="Times New Roman"/>
          <w:sz w:val="26"/>
          <w:szCs w:val="26"/>
          <w:shd w:val="clear" w:color="auto" w:fill="FFFFFF"/>
        </w:rPr>
        <w:t>jāpārskata</w:t>
      </w:r>
      <w:r w:rsidR="00393802" w:rsidRPr="00D15EDB">
        <w:rPr>
          <w:rFonts w:ascii="Times New Roman" w:hAnsi="Times New Roman"/>
          <w:sz w:val="26"/>
          <w:szCs w:val="26"/>
          <w:shd w:val="clear" w:color="auto" w:fill="FFFFFF"/>
        </w:rPr>
        <w:t xml:space="preserve"> normatīvais regulējums, ar ko ir izveidots šobrīd spēkā esošais </w:t>
      </w:r>
      <w:r w:rsidR="00692B3E" w:rsidRPr="00D15EDB">
        <w:rPr>
          <w:rFonts w:ascii="Times New Roman" w:hAnsi="Times New Roman"/>
          <w:sz w:val="26"/>
          <w:szCs w:val="26"/>
          <w:shd w:val="clear" w:color="auto" w:fill="FFFFFF"/>
        </w:rPr>
        <w:t>OI mehānisms</w:t>
      </w:r>
      <w:r w:rsidR="005D1EC0" w:rsidRPr="00D15EDB">
        <w:rPr>
          <w:rFonts w:ascii="Times New Roman" w:hAnsi="Times New Roman"/>
          <w:sz w:val="26"/>
          <w:szCs w:val="26"/>
          <w:shd w:val="clear" w:color="auto" w:fill="FFFFFF"/>
        </w:rPr>
        <w:t xml:space="preserve">. </w:t>
      </w:r>
    </w:p>
    <w:p w:rsidR="00D45E74" w:rsidRPr="00D15EDB" w:rsidRDefault="00D45E74" w:rsidP="00FF250B">
      <w:pPr>
        <w:spacing w:before="120" w:after="120" w:line="240" w:lineRule="auto"/>
        <w:jc w:val="both"/>
        <w:rPr>
          <w:rFonts w:ascii="Times New Roman" w:hAnsi="Times New Roman"/>
          <w:sz w:val="26"/>
          <w:szCs w:val="26"/>
          <w:shd w:val="clear" w:color="auto" w:fill="FFFFFF"/>
        </w:rPr>
      </w:pPr>
      <w:r w:rsidRPr="00D15EDB">
        <w:rPr>
          <w:rFonts w:ascii="Times New Roman" w:hAnsi="Times New Roman"/>
          <w:sz w:val="26"/>
          <w:szCs w:val="26"/>
          <w:shd w:val="clear" w:color="auto" w:fill="FFFFFF"/>
        </w:rPr>
        <w:t>Ņemot vērā minēto,</w:t>
      </w:r>
      <w:r w:rsidR="00CE17A9" w:rsidRPr="00D15EDB">
        <w:rPr>
          <w:rFonts w:ascii="Times New Roman" w:hAnsi="Times New Roman"/>
          <w:sz w:val="26"/>
          <w:szCs w:val="26"/>
          <w:shd w:val="clear" w:color="auto" w:fill="FFFFFF"/>
        </w:rPr>
        <w:t xml:space="preserve"> </w:t>
      </w:r>
      <w:r w:rsidR="00176181" w:rsidRPr="00D15EDB">
        <w:rPr>
          <w:rFonts w:ascii="Times New Roman" w:hAnsi="Times New Roman"/>
          <w:sz w:val="26"/>
          <w:szCs w:val="26"/>
          <w:shd w:val="clear" w:color="auto" w:fill="FFFFFF"/>
        </w:rPr>
        <w:t xml:space="preserve">Ekonomikas ministrija ir </w:t>
      </w:r>
      <w:r w:rsidR="00FE3697" w:rsidRPr="00D15EDB">
        <w:rPr>
          <w:rFonts w:ascii="Times New Roman" w:hAnsi="Times New Roman"/>
          <w:sz w:val="26"/>
          <w:szCs w:val="26"/>
          <w:shd w:val="clear" w:color="auto" w:fill="FFFFFF"/>
        </w:rPr>
        <w:t>izstrādājusi normatīvā akta projektu “Grozījumi Elektroenerģijas tirgus likumā”</w:t>
      </w:r>
      <w:r w:rsidR="000E6A90" w:rsidRPr="00D15EDB">
        <w:rPr>
          <w:rFonts w:ascii="Times New Roman" w:hAnsi="Times New Roman"/>
          <w:sz w:val="26"/>
          <w:szCs w:val="26"/>
          <w:shd w:val="clear" w:color="auto" w:fill="FFFFFF"/>
        </w:rPr>
        <w:t xml:space="preserve"> (turpmāk – Likumprojekts)</w:t>
      </w:r>
      <w:r w:rsidR="00472351" w:rsidRPr="00D15EDB">
        <w:rPr>
          <w:rFonts w:ascii="Times New Roman" w:hAnsi="Times New Roman"/>
          <w:sz w:val="26"/>
          <w:szCs w:val="26"/>
          <w:shd w:val="clear" w:color="auto" w:fill="FFFFFF"/>
        </w:rPr>
        <w:t xml:space="preserve">, ar ko paredzēts no Elektroenerģijas tirgus likuma </w:t>
      </w:r>
      <w:r w:rsidR="002346FD" w:rsidRPr="00D15EDB">
        <w:rPr>
          <w:rFonts w:ascii="Times New Roman" w:hAnsi="Times New Roman"/>
          <w:sz w:val="26"/>
          <w:szCs w:val="26"/>
          <w:shd w:val="clear" w:color="auto" w:fill="FFFFFF"/>
        </w:rPr>
        <w:t xml:space="preserve">(turpmāk – ETL) </w:t>
      </w:r>
      <w:r w:rsidR="00472351" w:rsidRPr="00D15EDB">
        <w:rPr>
          <w:rFonts w:ascii="Times New Roman" w:hAnsi="Times New Roman"/>
          <w:sz w:val="26"/>
          <w:szCs w:val="26"/>
          <w:shd w:val="clear" w:color="auto" w:fill="FFFFFF"/>
        </w:rPr>
        <w:t xml:space="preserve">izslēgt </w:t>
      </w:r>
      <w:r w:rsidR="006206A7" w:rsidRPr="00D15EDB">
        <w:rPr>
          <w:rFonts w:ascii="Times New Roman" w:hAnsi="Times New Roman"/>
          <w:sz w:val="26"/>
          <w:szCs w:val="26"/>
          <w:shd w:val="clear" w:color="auto" w:fill="FFFFFF"/>
        </w:rPr>
        <w:t xml:space="preserve">OIK un </w:t>
      </w:r>
      <w:r w:rsidR="00413323" w:rsidRPr="00D15EDB">
        <w:rPr>
          <w:rFonts w:ascii="Times New Roman" w:hAnsi="Times New Roman"/>
          <w:sz w:val="26"/>
          <w:szCs w:val="26"/>
          <w:shd w:val="clear" w:color="auto" w:fill="FFFFFF"/>
        </w:rPr>
        <w:t>OI mehānismu</w:t>
      </w:r>
      <w:r w:rsidR="00472351" w:rsidRPr="00D15EDB">
        <w:rPr>
          <w:rFonts w:ascii="Times New Roman" w:hAnsi="Times New Roman"/>
          <w:sz w:val="26"/>
          <w:szCs w:val="26"/>
          <w:shd w:val="clear" w:color="auto" w:fill="FFFFFF"/>
        </w:rPr>
        <w:t xml:space="preserve"> noteicošās tiesību normas</w:t>
      </w:r>
      <w:r w:rsidR="006B5C90" w:rsidRPr="00D15EDB">
        <w:rPr>
          <w:rFonts w:ascii="Times New Roman" w:hAnsi="Times New Roman"/>
          <w:sz w:val="26"/>
          <w:szCs w:val="26"/>
          <w:shd w:val="clear" w:color="auto" w:fill="FFFFFF"/>
        </w:rPr>
        <w:t xml:space="preserve"> un</w:t>
      </w:r>
      <w:r w:rsidR="000C4C4F" w:rsidRPr="00D15EDB">
        <w:rPr>
          <w:rFonts w:ascii="Times New Roman" w:hAnsi="Times New Roman"/>
          <w:sz w:val="26"/>
          <w:szCs w:val="26"/>
          <w:shd w:val="clear" w:color="auto" w:fill="FFFFFF"/>
        </w:rPr>
        <w:t xml:space="preserve"> veikt saistītus precizējumus.</w:t>
      </w:r>
    </w:p>
    <w:p w:rsidR="0044375F" w:rsidRPr="00D15EDB" w:rsidRDefault="000E6A90" w:rsidP="008744FB">
      <w:pPr>
        <w:spacing w:before="120" w:after="120" w:line="240" w:lineRule="auto"/>
        <w:jc w:val="both"/>
        <w:rPr>
          <w:rFonts w:ascii="Times New Roman" w:hAnsi="Times New Roman"/>
          <w:sz w:val="26"/>
          <w:szCs w:val="26"/>
          <w:shd w:val="clear" w:color="auto" w:fill="FFFFFF"/>
        </w:rPr>
      </w:pPr>
      <w:r w:rsidRPr="00D15EDB">
        <w:rPr>
          <w:rFonts w:ascii="Times New Roman" w:hAnsi="Times New Roman"/>
          <w:sz w:val="26"/>
          <w:szCs w:val="26"/>
          <w:shd w:val="clear" w:color="auto" w:fill="FFFFFF"/>
        </w:rPr>
        <w:t xml:space="preserve">Likumprojekts paredz </w:t>
      </w:r>
      <w:r w:rsidR="002346FD" w:rsidRPr="00D15EDB">
        <w:rPr>
          <w:rFonts w:ascii="Times New Roman" w:hAnsi="Times New Roman"/>
          <w:sz w:val="26"/>
          <w:szCs w:val="26"/>
          <w:shd w:val="clear" w:color="auto" w:fill="FFFFFF"/>
        </w:rPr>
        <w:t>ETL</w:t>
      </w:r>
      <w:r w:rsidR="0044375F" w:rsidRPr="00D15EDB">
        <w:rPr>
          <w:rFonts w:ascii="Times New Roman" w:hAnsi="Times New Roman"/>
          <w:sz w:val="26"/>
          <w:szCs w:val="26"/>
          <w:shd w:val="clear" w:color="auto" w:fill="FFFFFF"/>
        </w:rPr>
        <w:t>:</w:t>
      </w:r>
      <w:r w:rsidR="002346FD" w:rsidRPr="00D15EDB">
        <w:rPr>
          <w:rFonts w:ascii="Times New Roman" w:hAnsi="Times New Roman"/>
          <w:sz w:val="26"/>
          <w:szCs w:val="26"/>
          <w:shd w:val="clear" w:color="auto" w:fill="FFFFFF"/>
        </w:rPr>
        <w:t xml:space="preserve"> </w:t>
      </w:r>
    </w:p>
    <w:p w:rsidR="0044375F" w:rsidRPr="00D15EDB" w:rsidRDefault="00410C29" w:rsidP="00EC0D46">
      <w:pPr>
        <w:spacing w:before="60" w:after="0" w:line="240" w:lineRule="auto"/>
        <w:jc w:val="both"/>
        <w:rPr>
          <w:rFonts w:ascii="Times New Roman" w:hAnsi="Times New Roman"/>
          <w:sz w:val="26"/>
          <w:szCs w:val="26"/>
          <w:shd w:val="clear" w:color="auto" w:fill="FFFFFF"/>
        </w:rPr>
      </w:pPr>
      <w:r w:rsidRPr="00D15EDB">
        <w:rPr>
          <w:rFonts w:ascii="Times New Roman" w:hAnsi="Times New Roman"/>
          <w:sz w:val="26"/>
          <w:szCs w:val="26"/>
          <w:shd w:val="clear" w:color="auto" w:fill="FFFFFF"/>
        </w:rPr>
        <w:t>1) </w:t>
      </w:r>
      <w:r w:rsidR="002346FD" w:rsidRPr="00D15EDB">
        <w:rPr>
          <w:rFonts w:ascii="Times New Roman" w:hAnsi="Times New Roman"/>
          <w:sz w:val="26"/>
          <w:szCs w:val="26"/>
          <w:shd w:val="clear" w:color="auto" w:fill="FFFFFF"/>
        </w:rPr>
        <w:t>svītrot</w:t>
      </w:r>
      <w:r w:rsidR="008744FB" w:rsidRPr="00D15EDB">
        <w:rPr>
          <w:rFonts w:ascii="Times New Roman" w:hAnsi="Times New Roman"/>
          <w:sz w:val="26"/>
          <w:szCs w:val="26"/>
          <w:shd w:val="clear" w:color="auto" w:fill="FFFFFF"/>
        </w:rPr>
        <w:t xml:space="preserve"> </w:t>
      </w:r>
      <w:r w:rsidR="00A45BF3" w:rsidRPr="00D15EDB">
        <w:rPr>
          <w:rFonts w:ascii="Times New Roman" w:hAnsi="Times New Roman"/>
          <w:sz w:val="26"/>
          <w:szCs w:val="26"/>
          <w:shd w:val="clear" w:color="auto" w:fill="FFFFFF"/>
        </w:rPr>
        <w:t xml:space="preserve">obligātā </w:t>
      </w:r>
      <w:r w:rsidR="00A45BF3" w:rsidRPr="00D15EDB">
        <w:rPr>
          <w:rFonts w:ascii="Times New Roman" w:eastAsiaTheme="minorHAnsi" w:hAnsi="Times New Roman"/>
          <w:sz w:val="26"/>
          <w:szCs w:val="26"/>
          <w:shd w:val="clear" w:color="auto" w:fill="FFFFFF"/>
        </w:rPr>
        <w:t>iepirkuma un publiskā tirgotāja</w:t>
      </w:r>
      <w:r w:rsidR="00A45BF3" w:rsidRPr="00D15EDB">
        <w:rPr>
          <w:rFonts w:ascii="Times New Roman" w:hAnsi="Times New Roman"/>
          <w:sz w:val="26"/>
          <w:szCs w:val="26"/>
          <w:shd w:val="clear" w:color="auto" w:fill="FFFFFF"/>
        </w:rPr>
        <w:t xml:space="preserve"> jēdzienus</w:t>
      </w:r>
      <w:r w:rsidR="008744FB" w:rsidRPr="00D15EDB">
        <w:rPr>
          <w:rFonts w:ascii="Times New Roman" w:hAnsi="Times New Roman"/>
          <w:sz w:val="26"/>
          <w:szCs w:val="26"/>
          <w:shd w:val="clear" w:color="auto" w:fill="FFFFFF"/>
        </w:rPr>
        <w:t xml:space="preserve"> (1.panta 21., 25.punkts)</w:t>
      </w:r>
      <w:r w:rsidR="0044375F" w:rsidRPr="00D15EDB">
        <w:rPr>
          <w:rFonts w:ascii="Times New Roman" w:hAnsi="Times New Roman"/>
          <w:sz w:val="26"/>
          <w:szCs w:val="26"/>
          <w:shd w:val="clear" w:color="auto" w:fill="FFFFFF"/>
        </w:rPr>
        <w:t>;</w:t>
      </w:r>
    </w:p>
    <w:p w:rsidR="008727BA" w:rsidRPr="00D15EDB" w:rsidRDefault="0044375F" w:rsidP="00D15EDB">
      <w:pPr>
        <w:spacing w:before="120" w:after="120" w:line="240" w:lineRule="auto"/>
        <w:jc w:val="both"/>
        <w:rPr>
          <w:rFonts w:ascii="Times New Roman" w:eastAsia="Times New Roman" w:hAnsi="Times New Roman"/>
          <w:iCs/>
          <w:sz w:val="26"/>
          <w:szCs w:val="26"/>
          <w:lang w:eastAsia="lv-LV"/>
        </w:rPr>
      </w:pPr>
      <w:r w:rsidRPr="00D15EDB">
        <w:rPr>
          <w:rFonts w:ascii="Times New Roman" w:hAnsi="Times New Roman"/>
          <w:sz w:val="26"/>
          <w:szCs w:val="26"/>
          <w:shd w:val="clear" w:color="auto" w:fill="FFFFFF"/>
        </w:rPr>
        <w:t>2)</w:t>
      </w:r>
      <w:r w:rsidR="00410C29" w:rsidRPr="00D15EDB">
        <w:rPr>
          <w:rFonts w:ascii="Times New Roman" w:hAnsi="Times New Roman"/>
          <w:sz w:val="26"/>
          <w:szCs w:val="26"/>
          <w:shd w:val="clear" w:color="auto" w:fill="FFFFFF"/>
        </w:rPr>
        <w:t> </w:t>
      </w:r>
      <w:r w:rsidRPr="00D15EDB">
        <w:rPr>
          <w:rFonts w:ascii="Times New Roman" w:hAnsi="Times New Roman"/>
          <w:sz w:val="26"/>
          <w:szCs w:val="26"/>
          <w:shd w:val="clear" w:color="auto" w:fill="FFFFFF"/>
        </w:rPr>
        <w:t xml:space="preserve">svītrot tiesību normas, kas nosaka </w:t>
      </w:r>
      <w:r w:rsidR="00C11AD9" w:rsidRPr="00D15EDB">
        <w:rPr>
          <w:rFonts w:ascii="Times New Roman" w:hAnsi="Times New Roman"/>
          <w:sz w:val="26"/>
          <w:szCs w:val="26"/>
          <w:shd w:val="clear" w:color="auto" w:fill="FFFFFF"/>
        </w:rPr>
        <w:t xml:space="preserve">valsts atbalstu </w:t>
      </w:r>
      <w:r w:rsidR="00692B3E" w:rsidRPr="00D15EDB">
        <w:rPr>
          <w:rFonts w:ascii="Times New Roman" w:hAnsi="Times New Roman"/>
          <w:sz w:val="26"/>
          <w:szCs w:val="26"/>
          <w:shd w:val="clear" w:color="auto" w:fill="FFFFFF"/>
        </w:rPr>
        <w:t>OI mehānisma</w:t>
      </w:r>
      <w:r w:rsidRPr="00D15EDB">
        <w:rPr>
          <w:rFonts w:ascii="Times New Roman" w:hAnsi="Times New Roman"/>
          <w:sz w:val="26"/>
          <w:szCs w:val="26"/>
          <w:shd w:val="clear" w:color="auto" w:fill="FFFFFF"/>
        </w:rPr>
        <w:t xml:space="preserve"> </w:t>
      </w:r>
      <w:r w:rsidR="00692B3E" w:rsidRPr="00D15EDB">
        <w:rPr>
          <w:rFonts w:ascii="Times New Roman" w:hAnsi="Times New Roman"/>
          <w:sz w:val="26"/>
          <w:szCs w:val="26"/>
          <w:shd w:val="clear" w:color="auto" w:fill="FFFFFF"/>
        </w:rPr>
        <w:t xml:space="preserve">ietvaros </w:t>
      </w:r>
      <w:r w:rsidRPr="00D15EDB">
        <w:rPr>
          <w:rFonts w:ascii="Times New Roman" w:hAnsi="Times New Roman"/>
          <w:sz w:val="26"/>
          <w:szCs w:val="26"/>
          <w:shd w:val="clear" w:color="auto" w:fill="FFFFFF"/>
        </w:rPr>
        <w:t>(</w:t>
      </w:r>
      <w:r w:rsidRPr="00D15EDB">
        <w:rPr>
          <w:rFonts w:ascii="Times New Roman" w:hAnsi="Times New Roman"/>
          <w:sz w:val="26"/>
          <w:szCs w:val="26"/>
        </w:rPr>
        <w:t>28., 28.</w:t>
      </w:r>
      <w:r w:rsidRPr="00D15EDB">
        <w:rPr>
          <w:rFonts w:ascii="Times New Roman" w:hAnsi="Times New Roman"/>
          <w:sz w:val="26"/>
          <w:szCs w:val="26"/>
          <w:vertAlign w:val="superscript"/>
        </w:rPr>
        <w:t>1</w:t>
      </w:r>
      <w:r w:rsidRPr="00D15EDB">
        <w:rPr>
          <w:rFonts w:ascii="Times New Roman" w:hAnsi="Times New Roman"/>
          <w:sz w:val="26"/>
          <w:szCs w:val="26"/>
        </w:rPr>
        <w:t>, 29., 30.</w:t>
      </w:r>
      <w:r w:rsidR="00C11AD9" w:rsidRPr="00D15EDB">
        <w:rPr>
          <w:rFonts w:ascii="Times New Roman" w:hAnsi="Times New Roman"/>
          <w:sz w:val="26"/>
          <w:szCs w:val="26"/>
        </w:rPr>
        <w:t xml:space="preserve"> un 31.pants, pārejas noteikumu </w:t>
      </w:r>
      <w:r w:rsidR="008B7B35" w:rsidRPr="00D15EDB">
        <w:rPr>
          <w:rFonts w:ascii="Times New Roman" w:hAnsi="Times New Roman"/>
          <w:sz w:val="26"/>
          <w:szCs w:val="26"/>
        </w:rPr>
        <w:t>52.</w:t>
      </w:r>
      <w:r w:rsidR="004560C6" w:rsidRPr="00D15EDB">
        <w:rPr>
          <w:rFonts w:ascii="Times New Roman" w:hAnsi="Times New Roman"/>
          <w:sz w:val="26"/>
          <w:szCs w:val="26"/>
        </w:rPr>
        <w:t> </w:t>
      </w:r>
      <w:r w:rsidR="008B7B35" w:rsidRPr="00D15EDB">
        <w:rPr>
          <w:rFonts w:ascii="Times New Roman" w:hAnsi="Times New Roman"/>
          <w:sz w:val="26"/>
          <w:szCs w:val="26"/>
        </w:rPr>
        <w:t>un 53.punkts</w:t>
      </w:r>
      <w:r w:rsidR="00C11AD9" w:rsidRPr="00D15EDB">
        <w:rPr>
          <w:rFonts w:ascii="Times New Roman" w:hAnsi="Times New Roman"/>
          <w:sz w:val="26"/>
          <w:szCs w:val="26"/>
        </w:rPr>
        <w:t>)</w:t>
      </w:r>
      <w:r w:rsidR="002A3543" w:rsidRPr="00D15EDB">
        <w:rPr>
          <w:rFonts w:ascii="Times New Roman" w:hAnsi="Times New Roman"/>
          <w:sz w:val="26"/>
          <w:szCs w:val="26"/>
        </w:rPr>
        <w:t xml:space="preserve">, </w:t>
      </w:r>
      <w:r w:rsidR="002A3543" w:rsidRPr="00D15EDB">
        <w:rPr>
          <w:rFonts w:ascii="Times New Roman" w:eastAsia="Times New Roman" w:hAnsi="Times New Roman"/>
          <w:iCs/>
          <w:sz w:val="26"/>
          <w:szCs w:val="26"/>
          <w:lang w:eastAsia="lv-LV"/>
        </w:rPr>
        <w:t xml:space="preserve">kam sekojoši elektroenerģijas galalietotāji vairs nesedz izmaksas par atbalstu, </w:t>
      </w:r>
      <w:r w:rsidR="004560C6" w:rsidRPr="00592E2D">
        <w:rPr>
          <w:rFonts w:ascii="Times New Roman" w:eastAsia="Times New Roman" w:hAnsi="Times New Roman"/>
          <w:iCs/>
          <w:sz w:val="26"/>
          <w:szCs w:val="26"/>
          <w:lang w:eastAsia="lv-LV"/>
        </w:rPr>
        <w:t>kas sniegts saskaņā ar minētajām tiesību normām</w:t>
      </w:r>
      <w:r w:rsidR="008727BA" w:rsidRPr="00D15EDB">
        <w:rPr>
          <w:rFonts w:ascii="Times New Roman" w:eastAsia="Times New Roman" w:hAnsi="Times New Roman"/>
          <w:iCs/>
          <w:sz w:val="26"/>
          <w:szCs w:val="26"/>
          <w:lang w:eastAsia="lv-LV"/>
        </w:rPr>
        <w:t>.</w:t>
      </w:r>
    </w:p>
    <w:p w:rsidR="0044375F" w:rsidRPr="00592E2D" w:rsidRDefault="008727BA" w:rsidP="00D15EDB">
      <w:pPr>
        <w:spacing w:before="120" w:after="120" w:line="240" w:lineRule="auto"/>
        <w:jc w:val="both"/>
        <w:rPr>
          <w:rFonts w:ascii="Times New Roman" w:hAnsi="Times New Roman"/>
          <w:sz w:val="26"/>
          <w:szCs w:val="26"/>
        </w:rPr>
      </w:pPr>
      <w:r w:rsidRPr="00D15EDB">
        <w:rPr>
          <w:rFonts w:ascii="Times New Roman" w:eastAsia="Times New Roman" w:hAnsi="Times New Roman"/>
          <w:iCs/>
          <w:sz w:val="26"/>
          <w:szCs w:val="26"/>
          <w:lang w:eastAsia="lv-LV"/>
        </w:rPr>
        <w:t>Ar minēto normu dzēšanu spēku zaudē tiesību akti, kas izdoti uz šo normu pamata. ETL 28., 28.</w:t>
      </w:r>
      <w:r w:rsidRPr="00D15EDB">
        <w:rPr>
          <w:rFonts w:ascii="Times New Roman" w:eastAsia="Times New Roman" w:hAnsi="Times New Roman"/>
          <w:iCs/>
          <w:sz w:val="26"/>
          <w:szCs w:val="26"/>
          <w:vertAlign w:val="superscript"/>
          <w:lang w:eastAsia="lv-LV"/>
        </w:rPr>
        <w:t>1</w:t>
      </w:r>
      <w:r w:rsidRPr="00D15EDB">
        <w:rPr>
          <w:rFonts w:ascii="Times New Roman" w:eastAsia="Times New Roman" w:hAnsi="Times New Roman"/>
          <w:iCs/>
          <w:sz w:val="26"/>
          <w:szCs w:val="26"/>
          <w:lang w:eastAsia="lv-LV"/>
        </w:rPr>
        <w:t>,</w:t>
      </w:r>
      <w:r w:rsidRPr="00D15EDB">
        <w:rPr>
          <w:rFonts w:ascii="Times New Roman" w:eastAsia="Times New Roman" w:hAnsi="Times New Roman"/>
          <w:iCs/>
          <w:sz w:val="26"/>
          <w:szCs w:val="26"/>
          <w:vertAlign w:val="superscript"/>
          <w:lang w:eastAsia="lv-LV"/>
        </w:rPr>
        <w:t xml:space="preserve"> </w:t>
      </w:r>
      <w:r w:rsidRPr="00D15EDB">
        <w:rPr>
          <w:rFonts w:ascii="Times New Roman" w:eastAsia="Times New Roman" w:hAnsi="Times New Roman"/>
          <w:iCs/>
          <w:sz w:val="26"/>
          <w:szCs w:val="26"/>
          <w:lang w:eastAsia="lv-LV"/>
        </w:rPr>
        <w:t xml:space="preserve">29., 30., 52. un 53.panta gadījumā tie ir MK noteikumi Nr.221 un MK noteikumi Nr.262 un </w:t>
      </w:r>
      <w:r w:rsidRPr="00D15EDB">
        <w:rPr>
          <w:rFonts w:ascii="Times New Roman" w:hAnsi="Times New Roman"/>
          <w:sz w:val="26"/>
          <w:szCs w:val="26"/>
        </w:rPr>
        <w:t>Sabiedrisko pakalpojumu regulēšanas komisijas 2017.gada 14.septembra lēmums Nr. 1/24 “Obligātā iepirkuma un jaudas komponenšu aprēķināšanas metodika”</w:t>
      </w:r>
      <w:r w:rsidRPr="00D15EDB">
        <w:rPr>
          <w:rStyle w:val="FootnoteReference"/>
          <w:rFonts w:ascii="Times New Roman" w:hAnsi="Times New Roman"/>
          <w:sz w:val="26"/>
          <w:szCs w:val="26"/>
        </w:rPr>
        <w:footnoteReference w:id="21"/>
      </w:r>
      <w:r w:rsidRPr="00D15EDB">
        <w:rPr>
          <w:rFonts w:ascii="Times New Roman" w:hAnsi="Times New Roman"/>
          <w:sz w:val="26"/>
          <w:szCs w:val="26"/>
        </w:rPr>
        <w:t>.</w:t>
      </w:r>
      <w:r w:rsidR="00E027CB" w:rsidRPr="00592E2D">
        <w:rPr>
          <w:rFonts w:ascii="Times New Roman" w:hAnsi="Times New Roman"/>
          <w:sz w:val="26"/>
          <w:szCs w:val="26"/>
        </w:rPr>
        <w:t>;</w:t>
      </w:r>
    </w:p>
    <w:p w:rsidR="00E027CB" w:rsidRPr="00D15EDB" w:rsidRDefault="007105A9" w:rsidP="00EC0D46">
      <w:pPr>
        <w:spacing w:before="60" w:after="0" w:line="240" w:lineRule="auto"/>
        <w:jc w:val="both"/>
        <w:rPr>
          <w:rFonts w:ascii="Times New Roman" w:hAnsi="Times New Roman"/>
          <w:sz w:val="26"/>
          <w:szCs w:val="26"/>
        </w:rPr>
      </w:pPr>
      <w:r w:rsidRPr="00D15EDB">
        <w:rPr>
          <w:rFonts w:ascii="Times New Roman" w:hAnsi="Times New Roman"/>
          <w:sz w:val="26"/>
          <w:szCs w:val="26"/>
        </w:rPr>
        <w:t>3</w:t>
      </w:r>
      <w:r w:rsidR="00415887" w:rsidRPr="00D15EDB">
        <w:rPr>
          <w:rFonts w:ascii="Times New Roman" w:hAnsi="Times New Roman"/>
          <w:sz w:val="26"/>
          <w:szCs w:val="26"/>
        </w:rPr>
        <w:t>) </w:t>
      </w:r>
      <w:r w:rsidR="00BC5C23" w:rsidRPr="00D15EDB">
        <w:rPr>
          <w:rFonts w:ascii="Times New Roman" w:hAnsi="Times New Roman"/>
          <w:sz w:val="26"/>
          <w:szCs w:val="26"/>
        </w:rPr>
        <w:t xml:space="preserve">precizēt </w:t>
      </w:r>
      <w:r w:rsidR="00E77749" w:rsidRPr="00D15EDB">
        <w:rPr>
          <w:rFonts w:ascii="Times New Roman" w:hAnsi="Times New Roman"/>
          <w:sz w:val="26"/>
          <w:szCs w:val="26"/>
        </w:rPr>
        <w:t xml:space="preserve">tiesību normas attiecībā uz </w:t>
      </w:r>
      <w:r w:rsidR="00BC5C23" w:rsidRPr="00D15EDB">
        <w:rPr>
          <w:rFonts w:ascii="Times New Roman" w:hAnsi="Times New Roman"/>
          <w:sz w:val="26"/>
          <w:szCs w:val="26"/>
        </w:rPr>
        <w:t xml:space="preserve">pārvades tarifos iekļaujamo atlīdzību elektroenerģijas sistēmas īpašniekam </w:t>
      </w:r>
      <w:r w:rsidR="008F2CCE" w:rsidRPr="00D15EDB">
        <w:rPr>
          <w:rFonts w:ascii="Times New Roman" w:hAnsi="Times New Roman"/>
          <w:sz w:val="26"/>
          <w:szCs w:val="26"/>
        </w:rPr>
        <w:t>(16.panta treš</w:t>
      </w:r>
      <w:r w:rsidR="00BC5C23" w:rsidRPr="00D15EDB">
        <w:rPr>
          <w:rFonts w:ascii="Times New Roman" w:hAnsi="Times New Roman"/>
          <w:sz w:val="26"/>
          <w:szCs w:val="26"/>
        </w:rPr>
        <w:t>ajā daļā)</w:t>
      </w:r>
      <w:r w:rsidR="00E77749" w:rsidRPr="00D15EDB">
        <w:rPr>
          <w:rFonts w:ascii="Times New Roman" w:hAnsi="Times New Roman"/>
          <w:sz w:val="26"/>
          <w:szCs w:val="26"/>
        </w:rPr>
        <w:t>, kā arī atbalstu aizsargātiem lietotājiem (</w:t>
      </w:r>
      <w:r w:rsidR="008F2CCE" w:rsidRPr="00D15EDB">
        <w:rPr>
          <w:rFonts w:ascii="Times New Roman" w:hAnsi="Times New Roman"/>
          <w:sz w:val="26"/>
          <w:szCs w:val="26"/>
        </w:rPr>
        <w:t>33.</w:t>
      </w:r>
      <w:r w:rsidR="008F2CCE" w:rsidRPr="00D15EDB">
        <w:rPr>
          <w:rFonts w:ascii="Times New Roman" w:hAnsi="Times New Roman"/>
          <w:sz w:val="26"/>
          <w:szCs w:val="26"/>
          <w:vertAlign w:val="superscript"/>
        </w:rPr>
        <w:t>1</w:t>
      </w:r>
      <w:r w:rsidR="008F2CCE" w:rsidRPr="00D15EDB">
        <w:rPr>
          <w:rFonts w:ascii="Times New Roman" w:hAnsi="Times New Roman"/>
          <w:sz w:val="26"/>
          <w:szCs w:val="26"/>
        </w:rPr>
        <w:t> panta otr</w:t>
      </w:r>
      <w:r w:rsidR="00E77749" w:rsidRPr="00D15EDB">
        <w:rPr>
          <w:rFonts w:ascii="Times New Roman" w:hAnsi="Times New Roman"/>
          <w:sz w:val="26"/>
          <w:szCs w:val="26"/>
        </w:rPr>
        <w:t>ajā daļā</w:t>
      </w:r>
      <w:r w:rsidR="000470B1" w:rsidRPr="00D15EDB">
        <w:rPr>
          <w:rFonts w:ascii="Times New Roman" w:hAnsi="Times New Roman"/>
          <w:sz w:val="26"/>
          <w:szCs w:val="26"/>
        </w:rPr>
        <w:t xml:space="preserve"> un pārejas noteikumu 76.punkts</w:t>
      </w:r>
      <w:r w:rsidR="008F2CCE" w:rsidRPr="00D15EDB">
        <w:rPr>
          <w:rFonts w:ascii="Times New Roman" w:hAnsi="Times New Roman"/>
          <w:sz w:val="26"/>
          <w:szCs w:val="26"/>
        </w:rPr>
        <w:t>)</w:t>
      </w:r>
      <w:r w:rsidR="00E77749" w:rsidRPr="00D15EDB">
        <w:rPr>
          <w:rFonts w:ascii="Times New Roman" w:hAnsi="Times New Roman"/>
          <w:sz w:val="26"/>
          <w:szCs w:val="26"/>
        </w:rPr>
        <w:t>, ņemot vērā OIK atcelšanu;</w:t>
      </w:r>
    </w:p>
    <w:p w:rsidR="00240923" w:rsidRPr="00D15EDB" w:rsidRDefault="007105A9" w:rsidP="00240923">
      <w:pPr>
        <w:spacing w:before="120" w:after="120" w:line="240" w:lineRule="auto"/>
        <w:jc w:val="both"/>
        <w:rPr>
          <w:rFonts w:ascii="Times New Roman" w:hAnsi="Times New Roman"/>
          <w:sz w:val="26"/>
          <w:szCs w:val="26"/>
        </w:rPr>
      </w:pPr>
      <w:r w:rsidRPr="00D15EDB">
        <w:rPr>
          <w:rFonts w:ascii="Times New Roman" w:hAnsi="Times New Roman"/>
          <w:sz w:val="26"/>
          <w:szCs w:val="26"/>
        </w:rPr>
        <w:t>4</w:t>
      </w:r>
      <w:r w:rsidR="007030EF" w:rsidRPr="00D15EDB">
        <w:rPr>
          <w:rFonts w:ascii="Times New Roman" w:hAnsi="Times New Roman"/>
          <w:sz w:val="26"/>
          <w:szCs w:val="26"/>
        </w:rPr>
        <w:t>) </w:t>
      </w:r>
      <w:r w:rsidR="00F85B31" w:rsidRPr="00D15EDB">
        <w:rPr>
          <w:rFonts w:ascii="Times New Roman" w:hAnsi="Times New Roman"/>
          <w:sz w:val="26"/>
          <w:szCs w:val="26"/>
        </w:rPr>
        <w:t xml:space="preserve">papildināt </w:t>
      </w:r>
      <w:r w:rsidR="0048518C" w:rsidRPr="00D15EDB">
        <w:rPr>
          <w:rFonts w:ascii="Times New Roman" w:hAnsi="Times New Roman"/>
          <w:sz w:val="26"/>
          <w:szCs w:val="26"/>
        </w:rPr>
        <w:t xml:space="preserve">ar </w:t>
      </w:r>
      <w:r w:rsidR="00DB6AC9" w:rsidRPr="00D15EDB">
        <w:rPr>
          <w:rFonts w:ascii="Times New Roman" w:hAnsi="Times New Roman"/>
          <w:sz w:val="26"/>
          <w:szCs w:val="26"/>
        </w:rPr>
        <w:t>tiesību</w:t>
      </w:r>
      <w:r w:rsidR="0048518C" w:rsidRPr="00D15EDB">
        <w:rPr>
          <w:rFonts w:ascii="Times New Roman" w:hAnsi="Times New Roman"/>
          <w:sz w:val="26"/>
          <w:szCs w:val="26"/>
        </w:rPr>
        <w:t xml:space="preserve"> normām</w:t>
      </w:r>
      <w:r w:rsidR="00DB6AC9" w:rsidRPr="00D15EDB">
        <w:rPr>
          <w:rFonts w:ascii="Times New Roman" w:hAnsi="Times New Roman"/>
          <w:sz w:val="26"/>
          <w:szCs w:val="26"/>
        </w:rPr>
        <w:t xml:space="preserve"> attiecībā uz to</w:t>
      </w:r>
      <w:r w:rsidR="00F85B31" w:rsidRPr="00D15EDB">
        <w:rPr>
          <w:rFonts w:ascii="Times New Roman" w:hAnsi="Times New Roman"/>
          <w:sz w:val="26"/>
          <w:szCs w:val="26"/>
        </w:rPr>
        <w:t>, ka</w:t>
      </w:r>
      <w:r w:rsidR="00B219B4" w:rsidRPr="00D15EDB">
        <w:rPr>
          <w:rFonts w:ascii="Times New Roman" w:hAnsi="Times New Roman"/>
          <w:sz w:val="26"/>
          <w:szCs w:val="26"/>
        </w:rPr>
        <w:t xml:space="preserve"> komersantu</w:t>
      </w:r>
      <w:r w:rsidR="00F85B31" w:rsidRPr="00D15EDB">
        <w:rPr>
          <w:rFonts w:ascii="Times New Roman" w:hAnsi="Times New Roman"/>
          <w:sz w:val="26"/>
          <w:szCs w:val="26"/>
        </w:rPr>
        <w:t xml:space="preserve"> koģenerācijas </w:t>
      </w:r>
      <w:r w:rsidR="007523F5" w:rsidRPr="00D15EDB">
        <w:rPr>
          <w:rFonts w:ascii="Times New Roman" w:hAnsi="Times New Roman"/>
          <w:sz w:val="26"/>
          <w:szCs w:val="26"/>
        </w:rPr>
        <w:t>elektro</w:t>
      </w:r>
      <w:r w:rsidR="00F85B31" w:rsidRPr="00D15EDB">
        <w:rPr>
          <w:rFonts w:ascii="Times New Roman" w:hAnsi="Times New Roman"/>
          <w:sz w:val="26"/>
          <w:szCs w:val="26"/>
        </w:rPr>
        <w:t>stacijām ar uzstādīto elektrisko jaudu virs 100MW</w:t>
      </w:r>
      <w:r w:rsidR="007523F5" w:rsidRPr="00D15EDB">
        <w:rPr>
          <w:rFonts w:ascii="Times New Roman" w:hAnsi="Times New Roman"/>
          <w:sz w:val="26"/>
          <w:szCs w:val="26"/>
        </w:rPr>
        <w:t xml:space="preserve">, kas līdz 2019.gada 31.martam ir izmantojušas </w:t>
      </w:r>
      <w:r w:rsidR="002340A3" w:rsidRPr="00D15EDB">
        <w:rPr>
          <w:rFonts w:ascii="Times New Roman" w:hAnsi="Times New Roman"/>
          <w:sz w:val="26"/>
          <w:szCs w:val="26"/>
        </w:rPr>
        <w:t>tiesības</w:t>
      </w:r>
      <w:r w:rsidR="00222B85" w:rsidRPr="00D15EDB">
        <w:rPr>
          <w:rFonts w:ascii="Times New Roman" w:hAnsi="Times New Roman"/>
          <w:sz w:val="26"/>
          <w:szCs w:val="26"/>
        </w:rPr>
        <w:t xml:space="preserve"> saņemt garantētu maksu par uzstādīto elektrisko jaudu</w:t>
      </w:r>
      <w:r w:rsidR="007523F5" w:rsidRPr="00D15EDB">
        <w:rPr>
          <w:rFonts w:ascii="Times New Roman" w:hAnsi="Times New Roman"/>
          <w:sz w:val="26"/>
          <w:szCs w:val="26"/>
        </w:rPr>
        <w:t>, ir pienākums turpināt darbību</w:t>
      </w:r>
      <w:r w:rsidR="00F85B31" w:rsidRPr="00D15EDB">
        <w:rPr>
          <w:rFonts w:ascii="Times New Roman" w:hAnsi="Times New Roman"/>
          <w:sz w:val="26"/>
          <w:szCs w:val="26"/>
        </w:rPr>
        <w:t xml:space="preserve"> </w:t>
      </w:r>
      <w:r w:rsidR="00215266" w:rsidRPr="00D15EDB">
        <w:rPr>
          <w:rFonts w:ascii="Times New Roman" w:hAnsi="Times New Roman"/>
          <w:sz w:val="26"/>
          <w:szCs w:val="26"/>
        </w:rPr>
        <w:t xml:space="preserve">atbilstoši tiem darbības režīmiem un nosacījumiem, kas bijuši spēkā </w:t>
      </w:r>
      <w:r w:rsidR="002340A3" w:rsidRPr="00D15EDB">
        <w:rPr>
          <w:rFonts w:ascii="Times New Roman" w:hAnsi="Times New Roman"/>
          <w:sz w:val="26"/>
          <w:szCs w:val="26"/>
        </w:rPr>
        <w:t xml:space="preserve">līdz </w:t>
      </w:r>
      <w:r w:rsidR="004478D3" w:rsidRPr="00D15EDB">
        <w:rPr>
          <w:rFonts w:ascii="Times New Roman" w:hAnsi="Times New Roman"/>
          <w:sz w:val="26"/>
          <w:szCs w:val="26"/>
        </w:rPr>
        <w:t>šim</w:t>
      </w:r>
      <w:r w:rsidR="002340A3" w:rsidRPr="00D15EDB">
        <w:rPr>
          <w:rFonts w:ascii="Times New Roman" w:hAnsi="Times New Roman"/>
          <w:sz w:val="26"/>
          <w:szCs w:val="26"/>
        </w:rPr>
        <w:t xml:space="preserve"> datumam</w:t>
      </w:r>
      <w:r w:rsidR="00215266" w:rsidRPr="00D15EDB">
        <w:rPr>
          <w:rFonts w:ascii="Times New Roman" w:hAnsi="Times New Roman"/>
          <w:sz w:val="26"/>
          <w:szCs w:val="26"/>
        </w:rPr>
        <w:t xml:space="preserve"> </w:t>
      </w:r>
      <w:r w:rsidR="00F85B31" w:rsidRPr="00D15EDB">
        <w:rPr>
          <w:rFonts w:ascii="Times New Roman" w:hAnsi="Times New Roman"/>
          <w:sz w:val="26"/>
          <w:szCs w:val="26"/>
        </w:rPr>
        <w:t>(</w:t>
      </w:r>
      <w:r w:rsidR="002340A3" w:rsidRPr="00D15EDB">
        <w:rPr>
          <w:rFonts w:ascii="Times New Roman" w:hAnsi="Times New Roman"/>
          <w:sz w:val="26"/>
          <w:szCs w:val="26"/>
        </w:rPr>
        <w:t>pārejas noteikumu 70.</w:t>
      </w:r>
      <w:r w:rsidR="00F85B31" w:rsidRPr="00D15EDB">
        <w:rPr>
          <w:rFonts w:ascii="Times New Roman" w:hAnsi="Times New Roman"/>
          <w:sz w:val="26"/>
          <w:szCs w:val="26"/>
        </w:rPr>
        <w:t>punkts)</w:t>
      </w:r>
      <w:r w:rsidR="002340A3" w:rsidRPr="00D15EDB">
        <w:rPr>
          <w:rFonts w:ascii="Times New Roman" w:hAnsi="Times New Roman"/>
          <w:sz w:val="26"/>
          <w:szCs w:val="26"/>
        </w:rPr>
        <w:t xml:space="preserve"> un saglabāt pienākumu</w:t>
      </w:r>
      <w:r w:rsidR="00B219B4" w:rsidRPr="00D15EDB">
        <w:rPr>
          <w:rFonts w:ascii="Times New Roman" w:hAnsi="Times New Roman"/>
          <w:sz w:val="26"/>
          <w:szCs w:val="26"/>
        </w:rPr>
        <w:t xml:space="preserve"> </w:t>
      </w:r>
      <w:r w:rsidR="00A423E4" w:rsidRPr="00D15EDB">
        <w:rPr>
          <w:rFonts w:ascii="Times New Roman" w:hAnsi="Times New Roman"/>
          <w:sz w:val="26"/>
          <w:szCs w:val="26"/>
        </w:rPr>
        <w:t xml:space="preserve">iesniegt </w:t>
      </w:r>
      <w:r w:rsidR="002340A3" w:rsidRPr="00D15EDB">
        <w:rPr>
          <w:rFonts w:ascii="Times New Roman" w:hAnsi="Times New Roman"/>
          <w:sz w:val="26"/>
          <w:szCs w:val="26"/>
        </w:rPr>
        <w:t>Ekonomikas ministrijā ikgadējus pārskatus par šo staciju darbību (pāre</w:t>
      </w:r>
      <w:r w:rsidR="00F34DA7" w:rsidRPr="00D15EDB">
        <w:rPr>
          <w:rFonts w:ascii="Times New Roman" w:hAnsi="Times New Roman"/>
          <w:sz w:val="26"/>
          <w:szCs w:val="26"/>
        </w:rPr>
        <w:t>ja</w:t>
      </w:r>
      <w:r w:rsidR="002340A3" w:rsidRPr="00D15EDB">
        <w:rPr>
          <w:rFonts w:ascii="Times New Roman" w:hAnsi="Times New Roman"/>
          <w:sz w:val="26"/>
          <w:szCs w:val="26"/>
        </w:rPr>
        <w:t>s noteikumu 71.punkts)</w:t>
      </w:r>
      <w:r w:rsidR="00240923" w:rsidRPr="00D15EDB">
        <w:rPr>
          <w:rFonts w:ascii="Times New Roman" w:hAnsi="Times New Roman"/>
          <w:sz w:val="26"/>
          <w:szCs w:val="26"/>
        </w:rPr>
        <w:t xml:space="preserve">. </w:t>
      </w:r>
    </w:p>
    <w:p w:rsidR="00240923" w:rsidRPr="00D15EDB" w:rsidRDefault="00240923" w:rsidP="00240923">
      <w:pPr>
        <w:spacing w:before="120" w:after="120" w:line="240" w:lineRule="auto"/>
        <w:jc w:val="both"/>
        <w:rPr>
          <w:rFonts w:ascii="Times New Roman" w:eastAsia="Times New Roman" w:hAnsi="Times New Roman"/>
          <w:iCs/>
          <w:sz w:val="26"/>
          <w:szCs w:val="26"/>
          <w:lang w:eastAsia="lv-LV"/>
        </w:rPr>
      </w:pPr>
      <w:r w:rsidRPr="00D15EDB">
        <w:rPr>
          <w:rFonts w:ascii="Times New Roman" w:eastAsia="Times New Roman" w:hAnsi="Times New Roman"/>
          <w:iCs/>
          <w:sz w:val="26"/>
          <w:szCs w:val="26"/>
          <w:lang w:eastAsia="lv-LV"/>
        </w:rPr>
        <w:t xml:space="preserve">Šāds risinājums izvēlēts, ņemot vērā šādu elektrostaciju ietekmi uz elektroenerģijas sistēmas stabilitāti Latvijā, t.i. šādu staciju </w:t>
      </w:r>
      <w:r w:rsidRPr="00D15EDB">
        <w:rPr>
          <w:rFonts w:ascii="Times New Roman" w:hAnsi="Times New Roman"/>
          <w:sz w:val="26"/>
          <w:szCs w:val="26"/>
        </w:rPr>
        <w:t xml:space="preserve">kopējās uzstādītās jaudas un nozīmīgo saražotās elektroenerģijas apjomu, kā arī ņemot vērā saskaņā ar Ministru kabineta </w:t>
      </w:r>
      <w:r w:rsidRPr="00D15EDB">
        <w:rPr>
          <w:rFonts w:ascii="Times New Roman" w:hAnsi="Times New Roman"/>
          <w:sz w:val="26"/>
          <w:szCs w:val="26"/>
        </w:rPr>
        <w:lastRenderedPageBreak/>
        <w:t>2017.gada 21.novembra rīkojumu Nr.685</w:t>
      </w:r>
      <w:r w:rsidRPr="00D15EDB">
        <w:rPr>
          <w:rStyle w:val="FootnoteReference"/>
          <w:rFonts w:ascii="Times New Roman" w:hAnsi="Times New Roman"/>
          <w:sz w:val="26"/>
          <w:szCs w:val="26"/>
        </w:rPr>
        <w:footnoteReference w:id="22"/>
      </w:r>
      <w:r w:rsidRPr="00D15EDB">
        <w:rPr>
          <w:rFonts w:ascii="Times New Roman" w:hAnsi="Times New Roman"/>
          <w:sz w:val="26"/>
          <w:szCs w:val="26"/>
        </w:rPr>
        <w:t xml:space="preserve"> v</w:t>
      </w:r>
      <w:r w:rsidRPr="00592E2D">
        <w:rPr>
          <w:rFonts w:ascii="Times New Roman" w:hAnsi="Times New Roman"/>
          <w:sz w:val="26"/>
          <w:szCs w:val="26"/>
        </w:rPr>
        <w:t>ienreizējā darījuma ietvaros AS </w:t>
      </w:r>
      <w:r w:rsidRPr="00D15EDB">
        <w:rPr>
          <w:rFonts w:ascii="Times New Roman" w:hAnsi="Times New Roman"/>
          <w:sz w:val="26"/>
          <w:szCs w:val="26"/>
        </w:rPr>
        <w:t xml:space="preserve">“Latvenergo” elektrostacijām TEC-1 un TEC-2 izmaksāto avansu par staciju darbību līdz atbalsta perioda beigām, kas patērētājiem nerada papildu izmaksas. Tādējādi minētajām elektrostacijām </w:t>
      </w:r>
      <w:r w:rsidRPr="00592E2D">
        <w:rPr>
          <w:rFonts w:ascii="Times New Roman" w:hAnsi="Times New Roman"/>
          <w:sz w:val="26"/>
          <w:szCs w:val="26"/>
        </w:rPr>
        <w:t>pēc tiesību atcel</w:t>
      </w:r>
      <w:r w:rsidRPr="00D15EDB">
        <w:rPr>
          <w:rFonts w:ascii="Times New Roman" w:hAnsi="Times New Roman"/>
          <w:sz w:val="26"/>
          <w:szCs w:val="26"/>
        </w:rPr>
        <w:t xml:space="preserve">šanas uz ikgadējā atbalsta maksājuma saņemšanu (3,3 milj. </w:t>
      </w:r>
      <w:r w:rsidRPr="00D15EDB">
        <w:rPr>
          <w:rFonts w:ascii="Times New Roman" w:hAnsi="Times New Roman"/>
          <w:i/>
          <w:sz w:val="26"/>
          <w:szCs w:val="26"/>
        </w:rPr>
        <w:t>euro</w:t>
      </w:r>
      <w:r w:rsidRPr="00D15EDB">
        <w:rPr>
          <w:rFonts w:ascii="Times New Roman" w:hAnsi="Times New Roman"/>
          <w:sz w:val="26"/>
          <w:szCs w:val="26"/>
        </w:rPr>
        <w:t xml:space="preserve"> gadā TEC-1 līdz 2020.gadam un 21,3 milj. </w:t>
      </w:r>
      <w:r w:rsidRPr="00D15EDB">
        <w:rPr>
          <w:rFonts w:ascii="Times New Roman" w:hAnsi="Times New Roman"/>
          <w:i/>
          <w:sz w:val="26"/>
          <w:szCs w:val="26"/>
        </w:rPr>
        <w:t>euro</w:t>
      </w:r>
      <w:r w:rsidRPr="00D15EDB">
        <w:rPr>
          <w:rFonts w:ascii="Times New Roman" w:hAnsi="Times New Roman"/>
          <w:sz w:val="26"/>
          <w:szCs w:val="26"/>
        </w:rPr>
        <w:t xml:space="preserve"> gadā TEC-2  līdz 2028.gadam) tiks noteikts pienākumus strādāt līdz sākotnēji plānotā atbalsta perioda beigām, ņemot vērā augstāk minētos iemeslus.;</w:t>
      </w:r>
    </w:p>
    <w:p w:rsidR="0048518C" w:rsidRPr="00D15EDB" w:rsidRDefault="007105A9" w:rsidP="00EC0D46">
      <w:pPr>
        <w:spacing w:before="60" w:after="0" w:line="240" w:lineRule="auto"/>
        <w:jc w:val="both"/>
        <w:rPr>
          <w:rFonts w:ascii="Times New Roman" w:hAnsi="Times New Roman"/>
          <w:sz w:val="26"/>
          <w:szCs w:val="26"/>
        </w:rPr>
      </w:pPr>
      <w:r w:rsidRPr="00D15EDB">
        <w:rPr>
          <w:rFonts w:ascii="Times New Roman" w:hAnsi="Times New Roman"/>
          <w:sz w:val="26"/>
          <w:szCs w:val="26"/>
        </w:rPr>
        <w:t>5</w:t>
      </w:r>
      <w:r w:rsidR="002340A3" w:rsidRPr="00D15EDB">
        <w:rPr>
          <w:rFonts w:ascii="Times New Roman" w:hAnsi="Times New Roman"/>
          <w:sz w:val="26"/>
          <w:szCs w:val="26"/>
        </w:rPr>
        <w:t>) </w:t>
      </w:r>
      <w:r w:rsidR="000470B1" w:rsidRPr="00D15EDB">
        <w:rPr>
          <w:rFonts w:ascii="Times New Roman" w:hAnsi="Times New Roman"/>
          <w:sz w:val="26"/>
          <w:szCs w:val="26"/>
        </w:rPr>
        <w:t xml:space="preserve">papildināt ar </w:t>
      </w:r>
      <w:r w:rsidR="00AF2091" w:rsidRPr="00D15EDB">
        <w:rPr>
          <w:rFonts w:ascii="Times New Roman" w:hAnsi="Times New Roman"/>
          <w:sz w:val="26"/>
          <w:szCs w:val="26"/>
        </w:rPr>
        <w:t>tiesību</w:t>
      </w:r>
      <w:r w:rsidR="000470B1" w:rsidRPr="00D15EDB">
        <w:rPr>
          <w:rFonts w:ascii="Times New Roman" w:hAnsi="Times New Roman"/>
          <w:sz w:val="26"/>
          <w:szCs w:val="26"/>
        </w:rPr>
        <w:t xml:space="preserve"> nor</w:t>
      </w:r>
      <w:r w:rsidR="00AF2091" w:rsidRPr="00D15EDB">
        <w:rPr>
          <w:rFonts w:ascii="Times New Roman" w:hAnsi="Times New Roman"/>
          <w:sz w:val="26"/>
          <w:szCs w:val="26"/>
        </w:rPr>
        <w:t>mām</w:t>
      </w:r>
      <w:r w:rsidR="001009C6" w:rsidRPr="00D15EDB">
        <w:rPr>
          <w:rFonts w:ascii="Times New Roman" w:hAnsi="Times New Roman"/>
          <w:sz w:val="26"/>
          <w:szCs w:val="26"/>
        </w:rPr>
        <w:t xml:space="preserve"> attiecībā uz to</w:t>
      </w:r>
      <w:r w:rsidR="000470B1" w:rsidRPr="00D15EDB">
        <w:rPr>
          <w:rFonts w:ascii="Times New Roman" w:hAnsi="Times New Roman"/>
          <w:sz w:val="26"/>
          <w:szCs w:val="26"/>
        </w:rPr>
        <w:t xml:space="preserve">, ka energoietilpīgie apstrādes rūpniecības komersanti normatīvajos aktos noteiktā kārtībā </w:t>
      </w:r>
      <w:r w:rsidR="005D3528" w:rsidRPr="00D15EDB">
        <w:rPr>
          <w:rFonts w:ascii="Times New Roman" w:hAnsi="Times New Roman"/>
          <w:sz w:val="26"/>
          <w:szCs w:val="26"/>
        </w:rPr>
        <w:t xml:space="preserve">arī pēc Likumprojekta spēkā stāšanās </w:t>
      </w:r>
      <w:r w:rsidR="00392105" w:rsidRPr="00D15EDB">
        <w:rPr>
          <w:rFonts w:ascii="Times New Roman" w:hAnsi="Times New Roman"/>
          <w:sz w:val="26"/>
          <w:szCs w:val="26"/>
        </w:rPr>
        <w:t>var</w:t>
      </w:r>
      <w:r w:rsidR="001009C6" w:rsidRPr="00D15EDB">
        <w:rPr>
          <w:rFonts w:ascii="Times New Roman" w:hAnsi="Times New Roman"/>
          <w:sz w:val="26"/>
          <w:szCs w:val="26"/>
        </w:rPr>
        <w:t>ēs</w:t>
      </w:r>
      <w:r w:rsidR="00392105" w:rsidRPr="00D15EDB">
        <w:rPr>
          <w:rFonts w:ascii="Times New Roman" w:hAnsi="Times New Roman"/>
          <w:sz w:val="26"/>
          <w:szCs w:val="26"/>
        </w:rPr>
        <w:t xml:space="preserve"> pieteikties uz </w:t>
      </w:r>
      <w:r w:rsidR="0048518C" w:rsidRPr="00D15EDB">
        <w:rPr>
          <w:rFonts w:ascii="Times New Roman" w:hAnsi="Times New Roman"/>
          <w:sz w:val="26"/>
          <w:szCs w:val="26"/>
        </w:rPr>
        <w:t xml:space="preserve">samazinātu līdzdalību </w:t>
      </w:r>
      <w:r w:rsidR="00392105" w:rsidRPr="00D15EDB">
        <w:rPr>
          <w:rFonts w:ascii="Times New Roman" w:hAnsi="Times New Roman"/>
          <w:sz w:val="26"/>
          <w:szCs w:val="26"/>
        </w:rPr>
        <w:t>OIK maksājumam</w:t>
      </w:r>
      <w:r w:rsidR="0048518C" w:rsidRPr="00D15EDB">
        <w:rPr>
          <w:rFonts w:ascii="Times New Roman" w:hAnsi="Times New Roman"/>
          <w:sz w:val="26"/>
          <w:szCs w:val="26"/>
        </w:rPr>
        <w:t xml:space="preserve"> </w:t>
      </w:r>
      <w:r w:rsidR="00392105" w:rsidRPr="00D15EDB">
        <w:rPr>
          <w:rFonts w:ascii="Times New Roman" w:hAnsi="Times New Roman"/>
          <w:sz w:val="26"/>
          <w:szCs w:val="26"/>
        </w:rPr>
        <w:t>par 2018.gadu un 2019.gadu</w:t>
      </w:r>
      <w:r w:rsidR="006709BC" w:rsidRPr="00D15EDB">
        <w:rPr>
          <w:rFonts w:ascii="Times New Roman" w:hAnsi="Times New Roman"/>
          <w:sz w:val="26"/>
          <w:szCs w:val="26"/>
        </w:rPr>
        <w:t xml:space="preserve"> (pārejas noteikumu </w:t>
      </w:r>
      <w:r w:rsidR="00B6448E" w:rsidRPr="00D15EDB">
        <w:rPr>
          <w:rFonts w:ascii="Times New Roman" w:hAnsi="Times New Roman"/>
          <w:sz w:val="26"/>
          <w:szCs w:val="26"/>
        </w:rPr>
        <w:t>72.-74. punkts</w:t>
      </w:r>
      <w:r w:rsidR="006709BC" w:rsidRPr="00D15EDB">
        <w:rPr>
          <w:rFonts w:ascii="Times New Roman" w:hAnsi="Times New Roman"/>
          <w:sz w:val="26"/>
          <w:szCs w:val="26"/>
        </w:rPr>
        <w:t>)</w:t>
      </w:r>
      <w:r w:rsidR="00D80C6A" w:rsidRPr="00D15EDB">
        <w:rPr>
          <w:rFonts w:ascii="Times New Roman" w:hAnsi="Times New Roman"/>
          <w:sz w:val="26"/>
          <w:szCs w:val="26"/>
        </w:rPr>
        <w:t>;</w:t>
      </w:r>
    </w:p>
    <w:p w:rsidR="00D45E74" w:rsidRPr="00D15EDB" w:rsidRDefault="000457EA" w:rsidP="00AA4A52">
      <w:pPr>
        <w:spacing w:before="60" w:after="0" w:line="240" w:lineRule="auto"/>
        <w:jc w:val="both"/>
        <w:rPr>
          <w:rFonts w:ascii="Times New Roman" w:hAnsi="Times New Roman"/>
          <w:sz w:val="26"/>
          <w:szCs w:val="26"/>
        </w:rPr>
      </w:pPr>
      <w:r w:rsidRPr="00D15EDB">
        <w:rPr>
          <w:rFonts w:ascii="Times New Roman" w:hAnsi="Times New Roman"/>
          <w:sz w:val="26"/>
          <w:szCs w:val="26"/>
        </w:rPr>
        <w:t>6</w:t>
      </w:r>
      <w:r w:rsidR="00D80C6A" w:rsidRPr="00D15EDB">
        <w:rPr>
          <w:rFonts w:ascii="Times New Roman" w:hAnsi="Times New Roman"/>
          <w:sz w:val="26"/>
          <w:szCs w:val="26"/>
        </w:rPr>
        <w:t>) </w:t>
      </w:r>
      <w:r w:rsidR="007105A9" w:rsidRPr="00D15EDB">
        <w:rPr>
          <w:rFonts w:ascii="Times New Roman" w:hAnsi="Times New Roman"/>
          <w:sz w:val="26"/>
          <w:szCs w:val="26"/>
        </w:rPr>
        <w:t xml:space="preserve">papildināt ar </w:t>
      </w:r>
      <w:r w:rsidR="001009C6" w:rsidRPr="00D15EDB">
        <w:rPr>
          <w:rFonts w:ascii="Times New Roman" w:hAnsi="Times New Roman"/>
          <w:sz w:val="26"/>
          <w:szCs w:val="26"/>
        </w:rPr>
        <w:t>tiesību n</w:t>
      </w:r>
      <w:r w:rsidR="007105A9" w:rsidRPr="00D15EDB">
        <w:rPr>
          <w:rFonts w:ascii="Times New Roman" w:hAnsi="Times New Roman"/>
          <w:sz w:val="26"/>
          <w:szCs w:val="26"/>
        </w:rPr>
        <w:t xml:space="preserve">ormu, kas paredz, ka publiskais tirgotājs </w:t>
      </w:r>
      <w:r w:rsidR="00B100E2" w:rsidRPr="00D15EDB">
        <w:rPr>
          <w:rFonts w:ascii="Times New Roman" w:hAnsi="Times New Roman"/>
          <w:sz w:val="26"/>
          <w:szCs w:val="26"/>
        </w:rPr>
        <w:t xml:space="preserve"> </w:t>
      </w:r>
      <w:r w:rsidR="00A27EDA" w:rsidRPr="00D15EDB">
        <w:rPr>
          <w:rFonts w:ascii="Times New Roman" w:hAnsi="Times New Roman"/>
          <w:sz w:val="26"/>
          <w:szCs w:val="26"/>
        </w:rPr>
        <w:t xml:space="preserve">savu darbību veic līdz brīdim, kad ir </w:t>
      </w:r>
      <w:r w:rsidR="00E74F41" w:rsidRPr="00D15EDB">
        <w:rPr>
          <w:rFonts w:ascii="Times New Roman" w:hAnsi="Times New Roman"/>
          <w:sz w:val="26"/>
          <w:szCs w:val="26"/>
        </w:rPr>
        <w:t>izpildīti pienākumi attiecībā uz OIK maksājuma kompensēšanu energoietilpīgiem apstrādes rūpniecības uzņēmumiem</w:t>
      </w:r>
      <w:r w:rsidR="001F18F8" w:rsidRPr="00D15EDB">
        <w:rPr>
          <w:rFonts w:ascii="Times New Roman" w:hAnsi="Times New Roman"/>
          <w:sz w:val="26"/>
          <w:szCs w:val="26"/>
        </w:rPr>
        <w:t xml:space="preserve"> (pārejas noteikumu 75.punkts)</w:t>
      </w:r>
      <w:r w:rsidR="00E74F41" w:rsidRPr="00D15EDB">
        <w:rPr>
          <w:rFonts w:ascii="Times New Roman" w:hAnsi="Times New Roman"/>
          <w:sz w:val="26"/>
          <w:szCs w:val="26"/>
        </w:rPr>
        <w:t>.</w:t>
      </w:r>
    </w:p>
    <w:p w:rsidR="0087322D" w:rsidRPr="00D15EDB" w:rsidRDefault="0087322D" w:rsidP="0087322D">
      <w:pPr>
        <w:spacing w:before="120" w:after="120" w:line="240" w:lineRule="auto"/>
        <w:jc w:val="both"/>
        <w:rPr>
          <w:rFonts w:ascii="Times New Roman" w:eastAsia="Times New Roman" w:hAnsi="Times New Roman"/>
          <w:iCs/>
          <w:sz w:val="26"/>
          <w:szCs w:val="26"/>
          <w:lang w:eastAsia="lv-LV"/>
        </w:rPr>
      </w:pPr>
      <w:r w:rsidRPr="00D15EDB">
        <w:rPr>
          <w:rFonts w:ascii="Times New Roman" w:eastAsia="Times New Roman" w:hAnsi="Times New Roman"/>
          <w:iCs/>
          <w:sz w:val="26"/>
          <w:szCs w:val="26"/>
          <w:lang w:eastAsia="lv-LV"/>
        </w:rPr>
        <w:t>Saskaņā ar Komisijas Regulā Nr.794/2004, ar ko īsteno Padomes Regulu (EK) Nr.659/1999, ar kuru nosaka sīki izstrādātus noteikumus EK Līguma 93.panta piemērošanai noteikto Latvijai ir jāsaskaņo normatīvie akti ar EK, gadījumā, ja ir plānots daļēji atcelt atbalsta mehānismu elektroenerģijas ražotājiem. Ņemot vērā, ka Regulas Nr.794/2004 nosacījumi neparedz paziņošanas prasības ievērošanu EK attiecībā uz pasākumiem, kas nacionāli skar pilnīgu atbalsta pārtraukšanu, normatīvos aktus, kas paredzētu pilnībā atcelt atbalstu elektroenerģijas ražotājiem, nav jāsaskaņo ar EK. Vienlaikus, ņemot vērā šobrīd saskaņošanas procesā esošo valsts atbalstu TEC-2, EK par izmaiņām būtu informējama šī saskaņošanas procesa ietvaros.</w:t>
      </w:r>
    </w:p>
    <w:p w:rsidR="0087322D" w:rsidRPr="00D15EDB" w:rsidRDefault="0087322D" w:rsidP="0087322D">
      <w:pPr>
        <w:spacing w:before="120" w:after="120" w:line="240" w:lineRule="auto"/>
        <w:jc w:val="both"/>
        <w:rPr>
          <w:rFonts w:ascii="Times New Roman" w:hAnsi="Times New Roman"/>
          <w:color w:val="000000"/>
          <w:sz w:val="26"/>
          <w:szCs w:val="26"/>
        </w:rPr>
      </w:pPr>
      <w:r w:rsidRPr="00D15EDB">
        <w:rPr>
          <w:rFonts w:ascii="Times New Roman" w:hAnsi="Times New Roman"/>
          <w:color w:val="000000"/>
          <w:sz w:val="26"/>
          <w:szCs w:val="26"/>
        </w:rPr>
        <w:t xml:space="preserve">Atbilstoši SPRK izdotajai metodikai, publiskais tirgotājs OIK tekošajā gadā iekļauj iepriekšējā gada faktiskās izmaksas, kas rada situāciju, ka izmaksas publiskajam tirgotājam tiek kompensētas ar viena gada nobīdi. Prognozes liecina, ka īstenojot Likumprojektā iekļauto risinājumu uz 2019.gada 31.martu </w:t>
      </w:r>
      <w:bookmarkStart w:id="6" w:name="_Hlk3209619"/>
      <w:r w:rsidRPr="00D15EDB">
        <w:rPr>
          <w:rFonts w:ascii="Times New Roman" w:hAnsi="Times New Roman"/>
          <w:color w:val="000000"/>
          <w:sz w:val="26"/>
          <w:szCs w:val="26"/>
        </w:rPr>
        <w:t xml:space="preserve">publiskajam tirgotājam būs uzkrāts parāds no elektroenerģijas gala patērētājiem nesaņemto OIK ieņēmumu veidā vairāk kā 80 </w:t>
      </w:r>
      <w:proofErr w:type="spellStart"/>
      <w:r w:rsidRPr="00D15EDB">
        <w:rPr>
          <w:rFonts w:ascii="Times New Roman" w:hAnsi="Times New Roman"/>
          <w:color w:val="000000"/>
          <w:sz w:val="26"/>
          <w:szCs w:val="26"/>
        </w:rPr>
        <w:t>milj.</w:t>
      </w:r>
      <w:r w:rsidRPr="00D15EDB">
        <w:rPr>
          <w:rFonts w:ascii="Times New Roman" w:hAnsi="Times New Roman"/>
          <w:i/>
          <w:color w:val="000000"/>
          <w:sz w:val="26"/>
          <w:szCs w:val="26"/>
        </w:rPr>
        <w:t>euro</w:t>
      </w:r>
      <w:proofErr w:type="spellEnd"/>
      <w:r w:rsidRPr="00D15EDB">
        <w:rPr>
          <w:rFonts w:ascii="Times New Roman" w:hAnsi="Times New Roman"/>
          <w:color w:val="000000"/>
          <w:sz w:val="26"/>
          <w:szCs w:val="26"/>
        </w:rPr>
        <w:t xml:space="preserve"> apmērā</w:t>
      </w:r>
      <w:bookmarkEnd w:id="6"/>
      <w:r w:rsidRPr="00D15EDB">
        <w:rPr>
          <w:rFonts w:ascii="Times New Roman" w:hAnsi="Times New Roman"/>
          <w:color w:val="000000"/>
          <w:sz w:val="26"/>
          <w:szCs w:val="26"/>
        </w:rPr>
        <w:t>. Ar likumprojektu netiek paredzēts mehānisms šādu nesaņemto ieņēmumu segšanai.</w:t>
      </w:r>
    </w:p>
    <w:p w:rsidR="00C637B5" w:rsidRPr="00592E2D" w:rsidRDefault="00DB5C8E" w:rsidP="00D15EDB">
      <w:pPr>
        <w:spacing w:before="360" w:after="120" w:line="240" w:lineRule="auto"/>
        <w:rPr>
          <w:rFonts w:ascii="Times New Roman" w:hAnsi="Times New Roman"/>
          <w:b/>
          <w:sz w:val="26"/>
          <w:szCs w:val="26"/>
        </w:rPr>
      </w:pPr>
      <w:r w:rsidRPr="00D15EDB">
        <w:rPr>
          <w:rFonts w:ascii="Times New Roman" w:hAnsi="Times New Roman"/>
          <w:b/>
          <w:sz w:val="26"/>
          <w:szCs w:val="26"/>
          <w:u w:val="single"/>
        </w:rPr>
        <w:t>I</w:t>
      </w:r>
      <w:r w:rsidRPr="00592E2D">
        <w:rPr>
          <w:rFonts w:ascii="Times New Roman" w:hAnsi="Times New Roman"/>
          <w:b/>
          <w:sz w:val="26"/>
          <w:szCs w:val="26"/>
          <w:u w:val="single"/>
        </w:rPr>
        <w:t>V</w:t>
      </w:r>
      <w:r w:rsidR="00B866BD" w:rsidRPr="00D15EDB">
        <w:rPr>
          <w:rFonts w:ascii="Times New Roman" w:hAnsi="Times New Roman"/>
          <w:b/>
          <w:sz w:val="26"/>
          <w:szCs w:val="26"/>
          <w:u w:val="single"/>
        </w:rPr>
        <w:t xml:space="preserve">. </w:t>
      </w:r>
      <w:r w:rsidR="004C6611" w:rsidRPr="00D15EDB">
        <w:rPr>
          <w:rFonts w:ascii="Times New Roman" w:hAnsi="Times New Roman"/>
          <w:b/>
          <w:sz w:val="26"/>
          <w:szCs w:val="26"/>
          <w:u w:val="single"/>
        </w:rPr>
        <w:t>Tiesiskā r</w:t>
      </w:r>
      <w:r w:rsidR="00F90BC8" w:rsidRPr="00D15EDB">
        <w:rPr>
          <w:rFonts w:ascii="Times New Roman" w:hAnsi="Times New Roman"/>
          <w:b/>
          <w:sz w:val="26"/>
          <w:szCs w:val="26"/>
          <w:u w:val="single"/>
        </w:rPr>
        <w:t xml:space="preserve">isinājuma </w:t>
      </w:r>
      <w:r w:rsidR="00131A77" w:rsidRPr="00D15EDB">
        <w:rPr>
          <w:rFonts w:ascii="Times New Roman" w:hAnsi="Times New Roman"/>
          <w:b/>
          <w:sz w:val="26"/>
          <w:szCs w:val="26"/>
          <w:u w:val="single"/>
        </w:rPr>
        <w:t xml:space="preserve">sagaidāmās </w:t>
      </w:r>
      <w:r w:rsidR="00F90BC8" w:rsidRPr="00D15EDB">
        <w:rPr>
          <w:rFonts w:ascii="Times New Roman" w:hAnsi="Times New Roman"/>
          <w:b/>
          <w:sz w:val="26"/>
          <w:szCs w:val="26"/>
          <w:u w:val="single"/>
        </w:rPr>
        <w:t>ietekmes</w:t>
      </w:r>
    </w:p>
    <w:p w:rsidR="00394B6B" w:rsidRPr="00D15EDB" w:rsidRDefault="00240C64" w:rsidP="009722A1">
      <w:pPr>
        <w:spacing w:before="120" w:after="120" w:line="240" w:lineRule="auto"/>
        <w:jc w:val="both"/>
        <w:rPr>
          <w:rFonts w:ascii="Times New Roman" w:hAnsi="Times New Roman"/>
          <w:sz w:val="26"/>
          <w:szCs w:val="26"/>
        </w:rPr>
      </w:pPr>
      <w:r w:rsidRPr="00D15EDB">
        <w:rPr>
          <w:rFonts w:ascii="Times New Roman" w:hAnsi="Times New Roman"/>
          <w:sz w:val="26"/>
          <w:szCs w:val="26"/>
        </w:rPr>
        <w:t xml:space="preserve">Likumprojekta izstrādes gaitā </w:t>
      </w:r>
      <w:r w:rsidR="00D26769" w:rsidRPr="00D15EDB">
        <w:rPr>
          <w:rFonts w:ascii="Times New Roman" w:hAnsi="Times New Roman"/>
          <w:sz w:val="26"/>
          <w:szCs w:val="26"/>
        </w:rPr>
        <w:t>ir</w:t>
      </w:r>
      <w:r w:rsidRPr="00D15EDB">
        <w:rPr>
          <w:rFonts w:ascii="Times New Roman" w:hAnsi="Times New Roman"/>
          <w:sz w:val="26"/>
          <w:szCs w:val="26"/>
        </w:rPr>
        <w:t xml:space="preserve"> apzinātas dažādas sagaidāmās ietekmes</w:t>
      </w:r>
      <w:r w:rsidR="009151DD" w:rsidRPr="00D15EDB">
        <w:rPr>
          <w:rFonts w:ascii="Times New Roman" w:hAnsi="Times New Roman"/>
          <w:sz w:val="26"/>
          <w:szCs w:val="26"/>
        </w:rPr>
        <w:t xml:space="preserve">, ar ko jārēķinās likumdevējam </w:t>
      </w:r>
      <w:r w:rsidR="00AD3CA6" w:rsidRPr="00D15EDB">
        <w:rPr>
          <w:rFonts w:ascii="Times New Roman" w:hAnsi="Times New Roman"/>
          <w:sz w:val="26"/>
          <w:szCs w:val="26"/>
        </w:rPr>
        <w:t>pieņemot lēmumu par</w:t>
      </w:r>
      <w:r w:rsidR="009151DD" w:rsidRPr="00D15EDB">
        <w:rPr>
          <w:rFonts w:ascii="Times New Roman" w:hAnsi="Times New Roman"/>
          <w:sz w:val="26"/>
          <w:szCs w:val="26"/>
        </w:rPr>
        <w:t xml:space="preserve"> </w:t>
      </w:r>
      <w:r w:rsidR="001B2970" w:rsidRPr="00D15EDB">
        <w:rPr>
          <w:rFonts w:ascii="Times New Roman" w:hAnsi="Times New Roman"/>
          <w:sz w:val="26"/>
          <w:szCs w:val="26"/>
        </w:rPr>
        <w:t>tūlītēju</w:t>
      </w:r>
      <w:r w:rsidR="00EC3B00" w:rsidRPr="00D15EDB">
        <w:rPr>
          <w:rFonts w:ascii="Times New Roman" w:hAnsi="Times New Roman"/>
          <w:sz w:val="26"/>
          <w:szCs w:val="26"/>
        </w:rPr>
        <w:t xml:space="preserve"> </w:t>
      </w:r>
      <w:r w:rsidR="001A7FD5" w:rsidRPr="00D15EDB">
        <w:rPr>
          <w:rFonts w:ascii="Times New Roman" w:hAnsi="Times New Roman"/>
          <w:sz w:val="26"/>
          <w:szCs w:val="26"/>
        </w:rPr>
        <w:t>valsts atbalsta</w:t>
      </w:r>
      <w:r w:rsidR="00670A57" w:rsidRPr="00D15EDB">
        <w:rPr>
          <w:rFonts w:ascii="Times New Roman" w:hAnsi="Times New Roman"/>
          <w:sz w:val="26"/>
          <w:szCs w:val="26"/>
        </w:rPr>
        <w:t xml:space="preserve">, kas ražotājiem šobrīd tiek sniegts </w:t>
      </w:r>
      <w:r w:rsidR="00692B3E" w:rsidRPr="00D15EDB">
        <w:rPr>
          <w:rFonts w:ascii="Times New Roman" w:hAnsi="Times New Roman"/>
          <w:sz w:val="26"/>
          <w:szCs w:val="26"/>
        </w:rPr>
        <w:t xml:space="preserve">OI mehānisma </w:t>
      </w:r>
      <w:r w:rsidR="00670A57" w:rsidRPr="00D15EDB">
        <w:rPr>
          <w:rFonts w:ascii="Times New Roman" w:hAnsi="Times New Roman"/>
          <w:sz w:val="26"/>
          <w:szCs w:val="26"/>
        </w:rPr>
        <w:t>ietvaros,</w:t>
      </w:r>
      <w:r w:rsidR="001A7FD5" w:rsidRPr="00D15EDB">
        <w:rPr>
          <w:rFonts w:ascii="Times New Roman" w:hAnsi="Times New Roman"/>
          <w:sz w:val="26"/>
          <w:szCs w:val="26"/>
        </w:rPr>
        <w:t xml:space="preserve"> </w:t>
      </w:r>
      <w:r w:rsidR="009151DD" w:rsidRPr="00D15EDB">
        <w:rPr>
          <w:rFonts w:ascii="Times New Roman" w:hAnsi="Times New Roman"/>
          <w:sz w:val="26"/>
          <w:szCs w:val="26"/>
        </w:rPr>
        <w:t>atcelšan</w:t>
      </w:r>
      <w:r w:rsidR="009722A1" w:rsidRPr="00D15EDB">
        <w:rPr>
          <w:rFonts w:ascii="Times New Roman" w:hAnsi="Times New Roman"/>
          <w:sz w:val="26"/>
          <w:szCs w:val="26"/>
        </w:rPr>
        <w:t>u</w:t>
      </w:r>
      <w:r w:rsidR="00394B6B" w:rsidRPr="00D15EDB">
        <w:rPr>
          <w:rFonts w:ascii="Times New Roman" w:hAnsi="Times New Roman"/>
          <w:sz w:val="26"/>
          <w:szCs w:val="26"/>
        </w:rPr>
        <w:t>.</w:t>
      </w:r>
    </w:p>
    <w:p w:rsidR="006D029B" w:rsidRPr="00592E2D" w:rsidRDefault="006D029B" w:rsidP="00D15EDB">
      <w:pPr>
        <w:spacing w:before="240" w:after="120" w:line="240" w:lineRule="auto"/>
        <w:jc w:val="both"/>
        <w:rPr>
          <w:rFonts w:ascii="Times New Roman" w:eastAsia="Times New Roman" w:hAnsi="Times New Roman"/>
          <w:b/>
          <w:i/>
          <w:iCs/>
          <w:sz w:val="26"/>
          <w:szCs w:val="26"/>
          <w:lang w:eastAsia="lv-LV"/>
        </w:rPr>
      </w:pPr>
      <w:r w:rsidRPr="00D15EDB">
        <w:rPr>
          <w:rFonts w:ascii="Times New Roman" w:eastAsia="Times New Roman" w:hAnsi="Times New Roman"/>
          <w:b/>
          <w:i/>
          <w:iCs/>
          <w:sz w:val="26"/>
          <w:szCs w:val="26"/>
          <w:lang w:eastAsia="lv-LV"/>
        </w:rPr>
        <w:t>1</w:t>
      </w:r>
      <w:r w:rsidR="001F2AAA" w:rsidRPr="00D15EDB">
        <w:rPr>
          <w:rFonts w:ascii="Times New Roman" w:eastAsia="Times New Roman" w:hAnsi="Times New Roman"/>
          <w:b/>
          <w:i/>
          <w:iCs/>
          <w:sz w:val="26"/>
          <w:szCs w:val="26"/>
          <w:lang w:eastAsia="lv-LV"/>
        </w:rPr>
        <w:t>)</w:t>
      </w:r>
      <w:r w:rsidRPr="00D15EDB">
        <w:rPr>
          <w:rFonts w:ascii="Times New Roman" w:eastAsia="Times New Roman" w:hAnsi="Times New Roman"/>
          <w:b/>
          <w:i/>
          <w:iCs/>
          <w:sz w:val="26"/>
          <w:szCs w:val="26"/>
          <w:lang w:eastAsia="lv-LV"/>
        </w:rPr>
        <w:t xml:space="preserve"> Ietekmes uz sabiedrību</w:t>
      </w:r>
    </w:p>
    <w:p w:rsidR="00CE4420" w:rsidRPr="00D15EDB" w:rsidRDefault="00CE4420" w:rsidP="004A0861">
      <w:pPr>
        <w:spacing w:before="120" w:after="120" w:line="240" w:lineRule="auto"/>
        <w:jc w:val="both"/>
        <w:rPr>
          <w:rFonts w:ascii="Times New Roman" w:eastAsia="Times New Roman" w:hAnsi="Times New Roman"/>
          <w:iCs/>
          <w:sz w:val="26"/>
          <w:szCs w:val="26"/>
          <w:u w:val="single"/>
          <w:lang w:eastAsia="lv-LV"/>
        </w:rPr>
      </w:pPr>
      <w:r w:rsidRPr="00D15EDB">
        <w:rPr>
          <w:rFonts w:ascii="Times New Roman" w:eastAsia="Times New Roman" w:hAnsi="Times New Roman"/>
          <w:iCs/>
          <w:sz w:val="26"/>
          <w:szCs w:val="26"/>
          <w:u w:val="single"/>
          <w:lang w:eastAsia="lv-LV"/>
        </w:rPr>
        <w:t xml:space="preserve">Elektroenerģijas </w:t>
      </w:r>
      <w:r w:rsidR="004F3BAF" w:rsidRPr="00592E2D">
        <w:rPr>
          <w:rFonts w:ascii="Times New Roman" w:eastAsia="Times New Roman" w:hAnsi="Times New Roman"/>
          <w:iCs/>
          <w:sz w:val="26"/>
          <w:szCs w:val="26"/>
          <w:u w:val="single"/>
          <w:lang w:eastAsia="lv-LV"/>
        </w:rPr>
        <w:t>izmaksas</w:t>
      </w:r>
    </w:p>
    <w:p w:rsidR="006D029B" w:rsidRPr="00D15EDB" w:rsidRDefault="006D029B" w:rsidP="006D029B">
      <w:pPr>
        <w:pStyle w:val="paragraph"/>
        <w:spacing w:before="120" w:beforeAutospacing="0" w:after="120" w:afterAutospacing="0"/>
        <w:jc w:val="both"/>
        <w:textAlignment w:val="baseline"/>
        <w:rPr>
          <w:rStyle w:val="normaltextrun"/>
          <w:sz w:val="26"/>
          <w:szCs w:val="26"/>
        </w:rPr>
      </w:pPr>
      <w:r w:rsidRPr="00D15EDB">
        <w:rPr>
          <w:rStyle w:val="normaltextrun"/>
          <w:b/>
          <w:sz w:val="26"/>
          <w:szCs w:val="26"/>
        </w:rPr>
        <w:t xml:space="preserve">Elektroenerģijas gala cenu kopējais samazinājums pēc OIK atcelšanas patērētājiem būs atšķirīgs atkarībā no to pieslēgumu jaudas, elektroenerģijas </w:t>
      </w:r>
      <w:r w:rsidRPr="00D15EDB">
        <w:rPr>
          <w:rStyle w:val="normaltextrun"/>
          <w:b/>
          <w:sz w:val="26"/>
          <w:szCs w:val="26"/>
        </w:rPr>
        <w:lastRenderedPageBreak/>
        <w:t>patēriņa un nosacījumiem elektroenerģijas lietotāja līgumā ar elektroenerģijas tirgotāju</w:t>
      </w:r>
      <w:r w:rsidRPr="00D15EDB">
        <w:rPr>
          <w:rStyle w:val="normaltextrun"/>
          <w:sz w:val="26"/>
          <w:szCs w:val="26"/>
        </w:rPr>
        <w:t xml:space="preserve">. </w:t>
      </w:r>
    </w:p>
    <w:p w:rsidR="006D029B" w:rsidRPr="00D15EDB" w:rsidRDefault="006D029B" w:rsidP="006D029B">
      <w:pPr>
        <w:pStyle w:val="paragraph"/>
        <w:spacing w:before="120" w:beforeAutospacing="0" w:after="120" w:afterAutospacing="0"/>
        <w:jc w:val="both"/>
        <w:textAlignment w:val="baseline"/>
        <w:rPr>
          <w:rStyle w:val="normaltextrun"/>
          <w:sz w:val="26"/>
          <w:szCs w:val="26"/>
        </w:rPr>
      </w:pPr>
      <w:r w:rsidRPr="00D15EDB">
        <w:rPr>
          <w:rStyle w:val="normaltextrun"/>
          <w:sz w:val="26"/>
          <w:szCs w:val="26"/>
        </w:rPr>
        <w:t xml:space="preserve">Paredzamās ietekmes dažādās patērētāju grupās, neņemot vērā elektroenerģijas </w:t>
      </w:r>
      <w:proofErr w:type="spellStart"/>
      <w:r w:rsidRPr="00D15EDB">
        <w:rPr>
          <w:rStyle w:val="normaltextrun"/>
          <w:sz w:val="26"/>
          <w:szCs w:val="26"/>
        </w:rPr>
        <w:t>vairumtirgus</w:t>
      </w:r>
      <w:proofErr w:type="spellEnd"/>
      <w:r w:rsidRPr="00D15EDB">
        <w:rPr>
          <w:rStyle w:val="normaltextrun"/>
          <w:sz w:val="26"/>
          <w:szCs w:val="26"/>
        </w:rPr>
        <w:t xml:space="preserve"> cenas svārstības, varētu būt 20 – 23 % apmērā apstrādes rūpniecībā, 13 – 15% apmērā pakalpojumu sniedzējiem, ~13% apmērā </w:t>
      </w:r>
      <w:proofErr w:type="spellStart"/>
      <w:r w:rsidRPr="00D15EDB">
        <w:rPr>
          <w:rStyle w:val="normaltextrun"/>
          <w:sz w:val="26"/>
          <w:szCs w:val="26"/>
        </w:rPr>
        <w:t>energointensīvai</w:t>
      </w:r>
      <w:proofErr w:type="spellEnd"/>
      <w:r w:rsidRPr="00D15EDB">
        <w:rPr>
          <w:rStyle w:val="normaltextrun"/>
          <w:sz w:val="26"/>
          <w:szCs w:val="26"/>
        </w:rPr>
        <w:t xml:space="preserve"> apstrādes rūpniecībai, ~17% apmērā lauksaimniecības preču ražotājiem. Mājsaimniecībām elektroenerģijas izmaksu samazinājums vidēji varētu būt ap 15%, savukārt neizmantotiem </w:t>
      </w:r>
      <w:proofErr w:type="spellStart"/>
      <w:r w:rsidRPr="00D15EDB">
        <w:rPr>
          <w:rStyle w:val="normaltextrun"/>
          <w:sz w:val="26"/>
          <w:szCs w:val="26"/>
        </w:rPr>
        <w:t>pieslēgumiem</w:t>
      </w:r>
      <w:proofErr w:type="spellEnd"/>
      <w:r w:rsidRPr="00D15EDB">
        <w:rPr>
          <w:rStyle w:val="normaltextrun"/>
          <w:sz w:val="26"/>
          <w:szCs w:val="26"/>
        </w:rPr>
        <w:t xml:space="preserve"> cenas samazinājums būtu virs 30%.</w:t>
      </w:r>
    </w:p>
    <w:p w:rsidR="006D029B" w:rsidRPr="00D15EDB" w:rsidRDefault="006D029B" w:rsidP="006D029B">
      <w:pPr>
        <w:spacing w:before="120" w:after="120" w:line="240" w:lineRule="auto"/>
        <w:jc w:val="both"/>
        <w:rPr>
          <w:rFonts w:ascii="Times New Roman" w:hAnsi="Times New Roman"/>
          <w:sz w:val="26"/>
          <w:szCs w:val="26"/>
        </w:rPr>
      </w:pPr>
      <w:r w:rsidRPr="00D15EDB">
        <w:rPr>
          <w:rFonts w:ascii="Times New Roman" w:hAnsi="Times New Roman"/>
          <w:sz w:val="26"/>
          <w:szCs w:val="26"/>
        </w:rPr>
        <w:t xml:space="preserve">Jāņem vērā, ka samazinoties valstī saražotās elektroenerģijas apjomam, darbu pārtraucot uzņēmumiem, kas līdz šim saņēmuši atbalstu OI mehānisma ietvaros, vienlaikus ar OIK atcelšanu var palielināties elektroenerģijas </w:t>
      </w:r>
      <w:proofErr w:type="spellStart"/>
      <w:r w:rsidRPr="00D15EDB">
        <w:rPr>
          <w:rFonts w:ascii="Times New Roman" w:hAnsi="Times New Roman"/>
          <w:sz w:val="26"/>
          <w:szCs w:val="26"/>
        </w:rPr>
        <w:t>vairumtirgus</w:t>
      </w:r>
      <w:proofErr w:type="spellEnd"/>
      <w:r w:rsidRPr="00D15EDB">
        <w:rPr>
          <w:rFonts w:ascii="Times New Roman" w:hAnsi="Times New Roman"/>
          <w:sz w:val="26"/>
          <w:szCs w:val="26"/>
        </w:rPr>
        <w:t xml:space="preserve"> cena. </w:t>
      </w:r>
    </w:p>
    <w:p w:rsidR="006D029B" w:rsidRPr="00D15EDB" w:rsidRDefault="006D029B" w:rsidP="006D029B">
      <w:pPr>
        <w:spacing w:before="120" w:after="120" w:line="240" w:lineRule="auto"/>
        <w:jc w:val="both"/>
        <w:rPr>
          <w:rFonts w:ascii="Times New Roman" w:hAnsi="Times New Roman"/>
          <w:sz w:val="26"/>
          <w:szCs w:val="26"/>
        </w:rPr>
      </w:pPr>
      <w:r w:rsidRPr="00D15EDB">
        <w:rPr>
          <w:rFonts w:ascii="Times New Roman" w:hAnsi="Times New Roman"/>
          <w:sz w:val="26"/>
          <w:szCs w:val="26"/>
        </w:rPr>
        <w:t xml:space="preserve">Saskaņā ar pārvades sistēmas operatora AS “Augstspriegumu tīkls” (turpmāk – AST) pausto viedokli visu subsidēto elektrostaciju darbības apturēšana radītu nozīmīgu piedāvājuma samazinājumu Latvijas cenu zonā (2018.gadā 4,1 </w:t>
      </w:r>
      <w:proofErr w:type="spellStart"/>
      <w:r w:rsidRPr="00D15EDB">
        <w:rPr>
          <w:rFonts w:ascii="Times New Roman" w:hAnsi="Times New Roman"/>
          <w:sz w:val="26"/>
          <w:szCs w:val="26"/>
        </w:rPr>
        <w:t>TWh</w:t>
      </w:r>
      <w:proofErr w:type="spellEnd"/>
      <w:r w:rsidRPr="00D15EDB">
        <w:rPr>
          <w:rFonts w:ascii="Times New Roman" w:hAnsi="Times New Roman"/>
          <w:sz w:val="26"/>
          <w:szCs w:val="26"/>
        </w:rPr>
        <w:t xml:space="preserve">), kas veicinātu cenu pieaugumu Latvijā. AST aptuvenās aplēses liecina, ka 2018.gadā, kad klimatisko apstākļu dēļ bija samazināts hidroelektrostaciju izstrādes apjoms, TEC-2 darbība nodrošināja par aptuveni 25% zemāku elektroenerģijas </w:t>
      </w:r>
      <w:proofErr w:type="spellStart"/>
      <w:r w:rsidRPr="00D15EDB">
        <w:rPr>
          <w:rFonts w:ascii="Times New Roman" w:hAnsi="Times New Roman"/>
          <w:sz w:val="26"/>
          <w:szCs w:val="26"/>
        </w:rPr>
        <w:t>vairumtirgus</w:t>
      </w:r>
      <w:proofErr w:type="spellEnd"/>
      <w:r w:rsidRPr="00D15EDB">
        <w:rPr>
          <w:rFonts w:ascii="Times New Roman" w:hAnsi="Times New Roman"/>
          <w:sz w:val="26"/>
          <w:szCs w:val="26"/>
        </w:rPr>
        <w:t xml:space="preserve"> cenu. Tomēr, nosakot pienākumu Rīgas TEC-1 un TEC-2 elektrostacijām turpināt darbību pašreizējā minimālajā apjomā līdz plānotajām atbalsta perioda beigām, šāds risks tiek novērsts. </w:t>
      </w:r>
    </w:p>
    <w:p w:rsidR="006D029B" w:rsidRPr="00D15EDB" w:rsidRDefault="006D029B" w:rsidP="006D029B">
      <w:pPr>
        <w:spacing w:before="120" w:after="120" w:line="240" w:lineRule="auto"/>
        <w:jc w:val="both"/>
        <w:rPr>
          <w:rFonts w:ascii="Times New Roman" w:hAnsi="Times New Roman"/>
          <w:sz w:val="26"/>
          <w:szCs w:val="26"/>
        </w:rPr>
      </w:pPr>
      <w:r w:rsidRPr="00D15EDB">
        <w:rPr>
          <w:rFonts w:ascii="Times New Roman" w:hAnsi="Times New Roman"/>
          <w:sz w:val="26"/>
          <w:szCs w:val="26"/>
        </w:rPr>
        <w:t xml:space="preserve">Savukārt, vērtējot, kādu ietekmi uz elektroenerģijas </w:t>
      </w:r>
      <w:proofErr w:type="spellStart"/>
      <w:r w:rsidRPr="00D15EDB">
        <w:rPr>
          <w:rFonts w:ascii="Times New Roman" w:hAnsi="Times New Roman"/>
          <w:sz w:val="26"/>
          <w:szCs w:val="26"/>
        </w:rPr>
        <w:t>vairumtirgus</w:t>
      </w:r>
      <w:proofErr w:type="spellEnd"/>
      <w:r w:rsidRPr="00D15EDB">
        <w:rPr>
          <w:rFonts w:ascii="Times New Roman" w:hAnsi="Times New Roman"/>
          <w:sz w:val="26"/>
          <w:szCs w:val="26"/>
        </w:rPr>
        <w:t xml:space="preserve"> cenām atstās visu subsidēto elektrostaciju darbības pārtraukšana, izņemot Rīgas TEC-1 un TEC-2 elektrostacijas, AST vērtē, ka tā kā šīs elektrostacijas kopā saražo ievērojamu elektroenerģijas daudzumu (2018. gadā ap </w:t>
      </w:r>
      <w:bookmarkStart w:id="7" w:name="_Hlk3208626"/>
      <w:r w:rsidRPr="00D15EDB">
        <w:rPr>
          <w:rFonts w:ascii="Times New Roman" w:hAnsi="Times New Roman"/>
          <w:sz w:val="26"/>
          <w:szCs w:val="26"/>
        </w:rPr>
        <w:t xml:space="preserve">1,5 </w:t>
      </w:r>
      <w:proofErr w:type="spellStart"/>
      <w:r w:rsidRPr="00D15EDB">
        <w:rPr>
          <w:rFonts w:ascii="Times New Roman" w:hAnsi="Times New Roman"/>
          <w:sz w:val="26"/>
          <w:szCs w:val="26"/>
        </w:rPr>
        <w:t>TWh</w:t>
      </w:r>
      <w:proofErr w:type="spellEnd"/>
      <w:r w:rsidRPr="00D15EDB">
        <w:rPr>
          <w:rFonts w:ascii="Times New Roman" w:hAnsi="Times New Roman"/>
          <w:sz w:val="26"/>
          <w:szCs w:val="26"/>
        </w:rPr>
        <w:t xml:space="preserve">, jeb ap 23% no kopā saražotā elektroenerģijas apjoma Latvijā), to darbības pārtraukšana arī veicinātu cenu pieaugumu elektroenerģijas </w:t>
      </w:r>
      <w:proofErr w:type="spellStart"/>
      <w:r w:rsidRPr="00D15EDB">
        <w:rPr>
          <w:rFonts w:ascii="Times New Roman" w:hAnsi="Times New Roman"/>
          <w:sz w:val="26"/>
          <w:szCs w:val="26"/>
        </w:rPr>
        <w:t>vairumtirgū</w:t>
      </w:r>
      <w:proofErr w:type="spellEnd"/>
      <w:r w:rsidRPr="00D15EDB">
        <w:rPr>
          <w:rFonts w:ascii="Times New Roman" w:hAnsi="Times New Roman"/>
          <w:sz w:val="26"/>
          <w:szCs w:val="26"/>
        </w:rPr>
        <w:t xml:space="preserve">. </w:t>
      </w:r>
      <w:bookmarkEnd w:id="7"/>
    </w:p>
    <w:p w:rsidR="006D029B" w:rsidRPr="00D15EDB" w:rsidRDefault="006D029B" w:rsidP="006D029B">
      <w:pPr>
        <w:spacing w:before="120" w:after="120" w:line="240" w:lineRule="auto"/>
        <w:jc w:val="both"/>
        <w:rPr>
          <w:rFonts w:ascii="Times New Roman" w:hAnsi="Times New Roman"/>
          <w:sz w:val="26"/>
          <w:szCs w:val="26"/>
        </w:rPr>
      </w:pPr>
      <w:r w:rsidRPr="00D15EDB">
        <w:rPr>
          <w:rFonts w:ascii="Times New Roman" w:hAnsi="Times New Roman"/>
          <w:sz w:val="26"/>
          <w:szCs w:val="26"/>
        </w:rPr>
        <w:t xml:space="preserve">Tādējādi, </w:t>
      </w:r>
      <w:r w:rsidRPr="00D15EDB">
        <w:rPr>
          <w:rFonts w:ascii="Times New Roman" w:hAnsi="Times New Roman"/>
          <w:b/>
          <w:sz w:val="26"/>
          <w:szCs w:val="26"/>
        </w:rPr>
        <w:t xml:space="preserve">ņemot vērā to, ka OIK vidējā vērtība ir noteikta 22,68 </w:t>
      </w:r>
      <w:proofErr w:type="spellStart"/>
      <w:r w:rsidRPr="00D15EDB">
        <w:rPr>
          <w:rFonts w:ascii="Times New Roman" w:hAnsi="Times New Roman"/>
          <w:b/>
          <w:i/>
          <w:sz w:val="26"/>
          <w:szCs w:val="26"/>
        </w:rPr>
        <w:t>euro</w:t>
      </w:r>
      <w:proofErr w:type="spellEnd"/>
      <w:r w:rsidRPr="00D15EDB">
        <w:rPr>
          <w:rFonts w:ascii="Times New Roman" w:hAnsi="Times New Roman"/>
          <w:b/>
          <w:sz w:val="26"/>
          <w:szCs w:val="26"/>
        </w:rPr>
        <w:t>/</w:t>
      </w:r>
      <w:proofErr w:type="spellStart"/>
      <w:r w:rsidRPr="00D15EDB">
        <w:rPr>
          <w:rFonts w:ascii="Times New Roman" w:hAnsi="Times New Roman"/>
          <w:b/>
          <w:sz w:val="26"/>
          <w:szCs w:val="26"/>
        </w:rPr>
        <w:t>MWh</w:t>
      </w:r>
      <w:proofErr w:type="spellEnd"/>
      <w:r w:rsidRPr="00D15EDB">
        <w:rPr>
          <w:rFonts w:ascii="Times New Roman" w:hAnsi="Times New Roman"/>
          <w:b/>
          <w:sz w:val="26"/>
          <w:szCs w:val="26"/>
        </w:rPr>
        <w:t xml:space="preserve"> apmērā, ieguvumu no OI atcelšanas, kas rezultējas lielākās daļas staciju darbības pārtraukšanā</w:t>
      </w:r>
      <w:r w:rsidRPr="00D15EDB">
        <w:rPr>
          <w:rFonts w:ascii="Times New Roman" w:hAnsi="Times New Roman"/>
          <w:sz w:val="26"/>
          <w:szCs w:val="26"/>
        </w:rPr>
        <w:t xml:space="preserve">, </w:t>
      </w:r>
      <w:r w:rsidRPr="00D15EDB">
        <w:rPr>
          <w:rFonts w:ascii="Times New Roman" w:hAnsi="Times New Roman"/>
          <w:b/>
          <w:sz w:val="26"/>
          <w:szCs w:val="26"/>
        </w:rPr>
        <w:t xml:space="preserve">daļēji var atsvērt elektroenerģijas </w:t>
      </w:r>
      <w:proofErr w:type="spellStart"/>
      <w:r w:rsidRPr="00D15EDB">
        <w:rPr>
          <w:rFonts w:ascii="Times New Roman" w:hAnsi="Times New Roman"/>
          <w:b/>
          <w:sz w:val="26"/>
          <w:szCs w:val="26"/>
        </w:rPr>
        <w:t>vairumtirgus</w:t>
      </w:r>
      <w:proofErr w:type="spellEnd"/>
      <w:r w:rsidRPr="00D15EDB">
        <w:rPr>
          <w:rFonts w:ascii="Times New Roman" w:hAnsi="Times New Roman"/>
          <w:b/>
          <w:sz w:val="26"/>
          <w:szCs w:val="26"/>
        </w:rPr>
        <w:t xml:space="preserve"> cenas pieaugums.</w:t>
      </w:r>
      <w:r w:rsidRPr="00D15EDB">
        <w:rPr>
          <w:rFonts w:ascii="Times New Roman" w:hAnsi="Times New Roman"/>
          <w:sz w:val="26"/>
          <w:szCs w:val="26"/>
        </w:rPr>
        <w:t xml:space="preserve"> </w:t>
      </w:r>
      <w:r w:rsidRPr="00D15EDB">
        <w:rPr>
          <w:rFonts w:ascii="Times New Roman" w:hAnsi="Times New Roman"/>
          <w:b/>
          <w:sz w:val="26"/>
          <w:szCs w:val="26"/>
        </w:rPr>
        <w:t xml:space="preserve">Tomēr paredzams, ka šāda ietekme kopumā nebūs būtiska un pamatā izpaudīsies t.s. pīķa stundās, kad elektroenerģijas </w:t>
      </w:r>
      <w:proofErr w:type="spellStart"/>
      <w:r w:rsidRPr="00D15EDB">
        <w:rPr>
          <w:rFonts w:ascii="Times New Roman" w:hAnsi="Times New Roman"/>
          <w:b/>
          <w:sz w:val="26"/>
          <w:szCs w:val="26"/>
        </w:rPr>
        <w:t>vairumtirgus</w:t>
      </w:r>
      <w:proofErr w:type="spellEnd"/>
      <w:r w:rsidRPr="00D15EDB">
        <w:rPr>
          <w:rFonts w:ascii="Times New Roman" w:hAnsi="Times New Roman"/>
          <w:b/>
          <w:sz w:val="26"/>
          <w:szCs w:val="26"/>
        </w:rPr>
        <w:t xml:space="preserve"> cena ir augsta</w:t>
      </w:r>
      <w:r w:rsidRPr="00D15EDB">
        <w:rPr>
          <w:rFonts w:ascii="Times New Roman" w:hAnsi="Times New Roman"/>
          <w:sz w:val="26"/>
          <w:szCs w:val="26"/>
        </w:rPr>
        <w:t xml:space="preserve">. </w:t>
      </w:r>
    </w:p>
    <w:p w:rsidR="00CE4420" w:rsidRPr="00D15EDB" w:rsidRDefault="00CE4420" w:rsidP="00D15EDB">
      <w:pPr>
        <w:spacing w:before="240" w:after="120" w:line="240" w:lineRule="auto"/>
        <w:jc w:val="both"/>
        <w:rPr>
          <w:rFonts w:ascii="Times New Roman" w:eastAsia="Times New Roman" w:hAnsi="Times New Roman"/>
          <w:iCs/>
          <w:sz w:val="26"/>
          <w:szCs w:val="26"/>
          <w:u w:val="single"/>
          <w:lang w:eastAsia="lv-LV"/>
        </w:rPr>
      </w:pPr>
      <w:r w:rsidRPr="00592E2D">
        <w:rPr>
          <w:rFonts w:ascii="Times New Roman" w:eastAsia="Times New Roman" w:hAnsi="Times New Roman"/>
          <w:iCs/>
          <w:sz w:val="26"/>
          <w:szCs w:val="26"/>
          <w:u w:val="single"/>
          <w:lang w:eastAsia="lv-LV"/>
        </w:rPr>
        <w:t>Siltumenerģijas</w:t>
      </w:r>
      <w:r w:rsidRPr="00D15EDB">
        <w:rPr>
          <w:rFonts w:ascii="Times New Roman" w:eastAsia="Times New Roman" w:hAnsi="Times New Roman"/>
          <w:iCs/>
          <w:sz w:val="26"/>
          <w:szCs w:val="26"/>
          <w:u w:val="single"/>
          <w:lang w:eastAsia="lv-LV"/>
        </w:rPr>
        <w:t xml:space="preserve"> </w:t>
      </w:r>
      <w:r w:rsidR="004F3BAF" w:rsidRPr="00D15EDB">
        <w:rPr>
          <w:rFonts w:ascii="Times New Roman" w:eastAsia="Times New Roman" w:hAnsi="Times New Roman"/>
          <w:iCs/>
          <w:sz w:val="26"/>
          <w:szCs w:val="26"/>
          <w:u w:val="single"/>
          <w:lang w:eastAsia="lv-LV"/>
        </w:rPr>
        <w:t>izmaksas</w:t>
      </w:r>
    </w:p>
    <w:p w:rsidR="006D029B" w:rsidRPr="00D15EDB" w:rsidRDefault="006D029B" w:rsidP="006D029B">
      <w:pPr>
        <w:spacing w:before="120" w:after="120" w:line="240" w:lineRule="auto"/>
        <w:jc w:val="both"/>
        <w:rPr>
          <w:rFonts w:ascii="Times New Roman" w:hAnsi="Times New Roman"/>
          <w:sz w:val="26"/>
          <w:szCs w:val="26"/>
        </w:rPr>
      </w:pPr>
      <w:r w:rsidRPr="00D15EDB">
        <w:rPr>
          <w:rFonts w:ascii="Times New Roman" w:hAnsi="Times New Roman"/>
          <w:sz w:val="26"/>
          <w:szCs w:val="26"/>
        </w:rPr>
        <w:t xml:space="preserve">SPRK ir norādījusi, ka vispārējā gadījumā, izbeidzoties atbalstam OI mehānisma ietvaros, </w:t>
      </w:r>
      <w:bookmarkStart w:id="8" w:name="_Hlk3209504"/>
      <w:r w:rsidRPr="00D15EDB">
        <w:rPr>
          <w:rFonts w:ascii="Times New Roman" w:hAnsi="Times New Roman"/>
          <w:b/>
          <w:sz w:val="26"/>
          <w:szCs w:val="26"/>
        </w:rPr>
        <w:t>siltumenerģijas tarifam būtu tendence pieaugt</w:t>
      </w:r>
      <w:bookmarkEnd w:id="8"/>
      <w:r w:rsidRPr="00D15EDB">
        <w:rPr>
          <w:rFonts w:ascii="Times New Roman" w:hAnsi="Times New Roman"/>
          <w:sz w:val="26"/>
          <w:szCs w:val="26"/>
        </w:rPr>
        <w:t>. Bet ir arī atsevišķi faktori, kuru izmaiņu rezultātā siltumenerģijas tarifs varētu atsevišķās pašvaldībās arī samazināties.</w:t>
      </w:r>
    </w:p>
    <w:p w:rsidR="006D029B" w:rsidRPr="00D15EDB" w:rsidRDefault="006D029B" w:rsidP="006D029B">
      <w:pPr>
        <w:spacing w:before="120" w:after="120" w:line="240" w:lineRule="auto"/>
        <w:jc w:val="both"/>
        <w:rPr>
          <w:rFonts w:ascii="Times New Roman" w:hAnsi="Times New Roman"/>
          <w:sz w:val="26"/>
          <w:szCs w:val="26"/>
        </w:rPr>
      </w:pPr>
      <w:r w:rsidRPr="00D15EDB">
        <w:rPr>
          <w:rFonts w:ascii="Times New Roman" w:hAnsi="Times New Roman"/>
          <w:sz w:val="26"/>
          <w:szCs w:val="26"/>
        </w:rPr>
        <w:t xml:space="preserve">Siltumenerģijas gala </w:t>
      </w:r>
      <w:r w:rsidRPr="00D15EDB">
        <w:rPr>
          <w:rFonts w:ascii="Times New Roman" w:hAnsi="Times New Roman"/>
          <w:b/>
          <w:sz w:val="26"/>
          <w:szCs w:val="26"/>
        </w:rPr>
        <w:t>tarifu pieaugums varētu būt sagaidāms vismaz 15 pašvaldībās</w:t>
      </w:r>
      <w:r w:rsidRPr="00D15EDB">
        <w:rPr>
          <w:rFonts w:ascii="Times New Roman" w:hAnsi="Times New Roman"/>
          <w:sz w:val="26"/>
          <w:szCs w:val="26"/>
        </w:rPr>
        <w:t xml:space="preserve">, no kurām </w:t>
      </w:r>
      <w:r w:rsidRPr="00D15EDB">
        <w:rPr>
          <w:rFonts w:ascii="Times New Roman" w:hAnsi="Times New Roman"/>
          <w:b/>
          <w:sz w:val="26"/>
          <w:szCs w:val="26"/>
        </w:rPr>
        <w:t xml:space="preserve">lielākās ir </w:t>
      </w:r>
      <w:bookmarkStart w:id="9" w:name="_Hlk3209543"/>
      <w:r w:rsidRPr="00D15EDB">
        <w:rPr>
          <w:rFonts w:ascii="Times New Roman" w:hAnsi="Times New Roman"/>
          <w:b/>
          <w:sz w:val="26"/>
          <w:szCs w:val="26"/>
        </w:rPr>
        <w:t>Daugavpils, Jelgava, Liepāja, Rēzekn</w:t>
      </w:r>
      <w:bookmarkEnd w:id="9"/>
      <w:r w:rsidRPr="00D15EDB">
        <w:rPr>
          <w:rFonts w:ascii="Times New Roman" w:hAnsi="Times New Roman"/>
          <w:b/>
          <w:sz w:val="26"/>
          <w:szCs w:val="26"/>
        </w:rPr>
        <w:t>e</w:t>
      </w:r>
      <w:r w:rsidRPr="00D15EDB">
        <w:rPr>
          <w:rFonts w:ascii="Times New Roman" w:hAnsi="Times New Roman"/>
          <w:sz w:val="26"/>
          <w:szCs w:val="26"/>
        </w:rPr>
        <w:t>. Rīgā izmaiņas siltumenerģijas tarifos pamatā būs atkarīgas no TEC-2 turpmākās darbības. Pašvaldību skaits varētu būt arī lielāks, atkarībā no tā, vai pašvaldībām ir citas alternatīvas siltumapgādes nodrošināšanai. Visprecīzāko informāciju iedzīvotāji šajā jautājumā var gūt, vēršoties pašvaldībā.</w:t>
      </w:r>
    </w:p>
    <w:p w:rsidR="006D029B" w:rsidRPr="00D15EDB" w:rsidRDefault="006D029B" w:rsidP="006D029B">
      <w:pPr>
        <w:spacing w:before="120" w:after="120" w:line="240" w:lineRule="auto"/>
        <w:jc w:val="both"/>
        <w:rPr>
          <w:rFonts w:ascii="Times New Roman" w:hAnsi="Times New Roman"/>
          <w:sz w:val="26"/>
          <w:szCs w:val="26"/>
        </w:rPr>
      </w:pPr>
      <w:r w:rsidRPr="00D15EDB">
        <w:rPr>
          <w:rFonts w:ascii="Times New Roman" w:hAnsi="Times New Roman"/>
          <w:sz w:val="26"/>
          <w:szCs w:val="26"/>
        </w:rPr>
        <w:t xml:space="preserve">Latvijas Siltumuzņēmumu asociācijas rosinātajā aptaujā biedriem, uzņēmumi, kuru sistēmās darbojas koģenerācijas stacijas, nepārprotami norādīja, ka, atbalsta pārtraukšanas gadījumā, </w:t>
      </w:r>
      <w:bookmarkStart w:id="10" w:name="_Hlk3209061"/>
      <w:r w:rsidRPr="00D15EDB">
        <w:rPr>
          <w:rFonts w:ascii="Times New Roman" w:hAnsi="Times New Roman"/>
          <w:b/>
          <w:sz w:val="26"/>
          <w:szCs w:val="26"/>
        </w:rPr>
        <w:t>tarifu pieaugums būtu 20 – 40%</w:t>
      </w:r>
      <w:r w:rsidRPr="00D15EDB">
        <w:rPr>
          <w:rFonts w:ascii="Times New Roman" w:hAnsi="Times New Roman"/>
          <w:sz w:val="26"/>
          <w:szCs w:val="26"/>
        </w:rPr>
        <w:t xml:space="preserve"> robežās, atsevišķos </w:t>
      </w:r>
      <w:r w:rsidRPr="00D15EDB">
        <w:rPr>
          <w:rFonts w:ascii="Times New Roman" w:hAnsi="Times New Roman"/>
          <w:sz w:val="26"/>
          <w:szCs w:val="26"/>
        </w:rPr>
        <w:lastRenderedPageBreak/>
        <w:t xml:space="preserve">gadījumos, iespējams, vairāk. </w:t>
      </w:r>
      <w:bookmarkEnd w:id="10"/>
      <w:r w:rsidRPr="00D15EDB">
        <w:rPr>
          <w:rFonts w:ascii="Times New Roman" w:hAnsi="Times New Roman"/>
          <w:sz w:val="26"/>
          <w:szCs w:val="26"/>
        </w:rPr>
        <w:t xml:space="preserve">Šādu kāpumu uzņēmumi skaidro ar to, ka dažos mēnešos nav tehniski iespējams aizstāt esošās iekārtas, realizējot alternatīva </w:t>
      </w:r>
      <w:proofErr w:type="spellStart"/>
      <w:r w:rsidRPr="00D15EDB">
        <w:rPr>
          <w:rFonts w:ascii="Times New Roman" w:hAnsi="Times New Roman"/>
          <w:sz w:val="26"/>
          <w:szCs w:val="26"/>
        </w:rPr>
        <w:t>siltumavota</w:t>
      </w:r>
      <w:proofErr w:type="spellEnd"/>
      <w:r w:rsidRPr="00D15EDB">
        <w:rPr>
          <w:rFonts w:ascii="Times New Roman" w:hAnsi="Times New Roman"/>
          <w:sz w:val="26"/>
          <w:szCs w:val="26"/>
        </w:rPr>
        <w:t xml:space="preserve"> uzstādīšanu, kā arī neatmaksātie kredīti/neatgūtās investīcijas ir būtisks šķērslis jauna finansējuma piesaistei.</w:t>
      </w:r>
    </w:p>
    <w:p w:rsidR="006D029B" w:rsidRPr="00D15EDB" w:rsidRDefault="006D029B" w:rsidP="006D029B">
      <w:pPr>
        <w:spacing w:before="120" w:after="120" w:line="240" w:lineRule="auto"/>
        <w:jc w:val="both"/>
        <w:rPr>
          <w:rFonts w:ascii="Times New Roman" w:hAnsi="Times New Roman"/>
          <w:sz w:val="26"/>
          <w:szCs w:val="26"/>
        </w:rPr>
      </w:pPr>
      <w:r w:rsidRPr="00D15EDB">
        <w:rPr>
          <w:rFonts w:ascii="Times New Roman" w:hAnsi="Times New Roman"/>
          <w:sz w:val="26"/>
          <w:szCs w:val="26"/>
        </w:rPr>
        <w:t>Saskaņā ar SPRK datiem pēc atbalsta perioda beigām siltumenerģijas tarifi būtiski ir pieauguši Valmierā – 25% un Vangažos – 32%, līdz 10% tarifi pieauguši Baložos un Ādažos.</w:t>
      </w:r>
    </w:p>
    <w:p w:rsidR="006D029B" w:rsidRPr="00D15EDB" w:rsidRDefault="006D029B" w:rsidP="006D029B">
      <w:pPr>
        <w:pStyle w:val="paragraph"/>
        <w:spacing w:before="120" w:beforeAutospacing="0" w:after="120" w:afterAutospacing="0"/>
        <w:jc w:val="both"/>
        <w:textAlignment w:val="baseline"/>
        <w:rPr>
          <w:rStyle w:val="normaltextrun"/>
          <w:sz w:val="26"/>
          <w:szCs w:val="26"/>
        </w:rPr>
      </w:pPr>
      <w:r w:rsidRPr="00D15EDB">
        <w:rPr>
          <w:rStyle w:val="normaltextrun"/>
          <w:sz w:val="26"/>
          <w:szCs w:val="26"/>
        </w:rPr>
        <w:t>Šāds Likumprojekta risinājums atstātu ietekmi uz mājsaimniecībām, kuras varētu saskarties ar siltumenerģijas tarifu pieaugumu, un īpaši uz iedzīvotājiem ar zemiem ienākumiem, kuriem varētu rasties grūtības segt ar siltumenerģiju saistītos mājsaimniecības izdevumus.</w:t>
      </w:r>
    </w:p>
    <w:p w:rsidR="00915463" w:rsidRPr="00592E2D" w:rsidRDefault="00915463" w:rsidP="00D15EDB">
      <w:pPr>
        <w:spacing w:before="240" w:after="120" w:line="240" w:lineRule="auto"/>
        <w:jc w:val="both"/>
        <w:rPr>
          <w:rFonts w:ascii="Times New Roman" w:eastAsia="Times New Roman" w:hAnsi="Times New Roman"/>
          <w:iCs/>
          <w:sz w:val="26"/>
          <w:szCs w:val="26"/>
          <w:u w:val="single"/>
          <w:lang w:eastAsia="lv-LV"/>
        </w:rPr>
      </w:pPr>
      <w:r w:rsidRPr="00592E2D">
        <w:rPr>
          <w:rFonts w:ascii="Times New Roman" w:eastAsia="Times New Roman" w:hAnsi="Times New Roman"/>
          <w:iCs/>
          <w:sz w:val="26"/>
          <w:szCs w:val="26"/>
          <w:u w:val="single"/>
          <w:lang w:eastAsia="lv-LV"/>
        </w:rPr>
        <w:t>Uzņēmējdarbība</w:t>
      </w:r>
    </w:p>
    <w:p w:rsidR="006D029B" w:rsidRPr="00D15EDB" w:rsidRDefault="006D029B" w:rsidP="006D029B">
      <w:pPr>
        <w:spacing w:before="120" w:after="120" w:line="240" w:lineRule="auto"/>
        <w:jc w:val="both"/>
        <w:rPr>
          <w:rFonts w:ascii="Times New Roman" w:hAnsi="Times New Roman"/>
          <w:sz w:val="26"/>
          <w:szCs w:val="26"/>
        </w:rPr>
      </w:pPr>
      <w:r w:rsidRPr="00D15EDB">
        <w:rPr>
          <w:rFonts w:ascii="Times New Roman" w:hAnsi="Times New Roman"/>
          <w:sz w:val="26"/>
          <w:szCs w:val="26"/>
        </w:rPr>
        <w:t xml:space="preserve">Saskaņā ar Latvijas Atjaunojamās enerģijas federācijas (turpmāk – LAEF) datiem </w:t>
      </w:r>
      <w:r w:rsidRPr="00D15EDB">
        <w:rPr>
          <w:rFonts w:ascii="Times New Roman" w:hAnsi="Times New Roman"/>
          <w:b/>
          <w:sz w:val="26"/>
          <w:szCs w:val="26"/>
        </w:rPr>
        <w:t xml:space="preserve">AER stacijās strādā 1600 darbinieki, no kuriem lielākā daļa zaudētu darbu pēc OI pārtraukšanas. </w:t>
      </w:r>
      <w:r w:rsidRPr="00D15EDB">
        <w:rPr>
          <w:rFonts w:ascii="Times New Roman" w:hAnsi="Times New Roman"/>
          <w:sz w:val="26"/>
          <w:szCs w:val="26"/>
        </w:rPr>
        <w:t>Darbavietas varētu būt apdraudētas arī saistītajās nozarēs strādājošajiem. Kopumā pēc LAEF aplēsēm saistījās nozarēs varētu būt nodarbinātas aptuveni 2500 personas. Līdzīgs secinājums par nodarbināto skaitu OI mehānisma ietvaros strādājošām AER stacijām ir izteikts arī 2018.gadā tapušajā Latvijas Zinātņu akadēmijas ekspertes akad., Dr.ekon. Raitas Karnītes pētījumā</w:t>
      </w:r>
      <w:r w:rsidRPr="00D15EDB">
        <w:rPr>
          <w:rStyle w:val="FootnoteReference"/>
          <w:rFonts w:ascii="Times New Roman" w:hAnsi="Times New Roman"/>
          <w:sz w:val="26"/>
          <w:szCs w:val="26"/>
        </w:rPr>
        <w:footnoteReference w:id="23"/>
      </w:r>
      <w:r w:rsidRPr="00D15EDB">
        <w:rPr>
          <w:rFonts w:ascii="Times New Roman" w:hAnsi="Times New Roman"/>
          <w:sz w:val="26"/>
          <w:szCs w:val="26"/>
        </w:rPr>
        <w:t>.</w:t>
      </w:r>
    </w:p>
    <w:p w:rsidR="006D029B" w:rsidRPr="00D15EDB" w:rsidRDefault="006D029B" w:rsidP="006D029B">
      <w:pPr>
        <w:spacing w:before="120" w:after="120" w:line="240" w:lineRule="auto"/>
        <w:jc w:val="both"/>
        <w:rPr>
          <w:rStyle w:val="normaltextrun"/>
          <w:rFonts w:ascii="Times New Roman" w:hAnsi="Times New Roman"/>
          <w:sz w:val="26"/>
          <w:szCs w:val="26"/>
        </w:rPr>
      </w:pPr>
      <w:r w:rsidRPr="00D15EDB">
        <w:rPr>
          <w:rStyle w:val="normaltextrun"/>
          <w:rFonts w:ascii="Times New Roman" w:hAnsi="Times New Roman"/>
          <w:sz w:val="26"/>
          <w:szCs w:val="26"/>
        </w:rPr>
        <w:t>Latvijas Biogāzes asociācija ir norādījusi, ka biogāzes ražošanā, blakus ražotnēs un ar to saistītajos uzņēmumos kopumā ir nodarbināti ap 2000 cilvēku un, likvidējot vai sašaurinot ražošanu, vismaz 50% no viņiem paliktu bez darba.</w:t>
      </w:r>
    </w:p>
    <w:p w:rsidR="006D029B" w:rsidRPr="00D15EDB" w:rsidRDefault="006D029B" w:rsidP="006D029B">
      <w:pPr>
        <w:spacing w:before="120" w:after="120" w:line="240" w:lineRule="auto"/>
        <w:jc w:val="both"/>
        <w:rPr>
          <w:rStyle w:val="normaltextrun"/>
          <w:rFonts w:ascii="Times New Roman" w:hAnsi="Times New Roman"/>
          <w:sz w:val="26"/>
          <w:szCs w:val="26"/>
        </w:rPr>
      </w:pPr>
      <w:r w:rsidRPr="00D15EDB">
        <w:rPr>
          <w:rStyle w:val="normaltextrun"/>
          <w:rFonts w:ascii="Times New Roman" w:hAnsi="Times New Roman"/>
          <w:sz w:val="26"/>
          <w:szCs w:val="26"/>
        </w:rPr>
        <w:t>Tāpat, darbu pārtraucot dabasgāzes koģenerācijas stacijām, darbavietas zaudētu arī šajos uzņēmumos strādājošie.</w:t>
      </w:r>
    </w:p>
    <w:p w:rsidR="006D029B" w:rsidRPr="00D15EDB" w:rsidRDefault="006D029B" w:rsidP="006D029B">
      <w:pPr>
        <w:pStyle w:val="paragraph"/>
        <w:spacing w:before="120" w:beforeAutospacing="0" w:after="120" w:afterAutospacing="0"/>
        <w:jc w:val="both"/>
        <w:textAlignment w:val="baseline"/>
        <w:rPr>
          <w:sz w:val="26"/>
          <w:szCs w:val="26"/>
        </w:rPr>
      </w:pPr>
      <w:r w:rsidRPr="00D15EDB">
        <w:rPr>
          <w:sz w:val="26"/>
          <w:szCs w:val="26"/>
        </w:rPr>
        <w:t xml:space="preserve">Zemkopības ministrija (turpmāk – ZM) un  </w:t>
      </w:r>
      <w:r w:rsidRPr="00D15EDB">
        <w:rPr>
          <w:rStyle w:val="normaltextrun"/>
          <w:sz w:val="26"/>
          <w:szCs w:val="26"/>
        </w:rPr>
        <w:t xml:space="preserve">Lauksaimnieku organizācijas sadarbības padome (turpmāk – </w:t>
      </w:r>
      <w:r w:rsidRPr="00D15EDB">
        <w:rPr>
          <w:sz w:val="26"/>
          <w:szCs w:val="26"/>
        </w:rPr>
        <w:t xml:space="preserve">LOSP) ir norādījušas, ka, </w:t>
      </w:r>
      <w:bookmarkStart w:id="11" w:name="_Hlk3208879"/>
      <w:r w:rsidRPr="00D15EDB">
        <w:rPr>
          <w:bCs/>
          <w:sz w:val="26"/>
          <w:szCs w:val="26"/>
        </w:rPr>
        <w:t xml:space="preserve">pārtraucot ražot </w:t>
      </w:r>
      <w:r w:rsidRPr="00D15EDB">
        <w:rPr>
          <w:sz w:val="26"/>
          <w:szCs w:val="26"/>
        </w:rPr>
        <w:t xml:space="preserve">elektroenerģiju, varētu rasties situācija, </w:t>
      </w:r>
      <w:r w:rsidRPr="00D15EDB">
        <w:rPr>
          <w:b/>
          <w:sz w:val="26"/>
          <w:szCs w:val="26"/>
        </w:rPr>
        <w:t>ka iesaistītās lauku saimniecības kļūs maksātnespējīgas</w:t>
      </w:r>
      <w:bookmarkEnd w:id="11"/>
      <w:r w:rsidRPr="00D15EDB">
        <w:rPr>
          <w:sz w:val="26"/>
          <w:szCs w:val="26"/>
        </w:rPr>
        <w:t>,</w:t>
      </w:r>
      <w:r w:rsidRPr="00D15EDB">
        <w:rPr>
          <w:bCs/>
          <w:sz w:val="26"/>
          <w:szCs w:val="26"/>
        </w:rPr>
        <w:t xml:space="preserve"> jo vairums biogāzes un biomasas koģenerācijas staciju ir integrētas kopējā lauksaimnieciskajā vai mežsaimnieciskajā saimniekošanas sistēmā</w:t>
      </w:r>
      <w:r w:rsidRPr="00D15EDB">
        <w:rPr>
          <w:sz w:val="26"/>
          <w:szCs w:val="26"/>
        </w:rPr>
        <w:t xml:space="preserve">. Arī Latvijas biogāzes asociācija ir norādījusi, </w:t>
      </w:r>
      <w:r w:rsidRPr="00D15EDB">
        <w:rPr>
          <w:b/>
          <w:sz w:val="26"/>
          <w:szCs w:val="26"/>
        </w:rPr>
        <w:t>ka daļā gadījumu pie biogāzes stacijām ir izveidotas dažādas ražotnes</w:t>
      </w:r>
      <w:r w:rsidRPr="00D15EDB">
        <w:rPr>
          <w:sz w:val="26"/>
          <w:szCs w:val="26"/>
        </w:rPr>
        <w:t xml:space="preserve"> (siltumnīcas, kokapstrāde, zivju audzēšana, sauso mēslošanas substrātu ražošana u.c.), kas izmanto stacijās saražoto siltumenerģiju vai arī siltumenerģija tiek novadīta uz jau esošajiem ražošanas uzņēmumiem (pārtikas ražošana, lopkopības fermas u.c.).</w:t>
      </w:r>
    </w:p>
    <w:p w:rsidR="006D029B" w:rsidRPr="00D15EDB" w:rsidRDefault="006D029B" w:rsidP="006D029B">
      <w:pPr>
        <w:pStyle w:val="paragraph"/>
        <w:spacing w:before="120" w:beforeAutospacing="0" w:after="120" w:afterAutospacing="0"/>
        <w:jc w:val="both"/>
        <w:textAlignment w:val="baseline"/>
        <w:rPr>
          <w:rStyle w:val="normaltextrun"/>
          <w:sz w:val="26"/>
          <w:szCs w:val="26"/>
        </w:rPr>
      </w:pPr>
      <w:r w:rsidRPr="00D15EDB">
        <w:rPr>
          <w:rStyle w:val="normaltextrun"/>
          <w:sz w:val="26"/>
          <w:szCs w:val="26"/>
        </w:rPr>
        <w:t>Būvmateriālu ražotāju asociācija savukārt ir norādījusi, ka</w:t>
      </w:r>
      <w:r w:rsidRPr="00D15EDB">
        <w:rPr>
          <w:rStyle w:val="normaltextrun"/>
          <w:b/>
          <w:sz w:val="26"/>
          <w:szCs w:val="26"/>
        </w:rPr>
        <w:t xml:space="preserve"> būtiska OIK samazināšana vai atcelšana pozitīvi ietekmētu energoietilpīgos apstrādes rūpniecības uzņēmumus</w:t>
      </w:r>
      <w:r w:rsidRPr="00D15EDB">
        <w:rPr>
          <w:rStyle w:val="normaltextrun"/>
          <w:sz w:val="26"/>
          <w:szCs w:val="26"/>
        </w:rPr>
        <w:t xml:space="preserve">, jo tie kļūtu konkurētspējīgāki savos eksporta tirgos un varētu palielināt savas produkcijas noietu, kā arī parādītos brīvi līdzekļi, kurus būtu iespējams investēt uzņēmumu attīstībā un papildu investīciju piesaistē. Tā, piemēram, uzņēmumam CEMEX pēc daļēji īstenotajām reformām OIK samazināšanai (atbalsts </w:t>
      </w:r>
      <w:proofErr w:type="spellStart"/>
      <w:r w:rsidRPr="00D15EDB">
        <w:rPr>
          <w:rStyle w:val="normaltextrun"/>
          <w:sz w:val="26"/>
          <w:szCs w:val="26"/>
        </w:rPr>
        <w:t>energointensīviem</w:t>
      </w:r>
      <w:proofErr w:type="spellEnd"/>
      <w:r w:rsidRPr="00D15EDB">
        <w:rPr>
          <w:rStyle w:val="normaltextrun"/>
          <w:sz w:val="26"/>
          <w:szCs w:val="26"/>
        </w:rPr>
        <w:t xml:space="preserve"> apstrādes rūpniecības uzņēmumiem, OIK vidējās likmes samazināšana), parādījās iespēja nostabilizēt savas pozīcijas esošajos tirgos un būtiski </w:t>
      </w:r>
      <w:r w:rsidRPr="00D15EDB">
        <w:rPr>
          <w:rStyle w:val="normaltextrun"/>
          <w:sz w:val="26"/>
          <w:szCs w:val="26"/>
        </w:rPr>
        <w:lastRenderedPageBreak/>
        <w:t>paplašināt savu eksporta noietu Zviedrijā, jo produkcijas izmaksas kļuva konkurētspējīgākas, salīdzinot ar citiem ES tirgū konkurējošiem ražotājiem.</w:t>
      </w:r>
    </w:p>
    <w:p w:rsidR="006D029B" w:rsidRPr="00D15EDB" w:rsidRDefault="006D029B" w:rsidP="006D029B">
      <w:pPr>
        <w:pStyle w:val="paragraph"/>
        <w:spacing w:before="120" w:beforeAutospacing="0" w:after="120" w:afterAutospacing="0"/>
        <w:jc w:val="both"/>
        <w:textAlignment w:val="baseline"/>
        <w:rPr>
          <w:rStyle w:val="eop"/>
          <w:sz w:val="26"/>
          <w:szCs w:val="26"/>
        </w:rPr>
      </w:pPr>
      <w:r w:rsidRPr="00D15EDB">
        <w:rPr>
          <w:rStyle w:val="normaltextrun"/>
          <w:sz w:val="26"/>
          <w:szCs w:val="26"/>
        </w:rPr>
        <w:t xml:space="preserve">Saskaņā ar Ekonomikas ministrijas aplēsēm OIK maksājuma atcelšanas tiešā ietekmē starppatēriņa izmaksas vidēji tautsaimniecībā saruktu par 0,4%, kā rezultātā uzņēmēju peļņa palielinātos par 0,44%, bet ražotāju cenas saruktu par 0,19%. Lielāks ieguvums būtu apstrādes rūpniecībā, kur OIK izmaksas veido relatīvi lielāku īpatsvaru. Detalizētāku analīzi par OIK ietekmi uz tautsaimniecību skatīt </w:t>
      </w:r>
      <w:r w:rsidR="00DF1442">
        <w:rPr>
          <w:rStyle w:val="normaltextrun"/>
          <w:sz w:val="26"/>
          <w:szCs w:val="26"/>
        </w:rPr>
        <w:t xml:space="preserve">Likumprojekta anotācijas </w:t>
      </w:r>
      <w:r w:rsidRPr="00D15EDB">
        <w:rPr>
          <w:rStyle w:val="normaltextrun"/>
          <w:sz w:val="26"/>
          <w:szCs w:val="26"/>
        </w:rPr>
        <w:t>2.pielikumā.</w:t>
      </w:r>
      <w:r w:rsidRPr="00D15EDB">
        <w:rPr>
          <w:rStyle w:val="normaltextrun"/>
          <w:sz w:val="26"/>
          <w:szCs w:val="26"/>
        </w:rPr>
        <w:tab/>
      </w:r>
    </w:p>
    <w:p w:rsidR="006D029B" w:rsidRPr="00D15EDB" w:rsidRDefault="006D029B" w:rsidP="00D15EDB">
      <w:pPr>
        <w:spacing w:before="240" w:after="120" w:line="240" w:lineRule="auto"/>
        <w:jc w:val="both"/>
        <w:rPr>
          <w:rFonts w:ascii="Times New Roman" w:eastAsia="Times New Roman" w:hAnsi="Times New Roman"/>
          <w:iCs/>
          <w:sz w:val="26"/>
          <w:szCs w:val="26"/>
          <w:u w:val="single"/>
          <w:lang w:eastAsia="lv-LV"/>
        </w:rPr>
      </w:pPr>
      <w:r w:rsidRPr="00D15EDB">
        <w:rPr>
          <w:rFonts w:ascii="Times New Roman" w:eastAsia="Times New Roman" w:hAnsi="Times New Roman"/>
          <w:iCs/>
          <w:sz w:val="26"/>
          <w:szCs w:val="26"/>
          <w:u w:val="single"/>
          <w:lang w:eastAsia="lv-LV"/>
        </w:rPr>
        <w:t>Citas ietekmes </w:t>
      </w:r>
    </w:p>
    <w:p w:rsidR="006D029B" w:rsidRPr="00D15EDB" w:rsidRDefault="006D029B" w:rsidP="006D029B">
      <w:pPr>
        <w:pStyle w:val="paragraph"/>
        <w:spacing w:before="120" w:beforeAutospacing="0" w:after="120" w:afterAutospacing="0"/>
        <w:jc w:val="both"/>
        <w:textAlignment w:val="baseline"/>
        <w:rPr>
          <w:bCs/>
          <w:sz w:val="26"/>
          <w:szCs w:val="26"/>
        </w:rPr>
      </w:pPr>
      <w:r w:rsidRPr="00D15EDB">
        <w:rPr>
          <w:rStyle w:val="normaltextrun"/>
          <w:sz w:val="26"/>
          <w:szCs w:val="26"/>
        </w:rPr>
        <w:t xml:space="preserve">ZM, LOSP un Latvijas Biogāzes asociācija ir vērsušas uzmanību, ka darbu pārtraucot biogāzes stacijām, </w:t>
      </w:r>
      <w:bookmarkStart w:id="12" w:name="_Hlk3208940"/>
      <w:r w:rsidRPr="00D15EDB">
        <w:rPr>
          <w:rStyle w:val="normaltextrun"/>
          <w:b/>
          <w:sz w:val="26"/>
          <w:szCs w:val="26"/>
        </w:rPr>
        <w:t>vidē vai pie</w:t>
      </w:r>
      <w:r w:rsidRPr="00D15EDB">
        <w:rPr>
          <w:b/>
          <w:bCs/>
          <w:sz w:val="26"/>
          <w:szCs w:val="26"/>
        </w:rPr>
        <w:t xml:space="preserve"> atkritumu </w:t>
      </w:r>
      <w:proofErr w:type="spellStart"/>
      <w:r w:rsidRPr="00D15EDB">
        <w:rPr>
          <w:b/>
          <w:bCs/>
          <w:sz w:val="26"/>
          <w:szCs w:val="26"/>
        </w:rPr>
        <w:t>apsaimniekotājiem</w:t>
      </w:r>
      <w:proofErr w:type="spellEnd"/>
      <w:r w:rsidRPr="00D15EDB">
        <w:rPr>
          <w:b/>
          <w:bCs/>
          <w:sz w:val="26"/>
          <w:szCs w:val="26"/>
        </w:rPr>
        <w:t xml:space="preserve"> varētu nonākt liels apjoms atlikumproduktu</w:t>
      </w:r>
      <w:r w:rsidRPr="00D15EDB">
        <w:rPr>
          <w:bCs/>
          <w:sz w:val="26"/>
          <w:szCs w:val="26"/>
        </w:rPr>
        <w:t xml:space="preserve">. Tie varētu būt vairāk nekā 700 000 </w:t>
      </w:r>
      <w:r w:rsidRPr="00D15EDB">
        <w:rPr>
          <w:bCs/>
          <w:i/>
          <w:sz w:val="26"/>
          <w:szCs w:val="26"/>
        </w:rPr>
        <w:t>t</w:t>
      </w:r>
      <w:r w:rsidRPr="00D15EDB">
        <w:rPr>
          <w:bCs/>
          <w:sz w:val="26"/>
          <w:szCs w:val="26"/>
        </w:rPr>
        <w:t xml:space="preserve"> atlikumproduktu gadā</w:t>
      </w:r>
      <w:bookmarkEnd w:id="12"/>
      <w:r w:rsidRPr="00D15EDB">
        <w:rPr>
          <w:bCs/>
          <w:sz w:val="26"/>
          <w:szCs w:val="26"/>
        </w:rPr>
        <w:t xml:space="preserve">, kas sevī ietver kūtsmēslus, dzīvnieku kautuvēs radušos </w:t>
      </w:r>
      <w:proofErr w:type="spellStart"/>
      <w:r w:rsidRPr="00D15EDB">
        <w:rPr>
          <w:bCs/>
          <w:sz w:val="26"/>
          <w:szCs w:val="26"/>
        </w:rPr>
        <w:t>atlikumproduktus</w:t>
      </w:r>
      <w:proofErr w:type="spellEnd"/>
      <w:r w:rsidRPr="00D15EDB">
        <w:rPr>
          <w:bCs/>
          <w:sz w:val="26"/>
          <w:szCs w:val="26"/>
        </w:rPr>
        <w:t xml:space="preserve">, kritušos dzīvniekus, tai skaitā no Āfrikas cūku mēra, u.c. bioloģiskas izcelsmes </w:t>
      </w:r>
      <w:proofErr w:type="spellStart"/>
      <w:r w:rsidRPr="00D15EDB">
        <w:rPr>
          <w:bCs/>
          <w:sz w:val="26"/>
          <w:szCs w:val="26"/>
        </w:rPr>
        <w:t>atlikumproduktus</w:t>
      </w:r>
      <w:proofErr w:type="spellEnd"/>
      <w:r w:rsidRPr="00D15EDB">
        <w:rPr>
          <w:bCs/>
          <w:sz w:val="26"/>
          <w:szCs w:val="26"/>
        </w:rPr>
        <w:t xml:space="preserve">. </w:t>
      </w:r>
      <w:r w:rsidRPr="00D15EDB">
        <w:rPr>
          <w:sz w:val="26"/>
          <w:szCs w:val="26"/>
        </w:rPr>
        <w:t xml:space="preserve">Sekojoši, </w:t>
      </w:r>
      <w:r w:rsidRPr="00D15EDB">
        <w:rPr>
          <w:bCs/>
          <w:sz w:val="26"/>
          <w:szCs w:val="26"/>
        </w:rPr>
        <w:t xml:space="preserve">sadārdzinoties atlikumproduktu utilizēšanas izmaksām, varētu palielināties lauksaimniecības produkcijas pašizmaksa un sadzīves atkritumu apsaimniekošanas izmaksas. </w:t>
      </w:r>
    </w:p>
    <w:p w:rsidR="006D029B" w:rsidRPr="00D15EDB" w:rsidRDefault="006D029B" w:rsidP="006D029B">
      <w:pPr>
        <w:pStyle w:val="paragraph"/>
        <w:spacing w:before="120" w:beforeAutospacing="0" w:after="120" w:afterAutospacing="0"/>
        <w:jc w:val="both"/>
        <w:textAlignment w:val="baseline"/>
        <w:rPr>
          <w:bCs/>
          <w:sz w:val="26"/>
          <w:szCs w:val="26"/>
        </w:rPr>
      </w:pPr>
      <w:r w:rsidRPr="00D15EDB">
        <w:rPr>
          <w:bCs/>
          <w:sz w:val="26"/>
          <w:szCs w:val="26"/>
        </w:rPr>
        <w:t xml:space="preserve">ZM ir norādījusi, ka pārstrādāto kūtsmēslu apjoms dod pozitīvu un lielāko efektu uz siltumnīcefekta gāzu (SEG) un amonjaka emisiju samazinājumu: </w:t>
      </w:r>
    </w:p>
    <w:p w:rsidR="006D029B" w:rsidRPr="00D15EDB" w:rsidRDefault="006D029B" w:rsidP="006D029B">
      <w:pPr>
        <w:pStyle w:val="paragraph"/>
        <w:numPr>
          <w:ilvl w:val="0"/>
          <w:numId w:val="21"/>
        </w:numPr>
        <w:spacing w:before="120" w:beforeAutospacing="0" w:after="120" w:afterAutospacing="0"/>
        <w:jc w:val="both"/>
        <w:textAlignment w:val="baseline"/>
        <w:rPr>
          <w:bCs/>
          <w:sz w:val="26"/>
          <w:szCs w:val="26"/>
        </w:rPr>
      </w:pPr>
      <w:r w:rsidRPr="00D15EDB">
        <w:rPr>
          <w:bCs/>
          <w:sz w:val="26"/>
          <w:szCs w:val="26"/>
        </w:rPr>
        <w:t xml:space="preserve">SEG emisijas samazinās aptuveni par 2,5% no kopējām SEG emisijām lauksaimniecības sektorā; </w:t>
      </w:r>
    </w:p>
    <w:p w:rsidR="006D029B" w:rsidRPr="00D15EDB" w:rsidRDefault="006D029B" w:rsidP="006D029B">
      <w:pPr>
        <w:pStyle w:val="paragraph"/>
        <w:numPr>
          <w:ilvl w:val="0"/>
          <w:numId w:val="21"/>
        </w:numPr>
        <w:spacing w:before="120" w:beforeAutospacing="0" w:after="120" w:afterAutospacing="0"/>
        <w:jc w:val="both"/>
        <w:textAlignment w:val="baseline"/>
        <w:rPr>
          <w:bCs/>
          <w:sz w:val="26"/>
          <w:szCs w:val="26"/>
        </w:rPr>
      </w:pPr>
      <w:r w:rsidRPr="00D15EDB">
        <w:rPr>
          <w:bCs/>
          <w:sz w:val="26"/>
          <w:szCs w:val="26"/>
        </w:rPr>
        <w:t>amonjaka (NH</w:t>
      </w:r>
      <w:r w:rsidRPr="00D15EDB">
        <w:rPr>
          <w:bCs/>
          <w:sz w:val="26"/>
          <w:szCs w:val="26"/>
          <w:vertAlign w:val="subscript"/>
        </w:rPr>
        <w:t>3</w:t>
      </w:r>
      <w:r w:rsidRPr="00D15EDB">
        <w:rPr>
          <w:bCs/>
          <w:sz w:val="26"/>
          <w:szCs w:val="26"/>
        </w:rPr>
        <w:t>) emisijas samazinās aptuveni par 5% no kopējām amonjaka emisijām lauksaimniecības sektorā; 900 000 t kūtsmēslu pārstrāde biogāzē dotu aptuveni 8% amonjaka emisiju samazinājumu lauksaimniecības sektorā. Šajā kontekstā jāņem arī vērā, ka valstī līdz 2030. gadam jāsasniedz aptuveni 20% amonjaka emisiju samazinājums.</w:t>
      </w:r>
    </w:p>
    <w:p w:rsidR="006D029B" w:rsidRPr="00D15EDB" w:rsidRDefault="006D029B" w:rsidP="006D029B">
      <w:pPr>
        <w:pStyle w:val="paragraph"/>
        <w:spacing w:before="120" w:beforeAutospacing="0" w:after="120" w:afterAutospacing="0"/>
        <w:jc w:val="both"/>
        <w:textAlignment w:val="baseline"/>
        <w:rPr>
          <w:bCs/>
          <w:sz w:val="26"/>
          <w:szCs w:val="26"/>
        </w:rPr>
      </w:pPr>
      <w:r w:rsidRPr="00D15EDB">
        <w:rPr>
          <w:bCs/>
          <w:sz w:val="26"/>
          <w:szCs w:val="26"/>
        </w:rPr>
        <w:t>Vienlaikus pastāv potenciāls biogāzes ražošanai izmantot lielāku kūtsmēslu apjomu, jo, piemēram, 2017.gadā no visa pieejamā kūtsmēslu apjoma tikai aptuveni 25% tika izmantoti biogāzes ražošanā.</w:t>
      </w:r>
    </w:p>
    <w:p w:rsidR="006D029B" w:rsidRPr="00D15EDB" w:rsidRDefault="006D029B" w:rsidP="006D029B">
      <w:pPr>
        <w:spacing w:before="120" w:after="120" w:line="240" w:lineRule="auto"/>
        <w:jc w:val="both"/>
        <w:rPr>
          <w:rFonts w:ascii="Times New Roman" w:eastAsia="Times New Roman" w:hAnsi="Times New Roman"/>
          <w:bCs/>
          <w:sz w:val="26"/>
          <w:szCs w:val="26"/>
          <w:lang w:eastAsia="lv-LV"/>
        </w:rPr>
      </w:pPr>
      <w:r w:rsidRPr="00D15EDB">
        <w:rPr>
          <w:rFonts w:ascii="Times New Roman" w:hAnsi="Times New Roman"/>
          <w:color w:val="000000" w:themeColor="text1"/>
          <w:sz w:val="26"/>
          <w:szCs w:val="26"/>
        </w:rPr>
        <w:t>Vides aizsardzības un reģionālās attīstības (turpmāk – VARAM)</w:t>
      </w:r>
      <w:r w:rsidRPr="00592E2D">
        <w:rPr>
          <w:rFonts w:ascii="Times New Roman" w:hAnsi="Times New Roman"/>
          <w:color w:val="000000" w:themeColor="text1"/>
          <w:sz w:val="26"/>
          <w:szCs w:val="26"/>
        </w:rPr>
        <w:t xml:space="preserve"> </w:t>
      </w:r>
      <w:r w:rsidRPr="00D15EDB">
        <w:rPr>
          <w:rFonts w:ascii="Times New Roman" w:eastAsia="Times New Roman" w:hAnsi="Times New Roman"/>
          <w:bCs/>
          <w:sz w:val="26"/>
          <w:szCs w:val="26"/>
          <w:lang w:eastAsia="lv-LV"/>
        </w:rPr>
        <w:t xml:space="preserve">ieskatā ir iespējama </w:t>
      </w:r>
      <w:r w:rsidRPr="00D15EDB">
        <w:rPr>
          <w:rFonts w:ascii="Times New Roman" w:eastAsia="Times New Roman" w:hAnsi="Times New Roman"/>
          <w:b/>
          <w:bCs/>
          <w:sz w:val="26"/>
          <w:szCs w:val="26"/>
          <w:lang w:eastAsia="lv-LV"/>
        </w:rPr>
        <w:t>netieša ietekme uz tiem ūdenssaimniecības (ūdensapgādes un kanalizācijas) pakalpojumu sniedzējiem, kas notekūdeņu attīrīšanas procesā radušās notekūdeņu dūņas nodod biogāzes ražotājiem</w:t>
      </w:r>
      <w:r w:rsidRPr="00D15EDB">
        <w:rPr>
          <w:rFonts w:ascii="Times New Roman" w:eastAsia="Times New Roman" w:hAnsi="Times New Roman"/>
          <w:bCs/>
          <w:sz w:val="26"/>
          <w:szCs w:val="26"/>
          <w:lang w:eastAsia="lv-LV"/>
        </w:rPr>
        <w:t>. Likvidējot atbalstu biogāzes stacijām var gadīties, ka tās nebūs spējīgas bez valsts līdzfinansējuma pastāvēt un rezultātā lielu daļu no organiskajiem atkritumiem (piemēram, notekūdeņu dūņas, sadzīves atkritumu organisko frakciju, lauksaimniecības ražošanas pārpalikumus u.c.) nevarēs izmantot enerģijas ražošanai. Turklāt, ja OI atcelšanas rezultātā kāds no šādiem biogāzes uzņēmumiem pārtrauc darbību, ūdenssaimniecības pakalpojumu sniedzējiem var rasties problēmas ar notekūdeņu dūņu apsaimniekošanu. Jāņem vērā, ka jau pašlaik lielākā daļa radīto notekūdeņu dūņu netiek lietderīgi izmantotas.</w:t>
      </w:r>
    </w:p>
    <w:p w:rsidR="006D029B" w:rsidRPr="00D15EDB" w:rsidRDefault="006D029B" w:rsidP="006D029B">
      <w:pPr>
        <w:spacing w:before="120" w:after="120" w:line="240" w:lineRule="auto"/>
        <w:jc w:val="both"/>
        <w:rPr>
          <w:rFonts w:ascii="Times New Roman" w:eastAsia="Times New Roman" w:hAnsi="Times New Roman"/>
          <w:b/>
          <w:bCs/>
          <w:sz w:val="26"/>
          <w:szCs w:val="26"/>
          <w:lang w:eastAsia="lv-LV"/>
        </w:rPr>
      </w:pPr>
      <w:r w:rsidRPr="00D15EDB">
        <w:rPr>
          <w:rFonts w:ascii="Times New Roman" w:eastAsia="Times New Roman" w:hAnsi="Times New Roman"/>
          <w:bCs/>
          <w:sz w:val="26"/>
          <w:szCs w:val="26"/>
          <w:lang w:eastAsia="lv-LV"/>
        </w:rPr>
        <w:t xml:space="preserve">Tāpat VARAM ir norādījusi, ka gadījumā, ja OI atcelšanas rezultātā kāds no šādiem komersantiem nolemj pārtraukt HES ekspluatāciju, ir </w:t>
      </w:r>
      <w:r w:rsidRPr="00D15EDB">
        <w:rPr>
          <w:rFonts w:ascii="Times New Roman" w:eastAsia="Times New Roman" w:hAnsi="Times New Roman"/>
          <w:b/>
          <w:bCs/>
          <w:sz w:val="26"/>
          <w:szCs w:val="26"/>
          <w:lang w:eastAsia="lv-LV"/>
        </w:rPr>
        <w:t>jāpārliecinās, ka šādas HES hidrotehniskās būves valdītājs izpilda likuma “Par hidroelektrostaciju hidrotehnisko būvju drošumu” 8. panta otrās daļas nosacījumus,</w:t>
      </w:r>
      <w:r w:rsidRPr="00D15EDB">
        <w:rPr>
          <w:rFonts w:ascii="Times New Roman" w:eastAsia="Times New Roman" w:hAnsi="Times New Roman"/>
          <w:bCs/>
          <w:sz w:val="26"/>
          <w:szCs w:val="26"/>
          <w:lang w:eastAsia="lv-LV"/>
        </w:rPr>
        <w:t xml:space="preserve"> </w:t>
      </w:r>
      <w:r w:rsidRPr="00D15EDB">
        <w:rPr>
          <w:rFonts w:ascii="Times New Roman" w:eastAsia="Times New Roman" w:hAnsi="Times New Roman"/>
          <w:b/>
          <w:bCs/>
          <w:sz w:val="26"/>
          <w:szCs w:val="26"/>
          <w:lang w:eastAsia="lv-LV"/>
        </w:rPr>
        <w:t xml:space="preserve">lai netiktu </w:t>
      </w:r>
      <w:r w:rsidRPr="00D15EDB">
        <w:rPr>
          <w:rFonts w:ascii="Times New Roman" w:eastAsia="Times New Roman" w:hAnsi="Times New Roman"/>
          <w:b/>
          <w:bCs/>
          <w:sz w:val="26"/>
          <w:szCs w:val="26"/>
          <w:lang w:eastAsia="lv-LV"/>
        </w:rPr>
        <w:lastRenderedPageBreak/>
        <w:t>nodarīts kaitējums fiziskās personas dzīvībai un veselībai, zaudējums fiziskās vai juridiskās personas īpašumam vai kaitējums videi.</w:t>
      </w:r>
    </w:p>
    <w:p w:rsidR="003B1268" w:rsidRPr="00592E2D" w:rsidRDefault="003B1268" w:rsidP="003B1268">
      <w:pPr>
        <w:spacing w:before="240" w:after="120" w:line="240" w:lineRule="auto"/>
        <w:jc w:val="both"/>
        <w:rPr>
          <w:rFonts w:ascii="Times New Roman" w:eastAsia="Times New Roman" w:hAnsi="Times New Roman"/>
          <w:b/>
          <w:i/>
          <w:iCs/>
          <w:sz w:val="26"/>
          <w:szCs w:val="26"/>
          <w:lang w:eastAsia="lv-LV"/>
        </w:rPr>
      </w:pPr>
      <w:r w:rsidRPr="00592E2D">
        <w:rPr>
          <w:rFonts w:ascii="Times New Roman" w:eastAsia="Times New Roman" w:hAnsi="Times New Roman"/>
          <w:b/>
          <w:i/>
          <w:iCs/>
          <w:sz w:val="26"/>
          <w:szCs w:val="26"/>
          <w:lang w:eastAsia="lv-LV"/>
        </w:rPr>
        <w:t>2) Ietekme uz atbalsta saņēmējiem</w:t>
      </w:r>
    </w:p>
    <w:p w:rsidR="006D029B" w:rsidRPr="00D15EDB" w:rsidRDefault="006D029B" w:rsidP="00D15EDB">
      <w:pPr>
        <w:spacing w:before="240" w:after="120" w:line="240" w:lineRule="auto"/>
        <w:jc w:val="both"/>
        <w:rPr>
          <w:rFonts w:ascii="Times New Roman" w:eastAsia="Times New Roman" w:hAnsi="Times New Roman"/>
          <w:iCs/>
          <w:sz w:val="26"/>
          <w:szCs w:val="26"/>
          <w:u w:val="single"/>
          <w:lang w:eastAsia="lv-LV"/>
        </w:rPr>
      </w:pPr>
      <w:r w:rsidRPr="00D15EDB">
        <w:rPr>
          <w:rFonts w:ascii="Times New Roman" w:eastAsia="Times New Roman" w:hAnsi="Times New Roman"/>
          <w:iCs/>
          <w:sz w:val="26"/>
          <w:szCs w:val="26"/>
          <w:u w:val="single"/>
          <w:lang w:eastAsia="lv-LV"/>
        </w:rPr>
        <w:t>Finansiālās ietekmes</w:t>
      </w:r>
    </w:p>
    <w:p w:rsidR="006D029B" w:rsidRPr="00D15EDB" w:rsidRDefault="006D029B" w:rsidP="006D029B">
      <w:pPr>
        <w:pStyle w:val="paragraph"/>
        <w:spacing w:before="120" w:beforeAutospacing="0" w:after="120" w:afterAutospacing="0"/>
        <w:jc w:val="both"/>
        <w:textAlignment w:val="baseline"/>
        <w:rPr>
          <w:rStyle w:val="normaltextrun"/>
          <w:sz w:val="26"/>
          <w:szCs w:val="26"/>
        </w:rPr>
      </w:pPr>
      <w:r w:rsidRPr="00D15EDB">
        <w:rPr>
          <w:rStyle w:val="normaltextrun"/>
          <w:sz w:val="26"/>
          <w:szCs w:val="26"/>
        </w:rPr>
        <w:t xml:space="preserve">Ņemot vērā to, ka ETL vai citos normatīvajos aktos nav noteikts, ka elektrostacijām pārtraucot saņemt atbalstu OI mehānisma ietvaros, būtu pienākums turpināt elektrostaciju darbu, paredzams, ka lielākā daļa staciju savu darbību pēc atbalsta pārtraukšanas beigs. </w:t>
      </w:r>
    </w:p>
    <w:p w:rsidR="006D029B" w:rsidRPr="00D15EDB" w:rsidRDefault="006D029B" w:rsidP="006D029B">
      <w:pPr>
        <w:pStyle w:val="paragraph"/>
        <w:spacing w:before="120" w:beforeAutospacing="0" w:after="120" w:afterAutospacing="0"/>
        <w:jc w:val="both"/>
        <w:textAlignment w:val="baseline"/>
        <w:rPr>
          <w:rStyle w:val="normaltextrun"/>
          <w:sz w:val="26"/>
          <w:szCs w:val="26"/>
          <w:highlight w:val="yellow"/>
        </w:rPr>
      </w:pPr>
      <w:r w:rsidRPr="00D15EDB">
        <w:rPr>
          <w:rStyle w:val="normaltextrun"/>
          <w:sz w:val="26"/>
          <w:szCs w:val="26"/>
        </w:rPr>
        <w:t xml:space="preserve">LAEF ir norādījusi, ka atceļot OI ar 2019.gada 31.martu, </w:t>
      </w:r>
      <w:bookmarkStart w:id="13" w:name="_Hlk3208846"/>
      <w:r w:rsidRPr="00D15EDB">
        <w:rPr>
          <w:rStyle w:val="normaltextrun"/>
          <w:sz w:val="26"/>
          <w:szCs w:val="26"/>
        </w:rPr>
        <w:t xml:space="preserve">sagaidāms, </w:t>
      </w:r>
      <w:r w:rsidRPr="00D15EDB">
        <w:rPr>
          <w:rStyle w:val="normaltextrun"/>
          <w:b/>
          <w:sz w:val="26"/>
          <w:szCs w:val="26"/>
        </w:rPr>
        <w:t>ka savu darbību izbeigs pilnīgi visi ražotāji, kuru uzstādītās jaudas nesasniedz vismaz 1 MW</w:t>
      </w:r>
      <w:r w:rsidRPr="00D15EDB">
        <w:rPr>
          <w:rStyle w:val="normaltextrun"/>
          <w:sz w:val="26"/>
          <w:szCs w:val="26"/>
        </w:rPr>
        <w:t xml:space="preserve">, un arī </w:t>
      </w:r>
      <w:r w:rsidRPr="00D15EDB">
        <w:rPr>
          <w:rStyle w:val="normaltextrun"/>
          <w:b/>
          <w:sz w:val="26"/>
          <w:szCs w:val="26"/>
        </w:rPr>
        <w:t>atlikušie ražotāji savu darbību saglabās tikai pie vairākiem labvēlīgiem nosacījumiem</w:t>
      </w:r>
      <w:bookmarkEnd w:id="13"/>
      <w:r w:rsidRPr="00D15EDB">
        <w:rPr>
          <w:rStyle w:val="normaltextrun"/>
          <w:sz w:val="26"/>
          <w:szCs w:val="26"/>
        </w:rPr>
        <w:t xml:space="preserve">. Sagaidāms, ka </w:t>
      </w:r>
      <w:r w:rsidRPr="00D15EDB">
        <w:rPr>
          <w:rStyle w:val="normaltextrun"/>
          <w:b/>
          <w:sz w:val="26"/>
          <w:szCs w:val="26"/>
        </w:rPr>
        <w:t>viena daļa uzņēmumu darbību izbeigs, nespējot strauji atmaksāt kredītiestāžu un citu aizdevēju izsniegtos aizdevumus</w:t>
      </w:r>
      <w:r w:rsidRPr="00D15EDB">
        <w:rPr>
          <w:rStyle w:val="normaltextrun"/>
          <w:sz w:val="26"/>
          <w:szCs w:val="26"/>
        </w:rPr>
        <w:t>, cita daļa šo uzņēmumu darbību izbeigs aiz rentabilitātes apsvērumiem.</w:t>
      </w:r>
    </w:p>
    <w:p w:rsidR="006D029B" w:rsidRPr="00D15EDB" w:rsidRDefault="006D029B" w:rsidP="006D029B">
      <w:pPr>
        <w:pStyle w:val="paragraph"/>
        <w:spacing w:before="120" w:beforeAutospacing="0" w:after="120" w:afterAutospacing="0"/>
        <w:jc w:val="both"/>
        <w:textAlignment w:val="baseline"/>
        <w:rPr>
          <w:rStyle w:val="normaltextrun"/>
          <w:sz w:val="26"/>
          <w:szCs w:val="26"/>
        </w:rPr>
      </w:pPr>
      <w:r w:rsidRPr="00D15EDB">
        <w:rPr>
          <w:sz w:val="26"/>
          <w:szCs w:val="26"/>
        </w:rPr>
        <w:t xml:space="preserve">Latvijas Biogāzes asociācija ir informējusi, ka atceļot OI iepirkumu ar 2019.gada 31.martu, 100 % no biogāzes stacijām pārtrauktu elektroenerģijas ražošanu, </w:t>
      </w:r>
      <w:r w:rsidRPr="00D15EDB">
        <w:rPr>
          <w:b/>
          <w:sz w:val="26"/>
          <w:szCs w:val="26"/>
        </w:rPr>
        <w:t>bet 80 % no stacijām pārtrauktu savu darbību vispār</w:t>
      </w:r>
      <w:r w:rsidRPr="00D15EDB">
        <w:rPr>
          <w:sz w:val="26"/>
          <w:szCs w:val="26"/>
        </w:rPr>
        <w:t xml:space="preserve">. Atlikušie 20 % ievērojami samazinātu ražošanas apjomus un iegūto biogāzi izmantotu siltumenerģijas ražošanai savām vajadzībām. Tāpat asociācija ir norādījusi, ka atbilstošas likumdošanas un infrastruktūras trūkuma dēļ biogāzes ražotāji īstermiņā nevar pārorientēties uz cita veida enerģijas ražošanu. Alternatīva šādiem ražotājiem būtu </w:t>
      </w:r>
      <w:proofErr w:type="spellStart"/>
      <w:r w:rsidRPr="00D15EDB">
        <w:rPr>
          <w:sz w:val="26"/>
          <w:szCs w:val="26"/>
        </w:rPr>
        <w:t>biometāna</w:t>
      </w:r>
      <w:proofErr w:type="spellEnd"/>
      <w:r w:rsidRPr="00D15EDB">
        <w:rPr>
          <w:sz w:val="26"/>
          <w:szCs w:val="26"/>
        </w:rPr>
        <w:t xml:space="preserve"> ražošana, ko izstrādājot atbilstošu likumdošanu būtu iespējams izmantot transporta sektorā kā fosilās dabasgāzes alternatīvu, tādējādi veicinot Latvijai noteiktā 2030.gada atjaunojamās enerģijas mērķa transporta sektorā sasniegšanu un moderno biodegvielu īpatsvara sasniegšanu noteiktā apmērā, tostarp periodā līdz 2030.gadam (skatīt Situācijas raksturojuma 2.punkta sadaļu “Atjaunojamās enerģijas mērķi”).</w:t>
      </w:r>
    </w:p>
    <w:p w:rsidR="006D029B" w:rsidRPr="00D15EDB" w:rsidRDefault="006D029B" w:rsidP="006D029B">
      <w:pPr>
        <w:pStyle w:val="paragraph"/>
        <w:spacing w:before="120" w:beforeAutospacing="0" w:after="120" w:afterAutospacing="0"/>
        <w:jc w:val="both"/>
        <w:textAlignment w:val="baseline"/>
        <w:rPr>
          <w:rStyle w:val="normaltextrun"/>
          <w:sz w:val="26"/>
          <w:szCs w:val="26"/>
        </w:rPr>
      </w:pPr>
      <w:r w:rsidRPr="00D15EDB">
        <w:rPr>
          <w:rStyle w:val="normaltextrun"/>
          <w:sz w:val="26"/>
          <w:szCs w:val="26"/>
        </w:rPr>
        <w:t xml:space="preserve">Saskaņā ar Finanšu nozares asociācijas sniegto informāciju </w:t>
      </w:r>
      <w:bookmarkStart w:id="14" w:name="_Hlk3208779"/>
      <w:r w:rsidRPr="00D15EDB">
        <w:rPr>
          <w:rStyle w:val="normaltextrun"/>
          <w:b/>
          <w:sz w:val="26"/>
          <w:szCs w:val="26"/>
        </w:rPr>
        <w:t xml:space="preserve">atbalsta saņēmēju OI mehānisma ietvaros kredītportfeļa atlikums uz 2018.gada 31.decembri pārsniedz 198 milj. </w:t>
      </w:r>
      <w:r w:rsidRPr="00D15EDB">
        <w:rPr>
          <w:rStyle w:val="normaltextrun"/>
          <w:b/>
          <w:i/>
          <w:sz w:val="26"/>
          <w:szCs w:val="26"/>
        </w:rPr>
        <w:t xml:space="preserve">euro </w:t>
      </w:r>
      <w:r w:rsidRPr="00D15EDB">
        <w:rPr>
          <w:rStyle w:val="normaltextrun"/>
          <w:sz w:val="26"/>
          <w:szCs w:val="26"/>
        </w:rPr>
        <w:t>(skatīt 2.tabulu).</w:t>
      </w:r>
      <w:bookmarkEnd w:id="14"/>
    </w:p>
    <w:p w:rsidR="006D029B" w:rsidRPr="00D15EDB" w:rsidRDefault="006D029B" w:rsidP="006D029B">
      <w:pPr>
        <w:pStyle w:val="paragraph"/>
        <w:spacing w:before="120" w:beforeAutospacing="0" w:after="120" w:afterAutospacing="0"/>
        <w:jc w:val="right"/>
        <w:textAlignment w:val="baseline"/>
        <w:rPr>
          <w:rStyle w:val="normaltextrun"/>
          <w:i/>
          <w:sz w:val="26"/>
          <w:szCs w:val="26"/>
        </w:rPr>
      </w:pPr>
      <w:r w:rsidRPr="00D15EDB">
        <w:rPr>
          <w:rStyle w:val="normaltextrun"/>
          <w:i/>
          <w:sz w:val="26"/>
          <w:szCs w:val="26"/>
        </w:rPr>
        <w:t>2. tabula</w:t>
      </w:r>
    </w:p>
    <w:tbl>
      <w:tblPr>
        <w:tblW w:w="6020" w:type="dxa"/>
        <w:jc w:val="center"/>
        <w:tblLayout w:type="fixed"/>
        <w:tblLook w:val="04A0" w:firstRow="1" w:lastRow="0" w:firstColumn="1" w:lastColumn="0" w:noHBand="0" w:noVBand="1"/>
      </w:tblPr>
      <w:tblGrid>
        <w:gridCol w:w="3120"/>
        <w:gridCol w:w="1672"/>
        <w:gridCol w:w="1228"/>
      </w:tblGrid>
      <w:tr w:rsidR="006D029B" w:rsidRPr="00D15EDB" w:rsidTr="00362911">
        <w:trPr>
          <w:trHeight w:val="1200"/>
          <w:jc w:val="center"/>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29B" w:rsidRPr="00D15EDB" w:rsidRDefault="006D029B" w:rsidP="00362911">
            <w:pPr>
              <w:spacing w:after="0" w:line="240" w:lineRule="auto"/>
              <w:jc w:val="center"/>
              <w:rPr>
                <w:rFonts w:ascii="Times New Roman" w:eastAsia="Times New Roman" w:hAnsi="Times New Roman"/>
                <w:b/>
                <w:bCs/>
                <w:color w:val="000000"/>
                <w:sz w:val="26"/>
                <w:szCs w:val="26"/>
                <w:lang w:eastAsia="lv-LV"/>
              </w:rPr>
            </w:pPr>
            <w:r w:rsidRPr="00D15EDB">
              <w:rPr>
                <w:rFonts w:ascii="Times New Roman" w:eastAsia="Times New Roman" w:hAnsi="Times New Roman"/>
                <w:b/>
                <w:bCs/>
                <w:color w:val="000000"/>
                <w:sz w:val="26"/>
                <w:szCs w:val="26"/>
                <w:lang w:eastAsia="lv-LV"/>
              </w:rPr>
              <w:t>Atbalsta saņēmēju grupas</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6D029B" w:rsidRPr="00D15EDB" w:rsidRDefault="006D029B" w:rsidP="00362911">
            <w:pPr>
              <w:spacing w:after="0" w:line="240" w:lineRule="auto"/>
              <w:jc w:val="center"/>
              <w:rPr>
                <w:rFonts w:ascii="Times New Roman" w:eastAsia="Times New Roman" w:hAnsi="Times New Roman"/>
                <w:b/>
                <w:bCs/>
                <w:color w:val="000000"/>
                <w:sz w:val="26"/>
                <w:szCs w:val="26"/>
                <w:lang w:eastAsia="lv-LV"/>
              </w:rPr>
            </w:pPr>
            <w:r w:rsidRPr="00D15EDB">
              <w:rPr>
                <w:rFonts w:ascii="Times New Roman" w:eastAsia="Times New Roman" w:hAnsi="Times New Roman"/>
                <w:b/>
                <w:bCs/>
                <w:color w:val="000000"/>
                <w:sz w:val="26"/>
                <w:szCs w:val="26"/>
                <w:lang w:eastAsia="lv-LV"/>
              </w:rPr>
              <w:t>Kredītportfeļa atlikums uz 31.12.2018. (</w:t>
            </w:r>
            <w:proofErr w:type="spellStart"/>
            <w:r w:rsidRPr="00D15EDB">
              <w:rPr>
                <w:rFonts w:ascii="Times New Roman" w:eastAsia="Times New Roman" w:hAnsi="Times New Roman"/>
                <w:b/>
                <w:bCs/>
                <w:color w:val="000000"/>
                <w:sz w:val="26"/>
                <w:szCs w:val="26"/>
                <w:lang w:eastAsia="lv-LV"/>
              </w:rPr>
              <w:t>tūkst.eiro</w:t>
            </w:r>
            <w:proofErr w:type="spellEnd"/>
            <w:r w:rsidRPr="00D15EDB">
              <w:rPr>
                <w:rFonts w:ascii="Times New Roman" w:eastAsia="Times New Roman" w:hAnsi="Times New Roman"/>
                <w:b/>
                <w:bCs/>
                <w:color w:val="000000"/>
                <w:sz w:val="26"/>
                <w:szCs w:val="26"/>
                <w:lang w:eastAsia="lv-LV"/>
              </w:rPr>
              <w:t>)</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6D029B" w:rsidRPr="00D15EDB" w:rsidRDefault="006D029B" w:rsidP="00362911">
            <w:pPr>
              <w:spacing w:after="0" w:line="240" w:lineRule="auto"/>
              <w:jc w:val="center"/>
              <w:rPr>
                <w:rFonts w:ascii="Times New Roman" w:eastAsia="Times New Roman" w:hAnsi="Times New Roman"/>
                <w:b/>
                <w:bCs/>
                <w:color w:val="000000"/>
                <w:sz w:val="26"/>
                <w:szCs w:val="26"/>
                <w:lang w:eastAsia="lv-LV"/>
              </w:rPr>
            </w:pPr>
            <w:r w:rsidRPr="00D15EDB">
              <w:rPr>
                <w:rFonts w:ascii="Times New Roman" w:eastAsia="Times New Roman" w:hAnsi="Times New Roman"/>
                <w:b/>
                <w:bCs/>
                <w:color w:val="000000"/>
                <w:sz w:val="26"/>
                <w:szCs w:val="26"/>
                <w:lang w:eastAsia="lv-LV"/>
              </w:rPr>
              <w:t>Īpatsvars  (%)</w:t>
            </w:r>
          </w:p>
        </w:tc>
      </w:tr>
      <w:tr w:rsidR="006D029B" w:rsidRPr="00D15EDB" w:rsidTr="00362911">
        <w:trPr>
          <w:trHeight w:val="300"/>
          <w:jc w:val="center"/>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D029B" w:rsidRPr="00D15EDB" w:rsidRDefault="006D029B" w:rsidP="00362911">
            <w:pPr>
              <w:spacing w:after="0" w:line="240" w:lineRule="auto"/>
              <w:rPr>
                <w:rFonts w:ascii="Times New Roman" w:eastAsia="Times New Roman" w:hAnsi="Times New Roman"/>
                <w:color w:val="000000"/>
                <w:sz w:val="26"/>
                <w:szCs w:val="26"/>
                <w:lang w:eastAsia="lv-LV"/>
              </w:rPr>
            </w:pPr>
            <w:r w:rsidRPr="00D15EDB">
              <w:rPr>
                <w:rFonts w:ascii="Times New Roman" w:eastAsia="Times New Roman" w:hAnsi="Times New Roman"/>
                <w:color w:val="000000"/>
                <w:sz w:val="26"/>
                <w:szCs w:val="26"/>
                <w:lang w:eastAsia="lv-LV"/>
              </w:rPr>
              <w:t>Biomasas stacijas</w:t>
            </w:r>
          </w:p>
        </w:tc>
        <w:tc>
          <w:tcPr>
            <w:tcW w:w="1672" w:type="dxa"/>
            <w:tcBorders>
              <w:top w:val="nil"/>
              <w:left w:val="nil"/>
              <w:bottom w:val="single" w:sz="4" w:space="0" w:color="auto"/>
              <w:right w:val="single" w:sz="4" w:space="0" w:color="auto"/>
            </w:tcBorders>
            <w:shd w:val="clear" w:color="auto" w:fill="auto"/>
            <w:noWrap/>
            <w:vAlign w:val="bottom"/>
            <w:hideMark/>
          </w:tcPr>
          <w:p w:rsidR="006D029B" w:rsidRPr="00D15EDB" w:rsidRDefault="006D029B" w:rsidP="00362911">
            <w:pPr>
              <w:spacing w:after="0" w:line="240" w:lineRule="auto"/>
              <w:jc w:val="right"/>
              <w:rPr>
                <w:rFonts w:ascii="Times New Roman" w:eastAsia="Times New Roman" w:hAnsi="Times New Roman"/>
                <w:color w:val="000000"/>
                <w:sz w:val="26"/>
                <w:szCs w:val="26"/>
                <w:lang w:eastAsia="lv-LV"/>
              </w:rPr>
            </w:pPr>
            <w:r w:rsidRPr="00D15EDB">
              <w:rPr>
                <w:rFonts w:ascii="Times New Roman" w:eastAsia="Times New Roman" w:hAnsi="Times New Roman"/>
                <w:color w:val="000000"/>
                <w:sz w:val="26"/>
                <w:szCs w:val="26"/>
                <w:lang w:eastAsia="lv-LV"/>
              </w:rPr>
              <w:t>89286</w:t>
            </w:r>
          </w:p>
        </w:tc>
        <w:tc>
          <w:tcPr>
            <w:tcW w:w="1228" w:type="dxa"/>
            <w:tcBorders>
              <w:top w:val="nil"/>
              <w:left w:val="nil"/>
              <w:bottom w:val="single" w:sz="4" w:space="0" w:color="auto"/>
              <w:right w:val="single" w:sz="4" w:space="0" w:color="auto"/>
            </w:tcBorders>
            <w:shd w:val="clear" w:color="auto" w:fill="auto"/>
            <w:noWrap/>
            <w:vAlign w:val="bottom"/>
            <w:hideMark/>
          </w:tcPr>
          <w:p w:rsidR="006D029B" w:rsidRPr="00D15EDB" w:rsidRDefault="006D029B" w:rsidP="00362911">
            <w:pPr>
              <w:spacing w:after="0" w:line="240" w:lineRule="auto"/>
              <w:jc w:val="right"/>
              <w:rPr>
                <w:rFonts w:ascii="Times New Roman" w:eastAsia="Times New Roman" w:hAnsi="Times New Roman"/>
                <w:color w:val="000000"/>
                <w:sz w:val="26"/>
                <w:szCs w:val="26"/>
                <w:lang w:eastAsia="lv-LV"/>
              </w:rPr>
            </w:pPr>
            <w:r w:rsidRPr="00D15EDB">
              <w:rPr>
                <w:rFonts w:ascii="Times New Roman" w:eastAsia="Times New Roman" w:hAnsi="Times New Roman"/>
                <w:color w:val="000000"/>
                <w:sz w:val="26"/>
                <w:szCs w:val="26"/>
                <w:lang w:eastAsia="lv-LV"/>
              </w:rPr>
              <w:t>45</w:t>
            </w:r>
          </w:p>
        </w:tc>
      </w:tr>
      <w:tr w:rsidR="006D029B" w:rsidRPr="00D15EDB" w:rsidTr="00362911">
        <w:trPr>
          <w:trHeight w:val="300"/>
          <w:jc w:val="center"/>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D029B" w:rsidRPr="00D15EDB" w:rsidRDefault="006D029B" w:rsidP="00362911">
            <w:pPr>
              <w:spacing w:after="0" w:line="240" w:lineRule="auto"/>
              <w:rPr>
                <w:rFonts w:ascii="Times New Roman" w:eastAsia="Times New Roman" w:hAnsi="Times New Roman"/>
                <w:color w:val="000000"/>
                <w:sz w:val="26"/>
                <w:szCs w:val="26"/>
                <w:lang w:eastAsia="lv-LV"/>
              </w:rPr>
            </w:pPr>
            <w:r w:rsidRPr="00D15EDB">
              <w:rPr>
                <w:rFonts w:ascii="Times New Roman" w:eastAsia="Times New Roman" w:hAnsi="Times New Roman"/>
                <w:color w:val="000000"/>
                <w:sz w:val="26"/>
                <w:szCs w:val="26"/>
                <w:lang w:eastAsia="lv-LV"/>
              </w:rPr>
              <w:t>Biogāzes stacijas</w:t>
            </w:r>
          </w:p>
        </w:tc>
        <w:tc>
          <w:tcPr>
            <w:tcW w:w="1672" w:type="dxa"/>
            <w:tcBorders>
              <w:top w:val="nil"/>
              <w:left w:val="nil"/>
              <w:bottom w:val="single" w:sz="4" w:space="0" w:color="auto"/>
              <w:right w:val="single" w:sz="4" w:space="0" w:color="auto"/>
            </w:tcBorders>
            <w:shd w:val="clear" w:color="auto" w:fill="auto"/>
            <w:noWrap/>
            <w:vAlign w:val="bottom"/>
            <w:hideMark/>
          </w:tcPr>
          <w:p w:rsidR="006D029B" w:rsidRPr="00D15EDB" w:rsidRDefault="006D029B" w:rsidP="00362911">
            <w:pPr>
              <w:spacing w:after="0" w:line="240" w:lineRule="auto"/>
              <w:jc w:val="right"/>
              <w:rPr>
                <w:rFonts w:ascii="Times New Roman" w:eastAsia="Times New Roman" w:hAnsi="Times New Roman"/>
                <w:color w:val="000000"/>
                <w:sz w:val="26"/>
                <w:szCs w:val="26"/>
                <w:lang w:eastAsia="lv-LV"/>
              </w:rPr>
            </w:pPr>
            <w:r w:rsidRPr="00D15EDB">
              <w:rPr>
                <w:rFonts w:ascii="Times New Roman" w:eastAsia="Times New Roman" w:hAnsi="Times New Roman"/>
                <w:color w:val="000000"/>
                <w:sz w:val="26"/>
                <w:szCs w:val="26"/>
                <w:lang w:eastAsia="lv-LV"/>
              </w:rPr>
              <w:t>42735</w:t>
            </w:r>
          </w:p>
        </w:tc>
        <w:tc>
          <w:tcPr>
            <w:tcW w:w="1228" w:type="dxa"/>
            <w:tcBorders>
              <w:top w:val="nil"/>
              <w:left w:val="nil"/>
              <w:bottom w:val="single" w:sz="4" w:space="0" w:color="auto"/>
              <w:right w:val="single" w:sz="4" w:space="0" w:color="auto"/>
            </w:tcBorders>
            <w:shd w:val="clear" w:color="auto" w:fill="auto"/>
            <w:noWrap/>
            <w:vAlign w:val="bottom"/>
            <w:hideMark/>
          </w:tcPr>
          <w:p w:rsidR="006D029B" w:rsidRPr="00D15EDB" w:rsidRDefault="006D029B" w:rsidP="00362911">
            <w:pPr>
              <w:spacing w:after="0" w:line="240" w:lineRule="auto"/>
              <w:jc w:val="right"/>
              <w:rPr>
                <w:rFonts w:ascii="Times New Roman" w:eastAsia="Times New Roman" w:hAnsi="Times New Roman"/>
                <w:color w:val="000000"/>
                <w:sz w:val="26"/>
                <w:szCs w:val="26"/>
                <w:lang w:eastAsia="lv-LV"/>
              </w:rPr>
            </w:pPr>
            <w:r w:rsidRPr="00D15EDB">
              <w:rPr>
                <w:rFonts w:ascii="Times New Roman" w:eastAsia="Times New Roman" w:hAnsi="Times New Roman"/>
                <w:color w:val="000000"/>
                <w:sz w:val="26"/>
                <w:szCs w:val="26"/>
                <w:lang w:eastAsia="lv-LV"/>
              </w:rPr>
              <w:t>22</w:t>
            </w:r>
          </w:p>
        </w:tc>
      </w:tr>
      <w:tr w:rsidR="006D029B" w:rsidRPr="00D15EDB" w:rsidTr="00362911">
        <w:trPr>
          <w:trHeight w:val="300"/>
          <w:jc w:val="center"/>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D029B" w:rsidRPr="00D15EDB" w:rsidRDefault="006D029B" w:rsidP="00362911">
            <w:pPr>
              <w:spacing w:after="0" w:line="240" w:lineRule="auto"/>
              <w:rPr>
                <w:rFonts w:ascii="Times New Roman" w:eastAsia="Times New Roman" w:hAnsi="Times New Roman"/>
                <w:color w:val="000000"/>
                <w:sz w:val="26"/>
                <w:szCs w:val="26"/>
                <w:lang w:eastAsia="lv-LV"/>
              </w:rPr>
            </w:pPr>
            <w:r w:rsidRPr="00D15EDB">
              <w:rPr>
                <w:rFonts w:ascii="Times New Roman" w:eastAsia="Times New Roman" w:hAnsi="Times New Roman"/>
                <w:color w:val="000000"/>
                <w:sz w:val="26"/>
                <w:szCs w:val="26"/>
                <w:lang w:eastAsia="lv-LV"/>
              </w:rPr>
              <w:t>Dabas gāzes stacijas</w:t>
            </w:r>
          </w:p>
        </w:tc>
        <w:tc>
          <w:tcPr>
            <w:tcW w:w="1672" w:type="dxa"/>
            <w:tcBorders>
              <w:top w:val="nil"/>
              <w:left w:val="nil"/>
              <w:bottom w:val="single" w:sz="4" w:space="0" w:color="auto"/>
              <w:right w:val="single" w:sz="4" w:space="0" w:color="auto"/>
            </w:tcBorders>
            <w:shd w:val="clear" w:color="auto" w:fill="auto"/>
            <w:noWrap/>
            <w:vAlign w:val="bottom"/>
            <w:hideMark/>
          </w:tcPr>
          <w:p w:rsidR="006D029B" w:rsidRPr="00D15EDB" w:rsidRDefault="006D029B" w:rsidP="00362911">
            <w:pPr>
              <w:spacing w:after="0" w:line="240" w:lineRule="auto"/>
              <w:jc w:val="right"/>
              <w:rPr>
                <w:rFonts w:ascii="Times New Roman" w:eastAsia="Times New Roman" w:hAnsi="Times New Roman"/>
                <w:color w:val="000000"/>
                <w:sz w:val="26"/>
                <w:szCs w:val="26"/>
                <w:lang w:eastAsia="lv-LV"/>
              </w:rPr>
            </w:pPr>
            <w:r w:rsidRPr="00D15EDB">
              <w:rPr>
                <w:rFonts w:ascii="Times New Roman" w:eastAsia="Times New Roman" w:hAnsi="Times New Roman"/>
                <w:color w:val="000000"/>
                <w:sz w:val="26"/>
                <w:szCs w:val="26"/>
                <w:lang w:eastAsia="lv-LV"/>
              </w:rPr>
              <w:t>14022</w:t>
            </w:r>
          </w:p>
        </w:tc>
        <w:tc>
          <w:tcPr>
            <w:tcW w:w="1228" w:type="dxa"/>
            <w:tcBorders>
              <w:top w:val="nil"/>
              <w:left w:val="nil"/>
              <w:bottom w:val="single" w:sz="4" w:space="0" w:color="auto"/>
              <w:right w:val="single" w:sz="4" w:space="0" w:color="auto"/>
            </w:tcBorders>
            <w:shd w:val="clear" w:color="auto" w:fill="auto"/>
            <w:noWrap/>
            <w:vAlign w:val="bottom"/>
            <w:hideMark/>
          </w:tcPr>
          <w:p w:rsidR="006D029B" w:rsidRPr="00D15EDB" w:rsidRDefault="006D029B" w:rsidP="00362911">
            <w:pPr>
              <w:spacing w:after="0" w:line="240" w:lineRule="auto"/>
              <w:jc w:val="right"/>
              <w:rPr>
                <w:rFonts w:ascii="Times New Roman" w:eastAsia="Times New Roman" w:hAnsi="Times New Roman"/>
                <w:color w:val="000000"/>
                <w:sz w:val="26"/>
                <w:szCs w:val="26"/>
                <w:lang w:eastAsia="lv-LV"/>
              </w:rPr>
            </w:pPr>
            <w:r w:rsidRPr="00D15EDB">
              <w:rPr>
                <w:rFonts w:ascii="Times New Roman" w:eastAsia="Times New Roman" w:hAnsi="Times New Roman"/>
                <w:color w:val="000000"/>
                <w:sz w:val="26"/>
                <w:szCs w:val="26"/>
                <w:lang w:eastAsia="lv-LV"/>
              </w:rPr>
              <w:t>7</w:t>
            </w:r>
          </w:p>
        </w:tc>
      </w:tr>
      <w:tr w:rsidR="006D029B" w:rsidRPr="00D15EDB" w:rsidTr="00362911">
        <w:trPr>
          <w:trHeight w:val="300"/>
          <w:jc w:val="center"/>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D029B" w:rsidRPr="00D15EDB" w:rsidRDefault="006D029B" w:rsidP="00362911">
            <w:pPr>
              <w:spacing w:after="0" w:line="240" w:lineRule="auto"/>
              <w:rPr>
                <w:rFonts w:ascii="Times New Roman" w:eastAsia="Times New Roman" w:hAnsi="Times New Roman"/>
                <w:color w:val="000000"/>
                <w:sz w:val="26"/>
                <w:szCs w:val="26"/>
                <w:lang w:eastAsia="lv-LV"/>
              </w:rPr>
            </w:pPr>
            <w:r w:rsidRPr="00D15EDB">
              <w:rPr>
                <w:rFonts w:ascii="Times New Roman" w:eastAsia="Times New Roman" w:hAnsi="Times New Roman"/>
                <w:color w:val="000000"/>
                <w:sz w:val="26"/>
                <w:szCs w:val="26"/>
                <w:lang w:eastAsia="lv-LV"/>
              </w:rPr>
              <w:t>Vēja elektrostacijas</w:t>
            </w:r>
          </w:p>
        </w:tc>
        <w:tc>
          <w:tcPr>
            <w:tcW w:w="1672" w:type="dxa"/>
            <w:tcBorders>
              <w:top w:val="nil"/>
              <w:left w:val="nil"/>
              <w:bottom w:val="single" w:sz="4" w:space="0" w:color="auto"/>
              <w:right w:val="single" w:sz="4" w:space="0" w:color="auto"/>
            </w:tcBorders>
            <w:shd w:val="clear" w:color="auto" w:fill="auto"/>
            <w:noWrap/>
            <w:vAlign w:val="bottom"/>
            <w:hideMark/>
          </w:tcPr>
          <w:p w:rsidR="006D029B" w:rsidRPr="00D15EDB" w:rsidRDefault="006D029B" w:rsidP="00362911">
            <w:pPr>
              <w:spacing w:after="0" w:line="240" w:lineRule="auto"/>
              <w:jc w:val="right"/>
              <w:rPr>
                <w:rFonts w:ascii="Times New Roman" w:eastAsia="Times New Roman" w:hAnsi="Times New Roman"/>
                <w:color w:val="000000"/>
                <w:sz w:val="26"/>
                <w:szCs w:val="26"/>
                <w:lang w:eastAsia="lv-LV"/>
              </w:rPr>
            </w:pPr>
            <w:r w:rsidRPr="00D15EDB">
              <w:rPr>
                <w:rFonts w:ascii="Times New Roman" w:eastAsia="Times New Roman" w:hAnsi="Times New Roman"/>
                <w:color w:val="000000"/>
                <w:sz w:val="26"/>
                <w:szCs w:val="26"/>
                <w:lang w:eastAsia="lv-LV"/>
              </w:rPr>
              <w:t>50331</w:t>
            </w:r>
          </w:p>
        </w:tc>
        <w:tc>
          <w:tcPr>
            <w:tcW w:w="1228" w:type="dxa"/>
            <w:tcBorders>
              <w:top w:val="nil"/>
              <w:left w:val="nil"/>
              <w:bottom w:val="single" w:sz="4" w:space="0" w:color="auto"/>
              <w:right w:val="single" w:sz="4" w:space="0" w:color="auto"/>
            </w:tcBorders>
            <w:shd w:val="clear" w:color="auto" w:fill="auto"/>
            <w:noWrap/>
            <w:vAlign w:val="bottom"/>
            <w:hideMark/>
          </w:tcPr>
          <w:p w:rsidR="006D029B" w:rsidRPr="00D15EDB" w:rsidRDefault="006D029B" w:rsidP="00362911">
            <w:pPr>
              <w:spacing w:after="0" w:line="240" w:lineRule="auto"/>
              <w:jc w:val="right"/>
              <w:rPr>
                <w:rFonts w:ascii="Times New Roman" w:eastAsia="Times New Roman" w:hAnsi="Times New Roman"/>
                <w:color w:val="000000"/>
                <w:sz w:val="26"/>
                <w:szCs w:val="26"/>
                <w:lang w:eastAsia="lv-LV"/>
              </w:rPr>
            </w:pPr>
            <w:r w:rsidRPr="00D15EDB">
              <w:rPr>
                <w:rFonts w:ascii="Times New Roman" w:eastAsia="Times New Roman" w:hAnsi="Times New Roman"/>
                <w:color w:val="000000"/>
                <w:sz w:val="26"/>
                <w:szCs w:val="26"/>
                <w:lang w:eastAsia="lv-LV"/>
              </w:rPr>
              <w:t>25</w:t>
            </w:r>
          </w:p>
        </w:tc>
      </w:tr>
      <w:tr w:rsidR="006D029B" w:rsidRPr="00D15EDB" w:rsidTr="00362911">
        <w:trPr>
          <w:trHeight w:val="300"/>
          <w:jc w:val="center"/>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6D029B" w:rsidRPr="00D15EDB" w:rsidRDefault="006D029B" w:rsidP="00362911">
            <w:pPr>
              <w:spacing w:after="0" w:line="240" w:lineRule="auto"/>
              <w:rPr>
                <w:rFonts w:ascii="Times New Roman" w:eastAsia="Times New Roman" w:hAnsi="Times New Roman"/>
                <w:color w:val="000000"/>
                <w:sz w:val="26"/>
                <w:szCs w:val="26"/>
                <w:lang w:eastAsia="lv-LV"/>
              </w:rPr>
            </w:pPr>
            <w:r w:rsidRPr="00D15EDB">
              <w:rPr>
                <w:rFonts w:ascii="Times New Roman" w:eastAsia="Times New Roman" w:hAnsi="Times New Roman"/>
                <w:color w:val="000000"/>
                <w:sz w:val="26"/>
                <w:szCs w:val="26"/>
                <w:lang w:eastAsia="lv-LV"/>
              </w:rPr>
              <w:t>Hidroelektrostacijas</w:t>
            </w:r>
          </w:p>
        </w:tc>
        <w:tc>
          <w:tcPr>
            <w:tcW w:w="1672" w:type="dxa"/>
            <w:tcBorders>
              <w:top w:val="nil"/>
              <w:left w:val="nil"/>
              <w:bottom w:val="single" w:sz="4" w:space="0" w:color="auto"/>
              <w:right w:val="single" w:sz="4" w:space="0" w:color="auto"/>
            </w:tcBorders>
            <w:shd w:val="clear" w:color="auto" w:fill="auto"/>
            <w:noWrap/>
            <w:vAlign w:val="bottom"/>
            <w:hideMark/>
          </w:tcPr>
          <w:p w:rsidR="006D029B" w:rsidRPr="00D15EDB" w:rsidRDefault="006D029B" w:rsidP="00362911">
            <w:pPr>
              <w:spacing w:after="0" w:line="240" w:lineRule="auto"/>
              <w:jc w:val="right"/>
              <w:rPr>
                <w:rFonts w:ascii="Times New Roman" w:eastAsia="Times New Roman" w:hAnsi="Times New Roman"/>
                <w:color w:val="000000"/>
                <w:sz w:val="26"/>
                <w:szCs w:val="26"/>
                <w:lang w:eastAsia="lv-LV"/>
              </w:rPr>
            </w:pPr>
            <w:r w:rsidRPr="00D15EDB">
              <w:rPr>
                <w:rFonts w:ascii="Times New Roman" w:eastAsia="Times New Roman" w:hAnsi="Times New Roman"/>
                <w:color w:val="000000"/>
                <w:sz w:val="26"/>
                <w:szCs w:val="26"/>
                <w:lang w:eastAsia="lv-LV"/>
              </w:rPr>
              <w:t>1964</w:t>
            </w:r>
          </w:p>
        </w:tc>
        <w:tc>
          <w:tcPr>
            <w:tcW w:w="1228" w:type="dxa"/>
            <w:tcBorders>
              <w:top w:val="nil"/>
              <w:left w:val="nil"/>
              <w:bottom w:val="single" w:sz="4" w:space="0" w:color="auto"/>
              <w:right w:val="single" w:sz="4" w:space="0" w:color="auto"/>
            </w:tcBorders>
            <w:shd w:val="clear" w:color="auto" w:fill="auto"/>
            <w:noWrap/>
            <w:vAlign w:val="bottom"/>
            <w:hideMark/>
          </w:tcPr>
          <w:p w:rsidR="006D029B" w:rsidRPr="00D15EDB" w:rsidRDefault="006D029B" w:rsidP="00362911">
            <w:pPr>
              <w:spacing w:after="0" w:line="240" w:lineRule="auto"/>
              <w:jc w:val="right"/>
              <w:rPr>
                <w:rFonts w:ascii="Times New Roman" w:eastAsia="Times New Roman" w:hAnsi="Times New Roman"/>
                <w:color w:val="000000"/>
                <w:sz w:val="26"/>
                <w:szCs w:val="26"/>
                <w:lang w:eastAsia="lv-LV"/>
              </w:rPr>
            </w:pPr>
            <w:r w:rsidRPr="00D15EDB">
              <w:rPr>
                <w:rFonts w:ascii="Times New Roman" w:eastAsia="Times New Roman" w:hAnsi="Times New Roman"/>
                <w:color w:val="000000"/>
                <w:sz w:val="26"/>
                <w:szCs w:val="26"/>
                <w:lang w:eastAsia="lv-LV"/>
              </w:rPr>
              <w:t>1</w:t>
            </w:r>
          </w:p>
        </w:tc>
      </w:tr>
    </w:tbl>
    <w:p w:rsidR="006D029B" w:rsidRPr="00D15EDB" w:rsidRDefault="006D029B" w:rsidP="006D029B">
      <w:pPr>
        <w:pStyle w:val="paragraph"/>
        <w:spacing w:before="120" w:beforeAutospacing="0" w:after="120" w:afterAutospacing="0"/>
        <w:jc w:val="both"/>
        <w:textAlignment w:val="baseline"/>
        <w:rPr>
          <w:rFonts w:eastAsia="Calibri"/>
          <w:sz w:val="26"/>
          <w:szCs w:val="26"/>
          <w:lang w:eastAsia="en-US"/>
        </w:rPr>
      </w:pPr>
      <w:r w:rsidRPr="00D15EDB">
        <w:rPr>
          <w:rStyle w:val="normaltextrun"/>
          <w:sz w:val="26"/>
          <w:szCs w:val="26"/>
        </w:rPr>
        <w:t xml:space="preserve">LAEF ir norādījusi, ka </w:t>
      </w:r>
      <w:r w:rsidRPr="00D15EDB">
        <w:rPr>
          <w:rFonts w:eastAsia="Calibri"/>
          <w:sz w:val="26"/>
          <w:szCs w:val="26"/>
          <w:lang w:eastAsia="en-US"/>
        </w:rPr>
        <w:t xml:space="preserve">sagaidāms, ka viena </w:t>
      </w:r>
      <w:r w:rsidRPr="00D15EDB">
        <w:rPr>
          <w:rFonts w:eastAsia="Calibri"/>
          <w:b/>
          <w:sz w:val="26"/>
          <w:szCs w:val="26"/>
          <w:lang w:eastAsia="en-US"/>
        </w:rPr>
        <w:t>daļa no atbalsta saņēmējiem OI mehānisma ietvaros uzņēmumu darbību izbeigs, nespējot strauji atmaksāt kredītiestāžu un citu aizdevēju izsniegtos aizdevumus (kredītus),</w:t>
      </w:r>
      <w:r w:rsidRPr="00D15EDB">
        <w:rPr>
          <w:rFonts w:eastAsia="Calibri"/>
          <w:sz w:val="26"/>
          <w:szCs w:val="26"/>
          <w:lang w:eastAsia="en-US"/>
        </w:rPr>
        <w:t xml:space="preserve"> kuru atmaksa </w:t>
      </w:r>
      <w:r w:rsidRPr="00D15EDB">
        <w:rPr>
          <w:rFonts w:eastAsia="Calibri"/>
          <w:sz w:val="26"/>
          <w:szCs w:val="26"/>
          <w:lang w:eastAsia="en-US"/>
        </w:rPr>
        <w:lastRenderedPageBreak/>
        <w:t>neizbēgami tiks nekavējoties pieprasīta pēc attiecīga politiska lēmuma par OI mehānisma un OIK atcelšanu pieņemšanas.</w:t>
      </w:r>
    </w:p>
    <w:p w:rsidR="006D029B" w:rsidRPr="00D15EDB" w:rsidRDefault="006D029B" w:rsidP="006D029B">
      <w:pPr>
        <w:pStyle w:val="paragraph"/>
        <w:spacing w:before="120" w:beforeAutospacing="0" w:after="120" w:afterAutospacing="0"/>
        <w:jc w:val="both"/>
        <w:textAlignment w:val="baseline"/>
        <w:rPr>
          <w:bCs/>
          <w:sz w:val="26"/>
          <w:szCs w:val="26"/>
        </w:rPr>
      </w:pPr>
      <w:r w:rsidRPr="00D15EDB">
        <w:rPr>
          <w:rStyle w:val="normaltextrun"/>
          <w:sz w:val="26"/>
          <w:szCs w:val="26"/>
        </w:rPr>
        <w:t xml:space="preserve">Saskaņā ar Lauku atbalsta dienesta, Vides aizsardzības un reģionālās attīstības ministrijas, Latvijas Investīciju un attīstības aģentūras sniegto informāciju </w:t>
      </w:r>
      <w:r w:rsidRPr="00D15EDB">
        <w:rPr>
          <w:rStyle w:val="normaltextrun"/>
          <w:b/>
          <w:sz w:val="26"/>
          <w:szCs w:val="26"/>
        </w:rPr>
        <w:t>ES finansējumu ir saņēmušas 72 elektrostacijas, kas saņem atbalstu OI mehānisma ietvaros.</w:t>
      </w:r>
      <w:r w:rsidRPr="00D15EDB">
        <w:rPr>
          <w:sz w:val="26"/>
          <w:szCs w:val="26"/>
        </w:rPr>
        <w:t xml:space="preserve"> </w:t>
      </w:r>
      <w:r w:rsidRPr="00D15EDB">
        <w:rPr>
          <w:rStyle w:val="eop"/>
          <w:sz w:val="26"/>
          <w:szCs w:val="26"/>
        </w:rPr>
        <w:t xml:space="preserve">Zemkopības ministrija ir norādījusi, ka </w:t>
      </w:r>
      <w:r w:rsidRPr="00D15EDB">
        <w:rPr>
          <w:bCs/>
          <w:sz w:val="26"/>
          <w:szCs w:val="26"/>
        </w:rPr>
        <w:t xml:space="preserve">jāņem vērā, ka no Latvijas Lauku attīstības programmas 2007.-2013. gadam biogāzes staciju izveidē ir investēti 46 miljoni </w:t>
      </w:r>
      <w:r w:rsidRPr="00D15EDB">
        <w:rPr>
          <w:bCs/>
          <w:i/>
          <w:sz w:val="26"/>
          <w:szCs w:val="26"/>
        </w:rPr>
        <w:t>euro</w:t>
      </w:r>
      <w:r w:rsidRPr="00D15EDB">
        <w:rPr>
          <w:bCs/>
          <w:sz w:val="26"/>
          <w:szCs w:val="26"/>
        </w:rPr>
        <w:t xml:space="preserve">. </w:t>
      </w:r>
      <w:r w:rsidRPr="00D15EDB">
        <w:rPr>
          <w:sz w:val="26"/>
          <w:szCs w:val="26"/>
        </w:rPr>
        <w:t>Tādējādi šīs stacijas ir Lauku atbalsta dienesta Eiropas Savienības fondu izlietojuma uzraudzībā, kas uzliek pienākumu investīciju saņēmējiem nodrošināt pilnvērtīgu projekta mērķu sasniegšanu.</w:t>
      </w:r>
    </w:p>
    <w:p w:rsidR="006D029B" w:rsidRPr="00D15EDB" w:rsidRDefault="006D029B" w:rsidP="006D029B">
      <w:pPr>
        <w:spacing w:before="120" w:after="120" w:line="240" w:lineRule="auto"/>
        <w:jc w:val="both"/>
        <w:rPr>
          <w:rFonts w:ascii="Times New Roman" w:eastAsia="Times New Roman" w:hAnsi="Times New Roman"/>
          <w:sz w:val="26"/>
          <w:szCs w:val="26"/>
        </w:rPr>
      </w:pPr>
      <w:r w:rsidRPr="00D15EDB">
        <w:rPr>
          <w:rFonts w:ascii="Times New Roman" w:eastAsia="Times New Roman" w:hAnsi="Times New Roman"/>
          <w:sz w:val="26"/>
          <w:szCs w:val="26"/>
        </w:rPr>
        <w:t xml:space="preserve">LAEF ir vērsusi uzmanību, ka slēdzot tās AER stacijas, kuru izveidē vai modernizēšanā ieguldīts publiskais finansējums, tas ir, galvenokārt dažāda veida </w:t>
      </w:r>
      <w:r w:rsidRPr="00D15EDB">
        <w:rPr>
          <w:rFonts w:ascii="Times New Roman" w:eastAsia="Times New Roman" w:hAnsi="Times New Roman"/>
          <w:b/>
          <w:sz w:val="26"/>
          <w:szCs w:val="26"/>
        </w:rPr>
        <w:t>Eiropas Savienības fondu, bet arī citu finanšu instrumentu, kā arī Latvijas valsts budžeta līdzekļi projektu līdzfinansējuma</w:t>
      </w:r>
      <w:r w:rsidRPr="00D15EDB">
        <w:rPr>
          <w:rFonts w:ascii="Times New Roman" w:eastAsia="Times New Roman" w:hAnsi="Times New Roman"/>
          <w:sz w:val="26"/>
          <w:szCs w:val="26"/>
        </w:rPr>
        <w:t xml:space="preserve"> veidā, šie ieguldījumi</w:t>
      </w:r>
      <w:r w:rsidRPr="00D15EDB">
        <w:rPr>
          <w:rFonts w:ascii="Times New Roman" w:eastAsia="Times New Roman" w:hAnsi="Times New Roman"/>
          <w:b/>
          <w:sz w:val="26"/>
          <w:szCs w:val="26"/>
        </w:rPr>
        <w:t xml:space="preserve"> būs uzskatāmi par nelietderīgi iztērētiem</w:t>
      </w:r>
      <w:r w:rsidRPr="00D15EDB">
        <w:rPr>
          <w:rFonts w:ascii="Times New Roman" w:eastAsia="Times New Roman" w:hAnsi="Times New Roman"/>
          <w:sz w:val="26"/>
          <w:szCs w:val="26"/>
        </w:rPr>
        <w:t xml:space="preserve">. Visticamāk, ka </w:t>
      </w:r>
      <w:r w:rsidRPr="00D15EDB">
        <w:rPr>
          <w:rFonts w:ascii="Times New Roman" w:eastAsia="Times New Roman" w:hAnsi="Times New Roman"/>
          <w:b/>
          <w:sz w:val="26"/>
          <w:szCs w:val="26"/>
        </w:rPr>
        <w:t>no šiem līdzekļiem iegādātās vērtīgās un salīdzinoši jaunās ražošanas iekārtas tiks pārdotas uz ārvalstīm</w:t>
      </w:r>
      <w:r w:rsidRPr="00D15EDB">
        <w:rPr>
          <w:rFonts w:ascii="Times New Roman" w:eastAsia="Times New Roman" w:hAnsi="Times New Roman"/>
          <w:sz w:val="26"/>
          <w:szCs w:val="26"/>
        </w:rPr>
        <w:t xml:space="preserve">, galvenokārt, lai iegūtu līdzekļus kreditoru prasījumu segšanai, tādējādi neatgriezeniski zaudējot šo iekārtu jaudas Latvijas enerģētikas bilancē. </w:t>
      </w:r>
    </w:p>
    <w:p w:rsidR="006D029B" w:rsidRPr="00D15EDB" w:rsidRDefault="006D029B" w:rsidP="006D029B">
      <w:pPr>
        <w:spacing w:before="120" w:after="120" w:line="240" w:lineRule="auto"/>
        <w:jc w:val="both"/>
        <w:rPr>
          <w:rFonts w:ascii="Times New Roman" w:hAnsi="Times New Roman"/>
          <w:sz w:val="26"/>
          <w:szCs w:val="26"/>
        </w:rPr>
      </w:pPr>
    </w:p>
    <w:p w:rsidR="006D029B" w:rsidRPr="00D15EDB" w:rsidRDefault="006D029B" w:rsidP="006D029B">
      <w:pPr>
        <w:pStyle w:val="paragraph"/>
        <w:spacing w:before="120" w:beforeAutospacing="0" w:after="120" w:afterAutospacing="0"/>
        <w:textAlignment w:val="baseline"/>
        <w:rPr>
          <w:sz w:val="26"/>
          <w:szCs w:val="26"/>
          <w:u w:val="single"/>
        </w:rPr>
      </w:pPr>
      <w:r w:rsidRPr="00D15EDB">
        <w:rPr>
          <w:rStyle w:val="normaltextrun"/>
          <w:sz w:val="26"/>
          <w:szCs w:val="26"/>
          <w:u w:val="single"/>
        </w:rPr>
        <w:t>Tiesiskuma apsvērumi</w:t>
      </w:r>
      <w:r w:rsidRPr="00D15EDB">
        <w:rPr>
          <w:rStyle w:val="eop"/>
          <w:sz w:val="26"/>
          <w:szCs w:val="26"/>
          <w:u w:val="single"/>
        </w:rPr>
        <w:t> </w:t>
      </w:r>
    </w:p>
    <w:p w:rsidR="006D029B" w:rsidRPr="00D15EDB" w:rsidRDefault="006D029B" w:rsidP="006D029B">
      <w:pPr>
        <w:pStyle w:val="paragraph"/>
        <w:spacing w:before="120" w:beforeAutospacing="0" w:after="120" w:afterAutospacing="0"/>
        <w:jc w:val="both"/>
        <w:textAlignment w:val="baseline"/>
        <w:rPr>
          <w:rStyle w:val="normaltextrun"/>
          <w:sz w:val="26"/>
          <w:szCs w:val="26"/>
        </w:rPr>
      </w:pPr>
      <w:r w:rsidRPr="00D15EDB">
        <w:rPr>
          <w:rStyle w:val="normaltextrun"/>
          <w:sz w:val="26"/>
          <w:szCs w:val="26"/>
        </w:rPr>
        <w:t xml:space="preserve">LAEF ir norādījusi, ka būtiski ņemt vērā to, ka </w:t>
      </w:r>
      <w:r w:rsidRPr="00D15EDB">
        <w:rPr>
          <w:rStyle w:val="normaltextrun"/>
          <w:b/>
          <w:sz w:val="26"/>
          <w:szCs w:val="26"/>
        </w:rPr>
        <w:t>OI tiesības ir bijušas likumīgi noteiktas un uzņēmumi neuzsāka atjaunojamās enerģijas ražošanu bez detalizēta saskaņojuma saņemšanas no valsts</w:t>
      </w:r>
      <w:r w:rsidRPr="00D15EDB">
        <w:rPr>
          <w:rStyle w:val="normaltextrun"/>
          <w:sz w:val="26"/>
          <w:szCs w:val="26"/>
        </w:rPr>
        <w:t xml:space="preserve"> un, uzsākot komercdarbību, šie komersanti rēķinājās ar tajā brīdī spēkā esošo tiesisko regulējumu un paļāvās uz to.</w:t>
      </w:r>
    </w:p>
    <w:p w:rsidR="006D029B" w:rsidRPr="00D15EDB" w:rsidRDefault="006D029B" w:rsidP="006D029B">
      <w:pPr>
        <w:pStyle w:val="paragraph"/>
        <w:spacing w:before="120" w:beforeAutospacing="0" w:after="120" w:afterAutospacing="0"/>
        <w:jc w:val="both"/>
        <w:textAlignment w:val="baseline"/>
        <w:rPr>
          <w:sz w:val="26"/>
          <w:szCs w:val="26"/>
        </w:rPr>
      </w:pPr>
      <w:r w:rsidRPr="00D15EDB">
        <w:rPr>
          <w:sz w:val="26"/>
          <w:szCs w:val="26"/>
        </w:rPr>
        <w:t xml:space="preserve">Tāpat atjaunojamās enerģijas nozari pārstāvošā asociācija ir vērsusi uzmanību uz to, ka saskaņā ar 2016.gadā pieņemtajiem grozījumiem normatīvajos aktos, kas stājās spēkā 2017. gada 1.maijā, </w:t>
      </w:r>
      <w:r w:rsidRPr="00D15EDB">
        <w:rPr>
          <w:b/>
          <w:sz w:val="26"/>
          <w:szCs w:val="26"/>
        </w:rPr>
        <w:t>EM ir veikusi apjomīgu elektrostaciju kopējo kapitālieguldījumu iekšējās peļņas normas (IRR) izvērtēšanu, tādējādi nodrošinot jebkādas elektrostaciju pārkompensācijas novēršanu atjaunojamās enerģijas nozarē</w:t>
      </w:r>
      <w:r w:rsidRPr="00D15EDB">
        <w:rPr>
          <w:sz w:val="26"/>
          <w:szCs w:val="26"/>
        </w:rPr>
        <w:t>. LAEF ieskatā kopējo kapitālieguldījumu IRR noteikšanas process un tā rezultāts katrā individuālā gadījumā ir būtisks apstāklis, kas stiprina katra attiecīgā elektroenerģijas ražotāja tiesisko paļāvību, konkrēti, to, ka likumā paredzētā kārtībā ir konstatēts, ka viņa peļņa ir vērtējama kā saprātīga un ka viņam ir visas tiesības šādu peļņu saņemt visā viņam piešķirto OI tiesību atlikušajā periodā.</w:t>
      </w:r>
    </w:p>
    <w:p w:rsidR="006D029B" w:rsidRPr="00D15EDB" w:rsidRDefault="006D029B" w:rsidP="006D029B">
      <w:pPr>
        <w:pStyle w:val="ListParagraph"/>
        <w:spacing w:before="120" w:after="120" w:line="240" w:lineRule="auto"/>
        <w:ind w:left="0"/>
        <w:contextualSpacing w:val="0"/>
        <w:jc w:val="both"/>
        <w:rPr>
          <w:rFonts w:ascii="Times New Roman" w:hAnsi="Times New Roman"/>
          <w:sz w:val="26"/>
          <w:szCs w:val="26"/>
        </w:rPr>
      </w:pPr>
      <w:r w:rsidRPr="00D15EDB">
        <w:rPr>
          <w:rFonts w:ascii="Times New Roman" w:hAnsi="Times New Roman"/>
          <w:b/>
          <w:sz w:val="26"/>
          <w:szCs w:val="26"/>
        </w:rPr>
        <w:t>Atjaunojamās enerģijas ražotāji arī ir norādījuši, ka atceļot OI tiesības, tie vērsīsies Satversmes tiesā un, vajadzības gadījumā, arī Eiropas Cilvēktiesību tiesā</w:t>
      </w:r>
      <w:r w:rsidRPr="00D15EDB">
        <w:rPr>
          <w:rFonts w:ascii="Times New Roman" w:hAnsi="Times New Roman"/>
          <w:sz w:val="26"/>
          <w:szCs w:val="26"/>
        </w:rPr>
        <w:t xml:space="preserve">. Tāpat ražotāji ir norādījuši, ka lielākajai daļai no nozarē strādājošajiem atjaunojamās enerģijas ražotājiem investīcijas </w:t>
      </w:r>
      <w:r w:rsidRPr="00D15EDB">
        <w:rPr>
          <w:rFonts w:ascii="Times New Roman" w:hAnsi="Times New Roman"/>
          <w:b/>
          <w:sz w:val="26"/>
          <w:szCs w:val="26"/>
        </w:rPr>
        <w:t>elektrostaciju izveidei ir tikušas piesaistītas no ārvalstīm</w:t>
      </w:r>
      <w:r w:rsidRPr="00D15EDB">
        <w:rPr>
          <w:rFonts w:ascii="Times New Roman" w:hAnsi="Times New Roman"/>
          <w:sz w:val="26"/>
          <w:szCs w:val="26"/>
        </w:rPr>
        <w:t>, kādēļ investoriem ir tiesības prasīt atlīdzību gan par radītajiem zaudējumiem, gan nākotnē paredzamās peļņas atrāvumu savu investīciju aizsardzībai, vēršoties pret Latvijas valsti dažādās starptautiskajās šķīrējtiesās.</w:t>
      </w:r>
    </w:p>
    <w:p w:rsidR="006D029B" w:rsidRPr="00D15EDB" w:rsidRDefault="006D029B" w:rsidP="006D029B">
      <w:pPr>
        <w:pStyle w:val="ListParagraph"/>
        <w:spacing w:before="120" w:after="120" w:line="240" w:lineRule="auto"/>
        <w:ind w:left="0"/>
        <w:contextualSpacing w:val="0"/>
        <w:jc w:val="both"/>
        <w:rPr>
          <w:rStyle w:val="normaltextrun"/>
          <w:rFonts w:ascii="Times New Roman" w:hAnsi="Times New Roman"/>
          <w:sz w:val="26"/>
          <w:szCs w:val="26"/>
        </w:rPr>
      </w:pPr>
      <w:r w:rsidRPr="00D15EDB">
        <w:rPr>
          <w:rStyle w:val="normaltextrun"/>
          <w:rFonts w:ascii="Times New Roman" w:hAnsi="Times New Roman"/>
          <w:sz w:val="26"/>
          <w:szCs w:val="26"/>
        </w:rPr>
        <w:t xml:space="preserve">LAEF ieskatā normatīvo aktu grozījumi OIK atcelšanai no 2019. gada 31. marta būtu prettiesiski un </w:t>
      </w:r>
      <w:r w:rsidRPr="00D15EDB">
        <w:rPr>
          <w:rStyle w:val="normaltextrun"/>
          <w:rFonts w:ascii="Times New Roman" w:hAnsi="Times New Roman"/>
          <w:b/>
          <w:sz w:val="26"/>
          <w:szCs w:val="26"/>
        </w:rPr>
        <w:t>neatbilstu tiesiskās paļāvības principam, kā arī pārkāptu Satversmes 105.pantā nostiprinātās tiesības uz īpašumu.</w:t>
      </w:r>
      <w:r w:rsidRPr="00D15EDB">
        <w:rPr>
          <w:rStyle w:val="normaltextrun"/>
          <w:rFonts w:ascii="Times New Roman" w:hAnsi="Times New Roman"/>
          <w:sz w:val="26"/>
          <w:szCs w:val="26"/>
        </w:rPr>
        <w:t xml:space="preserve"> LAEF ieskatā atbilstoši tiesiskas valsts principam uzņēmēji ar OI ieviešanu un vēlāk veikto IRR aprēķināšanu varēja būt droši </w:t>
      </w:r>
      <w:r w:rsidRPr="00D15EDB">
        <w:rPr>
          <w:rStyle w:val="normaltextrun"/>
          <w:rFonts w:ascii="Times New Roman" w:hAnsi="Times New Roman"/>
          <w:sz w:val="26"/>
          <w:szCs w:val="26"/>
        </w:rPr>
        <w:lastRenderedPageBreak/>
        <w:t>un tiesiski pārliecināti, ka valsts vienotā politika enerģētikas jautājumos un atbildība kā Eiropas Savienības dalībvalstij tik krasi nemainīs noteikumus komersantiem, kas jau veikuši ieguldījumus, un sniegs atbilstošu samaksu par sniegto pakalpojumu.</w:t>
      </w:r>
    </w:p>
    <w:p w:rsidR="006D029B" w:rsidRPr="00D15EDB" w:rsidRDefault="006D029B" w:rsidP="00D15EDB">
      <w:pPr>
        <w:pStyle w:val="Default"/>
        <w:spacing w:before="240" w:after="120"/>
        <w:textAlignment w:val="baseline"/>
        <w:rPr>
          <w:rStyle w:val="normaltextrun"/>
          <w:rFonts w:eastAsia="Times New Roman"/>
          <w:color w:val="auto"/>
          <w:sz w:val="26"/>
          <w:szCs w:val="26"/>
          <w:u w:val="single"/>
          <w:lang w:eastAsia="lv-LV"/>
        </w:rPr>
      </w:pPr>
      <w:proofErr w:type="spellStart"/>
      <w:r w:rsidRPr="00D15EDB">
        <w:rPr>
          <w:rStyle w:val="normaltextrun"/>
          <w:rFonts w:eastAsia="Times New Roman"/>
          <w:color w:val="auto"/>
          <w:sz w:val="26"/>
          <w:szCs w:val="26"/>
          <w:u w:val="single"/>
          <w:lang w:eastAsia="lv-LV"/>
        </w:rPr>
        <w:t>Satversmība</w:t>
      </w:r>
      <w:proofErr w:type="spellEnd"/>
    </w:p>
    <w:p w:rsidR="006D029B" w:rsidRPr="00D15EDB" w:rsidRDefault="006D029B" w:rsidP="006D029B">
      <w:pPr>
        <w:spacing w:before="120" w:after="120" w:line="240" w:lineRule="auto"/>
        <w:jc w:val="both"/>
        <w:rPr>
          <w:rStyle w:val="normaltextrun"/>
          <w:rFonts w:ascii="Times New Roman" w:hAnsi="Times New Roman"/>
          <w:sz w:val="26"/>
          <w:szCs w:val="26"/>
        </w:rPr>
      </w:pPr>
      <w:r w:rsidRPr="00D15EDB">
        <w:rPr>
          <w:rStyle w:val="normaltextrun"/>
          <w:rFonts w:ascii="Times New Roman" w:hAnsi="Times New Roman"/>
          <w:sz w:val="26"/>
          <w:szCs w:val="26"/>
        </w:rPr>
        <w:t>Satversmes 105.pants nosaka, ka ikvienam ir tiesības uz īpašumu. Īpašumu nedrīkst izmantot pretēji sabiedrības interesēm. Īpašuma tiesības var ierobežot vienīgi saskaņā ar likumu. Īpašuma piespiedu atsavināšana sabiedrības vajadzībām pieļaujama tikai izņēmuma gadījumos uz atsevišķa likuma pamata pret taisnīgu atlīdzību.</w:t>
      </w:r>
    </w:p>
    <w:p w:rsidR="006D029B" w:rsidRPr="00D15EDB" w:rsidRDefault="006D029B" w:rsidP="006D029B">
      <w:pPr>
        <w:spacing w:before="120" w:after="120" w:line="240" w:lineRule="auto"/>
        <w:jc w:val="both"/>
        <w:rPr>
          <w:rStyle w:val="normaltextrun"/>
          <w:rFonts w:ascii="Times New Roman" w:hAnsi="Times New Roman"/>
          <w:sz w:val="26"/>
          <w:szCs w:val="26"/>
        </w:rPr>
      </w:pPr>
      <w:r w:rsidRPr="00D15EDB">
        <w:rPr>
          <w:rStyle w:val="normaltextrun"/>
          <w:rFonts w:ascii="Times New Roman" w:hAnsi="Times New Roman"/>
          <w:sz w:val="26"/>
          <w:szCs w:val="26"/>
        </w:rPr>
        <w:t xml:space="preserve">Atbilstoši Satversmes tiesas praksei par īpašumu var tikt uzskatīti tādi prasījumi, kuru izpildi varētu pieprasīt, ja pastāvētu skaidrs tiesisks pamats. Arī nākotnes ienākumi uzskatāmi par īpašumu tad, ja tie jau ir nopelnīti vai pastāv prasība, kuru var apmierināt. </w:t>
      </w:r>
      <w:r w:rsidRPr="00D15EDB">
        <w:rPr>
          <w:rStyle w:val="normaltextrun"/>
          <w:rFonts w:ascii="Times New Roman" w:hAnsi="Times New Roman"/>
          <w:b/>
          <w:sz w:val="26"/>
          <w:szCs w:val="26"/>
        </w:rPr>
        <w:t xml:space="preserve"> Ņemot vērā minēto, tiesības pārdot elektroenerģiju obligātā iepirkuma ietvaros ir uzskatāmas par īpašumu un kā tādas aizsargātas ar Satversmi.</w:t>
      </w:r>
    </w:p>
    <w:p w:rsidR="006D029B" w:rsidRPr="00D15EDB" w:rsidRDefault="006D029B" w:rsidP="006D029B">
      <w:pPr>
        <w:spacing w:before="120" w:after="120" w:line="240" w:lineRule="auto"/>
        <w:jc w:val="both"/>
        <w:rPr>
          <w:rStyle w:val="normaltextrun"/>
          <w:rFonts w:ascii="Times New Roman" w:hAnsi="Times New Roman"/>
          <w:b/>
          <w:sz w:val="26"/>
          <w:szCs w:val="26"/>
        </w:rPr>
      </w:pPr>
      <w:r w:rsidRPr="00D15EDB">
        <w:rPr>
          <w:rStyle w:val="normaltextrun"/>
          <w:rFonts w:ascii="Times New Roman" w:hAnsi="Times New Roman"/>
          <w:sz w:val="26"/>
          <w:szCs w:val="26"/>
        </w:rPr>
        <w:t xml:space="preserve">Tiesības uz īpašumu demokrātiskā tiesiskā valstī nav absolūtas. Pirmkārt, tiesības uz īpašumu sevī ietver arī īpašnieka sociālo pienākumu pret sabiedrību – īpašumu nedrīkst izmantot pretēji sabiedrības interesēm. Otrkārt, tiesības uz īpašumu var ierobežot saskaņā ar likumu. Līdz ar to tiesības uz īpašumu var ierobežot, ja vien ierobežojumi ir noteikti ar likumu leģitīma mērķa labad un ir samērīgi ar šo mērķi.  </w:t>
      </w:r>
      <w:r w:rsidRPr="00D15EDB">
        <w:rPr>
          <w:rStyle w:val="normaltextrun"/>
          <w:rFonts w:ascii="Times New Roman" w:hAnsi="Times New Roman"/>
          <w:b/>
          <w:sz w:val="26"/>
          <w:szCs w:val="26"/>
        </w:rPr>
        <w:t>Ņemot vērā minēto, tiesības pārdot elektroenerģiju obligātā iepirkuma ietvaros var ierobežot, ja vien ierobežojumi ir noteikti ar likumu leģitīma mērķa labad un ir samērīgi ar šo mērķi.</w:t>
      </w:r>
    </w:p>
    <w:p w:rsidR="006D029B" w:rsidRPr="00D15EDB" w:rsidRDefault="006D029B" w:rsidP="006D029B">
      <w:pPr>
        <w:spacing w:before="120" w:after="120" w:line="240" w:lineRule="auto"/>
        <w:jc w:val="both"/>
        <w:rPr>
          <w:rStyle w:val="normaltextrun"/>
          <w:rFonts w:ascii="Times New Roman" w:hAnsi="Times New Roman"/>
          <w:sz w:val="26"/>
          <w:szCs w:val="26"/>
        </w:rPr>
      </w:pPr>
      <w:r w:rsidRPr="00D15EDB">
        <w:rPr>
          <w:rStyle w:val="normaltextrun"/>
          <w:rFonts w:ascii="Times New Roman" w:hAnsi="Times New Roman"/>
          <w:sz w:val="26"/>
          <w:szCs w:val="26"/>
        </w:rPr>
        <w:t xml:space="preserve">Satversmes tiesa izskata lietas par likumu un citu normatīvo aktu atbilstību Latvijas Republikas Satversmei. </w:t>
      </w:r>
    </w:p>
    <w:p w:rsidR="006D029B" w:rsidRPr="00D15EDB" w:rsidRDefault="006D029B" w:rsidP="006D029B">
      <w:pPr>
        <w:spacing w:before="120" w:after="120" w:line="240" w:lineRule="auto"/>
        <w:jc w:val="both"/>
        <w:rPr>
          <w:rStyle w:val="normaltextrun"/>
          <w:rFonts w:ascii="Times New Roman" w:hAnsi="Times New Roman"/>
          <w:sz w:val="26"/>
          <w:szCs w:val="26"/>
        </w:rPr>
      </w:pPr>
      <w:r w:rsidRPr="00D15EDB">
        <w:rPr>
          <w:rStyle w:val="normaltextrun"/>
          <w:rFonts w:ascii="Times New Roman" w:hAnsi="Times New Roman"/>
          <w:sz w:val="26"/>
          <w:szCs w:val="26"/>
        </w:rPr>
        <w:t xml:space="preserve">No Satversmes tiesas prakses izriet turpmāk minētie kritēriji, vērtējot </w:t>
      </w:r>
      <w:proofErr w:type="spellStart"/>
      <w:r w:rsidRPr="00D15EDB">
        <w:rPr>
          <w:rStyle w:val="normaltextrun"/>
          <w:rFonts w:ascii="Times New Roman" w:hAnsi="Times New Roman"/>
          <w:sz w:val="26"/>
          <w:szCs w:val="26"/>
        </w:rPr>
        <w:t>pamattiesību</w:t>
      </w:r>
      <w:proofErr w:type="spellEnd"/>
      <w:r w:rsidRPr="00D15EDB">
        <w:rPr>
          <w:rStyle w:val="normaltextrun"/>
          <w:rFonts w:ascii="Times New Roman" w:hAnsi="Times New Roman"/>
          <w:sz w:val="26"/>
          <w:szCs w:val="26"/>
        </w:rPr>
        <w:t xml:space="preserve"> ierobežošanu (turpmāk tekstā arī </w:t>
      </w:r>
      <w:proofErr w:type="spellStart"/>
      <w:r w:rsidRPr="00D15EDB">
        <w:rPr>
          <w:rStyle w:val="normaltextrun"/>
          <w:rFonts w:ascii="Times New Roman" w:hAnsi="Times New Roman"/>
          <w:sz w:val="26"/>
          <w:szCs w:val="26"/>
        </w:rPr>
        <w:t>Konstitucionalitātes</w:t>
      </w:r>
      <w:proofErr w:type="spellEnd"/>
      <w:r w:rsidRPr="00D15EDB">
        <w:rPr>
          <w:rStyle w:val="normaltextrun"/>
          <w:rFonts w:ascii="Times New Roman" w:hAnsi="Times New Roman"/>
          <w:sz w:val="26"/>
          <w:szCs w:val="26"/>
        </w:rPr>
        <w:t xml:space="preserve"> tests): </w:t>
      </w:r>
    </w:p>
    <w:p w:rsidR="006D029B" w:rsidRPr="00D15EDB" w:rsidRDefault="006D029B" w:rsidP="006D029B">
      <w:pPr>
        <w:spacing w:before="120" w:after="120" w:line="240" w:lineRule="auto"/>
        <w:jc w:val="both"/>
        <w:rPr>
          <w:rStyle w:val="normaltextrun"/>
          <w:rFonts w:ascii="Times New Roman" w:hAnsi="Times New Roman"/>
          <w:sz w:val="26"/>
          <w:szCs w:val="26"/>
        </w:rPr>
      </w:pPr>
      <w:r w:rsidRPr="00D15EDB">
        <w:rPr>
          <w:rStyle w:val="normaltextrun"/>
          <w:rFonts w:ascii="Times New Roman" w:hAnsi="Times New Roman"/>
          <w:sz w:val="26"/>
          <w:szCs w:val="26"/>
        </w:rPr>
        <w:t xml:space="preserve">1) vai </w:t>
      </w:r>
      <w:proofErr w:type="spellStart"/>
      <w:r w:rsidRPr="00D15EDB">
        <w:rPr>
          <w:rStyle w:val="normaltextrun"/>
          <w:rFonts w:ascii="Times New Roman" w:hAnsi="Times New Roman"/>
          <w:sz w:val="26"/>
          <w:szCs w:val="26"/>
        </w:rPr>
        <w:t>pamattiesību</w:t>
      </w:r>
      <w:proofErr w:type="spellEnd"/>
      <w:r w:rsidRPr="00D15EDB">
        <w:rPr>
          <w:rStyle w:val="normaltextrun"/>
          <w:rFonts w:ascii="Times New Roman" w:hAnsi="Times New Roman"/>
          <w:sz w:val="26"/>
          <w:szCs w:val="26"/>
        </w:rPr>
        <w:t xml:space="preserve"> ierobežojums noteikts ar likumu;</w:t>
      </w:r>
    </w:p>
    <w:p w:rsidR="006D029B" w:rsidRPr="00D15EDB" w:rsidRDefault="006D029B" w:rsidP="006D029B">
      <w:pPr>
        <w:spacing w:before="120" w:after="120" w:line="240" w:lineRule="auto"/>
        <w:jc w:val="both"/>
        <w:rPr>
          <w:rStyle w:val="normaltextrun"/>
          <w:rFonts w:ascii="Times New Roman" w:hAnsi="Times New Roman"/>
          <w:sz w:val="26"/>
          <w:szCs w:val="26"/>
        </w:rPr>
      </w:pPr>
      <w:r w:rsidRPr="00D15EDB">
        <w:rPr>
          <w:rStyle w:val="normaltextrun"/>
          <w:rFonts w:ascii="Times New Roman" w:hAnsi="Times New Roman"/>
          <w:sz w:val="26"/>
          <w:szCs w:val="26"/>
        </w:rPr>
        <w:t>2) vai ierobežojumam ir leģitīms mērķis;</w:t>
      </w:r>
    </w:p>
    <w:p w:rsidR="006D029B" w:rsidRPr="00D15EDB" w:rsidRDefault="006D029B" w:rsidP="006D029B">
      <w:pPr>
        <w:spacing w:before="120" w:after="120" w:line="240" w:lineRule="auto"/>
        <w:jc w:val="both"/>
        <w:rPr>
          <w:rStyle w:val="normaltextrun"/>
          <w:rFonts w:ascii="Times New Roman" w:hAnsi="Times New Roman"/>
          <w:sz w:val="26"/>
          <w:szCs w:val="26"/>
        </w:rPr>
      </w:pPr>
      <w:r w:rsidRPr="00D15EDB">
        <w:rPr>
          <w:rStyle w:val="normaltextrun"/>
          <w:rFonts w:ascii="Times New Roman" w:hAnsi="Times New Roman"/>
          <w:sz w:val="26"/>
          <w:szCs w:val="26"/>
        </w:rPr>
        <w:t xml:space="preserve">3) vai ierobežojums atbilst samērīguma principam jeb vai izraudzītie līdzekļi ir samērīgi ar ierobežojuma leģitīmo mērķi. </w:t>
      </w:r>
    </w:p>
    <w:p w:rsidR="006D029B" w:rsidRPr="00D15EDB" w:rsidRDefault="006D029B" w:rsidP="006D029B">
      <w:pPr>
        <w:spacing w:before="120" w:after="120" w:line="240" w:lineRule="auto"/>
        <w:jc w:val="both"/>
        <w:rPr>
          <w:rStyle w:val="normaltextrun"/>
          <w:rFonts w:ascii="Times New Roman" w:hAnsi="Times New Roman"/>
          <w:sz w:val="26"/>
          <w:szCs w:val="26"/>
        </w:rPr>
      </w:pPr>
      <w:r w:rsidRPr="00D15EDB">
        <w:rPr>
          <w:rStyle w:val="normaltextrun"/>
          <w:rFonts w:ascii="Times New Roman" w:hAnsi="Times New Roman"/>
          <w:sz w:val="26"/>
          <w:szCs w:val="26"/>
        </w:rPr>
        <w:t xml:space="preserve">Izvērtējot, vai </w:t>
      </w:r>
      <w:proofErr w:type="spellStart"/>
      <w:r w:rsidRPr="00D15EDB">
        <w:rPr>
          <w:rStyle w:val="normaltextrun"/>
          <w:rFonts w:ascii="Times New Roman" w:hAnsi="Times New Roman"/>
          <w:sz w:val="26"/>
          <w:szCs w:val="26"/>
        </w:rPr>
        <w:t>pamattiesību</w:t>
      </w:r>
      <w:proofErr w:type="spellEnd"/>
      <w:r w:rsidRPr="00D15EDB">
        <w:rPr>
          <w:rStyle w:val="normaltextrun"/>
          <w:rFonts w:ascii="Times New Roman" w:hAnsi="Times New Roman"/>
          <w:sz w:val="26"/>
          <w:szCs w:val="26"/>
        </w:rPr>
        <w:t xml:space="preserve"> ierobežojumam ir leģitīmais mērķis Satversmes tiesa vērtē apstākļus un argumentus, kādēļ tas vajadzīgs. Ierobežojumam jābūt noteiktam svarīgu interešu – leģitīma mērķa labad.</w:t>
      </w:r>
    </w:p>
    <w:p w:rsidR="006D029B" w:rsidRPr="00D15EDB" w:rsidRDefault="006D029B" w:rsidP="006D029B">
      <w:pPr>
        <w:spacing w:before="120" w:after="120" w:line="240" w:lineRule="auto"/>
        <w:jc w:val="both"/>
        <w:rPr>
          <w:rStyle w:val="normaltextrun"/>
          <w:rFonts w:ascii="Times New Roman" w:hAnsi="Times New Roman"/>
          <w:sz w:val="26"/>
          <w:szCs w:val="26"/>
        </w:rPr>
      </w:pPr>
      <w:r w:rsidRPr="00D15EDB">
        <w:rPr>
          <w:rStyle w:val="normaltextrun"/>
          <w:rFonts w:ascii="Times New Roman" w:hAnsi="Times New Roman"/>
          <w:sz w:val="26"/>
          <w:szCs w:val="26"/>
        </w:rPr>
        <w:t xml:space="preserve">Lai secinātu, vai ir </w:t>
      </w:r>
      <w:proofErr w:type="spellStart"/>
      <w:r w:rsidRPr="00D15EDB">
        <w:rPr>
          <w:rStyle w:val="normaltextrun"/>
          <w:rFonts w:ascii="Times New Roman" w:hAnsi="Times New Roman"/>
          <w:sz w:val="26"/>
          <w:szCs w:val="26"/>
        </w:rPr>
        <w:t>pamattiesību</w:t>
      </w:r>
      <w:proofErr w:type="spellEnd"/>
      <w:r w:rsidRPr="00D15EDB">
        <w:rPr>
          <w:rStyle w:val="normaltextrun"/>
          <w:rFonts w:ascii="Times New Roman" w:hAnsi="Times New Roman"/>
          <w:sz w:val="26"/>
          <w:szCs w:val="26"/>
        </w:rPr>
        <w:t xml:space="preserve"> ierobežojums atbilst samērīguma principam, Satversmes tiesa noskaidro, vai:</w:t>
      </w:r>
    </w:p>
    <w:p w:rsidR="006D029B" w:rsidRPr="00D15EDB" w:rsidRDefault="006D029B" w:rsidP="006D029B">
      <w:pPr>
        <w:spacing w:before="120" w:after="120" w:line="240" w:lineRule="auto"/>
        <w:jc w:val="both"/>
        <w:rPr>
          <w:rStyle w:val="normaltextrun"/>
          <w:rFonts w:ascii="Times New Roman" w:hAnsi="Times New Roman"/>
          <w:sz w:val="26"/>
          <w:szCs w:val="26"/>
        </w:rPr>
      </w:pPr>
      <w:r w:rsidRPr="00D15EDB">
        <w:rPr>
          <w:rStyle w:val="normaltextrun"/>
          <w:rFonts w:ascii="Times New Roman" w:hAnsi="Times New Roman"/>
          <w:sz w:val="26"/>
          <w:szCs w:val="26"/>
        </w:rPr>
        <w:t>a) likumdevēja izraudzītie līdzekļi ir piemēroti leģitīmā mērķa sasniegšanai;</w:t>
      </w:r>
    </w:p>
    <w:p w:rsidR="006D029B" w:rsidRPr="00D15EDB" w:rsidRDefault="006D029B" w:rsidP="006D029B">
      <w:pPr>
        <w:spacing w:before="120" w:after="120" w:line="240" w:lineRule="auto"/>
        <w:jc w:val="both"/>
        <w:rPr>
          <w:rStyle w:val="normaltextrun"/>
          <w:rFonts w:ascii="Times New Roman" w:hAnsi="Times New Roman"/>
          <w:sz w:val="26"/>
          <w:szCs w:val="26"/>
        </w:rPr>
      </w:pPr>
      <w:r w:rsidRPr="00D15EDB">
        <w:rPr>
          <w:rStyle w:val="normaltextrun"/>
          <w:rFonts w:ascii="Times New Roman" w:hAnsi="Times New Roman"/>
          <w:sz w:val="26"/>
          <w:szCs w:val="26"/>
        </w:rPr>
        <w:t>b) vai nav saudzējošāku līdzekļu leģitīmā mērķa sasniegšanai;</w:t>
      </w:r>
    </w:p>
    <w:p w:rsidR="006D029B" w:rsidRPr="00D15EDB" w:rsidRDefault="006D029B" w:rsidP="006D029B">
      <w:pPr>
        <w:spacing w:before="120" w:after="120" w:line="240" w:lineRule="auto"/>
        <w:jc w:val="both"/>
        <w:rPr>
          <w:rStyle w:val="normaltextrun"/>
          <w:rFonts w:ascii="Times New Roman" w:hAnsi="Times New Roman"/>
          <w:sz w:val="26"/>
          <w:szCs w:val="26"/>
        </w:rPr>
      </w:pPr>
      <w:r w:rsidRPr="00D15EDB">
        <w:rPr>
          <w:rStyle w:val="normaltextrun"/>
          <w:rFonts w:ascii="Times New Roman" w:hAnsi="Times New Roman"/>
          <w:sz w:val="26"/>
          <w:szCs w:val="26"/>
        </w:rPr>
        <w:t xml:space="preserve">c) vai likumdevēja rīcība ir atbilstoša. </w:t>
      </w:r>
    </w:p>
    <w:p w:rsidR="006D029B" w:rsidRPr="00D15EDB" w:rsidRDefault="006D029B" w:rsidP="006D029B">
      <w:pPr>
        <w:spacing w:before="120" w:after="120" w:line="240" w:lineRule="auto"/>
        <w:jc w:val="both"/>
        <w:rPr>
          <w:rStyle w:val="normaltextrun"/>
          <w:rFonts w:ascii="Times New Roman" w:hAnsi="Times New Roman"/>
          <w:sz w:val="26"/>
          <w:szCs w:val="26"/>
        </w:rPr>
      </w:pPr>
      <w:r w:rsidRPr="00D15EDB">
        <w:rPr>
          <w:rStyle w:val="normaltextrun"/>
          <w:rFonts w:ascii="Times New Roman" w:hAnsi="Times New Roman"/>
          <w:sz w:val="26"/>
          <w:szCs w:val="26"/>
        </w:rPr>
        <w:t>Likumdevēja izraudzītais līdzeklis ir piemērots leģitīmā mērķa sasniegšanai, ja ar konkrēto regulējumu šis mērķis tiek sasniegts. Satversmes tiesa ir norādījusi, ka valstij ir pienākums radīt atbilstošus tiesiskos instrumentus leģitīmā mērķa sasniegšanai.</w:t>
      </w:r>
    </w:p>
    <w:p w:rsidR="006D029B" w:rsidRPr="00D15EDB" w:rsidRDefault="006D029B" w:rsidP="006D029B">
      <w:pPr>
        <w:spacing w:before="120" w:after="120" w:line="240" w:lineRule="auto"/>
        <w:jc w:val="both"/>
        <w:rPr>
          <w:rStyle w:val="normaltextrun"/>
          <w:rFonts w:ascii="Times New Roman" w:hAnsi="Times New Roman"/>
          <w:sz w:val="26"/>
          <w:szCs w:val="26"/>
        </w:rPr>
      </w:pPr>
      <w:proofErr w:type="spellStart"/>
      <w:r w:rsidRPr="00D15EDB">
        <w:rPr>
          <w:rStyle w:val="normaltextrun"/>
          <w:rFonts w:ascii="Times New Roman" w:hAnsi="Times New Roman"/>
          <w:sz w:val="26"/>
          <w:szCs w:val="26"/>
        </w:rPr>
        <w:t>Pamattiesību</w:t>
      </w:r>
      <w:proofErr w:type="spellEnd"/>
      <w:r w:rsidRPr="00D15EDB">
        <w:rPr>
          <w:rStyle w:val="normaltextrun"/>
          <w:rFonts w:ascii="Times New Roman" w:hAnsi="Times New Roman"/>
          <w:sz w:val="26"/>
          <w:szCs w:val="26"/>
        </w:rPr>
        <w:t xml:space="preserve"> ierobežojums ir nepieciešams, ja nepastāv citi līdzekļi, kuri būtu tikpat iedarbīgi un kurus izvēloties, </w:t>
      </w:r>
      <w:proofErr w:type="spellStart"/>
      <w:r w:rsidRPr="00D15EDB">
        <w:rPr>
          <w:rStyle w:val="normaltextrun"/>
          <w:rFonts w:ascii="Times New Roman" w:hAnsi="Times New Roman"/>
          <w:sz w:val="26"/>
          <w:szCs w:val="26"/>
        </w:rPr>
        <w:t>pamattiesības</w:t>
      </w:r>
      <w:proofErr w:type="spellEnd"/>
      <w:r w:rsidRPr="00D15EDB">
        <w:rPr>
          <w:rStyle w:val="normaltextrun"/>
          <w:rFonts w:ascii="Times New Roman" w:hAnsi="Times New Roman"/>
          <w:sz w:val="26"/>
          <w:szCs w:val="26"/>
        </w:rPr>
        <w:t xml:space="preserve"> tiktu ierobežotas mazāk. Vērtējot to, vai </w:t>
      </w:r>
      <w:r w:rsidRPr="00D15EDB">
        <w:rPr>
          <w:rStyle w:val="normaltextrun"/>
          <w:rFonts w:ascii="Times New Roman" w:hAnsi="Times New Roman"/>
          <w:sz w:val="26"/>
          <w:szCs w:val="26"/>
        </w:rPr>
        <w:lastRenderedPageBreak/>
        <w:t>leģitīmo mērķi var sasniegt ar alternatīviem līdzekļiem, Satversmes tiesa vienmēr uzsver to, ka saudzējošāks līdzeklis ir nevis jebkurš cits, bet gan tikai tāds līdzeklis, ar kuru var sasniegt leģitīmo mērķi vismaz tādā kvalitātē.</w:t>
      </w:r>
    </w:p>
    <w:p w:rsidR="006D029B" w:rsidRPr="00D15EDB" w:rsidRDefault="006D029B" w:rsidP="006D029B">
      <w:pPr>
        <w:spacing w:before="120" w:after="120" w:line="240" w:lineRule="auto"/>
        <w:jc w:val="both"/>
        <w:rPr>
          <w:rStyle w:val="normaltextrun"/>
          <w:rFonts w:ascii="Times New Roman" w:hAnsi="Times New Roman"/>
          <w:sz w:val="26"/>
          <w:szCs w:val="26"/>
        </w:rPr>
      </w:pPr>
      <w:r w:rsidRPr="00D15EDB">
        <w:rPr>
          <w:rStyle w:val="normaltextrun"/>
          <w:rFonts w:ascii="Times New Roman" w:hAnsi="Times New Roman"/>
          <w:sz w:val="26"/>
          <w:szCs w:val="26"/>
        </w:rPr>
        <w:t xml:space="preserve">Izvērtējot to, vai likumdevēja rīcība, nosakot </w:t>
      </w:r>
      <w:proofErr w:type="spellStart"/>
      <w:r w:rsidRPr="00D15EDB">
        <w:rPr>
          <w:rStyle w:val="normaltextrun"/>
          <w:rFonts w:ascii="Times New Roman" w:hAnsi="Times New Roman"/>
          <w:sz w:val="26"/>
          <w:szCs w:val="26"/>
        </w:rPr>
        <w:t>pamattiesību</w:t>
      </w:r>
      <w:proofErr w:type="spellEnd"/>
      <w:r w:rsidRPr="00D15EDB">
        <w:rPr>
          <w:rStyle w:val="normaltextrun"/>
          <w:rFonts w:ascii="Times New Roman" w:hAnsi="Times New Roman"/>
          <w:sz w:val="26"/>
          <w:szCs w:val="26"/>
        </w:rPr>
        <w:t xml:space="preserve"> ierobežojumu, ir atbilstoša, Satversmes tiesa pārliecinās par to, vai nelabvēlīgās sekas, kas personai rodas tās </w:t>
      </w:r>
      <w:proofErr w:type="spellStart"/>
      <w:r w:rsidRPr="00D15EDB">
        <w:rPr>
          <w:rStyle w:val="normaltextrun"/>
          <w:rFonts w:ascii="Times New Roman" w:hAnsi="Times New Roman"/>
          <w:sz w:val="26"/>
          <w:szCs w:val="26"/>
        </w:rPr>
        <w:t>pamattiesību</w:t>
      </w:r>
      <w:proofErr w:type="spellEnd"/>
      <w:r w:rsidRPr="00D15EDB">
        <w:rPr>
          <w:rStyle w:val="normaltextrun"/>
          <w:rFonts w:ascii="Times New Roman" w:hAnsi="Times New Roman"/>
          <w:sz w:val="26"/>
          <w:szCs w:val="26"/>
        </w:rPr>
        <w:t xml:space="preserve"> ierobežojuma rezultātā, nav lielākas par labumu, ko no šā ierobežojuma gūst sabiedrība kopumā. Izvērtējot atbilstību šim samērīguma kritērijam, notiek personas un sabiedrības interešu svēršana. </w:t>
      </w:r>
    </w:p>
    <w:p w:rsidR="006D029B" w:rsidRPr="00D15EDB" w:rsidRDefault="006D029B" w:rsidP="006D029B">
      <w:pPr>
        <w:spacing w:before="120" w:after="120" w:line="240" w:lineRule="auto"/>
        <w:jc w:val="both"/>
        <w:rPr>
          <w:rStyle w:val="normaltextrun"/>
          <w:rFonts w:ascii="Times New Roman" w:hAnsi="Times New Roman"/>
          <w:sz w:val="26"/>
          <w:szCs w:val="26"/>
        </w:rPr>
      </w:pPr>
      <w:r w:rsidRPr="00D15EDB">
        <w:rPr>
          <w:rStyle w:val="normaltextrun"/>
          <w:rFonts w:ascii="Times New Roman" w:hAnsi="Times New Roman"/>
          <w:sz w:val="26"/>
          <w:szCs w:val="26"/>
        </w:rPr>
        <w:t xml:space="preserve">Ņemot vērā minēto, Elektroenerģijas obligātā iepirkuma maksājumu sistēmas atcelšanas instrumentiem ir jāatbilst </w:t>
      </w:r>
      <w:proofErr w:type="spellStart"/>
      <w:r w:rsidRPr="00D15EDB">
        <w:rPr>
          <w:rStyle w:val="normaltextrun"/>
          <w:rFonts w:ascii="Times New Roman" w:hAnsi="Times New Roman"/>
          <w:sz w:val="26"/>
          <w:szCs w:val="26"/>
        </w:rPr>
        <w:t>Konstitucionalitātes</w:t>
      </w:r>
      <w:proofErr w:type="spellEnd"/>
      <w:r w:rsidRPr="00D15EDB">
        <w:rPr>
          <w:rStyle w:val="normaltextrun"/>
          <w:rFonts w:ascii="Times New Roman" w:hAnsi="Times New Roman"/>
          <w:sz w:val="26"/>
          <w:szCs w:val="26"/>
        </w:rPr>
        <w:t xml:space="preserve"> testam, lai tie tiktu uzskatīti par atbilstošiem Latvijas Republikas Satversmei.</w:t>
      </w:r>
    </w:p>
    <w:p w:rsidR="006D029B" w:rsidRPr="00D15EDB" w:rsidRDefault="006D029B" w:rsidP="006D029B">
      <w:pPr>
        <w:spacing w:before="120" w:after="120" w:line="240" w:lineRule="auto"/>
        <w:jc w:val="both"/>
        <w:rPr>
          <w:rStyle w:val="normaltextrun"/>
          <w:rFonts w:ascii="Times New Roman" w:hAnsi="Times New Roman"/>
          <w:b/>
          <w:sz w:val="26"/>
          <w:szCs w:val="26"/>
        </w:rPr>
      </w:pPr>
      <w:bookmarkStart w:id="15" w:name="_Hlk3790707"/>
      <w:r w:rsidRPr="00D15EDB">
        <w:rPr>
          <w:rStyle w:val="normaltextrun"/>
          <w:rFonts w:ascii="Times New Roman" w:hAnsi="Times New Roman"/>
          <w:b/>
          <w:sz w:val="26"/>
          <w:szCs w:val="26"/>
        </w:rPr>
        <w:t xml:space="preserve">Izskatāmajā gadījumā ierobežojums tiks noteikts ar likumu. Saeima savā 2019.gada 10.janvāra lēmumā ir norādījusi tās uzdevuma mērķi - samazināt elektroenerģijas izmaksas visiem Latvijas elektroenerģijas patērētājiem. </w:t>
      </w:r>
    </w:p>
    <w:bookmarkEnd w:id="15"/>
    <w:p w:rsidR="006D029B" w:rsidRPr="00D15EDB" w:rsidRDefault="006D029B" w:rsidP="006D029B">
      <w:pPr>
        <w:spacing w:before="120" w:after="120" w:line="240" w:lineRule="auto"/>
        <w:jc w:val="both"/>
        <w:rPr>
          <w:rStyle w:val="normaltextrun"/>
          <w:rFonts w:ascii="Times New Roman" w:hAnsi="Times New Roman"/>
          <w:sz w:val="26"/>
          <w:szCs w:val="26"/>
        </w:rPr>
      </w:pPr>
      <w:r w:rsidRPr="00D15EDB">
        <w:rPr>
          <w:rStyle w:val="normaltextrun"/>
          <w:rFonts w:ascii="Times New Roman" w:hAnsi="Times New Roman"/>
          <w:sz w:val="26"/>
          <w:szCs w:val="26"/>
        </w:rPr>
        <w:t>Ņemot vērā minēto, grozījumi ir sagatavoti leģitīma mērķa sasniegšanai un mērķis ar tiem tiks sasniegts. Vienlaikus ir konstatējams, ka bez atbalsta saņemšanas staciju, kuras pārdod elektroenerģiju obligātā iepirkuma ietvaros pastāvēšana ir apdraudēta. Ņemot vērā minēto</w:t>
      </w:r>
      <w:r w:rsidRPr="00D15EDB">
        <w:rPr>
          <w:rStyle w:val="normaltextrun"/>
          <w:rFonts w:ascii="Times New Roman" w:hAnsi="Times New Roman"/>
          <w:b/>
          <w:sz w:val="26"/>
          <w:szCs w:val="26"/>
        </w:rPr>
        <w:t>, šāda instrumentu ieviešana var būt konfiscējoša rakstura un var būt pamatota īpašos izņēmuma gadījumos, piemēram, ja valstī ir iestājusies ekonomiskā krīze</w:t>
      </w:r>
      <w:r w:rsidRPr="00D15EDB">
        <w:rPr>
          <w:rStyle w:val="normaltextrun"/>
          <w:rFonts w:ascii="Times New Roman" w:hAnsi="Times New Roman"/>
          <w:sz w:val="26"/>
          <w:szCs w:val="26"/>
        </w:rPr>
        <w:t>.</w:t>
      </w:r>
      <w:r w:rsidRPr="00D15EDB">
        <w:rPr>
          <w:rStyle w:val="FootnoteReference"/>
          <w:rFonts w:ascii="Times New Roman" w:hAnsi="Times New Roman"/>
          <w:sz w:val="26"/>
          <w:szCs w:val="26"/>
        </w:rPr>
        <w:footnoteReference w:id="24"/>
      </w:r>
      <w:r w:rsidRPr="00D15EDB">
        <w:rPr>
          <w:rStyle w:val="normaltextrun"/>
          <w:rFonts w:ascii="Times New Roman" w:hAnsi="Times New Roman"/>
          <w:sz w:val="26"/>
          <w:szCs w:val="26"/>
        </w:rPr>
        <w:t xml:space="preserve">  </w:t>
      </w:r>
    </w:p>
    <w:p w:rsidR="006D029B" w:rsidRPr="00D15EDB" w:rsidRDefault="006D029B" w:rsidP="006D029B">
      <w:pPr>
        <w:pStyle w:val="ListParagraph"/>
        <w:spacing w:before="120" w:after="120" w:line="240" w:lineRule="auto"/>
        <w:ind w:left="0"/>
        <w:contextualSpacing w:val="0"/>
        <w:jc w:val="both"/>
        <w:rPr>
          <w:rStyle w:val="normaltextrun"/>
          <w:rFonts w:ascii="Times New Roman" w:hAnsi="Times New Roman"/>
          <w:sz w:val="26"/>
          <w:szCs w:val="26"/>
        </w:rPr>
      </w:pPr>
      <w:r w:rsidRPr="00D15EDB">
        <w:rPr>
          <w:rStyle w:val="normaltextrun"/>
          <w:rFonts w:ascii="Times New Roman" w:hAnsi="Times New Roman"/>
          <w:sz w:val="26"/>
          <w:szCs w:val="26"/>
        </w:rPr>
        <w:t>Saeima savā paziņojumā nav norādījusi pamatojumu šāda risinājuma piemērošanas nepieciešamību trīs mēnešu laikā, no tā pieņemšanas brīža. Tāpat arī no anotācijā norādītā ekonomiskā izvērtējuma nav konstatējams pamats šāda risinājuma piemērošanai. Turklāt Ekonomikas ministrijas informatīvajā ziņojumā “Par risinājumiem obligātā iepirkuma mehānisma atcelšanai un ilgtspējīgai atjaunojamās enerģijas ražošanai”</w:t>
      </w:r>
      <w:r w:rsidRPr="00D15EDB">
        <w:rPr>
          <w:rStyle w:val="FootnoteReference"/>
          <w:rFonts w:ascii="Times New Roman" w:hAnsi="Times New Roman"/>
          <w:sz w:val="26"/>
          <w:szCs w:val="26"/>
        </w:rPr>
        <w:footnoteReference w:id="25"/>
      </w:r>
      <w:r w:rsidRPr="00D15EDB">
        <w:rPr>
          <w:rStyle w:val="normaltextrun"/>
          <w:rFonts w:ascii="Times New Roman" w:hAnsi="Times New Roman"/>
          <w:sz w:val="26"/>
          <w:szCs w:val="26"/>
        </w:rPr>
        <w:t xml:space="preserve"> ir konstatēti citi iespējami risinājumi OIK ietekmes mazināšanai un pakāpeniskai atcelšanai.</w:t>
      </w:r>
    </w:p>
    <w:p w:rsidR="006D029B" w:rsidRPr="00D15EDB" w:rsidRDefault="006D029B" w:rsidP="006D029B">
      <w:pPr>
        <w:pStyle w:val="ListParagraph"/>
        <w:spacing w:before="120" w:after="120" w:line="240" w:lineRule="auto"/>
        <w:ind w:left="0"/>
        <w:contextualSpacing w:val="0"/>
        <w:jc w:val="both"/>
        <w:rPr>
          <w:rStyle w:val="normaltextrun"/>
          <w:rFonts w:ascii="Times New Roman" w:hAnsi="Times New Roman"/>
          <w:sz w:val="26"/>
          <w:szCs w:val="26"/>
        </w:rPr>
      </w:pPr>
      <w:r w:rsidRPr="00D15EDB">
        <w:rPr>
          <w:rStyle w:val="normaltextrun"/>
          <w:rFonts w:ascii="Times New Roman" w:hAnsi="Times New Roman"/>
          <w:b/>
          <w:sz w:val="26"/>
          <w:szCs w:val="26"/>
        </w:rPr>
        <w:t>Ņemot</w:t>
      </w:r>
      <w:r w:rsidRPr="00D15EDB">
        <w:rPr>
          <w:rStyle w:val="normaltextrun"/>
          <w:rFonts w:ascii="Times New Roman" w:hAnsi="Times New Roman"/>
          <w:sz w:val="26"/>
          <w:szCs w:val="26"/>
        </w:rPr>
        <w:t xml:space="preserve"> </w:t>
      </w:r>
      <w:r w:rsidRPr="00D15EDB">
        <w:rPr>
          <w:rStyle w:val="normaltextrun"/>
          <w:rFonts w:ascii="Times New Roman" w:hAnsi="Times New Roman"/>
          <w:b/>
          <w:sz w:val="26"/>
          <w:szCs w:val="26"/>
        </w:rPr>
        <w:t xml:space="preserve">vērā minēto, izvēlētais risinājums atbilstoši šobrīd pieejamajam ekonomiskajam </w:t>
      </w:r>
      <w:proofErr w:type="spellStart"/>
      <w:r w:rsidRPr="00D15EDB">
        <w:rPr>
          <w:rStyle w:val="normaltextrun"/>
          <w:rFonts w:ascii="Times New Roman" w:hAnsi="Times New Roman"/>
          <w:b/>
          <w:sz w:val="26"/>
          <w:szCs w:val="26"/>
        </w:rPr>
        <w:t>izvērtējumam</w:t>
      </w:r>
      <w:proofErr w:type="spellEnd"/>
      <w:r w:rsidRPr="00D15EDB">
        <w:rPr>
          <w:rStyle w:val="normaltextrun"/>
          <w:rFonts w:ascii="Times New Roman" w:hAnsi="Times New Roman"/>
          <w:b/>
          <w:sz w:val="26"/>
          <w:szCs w:val="26"/>
        </w:rPr>
        <w:t xml:space="preserve"> var nebūt samērīgs. Vienlaikus nav konstatējami citi līdzekļi, lai izpildītu Saeimas uzdevumu līdz 2019.gada 31.martam.</w:t>
      </w:r>
      <w:r w:rsidRPr="00D15EDB">
        <w:rPr>
          <w:rStyle w:val="normaltextrun"/>
          <w:rFonts w:ascii="Times New Roman" w:hAnsi="Times New Roman"/>
          <w:sz w:val="26"/>
          <w:szCs w:val="26"/>
        </w:rPr>
        <w:t xml:space="preserve"> </w:t>
      </w:r>
    </w:p>
    <w:p w:rsidR="006D029B" w:rsidRPr="00D15EDB" w:rsidRDefault="006D029B" w:rsidP="006D029B">
      <w:pPr>
        <w:pStyle w:val="ListParagraph"/>
        <w:spacing w:before="120" w:after="120" w:line="240" w:lineRule="auto"/>
        <w:ind w:left="0"/>
        <w:contextualSpacing w:val="0"/>
        <w:jc w:val="both"/>
        <w:rPr>
          <w:rStyle w:val="normaltextrun"/>
          <w:rFonts w:ascii="Times New Roman" w:hAnsi="Times New Roman"/>
          <w:b/>
          <w:i/>
          <w:sz w:val="26"/>
          <w:szCs w:val="26"/>
        </w:rPr>
      </w:pPr>
      <w:r w:rsidRPr="00D15EDB">
        <w:rPr>
          <w:rStyle w:val="normaltextrun"/>
          <w:rFonts w:ascii="Times New Roman" w:hAnsi="Times New Roman"/>
          <w:b/>
          <w:i/>
          <w:sz w:val="26"/>
          <w:szCs w:val="26"/>
        </w:rPr>
        <w:t>Investīciju aizsardzības līgumi</w:t>
      </w:r>
    </w:p>
    <w:p w:rsidR="006D029B" w:rsidRPr="00D15EDB" w:rsidRDefault="006D029B" w:rsidP="006D029B">
      <w:pPr>
        <w:spacing w:before="120" w:after="120" w:line="240" w:lineRule="auto"/>
        <w:jc w:val="both"/>
        <w:rPr>
          <w:rFonts w:ascii="Times New Roman" w:hAnsi="Times New Roman"/>
          <w:sz w:val="26"/>
          <w:szCs w:val="26"/>
        </w:rPr>
      </w:pPr>
      <w:r w:rsidRPr="00D15EDB">
        <w:rPr>
          <w:rStyle w:val="normaltextrun"/>
          <w:rFonts w:ascii="Times New Roman" w:hAnsi="Times New Roman"/>
          <w:sz w:val="26"/>
          <w:szCs w:val="26"/>
        </w:rPr>
        <w:t>Latvija ir noslēgusi vairāk nekā 40 divpusējos investīcij</w:t>
      </w:r>
      <w:r w:rsidR="0083643F" w:rsidRPr="00592E2D">
        <w:rPr>
          <w:rStyle w:val="normaltextrun"/>
          <w:rFonts w:ascii="Times New Roman" w:hAnsi="Times New Roman"/>
          <w:sz w:val="26"/>
          <w:szCs w:val="26"/>
        </w:rPr>
        <w:t>u aizsardzības līgumus (turpmāk </w:t>
      </w:r>
      <w:r w:rsidRPr="00D15EDB">
        <w:rPr>
          <w:rStyle w:val="normaltextrun"/>
          <w:rFonts w:ascii="Times New Roman" w:hAnsi="Times New Roman"/>
          <w:sz w:val="26"/>
          <w:szCs w:val="26"/>
        </w:rPr>
        <w:t>– IAL). Latvija ir arī Eiropas Enerģētikas hartas (turpmāk – Enerģētikas harta) dalībvalsts.</w:t>
      </w:r>
      <w:r w:rsidRPr="00D15EDB">
        <w:rPr>
          <w:rFonts w:ascii="Times New Roman" w:hAnsi="Times New Roman"/>
          <w:sz w:val="26"/>
          <w:szCs w:val="26"/>
        </w:rPr>
        <w:t xml:space="preserve"> </w:t>
      </w:r>
      <w:r w:rsidRPr="00D15EDB">
        <w:rPr>
          <w:rStyle w:val="normaltextrun"/>
          <w:rFonts w:ascii="Times New Roman" w:hAnsi="Times New Roman"/>
          <w:sz w:val="26"/>
          <w:szCs w:val="26"/>
        </w:rPr>
        <w:t xml:space="preserve">Gan IAL, gan Enerģētikas hartā cita starpā ir paredzēti nosacījumi par investīciju drošības un aizsardzības garantēšanu, nacionālā un vislielākās labvēlības režīma piešķiršanu, diskriminācijas novēršanu, zaudējumu atlīdzināšanu ekspropriācijas gadījumā, kā arī strīdu izšķiršanas mehānismu starp investoru un valsti. 2018.gada 6.martā Eiropas Savienības Tiesa pasludināja spriedumu lietā </w:t>
      </w:r>
      <w:r w:rsidRPr="00D15EDB">
        <w:rPr>
          <w:rFonts w:ascii="Times New Roman" w:hAnsi="Times New Roman"/>
          <w:sz w:val="26"/>
          <w:szCs w:val="26"/>
        </w:rPr>
        <w:t xml:space="preserve">C-284/16 (t.s. </w:t>
      </w:r>
      <w:proofErr w:type="spellStart"/>
      <w:r w:rsidRPr="00D15EDB">
        <w:rPr>
          <w:rFonts w:ascii="Times New Roman" w:hAnsi="Times New Roman"/>
          <w:i/>
          <w:sz w:val="26"/>
          <w:szCs w:val="26"/>
        </w:rPr>
        <w:t>Achmea</w:t>
      </w:r>
      <w:proofErr w:type="spellEnd"/>
      <w:r w:rsidRPr="00D15EDB">
        <w:rPr>
          <w:rFonts w:ascii="Times New Roman" w:hAnsi="Times New Roman"/>
          <w:sz w:val="26"/>
          <w:szCs w:val="26"/>
        </w:rPr>
        <w:t xml:space="preserve"> spriedums) par ieguldītāju un valsts strīdu izšķiršanas mehānismu (šķīrējtiesas klauzulu), kas iekļauti ES dalībvalstu savstarpējos IAL, atzīstot šo klauzulu par nesaderīgu ar LESD. Tas nozīmē, ka noslēgtie ES dalībvalstu savstarpējie IAL nav piemērojami. Saskaņā ar Eiropas Komisijas interpretāciju par </w:t>
      </w:r>
      <w:proofErr w:type="spellStart"/>
      <w:r w:rsidRPr="00D15EDB">
        <w:rPr>
          <w:rFonts w:ascii="Times New Roman" w:hAnsi="Times New Roman"/>
          <w:i/>
          <w:sz w:val="26"/>
          <w:szCs w:val="26"/>
        </w:rPr>
        <w:t>Achmea</w:t>
      </w:r>
      <w:proofErr w:type="spellEnd"/>
      <w:r w:rsidRPr="00D15EDB">
        <w:rPr>
          <w:rFonts w:ascii="Times New Roman" w:hAnsi="Times New Roman"/>
          <w:sz w:val="26"/>
          <w:szCs w:val="26"/>
        </w:rPr>
        <w:t xml:space="preserve"> spriedumu, tas </w:t>
      </w:r>
      <w:r w:rsidRPr="00D15EDB">
        <w:rPr>
          <w:rFonts w:ascii="Times New Roman" w:hAnsi="Times New Roman"/>
          <w:sz w:val="26"/>
          <w:szCs w:val="26"/>
        </w:rPr>
        <w:lastRenderedPageBreak/>
        <w:t xml:space="preserve">ietver sevī visus līgumus, kuros piedalās ES dalībvalstis un kuros ir paredzēta šķīrējtiesas klauzula, tātad arī Enerģētikas hartu. Tādēļ arī Enerģētikas hartā iekļautā šķīrējtiesas klauzula ES dalībvalstu starpā nav piemērojama. Šie secinājumi ir nostiprināti 2019.gada 15.janvārī parakstītajā Dalībvalstu valdību pārstāvju deklarācijā par Eiropas Savienības Tiesas </w:t>
      </w:r>
      <w:proofErr w:type="spellStart"/>
      <w:r w:rsidRPr="00D15EDB">
        <w:rPr>
          <w:rFonts w:ascii="Times New Roman" w:hAnsi="Times New Roman"/>
          <w:i/>
          <w:sz w:val="26"/>
          <w:szCs w:val="26"/>
        </w:rPr>
        <w:t>Achmea</w:t>
      </w:r>
      <w:proofErr w:type="spellEnd"/>
      <w:r w:rsidRPr="00D15EDB">
        <w:rPr>
          <w:rFonts w:ascii="Times New Roman" w:hAnsi="Times New Roman"/>
          <w:sz w:val="26"/>
          <w:szCs w:val="26"/>
        </w:rPr>
        <w:t xml:space="preserve"> sprieduma tiesiskajām sekām un ieguldījumu aizsardzību Eiropas Savienībā. Tas neattiecas uz Latvijas IAL ar trešajām valstīm.</w:t>
      </w:r>
    </w:p>
    <w:p w:rsidR="006D029B" w:rsidRPr="00D15EDB" w:rsidRDefault="006D029B" w:rsidP="006D029B">
      <w:pPr>
        <w:spacing w:before="120" w:after="120" w:line="240" w:lineRule="auto"/>
        <w:jc w:val="both"/>
        <w:rPr>
          <w:rStyle w:val="normaltextrun"/>
          <w:rFonts w:ascii="Times New Roman" w:hAnsi="Times New Roman"/>
          <w:sz w:val="26"/>
          <w:szCs w:val="26"/>
        </w:rPr>
      </w:pPr>
      <w:r w:rsidRPr="00D15EDB">
        <w:rPr>
          <w:rStyle w:val="normaltextrun"/>
          <w:rFonts w:ascii="Times New Roman" w:hAnsi="Times New Roman"/>
          <w:sz w:val="26"/>
          <w:szCs w:val="26"/>
        </w:rPr>
        <w:t>Saskaņā ar ES tiesu praksi “</w:t>
      </w:r>
      <w:proofErr w:type="spellStart"/>
      <w:r w:rsidRPr="00D15EDB">
        <w:rPr>
          <w:rStyle w:val="normaltextrun"/>
          <w:rFonts w:ascii="Times New Roman" w:hAnsi="Times New Roman"/>
          <w:sz w:val="26"/>
          <w:szCs w:val="26"/>
        </w:rPr>
        <w:t>Achmea</w:t>
      </w:r>
      <w:proofErr w:type="spellEnd"/>
      <w:r w:rsidRPr="00D15EDB">
        <w:rPr>
          <w:rStyle w:val="normaltextrun"/>
          <w:rFonts w:ascii="Times New Roman" w:hAnsi="Times New Roman"/>
          <w:sz w:val="26"/>
          <w:szCs w:val="26"/>
        </w:rPr>
        <w:t xml:space="preserve"> BV” lietā ES Tiesa uzskata, ka šādi līgumi starp dalībvalstīm ir nelikumīgi, jo tie pārklājas ar ES vienotā tirgus noteikumiem un diskriminē ES ieguldītājus. Tāpēc arī ieguldītāju un valstu tiesvedība šķīrējtiesā saskaņā ar šādiem līgumiem ir nelikumīga. Ņemot vērā minēto, </w:t>
      </w:r>
      <w:r w:rsidRPr="00D15EDB">
        <w:rPr>
          <w:rStyle w:val="normaltextrun"/>
          <w:rFonts w:ascii="Times New Roman" w:hAnsi="Times New Roman"/>
          <w:b/>
          <w:sz w:val="26"/>
          <w:szCs w:val="26"/>
        </w:rPr>
        <w:t>strīdos ar investoriem no ES dalībvalstīm būtu piemērojams ES vienotā tirgus regulējums un strīdi būtu risināmi tiesās vispārējā kārtībā</w:t>
      </w:r>
      <w:r w:rsidRPr="00D15EDB">
        <w:rPr>
          <w:rStyle w:val="normaltextrun"/>
          <w:rFonts w:ascii="Times New Roman" w:hAnsi="Times New Roman"/>
          <w:sz w:val="26"/>
          <w:szCs w:val="26"/>
        </w:rPr>
        <w:t>. Taču “</w:t>
      </w:r>
      <w:proofErr w:type="spellStart"/>
      <w:r w:rsidRPr="00D15EDB">
        <w:rPr>
          <w:rStyle w:val="normaltextrun"/>
          <w:rFonts w:ascii="Times New Roman" w:hAnsi="Times New Roman"/>
          <w:sz w:val="26"/>
          <w:szCs w:val="26"/>
        </w:rPr>
        <w:t>Achmea</w:t>
      </w:r>
      <w:proofErr w:type="spellEnd"/>
      <w:r w:rsidRPr="00D15EDB">
        <w:rPr>
          <w:rStyle w:val="normaltextrun"/>
          <w:rFonts w:ascii="Times New Roman" w:hAnsi="Times New Roman"/>
          <w:sz w:val="26"/>
          <w:szCs w:val="26"/>
        </w:rPr>
        <w:t xml:space="preserve"> BV” lieta neskar divpusējos līgumus ar trešajām valstīm.</w:t>
      </w:r>
    </w:p>
    <w:p w:rsidR="006D029B" w:rsidRPr="00D15EDB" w:rsidRDefault="006D029B" w:rsidP="006D029B">
      <w:pPr>
        <w:spacing w:before="120" w:after="120" w:line="240" w:lineRule="auto"/>
        <w:jc w:val="both"/>
        <w:rPr>
          <w:rStyle w:val="normaltextrun"/>
          <w:rFonts w:ascii="Times New Roman" w:hAnsi="Times New Roman"/>
          <w:sz w:val="26"/>
          <w:szCs w:val="26"/>
        </w:rPr>
      </w:pPr>
      <w:r w:rsidRPr="00D15EDB">
        <w:rPr>
          <w:rStyle w:val="normaltextrun"/>
          <w:rFonts w:ascii="Times New Roman" w:hAnsi="Times New Roman"/>
          <w:sz w:val="26"/>
          <w:szCs w:val="26"/>
        </w:rPr>
        <w:t xml:space="preserve">Tradicionāli IAL tiek ietverts ekspropriācijas aizliegums, pienākums izturēties pret ieguldījumu taisnīgi un vienlīdzīgi, pienākums nodrošināt pilnīgu aizsardzību. IAL bieži tiek ietverts arī vislabvēlīgākās valsts standarts, kas ietver apņemšanos izturēties pret konkrētās valsts investoriem tikpat labi, kā </w:t>
      </w:r>
      <w:proofErr w:type="spellStart"/>
      <w:r w:rsidRPr="00D15EDB">
        <w:rPr>
          <w:rStyle w:val="normaltextrun"/>
          <w:rFonts w:ascii="Times New Roman" w:hAnsi="Times New Roman"/>
          <w:sz w:val="26"/>
          <w:szCs w:val="26"/>
        </w:rPr>
        <w:t>līgumslēdzējvalsts</w:t>
      </w:r>
      <w:proofErr w:type="spellEnd"/>
      <w:r w:rsidRPr="00D15EDB">
        <w:rPr>
          <w:rStyle w:val="normaltextrun"/>
          <w:rFonts w:ascii="Times New Roman" w:hAnsi="Times New Roman"/>
          <w:sz w:val="26"/>
          <w:szCs w:val="26"/>
        </w:rPr>
        <w:t xml:space="preserve"> izturēsies pret investoriem no tās valsts, ar kuru būs noslēgts vislabvēlīgākais IAL. Šo IAL ietverto pienākumu definīcijas ir ļoti plašas, tādējādi noteiktās situācijās pastāv iespēja, ka ar paredzēto tiesisko regulējumu var tikt skartas ar IAL aizsargātās tiesības. Šo risku var novērst vai samazināt, ja ar paredzēto tiesisko regulējumu noteiktie aizliegumi tiek noteikti bez diskriminācijas, ir caurskatāmi, paredzami, samērīgi un par tiem ir noteikta kompetento valsts iestāžu atbildība. Visaugstākais risks būtu situācijas, kurās investoram tiek liegta iespēja turpināt jau uzsākto komercdarbību kā tādu (piemēram, tiek atņemta licence), nevis ierobežoti tikai atsevišķi komercdarbības aspekti (piemēram, liegts pārvadāt konkrētu kravu).</w:t>
      </w:r>
    </w:p>
    <w:p w:rsidR="006D029B" w:rsidRPr="00D15EDB" w:rsidRDefault="006D029B" w:rsidP="006D029B">
      <w:pPr>
        <w:spacing w:before="120" w:after="120" w:line="240" w:lineRule="auto"/>
        <w:jc w:val="both"/>
        <w:rPr>
          <w:rStyle w:val="normaltextrun"/>
          <w:rFonts w:ascii="Times New Roman" w:hAnsi="Times New Roman"/>
          <w:sz w:val="26"/>
          <w:szCs w:val="26"/>
        </w:rPr>
      </w:pPr>
      <w:r w:rsidRPr="00D15EDB">
        <w:rPr>
          <w:rStyle w:val="normaltextrun"/>
          <w:rFonts w:ascii="Times New Roman" w:hAnsi="Times New Roman"/>
          <w:sz w:val="26"/>
          <w:szCs w:val="26"/>
        </w:rPr>
        <w:t>Turklāt IAL piemērošanas prakse rāda, ka investīciju aizsardzības režīms negarantē tiesisko noteikumu nemainīgumu un investori nevar paļauties uz to, ka tiesiskais regulējums valstī vienmēr būt tāds, kāds tas bija ieguldījuma izdarīšanas brīdī. Ne amatpersonu izteikumi (ja vien tie nav bijuši tiesiski un skaidri, un tieši uz kuriem investors paļāvās un varēja saprātīgi paļauties, izlemjot veikt konkrēto ieguldījumu), ne izmaiņas tiesiskajā regulējumā, kāds pastāvēja ieguldījuma izdarīšanas brīdī, nedod investoram tiesības prasīt no IAL izrietošu aizsardzību. Turklāt jebkurš agrāk pieņemts tiesiskais regulējums un amatpersonu izteikumi jāvērtē kontekstā ar konkrētās valsts nostāju gan aizsardzības jomā, gan ārpolitikā, tādēļ ņemot vērā gan OECD ieteikumus, gan daudzu citu Eiropas valstu praksi,  investoriem jau vairākus gadus nav bijis pamata paļauties, ka paredzētais tiesiskais regulējums netiks ieviests, jo dažāda rakstura ierobežojumi tiek ieviesti gan Eiropā, gan citās pasaules valstīs.</w:t>
      </w:r>
    </w:p>
    <w:p w:rsidR="006D029B" w:rsidRPr="00D15EDB" w:rsidRDefault="006D029B" w:rsidP="006D029B">
      <w:pPr>
        <w:spacing w:before="120" w:after="120" w:line="240" w:lineRule="auto"/>
        <w:jc w:val="both"/>
        <w:rPr>
          <w:rStyle w:val="normaltextrun"/>
          <w:rFonts w:ascii="Times New Roman" w:hAnsi="Times New Roman"/>
          <w:sz w:val="26"/>
          <w:szCs w:val="26"/>
        </w:rPr>
      </w:pPr>
      <w:r w:rsidRPr="00D15EDB">
        <w:rPr>
          <w:rStyle w:val="normaltextrun"/>
          <w:rFonts w:ascii="Times New Roman" w:hAnsi="Times New Roman"/>
          <w:sz w:val="26"/>
          <w:szCs w:val="26"/>
        </w:rPr>
        <w:t>Ja tiesiskā regulējuma rezultātā tiktu skartas ar IAL aizsargātās tiesības, investoram būtu tiesības vērsties starptautiskajā investīciju šķīrējtiesā, lūdzot piedzīt no Latvijas Republikas kompensāciju par pieļauto aizskārumu. Šādā gadījumā investoram būt jāpierāda konkrētu IAL noteikto tiesību aizskārums, kā arī jāpamato prasītās kompensācijas apmērs.</w:t>
      </w:r>
    </w:p>
    <w:p w:rsidR="006D029B" w:rsidRPr="00D15EDB" w:rsidRDefault="006D029B" w:rsidP="006D029B">
      <w:pPr>
        <w:spacing w:before="120" w:after="120" w:line="240" w:lineRule="auto"/>
        <w:jc w:val="both"/>
        <w:rPr>
          <w:rStyle w:val="normaltextrun"/>
          <w:rFonts w:ascii="Times New Roman" w:hAnsi="Times New Roman"/>
          <w:sz w:val="26"/>
          <w:szCs w:val="26"/>
        </w:rPr>
      </w:pPr>
      <w:r w:rsidRPr="00D15EDB">
        <w:rPr>
          <w:rStyle w:val="normaltextrun"/>
          <w:rFonts w:ascii="Times New Roman" w:hAnsi="Times New Roman"/>
          <w:sz w:val="26"/>
          <w:szCs w:val="26"/>
        </w:rPr>
        <w:t>Vienlaikus ņemot vērā, ka tiesvedības izmaksas starptautiskā investīciju strīda gadījumā var būt salīdzinoši augstas, kā arī tiek aizsargātas tika trešo valstu investīcijas, tad nav prognozējams liels šādu tiesisko strīdu skaits.</w:t>
      </w:r>
    </w:p>
    <w:p w:rsidR="006D029B" w:rsidRPr="00D15EDB" w:rsidRDefault="006D029B" w:rsidP="006D029B">
      <w:pPr>
        <w:spacing w:before="120" w:after="120" w:line="240" w:lineRule="auto"/>
        <w:jc w:val="both"/>
        <w:rPr>
          <w:rStyle w:val="normaltextrun"/>
          <w:rFonts w:ascii="Times New Roman" w:hAnsi="Times New Roman"/>
          <w:sz w:val="26"/>
          <w:szCs w:val="26"/>
        </w:rPr>
      </w:pPr>
      <w:r w:rsidRPr="00D15EDB">
        <w:rPr>
          <w:rStyle w:val="normaltextrun"/>
          <w:rFonts w:ascii="Times New Roman" w:hAnsi="Times New Roman"/>
          <w:sz w:val="26"/>
          <w:szCs w:val="26"/>
        </w:rPr>
        <w:lastRenderedPageBreak/>
        <w:t xml:space="preserve">Lietā </w:t>
      </w:r>
      <w:proofErr w:type="spellStart"/>
      <w:r w:rsidRPr="00D15EDB">
        <w:rPr>
          <w:rStyle w:val="normaltextrun"/>
          <w:rFonts w:ascii="Times New Roman" w:hAnsi="Times New Roman"/>
          <w:sz w:val="26"/>
          <w:szCs w:val="26"/>
        </w:rPr>
        <w:t>Nykomb</w:t>
      </w:r>
      <w:proofErr w:type="spellEnd"/>
      <w:r w:rsidRPr="00D15EDB">
        <w:rPr>
          <w:rStyle w:val="normaltextrun"/>
          <w:rFonts w:ascii="Times New Roman" w:hAnsi="Times New Roman"/>
          <w:sz w:val="26"/>
          <w:szCs w:val="26"/>
        </w:rPr>
        <w:t xml:space="preserve"> v Latvija, tiesa izskatīja prasību par netiešo ekspropriāciju. Minētajā gadījumā investors noslēdza līgumu ar enerģijas tirgotāju, lai ražotu elektroenerģiju koģenerācijā. Līguma slēgšanas brīdī atbilstoši normatīvajiem aktiem investoram pienācās dubultais tarifs uz astoņiem gadiem. Pirms koģenerācijas stacija uzsāka savu darbību, tika mainīti tarifi uz ievērojami zemākiem. Investors norādīja netiešo ekspropriāciju. Savukārt tiesa konstatēja, ka investīciju vērtības samazinājums pats par sevi nav uzskatāma par ekspropriāciju.  </w:t>
      </w:r>
    </w:p>
    <w:p w:rsidR="006D029B" w:rsidRPr="00D15EDB" w:rsidRDefault="006D029B" w:rsidP="006D029B">
      <w:pPr>
        <w:spacing w:before="120" w:after="120" w:line="240" w:lineRule="auto"/>
        <w:jc w:val="both"/>
        <w:rPr>
          <w:rStyle w:val="normaltextrun"/>
          <w:rFonts w:ascii="Times New Roman" w:hAnsi="Times New Roman"/>
          <w:sz w:val="26"/>
          <w:szCs w:val="26"/>
        </w:rPr>
      </w:pPr>
      <w:r w:rsidRPr="00D15EDB">
        <w:rPr>
          <w:rStyle w:val="normaltextrun"/>
          <w:rFonts w:ascii="Times New Roman" w:hAnsi="Times New Roman"/>
          <w:sz w:val="26"/>
          <w:szCs w:val="26"/>
        </w:rPr>
        <w:t>Tomēr jāņem vērā, ka starptautisko ieguldījumu strīdu gadījumā nav vienotas judikatūras. Līdz ar to tiesu prakse katrā gadījumā var atšķirties. Vienlaikus atbilstoši praksei investīciju strīdu gadījumā par īpašumtiesībām var tikt uzskatīta ne tikai pats īpašums, bet arī peļņa. Tomēr var ierobežot investora tiesiskās intereses, pamatojot ierobežojumu ar sabiedrības interesēm. Minētajā gadījumā valstij ir jāsabalansē sabiedrības intereses ar investora interesēm. Tādējādi jo būtiskākas sabiedrības intereses tiek skartas jo būtiskāki ierobežojumi var tikt ieviesti, paredzot saprātīgus kompensācijas mehānismus.</w:t>
      </w:r>
    </w:p>
    <w:p w:rsidR="006D029B" w:rsidRPr="00D15EDB" w:rsidRDefault="006D029B" w:rsidP="006D029B">
      <w:pPr>
        <w:spacing w:before="120" w:after="120" w:line="240" w:lineRule="auto"/>
        <w:jc w:val="both"/>
        <w:rPr>
          <w:rStyle w:val="normaltextrun"/>
          <w:rFonts w:ascii="Times New Roman" w:hAnsi="Times New Roman"/>
          <w:sz w:val="26"/>
          <w:szCs w:val="26"/>
        </w:rPr>
      </w:pPr>
      <w:r w:rsidRPr="00D15EDB">
        <w:rPr>
          <w:rStyle w:val="normaltextrun"/>
          <w:rFonts w:ascii="Times New Roman" w:hAnsi="Times New Roman"/>
          <w:sz w:val="26"/>
          <w:szCs w:val="26"/>
        </w:rPr>
        <w:t xml:space="preserve">Izskatāmajā gadījumā atbalsta atcelšana ir pielīdzināma ekspropriācijai, līdz ar to šāds īpašumtiesību ierobežojums varētu būt samērīgs tikai izņēmuma gadījumos. </w:t>
      </w:r>
    </w:p>
    <w:p w:rsidR="006D029B" w:rsidRPr="00D15EDB" w:rsidRDefault="006D029B" w:rsidP="006D029B">
      <w:pPr>
        <w:spacing w:before="120" w:after="120" w:line="240" w:lineRule="auto"/>
        <w:jc w:val="both"/>
        <w:rPr>
          <w:rStyle w:val="normaltextrun"/>
          <w:rFonts w:ascii="Times New Roman" w:hAnsi="Times New Roman"/>
          <w:sz w:val="26"/>
          <w:szCs w:val="26"/>
        </w:rPr>
      </w:pPr>
      <w:r w:rsidRPr="00D15EDB">
        <w:rPr>
          <w:rStyle w:val="normaltextrun"/>
          <w:rFonts w:ascii="Times New Roman" w:hAnsi="Times New Roman"/>
          <w:sz w:val="26"/>
          <w:szCs w:val="26"/>
        </w:rPr>
        <w:t xml:space="preserve">Kā piemēru valstij, kas atbalsta atcelšanas gadījumā </w:t>
      </w:r>
      <w:proofErr w:type="spellStart"/>
      <w:r w:rsidRPr="00D15EDB">
        <w:rPr>
          <w:rStyle w:val="normaltextrun"/>
          <w:rFonts w:ascii="Times New Roman" w:hAnsi="Times New Roman"/>
          <w:sz w:val="26"/>
          <w:szCs w:val="26"/>
        </w:rPr>
        <w:t>saskārusies</w:t>
      </w:r>
      <w:proofErr w:type="spellEnd"/>
      <w:r w:rsidRPr="00D15EDB">
        <w:rPr>
          <w:rStyle w:val="normaltextrun"/>
          <w:rFonts w:ascii="Times New Roman" w:hAnsi="Times New Roman"/>
          <w:sz w:val="26"/>
          <w:szCs w:val="26"/>
        </w:rPr>
        <w:t xml:space="preserve"> ar tiesvedībām jāmin Spānija, kas pēc būtiskām izmaiņām atbalsta programmā ir bijusi iesaistīta vairākās tiesvedībās un vairākos gadījumos tiesa ir pieņēmusi lēmumu par labu investoriem.</w:t>
      </w:r>
      <w:r w:rsidRPr="00D15EDB">
        <w:rPr>
          <w:rFonts w:ascii="Times New Roman" w:hAnsi="Times New Roman"/>
          <w:sz w:val="26"/>
          <w:szCs w:val="26"/>
        </w:rPr>
        <w:t xml:space="preserve"> </w:t>
      </w:r>
      <w:r w:rsidRPr="00D15EDB">
        <w:rPr>
          <w:rStyle w:val="FootnoteReference"/>
          <w:rFonts w:ascii="Times New Roman" w:hAnsi="Times New Roman"/>
          <w:sz w:val="26"/>
          <w:szCs w:val="26"/>
        </w:rPr>
        <w:footnoteReference w:id="26"/>
      </w:r>
      <w:r w:rsidRPr="00D15EDB">
        <w:rPr>
          <w:rFonts w:ascii="Times New Roman" w:hAnsi="Times New Roman"/>
          <w:sz w:val="26"/>
          <w:szCs w:val="26"/>
        </w:rPr>
        <w:t xml:space="preserve"> </w:t>
      </w:r>
      <w:r w:rsidRPr="00D15EDB">
        <w:rPr>
          <w:rStyle w:val="FootnoteReference"/>
          <w:rFonts w:ascii="Times New Roman" w:hAnsi="Times New Roman"/>
          <w:sz w:val="26"/>
          <w:szCs w:val="26"/>
        </w:rPr>
        <w:footnoteReference w:id="27"/>
      </w:r>
      <w:r w:rsidRPr="00D15EDB">
        <w:rPr>
          <w:rFonts w:ascii="Times New Roman" w:hAnsi="Times New Roman"/>
          <w:sz w:val="26"/>
          <w:szCs w:val="26"/>
        </w:rPr>
        <w:t xml:space="preserve"> </w:t>
      </w:r>
      <w:r w:rsidRPr="00D15EDB">
        <w:rPr>
          <w:rStyle w:val="FootnoteReference"/>
          <w:rFonts w:ascii="Times New Roman" w:hAnsi="Times New Roman"/>
          <w:sz w:val="26"/>
          <w:szCs w:val="26"/>
        </w:rPr>
        <w:footnoteReference w:id="28"/>
      </w:r>
      <w:r w:rsidRPr="00D15EDB">
        <w:rPr>
          <w:rFonts w:ascii="Times New Roman" w:hAnsi="Times New Roman"/>
          <w:sz w:val="26"/>
          <w:szCs w:val="26"/>
        </w:rPr>
        <w:t xml:space="preserve"> </w:t>
      </w:r>
      <w:r w:rsidRPr="00D15EDB">
        <w:rPr>
          <w:rStyle w:val="FootnoteReference"/>
          <w:rFonts w:ascii="Times New Roman" w:hAnsi="Times New Roman"/>
          <w:sz w:val="26"/>
          <w:szCs w:val="26"/>
        </w:rPr>
        <w:footnoteReference w:id="29"/>
      </w:r>
    </w:p>
    <w:p w:rsidR="006D029B" w:rsidRPr="00D15EDB" w:rsidRDefault="006D029B" w:rsidP="006D029B">
      <w:pPr>
        <w:spacing w:before="120" w:after="120" w:line="240" w:lineRule="auto"/>
        <w:jc w:val="both"/>
        <w:rPr>
          <w:rStyle w:val="normaltextrun"/>
          <w:rFonts w:ascii="Times New Roman" w:hAnsi="Times New Roman"/>
          <w:b/>
          <w:sz w:val="26"/>
          <w:szCs w:val="26"/>
        </w:rPr>
      </w:pPr>
      <w:r w:rsidRPr="00D15EDB">
        <w:rPr>
          <w:rFonts w:ascii="Times New Roman" w:hAnsi="Times New Roman"/>
          <w:b/>
          <w:sz w:val="26"/>
          <w:szCs w:val="26"/>
        </w:rPr>
        <w:t>Ņemot vērā minēto, saistībā ar valsts atbalstu ir paredzami tiesvedības riski saistībā ar investīciju aizsardzību, kā arī Satversmes tiesā. Minētos tiesvedības riskus var ievērojami samazināt paredzot kompensācijas mehānismus, ilgāku pārejas periodu vai konstatējot tādus būtiskus apstākļus, kas ir par pamatu šādu risinājumu ieviešanai.</w:t>
      </w:r>
    </w:p>
    <w:p w:rsidR="006D029B" w:rsidRPr="00D15EDB" w:rsidRDefault="006D029B" w:rsidP="00D15EDB">
      <w:pPr>
        <w:spacing w:before="240" w:after="120" w:line="240" w:lineRule="auto"/>
        <w:jc w:val="both"/>
        <w:rPr>
          <w:rFonts w:ascii="Times New Roman" w:eastAsia="Times New Roman" w:hAnsi="Times New Roman"/>
          <w:b/>
          <w:i/>
          <w:iCs/>
          <w:sz w:val="26"/>
          <w:szCs w:val="26"/>
          <w:u w:val="single"/>
          <w:lang w:eastAsia="lv-LV"/>
        </w:rPr>
      </w:pPr>
      <w:r w:rsidRPr="00D15EDB">
        <w:rPr>
          <w:rFonts w:ascii="Times New Roman" w:eastAsia="Times New Roman" w:hAnsi="Times New Roman"/>
          <w:b/>
          <w:i/>
          <w:iCs/>
          <w:sz w:val="26"/>
          <w:szCs w:val="26"/>
          <w:u w:val="single"/>
          <w:lang w:eastAsia="lv-LV"/>
        </w:rPr>
        <w:t>3</w:t>
      </w:r>
      <w:r w:rsidR="0040574F" w:rsidRPr="00592E2D">
        <w:rPr>
          <w:rFonts w:ascii="Times New Roman" w:eastAsia="Times New Roman" w:hAnsi="Times New Roman"/>
          <w:b/>
          <w:i/>
          <w:iCs/>
          <w:sz w:val="26"/>
          <w:szCs w:val="26"/>
          <w:u w:val="single"/>
          <w:lang w:eastAsia="lv-LV"/>
        </w:rPr>
        <w:t>)</w:t>
      </w:r>
      <w:r w:rsidRPr="00D15EDB">
        <w:rPr>
          <w:rFonts w:ascii="Times New Roman" w:eastAsia="Times New Roman" w:hAnsi="Times New Roman"/>
          <w:b/>
          <w:i/>
          <w:iCs/>
          <w:sz w:val="26"/>
          <w:szCs w:val="26"/>
          <w:u w:val="single"/>
          <w:lang w:eastAsia="lv-LV"/>
        </w:rPr>
        <w:t xml:space="preserve"> Ietekme uz valsti</w:t>
      </w:r>
    </w:p>
    <w:p w:rsidR="006D029B" w:rsidRPr="00D15EDB" w:rsidRDefault="006D029B" w:rsidP="006D029B">
      <w:pPr>
        <w:spacing w:before="120" w:after="120" w:line="240" w:lineRule="auto"/>
        <w:jc w:val="both"/>
        <w:rPr>
          <w:rFonts w:ascii="Times New Roman" w:eastAsia="Times New Roman" w:hAnsi="Times New Roman"/>
          <w:iCs/>
          <w:sz w:val="26"/>
          <w:szCs w:val="26"/>
          <w:u w:val="single"/>
          <w:lang w:eastAsia="lv-LV"/>
        </w:rPr>
      </w:pPr>
      <w:r w:rsidRPr="00D15EDB">
        <w:rPr>
          <w:rFonts w:ascii="Times New Roman" w:eastAsia="Times New Roman" w:hAnsi="Times New Roman"/>
          <w:iCs/>
          <w:sz w:val="26"/>
          <w:szCs w:val="26"/>
          <w:u w:val="single"/>
          <w:lang w:eastAsia="lv-LV"/>
        </w:rPr>
        <w:t>Tiesvedības</w:t>
      </w:r>
    </w:p>
    <w:p w:rsidR="006D029B" w:rsidRPr="00D15EDB" w:rsidRDefault="006D029B" w:rsidP="006D029B">
      <w:pPr>
        <w:spacing w:before="120" w:after="120" w:line="240" w:lineRule="auto"/>
        <w:jc w:val="both"/>
        <w:rPr>
          <w:rFonts w:ascii="Times New Roman" w:eastAsia="Times New Roman" w:hAnsi="Times New Roman"/>
          <w:iCs/>
          <w:sz w:val="26"/>
          <w:szCs w:val="26"/>
          <w:lang w:eastAsia="lv-LV"/>
        </w:rPr>
      </w:pPr>
      <w:r w:rsidRPr="00D15EDB">
        <w:rPr>
          <w:rFonts w:ascii="Times New Roman" w:eastAsia="Times New Roman" w:hAnsi="Times New Roman"/>
          <w:iCs/>
          <w:sz w:val="26"/>
          <w:szCs w:val="26"/>
          <w:lang w:eastAsia="lv-LV"/>
        </w:rPr>
        <w:t xml:space="preserve">Komersantiem izvēloties uzsākt tiesvedības pret Latvijas valsti par Likumprojektā ietvertā risinājuma īstenošanu, valsts pārvaldei būs jānodrošina juridiskā aizstāvība, kas prasīs papildu speciālistu iesaisti un radīs papildu izmaksas. </w:t>
      </w:r>
    </w:p>
    <w:p w:rsidR="006D029B" w:rsidRPr="00D15EDB" w:rsidRDefault="006D029B" w:rsidP="006D029B">
      <w:pPr>
        <w:spacing w:before="120" w:after="120" w:line="240" w:lineRule="auto"/>
        <w:jc w:val="both"/>
        <w:rPr>
          <w:rFonts w:ascii="Times New Roman" w:eastAsia="Times New Roman" w:hAnsi="Times New Roman"/>
          <w:iCs/>
          <w:sz w:val="26"/>
          <w:szCs w:val="26"/>
          <w:lang w:eastAsia="lv-LV"/>
        </w:rPr>
      </w:pPr>
      <w:r w:rsidRPr="00D15EDB">
        <w:rPr>
          <w:rFonts w:ascii="Times New Roman" w:eastAsia="Times New Roman" w:hAnsi="Times New Roman"/>
          <w:iCs/>
          <w:sz w:val="26"/>
          <w:szCs w:val="26"/>
          <w:lang w:eastAsia="lv-LV"/>
        </w:rPr>
        <w:t>Tāpat Likumprojektā ietvertais risinājums vērtējams ar augstu risku šajās tiesvedībās zaudēt, tādējādi radot papildu zaudējumus valsts budžetā turpmākajos gados, kas var būt vērtējams atlikušo valsts saistību (plānotais atbalsta apjoms līdz brīdim, kamēr komersantiem ir spēkā OI tiesības)  apmērā pret OI saņēmējiem</w:t>
      </w:r>
      <w:r w:rsidRPr="00D15EDB">
        <w:rPr>
          <w:rStyle w:val="FootnoteReference"/>
          <w:rFonts w:ascii="Times New Roman" w:eastAsia="Times New Roman" w:hAnsi="Times New Roman"/>
          <w:iCs/>
          <w:sz w:val="26"/>
          <w:szCs w:val="26"/>
          <w:lang w:eastAsia="lv-LV"/>
        </w:rPr>
        <w:footnoteReference w:id="30"/>
      </w:r>
      <w:r w:rsidRPr="00D15EDB">
        <w:rPr>
          <w:rFonts w:ascii="Times New Roman" w:eastAsia="Times New Roman" w:hAnsi="Times New Roman"/>
          <w:iCs/>
          <w:sz w:val="26"/>
          <w:szCs w:val="26"/>
          <w:lang w:eastAsia="lv-LV"/>
        </w:rPr>
        <w:t xml:space="preserve"> un sasniegt 1 miljardu </w:t>
      </w:r>
      <w:r w:rsidRPr="00D15EDB">
        <w:rPr>
          <w:rFonts w:ascii="Times New Roman" w:eastAsia="Times New Roman" w:hAnsi="Times New Roman"/>
          <w:i/>
          <w:iCs/>
          <w:sz w:val="26"/>
          <w:szCs w:val="26"/>
          <w:lang w:eastAsia="lv-LV"/>
        </w:rPr>
        <w:t>euro</w:t>
      </w:r>
      <w:r w:rsidRPr="00D15EDB">
        <w:rPr>
          <w:rFonts w:ascii="Times New Roman" w:eastAsia="Times New Roman" w:hAnsi="Times New Roman"/>
          <w:iCs/>
          <w:sz w:val="26"/>
          <w:szCs w:val="26"/>
          <w:lang w:eastAsia="lv-LV"/>
        </w:rPr>
        <w:t>.</w:t>
      </w:r>
    </w:p>
    <w:p w:rsidR="006D029B" w:rsidRPr="00D15EDB" w:rsidRDefault="006D029B" w:rsidP="00D15EDB">
      <w:pPr>
        <w:spacing w:before="240" w:after="120" w:line="240" w:lineRule="auto"/>
        <w:jc w:val="both"/>
        <w:rPr>
          <w:rFonts w:ascii="Times New Roman" w:eastAsia="Times New Roman" w:hAnsi="Times New Roman"/>
          <w:iCs/>
          <w:sz w:val="26"/>
          <w:szCs w:val="26"/>
          <w:u w:val="single"/>
          <w:lang w:eastAsia="lv-LV"/>
        </w:rPr>
      </w:pPr>
      <w:r w:rsidRPr="00D15EDB">
        <w:rPr>
          <w:rFonts w:ascii="Times New Roman" w:eastAsia="Times New Roman" w:hAnsi="Times New Roman"/>
          <w:iCs/>
          <w:sz w:val="26"/>
          <w:szCs w:val="26"/>
          <w:u w:val="single"/>
          <w:lang w:eastAsia="lv-LV"/>
        </w:rPr>
        <w:t>Jaudu nodrošinājums</w:t>
      </w:r>
    </w:p>
    <w:p w:rsidR="006D029B" w:rsidRPr="00D15EDB" w:rsidRDefault="006D029B" w:rsidP="006D029B">
      <w:pPr>
        <w:spacing w:before="120" w:after="120" w:line="240" w:lineRule="auto"/>
        <w:jc w:val="both"/>
        <w:rPr>
          <w:rFonts w:ascii="Times New Roman" w:hAnsi="Times New Roman"/>
          <w:sz w:val="26"/>
          <w:szCs w:val="26"/>
        </w:rPr>
      </w:pPr>
      <w:r w:rsidRPr="00D15EDB">
        <w:rPr>
          <w:rFonts w:ascii="Times New Roman" w:hAnsi="Times New Roman"/>
          <w:sz w:val="26"/>
          <w:szCs w:val="26"/>
        </w:rPr>
        <w:t xml:space="preserve">AST vērtējumā minēto elektrostaciju (turpmāk, subsidētās elektrostacijas) </w:t>
      </w:r>
      <w:r w:rsidRPr="00D15EDB">
        <w:rPr>
          <w:rFonts w:ascii="Times New Roman" w:hAnsi="Times New Roman"/>
          <w:b/>
          <w:sz w:val="26"/>
          <w:szCs w:val="26"/>
        </w:rPr>
        <w:t xml:space="preserve">kopējā jauda un saražotās elektroenerģijas daudzums ir nozīmīgs Latvijas </w:t>
      </w:r>
      <w:r w:rsidRPr="00D15EDB">
        <w:rPr>
          <w:rFonts w:ascii="Times New Roman" w:hAnsi="Times New Roman"/>
          <w:b/>
          <w:sz w:val="26"/>
          <w:szCs w:val="26"/>
        </w:rPr>
        <w:lastRenderedPageBreak/>
        <w:t>energosistēmai</w:t>
      </w:r>
      <w:r w:rsidRPr="00D15EDB">
        <w:rPr>
          <w:rFonts w:ascii="Times New Roman" w:hAnsi="Times New Roman"/>
          <w:sz w:val="26"/>
          <w:szCs w:val="26"/>
        </w:rPr>
        <w:t xml:space="preserve">. 2018.gadā subsidētās elektrostacijas saražoja ap 4,1 </w:t>
      </w:r>
      <w:proofErr w:type="spellStart"/>
      <w:r w:rsidRPr="00D15EDB">
        <w:rPr>
          <w:rFonts w:ascii="Times New Roman" w:hAnsi="Times New Roman"/>
          <w:sz w:val="26"/>
          <w:szCs w:val="26"/>
        </w:rPr>
        <w:t>TWh</w:t>
      </w:r>
      <w:proofErr w:type="spellEnd"/>
      <w:r w:rsidRPr="00D15EDB">
        <w:rPr>
          <w:rFonts w:ascii="Times New Roman" w:hAnsi="Times New Roman"/>
          <w:sz w:val="26"/>
          <w:szCs w:val="26"/>
        </w:rPr>
        <w:t xml:space="preserve">, kas ir ap 64% no kopā Latvijā saražotā elektroenerģijas daudzuma, un ap 56% no Latvijā patērētā elektroenerģijas daudzuma. No kopā 4,1 </w:t>
      </w:r>
      <w:proofErr w:type="spellStart"/>
      <w:r w:rsidRPr="00D15EDB">
        <w:rPr>
          <w:rFonts w:ascii="Times New Roman" w:hAnsi="Times New Roman"/>
          <w:sz w:val="26"/>
          <w:szCs w:val="26"/>
        </w:rPr>
        <w:t>TWh</w:t>
      </w:r>
      <w:proofErr w:type="spellEnd"/>
      <w:r w:rsidRPr="00D15EDB">
        <w:rPr>
          <w:rFonts w:ascii="Times New Roman" w:hAnsi="Times New Roman"/>
          <w:sz w:val="26"/>
          <w:szCs w:val="26"/>
        </w:rPr>
        <w:t xml:space="preserve"> subsidētajās elektrostacijās saražotās elektroenerģijas lielākā daļa, jeb ap 66% saražoja termoelektrostacijas, kas saņem jaudas maksājumu - Rīgas TEC-1, Rīgas TEC-2, AS "Rīgas Siltums", SIA "Juglas Jauda", SIA "</w:t>
      </w:r>
      <w:proofErr w:type="spellStart"/>
      <w:r w:rsidRPr="00D15EDB">
        <w:rPr>
          <w:rFonts w:ascii="Times New Roman" w:hAnsi="Times New Roman"/>
          <w:sz w:val="26"/>
          <w:szCs w:val="26"/>
        </w:rPr>
        <w:t>Fortum</w:t>
      </w:r>
      <w:proofErr w:type="spellEnd"/>
      <w:r w:rsidRPr="00D15EDB">
        <w:rPr>
          <w:rFonts w:ascii="Times New Roman" w:hAnsi="Times New Roman"/>
          <w:sz w:val="26"/>
          <w:szCs w:val="26"/>
        </w:rPr>
        <w:t xml:space="preserve"> Latvija".</w:t>
      </w:r>
    </w:p>
    <w:p w:rsidR="006D029B" w:rsidRPr="00D15EDB" w:rsidRDefault="006D029B" w:rsidP="006D029B">
      <w:pPr>
        <w:spacing w:before="120" w:after="120" w:line="240" w:lineRule="auto"/>
        <w:jc w:val="both"/>
        <w:rPr>
          <w:rFonts w:ascii="Times New Roman" w:hAnsi="Times New Roman"/>
          <w:sz w:val="26"/>
          <w:szCs w:val="26"/>
        </w:rPr>
      </w:pPr>
      <w:r w:rsidRPr="00D15EDB">
        <w:rPr>
          <w:rFonts w:ascii="Times New Roman" w:hAnsi="Times New Roman"/>
          <w:sz w:val="26"/>
          <w:szCs w:val="26"/>
        </w:rPr>
        <w:t>Visu subsidēto elektrostaciju darbības pārtraukšana negatīvi ietekmētu Latvijas elektroenerģijas sistēmas darbības drošumu ilgtermiņā.</w:t>
      </w:r>
    </w:p>
    <w:p w:rsidR="006D029B" w:rsidRPr="00D15EDB" w:rsidRDefault="006D029B" w:rsidP="006D029B">
      <w:pPr>
        <w:spacing w:before="120" w:after="120" w:line="240" w:lineRule="auto"/>
        <w:jc w:val="both"/>
        <w:rPr>
          <w:rFonts w:ascii="Times New Roman" w:hAnsi="Times New Roman"/>
          <w:sz w:val="26"/>
          <w:szCs w:val="26"/>
        </w:rPr>
      </w:pPr>
      <w:r w:rsidRPr="00D15EDB">
        <w:rPr>
          <w:rFonts w:ascii="Times New Roman" w:hAnsi="Times New Roman"/>
          <w:sz w:val="26"/>
          <w:szCs w:val="26"/>
        </w:rPr>
        <w:t>Pārvades sistēmas operatora ikgadējā novērtējuma ziņojumā</w:t>
      </w:r>
      <w:r w:rsidRPr="00D15EDB">
        <w:rPr>
          <w:rStyle w:val="FootnoteReference"/>
          <w:rFonts w:ascii="Times New Roman" w:hAnsi="Times New Roman"/>
          <w:sz w:val="26"/>
          <w:szCs w:val="26"/>
        </w:rPr>
        <w:footnoteReference w:id="31"/>
      </w:r>
      <w:r w:rsidRPr="00D15EDB">
        <w:rPr>
          <w:rFonts w:ascii="Times New Roman" w:hAnsi="Times New Roman"/>
          <w:sz w:val="26"/>
          <w:szCs w:val="26"/>
        </w:rPr>
        <w:t xml:space="preserve"> AST uzsvēra, ka pat bāzes scenārijā, kurā netiek paredzēta subsidēto elektrostaciju paātrināta darbības pārtraukšana, </w:t>
      </w:r>
      <w:r w:rsidRPr="00D15EDB">
        <w:rPr>
          <w:rFonts w:ascii="Times New Roman" w:hAnsi="Times New Roman"/>
          <w:b/>
          <w:sz w:val="26"/>
          <w:szCs w:val="26"/>
        </w:rPr>
        <w:t>Latvijā no 2023.gada būs ražošanas jaudu deficīts.</w:t>
      </w:r>
      <w:r w:rsidRPr="00D15EDB">
        <w:rPr>
          <w:rFonts w:ascii="Times New Roman" w:hAnsi="Times New Roman"/>
          <w:sz w:val="26"/>
          <w:szCs w:val="26"/>
        </w:rPr>
        <w:t xml:space="preserve"> Turpmākajā dekādē sagaidāms pieaugošs ģenerējošo jaudu deficīts gan Latvijā, gan visā Baltijā. Līdz 2028.gadam Baltijā tiks slēgtas ap 2300 MW ražošanas jaudām, jeb turpat puse no esošajām lielo termoelektrostaciju ģenerācijas jaudām. Pieaugs pārvades sistēmas </w:t>
      </w:r>
      <w:proofErr w:type="spellStart"/>
      <w:r w:rsidRPr="00D15EDB">
        <w:rPr>
          <w:rFonts w:ascii="Times New Roman" w:hAnsi="Times New Roman"/>
          <w:sz w:val="26"/>
          <w:szCs w:val="26"/>
        </w:rPr>
        <w:t>starpsavienojumu</w:t>
      </w:r>
      <w:proofErr w:type="spellEnd"/>
      <w:r w:rsidRPr="00D15EDB">
        <w:rPr>
          <w:rFonts w:ascii="Times New Roman" w:hAnsi="Times New Roman"/>
          <w:sz w:val="26"/>
          <w:szCs w:val="26"/>
        </w:rPr>
        <w:t xml:space="preserve"> nozīme un noslodze uz pārvades tīklu kopumā. Īpaši ņemot vērā Baltijas valstu mērķi līdz 2025.gadam atdalīties no Krievijas energosistēmas un pievienoties sinhronam darbam ar Kontinentālās Eiropas pārvades sistēmu, svarīgi nodrošināt Latvijas ģenerācijas jaudu būtisku nesamazināšanos. Ģenerācijas jaudu pietiekamība Baltijas valstīs un </w:t>
      </w:r>
      <w:proofErr w:type="spellStart"/>
      <w:r w:rsidRPr="00D15EDB">
        <w:rPr>
          <w:rFonts w:ascii="Times New Roman" w:hAnsi="Times New Roman"/>
          <w:sz w:val="26"/>
          <w:szCs w:val="26"/>
        </w:rPr>
        <w:t>starpsavienojumu</w:t>
      </w:r>
      <w:proofErr w:type="spellEnd"/>
      <w:r w:rsidRPr="00D15EDB">
        <w:rPr>
          <w:rFonts w:ascii="Times New Roman" w:hAnsi="Times New Roman"/>
          <w:sz w:val="26"/>
          <w:szCs w:val="26"/>
        </w:rPr>
        <w:t xml:space="preserve"> caurlaides spēju pietiekamība būs viens no būtiskākajiem jautājumiem stabilas elektroenerģijas sistēmas darbības turpināšanai, realizējot sinhronizācijas projektu ar Kontinentālās Eiropas pārvades sistēmu.</w:t>
      </w:r>
    </w:p>
    <w:p w:rsidR="006D029B" w:rsidRPr="00D15EDB" w:rsidRDefault="006D029B" w:rsidP="006D029B">
      <w:pPr>
        <w:spacing w:before="120" w:after="120" w:line="240" w:lineRule="auto"/>
        <w:jc w:val="both"/>
        <w:rPr>
          <w:rFonts w:ascii="Times New Roman" w:hAnsi="Times New Roman"/>
          <w:sz w:val="26"/>
          <w:szCs w:val="26"/>
        </w:rPr>
      </w:pPr>
      <w:r w:rsidRPr="00D15EDB">
        <w:rPr>
          <w:rFonts w:ascii="Times New Roman" w:hAnsi="Times New Roman"/>
          <w:sz w:val="26"/>
          <w:szCs w:val="26"/>
        </w:rPr>
        <w:t xml:space="preserve">Starp subsidētajām elektrostacijām Rīgas TEC-2 nozīme ir īpaši liela, lai nodrošinātu stabilu pārvades sistēmas darbību, jo TEC-2 jauda ir sistēmiski nozīmīga, kontrolējama un spēj nodrošināt dažādus sistēmas pakalpojumus (t.sk. jaudas rezerves, frekvences regulēšanu, sprieguma regulēšanu, inerci). Ņemot vērā minēto un saskaņā ar Ministru kabineta 2017.gada 21.novembra rīkojumu Nr.685 vienreizējā darījuma ietvaros AS “Latvenergo” elektrostacijām TEC-1 un TEC-2 izmaksāto avansu, likumprojektā ietvertais risinājums paredz pienākumu TEC-1 un TEC-2 elektrostacijām nostrādāt līdz šim minimāli noteiktajā apjomā līdz plānotajām atbalsta perioda beigām. </w:t>
      </w:r>
    </w:p>
    <w:p w:rsidR="006D029B" w:rsidRPr="00D15EDB" w:rsidRDefault="006D029B" w:rsidP="006D029B">
      <w:pPr>
        <w:spacing w:before="120" w:after="120" w:line="240" w:lineRule="auto"/>
        <w:jc w:val="both"/>
        <w:rPr>
          <w:rFonts w:ascii="Times New Roman" w:hAnsi="Times New Roman"/>
          <w:sz w:val="26"/>
          <w:szCs w:val="26"/>
        </w:rPr>
      </w:pPr>
      <w:r w:rsidRPr="00D15EDB">
        <w:rPr>
          <w:rFonts w:ascii="Times New Roman" w:hAnsi="Times New Roman"/>
          <w:sz w:val="26"/>
          <w:szCs w:val="26"/>
        </w:rPr>
        <w:t xml:space="preserve">Savukārt, vērtējot, kādu ietekmi uz elektroenerģijas sistēmas stabilitāti atstās visu subsidēto elektrostaciju darbības pārtraukšana, </w:t>
      </w:r>
      <w:r w:rsidRPr="00D15EDB">
        <w:rPr>
          <w:rFonts w:ascii="Times New Roman" w:hAnsi="Times New Roman"/>
          <w:b/>
          <w:sz w:val="26"/>
          <w:szCs w:val="26"/>
        </w:rPr>
        <w:t xml:space="preserve">izņemot Rīgas TEC-1 un TEC-2 elektrostacijas, </w:t>
      </w:r>
      <w:bookmarkStart w:id="16" w:name="_Hlk3208545"/>
      <w:r w:rsidRPr="00D15EDB">
        <w:rPr>
          <w:rFonts w:ascii="Times New Roman" w:hAnsi="Times New Roman"/>
          <w:b/>
          <w:sz w:val="26"/>
          <w:szCs w:val="26"/>
        </w:rPr>
        <w:t>AST vērtē, ka šo elektrostaciju darbības apturēšanai nebūtu ietekme uz elektroenerģijas sistēmas stabilitāti</w:t>
      </w:r>
      <w:r w:rsidRPr="00D15EDB">
        <w:rPr>
          <w:rFonts w:ascii="Times New Roman" w:hAnsi="Times New Roman"/>
          <w:sz w:val="26"/>
          <w:szCs w:val="26"/>
        </w:rPr>
        <w:t>.</w:t>
      </w:r>
      <w:bookmarkEnd w:id="16"/>
    </w:p>
    <w:p w:rsidR="006D029B" w:rsidRPr="00D15EDB" w:rsidRDefault="006D029B" w:rsidP="00D15EDB">
      <w:pPr>
        <w:spacing w:before="240" w:after="120" w:line="240" w:lineRule="auto"/>
        <w:jc w:val="both"/>
        <w:rPr>
          <w:rStyle w:val="normaltextrun"/>
          <w:rFonts w:ascii="Times New Roman" w:eastAsia="Times New Roman" w:hAnsi="Times New Roman"/>
          <w:sz w:val="26"/>
          <w:szCs w:val="26"/>
          <w:u w:val="single"/>
          <w:lang w:eastAsia="lv-LV"/>
        </w:rPr>
      </w:pPr>
      <w:r w:rsidRPr="00D15EDB">
        <w:rPr>
          <w:rStyle w:val="normaltextrun"/>
          <w:rFonts w:ascii="Times New Roman" w:eastAsia="Times New Roman" w:hAnsi="Times New Roman"/>
          <w:sz w:val="26"/>
          <w:szCs w:val="26"/>
          <w:u w:val="single"/>
          <w:lang w:eastAsia="lv-LV"/>
        </w:rPr>
        <w:t>Importa pieaugums, atkarības veicināšanās</w:t>
      </w:r>
    </w:p>
    <w:p w:rsidR="006D029B" w:rsidRPr="00D15EDB" w:rsidRDefault="006D029B" w:rsidP="006D029B">
      <w:pPr>
        <w:pStyle w:val="Default"/>
        <w:spacing w:before="120" w:after="120"/>
        <w:jc w:val="both"/>
        <w:rPr>
          <w:sz w:val="26"/>
          <w:szCs w:val="26"/>
        </w:rPr>
      </w:pPr>
      <w:r w:rsidRPr="00D15EDB">
        <w:rPr>
          <w:rFonts w:eastAsia="Calibri"/>
          <w:sz w:val="26"/>
          <w:szCs w:val="26"/>
        </w:rPr>
        <w:t>Enerģētikas attīstības pamatnostādnes 2016.–2020.gadam</w:t>
      </w:r>
      <w:r w:rsidRPr="00D15EDB">
        <w:rPr>
          <w:rStyle w:val="FootnoteReference"/>
          <w:rFonts w:eastAsia="Calibri"/>
          <w:sz w:val="26"/>
          <w:szCs w:val="26"/>
        </w:rPr>
        <w:footnoteReference w:id="32"/>
      </w:r>
      <w:r w:rsidRPr="00D15EDB">
        <w:rPr>
          <w:sz w:val="26"/>
          <w:szCs w:val="26"/>
        </w:rPr>
        <w:t xml:space="preserve"> nosaka mērķi </w:t>
      </w:r>
      <w:proofErr w:type="spellStart"/>
      <w:r w:rsidRPr="00D15EDB">
        <w:rPr>
          <w:sz w:val="26"/>
          <w:szCs w:val="26"/>
        </w:rPr>
        <w:t>energoatkarības</w:t>
      </w:r>
      <w:proofErr w:type="spellEnd"/>
      <w:r w:rsidRPr="00D15EDB">
        <w:rPr>
          <w:sz w:val="26"/>
          <w:szCs w:val="26"/>
        </w:rPr>
        <w:t xml:space="preserve"> (neto energoresursu imports/bruto iekšzemes enerģijas patēriņš plus </w:t>
      </w:r>
      <w:proofErr w:type="spellStart"/>
      <w:r w:rsidRPr="00D15EDB">
        <w:rPr>
          <w:sz w:val="26"/>
          <w:szCs w:val="26"/>
        </w:rPr>
        <w:t>bunkurēšana</w:t>
      </w:r>
      <w:proofErr w:type="spellEnd"/>
      <w:r w:rsidRPr="00D15EDB">
        <w:rPr>
          <w:sz w:val="26"/>
          <w:szCs w:val="26"/>
        </w:rPr>
        <w:t>, %) mērķi 2020.gadam – 44,1% energoresursu importa attiecība bruto iekšzemes enerģijas patēriņā. Savukārt informatīvajā ziņojumā “Latvijas Enerģētikas ilgtermiņa stratēģija 2030 – konkurētspējīga enerģētika sabiedrībai”</w:t>
      </w:r>
      <w:r w:rsidRPr="00D15EDB">
        <w:rPr>
          <w:rStyle w:val="FootnoteReference"/>
          <w:sz w:val="26"/>
          <w:szCs w:val="26"/>
        </w:rPr>
        <w:footnoteReference w:id="33"/>
      </w:r>
      <w:r w:rsidRPr="00D15EDB">
        <w:rPr>
          <w:sz w:val="26"/>
          <w:szCs w:val="26"/>
        </w:rPr>
        <w:t xml:space="preserve"> noteikts nesaistošs 2030.gada mērķis – par 50% samazināt enerģijas un energoresursu importu no esošajiem trešo valstu piegādātājiem, salīdzinot ar 2011.gada rādītājiem, kur </w:t>
      </w:r>
      <w:r w:rsidRPr="00D15EDB">
        <w:rPr>
          <w:sz w:val="26"/>
          <w:szCs w:val="26"/>
        </w:rPr>
        <w:lastRenderedPageBreak/>
        <w:t xml:space="preserve">2011.gadā energoresursu imports no ārpus Eiropas Ekonomikas zonas dalībvalstīm bija 28,2 </w:t>
      </w:r>
      <w:proofErr w:type="spellStart"/>
      <w:r w:rsidRPr="00D15EDB">
        <w:rPr>
          <w:sz w:val="26"/>
          <w:szCs w:val="26"/>
        </w:rPr>
        <w:t>TWh</w:t>
      </w:r>
      <w:proofErr w:type="spellEnd"/>
      <w:r w:rsidRPr="00D15EDB">
        <w:rPr>
          <w:sz w:val="26"/>
          <w:szCs w:val="26"/>
        </w:rPr>
        <w:t xml:space="preserve">. Tātad 2030.gadā šim importa rādītājam ir jābūt ne lielākam kā 14,1 </w:t>
      </w:r>
      <w:proofErr w:type="spellStart"/>
      <w:r w:rsidRPr="00D15EDB">
        <w:rPr>
          <w:sz w:val="26"/>
          <w:szCs w:val="26"/>
        </w:rPr>
        <w:t>TWh</w:t>
      </w:r>
      <w:proofErr w:type="spellEnd"/>
      <w:r w:rsidRPr="00D15EDB">
        <w:rPr>
          <w:sz w:val="26"/>
          <w:szCs w:val="26"/>
        </w:rPr>
        <w:t xml:space="preserve">. </w:t>
      </w:r>
    </w:p>
    <w:p w:rsidR="006D029B" w:rsidRPr="00D15EDB" w:rsidRDefault="006D029B" w:rsidP="006D029B">
      <w:pPr>
        <w:spacing w:before="120" w:after="120" w:line="240" w:lineRule="auto"/>
        <w:jc w:val="both"/>
        <w:rPr>
          <w:rFonts w:ascii="Times New Roman" w:hAnsi="Times New Roman"/>
          <w:color w:val="000000"/>
          <w:sz w:val="26"/>
          <w:szCs w:val="26"/>
        </w:rPr>
      </w:pPr>
      <w:r w:rsidRPr="00D15EDB">
        <w:rPr>
          <w:rFonts w:ascii="Times New Roman" w:hAnsi="Times New Roman"/>
          <w:color w:val="000000"/>
          <w:sz w:val="26"/>
          <w:szCs w:val="26"/>
        </w:rPr>
        <w:t xml:space="preserve">Šobrīd ir secināms, ka Latvijas enerģētiskā atkarība no importējamiem energoresursiem mazinās – no 55,9 % 2013.gadā līdz 47,2 % 2016. gadā. Līdz ar to ir uzskatāms, ka Latvija savu mērķi 2020.gadam un 2030.gadam izpilda esošo </w:t>
      </w:r>
      <w:proofErr w:type="spellStart"/>
      <w:r w:rsidRPr="00D15EDB">
        <w:rPr>
          <w:rFonts w:ascii="Times New Roman" w:hAnsi="Times New Roman"/>
          <w:color w:val="000000"/>
          <w:sz w:val="26"/>
          <w:szCs w:val="26"/>
        </w:rPr>
        <w:t>rīcībpolitiku</w:t>
      </w:r>
      <w:proofErr w:type="spellEnd"/>
      <w:r w:rsidRPr="00D15EDB">
        <w:rPr>
          <w:rFonts w:ascii="Times New Roman" w:hAnsi="Times New Roman"/>
          <w:color w:val="000000"/>
          <w:sz w:val="26"/>
          <w:szCs w:val="26"/>
        </w:rPr>
        <w:t xml:space="preserve"> un pasākumu ietvarā. Tomēr, īstenojot Likumprojektā ietverto risinājumu, kura rezultātā darbu pārtrauks lielākā daļa AER elektrostaciju, paredzams, ka palielināsies energoresursu imports un tādējādi šī mērķa sasniegšana var tikt negatīvi ietekmēta.</w:t>
      </w:r>
    </w:p>
    <w:p w:rsidR="006D029B" w:rsidRPr="00D15EDB" w:rsidRDefault="006D029B" w:rsidP="00D15EDB">
      <w:pPr>
        <w:spacing w:before="240" w:after="120" w:line="240" w:lineRule="auto"/>
        <w:jc w:val="both"/>
        <w:rPr>
          <w:rStyle w:val="normaltextrun"/>
          <w:rFonts w:ascii="Times New Roman" w:eastAsia="Times New Roman" w:hAnsi="Times New Roman"/>
          <w:sz w:val="26"/>
          <w:szCs w:val="26"/>
          <w:u w:val="single"/>
          <w:lang w:eastAsia="lv-LV"/>
        </w:rPr>
      </w:pPr>
      <w:r w:rsidRPr="00D15EDB">
        <w:rPr>
          <w:rStyle w:val="normaltextrun"/>
          <w:rFonts w:ascii="Times New Roman" w:eastAsia="Times New Roman" w:hAnsi="Times New Roman"/>
          <w:sz w:val="26"/>
          <w:szCs w:val="26"/>
          <w:u w:val="single"/>
          <w:lang w:eastAsia="lv-LV"/>
        </w:rPr>
        <w:t>Ietekme uz AS “Latvenergo” koncernu</w:t>
      </w:r>
    </w:p>
    <w:p w:rsidR="006D029B" w:rsidRPr="00D15EDB" w:rsidRDefault="006D029B" w:rsidP="006D029B">
      <w:pPr>
        <w:spacing w:before="120" w:after="120" w:line="240" w:lineRule="auto"/>
        <w:jc w:val="both"/>
        <w:rPr>
          <w:rFonts w:ascii="Times New Roman" w:eastAsia="Times New Roman" w:hAnsi="Times New Roman"/>
          <w:bCs/>
          <w:sz w:val="26"/>
          <w:szCs w:val="26"/>
          <w:lang w:eastAsia="lv-LV"/>
        </w:rPr>
      </w:pPr>
      <w:r w:rsidRPr="00D15EDB">
        <w:rPr>
          <w:rFonts w:ascii="Times New Roman" w:hAnsi="Times New Roman"/>
          <w:bCs/>
          <w:sz w:val="26"/>
          <w:szCs w:val="26"/>
        </w:rPr>
        <w:t>Likumprojektam ir paredzama izteikti negatīva ietekme uz AS “Latvenergo” peļņu 2019. gadā un mērenāka ietekme turpmākajos gados. To ietekmēs gan publiskajam tirgotājam uzkrātais un no elektroenerģijas gala patērētājiem nesaņemtais parāds par OIK, gan ikgadējo valsts atbalsta maksājumu atcelšana TEC-1 un TEC-2. Vienlaikus, ņemot vērā, ka Likumprojekta ietekmes raksturojums uz AS “Latvenergo” koncernu satur komercnoslēpumu</w:t>
      </w:r>
      <w:r w:rsidRPr="00D15EDB">
        <w:rPr>
          <w:rFonts w:ascii="Times New Roman" w:eastAsia="Times New Roman" w:hAnsi="Times New Roman"/>
          <w:bCs/>
          <w:sz w:val="26"/>
          <w:szCs w:val="26"/>
          <w:lang w:eastAsia="lv-LV"/>
        </w:rPr>
        <w:t xml:space="preserve">, minētā informācija ir pievienota </w:t>
      </w:r>
      <w:r w:rsidR="00DF1442">
        <w:rPr>
          <w:rFonts w:ascii="Times New Roman" w:eastAsia="Times New Roman" w:hAnsi="Times New Roman"/>
          <w:bCs/>
          <w:sz w:val="26"/>
          <w:szCs w:val="26"/>
          <w:lang w:eastAsia="lv-LV"/>
        </w:rPr>
        <w:t xml:space="preserve">Likumprojekta anotācijas </w:t>
      </w:r>
      <w:r w:rsidRPr="00D15EDB">
        <w:rPr>
          <w:rFonts w:ascii="Times New Roman" w:eastAsia="Times New Roman" w:hAnsi="Times New Roman"/>
          <w:bCs/>
          <w:sz w:val="26"/>
          <w:szCs w:val="26"/>
          <w:lang w:eastAsia="lv-LV"/>
        </w:rPr>
        <w:t xml:space="preserve">pielikumā (1. pielikums) un tai noteikts ierobežotas pieejamības statuss. </w:t>
      </w:r>
    </w:p>
    <w:p w:rsidR="006D029B" w:rsidRPr="00D15EDB" w:rsidRDefault="006D029B" w:rsidP="00D15EDB">
      <w:pPr>
        <w:spacing w:before="240" w:after="120" w:line="240" w:lineRule="auto"/>
        <w:jc w:val="both"/>
        <w:rPr>
          <w:rStyle w:val="normaltextrun"/>
          <w:rFonts w:ascii="Times New Roman" w:eastAsia="Times New Roman" w:hAnsi="Times New Roman"/>
          <w:sz w:val="26"/>
          <w:szCs w:val="26"/>
          <w:u w:val="single"/>
          <w:lang w:eastAsia="lv-LV"/>
        </w:rPr>
      </w:pPr>
      <w:r w:rsidRPr="00D15EDB">
        <w:rPr>
          <w:rStyle w:val="normaltextrun"/>
          <w:rFonts w:ascii="Times New Roman" w:eastAsia="Times New Roman" w:hAnsi="Times New Roman"/>
          <w:sz w:val="26"/>
          <w:szCs w:val="26"/>
          <w:u w:val="single"/>
          <w:lang w:eastAsia="lv-LV"/>
        </w:rPr>
        <w:t>Ietekme uz investīciju vidi</w:t>
      </w:r>
    </w:p>
    <w:p w:rsidR="006D029B" w:rsidRPr="00D15EDB" w:rsidRDefault="006D029B" w:rsidP="006D029B">
      <w:pPr>
        <w:spacing w:before="120" w:after="120" w:line="240" w:lineRule="auto"/>
        <w:jc w:val="both"/>
        <w:rPr>
          <w:rStyle w:val="normaltextrun"/>
          <w:rFonts w:ascii="Times New Roman" w:eastAsia="Times New Roman" w:hAnsi="Times New Roman"/>
          <w:sz w:val="26"/>
          <w:szCs w:val="26"/>
          <w:lang w:eastAsia="lv-LV"/>
        </w:rPr>
      </w:pPr>
      <w:r w:rsidRPr="00D15EDB">
        <w:rPr>
          <w:rStyle w:val="normaltextrun"/>
          <w:rFonts w:ascii="Times New Roman" w:eastAsia="Times New Roman" w:hAnsi="Times New Roman"/>
          <w:sz w:val="26"/>
          <w:szCs w:val="26"/>
          <w:lang w:eastAsia="lv-LV"/>
        </w:rPr>
        <w:t>Tiesiskās vides stabilitāte un prognozējamība ir veicinoši faktori lēmumu pieņemšanai par ilgtermiņa investīcijām, tostarp ārvalstu investīcijām, valstī. Attiecīgi jāņem vērā, ka Likumprojektā ietvertā risinājuma īstenošana var pasliktināt Latvijas investīciju vides tēlu un sekojoši negatīvi ietekmēt jaunu investīciju ienākšanu Latvijā.</w:t>
      </w:r>
    </w:p>
    <w:p w:rsidR="006D029B" w:rsidRPr="00D15EDB" w:rsidRDefault="006D029B" w:rsidP="00D15EDB">
      <w:pPr>
        <w:spacing w:before="240" w:after="120" w:line="240" w:lineRule="auto"/>
        <w:jc w:val="both"/>
        <w:rPr>
          <w:rStyle w:val="normaltextrun"/>
          <w:rFonts w:ascii="Times New Roman" w:eastAsia="Times New Roman" w:hAnsi="Times New Roman"/>
          <w:sz w:val="26"/>
          <w:szCs w:val="26"/>
          <w:u w:val="single"/>
          <w:lang w:eastAsia="lv-LV"/>
        </w:rPr>
      </w:pPr>
      <w:r w:rsidRPr="00D15EDB">
        <w:rPr>
          <w:rStyle w:val="normaltextrun"/>
          <w:rFonts w:ascii="Times New Roman" w:eastAsia="Times New Roman" w:hAnsi="Times New Roman"/>
          <w:sz w:val="26"/>
          <w:szCs w:val="26"/>
          <w:u w:val="single"/>
          <w:lang w:eastAsia="lv-LV"/>
        </w:rPr>
        <w:t>Ietekme uz Starptautiskajām saistībām Enerģētikas, klimata un vides jomā</w:t>
      </w:r>
    </w:p>
    <w:p w:rsidR="006D029B" w:rsidRPr="00D15EDB" w:rsidRDefault="006D029B" w:rsidP="006D029B">
      <w:pPr>
        <w:pStyle w:val="paragraph"/>
        <w:spacing w:before="120" w:beforeAutospacing="0" w:after="120" w:afterAutospacing="0"/>
        <w:textAlignment w:val="baseline"/>
        <w:rPr>
          <w:rStyle w:val="eop"/>
          <w:b/>
          <w:i/>
          <w:sz w:val="26"/>
          <w:szCs w:val="26"/>
        </w:rPr>
      </w:pPr>
      <w:r w:rsidRPr="00D15EDB">
        <w:rPr>
          <w:rStyle w:val="normaltextrun"/>
          <w:b/>
          <w:i/>
          <w:sz w:val="26"/>
          <w:szCs w:val="26"/>
        </w:rPr>
        <w:t>AER mērķa izpilde 2020. un 2030.gadā</w:t>
      </w:r>
    </w:p>
    <w:p w:rsidR="006D029B" w:rsidRPr="00D15EDB" w:rsidRDefault="006D029B" w:rsidP="006D029B">
      <w:pPr>
        <w:pStyle w:val="Default"/>
        <w:spacing w:before="120" w:after="120"/>
        <w:jc w:val="both"/>
        <w:rPr>
          <w:sz w:val="26"/>
          <w:szCs w:val="26"/>
        </w:rPr>
      </w:pPr>
      <w:r w:rsidRPr="00D15EDB">
        <w:rPr>
          <w:sz w:val="26"/>
          <w:szCs w:val="26"/>
        </w:rPr>
        <w:t xml:space="preserve">Saskaņā ar Ekonomikas ministrijas provizoriskajām aplēsēm 2020.gada 40% atjaunojamās enerģijas mērķi ir iespējams sasniegt, ja atjaunojamās enerģijas OI stacijas turpinās darbību, kā arī sasniedzot 10% atjaunojamās enerģijas patēriņa īpatsvaru transportā (šobrīd nepilni 3%) un īstenojot plānotos centralizētās siltumapgādes modernizēšanas pasākumus ES fondu programmas (vismaz 1.kārtas) ietvaros. Šādā gadījumā iespējams sasniegt 40,5-41,0% atjaunojamās enerģijas īpatsvaru enerģijas </w:t>
      </w:r>
      <w:proofErr w:type="spellStart"/>
      <w:r w:rsidRPr="00D15EDB">
        <w:rPr>
          <w:sz w:val="26"/>
          <w:szCs w:val="26"/>
        </w:rPr>
        <w:t>galapatēriņā</w:t>
      </w:r>
      <w:proofErr w:type="spellEnd"/>
      <w:r w:rsidRPr="00D15EDB">
        <w:rPr>
          <w:sz w:val="26"/>
          <w:szCs w:val="26"/>
        </w:rPr>
        <w:t>. Saskaņā ar jaunākajiem statistikas datiem atjaunojamās enerģijas īpatsvars 2017.gadā ir sasniedzis 39,01%.</w:t>
      </w:r>
    </w:p>
    <w:p w:rsidR="006D029B" w:rsidRPr="00D15EDB" w:rsidRDefault="006D029B" w:rsidP="006D029B">
      <w:pPr>
        <w:pStyle w:val="Default"/>
        <w:spacing w:before="120" w:after="120"/>
        <w:jc w:val="both"/>
        <w:rPr>
          <w:b/>
          <w:sz w:val="26"/>
          <w:szCs w:val="26"/>
        </w:rPr>
      </w:pPr>
      <w:r w:rsidRPr="00D15EDB">
        <w:rPr>
          <w:sz w:val="26"/>
          <w:szCs w:val="26"/>
        </w:rPr>
        <w:t xml:space="preserve">Šobrīd OI stacijas atjaunojamās enerģijas mērķī dod aptuveni 5 procentpunktu ieguldījumu. Ņemot vērā ražotāju izteiktās prognozes, ka lielākā daļa atjaunojamās enerģijas staciju pēc OI atcelšanas savu darbību pārtrauks, </w:t>
      </w:r>
      <w:r w:rsidRPr="00D15EDB">
        <w:rPr>
          <w:b/>
          <w:sz w:val="26"/>
          <w:szCs w:val="26"/>
        </w:rPr>
        <w:t>paredzams, ka atceļot OI ar 2019.gada 31.martu, Latvija atjaunojamās enerģijas mērķi 2020.gadā nesasniegs.</w:t>
      </w:r>
    </w:p>
    <w:p w:rsidR="006D029B" w:rsidRPr="00D15EDB" w:rsidRDefault="006D029B" w:rsidP="006D029B">
      <w:pPr>
        <w:pStyle w:val="Default"/>
        <w:spacing w:before="120" w:after="120"/>
        <w:jc w:val="both"/>
        <w:rPr>
          <w:sz w:val="26"/>
          <w:szCs w:val="26"/>
        </w:rPr>
      </w:pPr>
      <w:r w:rsidRPr="00D15EDB">
        <w:rPr>
          <w:sz w:val="26"/>
          <w:szCs w:val="26"/>
        </w:rPr>
        <w:t xml:space="preserve">Tāpat paredzams, ka </w:t>
      </w:r>
      <w:r w:rsidRPr="00D15EDB">
        <w:rPr>
          <w:b/>
          <w:sz w:val="26"/>
          <w:szCs w:val="26"/>
        </w:rPr>
        <w:t>Latvija nevarēs nodrošināt</w:t>
      </w:r>
      <w:r w:rsidRPr="00D15EDB">
        <w:rPr>
          <w:sz w:val="26"/>
          <w:szCs w:val="26"/>
        </w:rPr>
        <w:t xml:space="preserve"> </w:t>
      </w:r>
      <w:r w:rsidRPr="00D15EDB">
        <w:rPr>
          <w:b/>
          <w:sz w:val="26"/>
          <w:szCs w:val="26"/>
        </w:rPr>
        <w:t xml:space="preserve">pienākumu, ka pēc 2020.gada no atjaunojamiem energoresursiem saražotas enerģijas īpatsvars ir ne mazāks par 2020.gada mērķa bāzes līmeni – 40% </w:t>
      </w:r>
      <w:r w:rsidRPr="00D15EDB">
        <w:rPr>
          <w:sz w:val="26"/>
          <w:szCs w:val="26"/>
        </w:rPr>
        <w:t xml:space="preserve">enerģijas bruto </w:t>
      </w:r>
      <w:proofErr w:type="spellStart"/>
      <w:r w:rsidRPr="00D15EDB">
        <w:rPr>
          <w:sz w:val="26"/>
          <w:szCs w:val="26"/>
        </w:rPr>
        <w:t>galapatēriņā</w:t>
      </w:r>
      <w:proofErr w:type="spellEnd"/>
      <w:r w:rsidRPr="00D15EDB">
        <w:rPr>
          <w:sz w:val="26"/>
          <w:szCs w:val="26"/>
        </w:rPr>
        <w:t xml:space="preserve">, kā to paredz Direktīva 2018/2001 un Regula 2018/1999 par enerģētikas savienības un rīcības klimata politikas jomā pārvaldību.  Ja tas netiks ievērtos, saskaņā ar Regulas 2018/1999 32.panta 4. punktu Latvijai būs juridiski saistošs pienākums viena gada laikā pēc neizpildes </w:t>
      </w:r>
      <w:r w:rsidRPr="00D15EDB">
        <w:rPr>
          <w:sz w:val="26"/>
          <w:szCs w:val="26"/>
        </w:rPr>
        <w:lastRenderedPageBreak/>
        <w:t>iestāšanās nodrošināt vismaz 2020.gada atjaunojamās enerģijas mērķa bāzes līmeni, ieviešot atbilstošus pasākumus.</w:t>
      </w:r>
    </w:p>
    <w:p w:rsidR="006D029B" w:rsidRPr="00D15EDB" w:rsidRDefault="006D029B" w:rsidP="006D029B">
      <w:pPr>
        <w:pStyle w:val="Default"/>
        <w:spacing w:before="120" w:after="120"/>
        <w:jc w:val="both"/>
        <w:rPr>
          <w:sz w:val="26"/>
          <w:szCs w:val="26"/>
        </w:rPr>
      </w:pPr>
      <w:r w:rsidRPr="00D15EDB">
        <w:rPr>
          <w:sz w:val="26"/>
          <w:szCs w:val="26"/>
        </w:rPr>
        <w:t>EK 2017.gada 1.janvāra paziņojumā “ES tiesību akti: labāki rezultāti līdz ar labāku piemērošanu”</w:t>
      </w:r>
      <w:r w:rsidRPr="00D15EDB">
        <w:rPr>
          <w:rStyle w:val="FootnoteReference"/>
          <w:sz w:val="26"/>
          <w:szCs w:val="26"/>
        </w:rPr>
        <w:footnoteReference w:id="34"/>
      </w:r>
      <w:r w:rsidRPr="00D15EDB">
        <w:rPr>
          <w:sz w:val="26"/>
          <w:szCs w:val="26"/>
        </w:rPr>
        <w:t xml:space="preserve"> uzsvērts, ka ES ir dibināta, pamatojoties uz tiesiskumu, un ar tiesību aktiem tā tiecas nodrošināt politikas un prioritāšu īstenošanu dalībvalstīs. </w:t>
      </w:r>
      <w:r w:rsidRPr="00D15EDB">
        <w:rPr>
          <w:b/>
          <w:sz w:val="26"/>
          <w:szCs w:val="26"/>
        </w:rPr>
        <w:t>Vienota ES tiesību piemērošana visās ES dalībvalstīs ir būtiska ES darbībai.</w:t>
      </w:r>
      <w:r w:rsidRPr="00D15EDB">
        <w:rPr>
          <w:sz w:val="26"/>
          <w:szCs w:val="26"/>
        </w:rPr>
        <w:t xml:space="preserve"> EK tāpēc pievērš lielu uzmanību tam, lai tiktu nodrošināta efektīva ES tiesību aktu piemērošana.  Saskaņā ar LESD 17. panta 1. punktu EK atbild par tiesību efektīvu piemērošanu, īstenošanu un izpildes nodrošināšanu. Pašreizējā EK īstenotā izpildes nodrošināšanas politika paredz uzraudzīt to, kā tiek piemēroti un īstenoti ES tiesību akti, kopā ar dalībvalstīm risinot problēmas, nolūkā tādējādi novērst visus iespējamos tiesību aktu pārkāpumus, attiecīgā gadījumā ierosinot prasību par pārkāpumu. Paziņojumā arī uzsvērts, ka ir svarīgi, lai EK stratēģiski izmantotu savu rīcības brīvību nolūkā koncentrēties un par prioritāti izvirzīt savus izpildes nodrošināšanas pasākumus attiecībā uz visbūtiskākajiem ES tiesību aktu pārkāpumiem, kas skar Eiropas iedzīvotājus un uzņēmumus.  </w:t>
      </w:r>
    </w:p>
    <w:p w:rsidR="006D029B" w:rsidRPr="00D15EDB" w:rsidRDefault="006D029B" w:rsidP="006D029B">
      <w:pPr>
        <w:pStyle w:val="Default"/>
        <w:spacing w:before="120" w:after="120"/>
        <w:jc w:val="both"/>
        <w:rPr>
          <w:sz w:val="26"/>
          <w:szCs w:val="26"/>
        </w:rPr>
      </w:pPr>
      <w:r w:rsidRPr="00D15EDB">
        <w:rPr>
          <w:b/>
          <w:sz w:val="26"/>
          <w:szCs w:val="26"/>
        </w:rPr>
        <w:t>Ņemot vērā minēto, par atjaunojamās enerģijas mērķa nesasniegšanu EK ir tiesības vērsties pret Latviju ES Tiesā</w:t>
      </w:r>
      <w:r w:rsidRPr="00D15EDB">
        <w:rPr>
          <w:sz w:val="26"/>
          <w:szCs w:val="26"/>
        </w:rPr>
        <w:t xml:space="preserve"> (turpmāk – Tiesa) atbilstoši LESD 260.panta 1. punktam. Saskaņā ar LESD, ja EK vēršas pret dalībvalsti Tiesā par to, ka tā ir pārkāpusi ES tiesību aktus, Tiesa var noteikt finanšu sankcijas divās situācijās: </w:t>
      </w:r>
    </w:p>
    <w:p w:rsidR="006D029B" w:rsidRPr="00D15EDB" w:rsidRDefault="006D029B" w:rsidP="006D029B">
      <w:pPr>
        <w:pStyle w:val="Default"/>
        <w:numPr>
          <w:ilvl w:val="0"/>
          <w:numId w:val="25"/>
        </w:numPr>
        <w:spacing w:before="120" w:after="120"/>
        <w:jc w:val="both"/>
        <w:rPr>
          <w:sz w:val="26"/>
          <w:szCs w:val="26"/>
        </w:rPr>
      </w:pPr>
      <w:r w:rsidRPr="00D15EDB">
        <w:rPr>
          <w:sz w:val="26"/>
          <w:szCs w:val="26"/>
        </w:rPr>
        <w:t>ja Tiesa ir lēmusi, ka dalībvalsts, kas pārkāpj ES tiesību aktus, vēl nav izpildījusi agrāku spriedumu, kurā konstatēts attiecīgais pārkāpums (LESD 260. panta 2. punkts);</w:t>
      </w:r>
    </w:p>
    <w:p w:rsidR="006D029B" w:rsidRPr="00D15EDB" w:rsidRDefault="006D029B" w:rsidP="006D029B">
      <w:pPr>
        <w:pStyle w:val="Default"/>
        <w:numPr>
          <w:ilvl w:val="0"/>
          <w:numId w:val="25"/>
        </w:numPr>
        <w:spacing w:before="120" w:after="120"/>
        <w:jc w:val="both"/>
        <w:rPr>
          <w:sz w:val="26"/>
          <w:szCs w:val="26"/>
        </w:rPr>
      </w:pPr>
      <w:r w:rsidRPr="00D15EDB">
        <w:rPr>
          <w:sz w:val="26"/>
          <w:szCs w:val="26"/>
        </w:rPr>
        <w:t>ja dalībvalsts nav izpildījusi pienākumu paziņot par pasākumiem, ar kuriem transponē direktīvu, kas pieņemta saskaņā ar likumdošanas procedūru (LESD 260. panta 3. punkts).</w:t>
      </w:r>
    </w:p>
    <w:p w:rsidR="006D029B" w:rsidRPr="00D15EDB" w:rsidRDefault="006D029B" w:rsidP="006D029B">
      <w:pPr>
        <w:jc w:val="both"/>
        <w:rPr>
          <w:rFonts w:ascii="Times New Roman" w:hAnsi="Times New Roman"/>
          <w:sz w:val="26"/>
          <w:szCs w:val="26"/>
        </w:rPr>
      </w:pPr>
      <w:r w:rsidRPr="00D15EDB">
        <w:rPr>
          <w:rFonts w:ascii="Times New Roman" w:hAnsi="Times New Roman"/>
          <w:color w:val="000000"/>
          <w:sz w:val="26"/>
          <w:szCs w:val="26"/>
        </w:rPr>
        <w:t>Saskaņā ar LESD 260. panta 1.punktu, ja Tiesa konstatē, ka dalībvalsts nav izpildījusi kādu Līgumos paredzētu pienākumu, šai valstij jāveic pasākumi, kas vajadzīgi Tiesas sprieduma izpildei.</w:t>
      </w:r>
      <w:r w:rsidRPr="00D15EDB">
        <w:rPr>
          <w:rFonts w:ascii="Times New Roman" w:hAnsi="Times New Roman"/>
          <w:sz w:val="26"/>
          <w:szCs w:val="26"/>
        </w:rPr>
        <w:t xml:space="preserve"> </w:t>
      </w:r>
      <w:r w:rsidRPr="00D15EDB">
        <w:rPr>
          <w:rFonts w:ascii="Times New Roman" w:hAnsi="Times New Roman"/>
          <w:color w:val="000000"/>
          <w:sz w:val="26"/>
          <w:szCs w:val="26"/>
        </w:rPr>
        <w:t xml:space="preserve">Saskaņā ar LESD 260.panta 2.punktu, ja EK uzskata, ka attiecīgā dalībvalsts nav veikusi vajadzīgos pasākumus, lai izpildītu Tiesas spriedumu, tā var vērsties Tiesā pēc tam, kad ir devusi minētajai valstij iespēju iesniegt savu apsvērumus. Tādā gadījumā tā norāda sodanaudu vai kavējuma naudu, kas jāmaksā attiecīgajai dalībvalstij un ko Komisija konkrētajos apstākļos uzskata par piemērotu. Abos gadījumos </w:t>
      </w:r>
      <w:r w:rsidRPr="00D15EDB">
        <w:rPr>
          <w:rFonts w:ascii="Times New Roman" w:hAnsi="Times New Roman"/>
          <w:b/>
          <w:color w:val="000000"/>
          <w:sz w:val="26"/>
          <w:szCs w:val="26"/>
        </w:rPr>
        <w:t>sankciju veido vienreizējs soda maksājums, lai sodītu par pašu pārkāpumu, un kavējuma nauda par dienu, lai sodītu par pārkāpuma turpināšanu pēc Tiesas sprieduma</w:t>
      </w:r>
      <w:r w:rsidRPr="00D15EDB">
        <w:rPr>
          <w:rFonts w:ascii="Times New Roman" w:hAnsi="Times New Roman"/>
          <w:color w:val="000000"/>
          <w:sz w:val="26"/>
          <w:szCs w:val="26"/>
        </w:rPr>
        <w:t xml:space="preserve">. </w:t>
      </w:r>
      <w:r w:rsidRPr="00D15EDB">
        <w:rPr>
          <w:rFonts w:ascii="Times New Roman" w:hAnsi="Times New Roman"/>
          <w:b/>
          <w:color w:val="000000"/>
          <w:sz w:val="26"/>
          <w:szCs w:val="26"/>
        </w:rPr>
        <w:t>Tiesa var uzlikt gan sodanaudu un kavējuma naudu, neizslēdzot vienu vai otru</w:t>
      </w:r>
      <w:r w:rsidRPr="00D15EDB">
        <w:rPr>
          <w:rFonts w:ascii="Times New Roman" w:hAnsi="Times New Roman"/>
          <w:color w:val="000000"/>
          <w:sz w:val="26"/>
          <w:szCs w:val="26"/>
        </w:rPr>
        <w:t xml:space="preserve">. </w:t>
      </w:r>
      <w:r w:rsidRPr="00D15EDB">
        <w:rPr>
          <w:rFonts w:ascii="Times New Roman" w:hAnsi="Times New Roman"/>
          <w:sz w:val="26"/>
          <w:szCs w:val="26"/>
        </w:rPr>
        <w:t>Soda naudu var aprēķināt par katru kavējuma dienu sākot no pirmā sprieduma pasludināšanas dienas līdz otrā sprieduma pasludināšanai vai līdz dienai, kad dalībvalstis veiks pasākumus, kas ietver pirmā sprieduma izpildi, ja tas notiks ātrāk par otrā sprieduma pasludināšanas dienu.</w:t>
      </w:r>
      <w:r w:rsidRPr="00D15EDB">
        <w:rPr>
          <w:rFonts w:ascii="Times New Roman" w:hAnsi="Times New Roman"/>
          <w:sz w:val="26"/>
          <w:szCs w:val="26"/>
        </w:rPr>
        <w:tab/>
      </w:r>
    </w:p>
    <w:p w:rsidR="006D029B" w:rsidRPr="00D15EDB" w:rsidRDefault="006D029B" w:rsidP="006D029B">
      <w:pPr>
        <w:spacing w:before="120"/>
        <w:jc w:val="both"/>
        <w:rPr>
          <w:rFonts w:ascii="Times New Roman" w:hAnsi="Times New Roman"/>
          <w:sz w:val="26"/>
          <w:szCs w:val="26"/>
        </w:rPr>
      </w:pPr>
      <w:r w:rsidRPr="00D15EDB">
        <w:rPr>
          <w:rFonts w:ascii="Times New Roman" w:hAnsi="Times New Roman"/>
          <w:sz w:val="26"/>
          <w:szCs w:val="26"/>
        </w:rPr>
        <w:t xml:space="preserve">Kā izriet no LESD 260.panta 1.un 2.punkta, kā arī, ņemot vērā Tiesas praksi, var secināt, ka </w:t>
      </w:r>
      <w:r w:rsidRPr="00D15EDB">
        <w:rPr>
          <w:rFonts w:ascii="Times New Roman" w:hAnsi="Times New Roman"/>
          <w:b/>
          <w:sz w:val="26"/>
          <w:szCs w:val="26"/>
        </w:rPr>
        <w:t xml:space="preserve">ar ES Tiesas otrā sprieduma pasludināšanas dienu līdz brīdim, kad tādas </w:t>
      </w:r>
      <w:r w:rsidRPr="00D15EDB">
        <w:rPr>
          <w:rFonts w:ascii="Times New Roman" w:hAnsi="Times New Roman"/>
          <w:b/>
          <w:sz w:val="26"/>
          <w:szCs w:val="26"/>
        </w:rPr>
        <w:lastRenderedPageBreak/>
        <w:t xml:space="preserve">enerģijas īpatsvars kopējā bruto </w:t>
      </w:r>
      <w:proofErr w:type="spellStart"/>
      <w:r w:rsidRPr="00D15EDB">
        <w:rPr>
          <w:rFonts w:ascii="Times New Roman" w:hAnsi="Times New Roman"/>
          <w:b/>
          <w:sz w:val="26"/>
          <w:szCs w:val="26"/>
        </w:rPr>
        <w:t>galapatēriņā</w:t>
      </w:r>
      <w:proofErr w:type="spellEnd"/>
      <w:r w:rsidRPr="00D15EDB">
        <w:rPr>
          <w:rFonts w:ascii="Times New Roman" w:hAnsi="Times New Roman"/>
          <w:b/>
          <w:sz w:val="26"/>
          <w:szCs w:val="26"/>
        </w:rPr>
        <w:t>, kas ražots no atjaunojamiem energoresursiem Latvijā sasniedz 40%, ES Tiesa var piemērot šādas soda naudas</w:t>
      </w:r>
      <w:r w:rsidRPr="00D15EDB">
        <w:rPr>
          <w:rFonts w:ascii="Times New Roman" w:hAnsi="Times New Roman"/>
          <w:sz w:val="26"/>
          <w:szCs w:val="26"/>
        </w:rPr>
        <w:t>:</w:t>
      </w:r>
    </w:p>
    <w:p w:rsidR="006D029B" w:rsidRPr="00D15EDB" w:rsidRDefault="006D029B" w:rsidP="006D029B">
      <w:pPr>
        <w:spacing w:before="120"/>
        <w:jc w:val="both"/>
        <w:rPr>
          <w:rFonts w:ascii="Times New Roman" w:hAnsi="Times New Roman"/>
          <w:sz w:val="26"/>
          <w:szCs w:val="26"/>
        </w:rPr>
      </w:pPr>
      <w:r w:rsidRPr="00D15EDB">
        <w:rPr>
          <w:rFonts w:ascii="Times New Roman" w:hAnsi="Times New Roman"/>
          <w:sz w:val="26"/>
          <w:szCs w:val="26"/>
        </w:rPr>
        <w:t xml:space="preserve">1) kavējuma nauda 462,4 EUR/dienā līdz 27 744 EUR/dienā no Tiesas otrā sprieduma pasludināšanai līdz brīdim, kad Latvija sasniedz 40% atjaunojamās enerģijas īpatsvaru kopējā enerģijas bruto </w:t>
      </w:r>
      <w:proofErr w:type="spellStart"/>
      <w:r w:rsidRPr="00D15EDB">
        <w:rPr>
          <w:rFonts w:ascii="Times New Roman" w:hAnsi="Times New Roman"/>
          <w:sz w:val="26"/>
          <w:szCs w:val="26"/>
        </w:rPr>
        <w:t>galapatēriņā</w:t>
      </w:r>
      <w:proofErr w:type="spellEnd"/>
      <w:r w:rsidRPr="00D15EDB">
        <w:rPr>
          <w:rFonts w:ascii="Times New Roman" w:hAnsi="Times New Roman"/>
          <w:sz w:val="26"/>
          <w:szCs w:val="26"/>
        </w:rPr>
        <w:t>;</w:t>
      </w:r>
    </w:p>
    <w:p w:rsidR="006D029B" w:rsidRPr="00D15EDB" w:rsidRDefault="006D029B" w:rsidP="006D029B">
      <w:pPr>
        <w:pStyle w:val="paragraph"/>
        <w:spacing w:before="120" w:beforeAutospacing="0" w:after="120" w:afterAutospacing="0"/>
        <w:jc w:val="both"/>
        <w:textAlignment w:val="baseline"/>
        <w:rPr>
          <w:sz w:val="26"/>
          <w:szCs w:val="26"/>
        </w:rPr>
      </w:pPr>
      <w:r w:rsidRPr="00D15EDB">
        <w:rPr>
          <w:sz w:val="26"/>
          <w:szCs w:val="26"/>
        </w:rPr>
        <w:t xml:space="preserve">2) soda nauda 156,40 EUR/dienā līdz 3128 EUR/dienā no Tiesas pirmā sprieduma līdz otrā ES Tiesas sprieduma pasludināšanai  - minimālā summa 392 000 EUR.  </w:t>
      </w:r>
    </w:p>
    <w:p w:rsidR="006D029B" w:rsidRPr="00D15EDB" w:rsidRDefault="006D029B" w:rsidP="006D029B">
      <w:pPr>
        <w:pStyle w:val="paragraph"/>
        <w:spacing w:before="120" w:beforeAutospacing="0" w:after="120" w:afterAutospacing="0"/>
        <w:jc w:val="both"/>
        <w:textAlignment w:val="baseline"/>
        <w:rPr>
          <w:sz w:val="26"/>
          <w:szCs w:val="26"/>
        </w:rPr>
      </w:pPr>
      <w:r w:rsidRPr="00D15EDB">
        <w:rPr>
          <w:b/>
          <w:sz w:val="26"/>
          <w:szCs w:val="26"/>
        </w:rPr>
        <w:t>Vienlaikus EK ir  norādījusi, ka ES Tiesa, vērtējot soda naudu apmēru, ņems vērā apstākļus, kas ietekmējuši dalībvalstij noteikto mērķu nesasniegšanu.</w:t>
      </w:r>
    </w:p>
    <w:p w:rsidR="006D029B" w:rsidRPr="00D15EDB" w:rsidRDefault="006D029B" w:rsidP="006D029B">
      <w:pPr>
        <w:pStyle w:val="paragraph"/>
        <w:spacing w:before="120" w:beforeAutospacing="0" w:after="120" w:afterAutospacing="0"/>
        <w:jc w:val="both"/>
        <w:textAlignment w:val="baseline"/>
        <w:rPr>
          <w:sz w:val="26"/>
          <w:szCs w:val="26"/>
          <w:lang w:eastAsia="en-US"/>
        </w:rPr>
      </w:pPr>
      <w:r w:rsidRPr="00D15EDB">
        <w:rPr>
          <w:sz w:val="26"/>
          <w:szCs w:val="26"/>
          <w:lang w:eastAsia="en-US"/>
        </w:rPr>
        <w:t xml:space="preserve">Vienlaikus Direktīvā Nr.2009/28/EK (par atjaunojamās enerģijas veicināšanu) un pārskatītajā Direktīvā Nr.2018/2001 ir noteikts mehānisms, kā </w:t>
      </w:r>
      <w:r w:rsidRPr="00D15EDB">
        <w:rPr>
          <w:b/>
          <w:sz w:val="26"/>
          <w:szCs w:val="26"/>
          <w:lang w:eastAsia="en-US"/>
        </w:rPr>
        <w:t xml:space="preserve">ES dalībvalstis var vienoties un var noteikt kārtību, lai statistiski nodotu no atjaunojamiem </w:t>
      </w:r>
      <w:proofErr w:type="spellStart"/>
      <w:r w:rsidRPr="00D15EDB">
        <w:rPr>
          <w:b/>
          <w:sz w:val="26"/>
          <w:szCs w:val="26"/>
          <w:lang w:eastAsia="en-US"/>
        </w:rPr>
        <w:t>enerogresursiem</w:t>
      </w:r>
      <w:proofErr w:type="spellEnd"/>
      <w:r w:rsidRPr="00D15EDB">
        <w:rPr>
          <w:b/>
          <w:sz w:val="26"/>
          <w:szCs w:val="26"/>
          <w:lang w:eastAsia="en-US"/>
        </w:rPr>
        <w:t xml:space="preserve"> saražotas enerģijas konkrētu apjomu no vienas dalībvalsts otrai</w:t>
      </w:r>
      <w:r w:rsidRPr="00D15EDB">
        <w:rPr>
          <w:sz w:val="26"/>
          <w:szCs w:val="26"/>
          <w:lang w:eastAsia="en-US"/>
        </w:rPr>
        <w:t xml:space="preserve">, tādējādi nodrošinot </w:t>
      </w:r>
      <w:r w:rsidRPr="00D15EDB">
        <w:rPr>
          <w:sz w:val="26"/>
          <w:szCs w:val="26"/>
        </w:rPr>
        <w:t>atjaunojamās enerģijas</w:t>
      </w:r>
      <w:r w:rsidRPr="00D15EDB">
        <w:rPr>
          <w:sz w:val="26"/>
          <w:szCs w:val="26"/>
          <w:lang w:eastAsia="en-US"/>
        </w:rPr>
        <w:t xml:space="preserve"> mērķa sasniegšanu. Attiecīgi, ja Latvijas </w:t>
      </w:r>
      <w:r w:rsidRPr="00D15EDB">
        <w:rPr>
          <w:sz w:val="26"/>
          <w:szCs w:val="26"/>
        </w:rPr>
        <w:t>atjaunojamās enerģijas</w:t>
      </w:r>
      <w:r w:rsidRPr="00D15EDB">
        <w:rPr>
          <w:sz w:val="26"/>
          <w:szCs w:val="26"/>
          <w:lang w:eastAsia="en-US"/>
        </w:rPr>
        <w:t xml:space="preserve"> īpatsvarā rastos būtisks iztrūkumus 2020.gada mērķa sasniegšanai, lai izvairītos no tiesvedības ar EK, būtu iespējams pirkt statistiku no citas dalībvalsts, kas savu </w:t>
      </w:r>
      <w:r w:rsidRPr="00D15EDB">
        <w:rPr>
          <w:sz w:val="26"/>
          <w:szCs w:val="26"/>
        </w:rPr>
        <w:t>atjaunojamās enerģijas</w:t>
      </w:r>
      <w:r w:rsidRPr="00D15EDB">
        <w:rPr>
          <w:sz w:val="26"/>
          <w:szCs w:val="26"/>
          <w:lang w:eastAsia="en-US"/>
        </w:rPr>
        <w:t xml:space="preserve"> mērķi plāno pārsniegt. Šāda darījuma summa atkarīga no valstu savstarpējās vienošanās un paredzams, ka tuvojoties 2020.gadam, šī summa pieaugs. Jāņem vērā, ka Direktīvā Nr.2018/2001 un Regulā Nr.2018/1999 noteikts, ka dalībvalstu </w:t>
      </w:r>
      <w:r w:rsidRPr="00D15EDB">
        <w:rPr>
          <w:sz w:val="26"/>
          <w:szCs w:val="26"/>
        </w:rPr>
        <w:t>atjaunojamās enerģijas</w:t>
      </w:r>
      <w:r w:rsidRPr="00D15EDB">
        <w:rPr>
          <w:sz w:val="26"/>
          <w:szCs w:val="26"/>
          <w:lang w:eastAsia="en-US"/>
        </w:rPr>
        <w:t xml:space="preserve"> īpatsvars pēc 2020.gada nevar nokrist zem 2020.gada mērķa un Regulā Nr.2018/1999 noteiktās trajektorijas </w:t>
      </w:r>
      <w:r w:rsidRPr="00D15EDB">
        <w:rPr>
          <w:sz w:val="26"/>
          <w:szCs w:val="26"/>
        </w:rPr>
        <w:t>atjaunojamās enerģijas</w:t>
      </w:r>
      <w:r w:rsidRPr="00D15EDB">
        <w:rPr>
          <w:sz w:val="26"/>
          <w:szCs w:val="26"/>
          <w:lang w:eastAsia="en-US"/>
        </w:rPr>
        <w:t xml:space="preserve"> mērķa palielinājumam, tādējādi </w:t>
      </w:r>
      <w:r w:rsidRPr="00D15EDB">
        <w:rPr>
          <w:sz w:val="26"/>
          <w:szCs w:val="26"/>
        </w:rPr>
        <w:t>atjaunojamās enerģijas</w:t>
      </w:r>
      <w:r w:rsidRPr="00D15EDB">
        <w:rPr>
          <w:sz w:val="26"/>
          <w:szCs w:val="26"/>
          <w:lang w:eastAsia="en-US"/>
        </w:rPr>
        <w:t xml:space="preserve"> īpatsvara iztrūkuma segšanai, īstenojot Likumprojektā ietverto risinājumu, statistiku būtu nepieciešams pirkt arī pēc 2020.gada. Šādas izmaksas varētu svārstīties no 35 līdz 50 </w:t>
      </w:r>
      <w:proofErr w:type="spellStart"/>
      <w:r w:rsidRPr="00D15EDB">
        <w:rPr>
          <w:sz w:val="26"/>
          <w:szCs w:val="26"/>
          <w:lang w:eastAsia="en-US"/>
        </w:rPr>
        <w:t>milj.</w:t>
      </w:r>
      <w:r w:rsidRPr="00D15EDB">
        <w:rPr>
          <w:i/>
          <w:sz w:val="26"/>
          <w:szCs w:val="26"/>
          <w:lang w:eastAsia="en-US"/>
        </w:rPr>
        <w:t>euro</w:t>
      </w:r>
      <w:proofErr w:type="spellEnd"/>
      <w:r w:rsidRPr="00D15EDB">
        <w:rPr>
          <w:i/>
          <w:sz w:val="26"/>
          <w:szCs w:val="26"/>
          <w:lang w:eastAsia="en-US"/>
        </w:rPr>
        <w:t xml:space="preserve"> </w:t>
      </w:r>
      <w:r w:rsidRPr="00D15EDB">
        <w:rPr>
          <w:sz w:val="26"/>
          <w:szCs w:val="26"/>
          <w:lang w:eastAsia="en-US"/>
        </w:rPr>
        <w:t>par pirkumu (gadā), atkarībā no iztrūkuma apjoma un statistikas pieejamības tirgū.</w:t>
      </w:r>
    </w:p>
    <w:p w:rsidR="006D029B" w:rsidRPr="00D15EDB" w:rsidRDefault="006D029B" w:rsidP="006D029B">
      <w:pPr>
        <w:pStyle w:val="paragraph"/>
        <w:spacing w:before="120" w:beforeAutospacing="0" w:after="120" w:afterAutospacing="0"/>
        <w:textAlignment w:val="baseline"/>
        <w:rPr>
          <w:rStyle w:val="eop"/>
          <w:b/>
          <w:i/>
          <w:sz w:val="26"/>
          <w:szCs w:val="26"/>
        </w:rPr>
      </w:pPr>
      <w:r w:rsidRPr="00D15EDB">
        <w:rPr>
          <w:rStyle w:val="normaltextrun"/>
          <w:b/>
          <w:i/>
          <w:sz w:val="26"/>
          <w:szCs w:val="26"/>
        </w:rPr>
        <w:t>SEG mērķu izpilde 2020. un 2030.gadā</w:t>
      </w:r>
    </w:p>
    <w:p w:rsidR="006D029B" w:rsidRPr="00D15EDB" w:rsidRDefault="006D029B" w:rsidP="006D029B">
      <w:pPr>
        <w:spacing w:before="120" w:after="120" w:line="240" w:lineRule="auto"/>
        <w:jc w:val="both"/>
        <w:rPr>
          <w:rFonts w:ascii="Times New Roman" w:hAnsi="Times New Roman"/>
          <w:color w:val="000000" w:themeColor="text1"/>
          <w:sz w:val="26"/>
          <w:szCs w:val="26"/>
        </w:rPr>
      </w:pPr>
      <w:r w:rsidRPr="00D15EDB">
        <w:rPr>
          <w:rFonts w:ascii="Times New Roman" w:hAnsi="Times New Roman"/>
          <w:color w:val="000000" w:themeColor="text1"/>
          <w:sz w:val="26"/>
          <w:szCs w:val="26"/>
        </w:rPr>
        <w:t xml:space="preserve">ES stratēģiskās attīstības ietvarā enerģētikas un klimata politikas mērķi un uzdevumi tiek skatīti saistīti. </w:t>
      </w:r>
      <w:r w:rsidRPr="00D15EDB">
        <w:rPr>
          <w:rFonts w:ascii="Times New Roman" w:eastAsia="Times New Roman" w:hAnsi="Times New Roman"/>
          <w:sz w:val="26"/>
          <w:szCs w:val="26"/>
        </w:rPr>
        <w:t>ES ietvaros ir noteikts kopējs ES siltumnīcefekta gāzu (turpmāk -SEG) emisiju samazināšanas mērķis, un tas ir sadalīts divās daļās – ES Emisijas kvotu tirdzniecības sistēmā</w:t>
      </w:r>
      <w:r w:rsidRPr="00D15EDB">
        <w:rPr>
          <w:rStyle w:val="FootnoteReference"/>
          <w:rFonts w:ascii="Times New Roman" w:eastAsia="Times New Roman" w:hAnsi="Times New Roman"/>
          <w:sz w:val="26"/>
          <w:szCs w:val="26"/>
        </w:rPr>
        <w:footnoteReference w:id="35"/>
      </w:r>
      <w:r w:rsidRPr="00D15EDB">
        <w:rPr>
          <w:rFonts w:ascii="Times New Roman" w:eastAsia="Times New Roman" w:hAnsi="Times New Roman"/>
          <w:sz w:val="26"/>
          <w:szCs w:val="26"/>
        </w:rPr>
        <w:t xml:space="preserve"> (turpmāk – ES ETS) iekļautās darbības un ES ETS neiekļautās darbības (turpmāk – ne-ETS). ES ETS operatoriem kopīgi visā ES ir jāsamazina SEG emisiju apjoms par 21 % līdz 2020. gadam un par 43 % līdz 2030. gadam (salīdzinot ar šo ES ETS operatoru SEG emisiju apjomu 2005. gadā). Savukārt ne-ETS SEG emisiju samazināšanas mērķa izpildes saistības ir pārdalītas katrai ES dalībvalstij, t.sk. Latvijai.</w:t>
      </w:r>
    </w:p>
    <w:p w:rsidR="006D029B" w:rsidRPr="00D15EDB" w:rsidRDefault="006D029B" w:rsidP="006D029B">
      <w:pPr>
        <w:spacing w:before="120" w:after="120" w:line="240" w:lineRule="auto"/>
        <w:jc w:val="both"/>
        <w:rPr>
          <w:rFonts w:ascii="Times New Roman" w:eastAsia="Times New Roman" w:hAnsi="Times New Roman"/>
          <w:sz w:val="26"/>
          <w:szCs w:val="26"/>
        </w:rPr>
      </w:pPr>
      <w:r w:rsidRPr="00D15EDB">
        <w:rPr>
          <w:rFonts w:ascii="Times New Roman" w:eastAsia="Times New Roman" w:hAnsi="Times New Roman"/>
          <w:sz w:val="26"/>
          <w:szCs w:val="26"/>
        </w:rPr>
        <w:t xml:space="preserve">Latvijai laika periodā līdz 2020. gadam pieļauts ne-ETS darbību SEG emisiju pieaugums par 17 %, salīdzinot ar Latvijas ne-ETS darbību SEG emisiju apjomu 2005. gadā. Savukārt periodā no 2021. gada līdz 2030. gadam Latvijai ir nepieciešams nodrošināt ne-ETS darbību SEG emisiju samazinājumu par 6%, salīdzinot ar Latvijas ne-ETS darbību SEG emisiju apjomu 2005. gadā. </w:t>
      </w:r>
    </w:p>
    <w:p w:rsidR="006D029B" w:rsidRPr="00D15EDB" w:rsidRDefault="006D029B" w:rsidP="006D029B">
      <w:pPr>
        <w:spacing w:before="120" w:after="120" w:line="240" w:lineRule="auto"/>
        <w:jc w:val="both"/>
        <w:rPr>
          <w:rFonts w:ascii="Times New Roman" w:eastAsia="Times New Roman" w:hAnsi="Times New Roman"/>
          <w:sz w:val="26"/>
          <w:szCs w:val="26"/>
        </w:rPr>
      </w:pPr>
      <w:r w:rsidRPr="00D15EDB">
        <w:rPr>
          <w:rFonts w:ascii="Times New Roman" w:eastAsia="Times New Roman" w:hAnsi="Times New Roman"/>
          <w:b/>
          <w:sz w:val="26"/>
          <w:szCs w:val="26"/>
        </w:rPr>
        <w:lastRenderedPageBreak/>
        <w:t>2017.gadā enerģētikas daļa Latvijas ne-ETS emisiju struktūrā veidoja aptuveni 17%.</w:t>
      </w:r>
      <w:r w:rsidRPr="00D15EDB">
        <w:rPr>
          <w:rFonts w:ascii="Times New Roman" w:eastAsia="Times New Roman" w:hAnsi="Times New Roman"/>
          <w:sz w:val="26"/>
          <w:szCs w:val="26"/>
        </w:rPr>
        <w:t xml:space="preserve"> Līdzšinējās prognozes liecina, ka Latvija savu 2020.gada ne-ETS mērķi sasniegs, jo prognozētais emisiju pieaugums ir ~ 5%, savukārt šobrīd prognozētais aptuvenais emisiju samazinājums uz 2030.gadu varētu būt ~ 5%, kas nav pietiekami mērķa sasniegšanai (šis emisiju samazinājuma apjoms ir prognozēts 2018.gada normatīvā regulējuma ietvaros).</w:t>
      </w:r>
    </w:p>
    <w:p w:rsidR="006D029B" w:rsidRPr="00D15EDB" w:rsidRDefault="006D029B" w:rsidP="006D029B">
      <w:pPr>
        <w:spacing w:before="120" w:after="120" w:line="240" w:lineRule="auto"/>
        <w:jc w:val="both"/>
        <w:rPr>
          <w:rFonts w:ascii="Times New Roman" w:eastAsia="Times New Roman" w:hAnsi="Times New Roman"/>
          <w:sz w:val="26"/>
          <w:szCs w:val="26"/>
        </w:rPr>
      </w:pPr>
      <w:r w:rsidRPr="00D15EDB">
        <w:rPr>
          <w:rFonts w:ascii="Times New Roman" w:eastAsia="Times New Roman" w:hAnsi="Times New Roman"/>
          <w:sz w:val="26"/>
          <w:szCs w:val="26"/>
        </w:rPr>
        <w:t>Pie ne-ETS sektora pieder OI stacijas ar jaudu zem 20 MW, tādējādi ne-ETS emisijas neietekmēs AS “Latvenergo” TEC-1 un TEC-2, AS “Rīgas Siltums” stacijas “Imanta” un SIA “Juglas jauda” dabasgāzes staciju un SIA “</w:t>
      </w:r>
      <w:proofErr w:type="spellStart"/>
      <w:r w:rsidRPr="00D15EDB">
        <w:rPr>
          <w:rFonts w:ascii="Times New Roman" w:eastAsia="Times New Roman" w:hAnsi="Times New Roman"/>
          <w:sz w:val="26"/>
          <w:szCs w:val="26"/>
        </w:rPr>
        <w:t>Fortum</w:t>
      </w:r>
      <w:proofErr w:type="spellEnd"/>
      <w:r w:rsidRPr="00D15EDB">
        <w:rPr>
          <w:rFonts w:ascii="Times New Roman" w:eastAsia="Times New Roman" w:hAnsi="Times New Roman"/>
          <w:sz w:val="26"/>
          <w:szCs w:val="26"/>
        </w:rPr>
        <w:t xml:space="preserve"> Latvia” biomasas stacijas turpmākā darbība. Savukārt pārējo elektrostaciju, kas saņem atbalstu OI mehānisma ietvaros, emisijas pieder pie ne-ETS sistēmas un paredzams, ka lielākā daļa no tām pēc atbalsta pārtraukšanas savu darbību beigs. Konkrētas ietekmes uz ne-ETS emisiju sektoru šobrīd nav prognozētas, tomēr paredzams, ka </w:t>
      </w:r>
      <w:r w:rsidRPr="00D15EDB">
        <w:rPr>
          <w:rFonts w:ascii="Times New Roman" w:eastAsia="Times New Roman" w:hAnsi="Times New Roman"/>
          <w:b/>
          <w:sz w:val="26"/>
          <w:szCs w:val="26"/>
        </w:rPr>
        <w:t>ņemot vērā elastību uz 2020.gada mērķi, šādam Likumprojekta risinājumam nebūs ietekmes uz mērķa sasniegšanu</w:t>
      </w:r>
      <w:r w:rsidRPr="00D15EDB">
        <w:rPr>
          <w:rFonts w:ascii="Times New Roman" w:eastAsia="Times New Roman" w:hAnsi="Times New Roman"/>
          <w:sz w:val="26"/>
          <w:szCs w:val="26"/>
        </w:rPr>
        <w:t xml:space="preserve">, savukārt </w:t>
      </w:r>
      <w:r w:rsidRPr="00D15EDB">
        <w:rPr>
          <w:rFonts w:ascii="Times New Roman" w:eastAsia="Times New Roman" w:hAnsi="Times New Roman"/>
          <w:b/>
          <w:sz w:val="26"/>
          <w:szCs w:val="26"/>
        </w:rPr>
        <w:t>attiecībā uz 2030.gada mērķi paredzams, ka šāds risinājums var vēl vairāk attālināt Latviju no 2030.gada mērķa sasniegšanas</w:t>
      </w:r>
      <w:r w:rsidRPr="00D15EDB">
        <w:rPr>
          <w:rFonts w:ascii="Times New Roman" w:eastAsia="Times New Roman" w:hAnsi="Times New Roman"/>
          <w:sz w:val="26"/>
          <w:szCs w:val="26"/>
        </w:rPr>
        <w:t xml:space="preserve">. Noteicošie faktori emisiju palielinājumam, slēdzot OI stacijas, būs nepieciešamība rast citus siltumenerģijas ražošanas avotus un lielākajā daļā gadījumu tie visdrīzāk būs fosilie enerģijas avoti, turklāt ražojot siltumenerģiju katlu mājās, kas ir mazāk efektīvs enerģijas ražošanas veids. Tāpat, pārtraucot darbību biogāzes stacijām, pieaugs emisijas no kūtsmēslu apsaimniekošanas, kas arī ietilpst ne-ETS sektorā. Tāpat šādas biogāzes stacijas, kas kādu laiku nebūs darbojušās, nebūs iespējams pielāgot </w:t>
      </w:r>
      <w:proofErr w:type="spellStart"/>
      <w:r w:rsidRPr="00D15EDB">
        <w:rPr>
          <w:rFonts w:ascii="Times New Roman" w:eastAsia="Times New Roman" w:hAnsi="Times New Roman"/>
          <w:sz w:val="26"/>
          <w:szCs w:val="26"/>
        </w:rPr>
        <w:t>biometāna</w:t>
      </w:r>
      <w:proofErr w:type="spellEnd"/>
      <w:r w:rsidRPr="00D15EDB">
        <w:rPr>
          <w:rFonts w:ascii="Times New Roman" w:eastAsia="Times New Roman" w:hAnsi="Times New Roman"/>
          <w:sz w:val="26"/>
          <w:szCs w:val="26"/>
        </w:rPr>
        <w:t xml:space="preserve"> ražošanai, ko būtu iespējams novirzīt uz patēriņu transporta sektorā, aizstājot fosilās degvielas un tādējādi mazinot emisijas un palielinot AER īpatsvaru tieši transporta sektorā.</w:t>
      </w:r>
    </w:p>
    <w:p w:rsidR="006D029B" w:rsidRPr="00D15EDB" w:rsidRDefault="006D029B" w:rsidP="006D029B">
      <w:pPr>
        <w:spacing w:before="120" w:after="120" w:line="240" w:lineRule="auto"/>
        <w:jc w:val="both"/>
        <w:rPr>
          <w:rFonts w:ascii="Times New Roman" w:eastAsia="Times New Roman" w:hAnsi="Times New Roman"/>
          <w:b/>
          <w:i/>
          <w:sz w:val="26"/>
          <w:szCs w:val="26"/>
        </w:rPr>
      </w:pPr>
      <w:r w:rsidRPr="00D15EDB">
        <w:rPr>
          <w:rFonts w:ascii="Times New Roman" w:eastAsia="Times New Roman" w:hAnsi="Times New Roman"/>
          <w:b/>
          <w:i/>
          <w:sz w:val="26"/>
          <w:szCs w:val="26"/>
        </w:rPr>
        <w:t>Gaisu piesārņojošo vielu emisiju samazināšanas mērķi</w:t>
      </w:r>
    </w:p>
    <w:p w:rsidR="006D029B" w:rsidRPr="00D15EDB" w:rsidRDefault="006D029B" w:rsidP="006D029B">
      <w:pPr>
        <w:spacing w:before="120" w:after="120" w:line="240" w:lineRule="auto"/>
        <w:jc w:val="both"/>
        <w:rPr>
          <w:rFonts w:ascii="Times New Roman" w:eastAsia="Times New Roman" w:hAnsi="Times New Roman"/>
          <w:sz w:val="26"/>
          <w:szCs w:val="26"/>
        </w:rPr>
      </w:pPr>
      <w:r w:rsidRPr="00D15EDB">
        <w:rPr>
          <w:rFonts w:ascii="Times New Roman" w:eastAsia="Times New Roman" w:hAnsi="Times New Roman"/>
          <w:sz w:val="26"/>
          <w:szCs w:val="26"/>
        </w:rPr>
        <w:t>Atbilstoši Direktīvai 2016/2284/ES</w:t>
      </w:r>
      <w:r w:rsidRPr="00D15EDB">
        <w:rPr>
          <w:rStyle w:val="FootnoteReference"/>
          <w:rFonts w:ascii="Times New Roman" w:eastAsia="Times New Roman" w:hAnsi="Times New Roman"/>
          <w:sz w:val="26"/>
          <w:szCs w:val="26"/>
        </w:rPr>
        <w:footnoteReference w:id="36"/>
      </w:r>
      <w:r w:rsidRPr="00D15EDB">
        <w:rPr>
          <w:rFonts w:ascii="Times New Roman" w:eastAsia="Times New Roman" w:hAnsi="Times New Roman"/>
          <w:sz w:val="26"/>
          <w:szCs w:val="26"/>
        </w:rPr>
        <w:t xml:space="preserve"> Latvijai noteikti jauni gaisu piesārņojošo vielu emisiju samazināšanas mērķi no 2020. līdz 2029. gadam, kā arī pēc 2030.gada. Viena no problemātiskajām vielām, kuras mērķu sasniegšanai nepieciešams realizēt papildu pasākumus ir amonjaks - Latvijai līdz 2030. gadam jāsasniedz aptuveni 20% amonjaka emisiju samazinājums. Viens no pasākumiem, kas būtu veicams amonjaka emisiju un smaku samazināšanai, ir biogāzes ražošanas veicināšana, izmantojot organiskos atkritumus, it īpaši kūtsmēslus, jo svaigi iegūto kūtsmēslu izmantošana biogāzes ražošanai praktiski nerada amonjaka emisijas. Likumprojektā ietvertā risinājuma rezultātā darbu pārtrauktu lielākā daļa biogāzes staciju, tādējādi tiktu būtiski apgrūtināta arī amonjaka emisiju samazināšanas mērķa sasniegšana.</w:t>
      </w:r>
    </w:p>
    <w:p w:rsidR="006D029B" w:rsidRPr="00D15EDB" w:rsidRDefault="006D029B" w:rsidP="006D029B">
      <w:pPr>
        <w:pStyle w:val="paragraph"/>
        <w:spacing w:before="120" w:beforeAutospacing="0" w:after="120" w:afterAutospacing="0"/>
        <w:textAlignment w:val="baseline"/>
        <w:rPr>
          <w:rStyle w:val="normaltextrun"/>
          <w:b/>
          <w:i/>
          <w:sz w:val="26"/>
          <w:szCs w:val="26"/>
        </w:rPr>
      </w:pPr>
      <w:r w:rsidRPr="00D15EDB">
        <w:rPr>
          <w:rStyle w:val="normaltextrun"/>
          <w:b/>
          <w:i/>
          <w:sz w:val="26"/>
          <w:szCs w:val="26"/>
        </w:rPr>
        <w:t xml:space="preserve">ES fondu apguve nākotnē </w:t>
      </w:r>
    </w:p>
    <w:p w:rsidR="006D029B" w:rsidRPr="00D15EDB" w:rsidRDefault="006D029B" w:rsidP="006D029B">
      <w:pPr>
        <w:pStyle w:val="paragraph"/>
        <w:spacing w:before="120" w:beforeAutospacing="0" w:after="120" w:afterAutospacing="0"/>
        <w:jc w:val="both"/>
        <w:textAlignment w:val="baseline"/>
        <w:rPr>
          <w:sz w:val="26"/>
          <w:szCs w:val="26"/>
          <w:lang w:eastAsia="en-US"/>
        </w:rPr>
      </w:pPr>
      <w:r w:rsidRPr="00D15EDB">
        <w:rPr>
          <w:sz w:val="26"/>
          <w:szCs w:val="26"/>
          <w:lang w:eastAsia="en-US"/>
        </w:rPr>
        <w:t xml:space="preserve">Ietekme no ES noteikto mērķu nesasniegšanas vērtējama ne tikai soda naudu un tiesvedību kontekstā, bet arī no nākamā ES fondu plānošanas perioda 2021. – 2027.gadam nosacījumu skatupunkta. Lai nodrošinātu, ka visas ES līdzfinansētās darbības atbilst ES politikas sistēmai, </w:t>
      </w:r>
      <w:r w:rsidRPr="00D15EDB">
        <w:rPr>
          <w:b/>
          <w:sz w:val="26"/>
          <w:szCs w:val="26"/>
          <w:lang w:eastAsia="en-US"/>
        </w:rPr>
        <w:t>paredzēts, ka dalībvalstis ES fondu ietvaros nevarēs deklarēt izdevumus, kas saistīti ar konkrētiem mērķiem, ja iepriekš izvirzītie nosacījumi nav izpildīti</w:t>
      </w:r>
      <w:r w:rsidRPr="00D15EDB">
        <w:rPr>
          <w:rStyle w:val="FootnoteReference"/>
          <w:b/>
          <w:sz w:val="26"/>
          <w:szCs w:val="26"/>
          <w:lang w:eastAsia="en-US"/>
        </w:rPr>
        <w:footnoteReference w:id="37"/>
      </w:r>
      <w:r w:rsidRPr="00D15EDB">
        <w:rPr>
          <w:b/>
          <w:sz w:val="26"/>
          <w:szCs w:val="26"/>
          <w:lang w:eastAsia="en-US"/>
        </w:rPr>
        <w:t>.</w:t>
      </w:r>
      <w:r w:rsidRPr="00D15EDB">
        <w:rPr>
          <w:sz w:val="26"/>
          <w:szCs w:val="26"/>
          <w:lang w:eastAsia="en-US"/>
        </w:rPr>
        <w:t xml:space="preserve"> Tā, piemēram, viens no piemērojamajiem </w:t>
      </w:r>
      <w:r w:rsidRPr="00D15EDB">
        <w:rPr>
          <w:sz w:val="26"/>
          <w:szCs w:val="26"/>
          <w:lang w:eastAsia="en-US"/>
        </w:rPr>
        <w:lastRenderedPageBreak/>
        <w:t xml:space="preserve">tematiskajiem nosacījumiem Eiropas Reģionālās attīstības fonda, Eiropas Sociālā fonda Plus un Kohēzijas fonda līdzekļu apgūšanai būs pasākumu esamība, kas nodrošina 2020.gada </w:t>
      </w:r>
      <w:r w:rsidRPr="00D15EDB">
        <w:rPr>
          <w:sz w:val="26"/>
          <w:szCs w:val="26"/>
        </w:rPr>
        <w:t>atjaunojamās enerģijas</w:t>
      </w:r>
      <w:r w:rsidRPr="00D15EDB">
        <w:rPr>
          <w:sz w:val="26"/>
          <w:szCs w:val="26"/>
          <w:lang w:eastAsia="en-US"/>
        </w:rPr>
        <w:t xml:space="preserve"> mērķa sasniegšanu. Šāds kritērijs piemērojams, lai sasniegtu ES politisko mērķi “zaļāka Eiropa ar zemām oglekļa emisijām, veicinot tīru un taisnīgu enerģētikas pārkārtošanu, “zaļas” un “zilas” investīcijas, aprites ekonomiku, pielāgošanos klimata pārmaiņām un risku novēršanu un pārvaldību”.</w:t>
      </w:r>
    </w:p>
    <w:p w:rsidR="006D029B" w:rsidRPr="00D15EDB" w:rsidRDefault="006D029B" w:rsidP="006D029B">
      <w:pPr>
        <w:pStyle w:val="paragraph"/>
        <w:spacing w:before="120" w:beforeAutospacing="0" w:after="120" w:afterAutospacing="0"/>
        <w:jc w:val="both"/>
        <w:textAlignment w:val="baseline"/>
        <w:rPr>
          <w:sz w:val="26"/>
          <w:szCs w:val="26"/>
          <w:lang w:eastAsia="en-US"/>
        </w:rPr>
      </w:pPr>
      <w:r w:rsidRPr="00D15EDB">
        <w:rPr>
          <w:sz w:val="26"/>
          <w:szCs w:val="26"/>
          <w:lang w:eastAsia="en-US"/>
        </w:rPr>
        <w:t xml:space="preserve">Īstenojot Likumprojektā ietverto risinājumu, 2020.gada atjaunojamās enerģijas mērķi Latvija nesasniegs, ja vien netiks īstenota atjaunojamās enerģijas statistikas pirkšana. Tādējādi ES fondu apguve ar enerģētiku saistītiem pasākumiem būs apdraudēta, kas būs jāņem vērā, izstrādājot Latvijas Nacionālo enerģētikas un klimata plānu 2021.–2030.gadam. </w:t>
      </w:r>
    </w:p>
    <w:p w:rsidR="006D029B" w:rsidRPr="00D15EDB" w:rsidRDefault="006D029B" w:rsidP="00D15EDB">
      <w:pPr>
        <w:spacing w:before="240" w:after="120" w:line="240" w:lineRule="auto"/>
        <w:jc w:val="both"/>
        <w:rPr>
          <w:rStyle w:val="normaltextrun"/>
          <w:rFonts w:ascii="Times New Roman" w:eastAsia="Times New Roman" w:hAnsi="Times New Roman"/>
          <w:sz w:val="26"/>
          <w:szCs w:val="26"/>
          <w:u w:val="single"/>
          <w:lang w:eastAsia="lv-LV"/>
        </w:rPr>
      </w:pPr>
      <w:r w:rsidRPr="00D15EDB">
        <w:rPr>
          <w:rStyle w:val="normaltextrun"/>
          <w:rFonts w:ascii="Times New Roman" w:eastAsia="Times New Roman" w:hAnsi="Times New Roman"/>
          <w:sz w:val="26"/>
          <w:szCs w:val="26"/>
          <w:u w:val="single"/>
          <w:lang w:eastAsia="lv-LV"/>
        </w:rPr>
        <w:t>Ietekme uz valsts budžetu</w:t>
      </w:r>
    </w:p>
    <w:p w:rsidR="00CA55CB" w:rsidRDefault="00CA55CB" w:rsidP="00D15EDB">
      <w:pPr>
        <w:pStyle w:val="paragraph"/>
        <w:spacing w:before="120" w:beforeAutospacing="0" w:after="120" w:afterAutospacing="0"/>
        <w:jc w:val="both"/>
        <w:textAlignment w:val="baseline"/>
        <w:rPr>
          <w:sz w:val="26"/>
          <w:szCs w:val="26"/>
        </w:rPr>
      </w:pPr>
      <w:r>
        <w:rPr>
          <w:sz w:val="26"/>
          <w:szCs w:val="26"/>
        </w:rPr>
        <w:t>Pieņemot Likumu jāņem vērā virkne valsts budžetu ietekmējošu faktoru, t.sk.:</w:t>
      </w:r>
    </w:p>
    <w:p w:rsidR="00CA55CB" w:rsidRPr="00D15EDB" w:rsidRDefault="00E73374" w:rsidP="00D15EDB">
      <w:pPr>
        <w:pStyle w:val="paragraph"/>
        <w:spacing w:before="120" w:beforeAutospacing="0" w:after="120" w:afterAutospacing="0"/>
        <w:jc w:val="both"/>
        <w:textAlignment w:val="baseline"/>
        <w:rPr>
          <w:sz w:val="26"/>
          <w:szCs w:val="26"/>
        </w:rPr>
      </w:pPr>
      <w:r w:rsidRPr="00592E2D">
        <w:rPr>
          <w:sz w:val="26"/>
          <w:szCs w:val="26"/>
        </w:rPr>
        <w:t>1) </w:t>
      </w:r>
      <w:r w:rsidR="00CA55CB" w:rsidRPr="00D15EDB">
        <w:rPr>
          <w:sz w:val="26"/>
          <w:szCs w:val="26"/>
        </w:rPr>
        <w:t xml:space="preserve">pozitīva ietekme uz 2020.gada un turpmāko gadu valsts budžeta izdevumiem (pēc naudas plūsmas metodes), kas saistīts ar izmaksu mazināšanos OIK vidējās vērtības noturēšanai. Saskaņā ar vidēja termiņa budžetu 2018.-2020.gadam finansējums OIK vidējās vērtības ierobežošanai 2020.gadā pēc naudas plūsmas metodes par 2019.gadu tika paredzēts </w:t>
      </w:r>
      <w:r w:rsidR="00D672DE" w:rsidRPr="00D15EDB">
        <w:rPr>
          <w:sz w:val="26"/>
          <w:szCs w:val="26"/>
        </w:rPr>
        <w:t>9,68</w:t>
      </w:r>
      <w:r w:rsidR="00D0416E" w:rsidRPr="00D15EDB">
        <w:rPr>
          <w:sz w:val="26"/>
          <w:szCs w:val="26"/>
        </w:rPr>
        <w:t xml:space="preserve"> milj. </w:t>
      </w:r>
      <w:r w:rsidR="00CA55CB" w:rsidRPr="00D15EDB">
        <w:rPr>
          <w:i/>
          <w:sz w:val="26"/>
          <w:szCs w:val="26"/>
        </w:rPr>
        <w:t xml:space="preserve">euro </w:t>
      </w:r>
      <w:r w:rsidR="00B77D25" w:rsidRPr="00592E2D">
        <w:rPr>
          <w:sz w:val="26"/>
          <w:szCs w:val="26"/>
        </w:rPr>
        <w:t>apmērā;</w:t>
      </w:r>
    </w:p>
    <w:p w:rsidR="00B77D25" w:rsidRDefault="00CA55CB" w:rsidP="00D15EDB">
      <w:pPr>
        <w:pStyle w:val="paragraph"/>
        <w:spacing w:before="120" w:beforeAutospacing="0" w:after="120" w:afterAutospacing="0"/>
        <w:jc w:val="both"/>
        <w:textAlignment w:val="baseline"/>
        <w:rPr>
          <w:sz w:val="26"/>
          <w:szCs w:val="26"/>
        </w:rPr>
      </w:pPr>
      <w:r w:rsidRPr="00D15EDB">
        <w:rPr>
          <w:sz w:val="26"/>
          <w:szCs w:val="26"/>
        </w:rPr>
        <w:t>2) </w:t>
      </w:r>
      <w:r w:rsidR="009428F9" w:rsidRPr="00D15EDB">
        <w:rPr>
          <w:sz w:val="26"/>
          <w:szCs w:val="26"/>
        </w:rPr>
        <w:t xml:space="preserve">pozitīva ietekme uz </w:t>
      </w:r>
      <w:r w:rsidR="00C604EE" w:rsidRPr="00D15EDB">
        <w:rPr>
          <w:sz w:val="26"/>
          <w:szCs w:val="26"/>
        </w:rPr>
        <w:t>turpmāko gadu valsts budžeta izdevumiem energoietilpīgo apstrādes rūpniecības uzņēmumu OIK izmaksu kompensēšanai, sākot ar 2020./2021.gadu (pēc naudas plūsmas metodes), atkarībā no tā, kad tiks saņemti komersantu iesniegumi un pieņemti lēmumi par izmaksu kompensēšanu.</w:t>
      </w:r>
      <w:r w:rsidR="00B77D25" w:rsidRPr="00D15EDB">
        <w:rPr>
          <w:sz w:val="26"/>
          <w:szCs w:val="26"/>
        </w:rPr>
        <w:t xml:space="preserve"> Saskaņā ar vidēja termiņa budžetu 2018.-2020.gadam finansējums šim mērķim 2019. un 2020. gadā pēc naudas plūsmas metodes ir paredzēts 3</w:t>
      </w:r>
      <w:r w:rsidR="00D0416E">
        <w:rPr>
          <w:sz w:val="26"/>
          <w:szCs w:val="26"/>
        </w:rPr>
        <w:t>,</w:t>
      </w:r>
      <w:r w:rsidR="00B77D25" w:rsidRPr="00D15EDB">
        <w:rPr>
          <w:sz w:val="26"/>
          <w:szCs w:val="26"/>
        </w:rPr>
        <w:t>37</w:t>
      </w:r>
      <w:r w:rsidR="00D0416E">
        <w:rPr>
          <w:sz w:val="26"/>
          <w:szCs w:val="26"/>
        </w:rPr>
        <w:t xml:space="preserve"> milj.</w:t>
      </w:r>
      <w:r w:rsidR="00B77D25" w:rsidRPr="00D15EDB">
        <w:rPr>
          <w:sz w:val="26"/>
          <w:szCs w:val="26"/>
        </w:rPr>
        <w:t xml:space="preserve"> </w:t>
      </w:r>
      <w:r w:rsidR="00B77D25" w:rsidRPr="00D15EDB">
        <w:rPr>
          <w:i/>
          <w:sz w:val="26"/>
          <w:szCs w:val="26"/>
        </w:rPr>
        <w:t xml:space="preserve">euro </w:t>
      </w:r>
      <w:r w:rsidR="00B77D25" w:rsidRPr="00D15EDB">
        <w:rPr>
          <w:sz w:val="26"/>
          <w:szCs w:val="26"/>
        </w:rPr>
        <w:t>apmērā</w:t>
      </w:r>
      <w:r w:rsidR="00B77D25" w:rsidRPr="00592E2D">
        <w:rPr>
          <w:sz w:val="26"/>
          <w:szCs w:val="26"/>
        </w:rPr>
        <w:t>;</w:t>
      </w:r>
    </w:p>
    <w:p w:rsidR="00673CCC" w:rsidRDefault="004A3778" w:rsidP="00D15EDB">
      <w:pPr>
        <w:pStyle w:val="paragraph"/>
        <w:spacing w:before="120" w:beforeAutospacing="0" w:after="120" w:afterAutospacing="0"/>
        <w:jc w:val="both"/>
        <w:textAlignment w:val="baseline"/>
        <w:rPr>
          <w:sz w:val="26"/>
          <w:szCs w:val="26"/>
        </w:rPr>
      </w:pPr>
      <w:r>
        <w:rPr>
          <w:sz w:val="26"/>
          <w:szCs w:val="26"/>
        </w:rPr>
        <w:t>3) </w:t>
      </w:r>
      <w:r w:rsidR="00673CCC">
        <w:rPr>
          <w:sz w:val="26"/>
          <w:szCs w:val="26"/>
        </w:rPr>
        <w:t>pozitīva ietekme uz valsts budžeta izdevumiem aizsargāto lietotāju izmaksu segšanai</w:t>
      </w:r>
      <w:r w:rsidR="00FA6119">
        <w:rPr>
          <w:sz w:val="26"/>
          <w:szCs w:val="26"/>
        </w:rPr>
        <w:t xml:space="preserve"> (uz kopējā fona ietekme neliela);</w:t>
      </w:r>
    </w:p>
    <w:p w:rsidR="001444CE" w:rsidRDefault="00673CCC" w:rsidP="00D15EDB">
      <w:pPr>
        <w:pStyle w:val="paragraph"/>
        <w:spacing w:before="120" w:beforeAutospacing="0" w:after="120" w:afterAutospacing="0"/>
        <w:jc w:val="both"/>
        <w:textAlignment w:val="baseline"/>
        <w:rPr>
          <w:rStyle w:val="normaltextrun"/>
          <w:sz w:val="26"/>
          <w:szCs w:val="26"/>
        </w:rPr>
      </w:pPr>
      <w:r>
        <w:rPr>
          <w:sz w:val="26"/>
          <w:szCs w:val="26"/>
        </w:rPr>
        <w:t>4) </w:t>
      </w:r>
      <w:r w:rsidR="004A3778">
        <w:rPr>
          <w:sz w:val="26"/>
          <w:szCs w:val="26"/>
        </w:rPr>
        <w:t xml:space="preserve">valsts atbalsta atcelšanas rezultātā </w:t>
      </w:r>
      <w:r w:rsidR="00FA6119">
        <w:rPr>
          <w:sz w:val="26"/>
          <w:szCs w:val="26"/>
        </w:rPr>
        <w:t>negatīvi tiks</w:t>
      </w:r>
      <w:r w:rsidR="001444CE">
        <w:rPr>
          <w:sz w:val="26"/>
          <w:szCs w:val="26"/>
        </w:rPr>
        <w:t xml:space="preserve"> ietekmēta AS “Latvenergo” dividenžu iemaksa valsts budžetā. Izteikti negatīva ietekme 2019.gadā</w:t>
      </w:r>
      <w:r w:rsidR="00200456">
        <w:rPr>
          <w:sz w:val="26"/>
          <w:szCs w:val="26"/>
        </w:rPr>
        <w:t xml:space="preserve"> </w:t>
      </w:r>
      <w:r w:rsidR="00AE2C08">
        <w:rPr>
          <w:sz w:val="26"/>
          <w:szCs w:val="26"/>
        </w:rPr>
        <w:t xml:space="preserve">(viens no būtiskākajiem apstākļiem, vērtējot </w:t>
      </w:r>
      <w:r w:rsidR="006649B7">
        <w:rPr>
          <w:sz w:val="26"/>
          <w:szCs w:val="26"/>
        </w:rPr>
        <w:t xml:space="preserve">īstermiņa </w:t>
      </w:r>
      <w:r w:rsidR="00AE2C08">
        <w:rPr>
          <w:sz w:val="26"/>
          <w:szCs w:val="26"/>
        </w:rPr>
        <w:t xml:space="preserve">finanšu ietekmi) </w:t>
      </w:r>
      <w:r w:rsidR="00200456">
        <w:rPr>
          <w:sz w:val="26"/>
          <w:szCs w:val="26"/>
        </w:rPr>
        <w:t xml:space="preserve">un </w:t>
      </w:r>
      <w:r w:rsidR="000C0A71">
        <w:rPr>
          <w:sz w:val="26"/>
          <w:szCs w:val="26"/>
        </w:rPr>
        <w:t xml:space="preserve">būtiski </w:t>
      </w:r>
      <w:r w:rsidR="00200456">
        <w:rPr>
          <w:sz w:val="26"/>
          <w:szCs w:val="26"/>
        </w:rPr>
        <w:t>mērenāka</w:t>
      </w:r>
      <w:r w:rsidR="001444CE">
        <w:rPr>
          <w:sz w:val="26"/>
          <w:szCs w:val="26"/>
        </w:rPr>
        <w:t xml:space="preserve"> ietekme turpmākajos gados</w:t>
      </w:r>
      <w:r w:rsidR="00E06076">
        <w:rPr>
          <w:sz w:val="26"/>
          <w:szCs w:val="26"/>
        </w:rPr>
        <w:t xml:space="preserve"> (aptuveni līdzšinējā ikgadējā valsts atbalsta apm</w:t>
      </w:r>
      <w:r w:rsidR="008B140B">
        <w:rPr>
          <w:sz w:val="26"/>
          <w:szCs w:val="26"/>
        </w:rPr>
        <w:t>ēr</w:t>
      </w:r>
      <w:r w:rsidR="00E06076">
        <w:rPr>
          <w:sz w:val="26"/>
          <w:szCs w:val="26"/>
        </w:rPr>
        <w:t>ā)</w:t>
      </w:r>
      <w:r w:rsidR="00431B9B">
        <w:rPr>
          <w:sz w:val="26"/>
          <w:szCs w:val="26"/>
        </w:rPr>
        <w:t>.</w:t>
      </w:r>
      <w:r w:rsidR="001444CE">
        <w:rPr>
          <w:sz w:val="26"/>
          <w:szCs w:val="26"/>
        </w:rPr>
        <w:t xml:space="preserve"> </w:t>
      </w:r>
      <w:r w:rsidR="00DB4D44">
        <w:rPr>
          <w:rStyle w:val="normaltextrun"/>
          <w:sz w:val="26"/>
          <w:szCs w:val="26"/>
        </w:rPr>
        <w:t>Informāciju</w:t>
      </w:r>
      <w:r w:rsidR="00431B9B" w:rsidRPr="00E65D1E">
        <w:rPr>
          <w:rStyle w:val="normaltextrun"/>
          <w:sz w:val="26"/>
          <w:szCs w:val="26"/>
        </w:rPr>
        <w:t xml:space="preserve"> p</w:t>
      </w:r>
      <w:r w:rsidR="00FA6119">
        <w:rPr>
          <w:rStyle w:val="normaltextrun"/>
          <w:sz w:val="26"/>
          <w:szCs w:val="26"/>
        </w:rPr>
        <w:t>ar Likumprojekta ietekmēm uz AS</w:t>
      </w:r>
      <w:r w:rsidR="00FA6119">
        <w:t> </w:t>
      </w:r>
      <w:r w:rsidR="00431B9B" w:rsidRPr="00E65D1E">
        <w:rPr>
          <w:rStyle w:val="normaltextrun"/>
          <w:sz w:val="26"/>
          <w:szCs w:val="26"/>
        </w:rPr>
        <w:t xml:space="preserve">“Latvenergo” norādītas </w:t>
      </w:r>
      <w:r w:rsidR="00FA6119">
        <w:rPr>
          <w:rStyle w:val="normaltextrun"/>
          <w:sz w:val="26"/>
          <w:szCs w:val="26"/>
        </w:rPr>
        <w:t xml:space="preserve">Likumprojekta anotācijas </w:t>
      </w:r>
      <w:r w:rsidR="00431B9B" w:rsidRPr="00E65D1E">
        <w:rPr>
          <w:rStyle w:val="normaltextrun"/>
          <w:sz w:val="26"/>
          <w:szCs w:val="26"/>
        </w:rPr>
        <w:t>1.pielikumā (ierobežota pi</w:t>
      </w:r>
      <w:r w:rsidR="002B376E">
        <w:rPr>
          <w:rStyle w:val="normaltextrun"/>
          <w:sz w:val="26"/>
          <w:szCs w:val="26"/>
        </w:rPr>
        <w:t>eejamība);</w:t>
      </w:r>
    </w:p>
    <w:p w:rsidR="00E06076" w:rsidRDefault="00E06076" w:rsidP="00E06076">
      <w:pPr>
        <w:pStyle w:val="paragraph"/>
        <w:spacing w:before="120" w:beforeAutospacing="0" w:after="120" w:afterAutospacing="0"/>
        <w:jc w:val="both"/>
        <w:textAlignment w:val="baseline"/>
        <w:rPr>
          <w:rStyle w:val="normaltextrun"/>
          <w:sz w:val="26"/>
          <w:szCs w:val="26"/>
        </w:rPr>
      </w:pPr>
      <w:r>
        <w:rPr>
          <w:rStyle w:val="normaltextrun"/>
          <w:sz w:val="26"/>
          <w:szCs w:val="26"/>
        </w:rPr>
        <w:t>5</w:t>
      </w:r>
      <w:r w:rsidR="00673CCC">
        <w:rPr>
          <w:rStyle w:val="normaltextrun"/>
          <w:sz w:val="26"/>
          <w:szCs w:val="26"/>
        </w:rPr>
        <w:t>) </w:t>
      </w:r>
      <w:r w:rsidR="00D0416E">
        <w:rPr>
          <w:rStyle w:val="normaltextrun"/>
          <w:sz w:val="26"/>
          <w:szCs w:val="26"/>
        </w:rPr>
        <w:t>ar PVN apliktā OIK ieņēmumu samazināšanās valsts budžetā vidēji par 30</w:t>
      </w:r>
      <w:r w:rsidR="00D672DE">
        <w:rPr>
          <w:rStyle w:val="normaltextrun"/>
          <w:sz w:val="26"/>
          <w:szCs w:val="26"/>
        </w:rPr>
        <w:t>,00 milj. </w:t>
      </w:r>
      <w:r w:rsidR="00D0416E">
        <w:rPr>
          <w:rStyle w:val="normaltextrun"/>
          <w:i/>
          <w:sz w:val="26"/>
          <w:szCs w:val="26"/>
        </w:rPr>
        <w:t>euro</w:t>
      </w:r>
      <w:r w:rsidR="00D0416E">
        <w:t xml:space="preserve"> gadā.</w:t>
      </w:r>
      <w:r w:rsidR="00D0416E">
        <w:rPr>
          <w:rStyle w:val="normaltextrun"/>
          <w:sz w:val="26"/>
          <w:szCs w:val="26"/>
        </w:rPr>
        <w:t xml:space="preserve"> </w:t>
      </w:r>
      <w:r w:rsidR="00D672DE">
        <w:rPr>
          <w:rStyle w:val="normaltextrun"/>
          <w:sz w:val="26"/>
          <w:szCs w:val="26"/>
        </w:rPr>
        <w:t>2019.gadā samazinājums mazāks, ņemot vērā to, ka līdz OIK atcelšanai PVN tiktu</w:t>
      </w:r>
      <w:r w:rsidR="002B376E">
        <w:rPr>
          <w:rStyle w:val="normaltextrun"/>
          <w:sz w:val="26"/>
          <w:szCs w:val="26"/>
        </w:rPr>
        <w:t xml:space="preserve"> iekasēts gada pirmajos mēnešos;</w:t>
      </w:r>
    </w:p>
    <w:p w:rsidR="005B51EA" w:rsidRDefault="002B376E" w:rsidP="005B51EA">
      <w:pPr>
        <w:pStyle w:val="paragraph"/>
        <w:spacing w:before="120" w:beforeAutospacing="0" w:after="120" w:afterAutospacing="0"/>
        <w:jc w:val="both"/>
        <w:textAlignment w:val="baseline"/>
        <w:rPr>
          <w:rStyle w:val="normaltextrun"/>
          <w:sz w:val="26"/>
          <w:szCs w:val="26"/>
        </w:rPr>
      </w:pPr>
      <w:r w:rsidRPr="00D15EDB">
        <w:rPr>
          <w:sz w:val="26"/>
          <w:szCs w:val="26"/>
        </w:rPr>
        <w:t>6) </w:t>
      </w:r>
      <w:r w:rsidR="005B51EA">
        <w:rPr>
          <w:sz w:val="26"/>
          <w:szCs w:val="26"/>
        </w:rPr>
        <w:t xml:space="preserve">negatīva ietekme uz OIK elektrostaciju un saistīto nozaru maksājumiem valsts budžetā nodokļu ieņēmumu veidā. Šajā pozīcijā nodokļu ieņēmumu samazinājums varētu būt 36,50 milj. </w:t>
      </w:r>
      <w:r w:rsidR="005B51EA">
        <w:rPr>
          <w:i/>
          <w:sz w:val="26"/>
          <w:szCs w:val="26"/>
        </w:rPr>
        <w:t xml:space="preserve">euro </w:t>
      </w:r>
      <w:r w:rsidR="005B51EA">
        <w:rPr>
          <w:sz w:val="26"/>
          <w:szCs w:val="26"/>
        </w:rPr>
        <w:t xml:space="preserve">gadā. </w:t>
      </w:r>
      <w:r w:rsidR="005B51EA">
        <w:rPr>
          <w:rStyle w:val="normaltextrun"/>
          <w:sz w:val="26"/>
          <w:szCs w:val="26"/>
        </w:rPr>
        <w:t>2019.gadā samazinājums mazāks, ņemot vērā to, ka līdz OIK atcelšana paredzēta ar otro ceturksni;</w:t>
      </w:r>
    </w:p>
    <w:p w:rsidR="00AE2C08" w:rsidRDefault="002B376E" w:rsidP="00D15EDB">
      <w:pPr>
        <w:pStyle w:val="paragraph"/>
        <w:spacing w:before="120" w:beforeAutospacing="0" w:after="120" w:afterAutospacing="0"/>
        <w:jc w:val="both"/>
        <w:textAlignment w:val="baseline"/>
        <w:rPr>
          <w:rStyle w:val="normaltextrun"/>
          <w:sz w:val="26"/>
          <w:szCs w:val="26"/>
        </w:rPr>
      </w:pPr>
      <w:r>
        <w:rPr>
          <w:rStyle w:val="normaltextrun"/>
          <w:sz w:val="26"/>
          <w:szCs w:val="26"/>
        </w:rPr>
        <w:t>7) ar ES Tiesas noteiktām finanšu sankcijām saistīti izdevumi valsts budžetā, sākot ar 2023. gadu līdz brīdim, kad tiek nodrošināta 2020.gada AER mērķu izpilde;</w:t>
      </w:r>
    </w:p>
    <w:p w:rsidR="0006772E" w:rsidRDefault="002B376E" w:rsidP="00D15EDB">
      <w:pPr>
        <w:pStyle w:val="paragraph"/>
        <w:spacing w:before="120" w:beforeAutospacing="0" w:after="120" w:afterAutospacing="0"/>
        <w:jc w:val="both"/>
        <w:textAlignment w:val="baseline"/>
        <w:rPr>
          <w:iCs/>
          <w:sz w:val="26"/>
          <w:szCs w:val="26"/>
        </w:rPr>
      </w:pPr>
      <w:r>
        <w:rPr>
          <w:rStyle w:val="normaltextrun"/>
          <w:sz w:val="26"/>
          <w:szCs w:val="26"/>
        </w:rPr>
        <w:lastRenderedPageBreak/>
        <w:t>8) </w:t>
      </w:r>
      <w:r w:rsidR="00DE0EFF">
        <w:rPr>
          <w:rStyle w:val="normaltextrun"/>
          <w:sz w:val="26"/>
          <w:szCs w:val="26"/>
        </w:rPr>
        <w:t xml:space="preserve">turpmākajos gados </w:t>
      </w:r>
      <w:r>
        <w:rPr>
          <w:rStyle w:val="normaltextrun"/>
          <w:sz w:val="26"/>
          <w:szCs w:val="26"/>
        </w:rPr>
        <w:t xml:space="preserve">ar potenciālajām tiesvedībām </w:t>
      </w:r>
      <w:r w:rsidR="00AA3922">
        <w:rPr>
          <w:rStyle w:val="normaltextrun"/>
          <w:sz w:val="26"/>
          <w:szCs w:val="26"/>
        </w:rPr>
        <w:t xml:space="preserve">saistīti valsts budžeta izdevumi, </w:t>
      </w:r>
      <w:r w:rsidR="0006772E">
        <w:rPr>
          <w:rStyle w:val="normaltextrun"/>
          <w:sz w:val="26"/>
          <w:szCs w:val="26"/>
        </w:rPr>
        <w:t xml:space="preserve">ievērojot šobrīd </w:t>
      </w:r>
      <w:r w:rsidR="0006772E" w:rsidRPr="00E65D1E">
        <w:rPr>
          <w:iCs/>
          <w:sz w:val="26"/>
          <w:szCs w:val="26"/>
        </w:rPr>
        <w:t xml:space="preserve">atlikušo valsts saistību </w:t>
      </w:r>
      <w:r w:rsidR="0006772E">
        <w:rPr>
          <w:iCs/>
          <w:sz w:val="26"/>
          <w:szCs w:val="26"/>
        </w:rPr>
        <w:t>apmērs</w:t>
      </w:r>
      <w:r w:rsidR="0006772E" w:rsidRPr="00E65D1E">
        <w:rPr>
          <w:iCs/>
          <w:sz w:val="26"/>
          <w:szCs w:val="26"/>
        </w:rPr>
        <w:t xml:space="preserve"> pret OI saņēmējiem</w:t>
      </w:r>
      <w:r w:rsidR="0006772E">
        <w:rPr>
          <w:iCs/>
          <w:sz w:val="26"/>
          <w:szCs w:val="26"/>
        </w:rPr>
        <w:t xml:space="preserve">, var </w:t>
      </w:r>
      <w:r w:rsidR="0006772E" w:rsidRPr="00E65D1E">
        <w:rPr>
          <w:iCs/>
          <w:sz w:val="26"/>
          <w:szCs w:val="26"/>
        </w:rPr>
        <w:t xml:space="preserve">sasniegt </w:t>
      </w:r>
      <w:r w:rsidR="0006772E">
        <w:rPr>
          <w:iCs/>
          <w:sz w:val="26"/>
          <w:szCs w:val="26"/>
        </w:rPr>
        <w:t>līdz pat 1 mljrd.</w:t>
      </w:r>
      <w:r w:rsidR="0006772E" w:rsidRPr="00E65D1E">
        <w:rPr>
          <w:iCs/>
          <w:sz w:val="26"/>
          <w:szCs w:val="26"/>
        </w:rPr>
        <w:t xml:space="preserve"> </w:t>
      </w:r>
      <w:proofErr w:type="spellStart"/>
      <w:r w:rsidR="0006772E" w:rsidRPr="00E65D1E">
        <w:rPr>
          <w:i/>
          <w:iCs/>
          <w:sz w:val="26"/>
          <w:szCs w:val="26"/>
        </w:rPr>
        <w:t>euro</w:t>
      </w:r>
      <w:proofErr w:type="spellEnd"/>
      <w:r w:rsidR="0006772E" w:rsidRPr="00E65D1E">
        <w:rPr>
          <w:iCs/>
          <w:sz w:val="26"/>
          <w:szCs w:val="26"/>
        </w:rPr>
        <w:t>.</w:t>
      </w:r>
    </w:p>
    <w:p w:rsidR="002C2671" w:rsidRDefault="002C2671" w:rsidP="00D15EDB">
      <w:pPr>
        <w:pStyle w:val="paragraph"/>
        <w:spacing w:before="120" w:beforeAutospacing="0" w:after="120" w:afterAutospacing="0"/>
        <w:jc w:val="both"/>
        <w:textAlignment w:val="baseline"/>
        <w:rPr>
          <w:iCs/>
          <w:sz w:val="26"/>
          <w:szCs w:val="26"/>
        </w:rPr>
      </w:pPr>
    </w:p>
    <w:p w:rsidR="002C2671" w:rsidRPr="002C2671" w:rsidRDefault="002C2671" w:rsidP="002C2671">
      <w:pPr>
        <w:jc w:val="both"/>
        <w:rPr>
          <w:rFonts w:ascii="Times New Roman" w:hAnsi="Times New Roman"/>
          <w:b/>
          <w:sz w:val="26"/>
          <w:szCs w:val="26"/>
        </w:rPr>
      </w:pPr>
      <w:r>
        <w:rPr>
          <w:rFonts w:ascii="Times New Roman" w:hAnsi="Times New Roman"/>
          <w:b/>
          <w:sz w:val="26"/>
          <w:szCs w:val="26"/>
        </w:rPr>
        <w:t>Tāpat a</w:t>
      </w:r>
      <w:r w:rsidRPr="002C2671">
        <w:rPr>
          <w:rFonts w:ascii="Times New Roman" w:hAnsi="Times New Roman"/>
          <w:b/>
          <w:sz w:val="26"/>
          <w:szCs w:val="26"/>
        </w:rPr>
        <w:t>tbildīgās ministrijas un valsts iestādes ir sniegušas atzinumus par Ekonomikas ministrijas sagatavoto Likumprojektu un tā anotāciju.</w:t>
      </w:r>
    </w:p>
    <w:p w:rsidR="002C2671" w:rsidRPr="002C2671" w:rsidRDefault="002C2671" w:rsidP="001954D4">
      <w:pPr>
        <w:jc w:val="both"/>
        <w:rPr>
          <w:rFonts w:ascii="Times New Roman" w:hAnsi="Times New Roman"/>
          <w:sz w:val="26"/>
          <w:szCs w:val="26"/>
        </w:rPr>
      </w:pPr>
      <w:r w:rsidRPr="002C2671">
        <w:rPr>
          <w:rFonts w:ascii="Times New Roman" w:hAnsi="Times New Roman"/>
          <w:b/>
          <w:sz w:val="26"/>
          <w:szCs w:val="26"/>
        </w:rPr>
        <w:t>Zemkopības ministrija</w:t>
      </w:r>
      <w:r w:rsidRPr="002C2671">
        <w:rPr>
          <w:rFonts w:ascii="Times New Roman" w:hAnsi="Times New Roman"/>
          <w:sz w:val="26"/>
          <w:szCs w:val="26"/>
        </w:rPr>
        <w:t xml:space="preserve"> kā atbildīgā ministrija par lauksaimniecības nozares attīstību nevar atbalstīt izstrādāto likumprojektu, ar kuru tiek atņemtas tiesības pārdot saražoto elektroenerģiju par paaugstinātu tarifu arī biogāzes stacijām. </w:t>
      </w:r>
    </w:p>
    <w:p w:rsidR="002C2671" w:rsidRPr="002C2671" w:rsidRDefault="002C2671" w:rsidP="002C2671">
      <w:pPr>
        <w:jc w:val="both"/>
        <w:rPr>
          <w:rFonts w:ascii="Times New Roman" w:hAnsi="Times New Roman"/>
          <w:sz w:val="26"/>
          <w:szCs w:val="26"/>
        </w:rPr>
      </w:pPr>
      <w:r w:rsidRPr="002C2671">
        <w:rPr>
          <w:rFonts w:ascii="Times New Roman" w:hAnsi="Times New Roman"/>
          <w:sz w:val="26"/>
          <w:szCs w:val="26"/>
        </w:rPr>
        <w:t xml:space="preserve">Zemkopības ministrija vērš uzmanību, ka biogāzes pārstrāde valstī ir nozīmīgs instruments ne tikai klimata politikas jautājumā, bet arī gaisa piesārņojuma politikas jautājumā, tas ir viens no efektīvākiem emisiju un piesārņojuma mazinošiem pasākumiem. Lielākā daļa biogāzes staciju ir Zemkopības ministrijas padotībā esošā Lauku atbalsta dienesta Eiropas Savienības fondu izlietojuma uzraudzībā, kas uzliek pienākumu investīciju saņēmējiem nodrošināt pilnvērtīgu projekta mērķu sasniegšanu. </w:t>
      </w:r>
    </w:p>
    <w:p w:rsidR="002C2671" w:rsidRPr="002C2671" w:rsidRDefault="002C2671" w:rsidP="001954D4">
      <w:pPr>
        <w:jc w:val="both"/>
        <w:rPr>
          <w:rFonts w:ascii="Times New Roman" w:hAnsi="Times New Roman"/>
          <w:sz w:val="26"/>
          <w:szCs w:val="26"/>
        </w:rPr>
      </w:pPr>
      <w:r w:rsidRPr="002C2671">
        <w:rPr>
          <w:rFonts w:ascii="Times New Roman" w:hAnsi="Times New Roman"/>
          <w:sz w:val="26"/>
          <w:szCs w:val="26"/>
        </w:rPr>
        <w:t xml:space="preserve">Biogāzes stacijas, pārstrādājot, kūtsmēslus ir tieši saistītas ar lopkopības sektoru un, stacijām pārtraucot darbu, radīsies nopietnas grūtības ar kūtsmēslu apsaimniekošanu. Kā arī tās stacijas, kas ir integrētas lopkopības uzņēmumā būs spiestas segt kreditoru prasības no ieņēmumiem lopkopībā vai arī likvidēt ganāmpulku. </w:t>
      </w:r>
    </w:p>
    <w:p w:rsidR="002C2671" w:rsidRPr="002C2671" w:rsidRDefault="002C2671" w:rsidP="001954D4">
      <w:pPr>
        <w:jc w:val="both"/>
        <w:rPr>
          <w:rFonts w:ascii="Times New Roman" w:hAnsi="Times New Roman"/>
          <w:sz w:val="26"/>
          <w:szCs w:val="26"/>
        </w:rPr>
      </w:pPr>
      <w:r w:rsidRPr="002C2671">
        <w:rPr>
          <w:rFonts w:ascii="Times New Roman" w:hAnsi="Times New Roman"/>
          <w:sz w:val="26"/>
          <w:szCs w:val="26"/>
        </w:rPr>
        <w:t>Šajā kontekstā jāņem vērā, ka no kūtsmēsliem saražotās biogāze procentuāli dod lielāko siltumnīcefekta gāzu un amonjaka emisiju samazinājumu un Latvijai šiem rādītājiem ir noteikti mērķi 2020. un 2030.gadam.</w:t>
      </w:r>
    </w:p>
    <w:p w:rsidR="002C2671" w:rsidRPr="002C2671" w:rsidRDefault="002C2671" w:rsidP="001954D4">
      <w:pPr>
        <w:jc w:val="both"/>
        <w:rPr>
          <w:rFonts w:ascii="Times New Roman" w:hAnsi="Times New Roman"/>
          <w:sz w:val="26"/>
          <w:szCs w:val="26"/>
        </w:rPr>
      </w:pPr>
      <w:r w:rsidRPr="002C2671">
        <w:rPr>
          <w:rFonts w:ascii="Times New Roman" w:hAnsi="Times New Roman"/>
          <w:b/>
          <w:sz w:val="26"/>
          <w:szCs w:val="26"/>
        </w:rPr>
        <w:t>Finanšu ministrija</w:t>
      </w:r>
      <w:r w:rsidRPr="002C2671">
        <w:rPr>
          <w:rFonts w:ascii="Times New Roman" w:hAnsi="Times New Roman"/>
          <w:sz w:val="26"/>
          <w:szCs w:val="26"/>
        </w:rPr>
        <w:t xml:space="preserve"> ir norādījusi, ka tā konceptuāli piekrīt Likumprojekta anotācijā Ekonomikas ministrijas norādītajiem apsvērumiem par Likumprojekta ietekmi uz tautsaimniecību un tajā paustajām bažām. Finanšu ministrijas ieskatā priekšlikums paredz būtisku negatīvu ietekmi uz vispārējās valdības budžeta bilanci.</w:t>
      </w:r>
    </w:p>
    <w:p w:rsidR="002C2671" w:rsidRPr="002C2671" w:rsidRDefault="002C2671" w:rsidP="001954D4">
      <w:pPr>
        <w:spacing w:before="120"/>
        <w:jc w:val="both"/>
        <w:rPr>
          <w:rFonts w:ascii="Times New Roman" w:hAnsi="Times New Roman"/>
          <w:sz w:val="26"/>
          <w:szCs w:val="26"/>
        </w:rPr>
      </w:pPr>
      <w:r w:rsidRPr="002C2671">
        <w:rPr>
          <w:rFonts w:ascii="Times New Roman" w:hAnsi="Times New Roman"/>
          <w:b/>
          <w:sz w:val="26"/>
          <w:szCs w:val="26"/>
        </w:rPr>
        <w:t>Labklājības ministrija</w:t>
      </w:r>
      <w:r w:rsidRPr="002C2671">
        <w:rPr>
          <w:rFonts w:ascii="Times New Roman" w:hAnsi="Times New Roman"/>
          <w:sz w:val="26"/>
          <w:szCs w:val="26"/>
        </w:rPr>
        <w:t xml:space="preserve"> ir norādījusi, ka likumprojekta normas, kuru pieņemšanas rezultātā sagaidāms siltumenerģijas tarifu ievērojams pieaugums daļā pašvaldību, t.sk. vairākās lielajās pilsētas, nav atbalstāmas. Šādam risinājumam paredzama ietekme uz mājsaimniecībām, kuras varētu saskarties ar siltumenerģijas tarifu pieaugumu, un īpaši uz iedzīvotājiem ar zemiem ienākumiem, kuriem varētu rasties grūtības segt ar siltumenerģiju saistītos mājsaimniecības izdevumus. </w:t>
      </w:r>
    </w:p>
    <w:p w:rsidR="002C2671" w:rsidRPr="002C2671" w:rsidRDefault="002C2671" w:rsidP="001954D4">
      <w:pPr>
        <w:suppressLineNumbers/>
        <w:jc w:val="both"/>
        <w:rPr>
          <w:rFonts w:ascii="Times New Roman" w:eastAsia="Times New Roman" w:hAnsi="Times New Roman"/>
          <w:sz w:val="26"/>
          <w:szCs w:val="26"/>
        </w:rPr>
      </w:pPr>
      <w:proofErr w:type="spellStart"/>
      <w:r w:rsidRPr="002C2671">
        <w:rPr>
          <w:rFonts w:ascii="Times New Roman" w:eastAsia="Times New Roman" w:hAnsi="Times New Roman"/>
          <w:b/>
          <w:sz w:val="26"/>
          <w:szCs w:val="26"/>
        </w:rPr>
        <w:t>Pārresoru</w:t>
      </w:r>
      <w:proofErr w:type="spellEnd"/>
      <w:r w:rsidRPr="002C2671">
        <w:rPr>
          <w:rFonts w:ascii="Times New Roman" w:eastAsia="Times New Roman" w:hAnsi="Times New Roman"/>
          <w:b/>
          <w:sz w:val="26"/>
          <w:szCs w:val="26"/>
        </w:rPr>
        <w:t xml:space="preserve"> koordinācijas centra</w:t>
      </w:r>
      <w:r w:rsidRPr="002C2671">
        <w:rPr>
          <w:rFonts w:ascii="Times New Roman" w:eastAsia="Times New Roman" w:hAnsi="Times New Roman"/>
          <w:sz w:val="26"/>
          <w:szCs w:val="26"/>
        </w:rPr>
        <w:t xml:space="preserve"> ieskatā Likumprojekts piedāvātajā redakcijā nav atbalstāms, ņemot vērā to, ka Likumprojekta anotācijā ir identificēta virkne būtisku, potenciāli negatīvu tiesisko, finansiālo un </w:t>
      </w:r>
      <w:proofErr w:type="spellStart"/>
      <w:r w:rsidRPr="002C2671">
        <w:rPr>
          <w:rFonts w:ascii="Times New Roman" w:eastAsia="Times New Roman" w:hAnsi="Times New Roman"/>
          <w:sz w:val="26"/>
          <w:szCs w:val="26"/>
        </w:rPr>
        <w:t>nozarisko</w:t>
      </w:r>
      <w:proofErr w:type="spellEnd"/>
      <w:r w:rsidRPr="002C2671">
        <w:rPr>
          <w:rFonts w:ascii="Times New Roman" w:eastAsia="Times New Roman" w:hAnsi="Times New Roman"/>
          <w:sz w:val="26"/>
          <w:szCs w:val="26"/>
        </w:rPr>
        <w:t xml:space="preserve"> seku, kuras varētu radīt šāda lēmuma pieņemšana.</w:t>
      </w:r>
    </w:p>
    <w:p w:rsidR="002C2671" w:rsidRPr="002C2671" w:rsidRDefault="002C2671" w:rsidP="001954D4">
      <w:pPr>
        <w:jc w:val="both"/>
        <w:rPr>
          <w:rFonts w:ascii="Times New Roman" w:hAnsi="Times New Roman"/>
          <w:sz w:val="26"/>
          <w:szCs w:val="26"/>
        </w:rPr>
      </w:pPr>
      <w:r w:rsidRPr="002C2671">
        <w:rPr>
          <w:rFonts w:ascii="Times New Roman" w:eastAsia="Times New Roman" w:hAnsi="Times New Roman"/>
          <w:sz w:val="26"/>
          <w:szCs w:val="26"/>
        </w:rPr>
        <w:t xml:space="preserve">Ekonomikas ministrijai būtu jāpiedāvā valdībai un Saeimai arī OIK nekavējošai likvidācijai alternatīvi risinājumi, kuri pamatā tika atbalstīti Ministru kabineta komitejas 2019.gada 7.janvāra sēdē, izskatot Konceptuālo ziņojumu “Kompleksi pasākumi obligātā iepirkuma komponentes atcelšanai un elektroenerģijas tirgus attīstībai”, un kas </w:t>
      </w:r>
      <w:r w:rsidRPr="002C2671">
        <w:rPr>
          <w:rFonts w:ascii="Times New Roman" w:eastAsia="Times New Roman" w:hAnsi="Times New Roman"/>
          <w:sz w:val="26"/>
          <w:szCs w:val="26"/>
        </w:rPr>
        <w:lastRenderedPageBreak/>
        <w:t>paredz pakāpenisku OIK atcelšanas scenāriju tādējādi samazinot likumprojekta anotācijā ietvertos finansiālos un tiesiskos riskus.</w:t>
      </w:r>
    </w:p>
    <w:p w:rsidR="002C2671" w:rsidRPr="002C2671" w:rsidRDefault="002C2671" w:rsidP="001954D4">
      <w:pPr>
        <w:spacing w:before="120" w:after="120" w:line="240" w:lineRule="auto"/>
        <w:jc w:val="both"/>
        <w:rPr>
          <w:rFonts w:ascii="Times New Roman" w:eastAsia="Times New Roman" w:hAnsi="Times New Roman"/>
          <w:sz w:val="26"/>
          <w:szCs w:val="26"/>
          <w:lang w:eastAsia="lv-LV"/>
        </w:rPr>
      </w:pPr>
      <w:r w:rsidRPr="002C2671">
        <w:rPr>
          <w:rFonts w:ascii="Times New Roman" w:eastAsia="Times New Roman" w:hAnsi="Times New Roman"/>
          <w:b/>
          <w:sz w:val="26"/>
          <w:szCs w:val="26"/>
          <w:lang w:eastAsia="lv-LV"/>
        </w:rPr>
        <w:t>Vides aizsardzības un reģionālās attīstības ministrijas</w:t>
      </w:r>
      <w:r w:rsidRPr="002C2671">
        <w:rPr>
          <w:rFonts w:ascii="Times New Roman" w:eastAsia="Times New Roman" w:hAnsi="Times New Roman"/>
          <w:sz w:val="26"/>
          <w:szCs w:val="26"/>
          <w:lang w:eastAsia="lv-LV"/>
        </w:rPr>
        <w:t xml:space="preserve"> ir paudusi viedokli, OIK atcelšanas gadījumā ir jāspēj rast līdzsvars starp valsts mērķiem un saistībām klimata un enerģētikas jomā un valsts tautsaimniecības vajadzībām. Ar Likumprojektā ietverto risinājumi tiek apdraudēta SEG 2030.gada un gaisa piesārņojošo vielu – amonjaka – samazinājums 2020. līdz 2029. gadam, kā arī pēc 2030, darbu pārtraucot biogāzes stacijām. Likumprojekts nesniedz skaidrību un pārliecību, ka šos Latvijai izvirzītos mērķus būs iespējams sasniegt, tādejādi radot situāciju, kas Latvijai sekmētu vairākus tiesvedības procesus un kā rezultātā ievērojamus finansiālus zaudējumus. </w:t>
      </w:r>
      <w:r w:rsidRPr="002C2671">
        <w:rPr>
          <w:rFonts w:ascii="Times New Roman" w:hAnsi="Times New Roman"/>
          <w:b/>
          <w:color w:val="000000" w:themeColor="text1"/>
          <w:sz w:val="26"/>
          <w:szCs w:val="26"/>
        </w:rPr>
        <w:t xml:space="preserve"> </w:t>
      </w:r>
    </w:p>
    <w:p w:rsidR="002C2671" w:rsidRPr="002C2671" w:rsidRDefault="002C2671" w:rsidP="001954D4">
      <w:pPr>
        <w:pStyle w:val="NormalWeb"/>
        <w:spacing w:before="0" w:after="0"/>
        <w:jc w:val="both"/>
        <w:rPr>
          <w:sz w:val="26"/>
          <w:szCs w:val="26"/>
          <w:lang w:val="lv-LV"/>
        </w:rPr>
      </w:pPr>
      <w:r w:rsidRPr="002C2671">
        <w:rPr>
          <w:b/>
          <w:sz w:val="26"/>
          <w:szCs w:val="26"/>
          <w:lang w:val="lv-LV"/>
        </w:rPr>
        <w:t>Tieslietu ministrija</w:t>
      </w:r>
      <w:r w:rsidRPr="002C2671">
        <w:rPr>
          <w:sz w:val="26"/>
          <w:szCs w:val="26"/>
          <w:lang w:val="lv-LV"/>
        </w:rPr>
        <w:t xml:space="preserve"> ieskatā</w:t>
      </w:r>
      <w:bookmarkStart w:id="17" w:name="_Hlk4049005"/>
      <w:r w:rsidRPr="002C2671">
        <w:rPr>
          <w:sz w:val="26"/>
          <w:szCs w:val="26"/>
          <w:lang w:val="lv-LV"/>
        </w:rPr>
        <w:t xml:space="preserve"> atbilstoši Ekonomikas ministrijas sniegtajam </w:t>
      </w:r>
      <w:proofErr w:type="spellStart"/>
      <w:r w:rsidRPr="002C2671">
        <w:rPr>
          <w:sz w:val="26"/>
          <w:szCs w:val="26"/>
          <w:lang w:val="lv-LV"/>
        </w:rPr>
        <w:t>izvērtējumam</w:t>
      </w:r>
      <w:proofErr w:type="spellEnd"/>
      <w:r w:rsidRPr="002C2671">
        <w:rPr>
          <w:sz w:val="26"/>
          <w:szCs w:val="26"/>
          <w:lang w:val="lv-LV"/>
        </w:rPr>
        <w:t xml:space="preserve"> un iespējamajiem riskiem, Likumprojektā ietvertais risinājums var nebūt samērīgs</w:t>
      </w:r>
      <w:bookmarkEnd w:id="17"/>
      <w:r w:rsidRPr="002C2671">
        <w:rPr>
          <w:sz w:val="26"/>
          <w:szCs w:val="26"/>
          <w:lang w:val="lv-LV"/>
        </w:rPr>
        <w:t xml:space="preserve"> un tādējādi būs pretrunā Satversmei, būtu jāizvērtē Likumprojektā ietvertā risinājuma precizēšana.</w:t>
      </w:r>
    </w:p>
    <w:p w:rsidR="002C2671" w:rsidRPr="002C2671" w:rsidRDefault="002C2671" w:rsidP="001954D4">
      <w:pPr>
        <w:pStyle w:val="NormalWeb"/>
        <w:spacing w:before="0" w:after="0"/>
        <w:jc w:val="both"/>
        <w:rPr>
          <w:sz w:val="26"/>
          <w:szCs w:val="26"/>
          <w:lang w:val="lv-LV"/>
        </w:rPr>
      </w:pPr>
      <w:r w:rsidRPr="002C2671">
        <w:rPr>
          <w:b/>
          <w:color w:val="000000" w:themeColor="text1"/>
          <w:sz w:val="26"/>
          <w:szCs w:val="26"/>
          <w:lang w:val="lv-LV"/>
        </w:rPr>
        <w:t>Ekonomikas ministrijas ieskatā institūciju sniegtie viedokļi būtu vērā ņemami, pieņemot lēmumu par OIK problemātikas risinājumiem.</w:t>
      </w:r>
    </w:p>
    <w:p w:rsidR="00280894" w:rsidRPr="00D15EDB" w:rsidRDefault="00962954" w:rsidP="00F55BEF">
      <w:pPr>
        <w:tabs>
          <w:tab w:val="center" w:pos="9072"/>
        </w:tabs>
        <w:spacing w:before="480" w:after="0" w:line="240" w:lineRule="auto"/>
        <w:jc w:val="both"/>
        <w:rPr>
          <w:rFonts w:ascii="Times New Roman" w:hAnsi="Times New Roman"/>
          <w:sz w:val="26"/>
          <w:szCs w:val="26"/>
        </w:rPr>
      </w:pPr>
      <w:r w:rsidRPr="00D15EDB">
        <w:rPr>
          <w:rFonts w:ascii="Times New Roman" w:hAnsi="Times New Roman"/>
          <w:sz w:val="26"/>
          <w:szCs w:val="26"/>
        </w:rPr>
        <w:t>Ministru prezidents</w:t>
      </w:r>
      <w:r w:rsidRPr="00D15EDB">
        <w:rPr>
          <w:rFonts w:ascii="Times New Roman" w:hAnsi="Times New Roman"/>
          <w:sz w:val="26"/>
          <w:szCs w:val="26"/>
        </w:rPr>
        <w:tab/>
      </w:r>
      <w:proofErr w:type="spellStart"/>
      <w:r w:rsidR="00A87DB5" w:rsidRPr="00D15EDB">
        <w:rPr>
          <w:rFonts w:ascii="Times New Roman" w:hAnsi="Times New Roman"/>
          <w:sz w:val="26"/>
          <w:szCs w:val="26"/>
        </w:rPr>
        <w:t>A.K.Kariņš</w:t>
      </w:r>
      <w:proofErr w:type="spellEnd"/>
    </w:p>
    <w:p w:rsidR="00280894" w:rsidRPr="00D15EDB" w:rsidRDefault="00A87DB5" w:rsidP="00F55BEF">
      <w:pPr>
        <w:tabs>
          <w:tab w:val="center" w:pos="9072"/>
        </w:tabs>
        <w:spacing w:before="480" w:after="0" w:line="240" w:lineRule="auto"/>
        <w:jc w:val="both"/>
        <w:rPr>
          <w:rFonts w:ascii="Times New Roman" w:hAnsi="Times New Roman"/>
          <w:sz w:val="26"/>
          <w:szCs w:val="26"/>
        </w:rPr>
      </w:pPr>
      <w:r w:rsidRPr="00D15EDB">
        <w:rPr>
          <w:rFonts w:ascii="Times New Roman" w:hAnsi="Times New Roman"/>
          <w:sz w:val="26"/>
          <w:szCs w:val="26"/>
        </w:rPr>
        <w:t>E</w:t>
      </w:r>
      <w:r w:rsidR="00962954" w:rsidRPr="00D15EDB">
        <w:rPr>
          <w:rFonts w:ascii="Times New Roman" w:hAnsi="Times New Roman"/>
          <w:sz w:val="26"/>
          <w:szCs w:val="26"/>
        </w:rPr>
        <w:t xml:space="preserve">konomikas ministrs </w:t>
      </w:r>
      <w:r w:rsidR="00962954" w:rsidRPr="00D15EDB">
        <w:rPr>
          <w:rFonts w:ascii="Times New Roman" w:hAnsi="Times New Roman"/>
          <w:sz w:val="26"/>
          <w:szCs w:val="26"/>
        </w:rPr>
        <w:tab/>
      </w:r>
      <w:proofErr w:type="spellStart"/>
      <w:r w:rsidRPr="00D15EDB">
        <w:rPr>
          <w:rFonts w:ascii="Times New Roman" w:hAnsi="Times New Roman"/>
          <w:sz w:val="26"/>
          <w:szCs w:val="26"/>
        </w:rPr>
        <w:t>R.Nemiro</w:t>
      </w:r>
      <w:proofErr w:type="spellEnd"/>
    </w:p>
    <w:p w:rsidR="00280894" w:rsidRPr="00D15EDB" w:rsidRDefault="00962954" w:rsidP="00F55BEF">
      <w:pPr>
        <w:tabs>
          <w:tab w:val="center" w:pos="9072"/>
        </w:tabs>
        <w:spacing w:before="480" w:after="0" w:line="240" w:lineRule="auto"/>
        <w:jc w:val="both"/>
        <w:rPr>
          <w:rFonts w:ascii="Times New Roman" w:hAnsi="Times New Roman"/>
          <w:sz w:val="26"/>
          <w:szCs w:val="26"/>
        </w:rPr>
      </w:pPr>
      <w:r w:rsidRPr="00D15EDB">
        <w:rPr>
          <w:rFonts w:ascii="Times New Roman" w:hAnsi="Times New Roman"/>
          <w:sz w:val="26"/>
          <w:szCs w:val="26"/>
        </w:rPr>
        <w:t>Valsts kancelejas direktors</w:t>
      </w:r>
      <w:r w:rsidRPr="00D15EDB">
        <w:rPr>
          <w:rFonts w:ascii="Times New Roman" w:hAnsi="Times New Roman"/>
          <w:sz w:val="26"/>
          <w:szCs w:val="26"/>
        </w:rPr>
        <w:tab/>
      </w:r>
      <w:proofErr w:type="spellStart"/>
      <w:r w:rsidRPr="00D15EDB">
        <w:rPr>
          <w:rFonts w:ascii="Times New Roman" w:hAnsi="Times New Roman"/>
          <w:sz w:val="26"/>
          <w:szCs w:val="26"/>
        </w:rPr>
        <w:t>J</w:t>
      </w:r>
      <w:r w:rsidR="004955CA" w:rsidRPr="00D15EDB">
        <w:rPr>
          <w:rFonts w:ascii="Times New Roman" w:hAnsi="Times New Roman"/>
          <w:sz w:val="26"/>
          <w:szCs w:val="26"/>
        </w:rPr>
        <w:t>.</w:t>
      </w:r>
      <w:r w:rsidRPr="00D15EDB">
        <w:rPr>
          <w:rFonts w:ascii="Times New Roman" w:hAnsi="Times New Roman"/>
          <w:sz w:val="26"/>
          <w:szCs w:val="26"/>
        </w:rPr>
        <w:t>Citskovskis</w:t>
      </w:r>
      <w:proofErr w:type="spellEnd"/>
    </w:p>
    <w:p w:rsidR="0053013E" w:rsidRPr="00D15EDB" w:rsidRDefault="00962954" w:rsidP="00F55BEF">
      <w:pPr>
        <w:tabs>
          <w:tab w:val="center" w:pos="9072"/>
        </w:tabs>
        <w:spacing w:before="480" w:after="0" w:line="240" w:lineRule="auto"/>
        <w:jc w:val="both"/>
        <w:rPr>
          <w:rFonts w:ascii="Times New Roman" w:hAnsi="Times New Roman"/>
          <w:sz w:val="26"/>
          <w:szCs w:val="26"/>
        </w:rPr>
      </w:pPr>
      <w:r w:rsidRPr="00D15EDB">
        <w:rPr>
          <w:rFonts w:ascii="Times New Roman" w:hAnsi="Times New Roman"/>
          <w:sz w:val="26"/>
          <w:szCs w:val="26"/>
        </w:rPr>
        <w:t>Vīza: valsts sekretārs</w:t>
      </w:r>
      <w:r w:rsidRPr="00D15EDB">
        <w:rPr>
          <w:rFonts w:ascii="Times New Roman" w:hAnsi="Times New Roman"/>
          <w:sz w:val="26"/>
          <w:szCs w:val="26"/>
        </w:rPr>
        <w:tab/>
        <w:t xml:space="preserve">   </w:t>
      </w:r>
      <w:proofErr w:type="spellStart"/>
      <w:r w:rsidRPr="00D15EDB">
        <w:rPr>
          <w:rFonts w:ascii="Times New Roman" w:hAnsi="Times New Roman"/>
          <w:sz w:val="26"/>
          <w:szCs w:val="26"/>
        </w:rPr>
        <w:t>Ē.Eglītis</w:t>
      </w:r>
      <w:proofErr w:type="spellEnd"/>
    </w:p>
    <w:sectPr w:rsidR="0053013E" w:rsidRPr="00D15EDB" w:rsidSect="0093775C">
      <w:headerReference w:type="default" r:id="rId10"/>
      <w:footerReference w:type="default" r:id="rId11"/>
      <w:footerReference w:type="first" r:id="rId12"/>
      <w:pgSz w:w="11906" w:h="16838"/>
      <w:pgMar w:top="851" w:right="1134" w:bottom="1276"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345" w:rsidRDefault="00AD7345">
      <w:pPr>
        <w:spacing w:after="0" w:line="240" w:lineRule="auto"/>
      </w:pPr>
      <w:r>
        <w:separator/>
      </w:r>
    </w:p>
  </w:endnote>
  <w:endnote w:type="continuationSeparator" w:id="0">
    <w:p w:rsidR="00AD7345" w:rsidRDefault="00AD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imesBody)">
    <w:altName w:val="Calibri"/>
    <w:panose1 w:val="00000000000000000000"/>
    <w:charset w:val="00"/>
    <w:family w:val="roman"/>
    <w:notTrueType/>
    <w:pitch w:val="default"/>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911" w:rsidRPr="005A646A" w:rsidRDefault="00362911" w:rsidP="005A646A">
    <w:pPr>
      <w:pStyle w:val="Footer"/>
    </w:pPr>
    <w:r>
      <w:rPr>
        <w:rFonts w:ascii="Times New Roman" w:hAnsi="Times New Roman"/>
        <w:sz w:val="20"/>
      </w:rPr>
      <w:t>EMIz_250319_ETL_OIK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911" w:rsidRPr="00F75303" w:rsidRDefault="00362911" w:rsidP="00F75303">
    <w:pPr>
      <w:pStyle w:val="Footer"/>
    </w:pPr>
    <w:r>
      <w:rPr>
        <w:rFonts w:ascii="Times New Roman" w:hAnsi="Times New Roman"/>
        <w:sz w:val="20"/>
      </w:rPr>
      <w:t>EMIz_250319_ETL_OIK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345" w:rsidRDefault="00AD7345" w:rsidP="00E85BD0">
      <w:pPr>
        <w:spacing w:after="0" w:line="240" w:lineRule="auto"/>
      </w:pPr>
      <w:r>
        <w:separator/>
      </w:r>
    </w:p>
  </w:footnote>
  <w:footnote w:type="continuationSeparator" w:id="0">
    <w:p w:rsidR="00AD7345" w:rsidRDefault="00AD7345" w:rsidP="00E85BD0">
      <w:pPr>
        <w:spacing w:after="0" w:line="240" w:lineRule="auto"/>
      </w:pPr>
      <w:r>
        <w:continuationSeparator/>
      </w:r>
    </w:p>
  </w:footnote>
  <w:footnote w:type="continuationNotice" w:id="1">
    <w:p w:rsidR="00AD7345" w:rsidRDefault="00AD7345">
      <w:pPr>
        <w:spacing w:after="0" w:line="240" w:lineRule="auto"/>
      </w:pPr>
    </w:p>
  </w:footnote>
  <w:footnote w:id="2">
    <w:p w:rsidR="00362911" w:rsidRPr="009D1E82" w:rsidRDefault="00362911" w:rsidP="00376E46">
      <w:pPr>
        <w:pStyle w:val="FootnoteText"/>
        <w:rPr>
          <w:sz w:val="18"/>
          <w:lang w:val="lv-LV"/>
        </w:rPr>
      </w:pPr>
      <w:r w:rsidRPr="009D1E82">
        <w:rPr>
          <w:rStyle w:val="FootnoteReference"/>
          <w:lang w:val="lv-LV"/>
        </w:rPr>
        <w:footnoteRef/>
      </w:r>
      <w:r w:rsidRPr="009D1E82">
        <w:rPr>
          <w:lang w:val="lv-LV"/>
        </w:rPr>
        <w:t xml:space="preserve"> </w:t>
      </w:r>
      <w:r w:rsidRPr="009D1E82">
        <w:rPr>
          <w:sz w:val="18"/>
          <w:lang w:val="lv-LV"/>
        </w:rPr>
        <w:t>Skatīt: https://likumi.lv/doc.php?id=207458</w:t>
      </w:r>
    </w:p>
  </w:footnote>
  <w:footnote w:id="3">
    <w:p w:rsidR="00362911" w:rsidRPr="009D1E82" w:rsidRDefault="00362911" w:rsidP="00376E46">
      <w:pPr>
        <w:pStyle w:val="FootnoteText"/>
        <w:rPr>
          <w:sz w:val="18"/>
          <w:lang w:val="lv-LV"/>
        </w:rPr>
      </w:pPr>
      <w:r w:rsidRPr="009D1E82">
        <w:rPr>
          <w:rStyle w:val="FootnoteReference"/>
          <w:lang w:val="lv-LV"/>
        </w:rPr>
        <w:footnoteRef/>
      </w:r>
      <w:r w:rsidRPr="009D1E82">
        <w:rPr>
          <w:lang w:val="lv-LV"/>
        </w:rPr>
        <w:t xml:space="preserve"> </w:t>
      </w:r>
      <w:r w:rsidRPr="009D1E82">
        <w:rPr>
          <w:sz w:val="18"/>
          <w:lang w:val="lv-LV"/>
        </w:rPr>
        <w:t>Skatīt: https://likumi.lv/doc.php?id=189260</w:t>
      </w:r>
    </w:p>
  </w:footnote>
  <w:footnote w:id="4">
    <w:p w:rsidR="00362911" w:rsidRPr="009D1E82" w:rsidRDefault="00362911" w:rsidP="00376E46">
      <w:pPr>
        <w:pStyle w:val="FootnoteText"/>
        <w:rPr>
          <w:sz w:val="18"/>
          <w:lang w:val="lv-LV"/>
        </w:rPr>
      </w:pPr>
      <w:r w:rsidRPr="009D1E82">
        <w:rPr>
          <w:rStyle w:val="FootnoteReference"/>
          <w:sz w:val="18"/>
          <w:lang w:val="lv-LV"/>
        </w:rPr>
        <w:footnoteRef/>
      </w:r>
      <w:r w:rsidRPr="009D1E82">
        <w:rPr>
          <w:sz w:val="18"/>
          <w:lang w:val="lv-LV"/>
        </w:rPr>
        <w:t xml:space="preserve"> Sabiedrisko pakalpojumu regulēšanas komisijas 2017.gada 14.februāra lēmums Nr. 1/24 “Obligātā iepirkuma un jaudas komponenšu aprēķināšanas metodika”, skatīt: https://likumi.lv/ta/id/293705-obligata-iepirkuma-un-jaudas-komponensu-aprekinasanas-metodika</w:t>
      </w:r>
    </w:p>
  </w:footnote>
  <w:footnote w:id="5">
    <w:p w:rsidR="00362911" w:rsidRPr="009D1E82" w:rsidRDefault="00362911" w:rsidP="008A26FB">
      <w:pPr>
        <w:pStyle w:val="FootnoteText"/>
        <w:jc w:val="both"/>
        <w:rPr>
          <w:sz w:val="18"/>
          <w:lang w:val="lv-LV"/>
        </w:rPr>
      </w:pPr>
      <w:r w:rsidRPr="009D1E82">
        <w:rPr>
          <w:rStyle w:val="FootnoteReference"/>
          <w:sz w:val="18"/>
          <w:lang w:val="lv-LV"/>
        </w:rPr>
        <w:footnoteRef/>
      </w:r>
      <w:r w:rsidRPr="009D1E82">
        <w:rPr>
          <w:sz w:val="18"/>
          <w:lang w:val="lv-LV"/>
        </w:rPr>
        <w:t xml:space="preserve"> Eiropas Komisijas 2017.gada 24.aprīļa lēmums valsts atbalsta lietā SA.43140 (2015/NN) “Atbalsts atjaunojamo energoresursu enerģijai un koģenerācijai”, tulkojumu skatīt: https://em.gov.lv/files/attachments/EK%20lemuma%20LV-courtesy%20translation.pdf</w:t>
      </w:r>
    </w:p>
  </w:footnote>
  <w:footnote w:id="6">
    <w:p w:rsidR="00362911" w:rsidRPr="009D1E82" w:rsidRDefault="00362911" w:rsidP="008A26FB">
      <w:pPr>
        <w:pStyle w:val="FootnoteText"/>
        <w:jc w:val="both"/>
        <w:rPr>
          <w:sz w:val="18"/>
          <w:lang w:val="lv-LV"/>
        </w:rPr>
      </w:pPr>
      <w:r w:rsidRPr="009D1E82">
        <w:rPr>
          <w:rStyle w:val="FootnoteReference"/>
          <w:sz w:val="18"/>
          <w:lang w:val="lv-LV"/>
        </w:rPr>
        <w:footnoteRef/>
      </w:r>
      <w:r w:rsidRPr="009D1E82">
        <w:rPr>
          <w:sz w:val="18"/>
          <w:lang w:val="lv-LV"/>
        </w:rPr>
        <w:t xml:space="preserve"> Kopienas pamatnostādnes par atbalstu vides aizsardzībai (2001/C 37/03), skatīt: https://eur-lex.europa.eu/legal-content/LV/TXT/HTML/?uri=CELEX:32001Y0203(02)&amp;from=EN;  Kopienas pamatnostādnes par atbalstu vides aizsardzībai (2008/C 82/01), skatīt: https://eur-lex.europa.eu/legal-content/LV/ALL/?uri=CELEX:52008XC0401(03)</w:t>
      </w:r>
    </w:p>
  </w:footnote>
  <w:footnote w:id="7">
    <w:p w:rsidR="00362911" w:rsidRPr="009D1E82" w:rsidRDefault="00362911" w:rsidP="008A26FB">
      <w:pPr>
        <w:pStyle w:val="FootnoteText"/>
        <w:jc w:val="both"/>
        <w:rPr>
          <w:lang w:val="lv-LV"/>
        </w:rPr>
      </w:pPr>
      <w:r w:rsidRPr="009D1E82">
        <w:rPr>
          <w:rStyle w:val="FootnoteReference"/>
          <w:sz w:val="18"/>
          <w:lang w:val="lv-LV"/>
        </w:rPr>
        <w:footnoteRef/>
      </w:r>
      <w:r w:rsidRPr="009D1E82">
        <w:rPr>
          <w:sz w:val="18"/>
          <w:lang w:val="lv-LV"/>
        </w:rPr>
        <w:t xml:space="preserve"> Valsts atbalsta jautājums attiecībā uz TEC-2 šobrīd ir saskaņošanas procesā ar Eiropas Komisiju.</w:t>
      </w:r>
    </w:p>
  </w:footnote>
  <w:footnote w:id="8">
    <w:p w:rsidR="00362911" w:rsidRPr="009D1E82" w:rsidRDefault="00362911" w:rsidP="008A26FB">
      <w:pPr>
        <w:pStyle w:val="FootnoteText"/>
        <w:jc w:val="both"/>
        <w:rPr>
          <w:lang w:val="lv-LV"/>
        </w:rPr>
      </w:pPr>
      <w:r w:rsidRPr="009D1E82">
        <w:rPr>
          <w:rStyle w:val="FootnoteReference"/>
          <w:lang w:val="lv-LV"/>
        </w:rPr>
        <w:footnoteRef/>
      </w:r>
      <w:r w:rsidRPr="009D1E82">
        <w:rPr>
          <w:lang w:val="lv-LV"/>
        </w:rPr>
        <w:t xml:space="preserve"> </w:t>
      </w:r>
      <w:r w:rsidRPr="009D1E82">
        <w:rPr>
          <w:sz w:val="18"/>
          <w:lang w:val="lv-LV"/>
        </w:rPr>
        <w:t>Padomes Regula (ES) 2015/1589 (2015. gada 13. jūlijs), ar ko nosaka sīki izstrādātus noteikumus Līguma par Eiropas Savienības darbību 108. panta piemērošanai</w:t>
      </w:r>
    </w:p>
  </w:footnote>
  <w:footnote w:id="9">
    <w:p w:rsidR="00362911" w:rsidRPr="009D1E82" w:rsidRDefault="00362911" w:rsidP="008A26FB">
      <w:pPr>
        <w:pStyle w:val="FootnoteText"/>
        <w:rPr>
          <w:lang w:val="lv-LV"/>
        </w:rPr>
      </w:pPr>
      <w:r w:rsidRPr="009D1E82">
        <w:rPr>
          <w:rStyle w:val="FootnoteReference"/>
          <w:lang w:val="lv-LV"/>
        </w:rPr>
        <w:footnoteRef/>
      </w:r>
      <w:r w:rsidRPr="009D1E82">
        <w:rPr>
          <w:lang w:val="lv-LV"/>
        </w:rPr>
        <w:t xml:space="preserve"> </w:t>
      </w:r>
      <w:r w:rsidRPr="009D1E82">
        <w:rPr>
          <w:sz w:val="18"/>
          <w:lang w:val="lv-LV"/>
        </w:rPr>
        <w:t>Komisijas 2009.gada 9.aprīļa paziņojums par valsts atbalsta tiesību normu piemērošanu valstu tiesās (2009/C 85/01)</w:t>
      </w:r>
    </w:p>
  </w:footnote>
  <w:footnote w:id="10">
    <w:p w:rsidR="00362911" w:rsidRPr="009D1E82" w:rsidRDefault="00362911" w:rsidP="00376E46">
      <w:pPr>
        <w:pStyle w:val="FootnoteText"/>
        <w:rPr>
          <w:sz w:val="18"/>
          <w:lang w:val="lv-LV"/>
        </w:rPr>
      </w:pPr>
      <w:r w:rsidRPr="009D1E82">
        <w:rPr>
          <w:rStyle w:val="FootnoteReference"/>
          <w:sz w:val="18"/>
          <w:lang w:val="lv-LV"/>
        </w:rPr>
        <w:footnoteRef/>
      </w:r>
      <w:r w:rsidRPr="009D1E82">
        <w:rPr>
          <w:sz w:val="18"/>
          <w:lang w:val="lv-LV"/>
        </w:rPr>
        <w:t xml:space="preserve"> Europopean Commission, Commision Green Paper of 8 March 2006: “A European strategy for sustainable, competitive and secure energy” COM(2006) 105; http://europa.eu/documents/comm/green_papers/pdf/com2006_105_en.pdf</w:t>
      </w:r>
    </w:p>
  </w:footnote>
  <w:footnote w:id="11">
    <w:p w:rsidR="00362911" w:rsidRPr="009D1E82" w:rsidRDefault="00362911" w:rsidP="00376E46">
      <w:pPr>
        <w:pStyle w:val="FootnoteText"/>
        <w:rPr>
          <w:lang w:val="lv-LV"/>
        </w:rPr>
      </w:pPr>
      <w:r w:rsidRPr="009D1E82">
        <w:rPr>
          <w:rStyle w:val="FootnoteReference"/>
          <w:sz w:val="18"/>
          <w:lang w:val="lv-LV"/>
        </w:rPr>
        <w:footnoteRef/>
      </w:r>
      <w:r w:rsidRPr="009D1E82">
        <w:rPr>
          <w:sz w:val="18"/>
          <w:lang w:val="lv-LV"/>
        </w:rPr>
        <w:t xml:space="preserve"> Eiropas Parlamenta un Padomes direktīva 2009/28/EK par atjaunojamo energoresursu izmantošanas veicināšanu un ar ko groza un sekojoši atceļ Direktīvas 2001/77/EK un 2003/30/EK</w:t>
      </w:r>
    </w:p>
  </w:footnote>
  <w:footnote w:id="12">
    <w:p w:rsidR="00362911" w:rsidRPr="009D1E82" w:rsidRDefault="00362911" w:rsidP="00376E46">
      <w:pPr>
        <w:pStyle w:val="FootnoteText"/>
        <w:rPr>
          <w:lang w:val="lv-LV"/>
        </w:rPr>
      </w:pPr>
      <w:r w:rsidRPr="009D1E82">
        <w:rPr>
          <w:rStyle w:val="FootnoteReference"/>
          <w:lang w:val="lv-LV"/>
        </w:rPr>
        <w:footnoteRef/>
      </w:r>
      <w:r w:rsidRPr="009D1E82">
        <w:rPr>
          <w:lang w:val="lv-LV"/>
        </w:rPr>
        <w:t xml:space="preserve"> </w:t>
      </w:r>
      <w:r w:rsidRPr="009D1E82">
        <w:rPr>
          <w:sz w:val="18"/>
          <w:lang w:val="lv-LV"/>
        </w:rPr>
        <w:t>Skatīt: https://likumi.lv/ta/id/280236-par-energetikas-attistibas-pamatnostadnem-2016-2020-gadam</w:t>
      </w:r>
    </w:p>
  </w:footnote>
  <w:footnote w:id="13">
    <w:p w:rsidR="00362911" w:rsidRPr="009D1E82" w:rsidRDefault="00362911" w:rsidP="00376E46">
      <w:pPr>
        <w:pStyle w:val="FootnoteText"/>
        <w:jc w:val="both"/>
        <w:rPr>
          <w:lang w:val="lv-LV"/>
        </w:rPr>
      </w:pPr>
      <w:r w:rsidRPr="009D1E82">
        <w:rPr>
          <w:rStyle w:val="FootnoteReference"/>
          <w:lang w:val="lv-LV"/>
        </w:rPr>
        <w:footnoteRef/>
      </w:r>
      <w:r w:rsidRPr="009D1E82">
        <w:rPr>
          <w:lang w:val="lv-LV"/>
        </w:rPr>
        <w:t xml:space="preserve"> </w:t>
      </w:r>
      <w:r w:rsidRPr="009D1E82">
        <w:rPr>
          <w:sz w:val="18"/>
          <w:lang w:val="lv-LV"/>
        </w:rPr>
        <w:t>Eiropas Parlamenta un Padomes direktīva (ES) 2018/2001 par no atjaunojamajiem energoresursiem iegūtas enerģijas izmantošanas veicināšanu</w:t>
      </w:r>
    </w:p>
  </w:footnote>
  <w:footnote w:id="14">
    <w:p w:rsidR="00362911" w:rsidRPr="009D1E82" w:rsidRDefault="00362911" w:rsidP="00376E46">
      <w:pPr>
        <w:pStyle w:val="FootnoteText"/>
        <w:jc w:val="both"/>
        <w:rPr>
          <w:lang w:val="lv-LV"/>
        </w:rPr>
      </w:pPr>
      <w:r w:rsidRPr="009D1E82">
        <w:rPr>
          <w:rStyle w:val="FootnoteReference"/>
          <w:lang w:val="lv-LV"/>
        </w:rPr>
        <w:footnoteRef/>
      </w:r>
      <w:r w:rsidRPr="009D1E82">
        <w:rPr>
          <w:lang w:val="lv-LV"/>
        </w:rPr>
        <w:t xml:space="preserve"> </w:t>
      </w:r>
      <w:r w:rsidRPr="009D1E82">
        <w:rPr>
          <w:sz w:val="18"/>
          <w:lang w:val="lv-LV"/>
        </w:rPr>
        <w:t>Eiropas Parlamenta un Padomes Regula (ES) 2018/1999 par enerģētikas savienības un rīcības klimata politikas jomā pārvaldību un ar ko groza Eiropas Parlamenta un Padomes Regulas (EK) Nr. 663/2009 un (EK) Nr. 715/2009, Eiropas Parlamenta un Padomes Direktīvas 94/22/EK, 98/70/EK, 2009/31/EK, 2009/73/EK, 2010/31/ES, 2012/27/ES un 2013/30/ES, Padomes Direktīvas 2009/119/EK un (ES) 2015/652 un atceļ Eiropas Parlamenta un Padomes Regulu (ES) Nr. 525/2013 </w:t>
      </w:r>
    </w:p>
  </w:footnote>
  <w:footnote w:id="15">
    <w:p w:rsidR="00362911" w:rsidRPr="009D1E82" w:rsidRDefault="00362911" w:rsidP="00376E46">
      <w:pPr>
        <w:pStyle w:val="FootnoteText"/>
        <w:jc w:val="both"/>
        <w:rPr>
          <w:sz w:val="18"/>
          <w:szCs w:val="18"/>
          <w:lang w:val="lv-LV"/>
        </w:rPr>
      </w:pPr>
      <w:r w:rsidRPr="009D1E82">
        <w:rPr>
          <w:rStyle w:val="FootnoteReference"/>
          <w:sz w:val="18"/>
          <w:szCs w:val="18"/>
          <w:lang w:val="lv-LV"/>
        </w:rPr>
        <w:footnoteRef/>
      </w:r>
      <w:r w:rsidRPr="009D1E82">
        <w:rPr>
          <w:sz w:val="18"/>
          <w:szCs w:val="18"/>
          <w:lang w:val="lv-LV"/>
        </w:rPr>
        <w:t xml:space="preserve"> Pārtikas un dzīvnieku barības kultūraugi Direktīvas 2018/2001 2.panta 4) apakšpunktā definēti kā cieti saturoši kultūraugi, cukura kultūraugi un eļļas kultūraugi, ko audzē lauksaimniecības zemē kā galvenos kultūraugus, izņemot atlikumus, atkritumus vai lignocelulozes materiālus, un starpposma kultūraugi, piemēram, starpkultūras un virsaugi, ar noteikumu, ka šādu starpposma kultūraugu izmantošana nerada pieprasījumu pēc papildu zemes platībām</w:t>
      </w:r>
    </w:p>
  </w:footnote>
  <w:footnote w:id="16">
    <w:p w:rsidR="00362911" w:rsidRPr="009D1E82" w:rsidRDefault="00362911" w:rsidP="00376E46">
      <w:pPr>
        <w:pStyle w:val="FootnoteText"/>
        <w:jc w:val="both"/>
        <w:rPr>
          <w:lang w:val="lv-LV"/>
        </w:rPr>
      </w:pPr>
      <w:r w:rsidRPr="009D1E82">
        <w:rPr>
          <w:rStyle w:val="FootnoteReference"/>
          <w:lang w:val="lv-LV"/>
        </w:rPr>
        <w:footnoteRef/>
      </w:r>
      <w:r w:rsidRPr="009D1E82">
        <w:rPr>
          <w:lang w:val="lv-LV"/>
        </w:rPr>
        <w:t xml:space="preserve"> </w:t>
      </w:r>
      <w:r w:rsidRPr="009D1E82">
        <w:rPr>
          <w:sz w:val="18"/>
          <w:lang w:val="lv-LV"/>
        </w:rPr>
        <w:t>Eiropas Parlamenta un Padomes Direktīva 2012/27/ES par energoefektivitāti, ar ko groza Direktīvas 2009/125/EK un 2010/30/ES un atceļ Direktīvas 2004/8/EK un 2006/32/EK</w:t>
      </w:r>
    </w:p>
  </w:footnote>
  <w:footnote w:id="17">
    <w:p w:rsidR="00362911" w:rsidRPr="009D1E82" w:rsidRDefault="00362911" w:rsidP="00376E46">
      <w:pPr>
        <w:pStyle w:val="FootnoteText"/>
        <w:rPr>
          <w:lang w:val="lv-LV"/>
        </w:rPr>
      </w:pPr>
      <w:r w:rsidRPr="009D1E82">
        <w:rPr>
          <w:rStyle w:val="FootnoteReference"/>
          <w:lang w:val="lv-LV"/>
        </w:rPr>
        <w:footnoteRef/>
      </w:r>
      <w:r w:rsidRPr="009D1E82">
        <w:rPr>
          <w:lang w:val="lv-LV"/>
        </w:rPr>
        <w:t xml:space="preserve"> </w:t>
      </w:r>
      <w:r w:rsidRPr="009D1E82">
        <w:rPr>
          <w:sz w:val="18"/>
          <w:lang w:val="lv-LV"/>
        </w:rPr>
        <w:t>Eiropas Parlamenta un Padomes Direktīva 2004/8/EK par tādas koģenerācijas veicināšanu, kas balstīta uz lietderīgā siltuma pieprasījumu iekšējā enerģijas tirgū, un ar kuru groza Direktīvu 92/42/EEK</w:t>
      </w:r>
    </w:p>
  </w:footnote>
  <w:footnote w:id="18">
    <w:p w:rsidR="00362911" w:rsidRPr="009D1E82" w:rsidRDefault="00362911" w:rsidP="00376E46">
      <w:pPr>
        <w:pStyle w:val="FootnoteText"/>
        <w:rPr>
          <w:lang w:val="lv-LV"/>
        </w:rPr>
      </w:pPr>
      <w:r w:rsidRPr="009D1E82">
        <w:rPr>
          <w:rStyle w:val="FootnoteReference"/>
          <w:lang w:val="lv-LV"/>
        </w:rPr>
        <w:footnoteRef/>
      </w:r>
      <w:r w:rsidRPr="009D1E82">
        <w:rPr>
          <w:lang w:val="lv-LV"/>
        </w:rPr>
        <w:t xml:space="preserve"> </w:t>
      </w:r>
      <w:r w:rsidRPr="009D1E82">
        <w:rPr>
          <w:sz w:val="18"/>
          <w:lang w:val="lv-LV"/>
        </w:rPr>
        <w:t>Eiropas Parlamenta un Padomes Direktīva (ES) 2018/2002 ar ko groza Direktīvu 2012/27/ES par energoefektivitāti</w:t>
      </w:r>
    </w:p>
  </w:footnote>
  <w:footnote w:id="19">
    <w:p w:rsidR="00362911" w:rsidRPr="009D1E82" w:rsidRDefault="00362911" w:rsidP="00376E46">
      <w:pPr>
        <w:pStyle w:val="FootnoteText"/>
        <w:rPr>
          <w:lang w:val="lv-LV"/>
        </w:rPr>
      </w:pPr>
      <w:r w:rsidRPr="009D1E82">
        <w:rPr>
          <w:rStyle w:val="FootnoteReference"/>
          <w:lang w:val="lv-LV"/>
        </w:rPr>
        <w:footnoteRef/>
      </w:r>
      <w:r w:rsidRPr="009D1E82">
        <w:rPr>
          <w:lang w:val="lv-LV"/>
        </w:rPr>
        <w:t xml:space="preserve"> </w:t>
      </w:r>
      <w:r w:rsidRPr="009D1E82">
        <w:rPr>
          <w:sz w:val="18"/>
          <w:lang w:val="lv-LV"/>
        </w:rPr>
        <w:t>Skatīt: http://tap.mk.gov.lv/lv/mk/tap/?pid=40467530</w:t>
      </w:r>
    </w:p>
  </w:footnote>
  <w:footnote w:id="20">
    <w:p w:rsidR="00362911" w:rsidRPr="009D1E82" w:rsidRDefault="00362911">
      <w:pPr>
        <w:pStyle w:val="FootnoteText"/>
        <w:rPr>
          <w:lang w:val="lv-LV"/>
        </w:rPr>
      </w:pPr>
      <w:r w:rsidRPr="009D1E82">
        <w:rPr>
          <w:rStyle w:val="FootnoteReference"/>
          <w:lang w:val="lv-LV"/>
        </w:rPr>
        <w:footnoteRef/>
      </w:r>
      <w:r w:rsidRPr="009D1E82">
        <w:rPr>
          <w:lang w:val="lv-LV"/>
        </w:rPr>
        <w:t xml:space="preserve"> Precīzs risinājums ir atspoguļots Likumprojektā un tā anotācijā</w:t>
      </w:r>
    </w:p>
  </w:footnote>
  <w:footnote w:id="21">
    <w:p w:rsidR="00362911" w:rsidRPr="009D1E82" w:rsidRDefault="00362911" w:rsidP="008727BA">
      <w:pPr>
        <w:pStyle w:val="FootnoteText"/>
        <w:rPr>
          <w:lang w:val="lv-LV"/>
        </w:rPr>
      </w:pPr>
      <w:r w:rsidRPr="009D1E82">
        <w:rPr>
          <w:rStyle w:val="FootnoteReference"/>
          <w:lang w:val="lv-LV"/>
        </w:rPr>
        <w:footnoteRef/>
      </w:r>
      <w:r w:rsidRPr="009D1E82">
        <w:rPr>
          <w:lang w:val="lv-LV"/>
        </w:rPr>
        <w:t xml:space="preserve"> </w:t>
      </w:r>
      <w:r w:rsidRPr="009D1E82">
        <w:rPr>
          <w:sz w:val="18"/>
          <w:lang w:val="lv-LV"/>
        </w:rPr>
        <w:t>Skatīt: https://likumi.lv/ta/id/293705-obligata-iepirkuma-un-jaudas-komponensu-aprekinasanas-metodika</w:t>
      </w:r>
    </w:p>
  </w:footnote>
  <w:footnote w:id="22">
    <w:p w:rsidR="00362911" w:rsidRPr="009D1E82" w:rsidRDefault="00362911" w:rsidP="00240923">
      <w:pPr>
        <w:pStyle w:val="FootnoteText"/>
        <w:rPr>
          <w:bCs/>
          <w:sz w:val="18"/>
          <w:lang w:val="lv-LV"/>
        </w:rPr>
      </w:pPr>
      <w:r w:rsidRPr="009D1E82">
        <w:rPr>
          <w:rStyle w:val="FootnoteReference"/>
          <w:lang w:val="lv-LV"/>
        </w:rPr>
        <w:footnoteRef/>
      </w:r>
      <w:r w:rsidRPr="009D1E82">
        <w:rPr>
          <w:lang w:val="lv-LV"/>
        </w:rPr>
        <w:t xml:space="preserve"> </w:t>
      </w:r>
      <w:r w:rsidRPr="009D1E82">
        <w:rPr>
          <w:sz w:val="18"/>
          <w:lang w:val="lv-LV"/>
        </w:rPr>
        <w:t>Ministru kabineta 2017.gada 21.novembra rīkojums Nr.685 “</w:t>
      </w:r>
      <w:r w:rsidRPr="009D1E82">
        <w:rPr>
          <w:bCs/>
          <w:sz w:val="18"/>
          <w:lang w:val="lv-LV"/>
        </w:rPr>
        <w:t>Par garantētās maksas par koģenerācijas elektrostacijā uzstādīto elektrisko jaudu saistību samazināšanu akciju sabiedrībai “Latvenergo””, skatīt:</w:t>
      </w:r>
    </w:p>
    <w:p w:rsidR="00362911" w:rsidRPr="009D1E82" w:rsidRDefault="00362911" w:rsidP="00240923">
      <w:pPr>
        <w:pStyle w:val="FootnoteText"/>
        <w:rPr>
          <w:lang w:val="lv-LV"/>
        </w:rPr>
      </w:pPr>
      <w:r w:rsidRPr="009D1E82">
        <w:rPr>
          <w:sz w:val="18"/>
          <w:lang w:val="lv-LV"/>
        </w:rPr>
        <w:t>https://likumi.lv/ta/id/295240-par-garantetas-maksas-par-kogeneracijas-elektrostacija-uzstadito-elektrisko-jaudu-saistibu-samazinasanu-akciju-sabiedribai-latv...</w:t>
      </w:r>
    </w:p>
  </w:footnote>
  <w:footnote w:id="23">
    <w:p w:rsidR="00362911" w:rsidRPr="009D1E82" w:rsidRDefault="00362911" w:rsidP="006D029B">
      <w:pPr>
        <w:pStyle w:val="FootnoteText"/>
        <w:rPr>
          <w:lang w:val="lv-LV"/>
        </w:rPr>
      </w:pPr>
      <w:r w:rsidRPr="009D1E82">
        <w:rPr>
          <w:rStyle w:val="FootnoteReference"/>
          <w:lang w:val="lv-LV"/>
        </w:rPr>
        <w:footnoteRef/>
      </w:r>
      <w:r w:rsidRPr="009D1E82">
        <w:rPr>
          <w:lang w:val="lv-LV"/>
        </w:rPr>
        <w:t xml:space="preserve"> </w:t>
      </w:r>
      <w:r w:rsidRPr="009D1E82">
        <w:rPr>
          <w:sz w:val="18"/>
          <w:lang w:val="lv-LV"/>
        </w:rPr>
        <w:t>Pētījuma “Obligātā iepirkuma sistēmas efektivitātes un ietekmes uz tautsaimniecību izvērtējums” ziņojums, R. Karnīte, 2018, Latvijas Zinātņu akadēmija,  Skatīt: http://oik.db.lv/</w:t>
      </w:r>
    </w:p>
  </w:footnote>
  <w:footnote w:id="24">
    <w:p w:rsidR="00362911" w:rsidRPr="009D1E82" w:rsidRDefault="00362911" w:rsidP="006D029B">
      <w:pPr>
        <w:pStyle w:val="FootnoteText"/>
        <w:rPr>
          <w:lang w:val="lv-LV"/>
        </w:rPr>
      </w:pPr>
      <w:r w:rsidRPr="009D1E82">
        <w:rPr>
          <w:rStyle w:val="FootnoteReference"/>
          <w:lang w:val="lv-LV"/>
        </w:rPr>
        <w:footnoteRef/>
      </w:r>
      <w:r w:rsidRPr="009D1E82">
        <w:rPr>
          <w:lang w:val="lv-LV"/>
        </w:rPr>
        <w:t xml:space="preserve"> Satversmes tiesas 2009. gada 21. decembra sprieduma lietā Nr.2009-43-01 29.2. punkts</w:t>
      </w:r>
    </w:p>
  </w:footnote>
  <w:footnote w:id="25">
    <w:p w:rsidR="00362911" w:rsidRPr="009D1E82" w:rsidRDefault="00362911" w:rsidP="006D029B">
      <w:pPr>
        <w:pStyle w:val="FootnoteText"/>
        <w:rPr>
          <w:lang w:val="lv-LV"/>
        </w:rPr>
      </w:pPr>
      <w:r w:rsidRPr="009D1E82">
        <w:rPr>
          <w:rStyle w:val="FootnoteReference"/>
          <w:lang w:val="lv-LV"/>
        </w:rPr>
        <w:footnoteRef/>
      </w:r>
      <w:r w:rsidRPr="009D1E82">
        <w:rPr>
          <w:lang w:val="lv-LV"/>
        </w:rPr>
        <w:t xml:space="preserve"> Skatīt: http://tap.mk.gov.lv/mk/tap/?pid=40461316</w:t>
      </w:r>
    </w:p>
  </w:footnote>
  <w:footnote w:id="26">
    <w:p w:rsidR="00362911" w:rsidRPr="009D1E82" w:rsidRDefault="00362911" w:rsidP="006D029B">
      <w:pPr>
        <w:pStyle w:val="FootnoteText"/>
        <w:jc w:val="both"/>
        <w:rPr>
          <w:sz w:val="16"/>
          <w:szCs w:val="16"/>
          <w:lang w:val="lv-LV"/>
        </w:rPr>
      </w:pPr>
      <w:r w:rsidRPr="009D1E82">
        <w:rPr>
          <w:rStyle w:val="FootnoteReference"/>
          <w:sz w:val="16"/>
          <w:szCs w:val="16"/>
          <w:lang w:val="lv-LV"/>
        </w:rPr>
        <w:footnoteRef/>
      </w:r>
      <w:r w:rsidRPr="009D1E82">
        <w:rPr>
          <w:sz w:val="16"/>
          <w:szCs w:val="16"/>
          <w:lang w:val="lv-LV"/>
        </w:rPr>
        <w:t xml:space="preserve"> Skatīt: </w:t>
      </w:r>
      <w:r w:rsidRPr="009D1E82">
        <w:rPr>
          <w:rStyle w:val="Hyperlink"/>
          <w:sz w:val="16"/>
          <w:szCs w:val="16"/>
          <w:lang w:val="lv-LV"/>
        </w:rPr>
        <w:t>http://microsegur.com/en/2018/07/05/spain-lost-four-international-arbitrations-over-cutting-renewable-energy-subsidies/</w:t>
      </w:r>
    </w:p>
  </w:footnote>
  <w:footnote w:id="27">
    <w:p w:rsidR="00362911" w:rsidRPr="009D1E82" w:rsidRDefault="00362911" w:rsidP="006D029B">
      <w:pPr>
        <w:pStyle w:val="FootnoteText"/>
        <w:jc w:val="both"/>
        <w:rPr>
          <w:sz w:val="16"/>
          <w:szCs w:val="16"/>
          <w:lang w:val="lv-LV"/>
        </w:rPr>
      </w:pPr>
      <w:r w:rsidRPr="009D1E82">
        <w:rPr>
          <w:rStyle w:val="FootnoteReference"/>
          <w:sz w:val="16"/>
          <w:szCs w:val="16"/>
          <w:lang w:val="lv-LV"/>
        </w:rPr>
        <w:footnoteRef/>
      </w:r>
      <w:r w:rsidRPr="009D1E82">
        <w:rPr>
          <w:sz w:val="16"/>
          <w:szCs w:val="16"/>
          <w:lang w:val="lv-LV"/>
        </w:rPr>
        <w:t xml:space="preserve"> Skatīt:  </w:t>
      </w:r>
      <w:r w:rsidRPr="009D1E82">
        <w:rPr>
          <w:rStyle w:val="Hyperlink"/>
          <w:sz w:val="16"/>
          <w:szCs w:val="16"/>
          <w:lang w:val="lv-LV"/>
        </w:rPr>
        <w:t>https://investmentpolicyhub.unctad.org/ISDS/Details/435</w:t>
      </w:r>
    </w:p>
  </w:footnote>
  <w:footnote w:id="28">
    <w:p w:rsidR="00362911" w:rsidRPr="009D1E82" w:rsidRDefault="00362911" w:rsidP="006D029B">
      <w:pPr>
        <w:pStyle w:val="FootnoteText"/>
        <w:jc w:val="both"/>
        <w:rPr>
          <w:sz w:val="16"/>
          <w:szCs w:val="16"/>
          <w:lang w:val="lv-LV"/>
        </w:rPr>
      </w:pPr>
      <w:r w:rsidRPr="009D1E82">
        <w:rPr>
          <w:rStyle w:val="FootnoteReference"/>
          <w:sz w:val="16"/>
          <w:szCs w:val="16"/>
          <w:lang w:val="lv-LV"/>
        </w:rPr>
        <w:footnoteRef/>
      </w:r>
      <w:r w:rsidRPr="009D1E82">
        <w:rPr>
          <w:sz w:val="16"/>
          <w:szCs w:val="16"/>
          <w:lang w:val="lv-LV"/>
        </w:rPr>
        <w:t xml:space="preserve"> Skatīt:  </w:t>
      </w:r>
      <w:r w:rsidRPr="009D1E82">
        <w:rPr>
          <w:rStyle w:val="Hyperlink"/>
          <w:sz w:val="16"/>
          <w:szCs w:val="16"/>
          <w:lang w:val="lv-LV"/>
        </w:rPr>
        <w:t>https://energycharter.org/what-we-do/dispute-settlement/investment-dispute-settlement-cases/31-the-pv-investors-v-spain/</w:t>
      </w:r>
    </w:p>
  </w:footnote>
  <w:footnote w:id="29">
    <w:p w:rsidR="00362911" w:rsidRPr="009D1E82" w:rsidRDefault="00362911" w:rsidP="006D029B">
      <w:pPr>
        <w:pStyle w:val="FootnoteText"/>
        <w:jc w:val="both"/>
        <w:rPr>
          <w:rFonts w:cstheme="minorHAnsi"/>
          <w:sz w:val="16"/>
          <w:szCs w:val="16"/>
          <w:lang w:val="lv-LV"/>
        </w:rPr>
      </w:pPr>
      <w:r w:rsidRPr="009D1E82">
        <w:rPr>
          <w:rStyle w:val="FootnoteReference"/>
          <w:sz w:val="16"/>
          <w:szCs w:val="16"/>
          <w:lang w:val="lv-LV"/>
        </w:rPr>
        <w:footnoteRef/>
      </w:r>
      <w:r w:rsidRPr="009D1E82">
        <w:rPr>
          <w:sz w:val="16"/>
          <w:szCs w:val="16"/>
          <w:lang w:val="lv-LV"/>
        </w:rPr>
        <w:t xml:space="preserve"> Skatīt:   https://www.clydeco.com/insight/article/energy-arbitrations</w:t>
      </w:r>
    </w:p>
  </w:footnote>
  <w:footnote w:id="30">
    <w:p w:rsidR="00362911" w:rsidRPr="009D1E82" w:rsidRDefault="00362911" w:rsidP="006D029B">
      <w:pPr>
        <w:pStyle w:val="FootnoteText"/>
        <w:rPr>
          <w:lang w:val="lv-LV"/>
        </w:rPr>
      </w:pPr>
      <w:r w:rsidRPr="009D1E82">
        <w:rPr>
          <w:rStyle w:val="FootnoteReference"/>
          <w:lang w:val="lv-LV"/>
        </w:rPr>
        <w:footnoteRef/>
      </w:r>
      <w:r w:rsidRPr="009D1E82">
        <w:rPr>
          <w:lang w:val="lv-LV"/>
        </w:rPr>
        <w:t xml:space="preserve"> </w:t>
      </w:r>
      <w:r w:rsidRPr="009D1E82">
        <w:rPr>
          <w:sz w:val="18"/>
          <w:lang w:val="lv-LV"/>
        </w:rPr>
        <w:t>Izņemot AS “Latvenergo”</w:t>
      </w:r>
    </w:p>
  </w:footnote>
  <w:footnote w:id="31">
    <w:p w:rsidR="00362911" w:rsidRPr="009D1E82" w:rsidRDefault="00362911" w:rsidP="006D029B">
      <w:pPr>
        <w:pStyle w:val="FootnoteText"/>
        <w:rPr>
          <w:lang w:val="lv-LV"/>
        </w:rPr>
      </w:pPr>
      <w:r w:rsidRPr="009D1E82">
        <w:rPr>
          <w:rStyle w:val="FootnoteReference"/>
          <w:lang w:val="lv-LV"/>
        </w:rPr>
        <w:footnoteRef/>
      </w:r>
      <w:r w:rsidRPr="009D1E82">
        <w:rPr>
          <w:lang w:val="lv-LV"/>
        </w:rPr>
        <w:t xml:space="preserve"> </w:t>
      </w:r>
      <w:r w:rsidRPr="009D1E82">
        <w:rPr>
          <w:sz w:val="18"/>
          <w:lang w:val="lv-LV"/>
        </w:rPr>
        <w:t>Skatīt: http://www.ast.lv/lv/content/parvades-sistemas-operatora-novertejuma-zinojumi</w:t>
      </w:r>
    </w:p>
  </w:footnote>
  <w:footnote w:id="32">
    <w:p w:rsidR="00362911" w:rsidRPr="009D1E82" w:rsidRDefault="00362911" w:rsidP="006D029B">
      <w:pPr>
        <w:pStyle w:val="FootnoteText"/>
        <w:rPr>
          <w:lang w:val="lv-LV"/>
        </w:rPr>
      </w:pPr>
      <w:r w:rsidRPr="009D1E82">
        <w:rPr>
          <w:rStyle w:val="FootnoteReference"/>
          <w:lang w:val="lv-LV"/>
        </w:rPr>
        <w:footnoteRef/>
      </w:r>
      <w:r w:rsidRPr="009D1E82">
        <w:rPr>
          <w:lang w:val="lv-LV"/>
        </w:rPr>
        <w:t xml:space="preserve"> </w:t>
      </w:r>
      <w:r w:rsidRPr="009D1E82">
        <w:rPr>
          <w:sz w:val="18"/>
          <w:lang w:val="lv-LV"/>
        </w:rPr>
        <w:t>Skatīt: https://likumi.lv/ta/id/280236-par-energetikas-attistibas-pamatnostadnem-2016-2020-gadam</w:t>
      </w:r>
    </w:p>
  </w:footnote>
  <w:footnote w:id="33">
    <w:p w:rsidR="00362911" w:rsidRPr="009D1E82" w:rsidRDefault="00362911" w:rsidP="006D029B">
      <w:pPr>
        <w:pStyle w:val="FootnoteText"/>
        <w:rPr>
          <w:lang w:val="lv-LV"/>
        </w:rPr>
      </w:pPr>
      <w:r w:rsidRPr="009D1E82">
        <w:rPr>
          <w:rStyle w:val="FootnoteReference"/>
          <w:lang w:val="lv-LV"/>
        </w:rPr>
        <w:footnoteRef/>
      </w:r>
      <w:r w:rsidRPr="009D1E82">
        <w:rPr>
          <w:lang w:val="lv-LV"/>
        </w:rPr>
        <w:t xml:space="preserve"> </w:t>
      </w:r>
      <w:r w:rsidRPr="009D1E82">
        <w:rPr>
          <w:sz w:val="18"/>
          <w:lang w:val="lv-LV"/>
        </w:rPr>
        <w:t>Skatīt: http://tap.mk.gov.lv/mk/tap/?pid=40263360</w:t>
      </w:r>
    </w:p>
  </w:footnote>
  <w:footnote w:id="34">
    <w:p w:rsidR="00362911" w:rsidRPr="009D1E82" w:rsidRDefault="00362911" w:rsidP="006D029B">
      <w:pPr>
        <w:pStyle w:val="FootnoteText"/>
        <w:rPr>
          <w:lang w:val="lv-LV"/>
        </w:rPr>
      </w:pPr>
      <w:r w:rsidRPr="009D1E82">
        <w:rPr>
          <w:rStyle w:val="FootnoteReference"/>
          <w:lang w:val="lv-LV"/>
        </w:rPr>
        <w:footnoteRef/>
      </w:r>
      <w:r w:rsidRPr="009D1E82">
        <w:rPr>
          <w:lang w:val="lv-LV"/>
        </w:rPr>
        <w:t xml:space="preserve"> Paziņojums pieejams: https://eur-lex.europa.eu/legal-content/LV/ALL/?uri=CELEX:52017XC0119(01)</w:t>
      </w:r>
    </w:p>
  </w:footnote>
  <w:footnote w:id="35">
    <w:p w:rsidR="00362911" w:rsidRPr="009D1E82" w:rsidRDefault="00362911" w:rsidP="006D029B">
      <w:pPr>
        <w:pStyle w:val="FootnoteText"/>
        <w:jc w:val="both"/>
        <w:rPr>
          <w:sz w:val="16"/>
          <w:szCs w:val="16"/>
          <w:lang w:val="lv-LV"/>
        </w:rPr>
      </w:pPr>
      <w:r w:rsidRPr="009D1E82">
        <w:rPr>
          <w:rStyle w:val="FootnoteReference"/>
          <w:sz w:val="16"/>
          <w:szCs w:val="16"/>
          <w:lang w:val="lv-LV"/>
        </w:rPr>
        <w:footnoteRef/>
      </w:r>
      <w:r w:rsidRPr="009D1E82">
        <w:rPr>
          <w:sz w:val="16"/>
          <w:szCs w:val="16"/>
          <w:lang w:val="lv-LV"/>
        </w:rPr>
        <w:t xml:space="preserve"> </w:t>
      </w:r>
      <w:r w:rsidRPr="009D1E82">
        <w:rPr>
          <w:sz w:val="18"/>
          <w:szCs w:val="16"/>
          <w:lang w:val="lv-LV"/>
        </w:rPr>
        <w:t>ES ETS tika izveidota, lai veicinātu SEG emisiju samazināšanu izmaksu efektīvā, godīgā un solidārā veidā. ES ETS ietvaros katrai ETS iekārtai tiek piešķirts noteikts emisijas kvotu daudzums jeb SEG emisiju limits. ETS galvenokārt aptver rūpnieciskās iekārtas energoietilpīgajās tautsaimniecības nozarēs, tai skaitā elektroenerģijas un siltumenerģijas, cementa, keramikas, tērauda, stikla u.c. ražošanas iekārtas.</w:t>
      </w:r>
    </w:p>
  </w:footnote>
  <w:footnote w:id="36">
    <w:p w:rsidR="00362911" w:rsidRPr="009D1E82" w:rsidRDefault="00362911" w:rsidP="006D029B">
      <w:pPr>
        <w:pStyle w:val="FootnoteText"/>
        <w:rPr>
          <w:sz w:val="18"/>
          <w:lang w:val="lv-LV"/>
        </w:rPr>
      </w:pPr>
      <w:r w:rsidRPr="009D1E82">
        <w:rPr>
          <w:rStyle w:val="FootnoteReference"/>
          <w:lang w:val="lv-LV"/>
        </w:rPr>
        <w:footnoteRef/>
      </w:r>
      <w:r w:rsidRPr="009D1E82">
        <w:rPr>
          <w:lang w:val="lv-LV"/>
        </w:rPr>
        <w:t xml:space="preserve"> </w:t>
      </w:r>
      <w:r w:rsidRPr="009D1E82">
        <w:rPr>
          <w:sz w:val="18"/>
          <w:lang w:val="lv-LV"/>
        </w:rPr>
        <w:t>Skatīt: https://eur-lex.europa.eu/legal-content/LV/TXT/?uri=CELEX%3A32016L2284</w:t>
      </w:r>
    </w:p>
  </w:footnote>
  <w:footnote w:id="37">
    <w:p w:rsidR="00362911" w:rsidRPr="009D1E82" w:rsidRDefault="00362911" w:rsidP="006D029B">
      <w:pPr>
        <w:pStyle w:val="FootnoteText"/>
        <w:jc w:val="both"/>
        <w:rPr>
          <w:lang w:val="lv-LV"/>
        </w:rPr>
      </w:pPr>
      <w:r w:rsidRPr="009D1E82">
        <w:rPr>
          <w:rStyle w:val="FootnoteReference"/>
          <w:lang w:val="lv-LV"/>
        </w:rPr>
        <w:footnoteRef/>
      </w:r>
      <w:r w:rsidRPr="009D1E82">
        <w:rPr>
          <w:lang w:val="lv-LV"/>
        </w:rPr>
        <w:t xml:space="preserve"> </w:t>
      </w:r>
      <w:r w:rsidRPr="009D1E82">
        <w:rPr>
          <w:sz w:val="18"/>
          <w:lang w:val="lv-LV"/>
        </w:rPr>
        <w:t xml:space="preserve">Šobrīd vēl notiek ES līmeņa sarunas par konkrētiem ES fondu finansējuma “iespējošanas” nosacījumiem 2021.-2027. gada ES fondu plānošanas periodam, tomēr jau šobrīd ir skaidrs, ka pastāvēs nosacījuma raksturs EK finansējuma saņemšanai.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911" w:rsidRPr="00366728" w:rsidRDefault="00362911">
    <w:pPr>
      <w:pStyle w:val="Header"/>
      <w:jc w:val="center"/>
      <w:rPr>
        <w:rFonts w:ascii="Times New Roman" w:hAnsi="Times New Roman"/>
        <w:sz w:val="24"/>
        <w:szCs w:val="24"/>
      </w:rPr>
    </w:pPr>
    <w:r w:rsidRPr="00366728">
      <w:rPr>
        <w:rFonts w:ascii="Times New Roman" w:hAnsi="Times New Roman"/>
        <w:sz w:val="24"/>
        <w:szCs w:val="24"/>
      </w:rPr>
      <w:fldChar w:fldCharType="begin"/>
    </w:r>
    <w:r w:rsidRPr="00366728">
      <w:rPr>
        <w:rFonts w:ascii="Times New Roman" w:hAnsi="Times New Roman"/>
        <w:sz w:val="24"/>
        <w:szCs w:val="24"/>
      </w:rPr>
      <w:instrText xml:space="preserve"> PAGE   \* MERGEFORMAT </w:instrText>
    </w:r>
    <w:r w:rsidRPr="00366728">
      <w:rPr>
        <w:rFonts w:ascii="Times New Roman" w:hAnsi="Times New Roman"/>
        <w:sz w:val="24"/>
        <w:szCs w:val="24"/>
      </w:rPr>
      <w:fldChar w:fldCharType="separate"/>
    </w:r>
    <w:r>
      <w:rPr>
        <w:rFonts w:ascii="Times New Roman" w:hAnsi="Times New Roman"/>
        <w:noProof/>
        <w:sz w:val="24"/>
        <w:szCs w:val="24"/>
      </w:rPr>
      <w:t>5</w:t>
    </w:r>
    <w:r w:rsidRPr="00366728">
      <w:rPr>
        <w:rFonts w:ascii="Times New Roman" w:hAnsi="Times New Roman"/>
        <w:noProof/>
        <w:sz w:val="24"/>
        <w:szCs w:val="24"/>
      </w:rPr>
      <w:fldChar w:fldCharType="end"/>
    </w:r>
  </w:p>
  <w:p w:rsidR="00362911" w:rsidRPr="00391FF4" w:rsidRDefault="00362911">
    <w:pPr>
      <w:pStyle w:val="Header"/>
      <w:rPr>
        <w:rFonts w:ascii="Calibri (imesBody)" w:hAnsi="Calibri (imesBod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24C8B"/>
    <w:multiLevelType w:val="hybridMultilevel"/>
    <w:tmpl w:val="8B8AAD3C"/>
    <w:lvl w:ilvl="0" w:tplc="1BC4A822">
      <w:start w:val="1"/>
      <w:numFmt w:val="bullet"/>
      <w:lvlText w:val=""/>
      <w:lvlJc w:val="left"/>
      <w:pPr>
        <w:ind w:left="360" w:hanging="360"/>
      </w:pPr>
      <w:rPr>
        <w:rFonts w:ascii="Symbol" w:hAnsi="Symbol" w:hint="default"/>
      </w:rPr>
    </w:lvl>
    <w:lvl w:ilvl="1" w:tplc="AF969B26" w:tentative="1">
      <w:start w:val="1"/>
      <w:numFmt w:val="bullet"/>
      <w:lvlText w:val="o"/>
      <w:lvlJc w:val="left"/>
      <w:pPr>
        <w:ind w:left="1080" w:hanging="360"/>
      </w:pPr>
      <w:rPr>
        <w:rFonts w:ascii="Courier New" w:hAnsi="Courier New" w:cs="Courier New" w:hint="default"/>
      </w:rPr>
    </w:lvl>
    <w:lvl w:ilvl="2" w:tplc="AAF29414" w:tentative="1">
      <w:start w:val="1"/>
      <w:numFmt w:val="bullet"/>
      <w:lvlText w:val=""/>
      <w:lvlJc w:val="left"/>
      <w:pPr>
        <w:ind w:left="1800" w:hanging="360"/>
      </w:pPr>
      <w:rPr>
        <w:rFonts w:ascii="Wingdings" w:hAnsi="Wingdings" w:hint="default"/>
      </w:rPr>
    </w:lvl>
    <w:lvl w:ilvl="3" w:tplc="4034789E" w:tentative="1">
      <w:start w:val="1"/>
      <w:numFmt w:val="bullet"/>
      <w:lvlText w:val=""/>
      <w:lvlJc w:val="left"/>
      <w:pPr>
        <w:ind w:left="2520" w:hanging="360"/>
      </w:pPr>
      <w:rPr>
        <w:rFonts w:ascii="Symbol" w:hAnsi="Symbol" w:hint="default"/>
      </w:rPr>
    </w:lvl>
    <w:lvl w:ilvl="4" w:tplc="C92085AE" w:tentative="1">
      <w:start w:val="1"/>
      <w:numFmt w:val="bullet"/>
      <w:lvlText w:val="o"/>
      <w:lvlJc w:val="left"/>
      <w:pPr>
        <w:ind w:left="3240" w:hanging="360"/>
      </w:pPr>
      <w:rPr>
        <w:rFonts w:ascii="Courier New" w:hAnsi="Courier New" w:cs="Courier New" w:hint="default"/>
      </w:rPr>
    </w:lvl>
    <w:lvl w:ilvl="5" w:tplc="FB8A9006" w:tentative="1">
      <w:start w:val="1"/>
      <w:numFmt w:val="bullet"/>
      <w:lvlText w:val=""/>
      <w:lvlJc w:val="left"/>
      <w:pPr>
        <w:ind w:left="3960" w:hanging="360"/>
      </w:pPr>
      <w:rPr>
        <w:rFonts w:ascii="Wingdings" w:hAnsi="Wingdings" w:hint="default"/>
      </w:rPr>
    </w:lvl>
    <w:lvl w:ilvl="6" w:tplc="E2B82FB0" w:tentative="1">
      <w:start w:val="1"/>
      <w:numFmt w:val="bullet"/>
      <w:lvlText w:val=""/>
      <w:lvlJc w:val="left"/>
      <w:pPr>
        <w:ind w:left="4680" w:hanging="360"/>
      </w:pPr>
      <w:rPr>
        <w:rFonts w:ascii="Symbol" w:hAnsi="Symbol" w:hint="default"/>
      </w:rPr>
    </w:lvl>
    <w:lvl w:ilvl="7" w:tplc="BFDCCC52" w:tentative="1">
      <w:start w:val="1"/>
      <w:numFmt w:val="bullet"/>
      <w:lvlText w:val="o"/>
      <w:lvlJc w:val="left"/>
      <w:pPr>
        <w:ind w:left="5400" w:hanging="360"/>
      </w:pPr>
      <w:rPr>
        <w:rFonts w:ascii="Courier New" w:hAnsi="Courier New" w:cs="Courier New" w:hint="default"/>
      </w:rPr>
    </w:lvl>
    <w:lvl w:ilvl="8" w:tplc="1A34C6C0" w:tentative="1">
      <w:start w:val="1"/>
      <w:numFmt w:val="bullet"/>
      <w:lvlText w:val=""/>
      <w:lvlJc w:val="left"/>
      <w:pPr>
        <w:ind w:left="6120" w:hanging="360"/>
      </w:pPr>
      <w:rPr>
        <w:rFonts w:ascii="Wingdings" w:hAnsi="Wingdings" w:hint="default"/>
      </w:rPr>
    </w:lvl>
  </w:abstractNum>
  <w:abstractNum w:abstractNumId="1" w15:restartNumberingAfterBreak="0">
    <w:nsid w:val="07404F8B"/>
    <w:multiLevelType w:val="hybridMultilevel"/>
    <w:tmpl w:val="B75E32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1">
    <w:nsid w:val="088B5CEA"/>
    <w:multiLevelType w:val="hybridMultilevel"/>
    <w:tmpl w:val="34249BE6"/>
    <w:lvl w:ilvl="0" w:tplc="146A6F0E">
      <w:start w:val="1"/>
      <w:numFmt w:val="bullet"/>
      <w:lvlText w:val=""/>
      <w:lvlJc w:val="left"/>
      <w:pPr>
        <w:ind w:left="1440" w:hanging="360"/>
      </w:pPr>
      <w:rPr>
        <w:rFonts w:ascii="Wingdings" w:hAnsi="Wingdings" w:hint="default"/>
      </w:rPr>
    </w:lvl>
    <w:lvl w:ilvl="1" w:tplc="EC10DE3C">
      <w:start w:val="1"/>
      <w:numFmt w:val="bullet"/>
      <w:lvlText w:val="o"/>
      <w:lvlJc w:val="left"/>
      <w:pPr>
        <w:ind w:left="2160" w:hanging="360"/>
      </w:pPr>
      <w:rPr>
        <w:rFonts w:ascii="Courier New" w:hAnsi="Courier New" w:cs="Courier New" w:hint="default"/>
      </w:rPr>
    </w:lvl>
    <w:lvl w:ilvl="2" w:tplc="53123416" w:tentative="1">
      <w:start w:val="1"/>
      <w:numFmt w:val="bullet"/>
      <w:lvlText w:val=""/>
      <w:lvlJc w:val="left"/>
      <w:pPr>
        <w:ind w:left="2880" w:hanging="360"/>
      </w:pPr>
      <w:rPr>
        <w:rFonts w:ascii="Wingdings" w:hAnsi="Wingdings" w:hint="default"/>
      </w:rPr>
    </w:lvl>
    <w:lvl w:ilvl="3" w:tplc="BAEEBA62" w:tentative="1">
      <w:start w:val="1"/>
      <w:numFmt w:val="bullet"/>
      <w:lvlText w:val=""/>
      <w:lvlJc w:val="left"/>
      <w:pPr>
        <w:ind w:left="3600" w:hanging="360"/>
      </w:pPr>
      <w:rPr>
        <w:rFonts w:ascii="Symbol" w:hAnsi="Symbol" w:hint="default"/>
      </w:rPr>
    </w:lvl>
    <w:lvl w:ilvl="4" w:tplc="C7688990" w:tentative="1">
      <w:start w:val="1"/>
      <w:numFmt w:val="bullet"/>
      <w:lvlText w:val="o"/>
      <w:lvlJc w:val="left"/>
      <w:pPr>
        <w:ind w:left="4320" w:hanging="360"/>
      </w:pPr>
      <w:rPr>
        <w:rFonts w:ascii="Courier New" w:hAnsi="Courier New" w:cs="Courier New" w:hint="default"/>
      </w:rPr>
    </w:lvl>
    <w:lvl w:ilvl="5" w:tplc="CD14EED6" w:tentative="1">
      <w:start w:val="1"/>
      <w:numFmt w:val="bullet"/>
      <w:lvlText w:val=""/>
      <w:lvlJc w:val="left"/>
      <w:pPr>
        <w:ind w:left="5040" w:hanging="360"/>
      </w:pPr>
      <w:rPr>
        <w:rFonts w:ascii="Wingdings" w:hAnsi="Wingdings" w:hint="default"/>
      </w:rPr>
    </w:lvl>
    <w:lvl w:ilvl="6" w:tplc="0B10AB34" w:tentative="1">
      <w:start w:val="1"/>
      <w:numFmt w:val="bullet"/>
      <w:lvlText w:val=""/>
      <w:lvlJc w:val="left"/>
      <w:pPr>
        <w:ind w:left="5760" w:hanging="360"/>
      </w:pPr>
      <w:rPr>
        <w:rFonts w:ascii="Symbol" w:hAnsi="Symbol" w:hint="default"/>
      </w:rPr>
    </w:lvl>
    <w:lvl w:ilvl="7" w:tplc="8A22E56E" w:tentative="1">
      <w:start w:val="1"/>
      <w:numFmt w:val="bullet"/>
      <w:lvlText w:val="o"/>
      <w:lvlJc w:val="left"/>
      <w:pPr>
        <w:ind w:left="6480" w:hanging="360"/>
      </w:pPr>
      <w:rPr>
        <w:rFonts w:ascii="Courier New" w:hAnsi="Courier New" w:cs="Courier New" w:hint="default"/>
      </w:rPr>
    </w:lvl>
    <w:lvl w:ilvl="8" w:tplc="41BAF820" w:tentative="1">
      <w:start w:val="1"/>
      <w:numFmt w:val="bullet"/>
      <w:lvlText w:val=""/>
      <w:lvlJc w:val="left"/>
      <w:pPr>
        <w:ind w:left="7200" w:hanging="360"/>
      </w:pPr>
      <w:rPr>
        <w:rFonts w:ascii="Wingdings" w:hAnsi="Wingdings" w:hint="default"/>
      </w:rPr>
    </w:lvl>
  </w:abstractNum>
  <w:abstractNum w:abstractNumId="3" w15:restartNumberingAfterBreak="0">
    <w:nsid w:val="0A756282"/>
    <w:multiLevelType w:val="hybridMultilevel"/>
    <w:tmpl w:val="CC9048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8515A3"/>
    <w:multiLevelType w:val="hybridMultilevel"/>
    <w:tmpl w:val="62BE688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AE039A0"/>
    <w:multiLevelType w:val="hybridMultilevel"/>
    <w:tmpl w:val="C2583D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0627961"/>
    <w:multiLevelType w:val="hybridMultilevel"/>
    <w:tmpl w:val="1F04264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269D0A23"/>
    <w:multiLevelType w:val="hybridMultilevel"/>
    <w:tmpl w:val="48CC1F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1">
    <w:nsid w:val="2FBD2BDF"/>
    <w:multiLevelType w:val="hybridMultilevel"/>
    <w:tmpl w:val="78B40DE6"/>
    <w:lvl w:ilvl="0" w:tplc="FCB8B5E4">
      <w:start w:val="1"/>
      <w:numFmt w:val="bullet"/>
      <w:lvlText w:val=""/>
      <w:lvlJc w:val="left"/>
      <w:pPr>
        <w:ind w:left="1080" w:hanging="360"/>
      </w:pPr>
      <w:rPr>
        <w:rFonts w:ascii="Wingdings" w:hAnsi="Wingdings" w:hint="default"/>
      </w:rPr>
    </w:lvl>
    <w:lvl w:ilvl="1" w:tplc="88B404D6" w:tentative="1">
      <w:start w:val="1"/>
      <w:numFmt w:val="bullet"/>
      <w:lvlText w:val="o"/>
      <w:lvlJc w:val="left"/>
      <w:pPr>
        <w:ind w:left="1800" w:hanging="360"/>
      </w:pPr>
      <w:rPr>
        <w:rFonts w:ascii="Courier New" w:hAnsi="Courier New" w:cs="Courier New" w:hint="default"/>
      </w:rPr>
    </w:lvl>
    <w:lvl w:ilvl="2" w:tplc="CA024F5C" w:tentative="1">
      <w:start w:val="1"/>
      <w:numFmt w:val="bullet"/>
      <w:lvlText w:val=""/>
      <w:lvlJc w:val="left"/>
      <w:pPr>
        <w:ind w:left="2520" w:hanging="360"/>
      </w:pPr>
      <w:rPr>
        <w:rFonts w:ascii="Wingdings" w:hAnsi="Wingdings" w:hint="default"/>
      </w:rPr>
    </w:lvl>
    <w:lvl w:ilvl="3" w:tplc="1168340A" w:tentative="1">
      <w:start w:val="1"/>
      <w:numFmt w:val="bullet"/>
      <w:lvlText w:val=""/>
      <w:lvlJc w:val="left"/>
      <w:pPr>
        <w:ind w:left="3240" w:hanging="360"/>
      </w:pPr>
      <w:rPr>
        <w:rFonts w:ascii="Symbol" w:hAnsi="Symbol" w:hint="default"/>
      </w:rPr>
    </w:lvl>
    <w:lvl w:ilvl="4" w:tplc="CEF87D70" w:tentative="1">
      <w:start w:val="1"/>
      <w:numFmt w:val="bullet"/>
      <w:lvlText w:val="o"/>
      <w:lvlJc w:val="left"/>
      <w:pPr>
        <w:ind w:left="3960" w:hanging="360"/>
      </w:pPr>
      <w:rPr>
        <w:rFonts w:ascii="Courier New" w:hAnsi="Courier New" w:cs="Courier New" w:hint="default"/>
      </w:rPr>
    </w:lvl>
    <w:lvl w:ilvl="5" w:tplc="D7429546" w:tentative="1">
      <w:start w:val="1"/>
      <w:numFmt w:val="bullet"/>
      <w:lvlText w:val=""/>
      <w:lvlJc w:val="left"/>
      <w:pPr>
        <w:ind w:left="4680" w:hanging="360"/>
      </w:pPr>
      <w:rPr>
        <w:rFonts w:ascii="Wingdings" w:hAnsi="Wingdings" w:hint="default"/>
      </w:rPr>
    </w:lvl>
    <w:lvl w:ilvl="6" w:tplc="26D2BC30" w:tentative="1">
      <w:start w:val="1"/>
      <w:numFmt w:val="bullet"/>
      <w:lvlText w:val=""/>
      <w:lvlJc w:val="left"/>
      <w:pPr>
        <w:ind w:left="5400" w:hanging="360"/>
      </w:pPr>
      <w:rPr>
        <w:rFonts w:ascii="Symbol" w:hAnsi="Symbol" w:hint="default"/>
      </w:rPr>
    </w:lvl>
    <w:lvl w:ilvl="7" w:tplc="01B612E0" w:tentative="1">
      <w:start w:val="1"/>
      <w:numFmt w:val="bullet"/>
      <w:lvlText w:val="o"/>
      <w:lvlJc w:val="left"/>
      <w:pPr>
        <w:ind w:left="6120" w:hanging="360"/>
      </w:pPr>
      <w:rPr>
        <w:rFonts w:ascii="Courier New" w:hAnsi="Courier New" w:cs="Courier New" w:hint="default"/>
      </w:rPr>
    </w:lvl>
    <w:lvl w:ilvl="8" w:tplc="78584C2C" w:tentative="1">
      <w:start w:val="1"/>
      <w:numFmt w:val="bullet"/>
      <w:lvlText w:val=""/>
      <w:lvlJc w:val="left"/>
      <w:pPr>
        <w:ind w:left="6840" w:hanging="360"/>
      </w:pPr>
      <w:rPr>
        <w:rFonts w:ascii="Wingdings" w:hAnsi="Wingdings" w:hint="default"/>
      </w:rPr>
    </w:lvl>
  </w:abstractNum>
  <w:abstractNum w:abstractNumId="9" w15:restartNumberingAfterBreak="0">
    <w:nsid w:val="320E7248"/>
    <w:multiLevelType w:val="hybridMultilevel"/>
    <w:tmpl w:val="4B0A4AA4"/>
    <w:lvl w:ilvl="0" w:tplc="D338C23C">
      <w:start w:val="1"/>
      <w:numFmt w:val="decimal"/>
      <w:lvlText w:val="%1)"/>
      <w:lvlJc w:val="left"/>
      <w:pPr>
        <w:ind w:left="567"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563F95"/>
    <w:multiLevelType w:val="multilevel"/>
    <w:tmpl w:val="BFD83A4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26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7141BB"/>
    <w:multiLevelType w:val="hybridMultilevel"/>
    <w:tmpl w:val="A8F0A36A"/>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48042D4"/>
    <w:multiLevelType w:val="hybridMultilevel"/>
    <w:tmpl w:val="229C04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50302D6"/>
    <w:multiLevelType w:val="hybridMultilevel"/>
    <w:tmpl w:val="F51E04C0"/>
    <w:lvl w:ilvl="0" w:tplc="0EFE7D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1">
    <w:nsid w:val="36B03698"/>
    <w:multiLevelType w:val="hybridMultilevel"/>
    <w:tmpl w:val="F69077DE"/>
    <w:lvl w:ilvl="0" w:tplc="3C5C1B54">
      <w:start w:val="1"/>
      <w:numFmt w:val="decimal"/>
      <w:lvlText w:val="%1)"/>
      <w:lvlJc w:val="left"/>
      <w:pPr>
        <w:ind w:left="720" w:hanging="360"/>
      </w:pPr>
      <w:rPr>
        <w:rFonts w:hint="default"/>
      </w:rPr>
    </w:lvl>
    <w:lvl w:ilvl="1" w:tplc="E716E000" w:tentative="1">
      <w:start w:val="1"/>
      <w:numFmt w:val="lowerLetter"/>
      <w:lvlText w:val="%2."/>
      <w:lvlJc w:val="left"/>
      <w:pPr>
        <w:ind w:left="1440" w:hanging="360"/>
      </w:pPr>
    </w:lvl>
    <w:lvl w:ilvl="2" w:tplc="15B29174" w:tentative="1">
      <w:start w:val="1"/>
      <w:numFmt w:val="lowerRoman"/>
      <w:lvlText w:val="%3."/>
      <w:lvlJc w:val="right"/>
      <w:pPr>
        <w:ind w:left="2160" w:hanging="180"/>
      </w:pPr>
    </w:lvl>
    <w:lvl w:ilvl="3" w:tplc="866C6F9A" w:tentative="1">
      <w:start w:val="1"/>
      <w:numFmt w:val="decimal"/>
      <w:lvlText w:val="%4."/>
      <w:lvlJc w:val="left"/>
      <w:pPr>
        <w:ind w:left="2880" w:hanging="360"/>
      </w:pPr>
    </w:lvl>
    <w:lvl w:ilvl="4" w:tplc="F7D2CE5A" w:tentative="1">
      <w:start w:val="1"/>
      <w:numFmt w:val="lowerLetter"/>
      <w:lvlText w:val="%5."/>
      <w:lvlJc w:val="left"/>
      <w:pPr>
        <w:ind w:left="3600" w:hanging="360"/>
      </w:pPr>
    </w:lvl>
    <w:lvl w:ilvl="5" w:tplc="F26E1E6E" w:tentative="1">
      <w:start w:val="1"/>
      <w:numFmt w:val="lowerRoman"/>
      <w:lvlText w:val="%6."/>
      <w:lvlJc w:val="right"/>
      <w:pPr>
        <w:ind w:left="4320" w:hanging="180"/>
      </w:pPr>
    </w:lvl>
    <w:lvl w:ilvl="6" w:tplc="BE382292" w:tentative="1">
      <w:start w:val="1"/>
      <w:numFmt w:val="decimal"/>
      <w:lvlText w:val="%7."/>
      <w:lvlJc w:val="left"/>
      <w:pPr>
        <w:ind w:left="5040" w:hanging="360"/>
      </w:pPr>
    </w:lvl>
    <w:lvl w:ilvl="7" w:tplc="91B41BF6" w:tentative="1">
      <w:start w:val="1"/>
      <w:numFmt w:val="lowerLetter"/>
      <w:lvlText w:val="%8."/>
      <w:lvlJc w:val="left"/>
      <w:pPr>
        <w:ind w:left="5760" w:hanging="360"/>
      </w:pPr>
    </w:lvl>
    <w:lvl w:ilvl="8" w:tplc="07CC8602" w:tentative="1">
      <w:start w:val="1"/>
      <w:numFmt w:val="lowerRoman"/>
      <w:lvlText w:val="%9."/>
      <w:lvlJc w:val="right"/>
      <w:pPr>
        <w:ind w:left="6480" w:hanging="180"/>
      </w:pPr>
    </w:lvl>
  </w:abstractNum>
  <w:abstractNum w:abstractNumId="15" w15:restartNumberingAfterBreak="0">
    <w:nsid w:val="39455464"/>
    <w:multiLevelType w:val="hybridMultilevel"/>
    <w:tmpl w:val="B3A661E2"/>
    <w:lvl w:ilvl="0" w:tplc="04260005">
      <w:start w:val="1"/>
      <w:numFmt w:val="bullet"/>
      <w:lvlText w:val=""/>
      <w:lvlJc w:val="left"/>
      <w:pPr>
        <w:ind w:left="3358" w:hanging="360"/>
      </w:pPr>
      <w:rPr>
        <w:rFonts w:ascii="Wingdings" w:hAnsi="Wingdings" w:hint="default"/>
      </w:rPr>
    </w:lvl>
    <w:lvl w:ilvl="1" w:tplc="04260003">
      <w:start w:val="1"/>
      <w:numFmt w:val="bullet"/>
      <w:lvlText w:val="o"/>
      <w:lvlJc w:val="left"/>
      <w:pPr>
        <w:ind w:left="4078" w:hanging="360"/>
      </w:pPr>
      <w:rPr>
        <w:rFonts w:ascii="Courier New" w:hAnsi="Courier New" w:cs="Courier New" w:hint="default"/>
      </w:rPr>
    </w:lvl>
    <w:lvl w:ilvl="2" w:tplc="04260005" w:tentative="1">
      <w:start w:val="1"/>
      <w:numFmt w:val="bullet"/>
      <w:lvlText w:val=""/>
      <w:lvlJc w:val="left"/>
      <w:pPr>
        <w:ind w:left="4798" w:hanging="360"/>
      </w:pPr>
      <w:rPr>
        <w:rFonts w:ascii="Wingdings" w:hAnsi="Wingdings" w:hint="default"/>
      </w:rPr>
    </w:lvl>
    <w:lvl w:ilvl="3" w:tplc="04260001" w:tentative="1">
      <w:start w:val="1"/>
      <w:numFmt w:val="bullet"/>
      <w:lvlText w:val=""/>
      <w:lvlJc w:val="left"/>
      <w:pPr>
        <w:ind w:left="5518" w:hanging="360"/>
      </w:pPr>
      <w:rPr>
        <w:rFonts w:ascii="Symbol" w:hAnsi="Symbol" w:hint="default"/>
      </w:rPr>
    </w:lvl>
    <w:lvl w:ilvl="4" w:tplc="04260003" w:tentative="1">
      <w:start w:val="1"/>
      <w:numFmt w:val="bullet"/>
      <w:lvlText w:val="o"/>
      <w:lvlJc w:val="left"/>
      <w:pPr>
        <w:ind w:left="6238" w:hanging="360"/>
      </w:pPr>
      <w:rPr>
        <w:rFonts w:ascii="Courier New" w:hAnsi="Courier New" w:cs="Courier New" w:hint="default"/>
      </w:rPr>
    </w:lvl>
    <w:lvl w:ilvl="5" w:tplc="04260005" w:tentative="1">
      <w:start w:val="1"/>
      <w:numFmt w:val="bullet"/>
      <w:lvlText w:val=""/>
      <w:lvlJc w:val="left"/>
      <w:pPr>
        <w:ind w:left="6958" w:hanging="360"/>
      </w:pPr>
      <w:rPr>
        <w:rFonts w:ascii="Wingdings" w:hAnsi="Wingdings" w:hint="default"/>
      </w:rPr>
    </w:lvl>
    <w:lvl w:ilvl="6" w:tplc="04260001" w:tentative="1">
      <w:start w:val="1"/>
      <w:numFmt w:val="bullet"/>
      <w:lvlText w:val=""/>
      <w:lvlJc w:val="left"/>
      <w:pPr>
        <w:ind w:left="7678" w:hanging="360"/>
      </w:pPr>
      <w:rPr>
        <w:rFonts w:ascii="Symbol" w:hAnsi="Symbol" w:hint="default"/>
      </w:rPr>
    </w:lvl>
    <w:lvl w:ilvl="7" w:tplc="04260003" w:tentative="1">
      <w:start w:val="1"/>
      <w:numFmt w:val="bullet"/>
      <w:lvlText w:val="o"/>
      <w:lvlJc w:val="left"/>
      <w:pPr>
        <w:ind w:left="8398" w:hanging="360"/>
      </w:pPr>
      <w:rPr>
        <w:rFonts w:ascii="Courier New" w:hAnsi="Courier New" w:cs="Courier New" w:hint="default"/>
      </w:rPr>
    </w:lvl>
    <w:lvl w:ilvl="8" w:tplc="04260005" w:tentative="1">
      <w:start w:val="1"/>
      <w:numFmt w:val="bullet"/>
      <w:lvlText w:val=""/>
      <w:lvlJc w:val="left"/>
      <w:pPr>
        <w:ind w:left="9118" w:hanging="360"/>
      </w:pPr>
      <w:rPr>
        <w:rFonts w:ascii="Wingdings" w:hAnsi="Wingdings" w:hint="default"/>
      </w:rPr>
    </w:lvl>
  </w:abstractNum>
  <w:abstractNum w:abstractNumId="16" w15:restartNumberingAfterBreak="1">
    <w:nsid w:val="473B5F26"/>
    <w:multiLevelType w:val="hybridMultilevel"/>
    <w:tmpl w:val="41E68D4C"/>
    <w:lvl w:ilvl="0" w:tplc="D02CCACC">
      <w:start w:val="1"/>
      <w:numFmt w:val="bullet"/>
      <w:lvlText w:val=""/>
      <w:lvlJc w:val="left"/>
      <w:pPr>
        <w:ind w:left="1080" w:hanging="360"/>
      </w:pPr>
      <w:rPr>
        <w:rFonts w:ascii="Wingdings" w:hAnsi="Wingdings" w:hint="default"/>
      </w:rPr>
    </w:lvl>
    <w:lvl w:ilvl="1" w:tplc="6C22D978">
      <w:start w:val="1"/>
      <w:numFmt w:val="bullet"/>
      <w:lvlText w:val=""/>
      <w:lvlJc w:val="left"/>
      <w:pPr>
        <w:ind w:left="1080" w:hanging="360"/>
      </w:pPr>
      <w:rPr>
        <w:rFonts w:ascii="Symbol" w:hAnsi="Symbol" w:hint="default"/>
      </w:rPr>
    </w:lvl>
    <w:lvl w:ilvl="2" w:tplc="5DE80178" w:tentative="1">
      <w:start w:val="1"/>
      <w:numFmt w:val="bullet"/>
      <w:lvlText w:val=""/>
      <w:lvlJc w:val="left"/>
      <w:pPr>
        <w:ind w:left="1800" w:hanging="360"/>
      </w:pPr>
      <w:rPr>
        <w:rFonts w:ascii="Wingdings" w:hAnsi="Wingdings" w:hint="default"/>
      </w:rPr>
    </w:lvl>
    <w:lvl w:ilvl="3" w:tplc="D618DB36" w:tentative="1">
      <w:start w:val="1"/>
      <w:numFmt w:val="bullet"/>
      <w:lvlText w:val=""/>
      <w:lvlJc w:val="left"/>
      <w:pPr>
        <w:ind w:left="2520" w:hanging="360"/>
      </w:pPr>
      <w:rPr>
        <w:rFonts w:ascii="Symbol" w:hAnsi="Symbol" w:hint="default"/>
      </w:rPr>
    </w:lvl>
    <w:lvl w:ilvl="4" w:tplc="315A9BFA" w:tentative="1">
      <w:start w:val="1"/>
      <w:numFmt w:val="bullet"/>
      <w:lvlText w:val="o"/>
      <w:lvlJc w:val="left"/>
      <w:pPr>
        <w:ind w:left="3240" w:hanging="360"/>
      </w:pPr>
      <w:rPr>
        <w:rFonts w:ascii="Courier New" w:hAnsi="Courier New" w:cs="Courier New" w:hint="default"/>
      </w:rPr>
    </w:lvl>
    <w:lvl w:ilvl="5" w:tplc="3724C566" w:tentative="1">
      <w:start w:val="1"/>
      <w:numFmt w:val="bullet"/>
      <w:lvlText w:val=""/>
      <w:lvlJc w:val="left"/>
      <w:pPr>
        <w:ind w:left="3960" w:hanging="360"/>
      </w:pPr>
      <w:rPr>
        <w:rFonts w:ascii="Wingdings" w:hAnsi="Wingdings" w:hint="default"/>
      </w:rPr>
    </w:lvl>
    <w:lvl w:ilvl="6" w:tplc="66EE148C" w:tentative="1">
      <w:start w:val="1"/>
      <w:numFmt w:val="bullet"/>
      <w:lvlText w:val=""/>
      <w:lvlJc w:val="left"/>
      <w:pPr>
        <w:ind w:left="4680" w:hanging="360"/>
      </w:pPr>
      <w:rPr>
        <w:rFonts w:ascii="Symbol" w:hAnsi="Symbol" w:hint="default"/>
      </w:rPr>
    </w:lvl>
    <w:lvl w:ilvl="7" w:tplc="9B92D5C2" w:tentative="1">
      <w:start w:val="1"/>
      <w:numFmt w:val="bullet"/>
      <w:lvlText w:val="o"/>
      <w:lvlJc w:val="left"/>
      <w:pPr>
        <w:ind w:left="5400" w:hanging="360"/>
      </w:pPr>
      <w:rPr>
        <w:rFonts w:ascii="Courier New" w:hAnsi="Courier New" w:cs="Courier New" w:hint="default"/>
      </w:rPr>
    </w:lvl>
    <w:lvl w:ilvl="8" w:tplc="11C4D37C" w:tentative="1">
      <w:start w:val="1"/>
      <w:numFmt w:val="bullet"/>
      <w:lvlText w:val=""/>
      <w:lvlJc w:val="left"/>
      <w:pPr>
        <w:ind w:left="6120" w:hanging="360"/>
      </w:pPr>
      <w:rPr>
        <w:rFonts w:ascii="Wingdings" w:hAnsi="Wingdings" w:hint="default"/>
      </w:rPr>
    </w:lvl>
  </w:abstractNum>
  <w:abstractNum w:abstractNumId="17" w15:restartNumberingAfterBreak="0">
    <w:nsid w:val="4AC10FAF"/>
    <w:multiLevelType w:val="hybridMultilevel"/>
    <w:tmpl w:val="A4747B1A"/>
    <w:lvl w:ilvl="0" w:tplc="2B70D648">
      <w:start w:val="1"/>
      <w:numFmt w:val="upperRoman"/>
      <w:lvlText w:val="%1."/>
      <w:lvlJc w:val="left"/>
      <w:pPr>
        <w:ind w:left="1440" w:hanging="72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B4850B4"/>
    <w:multiLevelType w:val="hybridMultilevel"/>
    <w:tmpl w:val="449C73FC"/>
    <w:lvl w:ilvl="0" w:tplc="D226AC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CBA4441"/>
    <w:multiLevelType w:val="hybridMultilevel"/>
    <w:tmpl w:val="4CFCBB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1420576"/>
    <w:multiLevelType w:val="hybridMultilevel"/>
    <w:tmpl w:val="931049E0"/>
    <w:lvl w:ilvl="0" w:tplc="92E2962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27339F9"/>
    <w:multiLevelType w:val="hybridMultilevel"/>
    <w:tmpl w:val="73842E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1030432"/>
    <w:multiLevelType w:val="hybridMultilevel"/>
    <w:tmpl w:val="2012D7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4A4325B"/>
    <w:multiLevelType w:val="hybridMultilevel"/>
    <w:tmpl w:val="F61C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1">
    <w:nsid w:val="68246C38"/>
    <w:multiLevelType w:val="hybridMultilevel"/>
    <w:tmpl w:val="9D0A0888"/>
    <w:lvl w:ilvl="0" w:tplc="C718870A">
      <w:start w:val="2"/>
      <w:numFmt w:val="bullet"/>
      <w:lvlText w:val="-"/>
      <w:lvlJc w:val="left"/>
      <w:pPr>
        <w:ind w:left="1080" w:hanging="360"/>
      </w:pPr>
      <w:rPr>
        <w:rFonts w:ascii="Times New Roman" w:eastAsia="Calibri" w:hAnsi="Times New Roman" w:cs="Times New Roman" w:hint="default"/>
      </w:rPr>
    </w:lvl>
    <w:lvl w:ilvl="1" w:tplc="F2E49D02" w:tentative="1">
      <w:start w:val="1"/>
      <w:numFmt w:val="bullet"/>
      <w:lvlText w:val="o"/>
      <w:lvlJc w:val="left"/>
      <w:pPr>
        <w:ind w:left="1800" w:hanging="360"/>
      </w:pPr>
      <w:rPr>
        <w:rFonts w:ascii="Courier New" w:hAnsi="Courier New" w:cs="Courier New" w:hint="default"/>
      </w:rPr>
    </w:lvl>
    <w:lvl w:ilvl="2" w:tplc="FF02963C" w:tentative="1">
      <w:start w:val="1"/>
      <w:numFmt w:val="bullet"/>
      <w:lvlText w:val=""/>
      <w:lvlJc w:val="left"/>
      <w:pPr>
        <w:ind w:left="2520" w:hanging="360"/>
      </w:pPr>
      <w:rPr>
        <w:rFonts w:ascii="Wingdings" w:hAnsi="Wingdings" w:hint="default"/>
      </w:rPr>
    </w:lvl>
    <w:lvl w:ilvl="3" w:tplc="FD7AC0F2" w:tentative="1">
      <w:start w:val="1"/>
      <w:numFmt w:val="bullet"/>
      <w:lvlText w:val=""/>
      <w:lvlJc w:val="left"/>
      <w:pPr>
        <w:ind w:left="3240" w:hanging="360"/>
      </w:pPr>
      <w:rPr>
        <w:rFonts w:ascii="Symbol" w:hAnsi="Symbol" w:hint="default"/>
      </w:rPr>
    </w:lvl>
    <w:lvl w:ilvl="4" w:tplc="9F4C9886" w:tentative="1">
      <w:start w:val="1"/>
      <w:numFmt w:val="bullet"/>
      <w:lvlText w:val="o"/>
      <w:lvlJc w:val="left"/>
      <w:pPr>
        <w:ind w:left="3960" w:hanging="360"/>
      </w:pPr>
      <w:rPr>
        <w:rFonts w:ascii="Courier New" w:hAnsi="Courier New" w:cs="Courier New" w:hint="default"/>
      </w:rPr>
    </w:lvl>
    <w:lvl w:ilvl="5" w:tplc="CCBCBFEA" w:tentative="1">
      <w:start w:val="1"/>
      <w:numFmt w:val="bullet"/>
      <w:lvlText w:val=""/>
      <w:lvlJc w:val="left"/>
      <w:pPr>
        <w:ind w:left="4680" w:hanging="360"/>
      </w:pPr>
      <w:rPr>
        <w:rFonts w:ascii="Wingdings" w:hAnsi="Wingdings" w:hint="default"/>
      </w:rPr>
    </w:lvl>
    <w:lvl w:ilvl="6" w:tplc="FFD2B9F2" w:tentative="1">
      <w:start w:val="1"/>
      <w:numFmt w:val="bullet"/>
      <w:lvlText w:val=""/>
      <w:lvlJc w:val="left"/>
      <w:pPr>
        <w:ind w:left="5400" w:hanging="360"/>
      </w:pPr>
      <w:rPr>
        <w:rFonts w:ascii="Symbol" w:hAnsi="Symbol" w:hint="default"/>
      </w:rPr>
    </w:lvl>
    <w:lvl w:ilvl="7" w:tplc="17D24D52" w:tentative="1">
      <w:start w:val="1"/>
      <w:numFmt w:val="bullet"/>
      <w:lvlText w:val="o"/>
      <w:lvlJc w:val="left"/>
      <w:pPr>
        <w:ind w:left="6120" w:hanging="360"/>
      </w:pPr>
      <w:rPr>
        <w:rFonts w:ascii="Courier New" w:hAnsi="Courier New" w:cs="Courier New" w:hint="default"/>
      </w:rPr>
    </w:lvl>
    <w:lvl w:ilvl="8" w:tplc="94527144" w:tentative="1">
      <w:start w:val="1"/>
      <w:numFmt w:val="bullet"/>
      <w:lvlText w:val=""/>
      <w:lvlJc w:val="left"/>
      <w:pPr>
        <w:ind w:left="6840" w:hanging="360"/>
      </w:pPr>
      <w:rPr>
        <w:rFonts w:ascii="Wingdings" w:hAnsi="Wingdings" w:hint="default"/>
      </w:rPr>
    </w:lvl>
  </w:abstractNum>
  <w:abstractNum w:abstractNumId="25" w15:restartNumberingAfterBreak="1">
    <w:nsid w:val="75C43875"/>
    <w:multiLevelType w:val="hybridMultilevel"/>
    <w:tmpl w:val="347E0C2C"/>
    <w:lvl w:ilvl="0" w:tplc="86D632BC">
      <w:start w:val="1"/>
      <w:numFmt w:val="bullet"/>
      <w:lvlText w:val=""/>
      <w:lvlJc w:val="left"/>
      <w:pPr>
        <w:ind w:left="1440" w:hanging="360"/>
      </w:pPr>
      <w:rPr>
        <w:rFonts w:ascii="Wingdings" w:hAnsi="Wingdings" w:hint="default"/>
      </w:rPr>
    </w:lvl>
    <w:lvl w:ilvl="1" w:tplc="E4D0A628" w:tentative="1">
      <w:start w:val="1"/>
      <w:numFmt w:val="bullet"/>
      <w:lvlText w:val="o"/>
      <w:lvlJc w:val="left"/>
      <w:pPr>
        <w:ind w:left="2160" w:hanging="360"/>
      </w:pPr>
      <w:rPr>
        <w:rFonts w:ascii="Courier New" w:hAnsi="Courier New" w:cs="Courier New" w:hint="default"/>
      </w:rPr>
    </w:lvl>
    <w:lvl w:ilvl="2" w:tplc="C53C389C" w:tentative="1">
      <w:start w:val="1"/>
      <w:numFmt w:val="bullet"/>
      <w:lvlText w:val=""/>
      <w:lvlJc w:val="left"/>
      <w:pPr>
        <w:ind w:left="2880" w:hanging="360"/>
      </w:pPr>
      <w:rPr>
        <w:rFonts w:ascii="Wingdings" w:hAnsi="Wingdings" w:hint="default"/>
      </w:rPr>
    </w:lvl>
    <w:lvl w:ilvl="3" w:tplc="0D721DEC" w:tentative="1">
      <w:start w:val="1"/>
      <w:numFmt w:val="bullet"/>
      <w:lvlText w:val=""/>
      <w:lvlJc w:val="left"/>
      <w:pPr>
        <w:ind w:left="3600" w:hanging="360"/>
      </w:pPr>
      <w:rPr>
        <w:rFonts w:ascii="Symbol" w:hAnsi="Symbol" w:hint="default"/>
      </w:rPr>
    </w:lvl>
    <w:lvl w:ilvl="4" w:tplc="6C22C54E" w:tentative="1">
      <w:start w:val="1"/>
      <w:numFmt w:val="bullet"/>
      <w:lvlText w:val="o"/>
      <w:lvlJc w:val="left"/>
      <w:pPr>
        <w:ind w:left="4320" w:hanging="360"/>
      </w:pPr>
      <w:rPr>
        <w:rFonts w:ascii="Courier New" w:hAnsi="Courier New" w:cs="Courier New" w:hint="default"/>
      </w:rPr>
    </w:lvl>
    <w:lvl w:ilvl="5" w:tplc="E5A0EE18" w:tentative="1">
      <w:start w:val="1"/>
      <w:numFmt w:val="bullet"/>
      <w:lvlText w:val=""/>
      <w:lvlJc w:val="left"/>
      <w:pPr>
        <w:ind w:left="5040" w:hanging="360"/>
      </w:pPr>
      <w:rPr>
        <w:rFonts w:ascii="Wingdings" w:hAnsi="Wingdings" w:hint="default"/>
      </w:rPr>
    </w:lvl>
    <w:lvl w:ilvl="6" w:tplc="CB867F9E" w:tentative="1">
      <w:start w:val="1"/>
      <w:numFmt w:val="bullet"/>
      <w:lvlText w:val=""/>
      <w:lvlJc w:val="left"/>
      <w:pPr>
        <w:ind w:left="5760" w:hanging="360"/>
      </w:pPr>
      <w:rPr>
        <w:rFonts w:ascii="Symbol" w:hAnsi="Symbol" w:hint="default"/>
      </w:rPr>
    </w:lvl>
    <w:lvl w:ilvl="7" w:tplc="47CA8FE0" w:tentative="1">
      <w:start w:val="1"/>
      <w:numFmt w:val="bullet"/>
      <w:lvlText w:val="o"/>
      <w:lvlJc w:val="left"/>
      <w:pPr>
        <w:ind w:left="6480" w:hanging="360"/>
      </w:pPr>
      <w:rPr>
        <w:rFonts w:ascii="Courier New" w:hAnsi="Courier New" w:cs="Courier New" w:hint="default"/>
      </w:rPr>
    </w:lvl>
    <w:lvl w:ilvl="8" w:tplc="2940F528" w:tentative="1">
      <w:start w:val="1"/>
      <w:numFmt w:val="bullet"/>
      <w:lvlText w:val=""/>
      <w:lvlJc w:val="left"/>
      <w:pPr>
        <w:ind w:left="7200" w:hanging="360"/>
      </w:pPr>
      <w:rPr>
        <w:rFonts w:ascii="Wingdings" w:hAnsi="Wingdings" w:hint="default"/>
      </w:rPr>
    </w:lvl>
  </w:abstractNum>
  <w:num w:numId="1">
    <w:abstractNumId w:val="14"/>
  </w:num>
  <w:num w:numId="2">
    <w:abstractNumId w:val="0"/>
  </w:num>
  <w:num w:numId="3">
    <w:abstractNumId w:val="16"/>
  </w:num>
  <w:num w:numId="4">
    <w:abstractNumId w:val="2"/>
  </w:num>
  <w:num w:numId="5">
    <w:abstractNumId w:val="24"/>
  </w:num>
  <w:num w:numId="6">
    <w:abstractNumId w:val="25"/>
  </w:num>
  <w:num w:numId="7">
    <w:abstractNumId w:val="8"/>
  </w:num>
  <w:num w:numId="8">
    <w:abstractNumId w:val="18"/>
  </w:num>
  <w:num w:numId="9">
    <w:abstractNumId w:val="13"/>
  </w:num>
  <w:num w:numId="10">
    <w:abstractNumId w:val="20"/>
  </w:num>
  <w:num w:numId="11">
    <w:abstractNumId w:val="3"/>
  </w:num>
  <w:num w:numId="12">
    <w:abstractNumId w:val="10"/>
  </w:num>
  <w:num w:numId="13">
    <w:abstractNumId w:val="5"/>
  </w:num>
  <w:num w:numId="14">
    <w:abstractNumId w:val="17"/>
  </w:num>
  <w:num w:numId="15">
    <w:abstractNumId w:val="22"/>
  </w:num>
  <w:num w:numId="16">
    <w:abstractNumId w:val="19"/>
  </w:num>
  <w:num w:numId="17">
    <w:abstractNumId w:val="1"/>
  </w:num>
  <w:num w:numId="18">
    <w:abstractNumId w:val="23"/>
  </w:num>
  <w:num w:numId="19">
    <w:abstractNumId w:val="12"/>
  </w:num>
  <w:num w:numId="20">
    <w:abstractNumId w:val="21"/>
  </w:num>
  <w:num w:numId="21">
    <w:abstractNumId w:val="6"/>
  </w:num>
  <w:num w:numId="22">
    <w:abstractNumId w:val="4"/>
  </w:num>
  <w:num w:numId="23">
    <w:abstractNumId w:val="7"/>
  </w:num>
  <w:num w:numId="24">
    <w:abstractNumId w:val="15"/>
  </w:num>
  <w:num w:numId="25">
    <w:abstractNumId w:val="1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00D"/>
    <w:rsid w:val="00002EFE"/>
    <w:rsid w:val="000062D2"/>
    <w:rsid w:val="00010ADB"/>
    <w:rsid w:val="00017BAC"/>
    <w:rsid w:val="00024837"/>
    <w:rsid w:val="00025BBE"/>
    <w:rsid w:val="00027EAA"/>
    <w:rsid w:val="00030784"/>
    <w:rsid w:val="0003172F"/>
    <w:rsid w:val="000345D5"/>
    <w:rsid w:val="00034912"/>
    <w:rsid w:val="000371F7"/>
    <w:rsid w:val="000375DE"/>
    <w:rsid w:val="00040153"/>
    <w:rsid w:val="000403A9"/>
    <w:rsid w:val="000430DC"/>
    <w:rsid w:val="00043FF0"/>
    <w:rsid w:val="00044C56"/>
    <w:rsid w:val="000457EA"/>
    <w:rsid w:val="00045CCD"/>
    <w:rsid w:val="000470B1"/>
    <w:rsid w:val="00047502"/>
    <w:rsid w:val="00050634"/>
    <w:rsid w:val="0005109F"/>
    <w:rsid w:val="0005374C"/>
    <w:rsid w:val="0005572A"/>
    <w:rsid w:val="00057B12"/>
    <w:rsid w:val="00062A69"/>
    <w:rsid w:val="00062FDA"/>
    <w:rsid w:val="00064FDD"/>
    <w:rsid w:val="00065470"/>
    <w:rsid w:val="00065A5A"/>
    <w:rsid w:val="00066D60"/>
    <w:rsid w:val="00066FF4"/>
    <w:rsid w:val="0006772E"/>
    <w:rsid w:val="00070357"/>
    <w:rsid w:val="00072855"/>
    <w:rsid w:val="00073B99"/>
    <w:rsid w:val="00074154"/>
    <w:rsid w:val="000771F5"/>
    <w:rsid w:val="000804ED"/>
    <w:rsid w:val="00080A95"/>
    <w:rsid w:val="000857A7"/>
    <w:rsid w:val="000858A5"/>
    <w:rsid w:val="00090425"/>
    <w:rsid w:val="00092A06"/>
    <w:rsid w:val="000961C3"/>
    <w:rsid w:val="000966F8"/>
    <w:rsid w:val="00096C02"/>
    <w:rsid w:val="000A09CC"/>
    <w:rsid w:val="000A0B8A"/>
    <w:rsid w:val="000A0D70"/>
    <w:rsid w:val="000A178B"/>
    <w:rsid w:val="000A2416"/>
    <w:rsid w:val="000A3011"/>
    <w:rsid w:val="000A3536"/>
    <w:rsid w:val="000A4FBB"/>
    <w:rsid w:val="000A7800"/>
    <w:rsid w:val="000A79CA"/>
    <w:rsid w:val="000B0C09"/>
    <w:rsid w:val="000B29AF"/>
    <w:rsid w:val="000B6F83"/>
    <w:rsid w:val="000B78D8"/>
    <w:rsid w:val="000C09BD"/>
    <w:rsid w:val="000C0A71"/>
    <w:rsid w:val="000C1646"/>
    <w:rsid w:val="000C240D"/>
    <w:rsid w:val="000C4C4F"/>
    <w:rsid w:val="000C5DA8"/>
    <w:rsid w:val="000D017D"/>
    <w:rsid w:val="000D345B"/>
    <w:rsid w:val="000D47FD"/>
    <w:rsid w:val="000E0461"/>
    <w:rsid w:val="000E49DF"/>
    <w:rsid w:val="000E53B0"/>
    <w:rsid w:val="000E6180"/>
    <w:rsid w:val="000E66CF"/>
    <w:rsid w:val="000E6A90"/>
    <w:rsid w:val="000E7287"/>
    <w:rsid w:val="000F0C34"/>
    <w:rsid w:val="000F4848"/>
    <w:rsid w:val="000F5DED"/>
    <w:rsid w:val="000F601D"/>
    <w:rsid w:val="000F7A99"/>
    <w:rsid w:val="000F7E44"/>
    <w:rsid w:val="00100748"/>
    <w:rsid w:val="001009C6"/>
    <w:rsid w:val="00100DF3"/>
    <w:rsid w:val="00111083"/>
    <w:rsid w:val="001133CB"/>
    <w:rsid w:val="00114EF4"/>
    <w:rsid w:val="00116605"/>
    <w:rsid w:val="00123604"/>
    <w:rsid w:val="001239C2"/>
    <w:rsid w:val="00123F89"/>
    <w:rsid w:val="00130D85"/>
    <w:rsid w:val="00131A77"/>
    <w:rsid w:val="001328CE"/>
    <w:rsid w:val="00136A26"/>
    <w:rsid w:val="00141203"/>
    <w:rsid w:val="00142E9A"/>
    <w:rsid w:val="001444CE"/>
    <w:rsid w:val="00156597"/>
    <w:rsid w:val="00162FE3"/>
    <w:rsid w:val="00164B5C"/>
    <w:rsid w:val="00166512"/>
    <w:rsid w:val="001674BF"/>
    <w:rsid w:val="00171AA0"/>
    <w:rsid w:val="00171FAE"/>
    <w:rsid w:val="001727E6"/>
    <w:rsid w:val="00174C38"/>
    <w:rsid w:val="00176181"/>
    <w:rsid w:val="00183962"/>
    <w:rsid w:val="00185E79"/>
    <w:rsid w:val="00186518"/>
    <w:rsid w:val="001870E4"/>
    <w:rsid w:val="001902FB"/>
    <w:rsid w:val="001932B4"/>
    <w:rsid w:val="00193E62"/>
    <w:rsid w:val="001954D4"/>
    <w:rsid w:val="00195A9E"/>
    <w:rsid w:val="00196527"/>
    <w:rsid w:val="001A211E"/>
    <w:rsid w:val="001A604E"/>
    <w:rsid w:val="001A7FD5"/>
    <w:rsid w:val="001B20FF"/>
    <w:rsid w:val="001B2970"/>
    <w:rsid w:val="001B2E21"/>
    <w:rsid w:val="001B3019"/>
    <w:rsid w:val="001B371D"/>
    <w:rsid w:val="001B4922"/>
    <w:rsid w:val="001B4FBA"/>
    <w:rsid w:val="001B7C4D"/>
    <w:rsid w:val="001C211F"/>
    <w:rsid w:val="001C6947"/>
    <w:rsid w:val="001C6BB6"/>
    <w:rsid w:val="001D2814"/>
    <w:rsid w:val="001D3645"/>
    <w:rsid w:val="001D6692"/>
    <w:rsid w:val="001D6A99"/>
    <w:rsid w:val="001E1B2A"/>
    <w:rsid w:val="001E20A5"/>
    <w:rsid w:val="001E22B8"/>
    <w:rsid w:val="001E49C4"/>
    <w:rsid w:val="001E76D7"/>
    <w:rsid w:val="001E7918"/>
    <w:rsid w:val="001E799E"/>
    <w:rsid w:val="001F18F8"/>
    <w:rsid w:val="001F2AAA"/>
    <w:rsid w:val="001F4F79"/>
    <w:rsid w:val="001F56C1"/>
    <w:rsid w:val="001F6E17"/>
    <w:rsid w:val="00200456"/>
    <w:rsid w:val="002009FD"/>
    <w:rsid w:val="00200AE1"/>
    <w:rsid w:val="00201F4F"/>
    <w:rsid w:val="00202E71"/>
    <w:rsid w:val="00203041"/>
    <w:rsid w:val="00204CAA"/>
    <w:rsid w:val="002069EB"/>
    <w:rsid w:val="00206DC9"/>
    <w:rsid w:val="00210B56"/>
    <w:rsid w:val="0021269D"/>
    <w:rsid w:val="0021399A"/>
    <w:rsid w:val="00214BB5"/>
    <w:rsid w:val="00215266"/>
    <w:rsid w:val="0022099D"/>
    <w:rsid w:val="00222B85"/>
    <w:rsid w:val="00223430"/>
    <w:rsid w:val="0022384D"/>
    <w:rsid w:val="002248FF"/>
    <w:rsid w:val="00230DCC"/>
    <w:rsid w:val="00233D2C"/>
    <w:rsid w:val="002340A3"/>
    <w:rsid w:val="002346FD"/>
    <w:rsid w:val="00234ED8"/>
    <w:rsid w:val="00237174"/>
    <w:rsid w:val="002373C6"/>
    <w:rsid w:val="00240923"/>
    <w:rsid w:val="00240C64"/>
    <w:rsid w:val="00242E9F"/>
    <w:rsid w:val="00244244"/>
    <w:rsid w:val="00247B42"/>
    <w:rsid w:val="00250DCD"/>
    <w:rsid w:val="00251107"/>
    <w:rsid w:val="00251DFB"/>
    <w:rsid w:val="002566D3"/>
    <w:rsid w:val="00256E48"/>
    <w:rsid w:val="00260055"/>
    <w:rsid w:val="002600BA"/>
    <w:rsid w:val="0026079E"/>
    <w:rsid w:val="00262185"/>
    <w:rsid w:val="00264169"/>
    <w:rsid w:val="00277A0C"/>
    <w:rsid w:val="0028003F"/>
    <w:rsid w:val="00280894"/>
    <w:rsid w:val="0028128A"/>
    <w:rsid w:val="00282002"/>
    <w:rsid w:val="0028251D"/>
    <w:rsid w:val="0028274D"/>
    <w:rsid w:val="00282ED1"/>
    <w:rsid w:val="002852ED"/>
    <w:rsid w:val="00286A11"/>
    <w:rsid w:val="002873B2"/>
    <w:rsid w:val="002901F3"/>
    <w:rsid w:val="00291EA6"/>
    <w:rsid w:val="00293F10"/>
    <w:rsid w:val="0029438C"/>
    <w:rsid w:val="00296AD0"/>
    <w:rsid w:val="00297124"/>
    <w:rsid w:val="0029761F"/>
    <w:rsid w:val="002A0D8C"/>
    <w:rsid w:val="002A2DDC"/>
    <w:rsid w:val="002A3543"/>
    <w:rsid w:val="002A3A5D"/>
    <w:rsid w:val="002A6138"/>
    <w:rsid w:val="002A795B"/>
    <w:rsid w:val="002A7BE3"/>
    <w:rsid w:val="002B0B88"/>
    <w:rsid w:val="002B11F5"/>
    <w:rsid w:val="002B1ADF"/>
    <w:rsid w:val="002B32F1"/>
    <w:rsid w:val="002B376E"/>
    <w:rsid w:val="002B47F8"/>
    <w:rsid w:val="002B66F2"/>
    <w:rsid w:val="002B6D47"/>
    <w:rsid w:val="002C06A8"/>
    <w:rsid w:val="002C06B4"/>
    <w:rsid w:val="002C12CB"/>
    <w:rsid w:val="002C2671"/>
    <w:rsid w:val="002C2973"/>
    <w:rsid w:val="002C2DB3"/>
    <w:rsid w:val="002C3406"/>
    <w:rsid w:val="002C7BAA"/>
    <w:rsid w:val="002C7C5B"/>
    <w:rsid w:val="002D0322"/>
    <w:rsid w:val="002D1E83"/>
    <w:rsid w:val="002D2169"/>
    <w:rsid w:val="002D3017"/>
    <w:rsid w:val="002D319D"/>
    <w:rsid w:val="002D3A0B"/>
    <w:rsid w:val="002D3C3B"/>
    <w:rsid w:val="002D3F47"/>
    <w:rsid w:val="002D6FA4"/>
    <w:rsid w:val="002E0A25"/>
    <w:rsid w:val="002E0BBB"/>
    <w:rsid w:val="002E1818"/>
    <w:rsid w:val="002E48DF"/>
    <w:rsid w:val="002E5FAD"/>
    <w:rsid w:val="002E6CD2"/>
    <w:rsid w:val="002F0CE1"/>
    <w:rsid w:val="002F2286"/>
    <w:rsid w:val="002F4C43"/>
    <w:rsid w:val="002F72C3"/>
    <w:rsid w:val="00304672"/>
    <w:rsid w:val="00312037"/>
    <w:rsid w:val="00312E76"/>
    <w:rsid w:val="00314F97"/>
    <w:rsid w:val="00316396"/>
    <w:rsid w:val="00322F3F"/>
    <w:rsid w:val="003262AB"/>
    <w:rsid w:val="00327059"/>
    <w:rsid w:val="00327309"/>
    <w:rsid w:val="00327897"/>
    <w:rsid w:val="003304E2"/>
    <w:rsid w:val="00330AC9"/>
    <w:rsid w:val="00332E4A"/>
    <w:rsid w:val="0033334E"/>
    <w:rsid w:val="00334F49"/>
    <w:rsid w:val="00335AB4"/>
    <w:rsid w:val="003374D5"/>
    <w:rsid w:val="00337868"/>
    <w:rsid w:val="0034115C"/>
    <w:rsid w:val="003411CE"/>
    <w:rsid w:val="003431DE"/>
    <w:rsid w:val="00343BE3"/>
    <w:rsid w:val="00351419"/>
    <w:rsid w:val="0035230F"/>
    <w:rsid w:val="003537C8"/>
    <w:rsid w:val="0035400D"/>
    <w:rsid w:val="00354A0C"/>
    <w:rsid w:val="00362911"/>
    <w:rsid w:val="00363317"/>
    <w:rsid w:val="00366728"/>
    <w:rsid w:val="0036696A"/>
    <w:rsid w:val="00366F53"/>
    <w:rsid w:val="00367BB2"/>
    <w:rsid w:val="0037000D"/>
    <w:rsid w:val="00372F79"/>
    <w:rsid w:val="00376E46"/>
    <w:rsid w:val="00377AAA"/>
    <w:rsid w:val="00377C28"/>
    <w:rsid w:val="00381E1E"/>
    <w:rsid w:val="00384594"/>
    <w:rsid w:val="003900D6"/>
    <w:rsid w:val="00391FF4"/>
    <w:rsid w:val="00392105"/>
    <w:rsid w:val="00393802"/>
    <w:rsid w:val="003938C8"/>
    <w:rsid w:val="00393EF8"/>
    <w:rsid w:val="00394639"/>
    <w:rsid w:val="00394B6B"/>
    <w:rsid w:val="00396EC0"/>
    <w:rsid w:val="003B042A"/>
    <w:rsid w:val="003B1268"/>
    <w:rsid w:val="003B23D6"/>
    <w:rsid w:val="003B341E"/>
    <w:rsid w:val="003B34C0"/>
    <w:rsid w:val="003B3D97"/>
    <w:rsid w:val="003B5469"/>
    <w:rsid w:val="003B617A"/>
    <w:rsid w:val="003B66E9"/>
    <w:rsid w:val="003C36BF"/>
    <w:rsid w:val="003C4B76"/>
    <w:rsid w:val="003C51BB"/>
    <w:rsid w:val="003D1DB4"/>
    <w:rsid w:val="003D2099"/>
    <w:rsid w:val="003D426B"/>
    <w:rsid w:val="003D4B69"/>
    <w:rsid w:val="003D5B21"/>
    <w:rsid w:val="003E0D1A"/>
    <w:rsid w:val="003E2347"/>
    <w:rsid w:val="003E72A4"/>
    <w:rsid w:val="003E76D8"/>
    <w:rsid w:val="003F081C"/>
    <w:rsid w:val="003F1E74"/>
    <w:rsid w:val="003F220F"/>
    <w:rsid w:val="003F3DF3"/>
    <w:rsid w:val="003F3E13"/>
    <w:rsid w:val="004001DE"/>
    <w:rsid w:val="00400426"/>
    <w:rsid w:val="004011B0"/>
    <w:rsid w:val="00404978"/>
    <w:rsid w:val="00404CA6"/>
    <w:rsid w:val="0040574F"/>
    <w:rsid w:val="00406D64"/>
    <w:rsid w:val="00410C29"/>
    <w:rsid w:val="00413323"/>
    <w:rsid w:val="00413F67"/>
    <w:rsid w:val="00415887"/>
    <w:rsid w:val="00415B30"/>
    <w:rsid w:val="00417F8B"/>
    <w:rsid w:val="004215B8"/>
    <w:rsid w:val="00426808"/>
    <w:rsid w:val="00430907"/>
    <w:rsid w:val="00431256"/>
    <w:rsid w:val="00431B9B"/>
    <w:rsid w:val="00431F4B"/>
    <w:rsid w:val="00432663"/>
    <w:rsid w:val="00433864"/>
    <w:rsid w:val="00434A08"/>
    <w:rsid w:val="004357D6"/>
    <w:rsid w:val="00440C86"/>
    <w:rsid w:val="0044375F"/>
    <w:rsid w:val="00445B2F"/>
    <w:rsid w:val="00446515"/>
    <w:rsid w:val="00447225"/>
    <w:rsid w:val="004477A2"/>
    <w:rsid w:val="004478D3"/>
    <w:rsid w:val="00447979"/>
    <w:rsid w:val="00450463"/>
    <w:rsid w:val="00452DD1"/>
    <w:rsid w:val="004560C6"/>
    <w:rsid w:val="004563EC"/>
    <w:rsid w:val="00461B9D"/>
    <w:rsid w:val="00462080"/>
    <w:rsid w:val="00463D62"/>
    <w:rsid w:val="00464294"/>
    <w:rsid w:val="00464BCA"/>
    <w:rsid w:val="00465CEC"/>
    <w:rsid w:val="004677AA"/>
    <w:rsid w:val="00467E2A"/>
    <w:rsid w:val="00470346"/>
    <w:rsid w:val="004720D5"/>
    <w:rsid w:val="00472351"/>
    <w:rsid w:val="00475DE3"/>
    <w:rsid w:val="00476773"/>
    <w:rsid w:val="00482159"/>
    <w:rsid w:val="0048518C"/>
    <w:rsid w:val="0048606B"/>
    <w:rsid w:val="00487753"/>
    <w:rsid w:val="00491DA5"/>
    <w:rsid w:val="004955CA"/>
    <w:rsid w:val="00497B58"/>
    <w:rsid w:val="004A0444"/>
    <w:rsid w:val="004A0861"/>
    <w:rsid w:val="004A2560"/>
    <w:rsid w:val="004A3778"/>
    <w:rsid w:val="004A3A29"/>
    <w:rsid w:val="004A550A"/>
    <w:rsid w:val="004A70C7"/>
    <w:rsid w:val="004A7160"/>
    <w:rsid w:val="004B4430"/>
    <w:rsid w:val="004C098C"/>
    <w:rsid w:val="004C4AE9"/>
    <w:rsid w:val="004C4B9B"/>
    <w:rsid w:val="004C6611"/>
    <w:rsid w:val="004C7970"/>
    <w:rsid w:val="004D2EA8"/>
    <w:rsid w:val="004D53D2"/>
    <w:rsid w:val="004D70C4"/>
    <w:rsid w:val="004E0661"/>
    <w:rsid w:val="004E247B"/>
    <w:rsid w:val="004E417D"/>
    <w:rsid w:val="004E58F9"/>
    <w:rsid w:val="004F03C4"/>
    <w:rsid w:val="004F3BAF"/>
    <w:rsid w:val="004F7139"/>
    <w:rsid w:val="00501256"/>
    <w:rsid w:val="00501A57"/>
    <w:rsid w:val="005029A0"/>
    <w:rsid w:val="00503D9B"/>
    <w:rsid w:val="0050720A"/>
    <w:rsid w:val="00507B60"/>
    <w:rsid w:val="00511E65"/>
    <w:rsid w:val="00520DB5"/>
    <w:rsid w:val="00521C94"/>
    <w:rsid w:val="00522CC9"/>
    <w:rsid w:val="00525A3B"/>
    <w:rsid w:val="00526D2B"/>
    <w:rsid w:val="0053013E"/>
    <w:rsid w:val="00530B4F"/>
    <w:rsid w:val="0053108E"/>
    <w:rsid w:val="005314AB"/>
    <w:rsid w:val="0053189E"/>
    <w:rsid w:val="00535A11"/>
    <w:rsid w:val="00536A41"/>
    <w:rsid w:val="0054122D"/>
    <w:rsid w:val="005414ED"/>
    <w:rsid w:val="0054461D"/>
    <w:rsid w:val="00545B6F"/>
    <w:rsid w:val="0055084A"/>
    <w:rsid w:val="0055168F"/>
    <w:rsid w:val="005518EF"/>
    <w:rsid w:val="005549D9"/>
    <w:rsid w:val="005615DA"/>
    <w:rsid w:val="00564076"/>
    <w:rsid w:val="005777A6"/>
    <w:rsid w:val="00584C05"/>
    <w:rsid w:val="00584E7D"/>
    <w:rsid w:val="00586C7D"/>
    <w:rsid w:val="005871A6"/>
    <w:rsid w:val="0058761F"/>
    <w:rsid w:val="005900EE"/>
    <w:rsid w:val="00592D6F"/>
    <w:rsid w:val="00592E2D"/>
    <w:rsid w:val="00593618"/>
    <w:rsid w:val="00595194"/>
    <w:rsid w:val="00595F58"/>
    <w:rsid w:val="00597AAF"/>
    <w:rsid w:val="005A3CFB"/>
    <w:rsid w:val="005A42F5"/>
    <w:rsid w:val="005A57A2"/>
    <w:rsid w:val="005A599D"/>
    <w:rsid w:val="005A646A"/>
    <w:rsid w:val="005B0430"/>
    <w:rsid w:val="005B0DA0"/>
    <w:rsid w:val="005B30C8"/>
    <w:rsid w:val="005B3BC4"/>
    <w:rsid w:val="005B51EA"/>
    <w:rsid w:val="005B72CC"/>
    <w:rsid w:val="005C06C0"/>
    <w:rsid w:val="005D1EC0"/>
    <w:rsid w:val="005D3528"/>
    <w:rsid w:val="005D5163"/>
    <w:rsid w:val="005D54A3"/>
    <w:rsid w:val="005D5A9A"/>
    <w:rsid w:val="005E08C3"/>
    <w:rsid w:val="005E1FCB"/>
    <w:rsid w:val="005E2121"/>
    <w:rsid w:val="005E4CFE"/>
    <w:rsid w:val="005E76C9"/>
    <w:rsid w:val="005E7E8B"/>
    <w:rsid w:val="005F0045"/>
    <w:rsid w:val="005F1079"/>
    <w:rsid w:val="005F222B"/>
    <w:rsid w:val="005F3AD6"/>
    <w:rsid w:val="005F4036"/>
    <w:rsid w:val="005F5E82"/>
    <w:rsid w:val="005F6245"/>
    <w:rsid w:val="00605AEF"/>
    <w:rsid w:val="006113AA"/>
    <w:rsid w:val="00611C2F"/>
    <w:rsid w:val="0061207A"/>
    <w:rsid w:val="00612EE3"/>
    <w:rsid w:val="0061670D"/>
    <w:rsid w:val="00620461"/>
    <w:rsid w:val="00620687"/>
    <w:rsid w:val="006206A7"/>
    <w:rsid w:val="00620E13"/>
    <w:rsid w:val="00621BD3"/>
    <w:rsid w:val="006223B8"/>
    <w:rsid w:val="006243F6"/>
    <w:rsid w:val="00627292"/>
    <w:rsid w:val="006273FD"/>
    <w:rsid w:val="00630933"/>
    <w:rsid w:val="00631D5F"/>
    <w:rsid w:val="00634D51"/>
    <w:rsid w:val="00635190"/>
    <w:rsid w:val="006355B7"/>
    <w:rsid w:val="00636054"/>
    <w:rsid w:val="006416E2"/>
    <w:rsid w:val="00641E44"/>
    <w:rsid w:val="00642A3A"/>
    <w:rsid w:val="0064549A"/>
    <w:rsid w:val="00650060"/>
    <w:rsid w:val="006649B7"/>
    <w:rsid w:val="006666AB"/>
    <w:rsid w:val="006709BC"/>
    <w:rsid w:val="00670A57"/>
    <w:rsid w:val="0067269E"/>
    <w:rsid w:val="006727FF"/>
    <w:rsid w:val="00673CCC"/>
    <w:rsid w:val="00673FCB"/>
    <w:rsid w:val="006775E7"/>
    <w:rsid w:val="00683644"/>
    <w:rsid w:val="00685254"/>
    <w:rsid w:val="006867C3"/>
    <w:rsid w:val="00687F8A"/>
    <w:rsid w:val="00690073"/>
    <w:rsid w:val="006918AF"/>
    <w:rsid w:val="00692B3E"/>
    <w:rsid w:val="00692DAB"/>
    <w:rsid w:val="00695482"/>
    <w:rsid w:val="0069576F"/>
    <w:rsid w:val="00696648"/>
    <w:rsid w:val="00696AB3"/>
    <w:rsid w:val="006A0695"/>
    <w:rsid w:val="006A0A4C"/>
    <w:rsid w:val="006A276F"/>
    <w:rsid w:val="006A43D8"/>
    <w:rsid w:val="006B12CD"/>
    <w:rsid w:val="006B2663"/>
    <w:rsid w:val="006B2D27"/>
    <w:rsid w:val="006B51B2"/>
    <w:rsid w:val="006B5B51"/>
    <w:rsid w:val="006B5C90"/>
    <w:rsid w:val="006C13DE"/>
    <w:rsid w:val="006C3D9E"/>
    <w:rsid w:val="006C5BFB"/>
    <w:rsid w:val="006C5ED6"/>
    <w:rsid w:val="006C61FA"/>
    <w:rsid w:val="006C6325"/>
    <w:rsid w:val="006D029B"/>
    <w:rsid w:val="006D0C03"/>
    <w:rsid w:val="006D2954"/>
    <w:rsid w:val="006D2F7A"/>
    <w:rsid w:val="006D3892"/>
    <w:rsid w:val="006D6309"/>
    <w:rsid w:val="006E1626"/>
    <w:rsid w:val="006E3381"/>
    <w:rsid w:val="006E6EB9"/>
    <w:rsid w:val="006F0F5C"/>
    <w:rsid w:val="006F3E3C"/>
    <w:rsid w:val="006F490A"/>
    <w:rsid w:val="006F56E7"/>
    <w:rsid w:val="006F72F4"/>
    <w:rsid w:val="007030EF"/>
    <w:rsid w:val="0070328B"/>
    <w:rsid w:val="0070335D"/>
    <w:rsid w:val="00705EEE"/>
    <w:rsid w:val="007066C9"/>
    <w:rsid w:val="00706791"/>
    <w:rsid w:val="007071D3"/>
    <w:rsid w:val="007105A9"/>
    <w:rsid w:val="00713AF3"/>
    <w:rsid w:val="00715F84"/>
    <w:rsid w:val="007246F7"/>
    <w:rsid w:val="007260B4"/>
    <w:rsid w:val="00731BE5"/>
    <w:rsid w:val="007325A2"/>
    <w:rsid w:val="007325F4"/>
    <w:rsid w:val="00735770"/>
    <w:rsid w:val="00737F79"/>
    <w:rsid w:val="007436E8"/>
    <w:rsid w:val="007462F3"/>
    <w:rsid w:val="0074792C"/>
    <w:rsid w:val="0075035B"/>
    <w:rsid w:val="00750EC5"/>
    <w:rsid w:val="007517F4"/>
    <w:rsid w:val="00751940"/>
    <w:rsid w:val="00751EB4"/>
    <w:rsid w:val="007523F5"/>
    <w:rsid w:val="00757D83"/>
    <w:rsid w:val="00763DEB"/>
    <w:rsid w:val="007643C1"/>
    <w:rsid w:val="00764AED"/>
    <w:rsid w:val="00764FD5"/>
    <w:rsid w:val="00766193"/>
    <w:rsid w:val="00772A8A"/>
    <w:rsid w:val="007735D3"/>
    <w:rsid w:val="007738FD"/>
    <w:rsid w:val="00773E07"/>
    <w:rsid w:val="00774A11"/>
    <w:rsid w:val="0078059E"/>
    <w:rsid w:val="007833AC"/>
    <w:rsid w:val="00785264"/>
    <w:rsid w:val="007852A5"/>
    <w:rsid w:val="0078773F"/>
    <w:rsid w:val="00794274"/>
    <w:rsid w:val="00794CCC"/>
    <w:rsid w:val="007A0094"/>
    <w:rsid w:val="007A03A5"/>
    <w:rsid w:val="007A118B"/>
    <w:rsid w:val="007A183E"/>
    <w:rsid w:val="007A5C9A"/>
    <w:rsid w:val="007A657D"/>
    <w:rsid w:val="007A7B47"/>
    <w:rsid w:val="007B0161"/>
    <w:rsid w:val="007B18CD"/>
    <w:rsid w:val="007B1AA2"/>
    <w:rsid w:val="007B4CEB"/>
    <w:rsid w:val="007B61E0"/>
    <w:rsid w:val="007B652D"/>
    <w:rsid w:val="007B6974"/>
    <w:rsid w:val="007B6BF3"/>
    <w:rsid w:val="007B735A"/>
    <w:rsid w:val="007C4D43"/>
    <w:rsid w:val="007C50F6"/>
    <w:rsid w:val="007C7639"/>
    <w:rsid w:val="007C7D6C"/>
    <w:rsid w:val="007C7F56"/>
    <w:rsid w:val="007D2411"/>
    <w:rsid w:val="007D4CAA"/>
    <w:rsid w:val="007D7487"/>
    <w:rsid w:val="007E5BF0"/>
    <w:rsid w:val="007E6351"/>
    <w:rsid w:val="007E7506"/>
    <w:rsid w:val="007F0E1A"/>
    <w:rsid w:val="007F2210"/>
    <w:rsid w:val="007F34B7"/>
    <w:rsid w:val="007F3643"/>
    <w:rsid w:val="007F43D6"/>
    <w:rsid w:val="00802D3C"/>
    <w:rsid w:val="00803A0B"/>
    <w:rsid w:val="0080534B"/>
    <w:rsid w:val="00806CE3"/>
    <w:rsid w:val="00807797"/>
    <w:rsid w:val="008103E4"/>
    <w:rsid w:val="008104F9"/>
    <w:rsid w:val="00811DFF"/>
    <w:rsid w:val="008137B1"/>
    <w:rsid w:val="00813A76"/>
    <w:rsid w:val="00813EC1"/>
    <w:rsid w:val="00814A3D"/>
    <w:rsid w:val="00814B88"/>
    <w:rsid w:val="00815707"/>
    <w:rsid w:val="00815A46"/>
    <w:rsid w:val="0081644D"/>
    <w:rsid w:val="00823D17"/>
    <w:rsid w:val="00827276"/>
    <w:rsid w:val="00834264"/>
    <w:rsid w:val="00834BB2"/>
    <w:rsid w:val="0083543F"/>
    <w:rsid w:val="0083643F"/>
    <w:rsid w:val="008369F9"/>
    <w:rsid w:val="00840F46"/>
    <w:rsid w:val="00842DCE"/>
    <w:rsid w:val="00845BDD"/>
    <w:rsid w:val="00846AA8"/>
    <w:rsid w:val="008539DA"/>
    <w:rsid w:val="00855A03"/>
    <w:rsid w:val="00855B6C"/>
    <w:rsid w:val="008571AE"/>
    <w:rsid w:val="00857343"/>
    <w:rsid w:val="008617BD"/>
    <w:rsid w:val="0086256E"/>
    <w:rsid w:val="00865238"/>
    <w:rsid w:val="00867C55"/>
    <w:rsid w:val="0087184D"/>
    <w:rsid w:val="008727BA"/>
    <w:rsid w:val="00872F26"/>
    <w:rsid w:val="0087322D"/>
    <w:rsid w:val="008744FB"/>
    <w:rsid w:val="00874B06"/>
    <w:rsid w:val="0087762F"/>
    <w:rsid w:val="008811B8"/>
    <w:rsid w:val="00882481"/>
    <w:rsid w:val="008824CB"/>
    <w:rsid w:val="00884809"/>
    <w:rsid w:val="00885FBD"/>
    <w:rsid w:val="00886D7F"/>
    <w:rsid w:val="0089017A"/>
    <w:rsid w:val="008968A1"/>
    <w:rsid w:val="008A0058"/>
    <w:rsid w:val="008A26FB"/>
    <w:rsid w:val="008A5988"/>
    <w:rsid w:val="008A5ADB"/>
    <w:rsid w:val="008B0261"/>
    <w:rsid w:val="008B0266"/>
    <w:rsid w:val="008B140B"/>
    <w:rsid w:val="008B1F69"/>
    <w:rsid w:val="008B385F"/>
    <w:rsid w:val="008B3D87"/>
    <w:rsid w:val="008B3ECB"/>
    <w:rsid w:val="008B413A"/>
    <w:rsid w:val="008B4250"/>
    <w:rsid w:val="008B7B35"/>
    <w:rsid w:val="008B7BFE"/>
    <w:rsid w:val="008C0DFB"/>
    <w:rsid w:val="008C1BF5"/>
    <w:rsid w:val="008C1E1E"/>
    <w:rsid w:val="008C2CB4"/>
    <w:rsid w:val="008C5032"/>
    <w:rsid w:val="008C603B"/>
    <w:rsid w:val="008C67E7"/>
    <w:rsid w:val="008C7351"/>
    <w:rsid w:val="008C79F0"/>
    <w:rsid w:val="008D12BC"/>
    <w:rsid w:val="008D16AE"/>
    <w:rsid w:val="008D2A2F"/>
    <w:rsid w:val="008D3CCE"/>
    <w:rsid w:val="008D5081"/>
    <w:rsid w:val="008D5BB5"/>
    <w:rsid w:val="008D7823"/>
    <w:rsid w:val="008E0831"/>
    <w:rsid w:val="008E08BA"/>
    <w:rsid w:val="008E39B8"/>
    <w:rsid w:val="008E3DFE"/>
    <w:rsid w:val="008E4C61"/>
    <w:rsid w:val="008E7381"/>
    <w:rsid w:val="008F0BF5"/>
    <w:rsid w:val="008F1D9F"/>
    <w:rsid w:val="008F203F"/>
    <w:rsid w:val="008F2CCE"/>
    <w:rsid w:val="008F6C92"/>
    <w:rsid w:val="008F6E8C"/>
    <w:rsid w:val="008F7063"/>
    <w:rsid w:val="008F7356"/>
    <w:rsid w:val="008F7B37"/>
    <w:rsid w:val="00906AAC"/>
    <w:rsid w:val="00910E1B"/>
    <w:rsid w:val="009115A0"/>
    <w:rsid w:val="009135B1"/>
    <w:rsid w:val="0091401D"/>
    <w:rsid w:val="009141AF"/>
    <w:rsid w:val="009151DD"/>
    <w:rsid w:val="009151E7"/>
    <w:rsid w:val="00915463"/>
    <w:rsid w:val="0091619F"/>
    <w:rsid w:val="0092322C"/>
    <w:rsid w:val="00924D72"/>
    <w:rsid w:val="00924DE6"/>
    <w:rsid w:val="00925ECB"/>
    <w:rsid w:val="00927437"/>
    <w:rsid w:val="009304CB"/>
    <w:rsid w:val="00931FFC"/>
    <w:rsid w:val="009336A6"/>
    <w:rsid w:val="00934138"/>
    <w:rsid w:val="00934182"/>
    <w:rsid w:val="0093775C"/>
    <w:rsid w:val="009428F9"/>
    <w:rsid w:val="00945161"/>
    <w:rsid w:val="0095099E"/>
    <w:rsid w:val="00953A97"/>
    <w:rsid w:val="00957E57"/>
    <w:rsid w:val="009627CF"/>
    <w:rsid w:val="00962954"/>
    <w:rsid w:val="009629E8"/>
    <w:rsid w:val="00963561"/>
    <w:rsid w:val="009660B5"/>
    <w:rsid w:val="00967182"/>
    <w:rsid w:val="009710D0"/>
    <w:rsid w:val="009722A1"/>
    <w:rsid w:val="00974E7F"/>
    <w:rsid w:val="00981040"/>
    <w:rsid w:val="00984EBF"/>
    <w:rsid w:val="009852C4"/>
    <w:rsid w:val="00993109"/>
    <w:rsid w:val="0099363F"/>
    <w:rsid w:val="00993C5E"/>
    <w:rsid w:val="0099426D"/>
    <w:rsid w:val="00996049"/>
    <w:rsid w:val="009A11D2"/>
    <w:rsid w:val="009A24CC"/>
    <w:rsid w:val="009A36A2"/>
    <w:rsid w:val="009A47F2"/>
    <w:rsid w:val="009A4EB2"/>
    <w:rsid w:val="009A76D4"/>
    <w:rsid w:val="009B4AE4"/>
    <w:rsid w:val="009C002D"/>
    <w:rsid w:val="009C18AB"/>
    <w:rsid w:val="009C7144"/>
    <w:rsid w:val="009C778E"/>
    <w:rsid w:val="009D1E82"/>
    <w:rsid w:val="009D2102"/>
    <w:rsid w:val="009D29D3"/>
    <w:rsid w:val="009D31A1"/>
    <w:rsid w:val="009D32AB"/>
    <w:rsid w:val="009D5178"/>
    <w:rsid w:val="009D6D77"/>
    <w:rsid w:val="009D6EA8"/>
    <w:rsid w:val="009D7BAD"/>
    <w:rsid w:val="009E1BE9"/>
    <w:rsid w:val="009E2D89"/>
    <w:rsid w:val="009E510D"/>
    <w:rsid w:val="009E5128"/>
    <w:rsid w:val="009E67E6"/>
    <w:rsid w:val="009F2CFA"/>
    <w:rsid w:val="009F3A47"/>
    <w:rsid w:val="009F7E30"/>
    <w:rsid w:val="00A00F90"/>
    <w:rsid w:val="00A034F1"/>
    <w:rsid w:val="00A04076"/>
    <w:rsid w:val="00A04AC1"/>
    <w:rsid w:val="00A07AC9"/>
    <w:rsid w:val="00A133D0"/>
    <w:rsid w:val="00A14B26"/>
    <w:rsid w:val="00A1602B"/>
    <w:rsid w:val="00A1634A"/>
    <w:rsid w:val="00A2288C"/>
    <w:rsid w:val="00A22E7E"/>
    <w:rsid w:val="00A251A2"/>
    <w:rsid w:val="00A26D8D"/>
    <w:rsid w:val="00A27EDA"/>
    <w:rsid w:val="00A300EA"/>
    <w:rsid w:val="00A30612"/>
    <w:rsid w:val="00A3061D"/>
    <w:rsid w:val="00A30CBD"/>
    <w:rsid w:val="00A32020"/>
    <w:rsid w:val="00A345F0"/>
    <w:rsid w:val="00A34600"/>
    <w:rsid w:val="00A35985"/>
    <w:rsid w:val="00A41AB1"/>
    <w:rsid w:val="00A41E37"/>
    <w:rsid w:val="00A423E4"/>
    <w:rsid w:val="00A42633"/>
    <w:rsid w:val="00A45BF3"/>
    <w:rsid w:val="00A466E9"/>
    <w:rsid w:val="00A4725D"/>
    <w:rsid w:val="00A51A81"/>
    <w:rsid w:val="00A52BBD"/>
    <w:rsid w:val="00A54637"/>
    <w:rsid w:val="00A55D80"/>
    <w:rsid w:val="00A56F37"/>
    <w:rsid w:val="00A634C9"/>
    <w:rsid w:val="00A63B38"/>
    <w:rsid w:val="00A653C4"/>
    <w:rsid w:val="00A740CA"/>
    <w:rsid w:val="00A74B41"/>
    <w:rsid w:val="00A74C7E"/>
    <w:rsid w:val="00A750F5"/>
    <w:rsid w:val="00A75F8A"/>
    <w:rsid w:val="00A836FE"/>
    <w:rsid w:val="00A8440A"/>
    <w:rsid w:val="00A8447E"/>
    <w:rsid w:val="00A84827"/>
    <w:rsid w:val="00A84971"/>
    <w:rsid w:val="00A84F86"/>
    <w:rsid w:val="00A8504F"/>
    <w:rsid w:val="00A8507D"/>
    <w:rsid w:val="00A87D74"/>
    <w:rsid w:val="00A87DB5"/>
    <w:rsid w:val="00A93F31"/>
    <w:rsid w:val="00A94F63"/>
    <w:rsid w:val="00A96E88"/>
    <w:rsid w:val="00AA1339"/>
    <w:rsid w:val="00AA1535"/>
    <w:rsid w:val="00AA1CE8"/>
    <w:rsid w:val="00AA3922"/>
    <w:rsid w:val="00AA4A52"/>
    <w:rsid w:val="00AA66AF"/>
    <w:rsid w:val="00AA75F3"/>
    <w:rsid w:val="00AB14EF"/>
    <w:rsid w:val="00AB54B0"/>
    <w:rsid w:val="00AB59A5"/>
    <w:rsid w:val="00AC0C15"/>
    <w:rsid w:val="00AC0FA4"/>
    <w:rsid w:val="00AC3315"/>
    <w:rsid w:val="00AC3813"/>
    <w:rsid w:val="00AD11C5"/>
    <w:rsid w:val="00AD2E46"/>
    <w:rsid w:val="00AD3101"/>
    <w:rsid w:val="00AD3195"/>
    <w:rsid w:val="00AD31E3"/>
    <w:rsid w:val="00AD3CA6"/>
    <w:rsid w:val="00AD4413"/>
    <w:rsid w:val="00AD5CA5"/>
    <w:rsid w:val="00AD6A49"/>
    <w:rsid w:val="00AD7345"/>
    <w:rsid w:val="00AE2868"/>
    <w:rsid w:val="00AE2C08"/>
    <w:rsid w:val="00AE3679"/>
    <w:rsid w:val="00AE53D4"/>
    <w:rsid w:val="00AE5CC5"/>
    <w:rsid w:val="00AE6A63"/>
    <w:rsid w:val="00AE7437"/>
    <w:rsid w:val="00AF1CF9"/>
    <w:rsid w:val="00AF2091"/>
    <w:rsid w:val="00AF7949"/>
    <w:rsid w:val="00B00687"/>
    <w:rsid w:val="00B015CB"/>
    <w:rsid w:val="00B02C7B"/>
    <w:rsid w:val="00B03214"/>
    <w:rsid w:val="00B054AA"/>
    <w:rsid w:val="00B068A7"/>
    <w:rsid w:val="00B10017"/>
    <w:rsid w:val="00B100E2"/>
    <w:rsid w:val="00B11390"/>
    <w:rsid w:val="00B116EA"/>
    <w:rsid w:val="00B13CB7"/>
    <w:rsid w:val="00B1553C"/>
    <w:rsid w:val="00B1652B"/>
    <w:rsid w:val="00B2059B"/>
    <w:rsid w:val="00B219B4"/>
    <w:rsid w:val="00B23D9B"/>
    <w:rsid w:val="00B31AC0"/>
    <w:rsid w:val="00B3215C"/>
    <w:rsid w:val="00B3380C"/>
    <w:rsid w:val="00B3536F"/>
    <w:rsid w:val="00B372F1"/>
    <w:rsid w:val="00B4218C"/>
    <w:rsid w:val="00B4654C"/>
    <w:rsid w:val="00B508D3"/>
    <w:rsid w:val="00B521EE"/>
    <w:rsid w:val="00B5306C"/>
    <w:rsid w:val="00B53CE1"/>
    <w:rsid w:val="00B568A8"/>
    <w:rsid w:val="00B57597"/>
    <w:rsid w:val="00B57F54"/>
    <w:rsid w:val="00B616ED"/>
    <w:rsid w:val="00B6274C"/>
    <w:rsid w:val="00B63189"/>
    <w:rsid w:val="00B63E37"/>
    <w:rsid w:val="00B6448E"/>
    <w:rsid w:val="00B64F21"/>
    <w:rsid w:val="00B664E4"/>
    <w:rsid w:val="00B66D1A"/>
    <w:rsid w:val="00B67DA1"/>
    <w:rsid w:val="00B71182"/>
    <w:rsid w:val="00B72744"/>
    <w:rsid w:val="00B746C1"/>
    <w:rsid w:val="00B75AD1"/>
    <w:rsid w:val="00B7688E"/>
    <w:rsid w:val="00B77D25"/>
    <w:rsid w:val="00B81A54"/>
    <w:rsid w:val="00B84FA5"/>
    <w:rsid w:val="00B86166"/>
    <w:rsid w:val="00B866BD"/>
    <w:rsid w:val="00BA2C71"/>
    <w:rsid w:val="00BA3A20"/>
    <w:rsid w:val="00BA4DE3"/>
    <w:rsid w:val="00BA6E02"/>
    <w:rsid w:val="00BB195E"/>
    <w:rsid w:val="00BB42EB"/>
    <w:rsid w:val="00BB4A55"/>
    <w:rsid w:val="00BB7DB4"/>
    <w:rsid w:val="00BB7DEE"/>
    <w:rsid w:val="00BC2A7B"/>
    <w:rsid w:val="00BC2F40"/>
    <w:rsid w:val="00BC40E6"/>
    <w:rsid w:val="00BC5135"/>
    <w:rsid w:val="00BC5C23"/>
    <w:rsid w:val="00BC75D2"/>
    <w:rsid w:val="00BD085D"/>
    <w:rsid w:val="00BD57BC"/>
    <w:rsid w:val="00BD6321"/>
    <w:rsid w:val="00BE0E99"/>
    <w:rsid w:val="00BE15EA"/>
    <w:rsid w:val="00BE38FB"/>
    <w:rsid w:val="00BF122F"/>
    <w:rsid w:val="00BF1514"/>
    <w:rsid w:val="00BF1645"/>
    <w:rsid w:val="00BF183D"/>
    <w:rsid w:val="00BF4048"/>
    <w:rsid w:val="00BF62F3"/>
    <w:rsid w:val="00C00014"/>
    <w:rsid w:val="00C04A6A"/>
    <w:rsid w:val="00C05102"/>
    <w:rsid w:val="00C06069"/>
    <w:rsid w:val="00C068D0"/>
    <w:rsid w:val="00C11AD9"/>
    <w:rsid w:val="00C14731"/>
    <w:rsid w:val="00C14930"/>
    <w:rsid w:val="00C15D15"/>
    <w:rsid w:val="00C15DC7"/>
    <w:rsid w:val="00C2265C"/>
    <w:rsid w:val="00C22B71"/>
    <w:rsid w:val="00C23A0A"/>
    <w:rsid w:val="00C24B15"/>
    <w:rsid w:val="00C25058"/>
    <w:rsid w:val="00C269FC"/>
    <w:rsid w:val="00C26F73"/>
    <w:rsid w:val="00C308D1"/>
    <w:rsid w:val="00C315DE"/>
    <w:rsid w:val="00C328D9"/>
    <w:rsid w:val="00C33E3C"/>
    <w:rsid w:val="00C34674"/>
    <w:rsid w:val="00C363B6"/>
    <w:rsid w:val="00C43C53"/>
    <w:rsid w:val="00C473E7"/>
    <w:rsid w:val="00C50CD9"/>
    <w:rsid w:val="00C52BCF"/>
    <w:rsid w:val="00C53DD5"/>
    <w:rsid w:val="00C56268"/>
    <w:rsid w:val="00C56F68"/>
    <w:rsid w:val="00C57254"/>
    <w:rsid w:val="00C604EE"/>
    <w:rsid w:val="00C609AF"/>
    <w:rsid w:val="00C62D2E"/>
    <w:rsid w:val="00C637B5"/>
    <w:rsid w:val="00C64B57"/>
    <w:rsid w:val="00C66CA2"/>
    <w:rsid w:val="00C70A7A"/>
    <w:rsid w:val="00C70FE7"/>
    <w:rsid w:val="00C713F1"/>
    <w:rsid w:val="00C71DD9"/>
    <w:rsid w:val="00C72B99"/>
    <w:rsid w:val="00C77BBD"/>
    <w:rsid w:val="00C8570C"/>
    <w:rsid w:val="00C87E57"/>
    <w:rsid w:val="00C90B43"/>
    <w:rsid w:val="00C91DBD"/>
    <w:rsid w:val="00C9393A"/>
    <w:rsid w:val="00C945BC"/>
    <w:rsid w:val="00CA0234"/>
    <w:rsid w:val="00CA1F4E"/>
    <w:rsid w:val="00CA242B"/>
    <w:rsid w:val="00CA55CB"/>
    <w:rsid w:val="00CA68D5"/>
    <w:rsid w:val="00CB2074"/>
    <w:rsid w:val="00CB4955"/>
    <w:rsid w:val="00CB5985"/>
    <w:rsid w:val="00CB6FC3"/>
    <w:rsid w:val="00CC1117"/>
    <w:rsid w:val="00CC30F4"/>
    <w:rsid w:val="00CC514B"/>
    <w:rsid w:val="00CC629B"/>
    <w:rsid w:val="00CD0C1C"/>
    <w:rsid w:val="00CD1575"/>
    <w:rsid w:val="00CD33E4"/>
    <w:rsid w:val="00CD4AB2"/>
    <w:rsid w:val="00CD4DD4"/>
    <w:rsid w:val="00CD51CE"/>
    <w:rsid w:val="00CD590C"/>
    <w:rsid w:val="00CE0E91"/>
    <w:rsid w:val="00CE17A9"/>
    <w:rsid w:val="00CE4420"/>
    <w:rsid w:val="00CF327E"/>
    <w:rsid w:val="00CF4548"/>
    <w:rsid w:val="00CF47E7"/>
    <w:rsid w:val="00CF7442"/>
    <w:rsid w:val="00D01842"/>
    <w:rsid w:val="00D03BC7"/>
    <w:rsid w:val="00D0416E"/>
    <w:rsid w:val="00D0572E"/>
    <w:rsid w:val="00D0619F"/>
    <w:rsid w:val="00D06737"/>
    <w:rsid w:val="00D13DD4"/>
    <w:rsid w:val="00D15EDB"/>
    <w:rsid w:val="00D162C7"/>
    <w:rsid w:val="00D16608"/>
    <w:rsid w:val="00D212F4"/>
    <w:rsid w:val="00D229DE"/>
    <w:rsid w:val="00D25416"/>
    <w:rsid w:val="00D26769"/>
    <w:rsid w:val="00D268FF"/>
    <w:rsid w:val="00D30ED3"/>
    <w:rsid w:val="00D3183D"/>
    <w:rsid w:val="00D35658"/>
    <w:rsid w:val="00D35CB3"/>
    <w:rsid w:val="00D43BED"/>
    <w:rsid w:val="00D45923"/>
    <w:rsid w:val="00D45E74"/>
    <w:rsid w:val="00D465FD"/>
    <w:rsid w:val="00D51349"/>
    <w:rsid w:val="00D51765"/>
    <w:rsid w:val="00D52A6E"/>
    <w:rsid w:val="00D64A36"/>
    <w:rsid w:val="00D672DE"/>
    <w:rsid w:val="00D71A2D"/>
    <w:rsid w:val="00D740C4"/>
    <w:rsid w:val="00D80C6A"/>
    <w:rsid w:val="00D81163"/>
    <w:rsid w:val="00D844CF"/>
    <w:rsid w:val="00D8589F"/>
    <w:rsid w:val="00D87C8B"/>
    <w:rsid w:val="00D901F0"/>
    <w:rsid w:val="00D90375"/>
    <w:rsid w:val="00D9068C"/>
    <w:rsid w:val="00D95F07"/>
    <w:rsid w:val="00D972FD"/>
    <w:rsid w:val="00DA366B"/>
    <w:rsid w:val="00DA4209"/>
    <w:rsid w:val="00DA49EA"/>
    <w:rsid w:val="00DA4DCD"/>
    <w:rsid w:val="00DA7895"/>
    <w:rsid w:val="00DB2A14"/>
    <w:rsid w:val="00DB2CAE"/>
    <w:rsid w:val="00DB3EB9"/>
    <w:rsid w:val="00DB4D44"/>
    <w:rsid w:val="00DB5C8E"/>
    <w:rsid w:val="00DB5F27"/>
    <w:rsid w:val="00DB6AC9"/>
    <w:rsid w:val="00DC4DEC"/>
    <w:rsid w:val="00DC5808"/>
    <w:rsid w:val="00DC7504"/>
    <w:rsid w:val="00DC7FBA"/>
    <w:rsid w:val="00DD1FA6"/>
    <w:rsid w:val="00DD42F5"/>
    <w:rsid w:val="00DD5086"/>
    <w:rsid w:val="00DD6DBC"/>
    <w:rsid w:val="00DE0EFF"/>
    <w:rsid w:val="00DE1667"/>
    <w:rsid w:val="00DE24F3"/>
    <w:rsid w:val="00DE3A5B"/>
    <w:rsid w:val="00DE40BB"/>
    <w:rsid w:val="00DE6772"/>
    <w:rsid w:val="00DF06B4"/>
    <w:rsid w:val="00DF1442"/>
    <w:rsid w:val="00DF1A2D"/>
    <w:rsid w:val="00DF1A88"/>
    <w:rsid w:val="00DF2D32"/>
    <w:rsid w:val="00E014ED"/>
    <w:rsid w:val="00E0172E"/>
    <w:rsid w:val="00E027CB"/>
    <w:rsid w:val="00E06076"/>
    <w:rsid w:val="00E069EE"/>
    <w:rsid w:val="00E0756E"/>
    <w:rsid w:val="00E0773A"/>
    <w:rsid w:val="00E1114C"/>
    <w:rsid w:val="00E123F7"/>
    <w:rsid w:val="00E14C97"/>
    <w:rsid w:val="00E14F84"/>
    <w:rsid w:val="00E1667D"/>
    <w:rsid w:val="00E16BA0"/>
    <w:rsid w:val="00E16C50"/>
    <w:rsid w:val="00E23A11"/>
    <w:rsid w:val="00E263D5"/>
    <w:rsid w:val="00E27BAF"/>
    <w:rsid w:val="00E27FE1"/>
    <w:rsid w:val="00E30D10"/>
    <w:rsid w:val="00E312B4"/>
    <w:rsid w:val="00E324E6"/>
    <w:rsid w:val="00E32F77"/>
    <w:rsid w:val="00E3380E"/>
    <w:rsid w:val="00E36705"/>
    <w:rsid w:val="00E3705F"/>
    <w:rsid w:val="00E43E19"/>
    <w:rsid w:val="00E44D2F"/>
    <w:rsid w:val="00E45B60"/>
    <w:rsid w:val="00E45E7C"/>
    <w:rsid w:val="00E5045E"/>
    <w:rsid w:val="00E52BB3"/>
    <w:rsid w:val="00E52D3F"/>
    <w:rsid w:val="00E53509"/>
    <w:rsid w:val="00E54233"/>
    <w:rsid w:val="00E5674D"/>
    <w:rsid w:val="00E57D1D"/>
    <w:rsid w:val="00E612BA"/>
    <w:rsid w:val="00E67D1B"/>
    <w:rsid w:val="00E7015F"/>
    <w:rsid w:val="00E70F57"/>
    <w:rsid w:val="00E7271C"/>
    <w:rsid w:val="00E73374"/>
    <w:rsid w:val="00E73DBA"/>
    <w:rsid w:val="00E74F41"/>
    <w:rsid w:val="00E7697C"/>
    <w:rsid w:val="00E76C55"/>
    <w:rsid w:val="00E77749"/>
    <w:rsid w:val="00E77F59"/>
    <w:rsid w:val="00E808E5"/>
    <w:rsid w:val="00E81329"/>
    <w:rsid w:val="00E82DCA"/>
    <w:rsid w:val="00E85696"/>
    <w:rsid w:val="00E85BD0"/>
    <w:rsid w:val="00E86877"/>
    <w:rsid w:val="00E8728E"/>
    <w:rsid w:val="00E8749E"/>
    <w:rsid w:val="00E912C0"/>
    <w:rsid w:val="00E91680"/>
    <w:rsid w:val="00E9237A"/>
    <w:rsid w:val="00E930E8"/>
    <w:rsid w:val="00E95D91"/>
    <w:rsid w:val="00EA5DD7"/>
    <w:rsid w:val="00EB1D9B"/>
    <w:rsid w:val="00EB2E9B"/>
    <w:rsid w:val="00EC0D46"/>
    <w:rsid w:val="00EC1E16"/>
    <w:rsid w:val="00EC33AD"/>
    <w:rsid w:val="00EC3B00"/>
    <w:rsid w:val="00EC55FA"/>
    <w:rsid w:val="00EC569C"/>
    <w:rsid w:val="00EC70AC"/>
    <w:rsid w:val="00ED220E"/>
    <w:rsid w:val="00ED47B7"/>
    <w:rsid w:val="00ED4CC8"/>
    <w:rsid w:val="00EE0E2F"/>
    <w:rsid w:val="00EE1E14"/>
    <w:rsid w:val="00EE352F"/>
    <w:rsid w:val="00EE5251"/>
    <w:rsid w:val="00EF00CE"/>
    <w:rsid w:val="00EF0727"/>
    <w:rsid w:val="00EF1E8E"/>
    <w:rsid w:val="00EF25AC"/>
    <w:rsid w:val="00EF3272"/>
    <w:rsid w:val="00EF3548"/>
    <w:rsid w:val="00EF47C1"/>
    <w:rsid w:val="00EF4D7E"/>
    <w:rsid w:val="00EF5548"/>
    <w:rsid w:val="00EF5A86"/>
    <w:rsid w:val="00EF65D5"/>
    <w:rsid w:val="00EF6C2C"/>
    <w:rsid w:val="00EF71F4"/>
    <w:rsid w:val="00EF75A1"/>
    <w:rsid w:val="00F012D3"/>
    <w:rsid w:val="00F022C6"/>
    <w:rsid w:val="00F05D52"/>
    <w:rsid w:val="00F07325"/>
    <w:rsid w:val="00F07C55"/>
    <w:rsid w:val="00F1014B"/>
    <w:rsid w:val="00F11AA2"/>
    <w:rsid w:val="00F12679"/>
    <w:rsid w:val="00F145DF"/>
    <w:rsid w:val="00F16559"/>
    <w:rsid w:val="00F1711D"/>
    <w:rsid w:val="00F22D76"/>
    <w:rsid w:val="00F22E1C"/>
    <w:rsid w:val="00F238C7"/>
    <w:rsid w:val="00F247AD"/>
    <w:rsid w:val="00F27CF5"/>
    <w:rsid w:val="00F34DA7"/>
    <w:rsid w:val="00F375C9"/>
    <w:rsid w:val="00F4024B"/>
    <w:rsid w:val="00F42057"/>
    <w:rsid w:val="00F43522"/>
    <w:rsid w:val="00F512E1"/>
    <w:rsid w:val="00F52BA3"/>
    <w:rsid w:val="00F54118"/>
    <w:rsid w:val="00F55BEF"/>
    <w:rsid w:val="00F56398"/>
    <w:rsid w:val="00F6165C"/>
    <w:rsid w:val="00F62042"/>
    <w:rsid w:val="00F62C0C"/>
    <w:rsid w:val="00F63A43"/>
    <w:rsid w:val="00F640CE"/>
    <w:rsid w:val="00F64CF5"/>
    <w:rsid w:val="00F738AA"/>
    <w:rsid w:val="00F75303"/>
    <w:rsid w:val="00F80703"/>
    <w:rsid w:val="00F810EF"/>
    <w:rsid w:val="00F81A94"/>
    <w:rsid w:val="00F85B31"/>
    <w:rsid w:val="00F86677"/>
    <w:rsid w:val="00F86C0D"/>
    <w:rsid w:val="00F90BC8"/>
    <w:rsid w:val="00F91FC7"/>
    <w:rsid w:val="00F957FA"/>
    <w:rsid w:val="00F97191"/>
    <w:rsid w:val="00FA6005"/>
    <w:rsid w:val="00FA6119"/>
    <w:rsid w:val="00FB16EF"/>
    <w:rsid w:val="00FB3338"/>
    <w:rsid w:val="00FB3F63"/>
    <w:rsid w:val="00FB5BC8"/>
    <w:rsid w:val="00FB6606"/>
    <w:rsid w:val="00FC2887"/>
    <w:rsid w:val="00FC4079"/>
    <w:rsid w:val="00FD1D7F"/>
    <w:rsid w:val="00FD4BE7"/>
    <w:rsid w:val="00FD565B"/>
    <w:rsid w:val="00FD6B49"/>
    <w:rsid w:val="00FD7518"/>
    <w:rsid w:val="00FE18E8"/>
    <w:rsid w:val="00FE3561"/>
    <w:rsid w:val="00FE3697"/>
    <w:rsid w:val="00FE36D9"/>
    <w:rsid w:val="00FE3CFA"/>
    <w:rsid w:val="00FE5B20"/>
    <w:rsid w:val="00FE7088"/>
    <w:rsid w:val="00FF117E"/>
    <w:rsid w:val="00FF1573"/>
    <w:rsid w:val="00FF250B"/>
    <w:rsid w:val="00FF30A2"/>
    <w:rsid w:val="00FF46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9FF1C"/>
  <w15:chartTrackingRefBased/>
  <w15:docId w15:val="{2C652337-61C4-4283-BD0A-F912A93C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316396"/>
    <w:pPr>
      <w:keepNext/>
      <w:keepLines/>
      <w:numPr>
        <w:numId w:val="12"/>
      </w:numPr>
      <w:tabs>
        <w:tab w:val="left" w:pos="2694"/>
      </w:tabs>
      <w:spacing w:before="120" w:after="120" w:line="240" w:lineRule="auto"/>
      <w:ind w:left="709" w:hanging="709"/>
      <w:outlineLvl w:val="0"/>
    </w:pPr>
    <w:rPr>
      <w:rFonts w:ascii="Times New Roman" w:eastAsiaTheme="majorEastAsia" w:hAnsi="Times New Roman"/>
      <w:b/>
      <w:sz w:val="28"/>
      <w:szCs w:val="32"/>
    </w:rPr>
  </w:style>
  <w:style w:type="paragraph" w:styleId="Heading2">
    <w:name w:val="heading 2"/>
    <w:basedOn w:val="Normal"/>
    <w:next w:val="Normal"/>
    <w:link w:val="Heading2Char"/>
    <w:uiPriority w:val="9"/>
    <w:unhideWhenUsed/>
    <w:qFormat/>
    <w:rsid w:val="00316396"/>
    <w:pPr>
      <w:keepNext/>
      <w:keepLines/>
      <w:numPr>
        <w:ilvl w:val="1"/>
        <w:numId w:val="12"/>
      </w:numPr>
      <w:spacing w:before="40" w:after="0"/>
      <w:ind w:left="680" w:hanging="567"/>
      <w:outlineLvl w:val="1"/>
    </w:pPr>
    <w:rPr>
      <w:rFonts w:ascii="Times New Roman" w:eastAsiaTheme="majorEastAsia" w:hAnsi="Times New Roman"/>
      <w:b/>
      <w:sz w:val="26"/>
      <w:szCs w:val="26"/>
    </w:rPr>
  </w:style>
  <w:style w:type="paragraph" w:styleId="Heading3">
    <w:name w:val="heading 3"/>
    <w:basedOn w:val="Normal"/>
    <w:next w:val="Normal"/>
    <w:link w:val="Heading3Char"/>
    <w:uiPriority w:val="9"/>
    <w:unhideWhenUsed/>
    <w:qFormat/>
    <w:rsid w:val="00316396"/>
    <w:pPr>
      <w:keepNext/>
      <w:keepLines/>
      <w:numPr>
        <w:ilvl w:val="2"/>
        <w:numId w:val="12"/>
      </w:numPr>
      <w:spacing w:before="120" w:after="120" w:line="240" w:lineRule="auto"/>
      <w:ind w:left="680" w:hanging="680"/>
      <w:jc w:val="both"/>
      <w:outlineLvl w:val="2"/>
    </w:pPr>
    <w:rPr>
      <w:rFonts w:ascii="Times New Roman" w:eastAsiaTheme="majorEastAsia" w:hAnsi="Times New Roman"/>
      <w:sz w:val="24"/>
      <w:szCs w:val="24"/>
      <w:u w:val="single"/>
      <w:lang w:eastAsia="lv-LV"/>
    </w:rPr>
  </w:style>
  <w:style w:type="paragraph" w:styleId="Heading4">
    <w:name w:val="heading 4"/>
    <w:basedOn w:val="Normal"/>
    <w:next w:val="Normal"/>
    <w:link w:val="Heading4Char"/>
    <w:uiPriority w:val="9"/>
    <w:unhideWhenUsed/>
    <w:qFormat/>
    <w:rsid w:val="00316396"/>
    <w:pPr>
      <w:keepNext/>
      <w:keepLines/>
      <w:numPr>
        <w:ilvl w:val="3"/>
        <w:numId w:val="12"/>
      </w:numPr>
      <w:tabs>
        <w:tab w:val="left" w:pos="993"/>
      </w:tabs>
      <w:spacing w:before="120" w:after="120" w:line="240" w:lineRule="auto"/>
      <w:ind w:left="0" w:firstLine="0"/>
      <w:outlineLvl w:val="3"/>
    </w:pPr>
    <w:rPr>
      <w:rFonts w:ascii="Times New Roman" w:eastAsiaTheme="majorEastAsia"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B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5BD0"/>
  </w:style>
  <w:style w:type="paragraph" w:styleId="Footer">
    <w:name w:val="footer"/>
    <w:basedOn w:val="Normal"/>
    <w:link w:val="FooterChar"/>
    <w:uiPriority w:val="99"/>
    <w:unhideWhenUsed/>
    <w:rsid w:val="00E85B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BD0"/>
  </w:style>
  <w:style w:type="character" w:styleId="CommentReference">
    <w:name w:val="annotation reference"/>
    <w:uiPriority w:val="99"/>
    <w:semiHidden/>
    <w:unhideWhenUsed/>
    <w:rsid w:val="00DA49EA"/>
    <w:rPr>
      <w:sz w:val="16"/>
      <w:szCs w:val="16"/>
    </w:rPr>
  </w:style>
  <w:style w:type="paragraph" w:styleId="CommentText">
    <w:name w:val="annotation text"/>
    <w:basedOn w:val="Normal"/>
    <w:link w:val="CommentTextChar"/>
    <w:uiPriority w:val="99"/>
    <w:semiHidden/>
    <w:unhideWhenUsed/>
    <w:rsid w:val="00DA49EA"/>
    <w:pPr>
      <w:spacing w:line="240" w:lineRule="auto"/>
    </w:pPr>
    <w:rPr>
      <w:sz w:val="20"/>
      <w:szCs w:val="20"/>
    </w:rPr>
  </w:style>
  <w:style w:type="character" w:customStyle="1" w:styleId="CommentTextChar">
    <w:name w:val="Comment Text Char"/>
    <w:link w:val="CommentText"/>
    <w:uiPriority w:val="99"/>
    <w:semiHidden/>
    <w:rsid w:val="00DA49EA"/>
    <w:rPr>
      <w:sz w:val="20"/>
      <w:szCs w:val="20"/>
    </w:rPr>
  </w:style>
  <w:style w:type="paragraph" w:styleId="CommentSubject">
    <w:name w:val="annotation subject"/>
    <w:basedOn w:val="CommentText"/>
    <w:next w:val="CommentText"/>
    <w:link w:val="CommentSubjectChar"/>
    <w:uiPriority w:val="99"/>
    <w:semiHidden/>
    <w:unhideWhenUsed/>
    <w:rsid w:val="00DA49EA"/>
    <w:rPr>
      <w:b/>
      <w:bCs/>
    </w:rPr>
  </w:style>
  <w:style w:type="character" w:customStyle="1" w:styleId="CommentSubjectChar">
    <w:name w:val="Comment Subject Char"/>
    <w:link w:val="CommentSubject"/>
    <w:uiPriority w:val="99"/>
    <w:semiHidden/>
    <w:rsid w:val="00DA49EA"/>
    <w:rPr>
      <w:b/>
      <w:bCs/>
      <w:sz w:val="20"/>
      <w:szCs w:val="20"/>
    </w:rPr>
  </w:style>
  <w:style w:type="paragraph" w:styleId="BalloonText">
    <w:name w:val="Balloon Text"/>
    <w:basedOn w:val="Normal"/>
    <w:link w:val="BalloonTextChar"/>
    <w:uiPriority w:val="99"/>
    <w:semiHidden/>
    <w:unhideWhenUsed/>
    <w:rsid w:val="00DA49E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49EA"/>
    <w:rPr>
      <w:rFonts w:ascii="Segoe UI" w:hAnsi="Segoe UI" w:cs="Segoe UI"/>
      <w:sz w:val="18"/>
      <w:szCs w:val="18"/>
    </w:rPr>
  </w:style>
  <w:style w:type="character" w:styleId="FootnoteReference">
    <w:name w:val="footnote reference"/>
    <w:aliases w:val="-E Fußnotenzeichen,BVI fnr,E FNZ,Exposant 3 Point,Footnote,Footnote Reference Number,Footnote Reference Superscript,Footnote sign,Footnote symboFußnotenzeichen,Footnote symbol,Footnote#,Ref,SUPERS,Times 10 Point,de nota al pie,stylish"/>
    <w:link w:val="FootnotesymbolCarZchn"/>
    <w:uiPriority w:val="99"/>
    <w:unhideWhenUsed/>
    <w:qFormat/>
    <w:rsid w:val="00FC4079"/>
    <w:rPr>
      <w:vertAlign w:val="superscript"/>
    </w:r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FC4079"/>
    <w:pPr>
      <w:spacing w:line="240" w:lineRule="exact"/>
      <w:jc w:val="both"/>
    </w:pPr>
    <w:rPr>
      <w:vertAlign w:val="superscript"/>
    </w:rPr>
  </w:style>
  <w:style w:type="paragraph" w:styleId="FootnoteText">
    <w:name w:val="footnote text"/>
    <w:aliases w:val="Footnote Char,Footnote text,Fußn,Fußnote,Fußnote Char,Fußnotentext Char Char,Reference,Schriftart: 10 pt,Schriftart: 8 pt,Schriftart: 9 pt,Voetnoottekst Char,Voetnoottekst Char1,Voetnoottekst Char2 Char Char,WB-Fußnotentext,fußn,o,stile 1"/>
    <w:basedOn w:val="Normal"/>
    <w:link w:val="FootnoteTextChar1"/>
    <w:uiPriority w:val="99"/>
    <w:qFormat/>
    <w:rsid w:val="00A75F8A"/>
    <w:pPr>
      <w:spacing w:after="0" w:line="240" w:lineRule="auto"/>
    </w:pPr>
    <w:rPr>
      <w:rFonts w:ascii="Times New Roman" w:eastAsia="Times New Roman" w:hAnsi="Times New Roman"/>
      <w:sz w:val="20"/>
      <w:szCs w:val="20"/>
      <w:lang w:val="en-GB"/>
    </w:rPr>
  </w:style>
  <w:style w:type="character" w:customStyle="1" w:styleId="FootnoteTextChar">
    <w:name w:val="Footnote Text Char"/>
    <w:aliases w:val="Fußnotentext Char Char1,Fußnotentext Char1 Char1 Char,Fußnotentext Char Char Char Char Char,Fußnotentext Char1 Char Char Char Char1,Fußnotentext Char1 Char Char Char Char Char,Fußn Char1"/>
    <w:uiPriority w:val="99"/>
    <w:qFormat/>
    <w:rsid w:val="00A75F8A"/>
    <w:rPr>
      <w:sz w:val="20"/>
      <w:szCs w:val="20"/>
    </w:rPr>
  </w:style>
  <w:style w:type="character" w:customStyle="1" w:styleId="FootnoteTextChar1">
    <w:name w:val="Footnote Text Char1"/>
    <w:aliases w:val="Footnote Char Char,Footnote text Char,Fußn Char,Fußnote Char1,Fußnote Char Char,Fußnotentext Char Char Char,Reference Char,Schriftart: 10 pt Char,Schriftart: 8 pt Char,Schriftart: 9 pt Char,Voetnoottekst Char Char,fußn Char,o Char"/>
    <w:link w:val="FootnoteText"/>
    <w:locked/>
    <w:rsid w:val="00A75F8A"/>
    <w:rPr>
      <w:rFonts w:ascii="Times New Roman" w:eastAsia="Times New Roman" w:hAnsi="Times New Roman" w:cs="Times New Roman"/>
      <w:sz w:val="20"/>
      <w:szCs w:val="20"/>
      <w:lang w:val="en-GB"/>
    </w:rPr>
  </w:style>
  <w:style w:type="paragraph" w:customStyle="1" w:styleId="FootnoteRefernece">
    <w:name w:val="Footnote Refernece"/>
    <w:aliases w:val="E,Footnotes refss,Odwołanie przypisu,ftref"/>
    <w:basedOn w:val="Normal"/>
    <w:next w:val="Normal"/>
    <w:uiPriority w:val="99"/>
    <w:rsid w:val="00A75F8A"/>
    <w:pPr>
      <w:spacing w:line="240" w:lineRule="exact"/>
      <w:jc w:val="both"/>
      <w:textAlignment w:val="baseline"/>
    </w:pPr>
    <w:rPr>
      <w:vertAlign w:val="superscript"/>
      <w:lang w:eastAsia="lv-LV"/>
    </w:rPr>
  </w:style>
  <w:style w:type="character" w:styleId="Hyperlink">
    <w:name w:val="Hyperlink"/>
    <w:uiPriority w:val="99"/>
    <w:unhideWhenUsed/>
    <w:rsid w:val="00062FDA"/>
    <w:rPr>
      <w:color w:val="0563C1"/>
      <w:u w:val="single"/>
    </w:rPr>
  </w:style>
  <w:style w:type="character" w:styleId="FollowedHyperlink">
    <w:name w:val="FollowedHyperlink"/>
    <w:uiPriority w:val="99"/>
    <w:semiHidden/>
    <w:unhideWhenUsed/>
    <w:rsid w:val="007735D3"/>
    <w:rPr>
      <w:color w:val="954F72"/>
      <w:u w:val="single"/>
    </w:rPr>
  </w:style>
  <w:style w:type="table" w:styleId="TableGrid">
    <w:name w:val="Table Grid"/>
    <w:basedOn w:val="TableNormal"/>
    <w:uiPriority w:val="39"/>
    <w:rsid w:val="00C52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E23A11"/>
    <w:pPr>
      <w:ind w:left="720"/>
      <w:contextualSpacing/>
    </w:pPr>
  </w:style>
  <w:style w:type="paragraph" w:styleId="BodyText">
    <w:name w:val="Body Text"/>
    <w:basedOn w:val="Normal"/>
    <w:link w:val="BodyTextChar"/>
    <w:semiHidden/>
    <w:unhideWhenUsed/>
    <w:rsid w:val="00280894"/>
    <w:pPr>
      <w:spacing w:after="0" w:line="240" w:lineRule="auto"/>
      <w:jc w:val="center"/>
    </w:pPr>
    <w:rPr>
      <w:rFonts w:ascii="Times New Roman" w:eastAsia="Times New Roman" w:hAnsi="Times New Roman"/>
      <w:b/>
      <w:bCs/>
      <w:sz w:val="28"/>
      <w:szCs w:val="28"/>
      <w:lang w:eastAsia="lv-LV"/>
    </w:rPr>
  </w:style>
  <w:style w:type="character" w:customStyle="1" w:styleId="BodyTextChar">
    <w:name w:val="Body Text Char"/>
    <w:link w:val="BodyText"/>
    <w:semiHidden/>
    <w:rsid w:val="00280894"/>
    <w:rPr>
      <w:rFonts w:ascii="Times New Roman" w:eastAsia="Times New Roman" w:hAnsi="Times New Roman" w:cs="Times New Roman"/>
      <w:b/>
      <w:bCs/>
      <w:sz w:val="28"/>
      <w:szCs w:val="28"/>
      <w:lang w:eastAsia="lv-LV"/>
    </w:rPr>
  </w:style>
  <w:style w:type="character" w:customStyle="1" w:styleId="spelle">
    <w:name w:val="spelle"/>
    <w:basedOn w:val="DefaultParagraphFont"/>
    <w:rsid w:val="009D29D3"/>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2B32F1"/>
    <w:rPr>
      <w:sz w:val="22"/>
      <w:szCs w:val="22"/>
      <w:lang w:eastAsia="en-US"/>
    </w:rPr>
  </w:style>
  <w:style w:type="paragraph" w:customStyle="1" w:styleId="Default">
    <w:name w:val="Default"/>
    <w:link w:val="DefaultChar"/>
    <w:rsid w:val="000A4FBB"/>
    <w:pPr>
      <w:autoSpaceDE w:val="0"/>
      <w:autoSpaceDN w:val="0"/>
      <w:adjustRightInd w:val="0"/>
    </w:pPr>
    <w:rPr>
      <w:rFonts w:ascii="Times New Roman" w:eastAsiaTheme="minorHAnsi" w:hAnsi="Times New Roman"/>
      <w:color w:val="000000"/>
      <w:sz w:val="24"/>
      <w:szCs w:val="24"/>
      <w:lang w:eastAsia="en-US"/>
    </w:rPr>
  </w:style>
  <w:style w:type="character" w:customStyle="1" w:styleId="DefaultChar">
    <w:name w:val="Default Char"/>
    <w:link w:val="Default"/>
    <w:rsid w:val="000A4FBB"/>
    <w:rPr>
      <w:rFonts w:ascii="Times New Roman" w:eastAsiaTheme="minorHAnsi" w:hAnsi="Times New Roman"/>
      <w:color w:val="000000"/>
      <w:sz w:val="24"/>
      <w:szCs w:val="24"/>
      <w:lang w:eastAsia="en-US"/>
    </w:rPr>
  </w:style>
  <w:style w:type="character" w:customStyle="1" w:styleId="normaltextrun">
    <w:name w:val="normaltextrun"/>
    <w:basedOn w:val="DefaultParagraphFont"/>
    <w:rsid w:val="00E44D2F"/>
  </w:style>
  <w:style w:type="paragraph" w:customStyle="1" w:styleId="paragraph">
    <w:name w:val="paragraph"/>
    <w:basedOn w:val="Normal"/>
    <w:rsid w:val="00E44D2F"/>
    <w:pPr>
      <w:spacing w:before="100" w:beforeAutospacing="1" w:after="100" w:afterAutospacing="1" w:line="240" w:lineRule="auto"/>
    </w:pPr>
    <w:rPr>
      <w:rFonts w:ascii="Times New Roman" w:eastAsia="Times New Roman" w:hAnsi="Times New Roman"/>
      <w:sz w:val="24"/>
      <w:szCs w:val="24"/>
      <w:lang w:eastAsia="lv-LV"/>
    </w:rPr>
  </w:style>
  <w:style w:type="paragraph" w:styleId="Caption">
    <w:name w:val="caption"/>
    <w:aliases w:val="Beschriftung Char"/>
    <w:basedOn w:val="Normal"/>
    <w:next w:val="Normal"/>
    <w:link w:val="CaptionChar"/>
    <w:uiPriority w:val="35"/>
    <w:unhideWhenUsed/>
    <w:qFormat/>
    <w:rsid w:val="00F54118"/>
    <w:pPr>
      <w:keepNext/>
      <w:spacing w:before="120" w:after="120" w:line="240" w:lineRule="auto"/>
      <w:jc w:val="center"/>
    </w:pPr>
    <w:rPr>
      <w:rFonts w:ascii="Times New Roman" w:eastAsiaTheme="majorEastAsia" w:hAnsi="Times New Roman"/>
      <w:b/>
      <w:iCs/>
      <w:sz w:val="20"/>
      <w:szCs w:val="20"/>
    </w:rPr>
  </w:style>
  <w:style w:type="character" w:customStyle="1" w:styleId="CaptionChar">
    <w:name w:val="Caption Char"/>
    <w:aliases w:val="Beschriftung Char Char"/>
    <w:link w:val="Caption"/>
    <w:uiPriority w:val="35"/>
    <w:rsid w:val="00F54118"/>
    <w:rPr>
      <w:rFonts w:ascii="Times New Roman" w:eastAsiaTheme="majorEastAsia" w:hAnsi="Times New Roman"/>
      <w:b/>
      <w:iCs/>
      <w:lang w:eastAsia="en-US"/>
    </w:rPr>
  </w:style>
  <w:style w:type="character" w:customStyle="1" w:styleId="Heading1Char">
    <w:name w:val="Heading 1 Char"/>
    <w:basedOn w:val="DefaultParagraphFont"/>
    <w:link w:val="Heading1"/>
    <w:uiPriority w:val="9"/>
    <w:rsid w:val="00316396"/>
    <w:rPr>
      <w:rFonts w:ascii="Times New Roman" w:eastAsiaTheme="majorEastAsia" w:hAnsi="Times New Roman"/>
      <w:b/>
      <w:sz w:val="28"/>
      <w:szCs w:val="32"/>
      <w:lang w:eastAsia="en-US"/>
    </w:rPr>
  </w:style>
  <w:style w:type="character" w:customStyle="1" w:styleId="Heading2Char">
    <w:name w:val="Heading 2 Char"/>
    <w:basedOn w:val="DefaultParagraphFont"/>
    <w:link w:val="Heading2"/>
    <w:uiPriority w:val="9"/>
    <w:rsid w:val="00316396"/>
    <w:rPr>
      <w:rFonts w:ascii="Times New Roman" w:eastAsiaTheme="majorEastAsia" w:hAnsi="Times New Roman"/>
      <w:b/>
      <w:sz w:val="26"/>
      <w:szCs w:val="26"/>
      <w:lang w:eastAsia="en-US"/>
    </w:rPr>
  </w:style>
  <w:style w:type="character" w:customStyle="1" w:styleId="Heading3Char">
    <w:name w:val="Heading 3 Char"/>
    <w:basedOn w:val="DefaultParagraphFont"/>
    <w:link w:val="Heading3"/>
    <w:uiPriority w:val="9"/>
    <w:rsid w:val="00316396"/>
    <w:rPr>
      <w:rFonts w:ascii="Times New Roman" w:eastAsiaTheme="majorEastAsia" w:hAnsi="Times New Roman"/>
      <w:sz w:val="24"/>
      <w:szCs w:val="24"/>
      <w:u w:val="single"/>
    </w:rPr>
  </w:style>
  <w:style w:type="character" w:customStyle="1" w:styleId="Heading4Char">
    <w:name w:val="Heading 4 Char"/>
    <w:basedOn w:val="DefaultParagraphFont"/>
    <w:link w:val="Heading4"/>
    <w:uiPriority w:val="9"/>
    <w:rsid w:val="00316396"/>
    <w:rPr>
      <w:rFonts w:ascii="Times New Roman" w:eastAsiaTheme="majorEastAsia" w:hAnsi="Times New Roman"/>
      <w:i/>
      <w:iCs/>
      <w:sz w:val="24"/>
      <w:szCs w:val="24"/>
      <w:lang w:eastAsia="en-US"/>
    </w:rPr>
  </w:style>
  <w:style w:type="character" w:customStyle="1" w:styleId="eop">
    <w:name w:val="eop"/>
    <w:rsid w:val="00884809"/>
  </w:style>
  <w:style w:type="paragraph" w:styleId="NormalWeb">
    <w:name w:val="Normal (Web)"/>
    <w:basedOn w:val="Normal"/>
    <w:uiPriority w:val="99"/>
    <w:unhideWhenUsed/>
    <w:rsid w:val="00CD4DD4"/>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CD4D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2575">
      <w:bodyDiv w:val="1"/>
      <w:marLeft w:val="0"/>
      <w:marRight w:val="0"/>
      <w:marTop w:val="0"/>
      <w:marBottom w:val="0"/>
      <w:divBdr>
        <w:top w:val="none" w:sz="0" w:space="0" w:color="auto"/>
        <w:left w:val="none" w:sz="0" w:space="0" w:color="auto"/>
        <w:bottom w:val="none" w:sz="0" w:space="0" w:color="auto"/>
        <w:right w:val="none" w:sz="0" w:space="0" w:color="auto"/>
      </w:divBdr>
    </w:div>
    <w:div w:id="524712927">
      <w:bodyDiv w:val="1"/>
      <w:marLeft w:val="0"/>
      <w:marRight w:val="0"/>
      <w:marTop w:val="0"/>
      <w:marBottom w:val="0"/>
      <w:divBdr>
        <w:top w:val="none" w:sz="0" w:space="0" w:color="auto"/>
        <w:left w:val="none" w:sz="0" w:space="0" w:color="auto"/>
        <w:bottom w:val="none" w:sz="0" w:space="0" w:color="auto"/>
        <w:right w:val="none" w:sz="0" w:space="0" w:color="auto"/>
      </w:divBdr>
    </w:div>
    <w:div w:id="1089155665">
      <w:bodyDiv w:val="1"/>
      <w:marLeft w:val="0"/>
      <w:marRight w:val="0"/>
      <w:marTop w:val="0"/>
      <w:marBottom w:val="0"/>
      <w:divBdr>
        <w:top w:val="none" w:sz="0" w:space="0" w:color="auto"/>
        <w:left w:val="none" w:sz="0" w:space="0" w:color="auto"/>
        <w:bottom w:val="none" w:sz="0" w:space="0" w:color="auto"/>
        <w:right w:val="none" w:sz="0" w:space="0" w:color="auto"/>
      </w:divBdr>
      <w:divsChild>
        <w:div w:id="1983537611">
          <w:marLeft w:val="0"/>
          <w:marRight w:val="0"/>
          <w:marTop w:val="480"/>
          <w:marBottom w:val="240"/>
          <w:divBdr>
            <w:top w:val="none" w:sz="0" w:space="0" w:color="auto"/>
            <w:left w:val="none" w:sz="0" w:space="0" w:color="auto"/>
            <w:bottom w:val="none" w:sz="0" w:space="0" w:color="auto"/>
            <w:right w:val="none" w:sz="0" w:space="0" w:color="auto"/>
          </w:divBdr>
        </w:div>
        <w:div w:id="1625193209">
          <w:marLeft w:val="0"/>
          <w:marRight w:val="0"/>
          <w:marTop w:val="0"/>
          <w:marBottom w:val="567"/>
          <w:divBdr>
            <w:top w:val="none" w:sz="0" w:space="0" w:color="auto"/>
            <w:left w:val="none" w:sz="0" w:space="0" w:color="auto"/>
            <w:bottom w:val="none" w:sz="0" w:space="0" w:color="auto"/>
            <w:right w:val="none" w:sz="0" w:space="0" w:color="auto"/>
          </w:divBdr>
        </w:div>
      </w:divsChild>
    </w:div>
    <w:div w:id="1304776114">
      <w:bodyDiv w:val="1"/>
      <w:marLeft w:val="0"/>
      <w:marRight w:val="0"/>
      <w:marTop w:val="0"/>
      <w:marBottom w:val="0"/>
      <w:divBdr>
        <w:top w:val="none" w:sz="0" w:space="0" w:color="auto"/>
        <w:left w:val="none" w:sz="0" w:space="0" w:color="auto"/>
        <w:bottom w:val="none" w:sz="0" w:space="0" w:color="auto"/>
        <w:right w:val="none" w:sz="0" w:space="0" w:color="auto"/>
      </w:divBdr>
      <w:divsChild>
        <w:div w:id="316691493">
          <w:marLeft w:val="0"/>
          <w:marRight w:val="0"/>
          <w:marTop w:val="480"/>
          <w:marBottom w:val="240"/>
          <w:divBdr>
            <w:top w:val="none" w:sz="0" w:space="0" w:color="auto"/>
            <w:left w:val="none" w:sz="0" w:space="0" w:color="auto"/>
            <w:bottom w:val="none" w:sz="0" w:space="0" w:color="auto"/>
            <w:right w:val="none" w:sz="0" w:space="0" w:color="auto"/>
          </w:divBdr>
        </w:div>
        <w:div w:id="578565202">
          <w:marLeft w:val="0"/>
          <w:marRight w:val="0"/>
          <w:marTop w:val="0"/>
          <w:marBottom w:val="567"/>
          <w:divBdr>
            <w:top w:val="none" w:sz="0" w:space="0" w:color="auto"/>
            <w:left w:val="none" w:sz="0" w:space="0" w:color="auto"/>
            <w:bottom w:val="none" w:sz="0" w:space="0" w:color="auto"/>
            <w:right w:val="none" w:sz="0" w:space="0" w:color="auto"/>
          </w:divBdr>
        </w:div>
      </w:divsChild>
    </w:div>
    <w:div w:id="1360623576">
      <w:bodyDiv w:val="1"/>
      <w:marLeft w:val="0"/>
      <w:marRight w:val="0"/>
      <w:marTop w:val="0"/>
      <w:marBottom w:val="0"/>
      <w:divBdr>
        <w:top w:val="none" w:sz="0" w:space="0" w:color="auto"/>
        <w:left w:val="none" w:sz="0" w:space="0" w:color="auto"/>
        <w:bottom w:val="none" w:sz="0" w:space="0" w:color="auto"/>
        <w:right w:val="none" w:sz="0" w:space="0" w:color="auto"/>
      </w:divBdr>
    </w:div>
    <w:div w:id="1365129588">
      <w:bodyDiv w:val="1"/>
      <w:marLeft w:val="0"/>
      <w:marRight w:val="0"/>
      <w:marTop w:val="0"/>
      <w:marBottom w:val="0"/>
      <w:divBdr>
        <w:top w:val="none" w:sz="0" w:space="0" w:color="auto"/>
        <w:left w:val="none" w:sz="0" w:space="0" w:color="auto"/>
        <w:bottom w:val="none" w:sz="0" w:space="0" w:color="auto"/>
        <w:right w:val="none" w:sz="0" w:space="0" w:color="auto"/>
      </w:divBdr>
    </w:div>
    <w:div w:id="1779981130">
      <w:bodyDiv w:val="1"/>
      <w:marLeft w:val="0"/>
      <w:marRight w:val="0"/>
      <w:marTop w:val="0"/>
      <w:marBottom w:val="0"/>
      <w:divBdr>
        <w:top w:val="none" w:sz="0" w:space="0" w:color="auto"/>
        <w:left w:val="none" w:sz="0" w:space="0" w:color="auto"/>
        <w:bottom w:val="none" w:sz="0" w:space="0" w:color="auto"/>
        <w:right w:val="none" w:sz="0" w:space="0" w:color="auto"/>
      </w:divBdr>
    </w:div>
    <w:div w:id="2010012671">
      <w:bodyDiv w:val="1"/>
      <w:marLeft w:val="0"/>
      <w:marRight w:val="0"/>
      <w:marTop w:val="0"/>
      <w:marBottom w:val="0"/>
      <w:divBdr>
        <w:top w:val="none" w:sz="0" w:space="0" w:color="auto"/>
        <w:left w:val="none" w:sz="0" w:space="0" w:color="auto"/>
        <w:bottom w:val="none" w:sz="0" w:space="0" w:color="auto"/>
        <w:right w:val="none" w:sz="0" w:space="0" w:color="auto"/>
      </w:divBdr>
    </w:div>
    <w:div w:id="2027244950">
      <w:bodyDiv w:val="1"/>
      <w:marLeft w:val="0"/>
      <w:marRight w:val="0"/>
      <w:marTop w:val="0"/>
      <w:marBottom w:val="0"/>
      <w:divBdr>
        <w:top w:val="none" w:sz="0" w:space="0" w:color="auto"/>
        <w:left w:val="none" w:sz="0" w:space="0" w:color="auto"/>
        <w:bottom w:val="none" w:sz="0" w:space="0" w:color="auto"/>
        <w:right w:val="none" w:sz="0" w:space="0" w:color="auto"/>
      </w:divBdr>
    </w:div>
    <w:div w:id="2062631910">
      <w:bodyDiv w:val="1"/>
      <w:marLeft w:val="0"/>
      <w:marRight w:val="0"/>
      <w:marTop w:val="0"/>
      <w:marBottom w:val="0"/>
      <w:divBdr>
        <w:top w:val="none" w:sz="0" w:space="0" w:color="auto"/>
        <w:left w:val="none" w:sz="0" w:space="0" w:color="auto"/>
        <w:bottom w:val="none" w:sz="0" w:space="0" w:color="auto"/>
        <w:right w:val="none" w:sz="0" w:space="0" w:color="auto"/>
      </w:divBdr>
    </w:div>
    <w:div w:id="2079789612">
      <w:bodyDiv w:val="1"/>
      <w:marLeft w:val="0"/>
      <w:marRight w:val="0"/>
      <w:marTop w:val="0"/>
      <w:marBottom w:val="0"/>
      <w:divBdr>
        <w:top w:val="none" w:sz="0" w:space="0" w:color="auto"/>
        <w:left w:val="none" w:sz="0" w:space="0" w:color="auto"/>
        <w:bottom w:val="none" w:sz="0" w:space="0" w:color="auto"/>
        <w:right w:val="none" w:sz="0" w:space="0" w:color="auto"/>
      </w:divBdr>
      <w:divsChild>
        <w:div w:id="1835610916">
          <w:marLeft w:val="0"/>
          <w:marRight w:val="0"/>
          <w:marTop w:val="480"/>
          <w:marBottom w:val="240"/>
          <w:divBdr>
            <w:top w:val="none" w:sz="0" w:space="0" w:color="auto"/>
            <w:left w:val="none" w:sz="0" w:space="0" w:color="auto"/>
            <w:bottom w:val="none" w:sz="0" w:space="0" w:color="auto"/>
            <w:right w:val="none" w:sz="0" w:space="0" w:color="auto"/>
          </w:divBdr>
        </w:div>
        <w:div w:id="2048675298">
          <w:marLeft w:val="0"/>
          <w:marRight w:val="0"/>
          <w:marTop w:val="0"/>
          <w:marBottom w:val="567"/>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ls5\Energetika\Ilgtsp&#275;j&#299;gas%20ener&#291;&#275;tikas%20politikas%20departaments\L&#299;ga\OIK\OIK%20dati\prognozes\OIK_prognoze_2027_0103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078306320692606E-2"/>
          <c:y val="1.9304047462873199E-2"/>
          <c:w val="0.72173515388377329"/>
          <c:h val="0.8553190403256381"/>
        </c:manualLayout>
      </c:layout>
      <c:areaChart>
        <c:grouping val="stacked"/>
        <c:varyColors val="0"/>
        <c:ser>
          <c:idx val="0"/>
          <c:order val="0"/>
          <c:tx>
            <c:strRef>
              <c:f>Grafiks!$A$2</c:f>
              <c:strCache>
                <c:ptCount val="1"/>
                <c:pt idx="0">
                  <c:v>Jaudas maksa - gāze</c:v>
                </c:pt>
              </c:strCache>
            </c:strRef>
          </c:tx>
          <c:spPr>
            <a:solidFill>
              <a:schemeClr val="accent1"/>
            </a:solidFill>
            <a:ln>
              <a:noFill/>
            </a:ln>
            <a:effectLst/>
          </c:spPr>
          <c:cat>
            <c:numRef>
              <c:f>Grafiks!$C$1:$V$1</c:f>
              <c:numCache>
                <c:formatCode>General</c:formatCode>
                <c:ptCount val="20"/>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pt idx="17">
                  <c:v>2025</c:v>
                </c:pt>
                <c:pt idx="18">
                  <c:v>2026</c:v>
                </c:pt>
                <c:pt idx="19">
                  <c:v>2027</c:v>
                </c:pt>
              </c:numCache>
            </c:numRef>
          </c:cat>
          <c:val>
            <c:numRef>
              <c:f>Grafiks!$C$2:$V$2</c:f>
              <c:numCache>
                <c:formatCode>#,##0,;\(#,##0,\)</c:formatCode>
                <c:ptCount val="20"/>
                <c:pt idx="0">
                  <c:v>43620551.965241805</c:v>
                </c:pt>
                <c:pt idx="1">
                  <c:v>66785141.266128249</c:v>
                </c:pt>
                <c:pt idx="2">
                  <c:v>64854722.863273427</c:v>
                </c:pt>
                <c:pt idx="3">
                  <c:v>61593210.876005262</c:v>
                </c:pt>
                <c:pt idx="4">
                  <c:v>87807283.891952813</c:v>
                </c:pt>
                <c:pt idx="5">
                  <c:v>87497616.639205232</c:v>
                </c:pt>
                <c:pt idx="6">
                  <c:v>107775983.66000003</c:v>
                </c:pt>
                <c:pt idx="7">
                  <c:v>107829636.76000002</c:v>
                </c:pt>
                <c:pt idx="8">
                  <c:v>105274863.78000002</c:v>
                </c:pt>
                <c:pt idx="9">
                  <c:v>106722716.47000001</c:v>
                </c:pt>
                <c:pt idx="10">
                  <c:v>32556186.0845</c:v>
                </c:pt>
                <c:pt idx="11">
                  <c:v>32944990.350000001</c:v>
                </c:pt>
                <c:pt idx="12">
                  <c:v>32331166.350000001</c:v>
                </c:pt>
                <c:pt idx="13">
                  <c:v>26260263.459999997</c:v>
                </c:pt>
                <c:pt idx="14">
                  <c:v>23574457.709999997</c:v>
                </c:pt>
                <c:pt idx="15">
                  <c:v>23574457.709999997</c:v>
                </c:pt>
                <c:pt idx="16">
                  <c:v>23574457.709999997</c:v>
                </c:pt>
                <c:pt idx="17">
                  <c:v>23574457.709999997</c:v>
                </c:pt>
                <c:pt idx="18">
                  <c:v>23574457.709999997</c:v>
                </c:pt>
                <c:pt idx="19">
                  <c:v>23574457.709999997</c:v>
                </c:pt>
              </c:numCache>
            </c:numRef>
          </c:val>
          <c:extLst>
            <c:ext xmlns:c16="http://schemas.microsoft.com/office/drawing/2014/chart" uri="{C3380CC4-5D6E-409C-BE32-E72D297353CC}">
              <c16:uniqueId val="{00000000-8605-45F6-8AF4-37980D3519EC}"/>
            </c:ext>
          </c:extLst>
        </c:ser>
        <c:ser>
          <c:idx val="1"/>
          <c:order val="1"/>
          <c:tx>
            <c:strRef>
              <c:f>Grafiks!$A$3</c:f>
              <c:strCache>
                <c:ptCount val="1"/>
                <c:pt idx="0">
                  <c:v>Dabasgāzes stacijas līdz 4MW</c:v>
                </c:pt>
              </c:strCache>
            </c:strRef>
          </c:tx>
          <c:spPr>
            <a:solidFill>
              <a:schemeClr val="accent1">
                <a:lumMod val="60000"/>
                <a:lumOff val="40000"/>
              </a:schemeClr>
            </a:solidFill>
            <a:ln>
              <a:noFill/>
            </a:ln>
            <a:effectLst/>
          </c:spPr>
          <c:cat>
            <c:numRef>
              <c:f>Grafiks!$C$1:$V$1</c:f>
              <c:numCache>
                <c:formatCode>General</c:formatCode>
                <c:ptCount val="20"/>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pt idx="17">
                  <c:v>2025</c:v>
                </c:pt>
                <c:pt idx="18">
                  <c:v>2026</c:v>
                </c:pt>
                <c:pt idx="19">
                  <c:v>2027</c:v>
                </c:pt>
              </c:numCache>
            </c:numRef>
          </c:cat>
          <c:val>
            <c:numRef>
              <c:f>Grafiks!$C$3:$V$3</c:f>
              <c:numCache>
                <c:formatCode>#,##0,;\(#,##0,\)</c:formatCode>
                <c:ptCount val="20"/>
                <c:pt idx="0">
                  <c:v>12908139.631106026</c:v>
                </c:pt>
                <c:pt idx="1">
                  <c:v>16815936.793757576</c:v>
                </c:pt>
                <c:pt idx="2">
                  <c:v>23688207.522723231</c:v>
                </c:pt>
                <c:pt idx="3">
                  <c:v>25733684.596416645</c:v>
                </c:pt>
                <c:pt idx="4">
                  <c:v>44957537.922521763</c:v>
                </c:pt>
                <c:pt idx="5">
                  <c:v>48419450.150348008</c:v>
                </c:pt>
                <c:pt idx="6">
                  <c:v>49724282.855972491</c:v>
                </c:pt>
                <c:pt idx="7">
                  <c:v>47476477.341363013</c:v>
                </c:pt>
                <c:pt idx="8">
                  <c:v>34837451.83820387</c:v>
                </c:pt>
                <c:pt idx="9">
                  <c:v>35038207.172135681</c:v>
                </c:pt>
                <c:pt idx="10">
                  <c:v>24943461.65301764</c:v>
                </c:pt>
                <c:pt idx="11">
                  <c:v>26990415.009765383</c:v>
                </c:pt>
                <c:pt idx="12">
                  <c:v>24575123.541901488</c:v>
                </c:pt>
                <c:pt idx="13">
                  <c:v>21031166.761677682</c:v>
                </c:pt>
                <c:pt idx="14">
                  <c:v>12272753.709976852</c:v>
                </c:pt>
                <c:pt idx="15">
                  <c:v>5418984.4962260127</c:v>
                </c:pt>
                <c:pt idx="16">
                  <c:v>1661359.8995203967</c:v>
                </c:pt>
                <c:pt idx="17">
                  <c:v>0</c:v>
                </c:pt>
                <c:pt idx="18">
                  <c:v>0</c:v>
                </c:pt>
                <c:pt idx="19">
                  <c:v>0</c:v>
                </c:pt>
              </c:numCache>
            </c:numRef>
          </c:val>
          <c:extLst>
            <c:ext xmlns:c16="http://schemas.microsoft.com/office/drawing/2014/chart" uri="{C3380CC4-5D6E-409C-BE32-E72D297353CC}">
              <c16:uniqueId val="{00000001-8605-45F6-8AF4-37980D3519EC}"/>
            </c:ext>
          </c:extLst>
        </c:ser>
        <c:ser>
          <c:idx val="2"/>
          <c:order val="2"/>
          <c:tx>
            <c:strRef>
              <c:f>Grafiks!$A$4</c:f>
              <c:strCache>
                <c:ptCount val="1"/>
                <c:pt idx="0">
                  <c:v>Biomasas stacijas līdz 4 MW</c:v>
                </c:pt>
              </c:strCache>
            </c:strRef>
          </c:tx>
          <c:spPr>
            <a:solidFill>
              <a:schemeClr val="accent6">
                <a:lumMod val="75000"/>
              </a:schemeClr>
            </a:solidFill>
            <a:ln>
              <a:noFill/>
            </a:ln>
            <a:effectLst/>
          </c:spPr>
          <c:cat>
            <c:numRef>
              <c:f>Grafiks!$C$1:$V$1</c:f>
              <c:numCache>
                <c:formatCode>General</c:formatCode>
                <c:ptCount val="20"/>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pt idx="17">
                  <c:v>2025</c:v>
                </c:pt>
                <c:pt idx="18">
                  <c:v>2026</c:v>
                </c:pt>
                <c:pt idx="19">
                  <c:v>2027</c:v>
                </c:pt>
              </c:numCache>
            </c:numRef>
          </c:cat>
          <c:val>
            <c:numRef>
              <c:f>Grafiks!$C$4:$V$4</c:f>
              <c:numCache>
                <c:formatCode>#,##0,;\(#,##0,\)</c:formatCode>
                <c:ptCount val="20"/>
                <c:pt idx="0">
                  <c:v>39211.157733877437</c:v>
                </c:pt>
                <c:pt idx="1">
                  <c:v>340174.94237369171</c:v>
                </c:pt>
                <c:pt idx="2">
                  <c:v>579219.69695676176</c:v>
                </c:pt>
                <c:pt idx="3">
                  <c:v>1115802.4099179858</c:v>
                </c:pt>
                <c:pt idx="4">
                  <c:v>7993769.6174324565</c:v>
                </c:pt>
                <c:pt idx="5">
                  <c:v>20416518.664433848</c:v>
                </c:pt>
                <c:pt idx="6">
                  <c:v>23244321.516306262</c:v>
                </c:pt>
                <c:pt idx="7">
                  <c:v>28649580.589837458</c:v>
                </c:pt>
                <c:pt idx="8">
                  <c:v>24373743.519380502</c:v>
                </c:pt>
                <c:pt idx="9">
                  <c:v>42781641.030725002</c:v>
                </c:pt>
                <c:pt idx="10">
                  <c:v>41086552.00836426</c:v>
                </c:pt>
                <c:pt idx="11">
                  <c:v>41783273.525461555</c:v>
                </c:pt>
                <c:pt idx="12">
                  <c:v>43609873.66861707</c:v>
                </c:pt>
                <c:pt idx="13">
                  <c:v>43648653.844009787</c:v>
                </c:pt>
                <c:pt idx="14">
                  <c:v>40424708.617591634</c:v>
                </c:pt>
                <c:pt idx="15">
                  <c:v>34608522.224603549</c:v>
                </c:pt>
                <c:pt idx="16">
                  <c:v>31615002.747308794</c:v>
                </c:pt>
                <c:pt idx="17">
                  <c:v>20973843.129791733</c:v>
                </c:pt>
                <c:pt idx="18">
                  <c:v>17839802.836325541</c:v>
                </c:pt>
                <c:pt idx="19">
                  <c:v>10751695.568646019</c:v>
                </c:pt>
              </c:numCache>
            </c:numRef>
          </c:val>
          <c:extLst>
            <c:ext xmlns:c16="http://schemas.microsoft.com/office/drawing/2014/chart" uri="{C3380CC4-5D6E-409C-BE32-E72D297353CC}">
              <c16:uniqueId val="{00000002-8605-45F6-8AF4-37980D3519EC}"/>
            </c:ext>
          </c:extLst>
        </c:ser>
        <c:ser>
          <c:idx val="3"/>
          <c:order val="3"/>
          <c:tx>
            <c:strRef>
              <c:f>Grafiks!$A$5</c:f>
              <c:strCache>
                <c:ptCount val="1"/>
                <c:pt idx="0">
                  <c:v>Jaudas maksa - AER</c:v>
                </c:pt>
              </c:strCache>
            </c:strRef>
          </c:tx>
          <c:spPr>
            <a:solidFill>
              <a:schemeClr val="accent6">
                <a:lumMod val="50000"/>
              </a:schemeClr>
            </a:solidFill>
            <a:ln>
              <a:noFill/>
            </a:ln>
            <a:effectLst/>
          </c:spPr>
          <c:cat>
            <c:numRef>
              <c:f>Grafiks!$C$1:$V$1</c:f>
              <c:numCache>
                <c:formatCode>General</c:formatCode>
                <c:ptCount val="20"/>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pt idx="17">
                  <c:v>2025</c:v>
                </c:pt>
                <c:pt idx="18">
                  <c:v>2026</c:v>
                </c:pt>
                <c:pt idx="19">
                  <c:v>2027</c:v>
                </c:pt>
              </c:numCache>
            </c:numRef>
          </c:cat>
          <c:val>
            <c:numRef>
              <c:f>Grafiks!$C$5:$V$5</c:f>
              <c:numCache>
                <c:formatCode>General</c:formatCode>
                <c:ptCount val="20"/>
                <c:pt idx="2" formatCode="#,##0,;\(#,##0,\)">
                  <c:v>0</c:v>
                </c:pt>
                <c:pt idx="3" formatCode="#,##0,;\(#,##0,\)">
                  <c:v>0</c:v>
                </c:pt>
                <c:pt idx="4">
                  <c:v>0</c:v>
                </c:pt>
                <c:pt idx="5" formatCode="#,##0,;\(#,##0,\)">
                  <c:v>0</c:v>
                </c:pt>
                <c:pt idx="6" formatCode="#,##0,;\(#,##0,\)">
                  <c:v>5162556.96</c:v>
                </c:pt>
                <c:pt idx="7" formatCode="#,##0,;\(#,##0,\)">
                  <c:v>5162556.96</c:v>
                </c:pt>
                <c:pt idx="8" formatCode="#,##0,;\(#,##0,\)">
                  <c:v>5162556.96</c:v>
                </c:pt>
                <c:pt idx="9" formatCode="#,##0,;\(#,##0,\)">
                  <c:v>5162556.96</c:v>
                </c:pt>
                <c:pt idx="10" formatCode="#,##0,;\(#,##0,\)">
                  <c:v>5162556.96</c:v>
                </c:pt>
                <c:pt idx="11" formatCode="#,##0,;\(#,##0,\)">
                  <c:v>5162556.96</c:v>
                </c:pt>
                <c:pt idx="12" formatCode="#,##0,;\(#,##0,\)">
                  <c:v>5162556.96</c:v>
                </c:pt>
                <c:pt idx="13" formatCode="#,##0,;\(#,##0,\)">
                  <c:v>5162556.96</c:v>
                </c:pt>
                <c:pt idx="14" formatCode="#,##0,;\(#,##0,\)">
                  <c:v>5162556.96</c:v>
                </c:pt>
                <c:pt idx="15" formatCode="#,##0,;\(#,##0,\)">
                  <c:v>5162556.96</c:v>
                </c:pt>
                <c:pt idx="16" formatCode="#,##0,;\(#,##0,\)">
                  <c:v>5162556.96</c:v>
                </c:pt>
                <c:pt idx="17" formatCode="#,##0,;\(#,##0,\)">
                  <c:v>5162556.96</c:v>
                </c:pt>
                <c:pt idx="18" formatCode="#,##0,;\(#,##0,\)">
                  <c:v>5162556.96</c:v>
                </c:pt>
                <c:pt idx="19" formatCode="#,##0,;\(#,##0,\)">
                  <c:v>5162556.96</c:v>
                </c:pt>
              </c:numCache>
            </c:numRef>
          </c:val>
          <c:extLst>
            <c:ext xmlns:c16="http://schemas.microsoft.com/office/drawing/2014/chart" uri="{C3380CC4-5D6E-409C-BE32-E72D297353CC}">
              <c16:uniqueId val="{00000003-8605-45F6-8AF4-37980D3519EC}"/>
            </c:ext>
          </c:extLst>
        </c:ser>
        <c:ser>
          <c:idx val="4"/>
          <c:order val="4"/>
          <c:tx>
            <c:strRef>
              <c:f>Grafiks!$A$6</c:f>
              <c:strCache>
                <c:ptCount val="1"/>
                <c:pt idx="0">
                  <c:v>Biogāzes stacijas</c:v>
                </c:pt>
              </c:strCache>
            </c:strRef>
          </c:tx>
          <c:spPr>
            <a:solidFill>
              <a:schemeClr val="accent6">
                <a:lumMod val="60000"/>
                <a:lumOff val="40000"/>
              </a:schemeClr>
            </a:solidFill>
            <a:ln>
              <a:noFill/>
            </a:ln>
            <a:effectLst/>
          </c:spPr>
          <c:cat>
            <c:numRef>
              <c:f>Grafiks!$C$1:$V$1</c:f>
              <c:numCache>
                <c:formatCode>General</c:formatCode>
                <c:ptCount val="20"/>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pt idx="17">
                  <c:v>2025</c:v>
                </c:pt>
                <c:pt idx="18">
                  <c:v>2026</c:v>
                </c:pt>
                <c:pt idx="19">
                  <c:v>2027</c:v>
                </c:pt>
              </c:numCache>
            </c:numRef>
          </c:cat>
          <c:val>
            <c:numRef>
              <c:f>Grafiks!$C$6:$V$6</c:f>
              <c:numCache>
                <c:formatCode>#,##0,;\(#,##0,\)</c:formatCode>
                <c:ptCount val="20"/>
                <c:pt idx="0">
                  <c:v>3225772.9997274061</c:v>
                </c:pt>
                <c:pt idx="1">
                  <c:v>4023161.242110176</c:v>
                </c:pt>
                <c:pt idx="2">
                  <c:v>5758632.0668351343</c:v>
                </c:pt>
                <c:pt idx="3">
                  <c:v>13630513.553565431</c:v>
                </c:pt>
                <c:pt idx="4">
                  <c:v>31727165.074487347</c:v>
                </c:pt>
                <c:pt idx="5">
                  <c:v>39253956.071250819</c:v>
                </c:pt>
                <c:pt idx="6">
                  <c:v>45639682.662410527</c:v>
                </c:pt>
                <c:pt idx="7">
                  <c:v>50430071.004283734</c:v>
                </c:pt>
                <c:pt idx="8">
                  <c:v>47888159.653313726</c:v>
                </c:pt>
                <c:pt idx="9">
                  <c:v>53270478.04059884</c:v>
                </c:pt>
                <c:pt idx="10">
                  <c:v>43444604.434463859</c:v>
                </c:pt>
                <c:pt idx="11">
                  <c:v>45814142.815932751</c:v>
                </c:pt>
                <c:pt idx="12">
                  <c:v>46838561.879010007</c:v>
                </c:pt>
                <c:pt idx="13">
                  <c:v>44227061.174346514</c:v>
                </c:pt>
                <c:pt idx="14">
                  <c:v>37341250.952243239</c:v>
                </c:pt>
                <c:pt idx="15">
                  <c:v>29378313.807004977</c:v>
                </c:pt>
                <c:pt idx="16">
                  <c:v>26977578.741338495</c:v>
                </c:pt>
                <c:pt idx="17">
                  <c:v>24760884.333593801</c:v>
                </c:pt>
                <c:pt idx="18">
                  <c:v>23175607.117196735</c:v>
                </c:pt>
                <c:pt idx="19">
                  <c:v>23510620.905105222</c:v>
                </c:pt>
              </c:numCache>
            </c:numRef>
          </c:val>
          <c:extLst>
            <c:ext xmlns:c16="http://schemas.microsoft.com/office/drawing/2014/chart" uri="{C3380CC4-5D6E-409C-BE32-E72D297353CC}">
              <c16:uniqueId val="{00000004-8605-45F6-8AF4-37980D3519EC}"/>
            </c:ext>
          </c:extLst>
        </c:ser>
        <c:ser>
          <c:idx val="5"/>
          <c:order val="5"/>
          <c:tx>
            <c:strRef>
              <c:f>Grafiks!$A$7</c:f>
              <c:strCache>
                <c:ptCount val="1"/>
                <c:pt idx="0">
                  <c:v>Vēja elektrostacijas</c:v>
                </c:pt>
              </c:strCache>
            </c:strRef>
          </c:tx>
          <c:spPr>
            <a:solidFill>
              <a:schemeClr val="accent6">
                <a:lumMod val="40000"/>
                <a:lumOff val="60000"/>
              </a:schemeClr>
            </a:solidFill>
            <a:ln>
              <a:noFill/>
            </a:ln>
            <a:effectLst/>
          </c:spPr>
          <c:cat>
            <c:numRef>
              <c:f>Grafiks!$C$1:$V$1</c:f>
              <c:numCache>
                <c:formatCode>General</c:formatCode>
                <c:ptCount val="20"/>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pt idx="17">
                  <c:v>2025</c:v>
                </c:pt>
                <c:pt idx="18">
                  <c:v>2026</c:v>
                </c:pt>
                <c:pt idx="19">
                  <c:v>2027</c:v>
                </c:pt>
              </c:numCache>
            </c:numRef>
          </c:cat>
          <c:val>
            <c:numRef>
              <c:f>Grafiks!$C$7:$V$7</c:f>
              <c:numCache>
                <c:formatCode>#,##0,;\(#,##0,\)</c:formatCode>
                <c:ptCount val="20"/>
                <c:pt idx="0">
                  <c:v>3802926.7451525317</c:v>
                </c:pt>
                <c:pt idx="1">
                  <c:v>5954921.2241250761</c:v>
                </c:pt>
                <c:pt idx="2">
                  <c:v>5396842.8860678095</c:v>
                </c:pt>
                <c:pt idx="3">
                  <c:v>3683392.3968844791</c:v>
                </c:pt>
                <c:pt idx="4">
                  <c:v>6065160.8864206774</c:v>
                </c:pt>
                <c:pt idx="5">
                  <c:v>6429718.5285613593</c:v>
                </c:pt>
                <c:pt idx="6">
                  <c:v>5335554.6047999989</c:v>
                </c:pt>
                <c:pt idx="7">
                  <c:v>6347939.3445762973</c:v>
                </c:pt>
                <c:pt idx="8">
                  <c:v>8331442.8257443467</c:v>
                </c:pt>
                <c:pt idx="9">
                  <c:v>10026762.025678804</c:v>
                </c:pt>
                <c:pt idx="10">
                  <c:v>6530299.1405532658</c:v>
                </c:pt>
                <c:pt idx="11">
                  <c:v>7179509.6393742794</c:v>
                </c:pt>
                <c:pt idx="12">
                  <c:v>13847966.924846921</c:v>
                </c:pt>
                <c:pt idx="13">
                  <c:v>13758197.870245414</c:v>
                </c:pt>
                <c:pt idx="14">
                  <c:v>11554456.836867435</c:v>
                </c:pt>
                <c:pt idx="15">
                  <c:v>8712611.834227629</c:v>
                </c:pt>
                <c:pt idx="16">
                  <c:v>8729808.351976607</c:v>
                </c:pt>
                <c:pt idx="17">
                  <c:v>8783547.469942173</c:v>
                </c:pt>
                <c:pt idx="18">
                  <c:v>8607364.797055915</c:v>
                </c:pt>
                <c:pt idx="19">
                  <c:v>8227537.1689156527</c:v>
                </c:pt>
              </c:numCache>
            </c:numRef>
          </c:val>
          <c:extLst>
            <c:ext xmlns:c16="http://schemas.microsoft.com/office/drawing/2014/chart" uri="{C3380CC4-5D6E-409C-BE32-E72D297353CC}">
              <c16:uniqueId val="{00000005-8605-45F6-8AF4-37980D3519EC}"/>
            </c:ext>
          </c:extLst>
        </c:ser>
        <c:ser>
          <c:idx val="6"/>
          <c:order val="6"/>
          <c:tx>
            <c:strRef>
              <c:f>Grafiks!$A$8</c:f>
              <c:strCache>
                <c:ptCount val="1"/>
                <c:pt idx="0">
                  <c:v>Hidroelektrostacijas</c:v>
                </c:pt>
              </c:strCache>
            </c:strRef>
          </c:tx>
          <c:spPr>
            <a:solidFill>
              <a:schemeClr val="accent6">
                <a:lumMod val="20000"/>
                <a:lumOff val="80000"/>
              </a:schemeClr>
            </a:solidFill>
            <a:ln>
              <a:noFill/>
            </a:ln>
            <a:effectLst/>
          </c:spPr>
          <c:cat>
            <c:numRef>
              <c:f>Grafiks!$C$1:$V$1</c:f>
              <c:numCache>
                <c:formatCode>General</c:formatCode>
                <c:ptCount val="20"/>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pt idx="17">
                  <c:v>2025</c:v>
                </c:pt>
                <c:pt idx="18">
                  <c:v>2026</c:v>
                </c:pt>
                <c:pt idx="19">
                  <c:v>2027</c:v>
                </c:pt>
              </c:numCache>
            </c:numRef>
          </c:cat>
          <c:val>
            <c:numRef>
              <c:f>Grafiks!$C$8:$V$8</c:f>
              <c:numCache>
                <c:formatCode>#,##0,;\(#,##0,\)</c:formatCode>
                <c:ptCount val="20"/>
                <c:pt idx="0">
                  <c:v>5824152.8796094926</c:v>
                </c:pt>
                <c:pt idx="1">
                  <c:v>8661360.3809881564</c:v>
                </c:pt>
                <c:pt idx="2">
                  <c:v>9963273.2899926603</c:v>
                </c:pt>
                <c:pt idx="3">
                  <c:v>8358966.6838834165</c:v>
                </c:pt>
                <c:pt idx="4">
                  <c:v>10422932.757838596</c:v>
                </c:pt>
                <c:pt idx="5">
                  <c:v>7880012.1487235846</c:v>
                </c:pt>
                <c:pt idx="6">
                  <c:v>8855133.7745417878</c:v>
                </c:pt>
                <c:pt idx="7">
                  <c:v>9039075.8522404525</c:v>
                </c:pt>
                <c:pt idx="8">
                  <c:v>11331001.245521016</c:v>
                </c:pt>
                <c:pt idx="9">
                  <c:v>13299217.883916263</c:v>
                </c:pt>
                <c:pt idx="10">
                  <c:v>5172712.0911833066</c:v>
                </c:pt>
                <c:pt idx="11">
                  <c:v>6422457.0978182713</c:v>
                </c:pt>
                <c:pt idx="12">
                  <c:v>6450967.9392322963</c:v>
                </c:pt>
                <c:pt idx="13">
                  <c:v>6372680.1231262619</c:v>
                </c:pt>
                <c:pt idx="14">
                  <c:v>6305944.642776533</c:v>
                </c:pt>
                <c:pt idx="15">
                  <c:v>6337387.1947638113</c:v>
                </c:pt>
                <c:pt idx="16">
                  <c:v>6342976.9817837728</c:v>
                </c:pt>
                <c:pt idx="17">
                  <c:v>6360445.0662211487</c:v>
                </c:pt>
                <c:pt idx="18">
                  <c:v>6360445.0662211487</c:v>
                </c:pt>
                <c:pt idx="19">
                  <c:v>6284278.8252368513</c:v>
                </c:pt>
              </c:numCache>
            </c:numRef>
          </c:val>
          <c:extLst>
            <c:ext xmlns:c16="http://schemas.microsoft.com/office/drawing/2014/chart" uri="{C3380CC4-5D6E-409C-BE32-E72D297353CC}">
              <c16:uniqueId val="{00000006-8605-45F6-8AF4-37980D3519EC}"/>
            </c:ext>
          </c:extLst>
        </c:ser>
        <c:ser>
          <c:idx val="7"/>
          <c:order val="7"/>
          <c:tx>
            <c:strRef>
              <c:f>Grafiks!$A$9</c:f>
              <c:strCache>
                <c:ptCount val="1"/>
                <c:pt idx="0">
                  <c:v>Atbalsts energointensīvajiem lietotājiem</c:v>
                </c:pt>
              </c:strCache>
            </c:strRef>
          </c:tx>
          <c:spPr>
            <a:solidFill>
              <a:schemeClr val="accent2"/>
            </a:solidFill>
            <a:ln>
              <a:noFill/>
            </a:ln>
            <a:effectLst/>
          </c:spPr>
          <c:cat>
            <c:numRef>
              <c:f>Grafiks!$C$1:$V$1</c:f>
              <c:numCache>
                <c:formatCode>General</c:formatCode>
                <c:ptCount val="20"/>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pt idx="17">
                  <c:v>2025</c:v>
                </c:pt>
                <c:pt idx="18">
                  <c:v>2026</c:v>
                </c:pt>
                <c:pt idx="19">
                  <c:v>2027</c:v>
                </c:pt>
              </c:numCache>
            </c:numRef>
          </c:cat>
          <c:val>
            <c:numRef>
              <c:f>Grafiks!$C$9:$V$9</c:f>
              <c:numCache>
                <c:formatCode>General</c:formatCode>
                <c:ptCount val="20"/>
                <c:pt idx="2" formatCode="#,##0,;\(#,##0,\)">
                  <c:v>0</c:v>
                </c:pt>
                <c:pt idx="3" formatCode="#,##0,;\(#,##0,\)">
                  <c:v>0</c:v>
                </c:pt>
                <c:pt idx="4">
                  <c:v>0</c:v>
                </c:pt>
                <c:pt idx="5" formatCode="#,##0,;\(#,##0,\)">
                  <c:v>0</c:v>
                </c:pt>
                <c:pt idx="6" formatCode="#,##0,;\(#,##0,\)">
                  <c:v>0</c:v>
                </c:pt>
                <c:pt idx="7" formatCode="#,##0,;\(#,##0,\)">
                  <c:v>0</c:v>
                </c:pt>
                <c:pt idx="8" formatCode="#,##0,;\(#,##0,\)">
                  <c:v>0</c:v>
                </c:pt>
                <c:pt idx="9" formatCode="#,##0,;\(#,##0,\)">
                  <c:v>3040578.55</c:v>
                </c:pt>
                <c:pt idx="10" formatCode="#,##0,;\(#,##0,\)">
                  <c:v>4805636.1500000004</c:v>
                </c:pt>
                <c:pt idx="11" formatCode="#,##0,;\(#,##0,\)">
                  <c:v>6999999.9999999991</c:v>
                </c:pt>
                <c:pt idx="12" formatCode="#,##0,;\(#,##0,\)">
                  <c:v>6999999.9999999991</c:v>
                </c:pt>
                <c:pt idx="13" formatCode="#,##0,;\(#,##0,\)">
                  <c:v>6999999.9999999991</c:v>
                </c:pt>
                <c:pt idx="14" formatCode="#,##0,;\(#,##0,\)">
                  <c:v>6999999.9999999991</c:v>
                </c:pt>
                <c:pt idx="15" formatCode="#,##0,;\(#,##0,\)">
                  <c:v>6999999.9999999991</c:v>
                </c:pt>
                <c:pt idx="16" formatCode="#,##0,;\(#,##0,\)">
                  <c:v>6999999.9999999991</c:v>
                </c:pt>
                <c:pt idx="17" formatCode="#,##0,;\(#,##0,\)">
                  <c:v>6999999.9999999991</c:v>
                </c:pt>
                <c:pt idx="18" formatCode="#,##0,;\(#,##0,\)">
                  <c:v>6999999.9999999991</c:v>
                </c:pt>
                <c:pt idx="19" formatCode="#,##0,;\(#,##0,\)">
                  <c:v>6999999.9999999991</c:v>
                </c:pt>
              </c:numCache>
            </c:numRef>
          </c:val>
          <c:extLst>
            <c:ext xmlns:c16="http://schemas.microsoft.com/office/drawing/2014/chart" uri="{C3380CC4-5D6E-409C-BE32-E72D297353CC}">
              <c16:uniqueId val="{00000007-8605-45F6-8AF4-37980D3519EC}"/>
            </c:ext>
          </c:extLst>
        </c:ser>
        <c:ser>
          <c:idx val="8"/>
          <c:order val="8"/>
          <c:tx>
            <c:strRef>
              <c:f>Grafiks!$A$10</c:f>
              <c:strCache>
                <c:ptCount val="1"/>
                <c:pt idx="0">
                  <c:v>EPT darbības nodrošināšanas izmaksas</c:v>
                </c:pt>
              </c:strCache>
            </c:strRef>
          </c:tx>
          <c:spPr>
            <a:solidFill>
              <a:schemeClr val="accent4"/>
            </a:solidFill>
            <a:ln>
              <a:noFill/>
            </a:ln>
            <a:effectLst/>
          </c:spPr>
          <c:cat>
            <c:numRef>
              <c:f>Grafiks!$C$1:$V$1</c:f>
              <c:numCache>
                <c:formatCode>General</c:formatCode>
                <c:ptCount val="20"/>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pt idx="17">
                  <c:v>2025</c:v>
                </c:pt>
                <c:pt idx="18">
                  <c:v>2026</c:v>
                </c:pt>
                <c:pt idx="19">
                  <c:v>2027</c:v>
                </c:pt>
              </c:numCache>
            </c:numRef>
          </c:cat>
          <c:val>
            <c:numRef>
              <c:f>Grafiks!$C$10:$V$10</c:f>
              <c:numCache>
                <c:formatCode>#,##0,;\(#,##0,\)</c:formatCode>
                <c:ptCount val="20"/>
                <c:pt idx="0">
                  <c:v>0</c:v>
                </c:pt>
                <c:pt idx="1">
                  <c:v>0</c:v>
                </c:pt>
                <c:pt idx="2">
                  <c:v>70775.408221922466</c:v>
                </c:pt>
                <c:pt idx="3">
                  <c:v>66155.34345279765</c:v>
                </c:pt>
                <c:pt idx="4">
                  <c:v>66228.777866944409</c:v>
                </c:pt>
                <c:pt idx="5">
                  <c:v>948171.13000000012</c:v>
                </c:pt>
                <c:pt idx="6">
                  <c:v>2315099.3901507016</c:v>
                </c:pt>
                <c:pt idx="7">
                  <c:v>2516889.6683558794</c:v>
                </c:pt>
                <c:pt idx="8">
                  <c:v>5406796.8749127593</c:v>
                </c:pt>
                <c:pt idx="9">
                  <c:v>2754046.2257900611</c:v>
                </c:pt>
                <c:pt idx="10">
                  <c:v>2254277.0112435096</c:v>
                </c:pt>
                <c:pt idx="11">
                  <c:v>2827050.6030269768</c:v>
                </c:pt>
                <c:pt idx="12">
                  <c:v>2788885.8028902207</c:v>
                </c:pt>
                <c:pt idx="13">
                  <c:v>2754136.3690068768</c:v>
                </c:pt>
                <c:pt idx="14">
                  <c:v>2385068.5725194081</c:v>
                </c:pt>
                <c:pt idx="15">
                  <c:v>1966032.4070946765</c:v>
                </c:pt>
                <c:pt idx="16">
                  <c:v>1679983.1916850945</c:v>
                </c:pt>
                <c:pt idx="17">
                  <c:v>1526564.8905397125</c:v>
                </c:pt>
                <c:pt idx="18">
                  <c:v>1538797.0610122327</c:v>
                </c:pt>
                <c:pt idx="19">
                  <c:v>1393643.8713802723</c:v>
                </c:pt>
              </c:numCache>
            </c:numRef>
          </c:val>
          <c:extLst>
            <c:ext xmlns:c16="http://schemas.microsoft.com/office/drawing/2014/chart" uri="{C3380CC4-5D6E-409C-BE32-E72D297353CC}">
              <c16:uniqueId val="{00000008-8605-45F6-8AF4-37980D3519EC}"/>
            </c:ext>
          </c:extLst>
        </c:ser>
        <c:dLbls>
          <c:showLegendKey val="0"/>
          <c:showVal val="0"/>
          <c:showCatName val="0"/>
          <c:showSerName val="0"/>
          <c:showPercent val="0"/>
          <c:showBubbleSize val="0"/>
        </c:dLbls>
        <c:axId val="479540624"/>
        <c:axId val="479541016"/>
      </c:areaChart>
      <c:lineChart>
        <c:grouping val="standard"/>
        <c:varyColors val="0"/>
        <c:ser>
          <c:idx val="9"/>
          <c:order val="9"/>
          <c:tx>
            <c:strRef>
              <c:f>Grafiks!$A$11</c:f>
              <c:strCache>
                <c:ptCount val="1"/>
                <c:pt idx="0">
                  <c:v>OIK ieņēmumi</c:v>
                </c:pt>
              </c:strCache>
            </c:strRef>
          </c:tx>
          <c:spPr>
            <a:ln w="28575" cap="rnd">
              <a:solidFill>
                <a:srgbClr val="7A003C"/>
              </a:solidFill>
              <a:round/>
            </a:ln>
            <a:effectLst/>
          </c:spPr>
          <c:marker>
            <c:symbol val="none"/>
          </c:marker>
          <c:cat>
            <c:numRef>
              <c:f>Grafiks!$C$1:$R$1</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Grafiks!$C$11:$W$11</c:f>
              <c:numCache>
                <c:formatCode>#,##0,;\(#,##0,\)</c:formatCode>
                <c:ptCount val="21"/>
                <c:pt idx="0">
                  <c:v>69420755.378571138</c:v>
                </c:pt>
                <c:pt idx="1">
                  <c:v>102580695.84948292</c:v>
                </c:pt>
                <c:pt idx="2">
                  <c:v>110311673.73407094</c:v>
                </c:pt>
                <c:pt idx="3">
                  <c:v>114181725.86012602</c:v>
                </c:pt>
                <c:pt idx="4">
                  <c:v>189040078.92852059</c:v>
                </c:pt>
                <c:pt idx="5">
                  <c:v>179448796.78767556</c:v>
                </c:pt>
                <c:pt idx="6">
                  <c:v>182000289.66940001</c:v>
                </c:pt>
                <c:pt idx="7">
                  <c:v>177906435.11000001</c:v>
                </c:pt>
                <c:pt idx="8">
                  <c:v>179154192.18999997</c:v>
                </c:pt>
                <c:pt idx="9">
                  <c:v>177836794.52695954</c:v>
                </c:pt>
                <c:pt idx="10">
                  <c:v>164277853.79129243</c:v>
                </c:pt>
                <c:pt idx="11">
                  <c:v>155255602.65570533</c:v>
                </c:pt>
                <c:pt idx="12">
                  <c:v>155255602.65570533</c:v>
                </c:pt>
                <c:pt idx="13">
                  <c:v>155255602.65570533</c:v>
                </c:pt>
                <c:pt idx="14">
                  <c:v>146021198.00197509</c:v>
                </c:pt>
                <c:pt idx="15">
                  <c:v>122158866.63392062</c:v>
                </c:pt>
                <c:pt idx="16">
                  <c:v>112743724.58361316</c:v>
                </c:pt>
                <c:pt idx="17">
                  <c:v>98142299.56008856</c:v>
                </c:pt>
                <c:pt idx="18">
                  <c:v>93259031.547811568</c:v>
                </c:pt>
                <c:pt idx="19">
                  <c:v>85904791.009284019</c:v>
                </c:pt>
              </c:numCache>
            </c:numRef>
          </c:val>
          <c:smooth val="0"/>
          <c:extLst>
            <c:ext xmlns:c16="http://schemas.microsoft.com/office/drawing/2014/chart" uri="{C3380CC4-5D6E-409C-BE32-E72D297353CC}">
              <c16:uniqueId val="{00000009-8605-45F6-8AF4-37980D3519EC}"/>
            </c:ext>
          </c:extLst>
        </c:ser>
        <c:dLbls>
          <c:showLegendKey val="0"/>
          <c:showVal val="0"/>
          <c:showCatName val="0"/>
          <c:showSerName val="0"/>
          <c:showPercent val="0"/>
          <c:showBubbleSize val="0"/>
        </c:dLbls>
        <c:marker val="1"/>
        <c:smooth val="0"/>
        <c:axId val="479540624"/>
        <c:axId val="479541016"/>
      </c:lineChart>
      <c:catAx>
        <c:axId val="4795406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sz="500"/>
            </a:pPr>
            <a:endParaRPr lang="lv-LV"/>
          </a:p>
        </c:txPr>
        <c:crossAx val="479541016"/>
        <c:crosses val="autoZero"/>
        <c:auto val="1"/>
        <c:lblAlgn val="ctr"/>
        <c:lblOffset val="100"/>
        <c:noMultiLvlLbl val="0"/>
      </c:catAx>
      <c:valAx>
        <c:axId val="479541016"/>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vert="horz"/>
          <a:lstStyle/>
          <a:p>
            <a:pPr>
              <a:defRPr/>
            </a:pPr>
            <a:endParaRPr lang="lv-LV"/>
          </a:p>
        </c:txPr>
        <c:crossAx val="479540624"/>
        <c:crosses val="autoZero"/>
        <c:crossBetween val="between"/>
        <c:dispUnits>
          <c:builtInUnit val="millions"/>
          <c:dispUnitsLbl>
            <c:layout>
              <c:manualLayout>
                <c:xMode val="edge"/>
                <c:yMode val="edge"/>
                <c:x val="6.7437518897345058E-3"/>
                <c:y val="0.36477111279597552"/>
              </c:manualLayout>
            </c:layout>
            <c:tx>
              <c:rich>
                <a:bodyPr rot="-5400000" vert="horz"/>
                <a:lstStyle/>
                <a:p>
                  <a:pPr>
                    <a:defRPr/>
                  </a:pPr>
                  <a:r>
                    <a:rPr lang="lv-LV"/>
                    <a:t>Milj. </a:t>
                  </a:r>
                  <a:r>
                    <a:rPr lang="lv-LV" i="1"/>
                    <a:t>euro</a:t>
                  </a:r>
                  <a:endParaRPr lang="en-US" i="1"/>
                </a:p>
              </c:rich>
            </c:tx>
            <c:spPr>
              <a:noFill/>
              <a:ln>
                <a:noFill/>
              </a:ln>
              <a:effectLst/>
            </c:spPr>
          </c:dispUnitsLbl>
        </c:dispUnits>
      </c:valAx>
      <c:spPr>
        <a:noFill/>
        <a:ln>
          <a:noFill/>
        </a:ln>
        <a:effectLst/>
      </c:spPr>
    </c:plotArea>
    <c:legend>
      <c:legendPos val="r"/>
      <c:layout>
        <c:manualLayout>
          <c:xMode val="edge"/>
          <c:yMode val="edge"/>
          <c:x val="0.75325907537419889"/>
          <c:y val="2.7279956342090902E-2"/>
          <c:w val="0.24471229889367277"/>
          <c:h val="0.97272020366282042"/>
        </c:manualLayout>
      </c:layout>
      <c:overlay val="0"/>
      <c:spPr>
        <a:noFill/>
        <a:ln>
          <a:noFill/>
        </a:ln>
        <a:effectLst/>
      </c:spPr>
      <c:txPr>
        <a:bodyPr rot="0" vert="horz"/>
        <a:lstStyle/>
        <a:p>
          <a:pPr>
            <a:defRPr sz="700"/>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600"/>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A6645-CD07-4D58-802B-B96D675B6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28</Pages>
  <Words>50688</Words>
  <Characters>28893</Characters>
  <Application>Microsoft Office Word</Application>
  <DocSecurity>0</DocSecurity>
  <Lines>240</Lines>
  <Paragraphs>158</Paragraphs>
  <ScaleCrop>false</ScaleCrop>
  <HeadingPairs>
    <vt:vector size="2" baseType="variant">
      <vt:variant>
        <vt:lpstr>Title</vt:lpstr>
      </vt:variant>
      <vt:variant>
        <vt:i4>1</vt:i4>
      </vt:variant>
    </vt:vector>
  </HeadingPairs>
  <TitlesOfParts>
    <vt:vector size="1" baseType="lpstr">
      <vt:lpstr>par Nacionālā enerģētikas un klimata plāna 2021.-2030.gadam projektu un tā iesniegšanu Eiropas Komisijā izvērtēšanai</vt:lpstr>
    </vt:vector>
  </TitlesOfParts>
  <Manager>Helena.Rimsa@em.gov.lv;Helena.Rimsa@em.gov.lv</Manager>
  <Company>Ekonomikas ministrija</Company>
  <LinksUpToDate>false</LinksUpToDate>
  <CharactersWithSpaces>79423</CharactersWithSpaces>
  <SharedDoc>false</SharedDoc>
  <HLinks>
    <vt:vector size="6" baseType="variant">
      <vt:variant>
        <vt:i4>2097271</vt:i4>
      </vt:variant>
      <vt:variant>
        <vt:i4>0</vt:i4>
      </vt:variant>
      <vt:variant>
        <vt:i4>0</vt:i4>
      </vt:variant>
      <vt:variant>
        <vt:i4>5</vt:i4>
      </vt:variant>
      <vt:variant>
        <vt:lpwstr>http://www.consilium.europa.eu/en/meetings/tte/2017/12/18/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Nacionālā enerģētikas un klimata plāna 2021.-2030.gadam projektu un tā iesniegšanu Eiropas Komisijā izvērtēšanai</dc:title>
  <dc:subject>Informatīvā ziņojuma projekts</dc:subject>
  <dc:creator>Līga Dreijalte</dc:creator>
  <cp:keywords/>
  <dc:description>H.Rimša, 67013244, Helena.Rimsa@em.gov.lv</dc:description>
  <cp:lastModifiedBy>Ralfs Nemiro</cp:lastModifiedBy>
  <cp:revision>12</cp:revision>
  <cp:lastPrinted>2019-03-22T05:48:00Z</cp:lastPrinted>
  <dcterms:created xsi:type="dcterms:W3CDTF">2019-03-25T15:40:00Z</dcterms:created>
  <dcterms:modified xsi:type="dcterms:W3CDTF">2019-03-26T08:14:00Z</dcterms:modified>
  <cp:category>enerģētikas politika</cp:category>
</cp:coreProperties>
</file>