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0B" w:rsidRPr="00B1212B" w:rsidRDefault="00C6510B" w:rsidP="00C6510B">
      <w:pPr>
        <w:pStyle w:val="BodyText2"/>
        <w:tabs>
          <w:tab w:val="left" w:pos="1560"/>
        </w:tabs>
        <w:jc w:val="center"/>
        <w:rPr>
          <w:b/>
          <w:sz w:val="26"/>
          <w:szCs w:val="26"/>
        </w:rPr>
      </w:pPr>
      <w:bookmarkStart w:id="0" w:name="_GoBack"/>
      <w:bookmarkEnd w:id="0"/>
      <w:r w:rsidRPr="00B1212B">
        <w:rPr>
          <w:b/>
          <w:sz w:val="26"/>
          <w:szCs w:val="26"/>
        </w:rPr>
        <w:t>Ministru kabineta noteikumu projekta</w:t>
      </w:r>
    </w:p>
    <w:p w:rsidR="00587C81" w:rsidRPr="00B1212B" w:rsidRDefault="00C6510B" w:rsidP="00587C81">
      <w:pPr>
        <w:pStyle w:val="BodyText2"/>
        <w:tabs>
          <w:tab w:val="left" w:pos="1560"/>
        </w:tabs>
        <w:jc w:val="center"/>
        <w:rPr>
          <w:b/>
          <w:sz w:val="26"/>
          <w:szCs w:val="26"/>
        </w:rPr>
      </w:pPr>
      <w:r w:rsidRPr="00B1212B">
        <w:rPr>
          <w:b/>
          <w:sz w:val="26"/>
          <w:szCs w:val="26"/>
        </w:rPr>
        <w:t>„</w:t>
      </w:r>
      <w:r w:rsidR="00A3679B" w:rsidRPr="00B1212B">
        <w:rPr>
          <w:b/>
          <w:sz w:val="26"/>
          <w:szCs w:val="26"/>
        </w:rPr>
        <w:t>Grozījumi Ministru kabineta 2017.gada 14.novembra noteikumos Nr.677 “Uzņēmumu ienākuma nodokļa likuma normu piemērošanas noteikumi”</w:t>
      </w:r>
      <w:r w:rsidRPr="00B1212B">
        <w:rPr>
          <w:b/>
          <w:sz w:val="26"/>
          <w:szCs w:val="26"/>
        </w:rPr>
        <w:t>” sākotnējās ietekmes novērtējuma ziņojums (anotācija)</w:t>
      </w:r>
    </w:p>
    <w:p w:rsidR="00587C81" w:rsidRPr="00B1212B" w:rsidRDefault="00587C81" w:rsidP="00587C81">
      <w:pPr>
        <w:pStyle w:val="BodyText2"/>
        <w:tabs>
          <w:tab w:val="left" w:pos="1560"/>
        </w:tabs>
        <w:jc w:val="center"/>
        <w:rPr>
          <w:b/>
          <w:sz w:val="26"/>
          <w:szCs w:val="26"/>
          <w:lang w:eastAsia="zh-C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21"/>
        <w:gridCol w:w="6434"/>
      </w:tblGrid>
      <w:tr w:rsidR="0091261F" w:rsidRPr="00B1212B" w:rsidTr="00081A5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sz w:val="26"/>
                <w:szCs w:val="26"/>
              </w:rPr>
              <w:t>Tiesību akta projekta anotācijas kopsavilkums</w:t>
            </w:r>
          </w:p>
        </w:tc>
      </w:tr>
      <w:tr w:rsidR="0091261F" w:rsidRPr="00B1212B" w:rsidTr="00281052">
        <w:tc>
          <w:tcPr>
            <w:tcW w:w="144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rPr>
              <w:t>Mērķis, risinājums un projekta spēkā stāšanās laiks (500 zīmes bez atstarpēm)</w:t>
            </w:r>
          </w:p>
        </w:tc>
        <w:tc>
          <w:tcPr>
            <w:tcW w:w="3553" w:type="pct"/>
            <w:tcBorders>
              <w:top w:val="outset" w:sz="6" w:space="0" w:color="414142"/>
              <w:left w:val="outset" w:sz="6" w:space="0" w:color="414142"/>
              <w:bottom w:val="outset" w:sz="6" w:space="0" w:color="414142"/>
              <w:right w:val="outset" w:sz="6" w:space="0" w:color="414142"/>
            </w:tcBorders>
            <w:hideMark/>
          </w:tcPr>
          <w:p w:rsidR="00D752DD" w:rsidRDefault="0041586B" w:rsidP="000F7F2C">
            <w:pPr>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Noteikumu projekts </w:t>
            </w:r>
            <w:r w:rsidR="00897F1E" w:rsidRPr="007115C1">
              <w:rPr>
                <w:rFonts w:ascii="Times New Roman" w:eastAsia="Times New Roman" w:hAnsi="Times New Roman" w:cs="Times New Roman"/>
                <w:sz w:val="26"/>
                <w:szCs w:val="26"/>
              </w:rPr>
              <w:t xml:space="preserve">„Grozījumi Ministru kabineta 2017.gada 14.novembra noteikumos Nr.677 “Uzņēmumu ienākuma nodokļa likuma normu piemērošanas noteikumi”” </w:t>
            </w:r>
            <w:r w:rsidR="0096463A" w:rsidRPr="007115C1">
              <w:rPr>
                <w:rFonts w:ascii="Times New Roman" w:eastAsia="Times New Roman" w:hAnsi="Times New Roman" w:cs="Times New Roman"/>
                <w:sz w:val="26"/>
                <w:szCs w:val="26"/>
              </w:rPr>
              <w:t xml:space="preserve">(turpmāk – noteikumu projekts) </w:t>
            </w:r>
            <w:r w:rsidRPr="0096463A">
              <w:rPr>
                <w:rFonts w:ascii="Times New Roman" w:eastAsia="Times New Roman" w:hAnsi="Times New Roman" w:cs="Times New Roman"/>
                <w:sz w:val="26"/>
                <w:szCs w:val="26"/>
              </w:rPr>
              <w:t>paredz</w:t>
            </w:r>
            <w:r w:rsidRPr="00B1212B">
              <w:rPr>
                <w:rFonts w:ascii="Times New Roman" w:eastAsia="Times New Roman" w:hAnsi="Times New Roman" w:cs="Times New Roman"/>
                <w:sz w:val="26"/>
                <w:szCs w:val="26"/>
              </w:rPr>
              <w:t xml:space="preserve"> tiesības nodokļu maksātājiem – starptautisko uzņēmumu grupu komercsabiedrībām – izvēlēties piemērot vienkāršotu transfertcenu noteikšanu zemas pievienotās vērtības pakalpojumiem, tādējādi samazinot administratīvo slogu un veicinot tiesisko noteiktību transfertcenu jomā.</w:t>
            </w:r>
          </w:p>
          <w:p w:rsidR="00272A89" w:rsidRDefault="00272A89" w:rsidP="000F7F2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Papildus minētajam noteikumu projektā ir iekļautas skaidrojošas Uzņēmumu ienākuma nodokļa likuma normas, lai novērstu dažādu interpretāciju un normu vienotu piemērošanu.</w:t>
            </w:r>
          </w:p>
          <w:p w:rsidR="00843190" w:rsidRPr="00B1212B" w:rsidRDefault="0096463A" w:rsidP="00272A8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Noteikumu projekts stājās spēkā </w:t>
            </w:r>
            <w:r w:rsidR="008D6E7E">
              <w:rPr>
                <w:rFonts w:ascii="Times New Roman" w:eastAsia="Times New Roman" w:hAnsi="Times New Roman" w:cs="Times New Roman"/>
                <w:sz w:val="26"/>
                <w:szCs w:val="26"/>
              </w:rPr>
              <w:t>vispārējā kārtībā, taču, ņemot vērā likuma “Par nodokļiem un nodevām” pārejas noteikumu 2</w:t>
            </w:r>
            <w:r w:rsidR="005F7554">
              <w:rPr>
                <w:rFonts w:ascii="Times New Roman" w:eastAsia="Times New Roman" w:hAnsi="Times New Roman" w:cs="Times New Roman"/>
                <w:sz w:val="26"/>
                <w:szCs w:val="26"/>
              </w:rPr>
              <w:t>14.punktu, nodokļu maksātājam noteikumos noteikto regulējumu</w:t>
            </w:r>
            <w:r w:rsidR="008D6E7E">
              <w:rPr>
                <w:rFonts w:ascii="Times New Roman" w:eastAsia="Times New Roman" w:hAnsi="Times New Roman" w:cs="Times New Roman"/>
                <w:sz w:val="26"/>
                <w:szCs w:val="26"/>
              </w:rPr>
              <w:t xml:space="preserve"> būs tiesības piemērot arī retrospektīvi.</w:t>
            </w:r>
          </w:p>
        </w:tc>
      </w:tr>
    </w:tbl>
    <w:p w:rsidR="00543AA6" w:rsidRPr="00B1212B"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1988"/>
        <w:gridCol w:w="6512"/>
      </w:tblGrid>
      <w:tr w:rsidR="0091261F" w:rsidRPr="00B1212B" w:rsidTr="00EE517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 Tiesību akta projekta izstrādes nepieciešamība</w:t>
            </w:r>
          </w:p>
        </w:tc>
      </w:tr>
      <w:tr w:rsidR="0091261F" w:rsidRPr="00B1212B" w:rsidTr="00D432B6">
        <w:tc>
          <w:tcPr>
            <w:tcW w:w="30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1098"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rsidR="008060DC" w:rsidRPr="00B1212B" w:rsidRDefault="004A5879" w:rsidP="008060DC">
            <w:pPr>
              <w:spacing w:after="0" w:line="240" w:lineRule="auto"/>
              <w:jc w:val="both"/>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izstrādāts</w:t>
            </w:r>
            <w:r w:rsidR="008060DC" w:rsidRPr="00B1212B">
              <w:rPr>
                <w:rFonts w:ascii="Times New Roman" w:eastAsia="Times New Roman" w:hAnsi="Times New Roman" w:cs="Times New Roman"/>
                <w:bCs/>
                <w:sz w:val="26"/>
                <w:szCs w:val="26"/>
                <w:lang w:eastAsia="lv-LV"/>
              </w:rPr>
              <w:t>:</w:t>
            </w:r>
          </w:p>
          <w:p w:rsidR="00543AA6" w:rsidRPr="00B1212B" w:rsidRDefault="004A5879" w:rsidP="00B1212B">
            <w:pPr>
              <w:pStyle w:val="ListParagraph"/>
              <w:numPr>
                <w:ilvl w:val="0"/>
                <w:numId w:val="9"/>
              </w:numPr>
              <w:spacing w:after="0" w:line="240" w:lineRule="auto"/>
              <w:ind w:left="65" w:firstLine="295"/>
              <w:jc w:val="both"/>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 xml:space="preserve">lai </w:t>
            </w:r>
            <w:r w:rsidR="00F711DF" w:rsidRPr="00B1212B">
              <w:rPr>
                <w:rFonts w:ascii="Times New Roman" w:eastAsia="Times New Roman" w:hAnsi="Times New Roman" w:cs="Times New Roman"/>
                <w:bCs/>
                <w:sz w:val="26"/>
                <w:szCs w:val="26"/>
                <w:lang w:eastAsia="lv-LV"/>
              </w:rPr>
              <w:t>atvieglotu administratīvo slogu nodokļu maksātājiem, nodrošinot darbību vienkāršotas transfertcenu dokumentācijas regulējumam</w:t>
            </w:r>
            <w:r w:rsidR="008060DC" w:rsidRPr="00B1212B">
              <w:rPr>
                <w:rFonts w:ascii="Times New Roman" w:eastAsia="Times New Roman" w:hAnsi="Times New Roman" w:cs="Times New Roman"/>
                <w:bCs/>
                <w:sz w:val="26"/>
                <w:szCs w:val="26"/>
                <w:lang w:eastAsia="lv-LV"/>
              </w:rPr>
              <w:t>, kas ietverts likuma “Par nodokļiem un nodevām” 15.</w:t>
            </w:r>
            <w:r w:rsidR="008060DC" w:rsidRPr="00B1212B">
              <w:rPr>
                <w:rFonts w:ascii="Times New Roman" w:eastAsia="Times New Roman" w:hAnsi="Times New Roman" w:cs="Times New Roman"/>
                <w:bCs/>
                <w:sz w:val="26"/>
                <w:szCs w:val="26"/>
                <w:vertAlign w:val="superscript"/>
                <w:lang w:eastAsia="lv-LV"/>
              </w:rPr>
              <w:t>2</w:t>
            </w:r>
            <w:r w:rsidR="008060DC" w:rsidRPr="00B1212B">
              <w:rPr>
                <w:rFonts w:ascii="Times New Roman" w:eastAsia="Times New Roman" w:hAnsi="Times New Roman" w:cs="Times New Roman"/>
                <w:bCs/>
                <w:sz w:val="26"/>
                <w:szCs w:val="26"/>
                <w:lang w:eastAsia="lv-LV"/>
              </w:rPr>
              <w:t xml:space="preserve">panta divpadsmitajā daļā un Ministru kabineta </w:t>
            </w:r>
            <w:r w:rsidR="008060DC" w:rsidRPr="00B1212B">
              <w:rPr>
                <w:rFonts w:ascii="Times New Roman" w:eastAsia="Times New Roman" w:hAnsi="Times New Roman" w:cs="Times New Roman"/>
                <w:sz w:val="26"/>
                <w:szCs w:val="26"/>
              </w:rPr>
              <w:t>2018.gada 18.decembra noteikumu Nr.802 “Transfertcenu dokumentācija un kārtība, kādā noslēdzama nodokļu maksātāja un nodokļu administrācijas iepriekšēja vienošanās par tirgus cenas (vērtības) noteikšanu darījumam vai darījumu veidam”</w:t>
            </w:r>
            <w:r w:rsidR="006C2C8C">
              <w:rPr>
                <w:rFonts w:ascii="Times New Roman" w:eastAsia="Times New Roman" w:hAnsi="Times New Roman" w:cs="Times New Roman"/>
                <w:sz w:val="26"/>
                <w:szCs w:val="26"/>
              </w:rPr>
              <w:t xml:space="preserve"> (turpmāk – Noteikumi Nr.802)</w:t>
            </w:r>
            <w:r w:rsidR="008060DC" w:rsidRPr="00B1212B">
              <w:rPr>
                <w:rFonts w:ascii="Times New Roman" w:eastAsia="Times New Roman" w:hAnsi="Times New Roman" w:cs="Times New Roman"/>
                <w:sz w:val="26"/>
                <w:szCs w:val="26"/>
              </w:rPr>
              <w:t xml:space="preserve"> 4.punktā;</w:t>
            </w:r>
          </w:p>
          <w:p w:rsidR="008060DC" w:rsidRDefault="008060DC" w:rsidP="00B1212B">
            <w:pPr>
              <w:pStyle w:val="ListParagraph"/>
              <w:numPr>
                <w:ilvl w:val="0"/>
                <w:numId w:val="9"/>
              </w:numPr>
              <w:spacing w:after="0" w:line="240" w:lineRule="auto"/>
              <w:ind w:left="65" w:firstLine="295"/>
              <w:jc w:val="both"/>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 xml:space="preserve">izpildot </w:t>
            </w:r>
            <w:r w:rsidR="00746568" w:rsidRPr="00B1212B">
              <w:rPr>
                <w:rFonts w:ascii="Times New Roman" w:eastAsia="Times New Roman" w:hAnsi="Times New Roman" w:cs="Times New Roman"/>
                <w:bCs/>
                <w:sz w:val="26"/>
                <w:szCs w:val="26"/>
                <w:lang w:eastAsia="lv-LV"/>
              </w:rPr>
              <w:t xml:space="preserve">likumprojekta “Grozījumi likumā “Par nodokļiem un nodevām”” (likums </w:t>
            </w:r>
            <w:r w:rsidR="00746568" w:rsidRPr="00B1212B">
              <w:rPr>
                <w:rFonts w:ascii="Times New Roman" w:eastAsia="Times New Roman" w:hAnsi="Times New Roman" w:cs="Times New Roman"/>
                <w:sz w:val="26"/>
                <w:szCs w:val="26"/>
              </w:rPr>
              <w:t>stājās spēkā 2018.gada 28.novembrī) saskaņošanas laikā</w:t>
            </w:r>
            <w:r w:rsidR="00746568" w:rsidRPr="00B1212B">
              <w:rPr>
                <w:rFonts w:ascii="Times New Roman" w:eastAsia="Times New Roman" w:hAnsi="Times New Roman" w:cs="Times New Roman"/>
                <w:bCs/>
                <w:sz w:val="26"/>
                <w:szCs w:val="26"/>
                <w:lang w:eastAsia="lv-LV"/>
              </w:rPr>
              <w:t xml:space="preserve"> panākto vienošanos</w:t>
            </w:r>
            <w:r w:rsidR="00746568" w:rsidRPr="00B1212B">
              <w:t xml:space="preserve"> </w:t>
            </w:r>
            <w:r w:rsidRPr="00B1212B">
              <w:rPr>
                <w:rFonts w:ascii="Times New Roman" w:eastAsia="Times New Roman" w:hAnsi="Times New Roman" w:cs="Times New Roman"/>
                <w:bCs/>
                <w:sz w:val="26"/>
                <w:szCs w:val="26"/>
                <w:lang w:eastAsia="lv-LV"/>
              </w:rPr>
              <w:t>ar</w:t>
            </w:r>
            <w:r w:rsidR="00746568" w:rsidRPr="00B1212B">
              <w:rPr>
                <w:rFonts w:ascii="Times New Roman" w:eastAsia="Times New Roman" w:hAnsi="Times New Roman" w:cs="Times New Roman"/>
                <w:bCs/>
                <w:sz w:val="26"/>
                <w:szCs w:val="26"/>
                <w:lang w:eastAsia="lv-LV"/>
              </w:rPr>
              <w:t xml:space="preserve"> Latvijas Darba devēju konfederāciju un </w:t>
            </w:r>
            <w:r w:rsidRPr="00B1212B">
              <w:rPr>
                <w:rFonts w:ascii="Times New Roman" w:eastAsia="Times New Roman" w:hAnsi="Times New Roman" w:cs="Times New Roman"/>
                <w:bCs/>
                <w:sz w:val="26"/>
                <w:szCs w:val="26"/>
                <w:lang w:eastAsia="lv-LV"/>
              </w:rPr>
              <w:t xml:space="preserve">Latvijas Tirdzniecības un rūpniecības kameru </w:t>
            </w:r>
            <w:r w:rsidR="00746568" w:rsidRPr="00B1212B">
              <w:rPr>
                <w:rFonts w:ascii="Times New Roman" w:eastAsia="Times New Roman" w:hAnsi="Times New Roman" w:cs="Times New Roman"/>
                <w:bCs/>
                <w:sz w:val="26"/>
                <w:szCs w:val="26"/>
                <w:lang w:eastAsia="lv-LV"/>
              </w:rPr>
              <w:t>par atvieglotas transfertcenu noteikšanas kārtības zemas pievienotās vērtības pakalpojumiem reglamentēšanu</w:t>
            </w:r>
            <w:r w:rsidR="00843190">
              <w:rPr>
                <w:rFonts w:ascii="Times New Roman" w:eastAsia="Times New Roman" w:hAnsi="Times New Roman" w:cs="Times New Roman"/>
                <w:bCs/>
                <w:sz w:val="26"/>
                <w:szCs w:val="26"/>
                <w:lang w:eastAsia="lv-LV"/>
              </w:rPr>
              <w:t>;</w:t>
            </w:r>
          </w:p>
          <w:p w:rsidR="00843190" w:rsidRPr="00B1212B" w:rsidRDefault="00244D0F" w:rsidP="00902150">
            <w:pPr>
              <w:pStyle w:val="ListParagraph"/>
              <w:numPr>
                <w:ilvl w:val="0"/>
                <w:numId w:val="9"/>
              </w:numPr>
              <w:spacing w:after="0" w:line="240" w:lineRule="auto"/>
              <w:ind w:left="62" w:firstLine="295"/>
              <w:jc w:val="both"/>
              <w:rPr>
                <w:rFonts w:ascii="Times New Roman" w:eastAsia="Times New Roman" w:hAnsi="Times New Roman" w:cs="Times New Roman"/>
                <w:bCs/>
                <w:sz w:val="26"/>
                <w:szCs w:val="26"/>
                <w:lang w:eastAsia="lv-LV"/>
              </w:rPr>
            </w:pPr>
            <w:r w:rsidRPr="00843190">
              <w:rPr>
                <w:rFonts w:ascii="Times New Roman" w:eastAsia="Times New Roman" w:hAnsi="Times New Roman" w:cs="Times New Roman"/>
                <w:bCs/>
                <w:sz w:val="26"/>
                <w:szCs w:val="26"/>
                <w:lang w:eastAsia="lv-LV"/>
              </w:rPr>
              <w:t>lai novērstu dažādu Uzņēmumu ienākuma nodokļa likuma norm</w:t>
            </w:r>
            <w:r>
              <w:rPr>
                <w:rFonts w:ascii="Times New Roman" w:eastAsia="Times New Roman" w:hAnsi="Times New Roman" w:cs="Times New Roman"/>
                <w:bCs/>
                <w:sz w:val="26"/>
                <w:szCs w:val="26"/>
                <w:lang w:eastAsia="lv-LV"/>
              </w:rPr>
              <w:t>u</w:t>
            </w:r>
            <w:r w:rsidRPr="00843190">
              <w:rPr>
                <w:rFonts w:ascii="Times New Roman" w:eastAsia="Times New Roman" w:hAnsi="Times New Roman" w:cs="Times New Roman"/>
                <w:bCs/>
                <w:sz w:val="26"/>
                <w:szCs w:val="26"/>
                <w:lang w:eastAsia="lv-LV"/>
              </w:rPr>
              <w:t xml:space="preserve"> interpretāciju</w:t>
            </w:r>
            <w:r>
              <w:rPr>
                <w:rFonts w:ascii="Times New Roman" w:eastAsia="Times New Roman" w:hAnsi="Times New Roman" w:cs="Times New Roman"/>
                <w:bCs/>
                <w:sz w:val="26"/>
                <w:szCs w:val="26"/>
                <w:lang w:eastAsia="lv-LV"/>
              </w:rPr>
              <w:t xml:space="preserve"> un nodrošinātu to</w:t>
            </w:r>
            <w:r w:rsidRPr="00843190">
              <w:rPr>
                <w:rFonts w:ascii="Times New Roman" w:eastAsia="Times New Roman" w:hAnsi="Times New Roman" w:cs="Times New Roman"/>
                <w:bCs/>
                <w:sz w:val="26"/>
                <w:szCs w:val="26"/>
                <w:lang w:eastAsia="lv-LV"/>
              </w:rPr>
              <w:t xml:space="preserve"> vienotu piemērošanu.</w:t>
            </w:r>
          </w:p>
        </w:tc>
      </w:tr>
      <w:tr w:rsidR="0091261F" w:rsidRPr="00B1212B" w:rsidTr="00D432B6">
        <w:tc>
          <w:tcPr>
            <w:tcW w:w="30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lastRenderedPageBreak/>
              <w:t>2.</w:t>
            </w:r>
          </w:p>
        </w:tc>
        <w:tc>
          <w:tcPr>
            <w:tcW w:w="1098"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41586B">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tcPr>
          <w:p w:rsidR="008B7764" w:rsidRPr="00B1212B" w:rsidRDefault="00B53B72" w:rsidP="00CF571D">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T</w:t>
            </w:r>
            <w:r w:rsidR="00050A40" w:rsidRPr="00B1212B">
              <w:rPr>
                <w:rFonts w:ascii="Times New Roman" w:eastAsia="Times New Roman" w:hAnsi="Times New Roman" w:cs="Times New Roman"/>
                <w:sz w:val="26"/>
                <w:szCs w:val="26"/>
              </w:rPr>
              <w:t>irgus vērtībai atbilstošas transfertcenas</w:t>
            </w:r>
            <w:r w:rsidR="008B7764" w:rsidRPr="00B1212B">
              <w:rPr>
                <w:rFonts w:ascii="Times New Roman" w:eastAsia="Times New Roman" w:hAnsi="Times New Roman" w:cs="Times New Roman"/>
                <w:sz w:val="26"/>
                <w:szCs w:val="26"/>
              </w:rPr>
              <w:t xml:space="preserve"> noteikšana </w:t>
            </w:r>
            <w:r w:rsidRPr="00B1212B">
              <w:rPr>
                <w:rFonts w:ascii="Times New Roman" w:eastAsia="Times New Roman" w:hAnsi="Times New Roman" w:cs="Times New Roman"/>
                <w:sz w:val="26"/>
                <w:szCs w:val="26"/>
              </w:rPr>
              <w:t xml:space="preserve">ir regulēta </w:t>
            </w:r>
            <w:r w:rsidR="00C75149" w:rsidRPr="00B1212B">
              <w:rPr>
                <w:rFonts w:ascii="Times New Roman" w:eastAsia="Times New Roman" w:hAnsi="Times New Roman" w:cs="Times New Roman"/>
                <w:sz w:val="26"/>
                <w:szCs w:val="26"/>
              </w:rPr>
              <w:t xml:space="preserve">Uzņēmumu ienākuma nodokļa likumā un Ministru kabineta 2017.gada 14.novembra noteikumos Nr.677 “Uzņēmumu ienākuma nodokļa likuma normu piemērošanas noteikumi”. </w:t>
            </w:r>
            <w:r w:rsidR="006865AC" w:rsidRPr="00B1212B">
              <w:rPr>
                <w:rFonts w:ascii="Times New Roman" w:eastAsia="Times New Roman" w:hAnsi="Times New Roman" w:cs="Times New Roman"/>
                <w:sz w:val="26"/>
                <w:szCs w:val="26"/>
              </w:rPr>
              <w:t xml:space="preserve">Piemērojot minēto regulējumu, lai nodrošinātu </w:t>
            </w:r>
            <w:r w:rsidR="00C41EFE" w:rsidRPr="00B1212B">
              <w:rPr>
                <w:rFonts w:ascii="Times New Roman" w:eastAsia="Times New Roman" w:hAnsi="Times New Roman" w:cs="Times New Roman"/>
                <w:sz w:val="26"/>
                <w:szCs w:val="26"/>
              </w:rPr>
              <w:t xml:space="preserve">atbilstošu </w:t>
            </w:r>
            <w:r w:rsidR="006865AC" w:rsidRPr="00B1212B">
              <w:rPr>
                <w:rFonts w:ascii="Times New Roman" w:eastAsia="Times New Roman" w:hAnsi="Times New Roman" w:cs="Times New Roman"/>
                <w:sz w:val="26"/>
                <w:szCs w:val="26"/>
              </w:rPr>
              <w:t xml:space="preserve">nodokļa sloga sadalījumu starp valstīm pārrobežu darījumos saistītu </w:t>
            </w:r>
            <w:r w:rsidR="00346FD9" w:rsidRPr="00B1212B">
              <w:rPr>
                <w:rFonts w:ascii="Times New Roman" w:eastAsia="Times New Roman" w:hAnsi="Times New Roman" w:cs="Times New Roman"/>
                <w:sz w:val="26"/>
                <w:szCs w:val="26"/>
              </w:rPr>
              <w:t>komercsabiedrību</w:t>
            </w:r>
            <w:r w:rsidR="006865AC" w:rsidRPr="00B1212B">
              <w:rPr>
                <w:rFonts w:ascii="Times New Roman" w:eastAsia="Times New Roman" w:hAnsi="Times New Roman" w:cs="Times New Roman"/>
                <w:sz w:val="26"/>
                <w:szCs w:val="26"/>
              </w:rPr>
              <w:t xml:space="preserve"> starpā, nodokļu maksātājam rodas administratīvais slogs, kura ietvaros tiek meklēti un analizēti salīdzināmie darījumi, tiek veikta funkcionālā analīze, vērtēts tirgus, kurā darbojas nodokļu maksātājs, </w:t>
            </w:r>
            <w:r w:rsidR="00F921E0" w:rsidRPr="00B1212B">
              <w:rPr>
                <w:rFonts w:ascii="Times New Roman" w:eastAsia="Times New Roman" w:hAnsi="Times New Roman" w:cs="Times New Roman"/>
                <w:sz w:val="26"/>
                <w:szCs w:val="26"/>
              </w:rPr>
              <w:t xml:space="preserve">tiek </w:t>
            </w:r>
            <w:r w:rsidR="006865AC" w:rsidRPr="00B1212B">
              <w:rPr>
                <w:rFonts w:ascii="Times New Roman" w:eastAsia="Times New Roman" w:hAnsi="Times New Roman" w:cs="Times New Roman"/>
                <w:sz w:val="26"/>
                <w:szCs w:val="26"/>
              </w:rPr>
              <w:t>piemērotas transfertcenu metodes u.c.</w:t>
            </w:r>
            <w:r w:rsidR="00535517" w:rsidRPr="00B1212B">
              <w:rPr>
                <w:rFonts w:ascii="Times New Roman" w:eastAsia="Times New Roman" w:hAnsi="Times New Roman" w:cs="Times New Roman"/>
                <w:sz w:val="26"/>
                <w:szCs w:val="26"/>
              </w:rPr>
              <w:t xml:space="preserve"> Šāda kārtība </w:t>
            </w:r>
            <w:r w:rsidR="001D765D" w:rsidRPr="00B1212B">
              <w:rPr>
                <w:rFonts w:ascii="Times New Roman" w:eastAsia="Times New Roman" w:hAnsi="Times New Roman" w:cs="Times New Roman"/>
                <w:sz w:val="26"/>
                <w:szCs w:val="26"/>
              </w:rPr>
              <w:t xml:space="preserve">šobrīd </w:t>
            </w:r>
            <w:r w:rsidR="00535517" w:rsidRPr="00B1212B">
              <w:rPr>
                <w:rFonts w:ascii="Times New Roman" w:eastAsia="Times New Roman" w:hAnsi="Times New Roman" w:cs="Times New Roman"/>
                <w:sz w:val="26"/>
                <w:szCs w:val="26"/>
              </w:rPr>
              <w:t>ir attiecināma uz jebkuru darījumu, neatkarī</w:t>
            </w:r>
            <w:r w:rsidR="00746568" w:rsidRPr="00B1212B">
              <w:rPr>
                <w:rFonts w:ascii="Times New Roman" w:eastAsia="Times New Roman" w:hAnsi="Times New Roman" w:cs="Times New Roman"/>
                <w:sz w:val="26"/>
                <w:szCs w:val="26"/>
              </w:rPr>
              <w:t>gi</w:t>
            </w:r>
            <w:r w:rsidR="00535517" w:rsidRPr="00B1212B">
              <w:rPr>
                <w:rFonts w:ascii="Times New Roman" w:eastAsia="Times New Roman" w:hAnsi="Times New Roman" w:cs="Times New Roman"/>
                <w:sz w:val="26"/>
                <w:szCs w:val="26"/>
              </w:rPr>
              <w:t xml:space="preserve"> no tā veida. Taču prakse </w:t>
            </w:r>
            <w:r w:rsidR="00D32913" w:rsidRPr="00B1212B">
              <w:rPr>
                <w:rFonts w:ascii="Times New Roman" w:eastAsia="Times New Roman" w:hAnsi="Times New Roman" w:cs="Times New Roman"/>
                <w:sz w:val="26"/>
                <w:szCs w:val="26"/>
              </w:rPr>
              <w:t>liecina, ka ir darījumu veidi, kuri rada zemāku risku, ka transfertcenas tiks izmantotas nodokļa bāzes nepamatotai pārnešanai uz teritoriju, kurā nodokļu slogs ir zemāks.</w:t>
            </w:r>
            <w:r w:rsidR="001D765D" w:rsidRPr="00B1212B">
              <w:rPr>
                <w:rFonts w:ascii="Times New Roman" w:eastAsia="Times New Roman" w:hAnsi="Times New Roman" w:cs="Times New Roman"/>
                <w:sz w:val="26"/>
                <w:szCs w:val="26"/>
              </w:rPr>
              <w:t xml:space="preserve"> Ievērojot minēto, būtu samērīgi šādos gadījumos samazināt nodokļu maksātājam administratīvo slogu līdz līmenim, kas nav augstāks par nepieciešam</w:t>
            </w:r>
            <w:r w:rsidR="009E155D">
              <w:rPr>
                <w:rFonts w:ascii="Times New Roman" w:eastAsia="Times New Roman" w:hAnsi="Times New Roman" w:cs="Times New Roman"/>
                <w:sz w:val="26"/>
                <w:szCs w:val="26"/>
              </w:rPr>
              <w:t>o</w:t>
            </w:r>
            <w:r w:rsidR="001D765D" w:rsidRPr="00B1212B">
              <w:rPr>
                <w:rFonts w:ascii="Times New Roman" w:eastAsia="Times New Roman" w:hAnsi="Times New Roman" w:cs="Times New Roman"/>
                <w:sz w:val="26"/>
                <w:szCs w:val="26"/>
              </w:rPr>
              <w:t xml:space="preserve"> leģitīma mērķa sasniegšanai. Turklāt, padarot atsevišķos gadījumos transfertcenu regulējumu vienkāršāku, tiek uzlabota arī tiesiskā noteiktība, jo parasti vienkāršāks regulējums rada mazāk iespēju to dažādi interpretēt.</w:t>
            </w:r>
          </w:p>
          <w:p w:rsidR="004B5C46" w:rsidRPr="00B1212B" w:rsidRDefault="001D765D"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Labākā starptautiskā prakse, kas apkopota</w:t>
            </w:r>
            <w:r w:rsidR="00221C53" w:rsidRPr="00B1212B">
              <w:rPr>
                <w:rFonts w:ascii="Times New Roman" w:eastAsia="Times New Roman" w:hAnsi="Times New Roman" w:cs="Times New Roman"/>
                <w:sz w:val="26"/>
                <w:szCs w:val="26"/>
              </w:rPr>
              <w:t xml:space="preserve"> Ekonomiskās Sadarbības un Attīstības Organizācijas</w:t>
            </w:r>
            <w:r w:rsidRPr="00B1212B">
              <w:rPr>
                <w:rFonts w:ascii="Times New Roman" w:eastAsia="Times New Roman" w:hAnsi="Times New Roman" w:cs="Times New Roman"/>
                <w:sz w:val="26"/>
                <w:szCs w:val="26"/>
              </w:rPr>
              <w:t xml:space="preserve"> dokumentā </w:t>
            </w:r>
            <w:r w:rsidR="009E155D">
              <w:rPr>
                <w:rFonts w:ascii="Times New Roman" w:eastAsia="Times New Roman" w:hAnsi="Times New Roman" w:cs="Times New Roman"/>
                <w:sz w:val="26"/>
                <w:szCs w:val="26"/>
              </w:rPr>
              <w:t>“</w:t>
            </w:r>
            <w:r w:rsidRPr="00B1212B">
              <w:rPr>
                <w:rFonts w:ascii="Times New Roman" w:eastAsia="Times New Roman" w:hAnsi="Times New Roman" w:cs="Times New Roman"/>
                <w:sz w:val="26"/>
                <w:szCs w:val="26"/>
              </w:rPr>
              <w:t>Transfertcenu noteikšanas vadlīnijas daudznacionāliem uzņēmumiem un nodokļu administrācijām</w:t>
            </w:r>
            <w:r w:rsidR="009E155D">
              <w:rPr>
                <w:rFonts w:ascii="Times New Roman" w:eastAsia="Times New Roman" w:hAnsi="Times New Roman" w:cs="Times New Roman"/>
                <w:sz w:val="26"/>
                <w:szCs w:val="26"/>
              </w:rPr>
              <w:t>”</w:t>
            </w:r>
            <w:r w:rsidR="0003018E" w:rsidRPr="00B1212B">
              <w:rPr>
                <w:rStyle w:val="FootnoteReference"/>
                <w:rFonts w:ascii="Times New Roman" w:eastAsia="Times New Roman" w:hAnsi="Times New Roman" w:cs="Times New Roman"/>
                <w:sz w:val="26"/>
                <w:szCs w:val="26"/>
              </w:rPr>
              <w:footnoteReference w:id="1"/>
            </w:r>
            <w:r w:rsidRPr="00B1212B">
              <w:rPr>
                <w:rFonts w:ascii="Times New Roman" w:eastAsia="Times New Roman" w:hAnsi="Times New Roman" w:cs="Times New Roman"/>
                <w:sz w:val="26"/>
                <w:szCs w:val="26"/>
              </w:rPr>
              <w:t xml:space="preserve"> (turpmāk – OECD Transfertcenu vadlīnijas), paredz iespēju </w:t>
            </w:r>
            <w:r w:rsidR="00A2176A" w:rsidRPr="00B1212B">
              <w:rPr>
                <w:rFonts w:ascii="Times New Roman" w:eastAsia="Times New Roman" w:hAnsi="Times New Roman" w:cs="Times New Roman"/>
                <w:sz w:val="26"/>
                <w:szCs w:val="26"/>
              </w:rPr>
              <w:t>noteikt</w:t>
            </w:r>
            <w:r w:rsidRPr="00B1212B">
              <w:rPr>
                <w:rFonts w:ascii="Times New Roman" w:eastAsia="Times New Roman" w:hAnsi="Times New Roman" w:cs="Times New Roman"/>
                <w:sz w:val="26"/>
                <w:szCs w:val="26"/>
              </w:rPr>
              <w:t xml:space="preserve"> transfertcenu zemas pievienotās vērtības pakalpojumiem</w:t>
            </w:r>
            <w:r w:rsidR="00A2176A" w:rsidRPr="00B1212B">
              <w:rPr>
                <w:rFonts w:ascii="Times New Roman" w:eastAsia="Times New Roman" w:hAnsi="Times New Roman" w:cs="Times New Roman"/>
                <w:sz w:val="26"/>
                <w:szCs w:val="26"/>
              </w:rPr>
              <w:t xml:space="preserve"> vienkāršotā kārtībā. </w:t>
            </w:r>
            <w:r w:rsidR="00EF4E28" w:rsidRPr="00B1212B">
              <w:rPr>
                <w:rFonts w:ascii="Times New Roman" w:eastAsia="Times New Roman" w:hAnsi="Times New Roman" w:cs="Times New Roman"/>
                <w:sz w:val="26"/>
                <w:szCs w:val="26"/>
              </w:rPr>
              <w:t xml:space="preserve">Paredzot šo praksi pārņemt arī Latvijā, </w:t>
            </w:r>
            <w:r w:rsidR="003A455A" w:rsidRPr="00B1212B">
              <w:rPr>
                <w:rFonts w:ascii="Times New Roman" w:eastAsia="Times New Roman" w:hAnsi="Times New Roman" w:cs="Times New Roman"/>
                <w:sz w:val="26"/>
                <w:szCs w:val="26"/>
              </w:rPr>
              <w:t>atbilstoši grozījumi iestrādāti likuma “Par nodokļiem un nodevām” 15.</w:t>
            </w:r>
            <w:r w:rsidR="003A455A" w:rsidRPr="00B1212B">
              <w:rPr>
                <w:rFonts w:ascii="Times New Roman" w:eastAsia="Times New Roman" w:hAnsi="Times New Roman" w:cs="Times New Roman"/>
                <w:sz w:val="26"/>
                <w:szCs w:val="26"/>
                <w:vertAlign w:val="superscript"/>
              </w:rPr>
              <w:t>2</w:t>
            </w:r>
            <w:r w:rsidR="003A455A" w:rsidRPr="00B1212B">
              <w:rPr>
                <w:rFonts w:ascii="Times New Roman" w:eastAsia="Times New Roman" w:hAnsi="Times New Roman" w:cs="Times New Roman"/>
                <w:sz w:val="26"/>
                <w:szCs w:val="26"/>
              </w:rPr>
              <w:t xml:space="preserve">panta </w:t>
            </w:r>
            <w:r w:rsidR="00BC3563" w:rsidRPr="00B1212B">
              <w:rPr>
                <w:rFonts w:ascii="Times New Roman" w:eastAsia="Times New Roman" w:hAnsi="Times New Roman" w:cs="Times New Roman"/>
                <w:sz w:val="26"/>
                <w:szCs w:val="26"/>
              </w:rPr>
              <w:t xml:space="preserve">divpadsmitajā </w:t>
            </w:r>
            <w:r w:rsidR="003A455A" w:rsidRPr="00B1212B">
              <w:rPr>
                <w:rFonts w:ascii="Times New Roman" w:eastAsia="Times New Roman" w:hAnsi="Times New Roman" w:cs="Times New Roman"/>
                <w:sz w:val="26"/>
                <w:szCs w:val="26"/>
              </w:rPr>
              <w:t xml:space="preserve">daļā (stājās spēkā </w:t>
            </w:r>
            <w:r w:rsidR="00BC3563" w:rsidRPr="00B1212B">
              <w:rPr>
                <w:rFonts w:ascii="Times New Roman" w:eastAsia="Times New Roman" w:hAnsi="Times New Roman" w:cs="Times New Roman"/>
                <w:sz w:val="26"/>
                <w:szCs w:val="26"/>
              </w:rPr>
              <w:t>2018.gada 28.novembrī</w:t>
            </w:r>
            <w:r w:rsidR="003A455A" w:rsidRPr="00B1212B">
              <w:rPr>
                <w:rFonts w:ascii="Times New Roman" w:eastAsia="Times New Roman" w:hAnsi="Times New Roman" w:cs="Times New Roman"/>
                <w:sz w:val="26"/>
                <w:szCs w:val="26"/>
              </w:rPr>
              <w:t xml:space="preserve">) un </w:t>
            </w:r>
            <w:r w:rsidR="006C2C8C">
              <w:rPr>
                <w:rFonts w:ascii="Times New Roman" w:eastAsia="Times New Roman" w:hAnsi="Times New Roman" w:cs="Times New Roman"/>
                <w:sz w:val="26"/>
                <w:szCs w:val="26"/>
              </w:rPr>
              <w:t>N</w:t>
            </w:r>
            <w:r w:rsidR="006C2C8C" w:rsidRPr="00B1212B">
              <w:rPr>
                <w:rFonts w:ascii="Times New Roman" w:eastAsia="Times New Roman" w:hAnsi="Times New Roman" w:cs="Times New Roman"/>
                <w:sz w:val="26"/>
                <w:szCs w:val="26"/>
              </w:rPr>
              <w:t xml:space="preserve">oteikumu </w:t>
            </w:r>
            <w:r w:rsidR="004E3AEA" w:rsidRPr="00B1212B">
              <w:rPr>
                <w:rFonts w:ascii="Times New Roman" w:eastAsia="Times New Roman" w:hAnsi="Times New Roman" w:cs="Times New Roman"/>
                <w:sz w:val="26"/>
                <w:szCs w:val="26"/>
              </w:rPr>
              <w:t xml:space="preserve">Nr.802 4.punktā. Abi minētie normatīvie akti nosaka prasības vienkāršotai transfertcenu dokumentācijai zemas pievienotās vērtības pakalpojumiem, vienlaikus paredzot, ka tās ir piemērojamas gadījumā, ja nodokļu normatīvajos aktos ir paredzēta vienkāršota transfertcenu noteikšanas kārtība. Ievērojot minēto, lai </w:t>
            </w:r>
            <w:r w:rsidR="00B63FF8" w:rsidRPr="00B1212B">
              <w:rPr>
                <w:rFonts w:ascii="Times New Roman" w:eastAsia="Times New Roman" w:hAnsi="Times New Roman" w:cs="Times New Roman"/>
                <w:sz w:val="26"/>
                <w:szCs w:val="26"/>
              </w:rPr>
              <w:t>nodrošinātu nodokļu maksātājiem iespēju piemērot vienkāršotu transfertcenu noteikšanu zemas pievienotās vērtības pakalpojumiem, tādējādi samazinot administratīvo slogu un veicinot tiesisko noteiktību, ir izstrādāts noteikumu projekts.</w:t>
            </w:r>
          </w:p>
          <w:p w:rsidR="00DF28FC" w:rsidRPr="00B1212B" w:rsidRDefault="00B63FF8"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Noteikumu projekts nosaka:</w:t>
            </w:r>
          </w:p>
          <w:p w:rsidR="00B63FF8" w:rsidRPr="00B1212B" w:rsidRDefault="00B63FF8" w:rsidP="00B63FF8">
            <w:pPr>
              <w:pStyle w:val="ListParagraph"/>
              <w:numPr>
                <w:ilvl w:val="0"/>
                <w:numId w:val="8"/>
              </w:numPr>
              <w:tabs>
                <w:tab w:val="left" w:pos="4455"/>
              </w:tabs>
              <w:spacing w:after="0" w:line="240" w:lineRule="auto"/>
              <w:jc w:val="both"/>
              <w:rPr>
                <w:rFonts w:ascii="Times New Roman" w:eastAsia="Times New Roman" w:hAnsi="Times New Roman" w:cs="Times New Roman"/>
                <w:sz w:val="26"/>
                <w:szCs w:val="26"/>
                <w:u w:val="single"/>
              </w:rPr>
            </w:pPr>
            <w:r w:rsidRPr="00B1212B">
              <w:rPr>
                <w:rFonts w:ascii="Times New Roman" w:eastAsia="Times New Roman" w:hAnsi="Times New Roman" w:cs="Times New Roman"/>
                <w:sz w:val="26"/>
                <w:szCs w:val="26"/>
                <w:u w:val="single"/>
              </w:rPr>
              <w:lastRenderedPageBreak/>
              <w:t>gadījumus, kuros nodokļu maksātājs ir tiesīgs izvēlēties un piemērot vienkāršotu transfertcenu noteikšanu zemas pievienotās vērtības pakalpojumiem;</w:t>
            </w:r>
          </w:p>
          <w:p w:rsidR="00874F8C" w:rsidRPr="00B1212B" w:rsidRDefault="00C3739D"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Nodokļu maksātājs ir tiesīgs izvēlēties piemērot vienkāršotu transfertcenu noteikšanu pakalpojumiem, kuri atbilst kritērijiem, kādi ir izvirzīti zemas pievienotās vērtības pakalpojumiem. </w:t>
            </w:r>
            <w:r w:rsidR="00874F8C" w:rsidRPr="00B1212B">
              <w:rPr>
                <w:rFonts w:ascii="Times New Roman" w:eastAsia="Times New Roman" w:hAnsi="Times New Roman" w:cs="Times New Roman"/>
                <w:sz w:val="26"/>
                <w:szCs w:val="26"/>
              </w:rPr>
              <w:t>Galvenie kritēriji (pazīmes), kuri raksturo zemas pievienotās vērtības pakalpojumus, ir:</w:t>
            </w:r>
          </w:p>
          <w:p w:rsidR="00874F8C" w:rsidRPr="00B1212B" w:rsidRDefault="00874F8C"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pakalpojumiem ir atbalsta </w:t>
            </w:r>
            <w:r w:rsidR="00E657AF" w:rsidRPr="00B1212B">
              <w:rPr>
                <w:rFonts w:ascii="Times New Roman" w:eastAsia="Times New Roman" w:hAnsi="Times New Roman" w:cs="Times New Roman"/>
                <w:sz w:val="26"/>
                <w:szCs w:val="26"/>
              </w:rPr>
              <w:t>funkcijas raksturs, tas ir, tie neveido daļu no starptautiskās uzņēmumu grupas pamatdarbības. Minētais neizslēdz gadījumu, ka pakalpojums veido pamatdarbību vienai starptautiskas uzņēmumu grupas komercsabiedrībai, kura attiecīgo atbalsta funkciju izpilda (sniedz pakalpojumu) citām saistītajām starptautiskās uzņēmumu grupas komercsabiedrībām;</w:t>
            </w:r>
          </w:p>
          <w:p w:rsidR="00E657AF" w:rsidRPr="00B1212B" w:rsidRDefault="00E657AF"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pakalpojumu nodrošināšanai nav nepieciešams izmantot unikālu un vērtīgu nemateriālo īpašumu, kā arī šāds nemateriālais īpašums nerodas pakalpojumu sniegšanas rezultātā. Šāda veida pakalpojumi parasti ir ar augstu pievienoto vērtību, kā arī var radīt salīdzinoši augstu transfertcenu risku;</w:t>
            </w:r>
          </w:p>
          <w:p w:rsidR="00E657AF" w:rsidRPr="00B1212B" w:rsidRDefault="00F6170F"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pakalpojumu sniedzējs saistībā ar pakalpojumu neuzņemas un nekontrolē būtiskus riskus, turklāt šo pakalpojumu sniegšanas rezultātā pakalpojumu sniedzējam šādi riski nerodas. Būtisku risku uzņemšanās un kontrole parasti saistīta ar augstu pievienoto vērtību.</w:t>
            </w:r>
          </w:p>
          <w:p w:rsidR="00B63FF8" w:rsidRPr="00B1212B" w:rsidRDefault="00C3739D"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Minētajiem kritērijiem visbiežāk atbilst tādi starptautiskās uzņēmumu grupas komercsabiedrību starpā atbalsta funkciju ietvaros sniegtie pakalpojumi, kā </w:t>
            </w:r>
            <w:r w:rsidR="007C71AB" w:rsidRPr="00B1212B">
              <w:rPr>
                <w:rFonts w:ascii="Times New Roman" w:eastAsia="Times New Roman" w:hAnsi="Times New Roman" w:cs="Times New Roman"/>
                <w:sz w:val="26"/>
                <w:szCs w:val="26"/>
              </w:rPr>
              <w:t>grāmatvedības</w:t>
            </w:r>
            <w:r w:rsidR="00F6170F" w:rsidRPr="00B1212B">
              <w:rPr>
                <w:rFonts w:ascii="Times New Roman" w:eastAsia="Times New Roman" w:hAnsi="Times New Roman" w:cs="Times New Roman"/>
                <w:sz w:val="26"/>
                <w:szCs w:val="26"/>
              </w:rPr>
              <w:t xml:space="preserve"> un revīzijas</w:t>
            </w:r>
            <w:r w:rsidR="007C71AB" w:rsidRPr="00B1212B">
              <w:rPr>
                <w:rFonts w:ascii="Times New Roman" w:eastAsia="Times New Roman" w:hAnsi="Times New Roman" w:cs="Times New Roman"/>
                <w:sz w:val="26"/>
                <w:szCs w:val="26"/>
              </w:rPr>
              <w:t xml:space="preserve"> pakalpojumi, juridiskie pakalpojumi, </w:t>
            </w:r>
            <w:r w:rsidR="00F6170F" w:rsidRPr="00B1212B">
              <w:rPr>
                <w:rFonts w:ascii="Times New Roman" w:eastAsia="Times New Roman" w:hAnsi="Times New Roman" w:cs="Times New Roman"/>
                <w:sz w:val="26"/>
                <w:szCs w:val="26"/>
              </w:rPr>
              <w:t>ar personālvadību saistīti pakalpojumi, ar interneta un telekomunikāciju pakalpojumiem saistītās atbalsta funkcijas</w:t>
            </w:r>
            <w:r w:rsidR="007C71AB" w:rsidRPr="00B1212B">
              <w:rPr>
                <w:rFonts w:ascii="Times New Roman" w:eastAsia="Times New Roman" w:hAnsi="Times New Roman" w:cs="Times New Roman"/>
                <w:sz w:val="26"/>
                <w:szCs w:val="26"/>
              </w:rPr>
              <w:t xml:space="preserve"> u.c.</w:t>
            </w:r>
          </w:p>
          <w:p w:rsidR="00DF28FC" w:rsidRPr="00B1212B" w:rsidRDefault="00D16613" w:rsidP="0041586B">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Vienlaikus noteikumu projektā ir paredzēts, ka regulējuma piemērošanas izvēles priekšnosac</w:t>
            </w:r>
            <w:r w:rsidR="00DF28FC" w:rsidRPr="00B1212B">
              <w:rPr>
                <w:rFonts w:ascii="Times New Roman" w:eastAsia="Times New Roman" w:hAnsi="Times New Roman" w:cs="Times New Roman"/>
                <w:sz w:val="26"/>
                <w:szCs w:val="26"/>
              </w:rPr>
              <w:t>ījumi ir:</w:t>
            </w:r>
          </w:p>
          <w:p w:rsidR="008E6734" w:rsidRPr="00B1212B" w:rsidRDefault="008E6734"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zemas pievienotās vērtības pakalpojumi dod to saņēmējam ekonomisko vai komerciālo labumu, uzlabojot minētā pakalpojuma saņēmēja komerciālās pozīcijas;</w:t>
            </w:r>
          </w:p>
          <w:p w:rsidR="00DF28FC" w:rsidRPr="00B1212B" w:rsidRDefault="00D16613"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zemas pievienotās vērtības pakalpojumu vienkāršotās transfertcenu noteikšanas kārtības konsekventa piemērošana visas starptautiskās grupas (cik to pieļauj normatīvie akti) ietvaros</w:t>
            </w:r>
            <w:r w:rsidR="00DF28FC" w:rsidRPr="00B1212B">
              <w:rPr>
                <w:rFonts w:ascii="Times New Roman" w:eastAsia="Times New Roman" w:hAnsi="Times New Roman" w:cs="Times New Roman"/>
                <w:sz w:val="26"/>
                <w:szCs w:val="26"/>
              </w:rPr>
              <w:t>;</w:t>
            </w:r>
          </w:p>
          <w:p w:rsidR="00D16613" w:rsidRPr="00B1212B" w:rsidRDefault="00DF28FC"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nodokļu normatīvajos aktos paredzētās vienkāršotās transfertcenu dokumentācijas sagatavošana;</w:t>
            </w:r>
          </w:p>
          <w:p w:rsidR="00DF28FC" w:rsidRPr="002B4A9F" w:rsidRDefault="00DF28FC" w:rsidP="002B4A9F">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salīdzināmo datu neesamība no iekšējiem salīdzināmajiem darījumiem (komercsabiedrība sniedz </w:t>
            </w:r>
            <w:r w:rsidRPr="00B1212B">
              <w:rPr>
                <w:rFonts w:ascii="Times New Roman" w:eastAsia="Times New Roman" w:hAnsi="Times New Roman" w:cs="Times New Roman"/>
                <w:sz w:val="26"/>
                <w:szCs w:val="26"/>
              </w:rPr>
              <w:lastRenderedPageBreak/>
              <w:t>zemas pievienotās vērtības pakalpojumus ne tikai saistītai komercsabiedrībai, bet arī neatkarīgai</w:t>
            </w:r>
            <w:r w:rsidR="00A215DE" w:rsidRPr="00B1212B">
              <w:rPr>
                <w:rFonts w:ascii="Times New Roman" w:eastAsia="Times New Roman" w:hAnsi="Times New Roman" w:cs="Times New Roman"/>
                <w:sz w:val="26"/>
                <w:szCs w:val="26"/>
              </w:rPr>
              <w:t xml:space="preserve"> komercsabiedrībai</w:t>
            </w:r>
            <w:r w:rsidRPr="00B1212B">
              <w:rPr>
                <w:rFonts w:ascii="Times New Roman" w:eastAsia="Times New Roman" w:hAnsi="Times New Roman" w:cs="Times New Roman"/>
                <w:sz w:val="26"/>
                <w:szCs w:val="26"/>
              </w:rPr>
              <w:t>).</w:t>
            </w:r>
          </w:p>
          <w:p w:rsidR="00B63FF8" w:rsidRPr="00B1212B" w:rsidRDefault="00B63FF8" w:rsidP="0041586B">
            <w:pPr>
              <w:pStyle w:val="ListParagraph"/>
              <w:keepNext/>
              <w:numPr>
                <w:ilvl w:val="0"/>
                <w:numId w:val="8"/>
              </w:numPr>
              <w:tabs>
                <w:tab w:val="left" w:pos="4455"/>
              </w:tabs>
              <w:spacing w:after="0" w:line="240" w:lineRule="auto"/>
              <w:ind w:left="714" w:hanging="357"/>
              <w:jc w:val="both"/>
              <w:rPr>
                <w:rFonts w:ascii="Times New Roman" w:eastAsia="Times New Roman" w:hAnsi="Times New Roman" w:cs="Times New Roman"/>
                <w:sz w:val="26"/>
                <w:szCs w:val="26"/>
                <w:u w:val="single"/>
              </w:rPr>
            </w:pPr>
            <w:r w:rsidRPr="00B1212B">
              <w:rPr>
                <w:rFonts w:ascii="Times New Roman" w:eastAsia="Times New Roman" w:hAnsi="Times New Roman" w:cs="Times New Roman"/>
                <w:sz w:val="26"/>
                <w:szCs w:val="26"/>
                <w:u w:val="single"/>
              </w:rPr>
              <w:t>ar nodokli apliekamā objekta noteikšanas kārtību zemas pievienotās vērtības pakalpojumiem;</w:t>
            </w:r>
          </w:p>
          <w:p w:rsidR="00AD27B0" w:rsidRPr="00B1212B" w:rsidRDefault="007C71AB" w:rsidP="00CF571D">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 xml:space="preserve">Ar nodokli apliekamais objekts, ņemot vērā uzņēmumu ienākuma nodokļa </w:t>
            </w:r>
            <w:r w:rsidR="00E33F0A">
              <w:rPr>
                <w:rFonts w:ascii="Times New Roman" w:eastAsia="Times New Roman" w:hAnsi="Times New Roman" w:cs="Times New Roman"/>
                <w:sz w:val="26"/>
                <w:szCs w:val="26"/>
              </w:rPr>
              <w:t xml:space="preserve">(turpmāk – UIN) </w:t>
            </w:r>
            <w:r w:rsidRPr="00B1212B">
              <w:rPr>
                <w:rFonts w:ascii="Times New Roman" w:eastAsia="Times New Roman" w:hAnsi="Times New Roman" w:cs="Times New Roman"/>
                <w:sz w:val="26"/>
                <w:szCs w:val="26"/>
              </w:rPr>
              <w:t>sistēmu, veidojas kā starpība starp faktisko darījuma cenu un zemas pievienotās vērtības pakalpojumu tirgus vērtību.</w:t>
            </w:r>
            <w:r w:rsidR="00AD27B0" w:rsidRPr="00B1212B">
              <w:rPr>
                <w:rFonts w:ascii="Times New Roman" w:eastAsia="Times New Roman" w:hAnsi="Times New Roman" w:cs="Times New Roman"/>
                <w:sz w:val="26"/>
                <w:szCs w:val="26"/>
              </w:rPr>
              <w:t xml:space="preserve"> Savukārt zemas pievienotās vērtības pakalpojumu tirgus vērtība tiek noteikta, ņemot vērā izdevumus, kas radušies</w:t>
            </w:r>
            <w:r w:rsidR="00127356" w:rsidRPr="00B1212B">
              <w:rPr>
                <w:rFonts w:ascii="Times New Roman" w:eastAsia="Times New Roman" w:hAnsi="Times New Roman" w:cs="Times New Roman"/>
                <w:sz w:val="26"/>
                <w:szCs w:val="26"/>
              </w:rPr>
              <w:t>,</w:t>
            </w:r>
            <w:r w:rsidR="00AD27B0" w:rsidRPr="00B1212B">
              <w:rPr>
                <w:rFonts w:ascii="Times New Roman" w:eastAsia="Times New Roman" w:hAnsi="Times New Roman" w:cs="Times New Roman"/>
                <w:sz w:val="26"/>
                <w:szCs w:val="26"/>
              </w:rPr>
              <w:t xml:space="preserve"> sniedzot minētos pakalpojumus, tiem pieskaitot 5 procentu uzcenojumu. Turklāt noteikumu projektā noteikti principi, pēc kuriem attiecīgie ar zemas pievienotās vērtības pakalpojumu sniegšanu vai saņemšanu saistītie izdevumi vai ienākumi tiek attiecināti (sadalīti) uz attiecīgajām starptautiskās uzņēmumu grupas komercsabiedrībām.</w:t>
            </w:r>
            <w:r w:rsidR="00C3341A" w:rsidRPr="00B1212B">
              <w:rPr>
                <w:rFonts w:ascii="Times New Roman" w:eastAsia="Times New Roman" w:hAnsi="Times New Roman" w:cs="Times New Roman"/>
                <w:sz w:val="26"/>
                <w:szCs w:val="26"/>
              </w:rPr>
              <w:t xml:space="preserve"> </w:t>
            </w:r>
            <w:r w:rsidR="00A43B01" w:rsidRPr="00B1212B">
              <w:rPr>
                <w:rFonts w:ascii="Times New Roman" w:eastAsia="Times New Roman" w:hAnsi="Times New Roman" w:cs="Times New Roman"/>
                <w:sz w:val="26"/>
                <w:szCs w:val="26"/>
              </w:rPr>
              <w:t>Ar zemas pievienotās vērtības pakalpojumu saistīto (pakalpojumu saņēmēju) izdevumu un (pakalpojumu sniedzēju) ienākumu attiecināšana balstās uz trim darbībām:</w:t>
            </w:r>
          </w:p>
          <w:p w:rsidR="00A43B01" w:rsidRPr="00B1212B" w:rsidRDefault="00A43B01"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pirmajā darbībā tiek saskaitīti visi visas starptautiskās uzņēmumu grupas zemas pievienotās vērtības pakalpojumu izdevumi sadalījumā pa veidiem;</w:t>
            </w:r>
          </w:p>
          <w:p w:rsidR="00A43B01" w:rsidRPr="00B1212B" w:rsidRDefault="00A43B01"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otrajā darbībā no pirmajā darbībā aprēķinātajiem izdevumiem atskaita tādus, kas saistīti ar pakalpojumu, kuru sniedza viens starptautiskās grupas uzņēmums otram (tikai viens pakalpojumu saņēmējs);</w:t>
            </w:r>
          </w:p>
          <w:p w:rsidR="00A43B01" w:rsidRPr="00B1212B" w:rsidRDefault="00A43B01" w:rsidP="00B1212B">
            <w:pPr>
              <w:pStyle w:val="ListParagraph"/>
              <w:numPr>
                <w:ilvl w:val="0"/>
                <w:numId w:val="10"/>
              </w:num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trešajā darbībā katram otrās darbības ietvaros iegūtam izdevumu kopuma pakalpojumu veidam tiek noteikts konkrētajam gadījumam atbilstošs izmaksu sadales kritērijs (piemēram, darbinieku skaits, darījumu skaits u.tml.), un tiek noteikts, uz kuru pakalpojumu saņēmēju</w:t>
            </w:r>
            <w:r w:rsidR="0005354A" w:rsidRPr="00B1212B">
              <w:rPr>
                <w:rFonts w:ascii="Times New Roman" w:eastAsia="Times New Roman" w:hAnsi="Times New Roman" w:cs="Times New Roman"/>
                <w:sz w:val="26"/>
                <w:szCs w:val="26"/>
              </w:rPr>
              <w:t xml:space="preserve"> ir attiecināma kāda daļa no izdevumu kopuma.</w:t>
            </w:r>
          </w:p>
          <w:p w:rsidR="0005354A" w:rsidRPr="00B1212B" w:rsidRDefault="0005354A" w:rsidP="0005354A">
            <w:pPr>
              <w:tabs>
                <w:tab w:val="left" w:pos="4455"/>
              </w:tabs>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Pēc tam, kad ir noteikts, kāda summa ir attiecināma uz katru zemas pievienotās vērtības pakalpojumu saņēmēju (gan izmantojot tiešo metodi, kad pakalpojuma veida sniegšanā un saņemšanā iesaistīti tikai divi uzņēmumi; gan izmantojot netiešo metodi, kad izmaksas tiek attiecinātas, ņemot vērā izmaksu sadales kritēriju atbilstoši iepriekšminētajai trešajai darbībai), attiecīgajiem izdevumiem tiek piemērots 5 procentu uzcenojums.</w:t>
            </w:r>
          </w:p>
          <w:p w:rsidR="002B4A9F" w:rsidRDefault="00AD27B0" w:rsidP="00301C3F">
            <w:pPr>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Noteikumu projektā ietvertais regulējums</w:t>
            </w:r>
            <w:r w:rsidR="00DA5802">
              <w:rPr>
                <w:rFonts w:ascii="Times New Roman" w:eastAsia="Times New Roman" w:hAnsi="Times New Roman" w:cs="Times New Roman"/>
                <w:sz w:val="26"/>
                <w:szCs w:val="26"/>
              </w:rPr>
              <w:t>, ņemot vērā likuma “Par nodokļiem un nodevām” pārejas noteikumu 214.punktu,</w:t>
            </w:r>
            <w:r w:rsidRPr="00B1212B">
              <w:rPr>
                <w:rFonts w:ascii="Times New Roman" w:eastAsia="Times New Roman" w:hAnsi="Times New Roman" w:cs="Times New Roman"/>
                <w:sz w:val="26"/>
                <w:szCs w:val="26"/>
              </w:rPr>
              <w:t xml:space="preserve"> būs attiecināms uz kontrolētiem darījumiem, kuri veikti</w:t>
            </w:r>
            <w:r w:rsidR="00DA5802">
              <w:rPr>
                <w:rFonts w:ascii="Times New Roman" w:eastAsia="Times New Roman" w:hAnsi="Times New Roman" w:cs="Times New Roman"/>
                <w:sz w:val="26"/>
                <w:szCs w:val="26"/>
              </w:rPr>
              <w:t xml:space="preserve"> gan pārskata periodos, kas bija pirms </w:t>
            </w:r>
            <w:r w:rsidR="00301C3F">
              <w:rPr>
                <w:rFonts w:ascii="Times New Roman" w:eastAsia="Times New Roman" w:hAnsi="Times New Roman" w:cs="Times New Roman"/>
                <w:sz w:val="26"/>
                <w:szCs w:val="26"/>
              </w:rPr>
              <w:t xml:space="preserve">konkrēto grozījumu </w:t>
            </w:r>
            <w:r w:rsidR="00DA5802">
              <w:rPr>
                <w:rFonts w:ascii="Times New Roman" w:eastAsia="Times New Roman" w:hAnsi="Times New Roman" w:cs="Times New Roman"/>
                <w:sz w:val="26"/>
                <w:szCs w:val="26"/>
              </w:rPr>
              <w:t>pieņemšanas, gan pēc</w:t>
            </w:r>
            <w:r w:rsidRPr="00B1212B">
              <w:rPr>
                <w:rFonts w:ascii="Times New Roman" w:eastAsia="Times New Roman" w:hAnsi="Times New Roman" w:cs="Times New Roman"/>
                <w:sz w:val="26"/>
                <w:szCs w:val="26"/>
              </w:rPr>
              <w:t xml:space="preserve"> </w:t>
            </w:r>
            <w:r w:rsidR="00301C3F">
              <w:rPr>
                <w:rFonts w:ascii="Times New Roman" w:eastAsia="Times New Roman" w:hAnsi="Times New Roman" w:cs="Times New Roman"/>
                <w:sz w:val="26"/>
                <w:szCs w:val="26"/>
              </w:rPr>
              <w:t>to</w:t>
            </w:r>
            <w:r w:rsidR="00DA5802">
              <w:rPr>
                <w:rFonts w:ascii="Times New Roman" w:eastAsia="Times New Roman" w:hAnsi="Times New Roman" w:cs="Times New Roman"/>
                <w:sz w:val="26"/>
                <w:szCs w:val="26"/>
              </w:rPr>
              <w:t xml:space="preserve"> pieņemšanas. </w:t>
            </w:r>
            <w:r w:rsidR="002B4A9F">
              <w:rPr>
                <w:rFonts w:ascii="Times New Roman" w:eastAsia="Times New Roman" w:hAnsi="Times New Roman" w:cs="Times New Roman"/>
                <w:sz w:val="26"/>
                <w:szCs w:val="26"/>
              </w:rPr>
              <w:t>Regulējuma piemērošana uz apstākļiem, kas radās pirms normas stāšanās spēkā</w:t>
            </w:r>
            <w:r w:rsidR="00E2163D">
              <w:rPr>
                <w:rFonts w:ascii="Times New Roman" w:eastAsia="Times New Roman" w:hAnsi="Times New Roman" w:cs="Times New Roman"/>
                <w:sz w:val="26"/>
                <w:szCs w:val="26"/>
              </w:rPr>
              <w:t>,</w:t>
            </w:r>
            <w:r w:rsidR="002B4A9F">
              <w:rPr>
                <w:rFonts w:ascii="Times New Roman" w:eastAsia="Times New Roman" w:hAnsi="Times New Roman" w:cs="Times New Roman"/>
                <w:sz w:val="26"/>
                <w:szCs w:val="26"/>
              </w:rPr>
              <w:t xml:space="preserve"> noteikta</w:t>
            </w:r>
            <w:r w:rsidR="00301C3F">
              <w:rPr>
                <w:rFonts w:ascii="Times New Roman" w:eastAsia="Times New Roman" w:hAnsi="Times New Roman" w:cs="Times New Roman"/>
                <w:sz w:val="26"/>
                <w:szCs w:val="26"/>
              </w:rPr>
              <w:t>,</w:t>
            </w:r>
            <w:r w:rsidR="002B4A9F">
              <w:rPr>
                <w:rFonts w:ascii="Times New Roman" w:eastAsia="Times New Roman" w:hAnsi="Times New Roman" w:cs="Times New Roman"/>
                <w:sz w:val="26"/>
                <w:szCs w:val="26"/>
              </w:rPr>
              <w:t xml:space="preserve"> </w:t>
            </w:r>
            <w:r w:rsidR="00E2163D">
              <w:rPr>
                <w:rFonts w:ascii="Times New Roman" w:eastAsia="Times New Roman" w:hAnsi="Times New Roman" w:cs="Times New Roman"/>
                <w:sz w:val="26"/>
                <w:szCs w:val="26"/>
              </w:rPr>
              <w:t>ņemot vērā</w:t>
            </w:r>
            <w:r w:rsidR="002B4A9F">
              <w:rPr>
                <w:rFonts w:ascii="Times New Roman" w:eastAsia="Times New Roman" w:hAnsi="Times New Roman" w:cs="Times New Roman"/>
                <w:sz w:val="26"/>
                <w:szCs w:val="26"/>
              </w:rPr>
              <w:t xml:space="preserve">, ka transfertcenu dokumentācijas, </w:t>
            </w:r>
            <w:r w:rsidR="002B4A9F">
              <w:rPr>
                <w:rFonts w:ascii="Times New Roman" w:eastAsia="Times New Roman" w:hAnsi="Times New Roman" w:cs="Times New Roman"/>
                <w:sz w:val="26"/>
                <w:szCs w:val="26"/>
              </w:rPr>
              <w:lastRenderedPageBreak/>
              <w:t>tajā skaitā, saistībā ar zemas pievienotās vērtības pakalpojumiem, sagatavošanas termiņš par 2018.pārskata periodu ir paredzēt</w:t>
            </w:r>
            <w:r w:rsidR="00E2163D">
              <w:rPr>
                <w:rFonts w:ascii="Times New Roman" w:eastAsia="Times New Roman" w:hAnsi="Times New Roman" w:cs="Times New Roman"/>
                <w:sz w:val="26"/>
                <w:szCs w:val="26"/>
              </w:rPr>
              <w:t>s</w:t>
            </w:r>
            <w:r w:rsidR="002B4A9F">
              <w:rPr>
                <w:rFonts w:ascii="Times New Roman" w:eastAsia="Times New Roman" w:hAnsi="Times New Roman" w:cs="Times New Roman"/>
                <w:sz w:val="26"/>
                <w:szCs w:val="26"/>
              </w:rPr>
              <w:t xml:space="preserve"> līdz 2019.gada beigām. Turklāt Noteikumu projektā ietvertais regulējums ir uzskatāms par labvēlīgu nodokļu maksātājam, un tā piemērošana ir atkarīga no nodokļu maksātāja izvēles piemērot vienkāršoto transfertcenas tirgus vērtības noteikšanas kārtību vispārējās kārtības vietā.</w:t>
            </w:r>
          </w:p>
          <w:p w:rsidR="007D57DC" w:rsidRPr="00843190" w:rsidRDefault="007D57DC" w:rsidP="007D57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 ietvertajiem skaidrojumiem attiecībā uz Uzņēmumu ienākuma nodokļa likuma normu piemērošanu.</w:t>
            </w:r>
          </w:p>
          <w:p w:rsidR="007D57DC" w:rsidRDefault="007D57DC" w:rsidP="007D57DC">
            <w:pPr>
              <w:pStyle w:val="ListParagraph"/>
              <w:numPr>
                <w:ilvl w:val="0"/>
                <w:numId w:val="10"/>
              </w:numPr>
              <w:spacing w:after="0" w:line="240" w:lineRule="auto"/>
              <w:ind w:left="0" w:firstLine="345"/>
              <w:jc w:val="both"/>
              <w:rPr>
                <w:rFonts w:ascii="Times New Roman" w:eastAsia="Times New Roman" w:hAnsi="Times New Roman" w:cs="Times New Roman"/>
                <w:sz w:val="26"/>
                <w:szCs w:val="26"/>
              </w:rPr>
            </w:pPr>
            <w:r w:rsidRPr="00E105B4">
              <w:rPr>
                <w:rFonts w:ascii="Times New Roman" w:eastAsia="Times New Roman" w:hAnsi="Times New Roman" w:cs="Times New Roman"/>
                <w:sz w:val="26"/>
                <w:szCs w:val="26"/>
              </w:rPr>
              <w:t>Ņemot vērā, ka nodokļa maksātāja aktīvi ir veidoti no peļņas, kura pirmstaksācijas periodos nav aplikta ar UIN (izņemto aizņemto kapitālu), tad nodokļu maksātājam jebkura aktīva nodošana bez atlīdzības ir uzskatāma par peļņas sadali un apliekama ar UIN. Minētais attiecināms arī uz gadījumiem, kad nodokļu maksātājs beidz maksāt UIN bez likvidācijas, piemēram, zemnieku saimniecība izvēlas kļūt par iedzīvotāju ienākuma nodokļa maksātāju. Lai nodrošinātu skaidru priekšstatu par UIN piemērošanu</w:t>
            </w:r>
            <w:r w:rsidR="00272A89">
              <w:rPr>
                <w:rFonts w:ascii="Times New Roman" w:eastAsia="Times New Roman" w:hAnsi="Times New Roman" w:cs="Times New Roman"/>
                <w:sz w:val="26"/>
                <w:szCs w:val="26"/>
              </w:rPr>
              <w:t>,</w:t>
            </w:r>
            <w:r w:rsidRPr="00E105B4">
              <w:rPr>
                <w:rFonts w:ascii="Times New Roman" w:eastAsia="Times New Roman" w:hAnsi="Times New Roman" w:cs="Times New Roman"/>
                <w:sz w:val="26"/>
                <w:szCs w:val="26"/>
              </w:rPr>
              <w:t xml:space="preserve"> mainot UIN maksātāja statusu, vai citādā veidā </w:t>
            </w:r>
            <w:r w:rsidRPr="00422912">
              <w:rPr>
                <w:rFonts w:ascii="Times New Roman" w:eastAsia="Times New Roman" w:hAnsi="Times New Roman" w:cs="Times New Roman"/>
                <w:sz w:val="26"/>
                <w:szCs w:val="26"/>
              </w:rPr>
              <w:t>beidz maksāt UIN</w:t>
            </w:r>
            <w:r w:rsidR="00272A89">
              <w:rPr>
                <w:rFonts w:ascii="Times New Roman" w:eastAsia="Times New Roman" w:hAnsi="Times New Roman" w:cs="Times New Roman"/>
                <w:sz w:val="26"/>
                <w:szCs w:val="26"/>
              </w:rPr>
              <w:t>,</w:t>
            </w:r>
            <w:r w:rsidRPr="00422912">
              <w:rPr>
                <w:rFonts w:ascii="Times New Roman" w:eastAsia="Times New Roman" w:hAnsi="Times New Roman" w:cs="Times New Roman"/>
                <w:sz w:val="26"/>
                <w:szCs w:val="26"/>
              </w:rPr>
              <w:t xml:space="preserve"> </w:t>
            </w:r>
            <w:r w:rsidRPr="00E105B4">
              <w:rPr>
                <w:rFonts w:ascii="Times New Roman" w:eastAsia="Times New Roman" w:hAnsi="Times New Roman" w:cs="Times New Roman"/>
                <w:sz w:val="26"/>
                <w:szCs w:val="26"/>
              </w:rPr>
              <w:t>neveicot reorganizāciju saskaņā ar Komerclikuma normām, noteikumu 20.</w:t>
            </w:r>
            <w:r w:rsidRPr="00E105B4">
              <w:rPr>
                <w:rFonts w:ascii="Times New Roman" w:eastAsia="Times New Roman" w:hAnsi="Times New Roman" w:cs="Times New Roman"/>
                <w:sz w:val="26"/>
                <w:szCs w:val="26"/>
                <w:vertAlign w:val="superscript"/>
              </w:rPr>
              <w:t>1</w:t>
            </w:r>
            <w:r w:rsidRPr="00E105B4">
              <w:rPr>
                <w:rFonts w:ascii="Times New Roman" w:eastAsia="Times New Roman" w:hAnsi="Times New Roman" w:cs="Times New Roman"/>
                <w:sz w:val="26"/>
                <w:szCs w:val="26"/>
              </w:rPr>
              <w:t>punkts atrunā pienākumu veikt UIN nomaksu.</w:t>
            </w:r>
            <w:r w:rsidRPr="00422912">
              <w:rPr>
                <w:rFonts w:ascii="Times New Roman" w:eastAsia="Times New Roman" w:hAnsi="Times New Roman" w:cs="Times New Roman"/>
                <w:sz w:val="26"/>
                <w:szCs w:val="26"/>
              </w:rPr>
              <w:t xml:space="preserve"> </w:t>
            </w:r>
          </w:p>
          <w:p w:rsidR="007D57DC" w:rsidRPr="00422912" w:rsidRDefault="007D57DC" w:rsidP="007D57DC">
            <w:pPr>
              <w:pStyle w:val="ListParagraph"/>
              <w:spacing w:after="0" w:line="240" w:lineRule="auto"/>
              <w:ind w:left="0" w:firstLine="345"/>
              <w:jc w:val="both"/>
              <w:rPr>
                <w:rFonts w:ascii="Times New Roman" w:eastAsia="Times New Roman" w:hAnsi="Times New Roman" w:cs="Times New Roman"/>
                <w:sz w:val="26"/>
                <w:szCs w:val="26"/>
              </w:rPr>
            </w:pPr>
            <w:r w:rsidRPr="00422912">
              <w:rPr>
                <w:rFonts w:ascii="Times New Roman" w:eastAsia="Times New Roman" w:hAnsi="Times New Roman" w:cs="Times New Roman"/>
                <w:sz w:val="26"/>
                <w:szCs w:val="26"/>
              </w:rPr>
              <w:t>- Noteikumi tiek papildināti ar skaidrojumiem (noteikumu 58.</w:t>
            </w:r>
            <w:r w:rsidRPr="00E105B4">
              <w:rPr>
                <w:rFonts w:ascii="Times New Roman" w:eastAsia="Times New Roman" w:hAnsi="Times New Roman" w:cs="Times New Roman"/>
                <w:sz w:val="26"/>
                <w:szCs w:val="26"/>
                <w:vertAlign w:val="superscript"/>
              </w:rPr>
              <w:t>1</w:t>
            </w:r>
            <w:r w:rsidRPr="00422912">
              <w:rPr>
                <w:rFonts w:ascii="Times New Roman" w:eastAsia="Times New Roman" w:hAnsi="Times New Roman" w:cs="Times New Roman"/>
                <w:sz w:val="26"/>
                <w:szCs w:val="26"/>
              </w:rPr>
              <w:t xml:space="preserve"> punkts) attiecībā uz izdevumiem, kuri nevar tikt uzskatīti par saimnieciskās darbības izdevumiem</w:t>
            </w:r>
            <w:r w:rsidR="00272A89">
              <w:rPr>
                <w:rFonts w:ascii="Times New Roman" w:eastAsia="Times New Roman" w:hAnsi="Times New Roman" w:cs="Times New Roman"/>
                <w:sz w:val="26"/>
                <w:szCs w:val="26"/>
              </w:rPr>
              <w:t>,</w:t>
            </w:r>
            <w:r w:rsidRPr="00422912">
              <w:rPr>
                <w:rFonts w:ascii="Times New Roman" w:eastAsia="Times New Roman" w:hAnsi="Times New Roman" w:cs="Times New Roman"/>
                <w:sz w:val="26"/>
                <w:szCs w:val="26"/>
              </w:rPr>
              <w:t xml:space="preserve"> ņemot vērā darījumu ekonomisko būtību. Vispārējā gadījumā procentu maksājumi par saņemtu aizņēmumu aktīvu iegādei ir saimnieciskās darbības izdevumi. Savukārt procentu maksājumi par saņemtu aizņēmumu savu aktīvu iegādei nevar tikt attiecināti uz saimnieciskās darbības izdevumiem. UIN piemērošanai par savu aktīvu iegādi ir uzskatām</w:t>
            </w:r>
            <w:r w:rsidR="00272A89">
              <w:rPr>
                <w:rFonts w:ascii="Times New Roman" w:eastAsia="Times New Roman" w:hAnsi="Times New Roman" w:cs="Times New Roman"/>
                <w:sz w:val="26"/>
                <w:szCs w:val="26"/>
              </w:rPr>
              <w:t>a</w:t>
            </w:r>
            <w:r w:rsidRPr="00422912">
              <w:rPr>
                <w:rFonts w:ascii="Times New Roman" w:eastAsia="Times New Roman" w:hAnsi="Times New Roman" w:cs="Times New Roman"/>
                <w:sz w:val="26"/>
                <w:szCs w:val="26"/>
              </w:rPr>
              <w:t xml:space="preserve"> uzņēmuma pievienošana uzņēmumam, kura aktīvu iegādei tika saņemts aizņēmums. Minētais skaidrojums attiecināms arī uz tādiem gadījumiem, kur nodokļu maksātājs izveido jaunu uzņēmumu aizdevuma saņemšanai tāda uzņēmuma kapitāla daļu iegādei, kuru pēc tā kapitāldaļu iegādes pievieno jaunizveidotajam uzņēmumam.  </w:t>
            </w:r>
          </w:p>
          <w:p w:rsidR="007D57DC" w:rsidRPr="00843190" w:rsidRDefault="007D57DC" w:rsidP="00902150">
            <w:pPr>
              <w:spacing w:after="0" w:line="240" w:lineRule="auto"/>
              <w:ind w:firstLine="34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72A89">
              <w:rPr>
                <w:rFonts w:ascii="Times New Roman" w:eastAsia="Times New Roman" w:hAnsi="Times New Roman" w:cs="Times New Roman"/>
                <w:sz w:val="26"/>
                <w:szCs w:val="26"/>
              </w:rPr>
              <w:t xml:space="preserve"> </w:t>
            </w:r>
            <w:r w:rsidRPr="00843190">
              <w:rPr>
                <w:rFonts w:ascii="Times New Roman" w:eastAsia="Times New Roman" w:hAnsi="Times New Roman" w:cs="Times New Roman"/>
                <w:sz w:val="26"/>
                <w:szCs w:val="26"/>
              </w:rPr>
              <w:t>Sākot ar 2018.gada 1.janvāri</w:t>
            </w:r>
            <w:r w:rsidR="00272A89">
              <w:rPr>
                <w:rFonts w:ascii="Times New Roman" w:eastAsia="Times New Roman" w:hAnsi="Times New Roman" w:cs="Times New Roman"/>
                <w:sz w:val="26"/>
                <w:szCs w:val="26"/>
              </w:rPr>
              <w:t>,</w:t>
            </w:r>
            <w:r w:rsidRPr="00843190">
              <w:rPr>
                <w:rFonts w:ascii="Times New Roman" w:eastAsia="Times New Roman" w:hAnsi="Times New Roman" w:cs="Times New Roman"/>
                <w:sz w:val="26"/>
                <w:szCs w:val="26"/>
              </w:rPr>
              <w:t xml:space="preserve"> stājās spēkā jaunais UIN modelis, kas veidots, lai veicinātu uzņēmumus veikt pēc iespējas lielākas investīcijas uzņēmuma attīstībai. Izveidojot vai uzturot teritoriju, kurā tiek veikta uzņēmējdarbība, nodokļu maksātājam jāizpilda noteiktas prasības izveidot vai sakārtot publisk</w:t>
            </w:r>
            <w:r w:rsidR="00272A89">
              <w:rPr>
                <w:rFonts w:ascii="Times New Roman" w:eastAsia="Times New Roman" w:hAnsi="Times New Roman" w:cs="Times New Roman"/>
                <w:sz w:val="26"/>
                <w:szCs w:val="26"/>
              </w:rPr>
              <w:t>o</w:t>
            </w:r>
            <w:r w:rsidRPr="00843190">
              <w:rPr>
                <w:rFonts w:ascii="Times New Roman" w:eastAsia="Times New Roman" w:hAnsi="Times New Roman" w:cs="Times New Roman"/>
                <w:sz w:val="26"/>
                <w:szCs w:val="26"/>
              </w:rPr>
              <w:t xml:space="preserve"> infrastruktūru, kura atrodas uz uzņēmumam piederošajai teritorijai pieguļošās valsts vai pašvaldības īpašumā esošas teritorijas</w:t>
            </w:r>
            <w:r w:rsidR="00896AF7">
              <w:rPr>
                <w:rFonts w:ascii="Times New Roman" w:eastAsia="Times New Roman" w:hAnsi="Times New Roman" w:cs="Times New Roman"/>
                <w:sz w:val="26"/>
                <w:szCs w:val="26"/>
              </w:rPr>
              <w:t>.</w:t>
            </w:r>
            <w:r w:rsidRPr="00843190">
              <w:rPr>
                <w:rFonts w:ascii="Times New Roman" w:eastAsia="Times New Roman" w:hAnsi="Times New Roman" w:cs="Times New Roman"/>
                <w:sz w:val="26"/>
                <w:szCs w:val="26"/>
              </w:rPr>
              <w:t>.  Noteikumu 58.</w:t>
            </w:r>
            <w:r w:rsidRPr="00E105B4">
              <w:rPr>
                <w:rFonts w:ascii="Times New Roman" w:eastAsia="Times New Roman" w:hAnsi="Times New Roman" w:cs="Times New Roman"/>
                <w:sz w:val="26"/>
                <w:szCs w:val="26"/>
                <w:vertAlign w:val="superscript"/>
              </w:rPr>
              <w:t>3</w:t>
            </w:r>
            <w:r w:rsidRPr="00843190">
              <w:rPr>
                <w:rFonts w:ascii="Times New Roman" w:eastAsia="Times New Roman" w:hAnsi="Times New Roman" w:cs="Times New Roman"/>
                <w:sz w:val="26"/>
                <w:szCs w:val="26"/>
              </w:rPr>
              <w:t xml:space="preserve"> punktā tiek atrunāti nosacījumi attiecībā uz izdevumiem, kas veikti valsts vai pašvaldībai piederošajās teritorij</w:t>
            </w:r>
            <w:r w:rsidR="00272A89">
              <w:rPr>
                <w:rFonts w:ascii="Times New Roman" w:eastAsia="Times New Roman" w:hAnsi="Times New Roman" w:cs="Times New Roman"/>
                <w:sz w:val="26"/>
                <w:szCs w:val="26"/>
              </w:rPr>
              <w:t>ā</w:t>
            </w:r>
            <w:r w:rsidRPr="00843190">
              <w:rPr>
                <w:rFonts w:ascii="Times New Roman" w:eastAsia="Times New Roman" w:hAnsi="Times New Roman" w:cs="Times New Roman"/>
                <w:sz w:val="26"/>
                <w:szCs w:val="26"/>
              </w:rPr>
              <w:t xml:space="preserve">s publiskās infrastruktūras izveidošanai vai </w:t>
            </w:r>
            <w:r>
              <w:rPr>
                <w:rFonts w:ascii="Times New Roman" w:eastAsia="Times New Roman" w:hAnsi="Times New Roman" w:cs="Times New Roman"/>
                <w:sz w:val="26"/>
                <w:szCs w:val="26"/>
              </w:rPr>
              <w:t xml:space="preserve">tās </w:t>
            </w:r>
            <w:r w:rsidRPr="00843190">
              <w:rPr>
                <w:rFonts w:ascii="Times New Roman" w:eastAsia="Times New Roman" w:hAnsi="Times New Roman" w:cs="Times New Roman"/>
                <w:sz w:val="26"/>
                <w:szCs w:val="26"/>
              </w:rPr>
              <w:t>sakārtošanai, kuriem izpildoties</w:t>
            </w:r>
            <w:r w:rsidR="00272A89">
              <w:rPr>
                <w:rFonts w:ascii="Times New Roman" w:eastAsia="Times New Roman" w:hAnsi="Times New Roman" w:cs="Times New Roman"/>
                <w:sz w:val="26"/>
                <w:szCs w:val="26"/>
              </w:rPr>
              <w:t>,</w:t>
            </w:r>
            <w:r w:rsidRPr="00843190">
              <w:rPr>
                <w:rFonts w:ascii="Times New Roman" w:eastAsia="Times New Roman" w:hAnsi="Times New Roman" w:cs="Times New Roman"/>
                <w:sz w:val="26"/>
                <w:szCs w:val="26"/>
              </w:rPr>
              <w:t xml:space="preserve"> nodokļu maksātājam būtu tiesības ar UIN </w:t>
            </w:r>
            <w:r w:rsidRPr="00843190">
              <w:rPr>
                <w:rFonts w:ascii="Times New Roman" w:eastAsia="Times New Roman" w:hAnsi="Times New Roman" w:cs="Times New Roman"/>
                <w:sz w:val="26"/>
                <w:szCs w:val="26"/>
              </w:rPr>
              <w:lastRenderedPageBreak/>
              <w:t>apliekamajā bāzē neiekļaut minētos izdevumus</w:t>
            </w:r>
            <w:r>
              <w:rPr>
                <w:rFonts w:ascii="Times New Roman" w:eastAsia="Times New Roman" w:hAnsi="Times New Roman" w:cs="Times New Roman"/>
                <w:sz w:val="26"/>
                <w:szCs w:val="26"/>
              </w:rPr>
              <w:t xml:space="preserve"> par darījumiem, kas noslēgti</w:t>
            </w:r>
            <w:r w:rsidR="00272A8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sākot ar 2018.gada 1.janvāri</w:t>
            </w:r>
            <w:r w:rsidRPr="00843190">
              <w:rPr>
                <w:rFonts w:ascii="Times New Roman" w:eastAsia="Times New Roman" w:hAnsi="Times New Roman" w:cs="Times New Roman"/>
                <w:sz w:val="26"/>
                <w:szCs w:val="26"/>
              </w:rPr>
              <w:t>. Kā galvenais nosacījums tiek noteikts, ka vienlaicīgi veiktajiem ieguldījumiem jābūt atspoguļotiem pašvaldības grāmatvedības uzskaitē, lai nodrošinātu skaidru un pārredzamu pašvaldības īpašumā esošo īpašumu uzskaiti un to uzturēšanu</w:t>
            </w:r>
            <w:r w:rsidR="00272A89">
              <w:rPr>
                <w:rFonts w:ascii="Times New Roman" w:eastAsia="Times New Roman" w:hAnsi="Times New Roman" w:cs="Times New Roman"/>
                <w:sz w:val="26"/>
                <w:szCs w:val="26"/>
              </w:rPr>
              <w:t>,</w:t>
            </w:r>
            <w:r w:rsidRPr="00843190">
              <w:rPr>
                <w:rFonts w:ascii="Times New Roman" w:eastAsia="Times New Roman" w:hAnsi="Times New Roman" w:cs="Times New Roman"/>
                <w:sz w:val="26"/>
                <w:szCs w:val="26"/>
              </w:rPr>
              <w:t xml:space="preserve"> plānojot valsts un pašvaldību budžetu. </w:t>
            </w:r>
          </w:p>
          <w:p w:rsidR="00843190" w:rsidRPr="00B1212B" w:rsidRDefault="007D57DC" w:rsidP="00D432B6">
            <w:pPr>
              <w:tabs>
                <w:tab w:val="left" w:pos="622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Pr="00843190">
              <w:rPr>
                <w:rFonts w:ascii="Times New Roman" w:eastAsia="Times New Roman" w:hAnsi="Times New Roman" w:cs="Times New Roman"/>
                <w:sz w:val="26"/>
                <w:szCs w:val="26"/>
              </w:rPr>
              <w:t xml:space="preserve">Valsts atbalstu nav tiesības piešķirt noteiktām nozarēm. Lai novērstu situāciju, ka valsts atbalstu (UIN atlaidi) saņem par neatbalstāmu darbību, noteikumu 119.punktā tiek atrunāts, ka nodokļu maksātājam, nodrošinot dalītu grāmatvedības uzskaiti, UIN atlaidi par veiktajām investīcijām  speciālajā ekonomiskajā zonā </w:t>
            </w:r>
            <w:r>
              <w:rPr>
                <w:rFonts w:ascii="Times New Roman" w:eastAsia="Times New Roman" w:hAnsi="Times New Roman" w:cs="Times New Roman"/>
                <w:sz w:val="26"/>
                <w:szCs w:val="26"/>
              </w:rPr>
              <w:t xml:space="preserve">vai brīvostā </w:t>
            </w:r>
            <w:r w:rsidRPr="00843190">
              <w:rPr>
                <w:rFonts w:ascii="Times New Roman" w:eastAsia="Times New Roman" w:hAnsi="Times New Roman" w:cs="Times New Roman"/>
                <w:sz w:val="26"/>
                <w:szCs w:val="26"/>
              </w:rPr>
              <w:t xml:space="preserve">ir tiesības piemērot tikai tai UIN daļai, kas aprēķināta par </w:t>
            </w:r>
            <w:r>
              <w:rPr>
                <w:rFonts w:ascii="Times New Roman" w:eastAsia="Times New Roman" w:hAnsi="Times New Roman" w:cs="Times New Roman"/>
                <w:sz w:val="26"/>
                <w:szCs w:val="26"/>
              </w:rPr>
              <w:t>aprēķinātajām dividendēm</w:t>
            </w:r>
            <w:r w:rsidR="00272A8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43190">
              <w:rPr>
                <w:rFonts w:ascii="Times New Roman" w:eastAsia="Times New Roman" w:hAnsi="Times New Roman" w:cs="Times New Roman"/>
                <w:sz w:val="26"/>
                <w:szCs w:val="26"/>
              </w:rPr>
              <w:t>sadalo</w:t>
            </w:r>
            <w:r>
              <w:rPr>
                <w:rFonts w:ascii="Times New Roman" w:eastAsia="Times New Roman" w:hAnsi="Times New Roman" w:cs="Times New Roman"/>
                <w:sz w:val="26"/>
                <w:szCs w:val="26"/>
              </w:rPr>
              <w:t>t</w:t>
            </w:r>
            <w:r w:rsidRPr="00843190">
              <w:rPr>
                <w:rFonts w:ascii="Times New Roman" w:eastAsia="Times New Roman" w:hAnsi="Times New Roman" w:cs="Times New Roman"/>
                <w:sz w:val="26"/>
                <w:szCs w:val="26"/>
              </w:rPr>
              <w:t xml:space="preserve"> peļņas</w:t>
            </w:r>
            <w:r>
              <w:rPr>
                <w:rFonts w:ascii="Times New Roman" w:eastAsia="Times New Roman" w:hAnsi="Times New Roman" w:cs="Times New Roman"/>
                <w:sz w:val="26"/>
                <w:szCs w:val="26"/>
              </w:rPr>
              <w:t xml:space="preserve"> daļu</w:t>
            </w:r>
            <w:r w:rsidRPr="00843190">
              <w:rPr>
                <w:rFonts w:ascii="Times New Roman" w:eastAsia="Times New Roman" w:hAnsi="Times New Roman" w:cs="Times New Roman"/>
                <w:sz w:val="26"/>
                <w:szCs w:val="26"/>
              </w:rPr>
              <w:t>, kura gūta no tādas saimnieciskās darbības</w:t>
            </w:r>
            <w:r w:rsidR="00272A89">
              <w:rPr>
                <w:rFonts w:ascii="Times New Roman" w:eastAsia="Times New Roman" w:hAnsi="Times New Roman" w:cs="Times New Roman"/>
                <w:sz w:val="26"/>
                <w:szCs w:val="26"/>
              </w:rPr>
              <w:t>,</w:t>
            </w:r>
            <w:r w:rsidRPr="00843190">
              <w:rPr>
                <w:rFonts w:ascii="Times New Roman" w:eastAsia="Times New Roman" w:hAnsi="Times New Roman" w:cs="Times New Roman"/>
                <w:sz w:val="26"/>
                <w:szCs w:val="26"/>
              </w:rPr>
              <w:t xml:space="preserve"> par kuru speciālās ekonomiskās zonas </w:t>
            </w:r>
            <w:r>
              <w:rPr>
                <w:rFonts w:ascii="Times New Roman" w:eastAsia="Times New Roman" w:hAnsi="Times New Roman" w:cs="Times New Roman"/>
                <w:sz w:val="26"/>
                <w:szCs w:val="26"/>
              </w:rPr>
              <w:t xml:space="preserve">vai brīvostas </w:t>
            </w:r>
            <w:r w:rsidRPr="00843190">
              <w:rPr>
                <w:rFonts w:ascii="Times New Roman" w:eastAsia="Times New Roman" w:hAnsi="Times New Roman" w:cs="Times New Roman"/>
                <w:sz w:val="26"/>
                <w:szCs w:val="26"/>
              </w:rPr>
              <w:t>pārvalde izsniegusi atļauju piemērot tiešo nodokļu atvieglojumus.</w:t>
            </w:r>
          </w:p>
        </w:tc>
      </w:tr>
      <w:tr w:rsidR="0091261F" w:rsidRPr="00B1212B" w:rsidTr="00D432B6">
        <w:tc>
          <w:tcPr>
            <w:tcW w:w="30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lastRenderedPageBreak/>
              <w:t>3.</w:t>
            </w:r>
          </w:p>
        </w:tc>
        <w:tc>
          <w:tcPr>
            <w:tcW w:w="1098"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rsidR="00543AA6" w:rsidRPr="00B1212B" w:rsidRDefault="00A75770" w:rsidP="00081A5D">
            <w:pPr>
              <w:spacing w:after="0" w:line="240" w:lineRule="auto"/>
              <w:jc w:val="both"/>
              <w:rPr>
                <w:rFonts w:ascii="Times New Roman" w:eastAsia="Times New Roman" w:hAnsi="Times New Roman" w:cs="Times New Roman"/>
                <w:i/>
                <w:sz w:val="28"/>
                <w:szCs w:val="28"/>
                <w:lang w:eastAsia="lv-LV"/>
              </w:rPr>
            </w:pPr>
            <w:r w:rsidRPr="00B1212B">
              <w:rPr>
                <w:rFonts w:ascii="Times New Roman" w:eastAsia="Times New Roman" w:hAnsi="Times New Roman" w:cs="Times New Roman"/>
                <w:sz w:val="26"/>
                <w:szCs w:val="26"/>
                <w:lang w:eastAsia="lv-LV"/>
              </w:rPr>
              <w:t>Finanšu ministrija</w:t>
            </w:r>
            <w:r w:rsidR="00A56125" w:rsidRPr="00B1212B">
              <w:rPr>
                <w:rFonts w:ascii="Times New Roman" w:eastAsia="Times New Roman" w:hAnsi="Times New Roman" w:cs="Times New Roman"/>
                <w:sz w:val="26"/>
                <w:szCs w:val="26"/>
                <w:lang w:eastAsia="lv-LV"/>
              </w:rPr>
              <w:t xml:space="preserve"> un </w:t>
            </w:r>
            <w:r w:rsidR="002B4A9F">
              <w:rPr>
                <w:rFonts w:ascii="Times New Roman" w:eastAsia="Times New Roman" w:hAnsi="Times New Roman" w:cs="Times New Roman"/>
                <w:sz w:val="26"/>
                <w:szCs w:val="26"/>
                <w:lang w:eastAsia="lv-LV"/>
              </w:rPr>
              <w:t>Valsts ieņēmumu dienests</w:t>
            </w:r>
            <w:r w:rsidRPr="00B1212B">
              <w:rPr>
                <w:rFonts w:ascii="Times New Roman" w:eastAsia="Times New Roman" w:hAnsi="Times New Roman" w:cs="Times New Roman"/>
                <w:sz w:val="26"/>
                <w:szCs w:val="26"/>
                <w:lang w:eastAsia="lv-LV"/>
              </w:rPr>
              <w:t>.</w:t>
            </w:r>
          </w:p>
          <w:p w:rsidR="00543AA6" w:rsidRPr="00B1212B" w:rsidRDefault="00543AA6" w:rsidP="00081A5D">
            <w:pPr>
              <w:spacing w:after="0" w:line="240" w:lineRule="auto"/>
              <w:jc w:val="both"/>
              <w:rPr>
                <w:rFonts w:ascii="Times New Roman" w:eastAsia="Times New Roman" w:hAnsi="Times New Roman" w:cs="Times New Roman"/>
                <w:i/>
                <w:sz w:val="28"/>
                <w:szCs w:val="28"/>
                <w:lang w:eastAsia="lv-LV"/>
              </w:rPr>
            </w:pPr>
          </w:p>
        </w:tc>
      </w:tr>
      <w:tr w:rsidR="00543AA6" w:rsidRPr="00B1212B" w:rsidTr="00D432B6">
        <w:tc>
          <w:tcPr>
            <w:tcW w:w="30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4.</w:t>
            </w:r>
          </w:p>
        </w:tc>
        <w:tc>
          <w:tcPr>
            <w:tcW w:w="1098"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rsidR="00F23AF5" w:rsidRPr="00B1212B" w:rsidRDefault="006C2C8C" w:rsidP="00F23AF5">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543AA6" w:rsidRPr="00B1212B"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195"/>
        <w:gridCol w:w="6290"/>
      </w:tblGrid>
      <w:tr w:rsidR="0091261F" w:rsidRPr="00B1212B"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1261F"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Sabiedrības mērķgrupas,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CF571D" w:rsidP="00127356">
            <w:pPr>
              <w:spacing w:after="0" w:line="24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6"/>
                <w:szCs w:val="26"/>
                <w:lang w:eastAsia="lv-LV"/>
              </w:rPr>
              <w:t xml:space="preserve">Noteikumu projektā ietvertie grozījumi transfertcenu </w:t>
            </w:r>
            <w:r w:rsidR="0041586B" w:rsidRPr="00B1212B">
              <w:rPr>
                <w:rFonts w:ascii="Times New Roman" w:eastAsia="Times New Roman" w:hAnsi="Times New Roman" w:cs="Times New Roman"/>
                <w:sz w:val="26"/>
                <w:szCs w:val="26"/>
                <w:lang w:eastAsia="lv-LV"/>
              </w:rPr>
              <w:t xml:space="preserve">noteikšanas kārtībā </w:t>
            </w:r>
            <w:r w:rsidRPr="00B1212B">
              <w:rPr>
                <w:rFonts w:ascii="Times New Roman" w:eastAsia="Times New Roman" w:hAnsi="Times New Roman" w:cs="Times New Roman"/>
                <w:sz w:val="26"/>
                <w:szCs w:val="26"/>
                <w:lang w:eastAsia="lv-LV"/>
              </w:rPr>
              <w:t xml:space="preserve">attieksies galvenokārt uz </w:t>
            </w:r>
            <w:r w:rsidR="00127356" w:rsidRPr="00B1212B">
              <w:rPr>
                <w:rFonts w:ascii="Times New Roman" w:eastAsia="Times New Roman" w:hAnsi="Times New Roman" w:cs="Times New Roman"/>
                <w:sz w:val="26"/>
                <w:szCs w:val="26"/>
                <w:lang w:eastAsia="lv-LV"/>
              </w:rPr>
              <w:t>komercsabiedrībām</w:t>
            </w:r>
            <w:r w:rsidRPr="00B1212B">
              <w:rPr>
                <w:rFonts w:ascii="Times New Roman" w:eastAsia="Times New Roman" w:hAnsi="Times New Roman" w:cs="Times New Roman"/>
                <w:sz w:val="26"/>
                <w:szCs w:val="26"/>
                <w:lang w:eastAsia="lv-LV"/>
              </w:rPr>
              <w:t>, kur</w:t>
            </w:r>
            <w:r w:rsidR="00127356" w:rsidRPr="00B1212B">
              <w:rPr>
                <w:rFonts w:ascii="Times New Roman" w:eastAsia="Times New Roman" w:hAnsi="Times New Roman" w:cs="Times New Roman"/>
                <w:sz w:val="26"/>
                <w:szCs w:val="26"/>
                <w:lang w:eastAsia="lv-LV"/>
              </w:rPr>
              <w:t>as</w:t>
            </w:r>
            <w:r w:rsidRPr="00B1212B">
              <w:rPr>
                <w:rFonts w:ascii="Times New Roman" w:eastAsia="Times New Roman" w:hAnsi="Times New Roman" w:cs="Times New Roman"/>
                <w:sz w:val="26"/>
                <w:szCs w:val="26"/>
                <w:lang w:eastAsia="lv-LV"/>
              </w:rPr>
              <w:t xml:space="preserve"> ietilpst starptautiskajā uzņēmumu grupā un veic darījumus ar to grupā esošaj</w:t>
            </w:r>
            <w:r w:rsidR="00127356" w:rsidRPr="00B1212B">
              <w:rPr>
                <w:rFonts w:ascii="Times New Roman" w:eastAsia="Times New Roman" w:hAnsi="Times New Roman" w:cs="Times New Roman"/>
                <w:sz w:val="26"/>
                <w:szCs w:val="26"/>
                <w:lang w:eastAsia="lv-LV"/>
              </w:rPr>
              <w:t>ām</w:t>
            </w:r>
            <w:r w:rsidRPr="00B1212B">
              <w:rPr>
                <w:rFonts w:ascii="Times New Roman" w:eastAsia="Times New Roman" w:hAnsi="Times New Roman" w:cs="Times New Roman"/>
                <w:sz w:val="26"/>
                <w:szCs w:val="26"/>
                <w:lang w:eastAsia="lv-LV"/>
              </w:rPr>
              <w:t xml:space="preserve"> </w:t>
            </w:r>
            <w:r w:rsidR="00127356" w:rsidRPr="00B1212B">
              <w:rPr>
                <w:rFonts w:ascii="Times New Roman" w:eastAsia="Times New Roman" w:hAnsi="Times New Roman" w:cs="Times New Roman"/>
                <w:sz w:val="26"/>
                <w:szCs w:val="26"/>
                <w:lang w:eastAsia="lv-LV"/>
              </w:rPr>
              <w:t xml:space="preserve">saistītajām </w:t>
            </w:r>
            <w:r w:rsidRPr="00B1212B">
              <w:rPr>
                <w:rFonts w:ascii="Times New Roman" w:eastAsia="Times New Roman" w:hAnsi="Times New Roman" w:cs="Times New Roman"/>
                <w:sz w:val="26"/>
                <w:szCs w:val="26"/>
                <w:lang w:eastAsia="lv-LV"/>
              </w:rPr>
              <w:t xml:space="preserve">ārvalstu </w:t>
            </w:r>
            <w:r w:rsidR="00127356" w:rsidRPr="00B1212B">
              <w:rPr>
                <w:rFonts w:ascii="Times New Roman" w:eastAsia="Times New Roman" w:hAnsi="Times New Roman" w:cs="Times New Roman"/>
                <w:sz w:val="26"/>
                <w:szCs w:val="26"/>
                <w:lang w:eastAsia="lv-LV"/>
              </w:rPr>
              <w:t>komercsabiedrībām</w:t>
            </w:r>
            <w:r w:rsidRPr="00B1212B">
              <w:rPr>
                <w:rFonts w:ascii="Times New Roman" w:eastAsia="Times New Roman" w:hAnsi="Times New Roman" w:cs="Times New Roman"/>
                <w:sz w:val="26"/>
                <w:szCs w:val="26"/>
                <w:lang w:eastAsia="lv-LV"/>
              </w:rPr>
              <w:t>.</w:t>
            </w:r>
          </w:p>
        </w:tc>
      </w:tr>
      <w:tr w:rsidR="0091261F"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8"/>
                <w:szCs w:val="28"/>
                <w:lang w:eastAsia="lv-LV"/>
              </w:rPr>
              <w:t>2.</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rsidR="00B06618" w:rsidRDefault="0041586B" w:rsidP="00B06618">
            <w:pPr>
              <w:spacing w:after="0" w:line="240" w:lineRule="auto"/>
              <w:jc w:val="both"/>
              <w:rPr>
                <w:rFonts w:ascii="Times New Roman" w:eastAsia="Times New Roman" w:hAnsi="Times New Roman" w:cs="Times New Roman"/>
                <w:sz w:val="26"/>
                <w:szCs w:val="26"/>
              </w:rPr>
            </w:pPr>
            <w:r w:rsidRPr="00B1212B">
              <w:rPr>
                <w:rFonts w:ascii="Times New Roman" w:eastAsia="Times New Roman" w:hAnsi="Times New Roman" w:cs="Times New Roman"/>
                <w:sz w:val="26"/>
                <w:szCs w:val="26"/>
              </w:rPr>
              <w:t>Noteikumu projekta mērķis samazināt administratīvo slogo nodokļu maksātājiem. Vienkāršotā transfertcenu noteikšanas kārtība, atšķirībā</w:t>
            </w:r>
            <w:r w:rsidR="00127356" w:rsidRPr="00B1212B">
              <w:rPr>
                <w:rFonts w:ascii="Times New Roman" w:eastAsia="Times New Roman" w:hAnsi="Times New Roman" w:cs="Times New Roman"/>
                <w:sz w:val="26"/>
                <w:szCs w:val="26"/>
              </w:rPr>
              <w:t xml:space="preserve"> no</w:t>
            </w:r>
            <w:r w:rsidRPr="00B1212B">
              <w:rPr>
                <w:rFonts w:ascii="Times New Roman" w:eastAsia="Times New Roman" w:hAnsi="Times New Roman" w:cs="Times New Roman"/>
                <w:sz w:val="26"/>
                <w:szCs w:val="26"/>
              </w:rPr>
              <w:t xml:space="preserve"> vispārējās kārtības, neparedz salīdzināmo darījumu vai komercsabiedrību finanšu datu izmantošanu; tāpat nav nepieciešams veikt funkcionālo analīzi, piemērot transfertcenu metodes, kā arī veikt vairākas citas darbības.</w:t>
            </w:r>
          </w:p>
          <w:p w:rsidR="00E33F0A" w:rsidRPr="00B1212B" w:rsidRDefault="00E33F0A" w:rsidP="00B0661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6"/>
                <w:szCs w:val="26"/>
              </w:rPr>
              <w:t xml:space="preserve">Noteikumu projektā ietvertie Uzņēmumu ienākuma nodokļa likuma skaidrojumi neietekmēs administratīvo slogu, jo noteikumu projekts tiek papildināts tikai ar tādiem skaidrojumiem, kuri jau ir sniegti nodokļu maksātājiem, bet papildus tiek iekļauti </w:t>
            </w:r>
            <w:r w:rsidR="008A551A">
              <w:rPr>
                <w:rFonts w:ascii="Times New Roman" w:eastAsia="Times New Roman" w:hAnsi="Times New Roman" w:cs="Times New Roman"/>
                <w:sz w:val="26"/>
                <w:szCs w:val="26"/>
              </w:rPr>
              <w:t xml:space="preserve">noteikumos </w:t>
            </w:r>
            <w:r>
              <w:rPr>
                <w:rFonts w:ascii="Times New Roman" w:eastAsia="Times New Roman" w:hAnsi="Times New Roman" w:cs="Times New Roman"/>
                <w:sz w:val="26"/>
                <w:szCs w:val="26"/>
              </w:rPr>
              <w:t>to vienveidīgai piemērošanai.</w:t>
            </w:r>
          </w:p>
        </w:tc>
      </w:tr>
      <w:tr w:rsidR="0091261F"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lastRenderedPageBreak/>
              <w:t>3.</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CF571D" w:rsidP="00702575">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Projekts šo jomu neskar.</w:t>
            </w:r>
          </w:p>
        </w:tc>
      </w:tr>
      <w:tr w:rsidR="0091261F"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4.</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DA5802" w:rsidP="00CF571D">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r w:rsidRPr="00B1212B">
              <w:rPr>
                <w:rFonts w:ascii="Times New Roman" w:eastAsia="Times New Roman" w:hAnsi="Times New Roman" w:cs="Times New Roman"/>
                <w:sz w:val="26"/>
                <w:szCs w:val="26"/>
                <w:lang w:eastAsia="lv-LV"/>
              </w:rPr>
              <w:t xml:space="preserve"> </w:t>
            </w:r>
          </w:p>
        </w:tc>
      </w:tr>
      <w:tr w:rsidR="00543AA6" w:rsidRPr="00B1212B"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5.</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DE1373"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Nav</w:t>
            </w:r>
          </w:p>
        </w:tc>
      </w:tr>
    </w:tbl>
    <w:p w:rsidR="00543AA6" w:rsidRPr="00B1212B"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B1212B"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III. Tiesību akta projekta ietekme uz valsts budžetu un pašvaldību budžetiem</w:t>
            </w:r>
          </w:p>
        </w:tc>
      </w:tr>
      <w:tr w:rsidR="00726825" w:rsidRPr="00B1212B"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šo jomu neskar</w:t>
            </w:r>
          </w:p>
        </w:tc>
      </w:tr>
    </w:tbl>
    <w:p w:rsidR="00A873E8" w:rsidRPr="00B1212B" w:rsidRDefault="00A873E8"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B1212B"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IV. Tiesību akta projekta ietekme uz spēkā esošo tiesību normu sistēmu</w:t>
            </w:r>
          </w:p>
        </w:tc>
      </w:tr>
      <w:tr w:rsidR="00726825" w:rsidRPr="00B1212B"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šo jomu neskar</w:t>
            </w:r>
          </w:p>
        </w:tc>
      </w:tr>
    </w:tbl>
    <w:p w:rsidR="00A873E8" w:rsidRPr="00B1212B" w:rsidRDefault="00A873E8"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B1212B"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1212B">
              <w:rPr>
                <w:rFonts w:ascii="Times New Roman" w:eastAsia="Times New Roman" w:hAnsi="Times New Roman" w:cs="Times New Roman"/>
                <w:b/>
                <w:bCs/>
                <w:sz w:val="26"/>
                <w:szCs w:val="26"/>
                <w:lang w:eastAsia="lv-LV"/>
              </w:rPr>
              <w:t>V. Tiesību akta projekta atbilstība Latvijas Republikas starptautiskajām saistībām</w:t>
            </w:r>
          </w:p>
        </w:tc>
      </w:tr>
      <w:tr w:rsidR="00726825" w:rsidRPr="00B1212B"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726825" w:rsidRPr="00B1212B"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1212B">
              <w:rPr>
                <w:rFonts w:ascii="Times New Roman" w:eastAsia="Times New Roman" w:hAnsi="Times New Roman" w:cs="Times New Roman"/>
                <w:bCs/>
                <w:sz w:val="26"/>
                <w:szCs w:val="26"/>
                <w:lang w:eastAsia="lv-LV"/>
              </w:rPr>
              <w:t>Noteikumu projekts šo jomu neskar</w:t>
            </w:r>
          </w:p>
        </w:tc>
      </w:tr>
    </w:tbl>
    <w:p w:rsidR="00726825" w:rsidRPr="00B1212B" w:rsidRDefault="00726825" w:rsidP="00543AA6">
      <w:pPr>
        <w:spacing w:after="0" w:line="240" w:lineRule="auto"/>
        <w:rPr>
          <w:rFonts w:ascii="Times New Roman" w:eastAsia="Times New Roman" w:hAnsi="Times New Roman" w:cs="Times New Roman"/>
          <w:sz w:val="28"/>
          <w:szCs w:val="28"/>
          <w:lang w:eastAsia="lv-LV"/>
        </w:rPr>
      </w:pPr>
    </w:p>
    <w:tbl>
      <w:tblPr>
        <w:tblW w:w="0" w:type="auto"/>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01"/>
        <w:gridCol w:w="6384"/>
      </w:tblGrid>
      <w:tr w:rsidR="0091261F" w:rsidRPr="00B1212B" w:rsidTr="0090215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B1212B">
              <w:rPr>
                <w:rFonts w:ascii="Times New Roman" w:eastAsia="Times New Roman" w:hAnsi="Times New Roman" w:cs="Times New Roman"/>
                <w:b/>
                <w:bCs/>
                <w:sz w:val="26"/>
                <w:szCs w:val="28"/>
                <w:lang w:eastAsia="lv-LV"/>
              </w:rPr>
              <w:t>VI. Sabiedrības līdzdalība un komunikācijas aktivitātes</w:t>
            </w:r>
          </w:p>
        </w:tc>
      </w:tr>
      <w:tr w:rsidR="00A873E8" w:rsidRPr="00B1212B" w:rsidTr="00902150">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Plānotās sabiedrības līdzdalības un komunikācijas aktivitātes saistībā ar projektu</w:t>
            </w:r>
          </w:p>
        </w:tc>
        <w:tc>
          <w:tcPr>
            <w:tcW w:w="0" w:type="auto"/>
            <w:tcBorders>
              <w:top w:val="outset" w:sz="6" w:space="0" w:color="414142"/>
              <w:left w:val="outset" w:sz="6" w:space="0" w:color="414142"/>
              <w:bottom w:val="outset" w:sz="6" w:space="0" w:color="414142"/>
              <w:right w:val="outset" w:sz="6" w:space="0" w:color="414142"/>
            </w:tcBorders>
            <w:hideMark/>
          </w:tcPr>
          <w:p w:rsidR="0098296A" w:rsidRPr="00B1212B" w:rsidRDefault="0098296A" w:rsidP="00404A62">
            <w:pPr>
              <w:spacing w:after="0" w:line="240" w:lineRule="auto"/>
              <w:ind w:right="110"/>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 xml:space="preserve">Informācija par projekta izstrādi </w:t>
            </w:r>
            <w:r w:rsidR="00D432B6">
              <w:rPr>
                <w:rFonts w:ascii="Times New Roman" w:eastAsia="Times New Roman" w:hAnsi="Times New Roman" w:cs="Times New Roman"/>
                <w:sz w:val="26"/>
                <w:szCs w:val="26"/>
                <w:lang w:eastAsia="lv-LV"/>
              </w:rPr>
              <w:t xml:space="preserve">2018.gada 17.septembrī </w:t>
            </w:r>
            <w:r w:rsidR="00E2163D">
              <w:rPr>
                <w:rFonts w:ascii="Times New Roman" w:eastAsia="Times New Roman" w:hAnsi="Times New Roman" w:cs="Times New Roman"/>
                <w:sz w:val="26"/>
                <w:szCs w:val="26"/>
                <w:lang w:eastAsia="lv-LV"/>
              </w:rPr>
              <w:t>t</w:t>
            </w:r>
            <w:r w:rsidR="00E2163D" w:rsidRPr="00B1212B">
              <w:rPr>
                <w:rFonts w:ascii="Times New Roman" w:eastAsia="Times New Roman" w:hAnsi="Times New Roman" w:cs="Times New Roman"/>
                <w:sz w:val="26"/>
                <w:szCs w:val="26"/>
                <w:lang w:eastAsia="lv-LV"/>
              </w:rPr>
              <w:t>i</w:t>
            </w:r>
            <w:r w:rsidR="00E2163D">
              <w:rPr>
                <w:rFonts w:ascii="Times New Roman" w:eastAsia="Times New Roman" w:hAnsi="Times New Roman" w:cs="Times New Roman"/>
                <w:sz w:val="26"/>
                <w:szCs w:val="26"/>
                <w:lang w:eastAsia="lv-LV"/>
              </w:rPr>
              <w:t>ka</w:t>
            </w:r>
            <w:r w:rsidR="00D432B6">
              <w:rPr>
                <w:rFonts w:ascii="Times New Roman" w:eastAsia="Times New Roman" w:hAnsi="Times New Roman" w:cs="Times New Roman"/>
                <w:sz w:val="26"/>
                <w:szCs w:val="26"/>
                <w:lang w:eastAsia="lv-LV"/>
              </w:rPr>
              <w:t xml:space="preserve"> </w:t>
            </w:r>
            <w:r w:rsidRPr="00B1212B">
              <w:rPr>
                <w:rFonts w:ascii="Times New Roman" w:eastAsia="Times New Roman" w:hAnsi="Times New Roman" w:cs="Times New Roman"/>
                <w:sz w:val="26"/>
                <w:szCs w:val="26"/>
                <w:lang w:eastAsia="lv-LV"/>
              </w:rPr>
              <w:t>publicēta Finanšu ministrijas tīmekļvietnē sadaļā “Sabiedrības līdzdalība” – “Tiesību aktu projekti” – “Nodokļu politika”</w:t>
            </w:r>
            <w:r w:rsidR="00902150">
              <w:rPr>
                <w:rStyle w:val="FootnoteReference"/>
                <w:rFonts w:ascii="Times New Roman" w:eastAsia="Times New Roman" w:hAnsi="Times New Roman" w:cs="Times New Roman"/>
                <w:sz w:val="26"/>
                <w:szCs w:val="26"/>
                <w:lang w:eastAsia="lv-LV"/>
              </w:rPr>
              <w:footnoteReference w:id="2"/>
            </w:r>
            <w:r w:rsidRPr="00B1212B">
              <w:rPr>
                <w:rFonts w:ascii="Times New Roman" w:eastAsia="Times New Roman" w:hAnsi="Times New Roman" w:cs="Times New Roman"/>
                <w:sz w:val="26"/>
                <w:szCs w:val="26"/>
                <w:lang w:eastAsia="lv-LV"/>
              </w:rPr>
              <w:t>. Līdz ar to sabiedrības pārstāvji varēja līdzdarboties projekta izstrādē, rakstveidā sniedzot viedokļus par projektu.</w:t>
            </w:r>
          </w:p>
          <w:p w:rsidR="00543AA6" w:rsidRPr="00B1212B" w:rsidRDefault="007E1A7F" w:rsidP="00404A62">
            <w:pPr>
              <w:spacing w:after="0" w:line="240" w:lineRule="auto"/>
              <w:ind w:right="110"/>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6"/>
                <w:szCs w:val="26"/>
                <w:lang w:eastAsia="lv-LV"/>
              </w:rPr>
              <w:t>Pirms noteikumu projekta izstrādes saistībā ar nepieciešamību veikt grozījumus transfertcenu tiesiskajā regulējumā tika rīkotas publiskas konsultācijas. To ietvaros vairākas institūcijas (tajā skaitā biedrības, nodokļu konsultāciju uzņēmumi u.c.) sniedza viedokli, ka būtu jāpārskata transfertcenu dokumentācijas prasības, tās saskaņojot ar veiktajiem grozījumiem OECD Transfertcenu vadlīnijās.</w:t>
            </w:r>
          </w:p>
        </w:tc>
      </w:tr>
      <w:tr w:rsidR="00A873E8" w:rsidRPr="00B1212B" w:rsidTr="00902150">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2.</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Sabiedrības līdzdalība projekta izstrādē</w:t>
            </w:r>
          </w:p>
        </w:tc>
        <w:tc>
          <w:tcPr>
            <w:tcW w:w="0" w:type="auto"/>
            <w:tcBorders>
              <w:top w:val="outset" w:sz="6" w:space="0" w:color="414142"/>
              <w:left w:val="outset" w:sz="6" w:space="0" w:color="414142"/>
              <w:bottom w:val="outset" w:sz="6" w:space="0" w:color="414142"/>
              <w:right w:val="outset" w:sz="6" w:space="0" w:color="414142"/>
            </w:tcBorders>
            <w:hideMark/>
          </w:tcPr>
          <w:p w:rsidR="00A522FB" w:rsidRPr="00B1212B" w:rsidRDefault="00E2163D" w:rsidP="00301C3F">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4126F1">
              <w:rPr>
                <w:rFonts w:ascii="Times New Roman" w:eastAsia="Times New Roman" w:hAnsi="Times New Roman" w:cs="Times New Roman"/>
                <w:sz w:val="26"/>
                <w:szCs w:val="26"/>
                <w:lang w:eastAsia="lv-LV"/>
              </w:rPr>
              <w:t xml:space="preserve">Noteikumu projekts </w:t>
            </w:r>
            <w:r w:rsidR="00765828">
              <w:rPr>
                <w:rFonts w:ascii="Times New Roman" w:eastAsia="Times New Roman" w:hAnsi="Times New Roman" w:cs="Times New Roman"/>
                <w:sz w:val="26"/>
                <w:szCs w:val="26"/>
                <w:lang w:eastAsia="lv-LV"/>
              </w:rPr>
              <w:t xml:space="preserve">tā izstrādes laikā tika nosūtīts komercsabiedrībām, kuras sniedz konsultācijas transfertcenu jomā. Priekšlikumus noteikumu projekta uzlabošanai sniedza </w:t>
            </w:r>
            <w:r w:rsidR="00301C3F" w:rsidRPr="00765828">
              <w:rPr>
                <w:rFonts w:ascii="Times New Roman" w:eastAsia="Times New Roman" w:hAnsi="Times New Roman" w:cs="Times New Roman"/>
                <w:sz w:val="26"/>
                <w:szCs w:val="26"/>
                <w:lang w:eastAsia="lv-LV"/>
              </w:rPr>
              <w:t xml:space="preserve">SIA </w:t>
            </w:r>
            <w:r w:rsidR="00301C3F">
              <w:rPr>
                <w:rFonts w:ascii="Times New Roman" w:eastAsia="Times New Roman" w:hAnsi="Times New Roman" w:cs="Times New Roman"/>
                <w:sz w:val="26"/>
                <w:szCs w:val="26"/>
                <w:lang w:eastAsia="lv-LV"/>
              </w:rPr>
              <w:t>“</w:t>
            </w:r>
            <w:r w:rsidR="00765828" w:rsidRPr="00765828">
              <w:rPr>
                <w:rFonts w:ascii="Times New Roman" w:eastAsia="Times New Roman" w:hAnsi="Times New Roman" w:cs="Times New Roman"/>
                <w:sz w:val="26"/>
                <w:szCs w:val="26"/>
                <w:lang w:eastAsia="lv-LV"/>
              </w:rPr>
              <w:t>KPMG Baltics</w:t>
            </w:r>
            <w:r w:rsidR="00301C3F">
              <w:rPr>
                <w:rFonts w:ascii="Times New Roman" w:eastAsia="Times New Roman" w:hAnsi="Times New Roman" w:cs="Times New Roman"/>
                <w:sz w:val="26"/>
                <w:szCs w:val="26"/>
                <w:lang w:eastAsia="lv-LV"/>
              </w:rPr>
              <w:t>”</w:t>
            </w:r>
            <w:r w:rsidR="00765828">
              <w:rPr>
                <w:rFonts w:ascii="Times New Roman" w:eastAsia="Times New Roman" w:hAnsi="Times New Roman" w:cs="Times New Roman"/>
                <w:sz w:val="26"/>
                <w:szCs w:val="26"/>
                <w:lang w:eastAsia="lv-LV"/>
              </w:rPr>
              <w:t xml:space="preserve">, </w:t>
            </w:r>
            <w:r w:rsidR="00301C3F" w:rsidRPr="00765828">
              <w:rPr>
                <w:rFonts w:ascii="Times New Roman" w:eastAsia="Times New Roman" w:hAnsi="Times New Roman" w:cs="Times New Roman"/>
                <w:sz w:val="26"/>
                <w:szCs w:val="26"/>
                <w:lang w:eastAsia="lv-LV"/>
              </w:rPr>
              <w:t xml:space="preserve">SIA </w:t>
            </w:r>
            <w:r w:rsidR="00301C3F">
              <w:rPr>
                <w:rFonts w:ascii="Times New Roman" w:eastAsia="Times New Roman" w:hAnsi="Times New Roman" w:cs="Times New Roman"/>
                <w:sz w:val="26"/>
                <w:szCs w:val="26"/>
                <w:lang w:eastAsia="lv-LV"/>
              </w:rPr>
              <w:t>“</w:t>
            </w:r>
            <w:r w:rsidR="00765828" w:rsidRPr="00765828">
              <w:rPr>
                <w:rFonts w:ascii="Times New Roman" w:eastAsia="Times New Roman" w:hAnsi="Times New Roman" w:cs="Times New Roman"/>
                <w:sz w:val="26"/>
                <w:szCs w:val="26"/>
                <w:lang w:eastAsia="lv-LV"/>
              </w:rPr>
              <w:t>PricewaterhouseCoopers</w:t>
            </w:r>
            <w:r w:rsidR="00301C3F">
              <w:rPr>
                <w:rFonts w:ascii="Times New Roman" w:eastAsia="Times New Roman" w:hAnsi="Times New Roman" w:cs="Times New Roman"/>
                <w:sz w:val="26"/>
                <w:szCs w:val="26"/>
                <w:lang w:eastAsia="lv-LV"/>
              </w:rPr>
              <w:t>”</w:t>
            </w:r>
            <w:r w:rsidR="00765828">
              <w:rPr>
                <w:rFonts w:ascii="Times New Roman" w:eastAsia="Times New Roman" w:hAnsi="Times New Roman" w:cs="Times New Roman"/>
                <w:sz w:val="26"/>
                <w:szCs w:val="26"/>
                <w:lang w:eastAsia="lv-LV"/>
              </w:rPr>
              <w:t xml:space="preserve">, </w:t>
            </w:r>
            <w:r w:rsidR="00301C3F">
              <w:rPr>
                <w:rFonts w:ascii="Times New Roman" w:eastAsia="Times New Roman" w:hAnsi="Times New Roman" w:cs="Times New Roman"/>
                <w:sz w:val="26"/>
                <w:szCs w:val="26"/>
                <w:lang w:eastAsia="lv-LV"/>
              </w:rPr>
              <w:t>SIA</w:t>
            </w:r>
            <w:r w:rsidR="00301C3F" w:rsidRPr="00765828">
              <w:rPr>
                <w:rFonts w:ascii="Times New Roman" w:eastAsia="Times New Roman" w:hAnsi="Times New Roman" w:cs="Times New Roman"/>
                <w:sz w:val="26"/>
                <w:szCs w:val="26"/>
                <w:lang w:eastAsia="lv-LV"/>
              </w:rPr>
              <w:t xml:space="preserve"> </w:t>
            </w:r>
            <w:r w:rsidR="00301C3F">
              <w:rPr>
                <w:rFonts w:ascii="Times New Roman" w:eastAsia="Times New Roman" w:hAnsi="Times New Roman" w:cs="Times New Roman"/>
                <w:sz w:val="26"/>
                <w:szCs w:val="26"/>
                <w:lang w:eastAsia="lv-LV"/>
              </w:rPr>
              <w:t>“</w:t>
            </w:r>
            <w:r w:rsidR="00765828" w:rsidRPr="00765828">
              <w:rPr>
                <w:rFonts w:ascii="Times New Roman" w:eastAsia="Times New Roman" w:hAnsi="Times New Roman" w:cs="Times New Roman"/>
                <w:sz w:val="26"/>
                <w:szCs w:val="26"/>
                <w:lang w:eastAsia="lv-LV"/>
              </w:rPr>
              <w:t>Deloitte Latvia</w:t>
            </w:r>
            <w:r w:rsidR="00301C3F">
              <w:rPr>
                <w:rFonts w:ascii="Times New Roman" w:eastAsia="Times New Roman" w:hAnsi="Times New Roman" w:cs="Times New Roman"/>
                <w:sz w:val="26"/>
                <w:szCs w:val="26"/>
                <w:lang w:eastAsia="lv-LV"/>
              </w:rPr>
              <w:t>”</w:t>
            </w:r>
            <w:r w:rsidR="00765828" w:rsidRPr="00765828">
              <w:rPr>
                <w:rFonts w:ascii="Times New Roman" w:eastAsia="Times New Roman" w:hAnsi="Times New Roman" w:cs="Times New Roman"/>
                <w:sz w:val="26"/>
                <w:szCs w:val="26"/>
                <w:lang w:eastAsia="lv-LV"/>
              </w:rPr>
              <w:t xml:space="preserve"> </w:t>
            </w:r>
            <w:r w:rsidR="00765828">
              <w:rPr>
                <w:rFonts w:ascii="Times New Roman" w:eastAsia="Times New Roman" w:hAnsi="Times New Roman" w:cs="Times New Roman"/>
                <w:sz w:val="26"/>
                <w:szCs w:val="26"/>
                <w:lang w:eastAsia="lv-LV"/>
              </w:rPr>
              <w:t xml:space="preserve">un  </w:t>
            </w:r>
            <w:r w:rsidR="00301C3F" w:rsidRPr="00765828">
              <w:rPr>
                <w:rFonts w:ascii="Times New Roman" w:eastAsia="Times New Roman" w:hAnsi="Times New Roman" w:cs="Times New Roman"/>
                <w:sz w:val="26"/>
                <w:szCs w:val="26"/>
                <w:lang w:eastAsia="lv-LV"/>
              </w:rPr>
              <w:t xml:space="preserve">SIA </w:t>
            </w:r>
            <w:r w:rsidR="00301C3F">
              <w:rPr>
                <w:rFonts w:ascii="Times New Roman" w:eastAsia="Times New Roman" w:hAnsi="Times New Roman" w:cs="Times New Roman"/>
                <w:sz w:val="26"/>
                <w:szCs w:val="26"/>
                <w:lang w:eastAsia="lv-LV"/>
              </w:rPr>
              <w:t>“Ernst &amp; Young Baltic”.</w:t>
            </w:r>
          </w:p>
        </w:tc>
      </w:tr>
      <w:tr w:rsidR="00A873E8" w:rsidRPr="00B1212B" w:rsidTr="00902150">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8"/>
                <w:szCs w:val="28"/>
                <w:lang w:eastAsia="lv-LV"/>
              </w:rPr>
              <w:lastRenderedPageBreak/>
              <w:t>3.</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Sabiedrības līdzdalības rezultāti</w:t>
            </w:r>
          </w:p>
        </w:tc>
        <w:tc>
          <w:tcPr>
            <w:tcW w:w="0" w:type="auto"/>
            <w:tcBorders>
              <w:top w:val="outset" w:sz="6" w:space="0" w:color="414142"/>
              <w:left w:val="outset" w:sz="6" w:space="0" w:color="414142"/>
              <w:bottom w:val="outset" w:sz="6" w:space="0" w:color="414142"/>
              <w:right w:val="outset" w:sz="6" w:space="0" w:color="414142"/>
            </w:tcBorders>
            <w:hideMark/>
          </w:tcPr>
          <w:p w:rsidR="00543AA6" w:rsidRDefault="00E2163D">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765828">
              <w:rPr>
                <w:rFonts w:ascii="Times New Roman" w:eastAsia="Times New Roman" w:hAnsi="Times New Roman" w:cs="Times New Roman"/>
                <w:sz w:val="26"/>
                <w:szCs w:val="26"/>
                <w:lang w:eastAsia="lv-LV"/>
              </w:rPr>
              <w:t>Sabiedrības līdzdalības ietvaros saņemtie priekšlikumi tika izvērtēti un pamatā tika ņemti vērā. Kā būtisks priekšlikums, kurš netika  ņemts vērā, ir priekšlikums svītrot normu, kas paskaidro, ka tas, ka komercsabiedr</w:t>
            </w:r>
            <w:r w:rsidR="002977FD">
              <w:rPr>
                <w:rFonts w:ascii="Times New Roman" w:eastAsia="Times New Roman" w:hAnsi="Times New Roman" w:cs="Times New Roman"/>
                <w:sz w:val="26"/>
                <w:szCs w:val="26"/>
                <w:lang w:eastAsia="lv-LV"/>
              </w:rPr>
              <w:t>ība, kura</w:t>
            </w:r>
            <w:r w:rsidR="00765828">
              <w:rPr>
                <w:rFonts w:ascii="Times New Roman" w:eastAsia="Times New Roman" w:hAnsi="Times New Roman" w:cs="Times New Roman"/>
                <w:sz w:val="26"/>
                <w:szCs w:val="26"/>
                <w:lang w:eastAsia="lv-LV"/>
              </w:rPr>
              <w:t xml:space="preserve"> saņēma zemas pievienotās vērtības pakalpojumu, ir guvusi ekonomisko vai komerciālo labumu, tiek konstatēts, </w:t>
            </w:r>
            <w:r w:rsidR="00765828" w:rsidRPr="00765828">
              <w:rPr>
                <w:rFonts w:ascii="Times New Roman" w:eastAsia="Times New Roman" w:hAnsi="Times New Roman" w:cs="Times New Roman"/>
                <w:sz w:val="26"/>
                <w:szCs w:val="26"/>
                <w:lang w:eastAsia="lv-LV"/>
              </w:rPr>
              <w:t>izvērtējot, vai neatkarīga persona salīdzināmā situācijā būtu gatava maksāt par šādiem pakalpojumiem citai neatkarīgai personai, vai arī būtu attiecīgo funkciju nodrošinājusi pati</w:t>
            </w:r>
            <w:r w:rsidR="00765828">
              <w:rPr>
                <w:rFonts w:ascii="Times New Roman" w:eastAsia="Times New Roman" w:hAnsi="Times New Roman" w:cs="Times New Roman"/>
                <w:sz w:val="26"/>
                <w:szCs w:val="26"/>
                <w:lang w:eastAsia="lv-LV"/>
              </w:rPr>
              <w:t xml:space="preserve">. Norma tika iekļauta noteikumu projektā, jo šobrīd tāda ir paredzēta </w:t>
            </w:r>
            <w:r w:rsidR="00765828" w:rsidRPr="00765828">
              <w:rPr>
                <w:rFonts w:ascii="Times New Roman" w:eastAsia="Times New Roman" w:hAnsi="Times New Roman" w:cs="Times New Roman"/>
                <w:sz w:val="26"/>
                <w:szCs w:val="26"/>
                <w:lang w:eastAsia="lv-LV"/>
              </w:rPr>
              <w:t>OECD Transfertcenu vadlīnij</w:t>
            </w:r>
            <w:r w:rsidR="00765828">
              <w:rPr>
                <w:rFonts w:ascii="Times New Roman" w:eastAsia="Times New Roman" w:hAnsi="Times New Roman" w:cs="Times New Roman"/>
                <w:sz w:val="26"/>
                <w:szCs w:val="26"/>
                <w:lang w:eastAsia="lv-LV"/>
              </w:rPr>
              <w:t xml:space="preserve">ās </w:t>
            </w:r>
            <w:r w:rsidR="00C31D30">
              <w:rPr>
                <w:rFonts w:ascii="Times New Roman" w:eastAsia="Times New Roman" w:hAnsi="Times New Roman" w:cs="Times New Roman"/>
                <w:sz w:val="26"/>
                <w:szCs w:val="26"/>
                <w:lang w:eastAsia="lv-LV"/>
              </w:rPr>
              <w:t>(7.54.punkts). Vienlaikus paredzams, ka OECD Transfertcenu vadlīnijas šajā jautājumā tiks pārskatītas 2019.gada nogalē vai 2020.gada sākumā. Atkarībā no OECD Vadlīniju pārskatīšanas rezultāta, Finanšu ministrija plāno sagatavot priekšlikumu regulējuma saskaņošanai ar vadlīnijām.</w:t>
            </w:r>
          </w:p>
          <w:p w:rsidR="00E33F0A" w:rsidRPr="00B1212B" w:rsidRDefault="00E33F0A">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Ietvertie UIN skaidrojumi ir iekļauti</w:t>
            </w:r>
            <w:r w:rsidR="008A551A">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ņemot vērā izvērtētos nodokļu maksātāju jautājumus. </w:t>
            </w:r>
          </w:p>
        </w:tc>
      </w:tr>
      <w:tr w:rsidR="00A873E8" w:rsidRPr="00B1212B" w:rsidTr="00902150">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B1212B">
              <w:rPr>
                <w:rFonts w:ascii="Times New Roman" w:eastAsia="Times New Roman" w:hAnsi="Times New Roman" w:cs="Times New Roman"/>
                <w:sz w:val="28"/>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0" w:type="auto"/>
            <w:tcBorders>
              <w:top w:val="outset" w:sz="6" w:space="0" w:color="414142"/>
              <w:left w:val="outset" w:sz="6" w:space="0" w:color="414142"/>
              <w:bottom w:val="outset" w:sz="6" w:space="0" w:color="414142"/>
              <w:right w:val="outset" w:sz="6" w:space="0" w:color="414142"/>
            </w:tcBorders>
            <w:hideMark/>
          </w:tcPr>
          <w:p w:rsidR="00543AA6" w:rsidRPr="00B1212B" w:rsidRDefault="008D28A6" w:rsidP="00081A5D">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Nav</w:t>
            </w:r>
            <w:r w:rsidR="008417EF" w:rsidRPr="00B1212B">
              <w:rPr>
                <w:rFonts w:ascii="Times New Roman" w:eastAsia="Times New Roman" w:hAnsi="Times New Roman" w:cs="Times New Roman"/>
                <w:sz w:val="26"/>
                <w:szCs w:val="26"/>
                <w:lang w:eastAsia="lv-LV"/>
              </w:rPr>
              <w:t>.</w:t>
            </w:r>
          </w:p>
        </w:tc>
      </w:tr>
    </w:tbl>
    <w:p w:rsidR="00A873E8" w:rsidRPr="00B1212B" w:rsidRDefault="00A873E8"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209"/>
        <w:gridCol w:w="6291"/>
      </w:tblGrid>
      <w:tr w:rsidR="0091261F" w:rsidRPr="00B1212B"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B1212B"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B1212B">
              <w:rPr>
                <w:rFonts w:ascii="Times New Roman" w:eastAsia="Times New Roman" w:hAnsi="Times New Roman" w:cs="Times New Roman"/>
                <w:b/>
                <w:bCs/>
                <w:sz w:val="26"/>
                <w:szCs w:val="28"/>
                <w:lang w:eastAsia="lv-LV"/>
              </w:rPr>
              <w:t>VII. Tiesību akta projekta izpildes nodrošināšana un tās ietekme uz institūcijām</w:t>
            </w:r>
          </w:p>
        </w:tc>
      </w:tr>
      <w:tr w:rsidR="0091261F" w:rsidRPr="00B1212B" w:rsidTr="00281052">
        <w:tc>
          <w:tcPr>
            <w:tcW w:w="300"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Projekta izpildē iesaistītās institūcijas</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F4736C" w:rsidP="00081A5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Valsts ieņēmumu dienests</w:t>
            </w:r>
          </w:p>
        </w:tc>
      </w:tr>
      <w:tr w:rsidR="0091261F" w:rsidRPr="00B1212B" w:rsidTr="00281052">
        <w:tc>
          <w:tcPr>
            <w:tcW w:w="300"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Projekta izpildes ietekme uz pārvaldes funkcijām un institucionālo struktūru.</w:t>
            </w:r>
            <w:r w:rsidRPr="00B1212B">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477" w:type="pct"/>
            <w:tcBorders>
              <w:top w:val="outset" w:sz="6" w:space="0" w:color="414142"/>
              <w:left w:val="outset" w:sz="6" w:space="0" w:color="414142"/>
              <w:bottom w:val="outset" w:sz="6" w:space="0" w:color="414142"/>
              <w:right w:val="outset" w:sz="6" w:space="0" w:color="414142"/>
            </w:tcBorders>
            <w:hideMark/>
          </w:tcPr>
          <w:p w:rsidR="007E1A7F" w:rsidRPr="00B1212B" w:rsidRDefault="007E1A7F" w:rsidP="007E1A7F">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Noteikumu projekts neparedz veidot jaunas institūcijas, reorganizēt vai likvidēt esošās institūcijas.</w:t>
            </w:r>
          </w:p>
          <w:p w:rsidR="007E1A7F" w:rsidRPr="00B1212B" w:rsidRDefault="007E1A7F" w:rsidP="007E1A7F">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Tāpat esošajām institūcijām netiek ne paplašinātas, ne sašaurinātas funkcijas.</w:t>
            </w:r>
          </w:p>
          <w:p w:rsidR="00543AA6" w:rsidRPr="00B1212B" w:rsidRDefault="007E1A7F" w:rsidP="007E3B4F">
            <w:pPr>
              <w:spacing w:after="0" w:line="240" w:lineRule="auto"/>
              <w:jc w:val="both"/>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 xml:space="preserve">Noteikumu projekta izpilde tiks nodrošināta esošo cilvēkresursu </w:t>
            </w:r>
            <w:r w:rsidR="00BF6C42" w:rsidRPr="00B1212B">
              <w:rPr>
                <w:rFonts w:ascii="Times New Roman" w:eastAsia="Times New Roman" w:hAnsi="Times New Roman" w:cs="Times New Roman"/>
                <w:sz w:val="26"/>
                <w:szCs w:val="26"/>
                <w:lang w:eastAsia="lv-LV"/>
              </w:rPr>
              <w:t xml:space="preserve">un finansējuma </w:t>
            </w:r>
            <w:r w:rsidRPr="00B1212B">
              <w:rPr>
                <w:rFonts w:ascii="Times New Roman" w:eastAsia="Times New Roman" w:hAnsi="Times New Roman" w:cs="Times New Roman"/>
                <w:sz w:val="26"/>
                <w:szCs w:val="26"/>
                <w:lang w:eastAsia="lv-LV"/>
              </w:rPr>
              <w:t>ietvaros.</w:t>
            </w:r>
          </w:p>
        </w:tc>
      </w:tr>
      <w:tr w:rsidR="0091261F" w:rsidRPr="00B1212B" w:rsidTr="00281052">
        <w:tc>
          <w:tcPr>
            <w:tcW w:w="300"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rsidR="00543AA6" w:rsidRPr="00B1212B" w:rsidRDefault="00543AA6"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B1212B" w:rsidRDefault="003C46DD" w:rsidP="00081A5D">
            <w:pPr>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Nav</w:t>
            </w:r>
          </w:p>
        </w:tc>
      </w:tr>
    </w:tbl>
    <w:p w:rsidR="00404A62" w:rsidRPr="00B1212B" w:rsidRDefault="00404A62">
      <w:pPr>
        <w:rPr>
          <w:sz w:val="26"/>
          <w:szCs w:val="26"/>
        </w:rPr>
      </w:pPr>
    </w:p>
    <w:p w:rsidR="003C46DD" w:rsidRPr="00B1212B" w:rsidRDefault="003C46DD" w:rsidP="003C46DD">
      <w:pPr>
        <w:tabs>
          <w:tab w:val="left" w:pos="709"/>
          <w:tab w:val="left" w:pos="5812"/>
          <w:tab w:val="left" w:pos="7371"/>
        </w:tabs>
        <w:spacing w:after="0" w:line="240" w:lineRule="auto"/>
        <w:rPr>
          <w:rFonts w:ascii="Times New Roman" w:eastAsia="Times New Roman" w:hAnsi="Times New Roman" w:cs="Times New Roman"/>
          <w:sz w:val="26"/>
          <w:szCs w:val="26"/>
          <w:lang w:eastAsia="lv-LV"/>
        </w:rPr>
      </w:pPr>
      <w:r w:rsidRPr="00B1212B">
        <w:rPr>
          <w:rFonts w:ascii="Times New Roman" w:eastAsia="Times New Roman" w:hAnsi="Times New Roman" w:cs="Times New Roman"/>
          <w:sz w:val="26"/>
          <w:szCs w:val="26"/>
          <w:lang w:eastAsia="lv-LV"/>
        </w:rPr>
        <w:t>Finanšu ministr</w:t>
      </w:r>
      <w:r w:rsidR="008A0751" w:rsidRPr="00B1212B">
        <w:rPr>
          <w:rFonts w:ascii="Times New Roman" w:eastAsia="Times New Roman" w:hAnsi="Times New Roman" w:cs="Times New Roman"/>
          <w:sz w:val="26"/>
          <w:szCs w:val="26"/>
          <w:lang w:eastAsia="lv-LV"/>
        </w:rPr>
        <w:t>s</w:t>
      </w:r>
      <w:r w:rsidRPr="00B1212B">
        <w:rPr>
          <w:rFonts w:ascii="Times New Roman" w:eastAsia="Times New Roman" w:hAnsi="Times New Roman" w:cs="Times New Roman"/>
          <w:sz w:val="26"/>
          <w:szCs w:val="26"/>
          <w:lang w:eastAsia="lv-LV"/>
        </w:rPr>
        <w:tab/>
      </w:r>
      <w:r w:rsidR="008A0751" w:rsidRPr="00B1212B">
        <w:rPr>
          <w:rFonts w:ascii="Times New Roman" w:eastAsia="Times New Roman" w:hAnsi="Times New Roman" w:cs="Times New Roman"/>
          <w:sz w:val="26"/>
          <w:szCs w:val="26"/>
          <w:lang w:eastAsia="lv-LV"/>
        </w:rPr>
        <w:tab/>
      </w:r>
      <w:r w:rsidR="008A0751" w:rsidRPr="00B1212B">
        <w:rPr>
          <w:rFonts w:ascii="Times New Roman" w:eastAsia="Times New Roman" w:hAnsi="Times New Roman" w:cs="Times New Roman"/>
          <w:sz w:val="26"/>
          <w:szCs w:val="26"/>
          <w:lang w:eastAsia="lv-LV"/>
        </w:rPr>
        <w:tab/>
        <w:t>J.Reirs</w:t>
      </w:r>
    </w:p>
    <w:p w:rsidR="003C46DD" w:rsidRDefault="003C46DD" w:rsidP="003C46DD">
      <w:pPr>
        <w:spacing w:after="0" w:line="240" w:lineRule="auto"/>
        <w:jc w:val="both"/>
        <w:rPr>
          <w:rFonts w:ascii="Times New Roman" w:eastAsia="Times New Roman" w:hAnsi="Times New Roman" w:cs="Times New Roman"/>
          <w:sz w:val="20"/>
          <w:szCs w:val="20"/>
          <w:lang w:eastAsia="lv-LV"/>
        </w:rPr>
      </w:pPr>
    </w:p>
    <w:p w:rsidR="00D432B6" w:rsidRPr="00B1212B" w:rsidRDefault="00D432B6" w:rsidP="003C46DD">
      <w:pPr>
        <w:spacing w:after="0" w:line="240" w:lineRule="auto"/>
        <w:jc w:val="both"/>
        <w:rPr>
          <w:rFonts w:ascii="Times New Roman" w:eastAsia="Times New Roman" w:hAnsi="Times New Roman" w:cs="Times New Roman"/>
          <w:sz w:val="20"/>
          <w:szCs w:val="20"/>
          <w:lang w:eastAsia="lv-LV"/>
        </w:rPr>
      </w:pPr>
    </w:p>
    <w:p w:rsidR="002B4A9F" w:rsidRPr="00B1212B" w:rsidRDefault="002B4A9F" w:rsidP="003C46DD">
      <w:pPr>
        <w:spacing w:after="0" w:line="240" w:lineRule="auto"/>
        <w:jc w:val="both"/>
        <w:rPr>
          <w:rFonts w:ascii="Times New Roman" w:eastAsia="Times New Roman" w:hAnsi="Times New Roman" w:cs="Times New Roman"/>
          <w:sz w:val="20"/>
          <w:szCs w:val="20"/>
          <w:lang w:eastAsia="lv-LV"/>
        </w:rPr>
      </w:pPr>
    </w:p>
    <w:p w:rsidR="003C46DD" w:rsidRPr="00B1212B" w:rsidRDefault="003C46DD" w:rsidP="003C46DD">
      <w:pPr>
        <w:spacing w:after="0" w:line="240" w:lineRule="auto"/>
        <w:jc w:val="both"/>
        <w:rPr>
          <w:rFonts w:ascii="Times New Roman" w:eastAsia="Times New Roman" w:hAnsi="Times New Roman" w:cs="Times New Roman"/>
          <w:sz w:val="20"/>
          <w:szCs w:val="20"/>
        </w:rPr>
      </w:pPr>
      <w:r w:rsidRPr="00B1212B">
        <w:rPr>
          <w:rFonts w:ascii="Times New Roman" w:eastAsia="Times New Roman" w:hAnsi="Times New Roman" w:cs="Times New Roman"/>
          <w:sz w:val="20"/>
          <w:szCs w:val="20"/>
        </w:rPr>
        <w:t>Auziņš, 67083919</w:t>
      </w:r>
    </w:p>
    <w:p w:rsidR="003C46DD" w:rsidRPr="0091261F" w:rsidRDefault="00C70BD2" w:rsidP="003C46DD">
      <w:pPr>
        <w:spacing w:after="0" w:line="240" w:lineRule="auto"/>
        <w:rPr>
          <w:rFonts w:ascii="Times New Roman" w:eastAsia="Times New Roman" w:hAnsi="Times New Roman" w:cs="Times New Roman"/>
          <w:snapToGrid w:val="0"/>
          <w:sz w:val="20"/>
          <w:szCs w:val="20"/>
        </w:rPr>
      </w:pPr>
      <w:hyperlink r:id="rId11" w:history="1">
        <w:r w:rsidR="003C46DD" w:rsidRPr="00B1212B">
          <w:rPr>
            <w:rFonts w:ascii="Times New Roman" w:eastAsia="Times New Roman" w:hAnsi="Times New Roman" w:cs="Times New Roman"/>
            <w:snapToGrid w:val="0"/>
            <w:sz w:val="20"/>
            <w:szCs w:val="20"/>
            <w:u w:val="single"/>
          </w:rPr>
          <w:t>Roberts.Auzins@fm.gov.lv</w:t>
        </w:r>
      </w:hyperlink>
    </w:p>
    <w:sectPr w:rsidR="003C46DD" w:rsidRPr="0091261F" w:rsidSect="00902150">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E1B54" w16cid:durableId="204B071F"/>
  <w16cid:commentId w16cid:paraId="130B6FFC" w16cid:durableId="204B0720"/>
  <w16cid:commentId w16cid:paraId="38D3E3CC" w16cid:durableId="204B27D0"/>
  <w16cid:commentId w16cid:paraId="33D6ED5D" w16cid:durableId="204B0722"/>
  <w16cid:commentId w16cid:paraId="71F22F94" w16cid:durableId="204B08E7"/>
  <w16cid:commentId w16cid:paraId="77660E87" w16cid:durableId="204B0725"/>
  <w16cid:commentId w16cid:paraId="21484C61" w16cid:durableId="204B07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D2" w:rsidRDefault="00C70BD2" w:rsidP="00A75770">
      <w:pPr>
        <w:spacing w:after="0" w:line="240" w:lineRule="auto"/>
      </w:pPr>
      <w:r>
        <w:separator/>
      </w:r>
    </w:p>
  </w:endnote>
  <w:endnote w:type="continuationSeparator" w:id="0">
    <w:p w:rsidR="00C70BD2" w:rsidRDefault="00C70BD2"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1F" w:rsidRPr="00281052" w:rsidRDefault="0091261F" w:rsidP="0091261F">
    <w:pPr>
      <w:pStyle w:val="Footer"/>
      <w:tabs>
        <w:tab w:val="clear" w:pos="4153"/>
        <w:tab w:val="clear" w:pos="8306"/>
        <w:tab w:val="center" w:pos="4535"/>
        <w:tab w:val="left" w:pos="4943"/>
      </w:tabs>
      <w:rPr>
        <w:rFonts w:ascii="Times New Roman" w:hAnsi="Times New Roman" w:cs="Times New Roman"/>
        <w:sz w:val="18"/>
        <w:szCs w:val="18"/>
      </w:rP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FE038A">
      <w:rPr>
        <w:rFonts w:ascii="Times New Roman" w:hAnsi="Times New Roman" w:cs="Times New Roman"/>
        <w:noProof/>
        <w:sz w:val="18"/>
        <w:szCs w:val="18"/>
        <w:lang w:val="en-GB"/>
      </w:rPr>
      <w:t>FMAnot_05.04.19_UIN_LVAS.docx</w:t>
    </w:r>
    <w:r w:rsidRPr="00281052">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62" w:rsidRPr="00404A62" w:rsidRDefault="00502947" w:rsidP="00404A62">
    <w:pPr>
      <w:pStyle w:val="Foote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CA34B8">
      <w:rPr>
        <w:rFonts w:ascii="Times New Roman" w:hAnsi="Times New Roman" w:cs="Times New Roman"/>
        <w:noProof/>
        <w:sz w:val="18"/>
        <w:szCs w:val="18"/>
        <w:lang w:val="en-GB"/>
      </w:rPr>
      <w:t>FMAnot_05.04.19_UIN_LVAS.docx</w:t>
    </w:r>
    <w:r w:rsidRPr="0028105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D2" w:rsidRDefault="00C70BD2" w:rsidP="00A75770">
      <w:pPr>
        <w:spacing w:after="0" w:line="240" w:lineRule="auto"/>
      </w:pPr>
      <w:r>
        <w:separator/>
      </w:r>
    </w:p>
  </w:footnote>
  <w:footnote w:type="continuationSeparator" w:id="0">
    <w:p w:rsidR="00C70BD2" w:rsidRDefault="00C70BD2" w:rsidP="00A75770">
      <w:pPr>
        <w:spacing w:after="0" w:line="240" w:lineRule="auto"/>
      </w:pPr>
      <w:r>
        <w:continuationSeparator/>
      </w:r>
    </w:p>
  </w:footnote>
  <w:footnote w:id="1">
    <w:p w:rsidR="0003018E" w:rsidRPr="003D4CA4" w:rsidRDefault="0003018E" w:rsidP="0003018E">
      <w:pPr>
        <w:pStyle w:val="FootnoteText"/>
        <w:jc w:val="both"/>
      </w:pPr>
      <w:r>
        <w:rPr>
          <w:rStyle w:val="FootnoteReference"/>
        </w:rPr>
        <w:footnoteRef/>
      </w:r>
      <w:r>
        <w:t xml:space="preserve"> Par zemas pievienotās vērtības pakalpojumiem </w:t>
      </w:r>
      <w:r w:rsidRPr="003D4CA4">
        <w:t xml:space="preserve">detalizētāk skatīt OECD Transfertcenu vadlīniju </w:t>
      </w:r>
      <w:r>
        <w:t>333</w:t>
      </w:r>
      <w:r w:rsidRPr="003D4CA4">
        <w:t>.</w:t>
      </w:r>
      <w:r>
        <w:t>-343.</w:t>
      </w:r>
      <w:r w:rsidRPr="003D4CA4">
        <w:t>lpp</w:t>
      </w:r>
      <w:r w:rsidR="00127356">
        <w:t>.</w:t>
      </w:r>
      <w:r>
        <w:t xml:space="preserve"> (pieejams: </w:t>
      </w:r>
      <w:r w:rsidRPr="003D4CA4">
        <w:t>https://read.oecd-ilibrary.org/taxation/oecd-transfer-pricing-guidelines-for-multinational-enterprises-and-tax-administrations-2017_tpg-2017-en#page336</w:t>
      </w:r>
      <w:r>
        <w:t>).</w:t>
      </w:r>
    </w:p>
  </w:footnote>
  <w:footnote w:id="2">
    <w:p w:rsidR="00902150" w:rsidRDefault="00902150">
      <w:pPr>
        <w:pStyle w:val="FootnoteText"/>
      </w:pPr>
      <w:r>
        <w:rPr>
          <w:rStyle w:val="FootnoteReference"/>
        </w:rPr>
        <w:footnoteRef/>
      </w:r>
      <w:r>
        <w:t xml:space="preserve"> </w:t>
      </w:r>
      <w:r w:rsidRPr="00902150">
        <w:t>tīmekļas vietas adrese: http://www.fm.gov.lv/files/sabiedribaslidzdaliba/3_Uzzina%20par%20Groz%20MK677.doc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94895"/>
      <w:docPartObj>
        <w:docPartGallery w:val="Page Numbers (Top of Page)"/>
        <w:docPartUnique/>
      </w:docPartObj>
    </w:sdtPr>
    <w:sdtEndPr>
      <w:rPr>
        <w:noProof/>
      </w:rPr>
    </w:sdtEndPr>
    <w:sdtContent>
      <w:p w:rsidR="00281052" w:rsidRDefault="00281052">
        <w:pPr>
          <w:pStyle w:val="Header"/>
          <w:jc w:val="center"/>
        </w:pPr>
        <w:r>
          <w:fldChar w:fldCharType="begin"/>
        </w:r>
        <w:r>
          <w:instrText xml:space="preserve"> PAGE   \* MERGEFORMAT </w:instrText>
        </w:r>
        <w:r>
          <w:fldChar w:fldCharType="separate"/>
        </w:r>
        <w:r w:rsidR="00835CA3">
          <w:rPr>
            <w:noProof/>
          </w:rPr>
          <w:t>8</w:t>
        </w:r>
        <w:r>
          <w:rPr>
            <w:noProof/>
          </w:rPr>
          <w:fldChar w:fldCharType="end"/>
        </w:r>
      </w:p>
    </w:sdtContent>
  </w:sdt>
  <w:p w:rsidR="004F1E3C" w:rsidRDefault="004F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1A2"/>
    <w:multiLevelType w:val="hybridMultilevel"/>
    <w:tmpl w:val="13528B20"/>
    <w:lvl w:ilvl="0" w:tplc="5E28B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174C4E"/>
    <w:multiLevelType w:val="hybridMultilevel"/>
    <w:tmpl w:val="9E9EA20A"/>
    <w:lvl w:ilvl="0" w:tplc="9676D92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7B4975"/>
    <w:multiLevelType w:val="hybridMultilevel"/>
    <w:tmpl w:val="BC92B65A"/>
    <w:lvl w:ilvl="0" w:tplc="A8F422A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76961C9C"/>
    <w:multiLevelType w:val="hybridMultilevel"/>
    <w:tmpl w:val="91FA87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6F575C"/>
    <w:multiLevelType w:val="hybridMultilevel"/>
    <w:tmpl w:val="69A428C2"/>
    <w:lvl w:ilvl="0" w:tplc="C2DE51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F918F0"/>
    <w:multiLevelType w:val="hybridMultilevel"/>
    <w:tmpl w:val="DFE4F1E2"/>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8"/>
  </w:num>
  <w:num w:numId="7">
    <w:abstractNumId w:val="0"/>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7B3"/>
    <w:rsid w:val="00001E17"/>
    <w:rsid w:val="00010431"/>
    <w:rsid w:val="00011F61"/>
    <w:rsid w:val="00022CD9"/>
    <w:rsid w:val="00022FE8"/>
    <w:rsid w:val="00027CC2"/>
    <w:rsid w:val="0003018E"/>
    <w:rsid w:val="00042350"/>
    <w:rsid w:val="00042A4E"/>
    <w:rsid w:val="00050A40"/>
    <w:rsid w:val="0005206D"/>
    <w:rsid w:val="0005354A"/>
    <w:rsid w:val="00076BF8"/>
    <w:rsid w:val="00086F21"/>
    <w:rsid w:val="000B4779"/>
    <w:rsid w:val="000C63D8"/>
    <w:rsid w:val="000D75A4"/>
    <w:rsid w:val="000E2F8C"/>
    <w:rsid w:val="000F4CB4"/>
    <w:rsid w:val="000F7F2C"/>
    <w:rsid w:val="001027DF"/>
    <w:rsid w:val="0011410C"/>
    <w:rsid w:val="00127356"/>
    <w:rsid w:val="00127D77"/>
    <w:rsid w:val="00130509"/>
    <w:rsid w:val="00131D9F"/>
    <w:rsid w:val="00132416"/>
    <w:rsid w:val="00140329"/>
    <w:rsid w:val="001A272D"/>
    <w:rsid w:val="001A4FB7"/>
    <w:rsid w:val="001B1F26"/>
    <w:rsid w:val="001C0516"/>
    <w:rsid w:val="001C2DB7"/>
    <w:rsid w:val="001C36B7"/>
    <w:rsid w:val="001C63ED"/>
    <w:rsid w:val="001D765D"/>
    <w:rsid w:val="001E2B20"/>
    <w:rsid w:val="001E2F56"/>
    <w:rsid w:val="002060E4"/>
    <w:rsid w:val="00216F65"/>
    <w:rsid w:val="00221504"/>
    <w:rsid w:val="00221C53"/>
    <w:rsid w:val="002223CC"/>
    <w:rsid w:val="00234A95"/>
    <w:rsid w:val="00244D0F"/>
    <w:rsid w:val="00260E54"/>
    <w:rsid w:val="00262052"/>
    <w:rsid w:val="0026233A"/>
    <w:rsid w:val="002640CD"/>
    <w:rsid w:val="00265202"/>
    <w:rsid w:val="00265488"/>
    <w:rsid w:val="002700F5"/>
    <w:rsid w:val="00271565"/>
    <w:rsid w:val="00272A89"/>
    <w:rsid w:val="00281052"/>
    <w:rsid w:val="002977FD"/>
    <w:rsid w:val="002A0DF8"/>
    <w:rsid w:val="002B131E"/>
    <w:rsid w:val="002B2F3B"/>
    <w:rsid w:val="002B4A9F"/>
    <w:rsid w:val="002B7799"/>
    <w:rsid w:val="002C0F87"/>
    <w:rsid w:val="002E1509"/>
    <w:rsid w:val="002E6F42"/>
    <w:rsid w:val="002F3121"/>
    <w:rsid w:val="002F5BE0"/>
    <w:rsid w:val="00301C3F"/>
    <w:rsid w:val="0032693D"/>
    <w:rsid w:val="00327B96"/>
    <w:rsid w:val="00335FD9"/>
    <w:rsid w:val="00340149"/>
    <w:rsid w:val="003441A5"/>
    <w:rsid w:val="00345A00"/>
    <w:rsid w:val="00346FD9"/>
    <w:rsid w:val="00347444"/>
    <w:rsid w:val="0035151E"/>
    <w:rsid w:val="0035353E"/>
    <w:rsid w:val="00354716"/>
    <w:rsid w:val="00355DCE"/>
    <w:rsid w:val="00362A3D"/>
    <w:rsid w:val="003637CF"/>
    <w:rsid w:val="003737CD"/>
    <w:rsid w:val="00374C59"/>
    <w:rsid w:val="00375626"/>
    <w:rsid w:val="00381188"/>
    <w:rsid w:val="0039100E"/>
    <w:rsid w:val="00396A79"/>
    <w:rsid w:val="003A455A"/>
    <w:rsid w:val="003A51F7"/>
    <w:rsid w:val="003B208C"/>
    <w:rsid w:val="003C46DD"/>
    <w:rsid w:val="003D4CA4"/>
    <w:rsid w:val="003E604D"/>
    <w:rsid w:val="003F31DB"/>
    <w:rsid w:val="00404A62"/>
    <w:rsid w:val="004122A3"/>
    <w:rsid w:val="004126F1"/>
    <w:rsid w:val="0041586B"/>
    <w:rsid w:val="00422101"/>
    <w:rsid w:val="00422F1F"/>
    <w:rsid w:val="00450DE4"/>
    <w:rsid w:val="0045589C"/>
    <w:rsid w:val="00483A56"/>
    <w:rsid w:val="004941DA"/>
    <w:rsid w:val="004A5879"/>
    <w:rsid w:val="004A6E29"/>
    <w:rsid w:val="004B4657"/>
    <w:rsid w:val="004B5C46"/>
    <w:rsid w:val="004C1DFE"/>
    <w:rsid w:val="004C500C"/>
    <w:rsid w:val="004D3107"/>
    <w:rsid w:val="004E3AEA"/>
    <w:rsid w:val="004E49B4"/>
    <w:rsid w:val="004F1E3C"/>
    <w:rsid w:val="005015B7"/>
    <w:rsid w:val="00502947"/>
    <w:rsid w:val="00515D10"/>
    <w:rsid w:val="00530243"/>
    <w:rsid w:val="00535517"/>
    <w:rsid w:val="005433EF"/>
    <w:rsid w:val="00543AA6"/>
    <w:rsid w:val="00566DB6"/>
    <w:rsid w:val="00567342"/>
    <w:rsid w:val="0057367E"/>
    <w:rsid w:val="00587C81"/>
    <w:rsid w:val="005C5C36"/>
    <w:rsid w:val="005D212D"/>
    <w:rsid w:val="005E6279"/>
    <w:rsid w:val="005F647D"/>
    <w:rsid w:val="005F7554"/>
    <w:rsid w:val="0060121B"/>
    <w:rsid w:val="00605BEB"/>
    <w:rsid w:val="006128D6"/>
    <w:rsid w:val="00623F17"/>
    <w:rsid w:val="00624732"/>
    <w:rsid w:val="00636CC4"/>
    <w:rsid w:val="00647E86"/>
    <w:rsid w:val="00671BD4"/>
    <w:rsid w:val="006759B6"/>
    <w:rsid w:val="006865AC"/>
    <w:rsid w:val="00694AAD"/>
    <w:rsid w:val="006A0916"/>
    <w:rsid w:val="006A2097"/>
    <w:rsid w:val="006B1CD4"/>
    <w:rsid w:val="006B36FB"/>
    <w:rsid w:val="006C2C8C"/>
    <w:rsid w:val="006C5347"/>
    <w:rsid w:val="006F27E4"/>
    <w:rsid w:val="006F33F2"/>
    <w:rsid w:val="006F3558"/>
    <w:rsid w:val="00702575"/>
    <w:rsid w:val="007115C1"/>
    <w:rsid w:val="00712A40"/>
    <w:rsid w:val="0071676E"/>
    <w:rsid w:val="00726825"/>
    <w:rsid w:val="007376F0"/>
    <w:rsid w:val="00740711"/>
    <w:rsid w:val="00746568"/>
    <w:rsid w:val="00751CCE"/>
    <w:rsid w:val="007570A3"/>
    <w:rsid w:val="00765828"/>
    <w:rsid w:val="00765E22"/>
    <w:rsid w:val="00781AF2"/>
    <w:rsid w:val="007822D0"/>
    <w:rsid w:val="00796FC7"/>
    <w:rsid w:val="007B0C81"/>
    <w:rsid w:val="007B7C38"/>
    <w:rsid w:val="007C04BB"/>
    <w:rsid w:val="007C0C77"/>
    <w:rsid w:val="007C42C0"/>
    <w:rsid w:val="007C5264"/>
    <w:rsid w:val="007C71AB"/>
    <w:rsid w:val="007D2B34"/>
    <w:rsid w:val="007D57DC"/>
    <w:rsid w:val="007E1A7F"/>
    <w:rsid w:val="007E3B4F"/>
    <w:rsid w:val="007F6BAC"/>
    <w:rsid w:val="008045C4"/>
    <w:rsid w:val="008060DC"/>
    <w:rsid w:val="00835CA3"/>
    <w:rsid w:val="008417EF"/>
    <w:rsid w:val="00843190"/>
    <w:rsid w:val="00843505"/>
    <w:rsid w:val="00844A8D"/>
    <w:rsid w:val="0084599E"/>
    <w:rsid w:val="0084607A"/>
    <w:rsid w:val="008469D5"/>
    <w:rsid w:val="00846DBD"/>
    <w:rsid w:val="00847274"/>
    <w:rsid w:val="00847674"/>
    <w:rsid w:val="008478FB"/>
    <w:rsid w:val="00870A9B"/>
    <w:rsid w:val="00873F4B"/>
    <w:rsid w:val="00874D7E"/>
    <w:rsid w:val="00874F8C"/>
    <w:rsid w:val="008850A6"/>
    <w:rsid w:val="00885843"/>
    <w:rsid w:val="00886F22"/>
    <w:rsid w:val="00895A7A"/>
    <w:rsid w:val="00895CE8"/>
    <w:rsid w:val="00896AF7"/>
    <w:rsid w:val="00897F1E"/>
    <w:rsid w:val="008A0751"/>
    <w:rsid w:val="008A551A"/>
    <w:rsid w:val="008B5EBF"/>
    <w:rsid w:val="008B7764"/>
    <w:rsid w:val="008C7B0A"/>
    <w:rsid w:val="008D28A6"/>
    <w:rsid w:val="008D2D23"/>
    <w:rsid w:val="008D5ADE"/>
    <w:rsid w:val="008D6E7E"/>
    <w:rsid w:val="008D7CD2"/>
    <w:rsid w:val="008E6734"/>
    <w:rsid w:val="008F3A81"/>
    <w:rsid w:val="00902150"/>
    <w:rsid w:val="0091261F"/>
    <w:rsid w:val="00931AC3"/>
    <w:rsid w:val="00936FC7"/>
    <w:rsid w:val="00940FD5"/>
    <w:rsid w:val="00943048"/>
    <w:rsid w:val="00945798"/>
    <w:rsid w:val="009460E2"/>
    <w:rsid w:val="00950B49"/>
    <w:rsid w:val="0096463A"/>
    <w:rsid w:val="00964975"/>
    <w:rsid w:val="00965CA4"/>
    <w:rsid w:val="0096684E"/>
    <w:rsid w:val="00971BB6"/>
    <w:rsid w:val="00973F7A"/>
    <w:rsid w:val="00980615"/>
    <w:rsid w:val="0098296A"/>
    <w:rsid w:val="00996EBA"/>
    <w:rsid w:val="009A71B7"/>
    <w:rsid w:val="009B335B"/>
    <w:rsid w:val="009B472A"/>
    <w:rsid w:val="009C7131"/>
    <w:rsid w:val="009D4FD7"/>
    <w:rsid w:val="009E155D"/>
    <w:rsid w:val="009F40F9"/>
    <w:rsid w:val="00A052C8"/>
    <w:rsid w:val="00A169D4"/>
    <w:rsid w:val="00A16E38"/>
    <w:rsid w:val="00A215DE"/>
    <w:rsid w:val="00A2176A"/>
    <w:rsid w:val="00A247CF"/>
    <w:rsid w:val="00A2682B"/>
    <w:rsid w:val="00A271DE"/>
    <w:rsid w:val="00A34E9F"/>
    <w:rsid w:val="00A3679B"/>
    <w:rsid w:val="00A37710"/>
    <w:rsid w:val="00A40DBD"/>
    <w:rsid w:val="00A43B01"/>
    <w:rsid w:val="00A522FB"/>
    <w:rsid w:val="00A556F1"/>
    <w:rsid w:val="00A56125"/>
    <w:rsid w:val="00A57510"/>
    <w:rsid w:val="00A60DCC"/>
    <w:rsid w:val="00A6776C"/>
    <w:rsid w:val="00A75770"/>
    <w:rsid w:val="00A769B6"/>
    <w:rsid w:val="00A80C26"/>
    <w:rsid w:val="00A84E52"/>
    <w:rsid w:val="00A873E8"/>
    <w:rsid w:val="00AB36F6"/>
    <w:rsid w:val="00AB6D75"/>
    <w:rsid w:val="00AC093B"/>
    <w:rsid w:val="00AC398F"/>
    <w:rsid w:val="00AD27B0"/>
    <w:rsid w:val="00AD29BA"/>
    <w:rsid w:val="00AD7693"/>
    <w:rsid w:val="00AF035E"/>
    <w:rsid w:val="00AF1296"/>
    <w:rsid w:val="00AF341F"/>
    <w:rsid w:val="00AF4F4E"/>
    <w:rsid w:val="00B06618"/>
    <w:rsid w:val="00B10771"/>
    <w:rsid w:val="00B1212B"/>
    <w:rsid w:val="00B14D84"/>
    <w:rsid w:val="00B34C72"/>
    <w:rsid w:val="00B35E96"/>
    <w:rsid w:val="00B41D9F"/>
    <w:rsid w:val="00B50A89"/>
    <w:rsid w:val="00B516DD"/>
    <w:rsid w:val="00B535FE"/>
    <w:rsid w:val="00B53B72"/>
    <w:rsid w:val="00B63FF8"/>
    <w:rsid w:val="00B702F8"/>
    <w:rsid w:val="00B750A9"/>
    <w:rsid w:val="00B84B88"/>
    <w:rsid w:val="00B878D7"/>
    <w:rsid w:val="00B94F2B"/>
    <w:rsid w:val="00BC2F03"/>
    <w:rsid w:val="00BC3563"/>
    <w:rsid w:val="00BC4DF7"/>
    <w:rsid w:val="00BE13E4"/>
    <w:rsid w:val="00BF3DBF"/>
    <w:rsid w:val="00BF6C42"/>
    <w:rsid w:val="00C000A0"/>
    <w:rsid w:val="00C0219B"/>
    <w:rsid w:val="00C0783B"/>
    <w:rsid w:val="00C128BD"/>
    <w:rsid w:val="00C130A5"/>
    <w:rsid w:val="00C15054"/>
    <w:rsid w:val="00C24F1D"/>
    <w:rsid w:val="00C301CE"/>
    <w:rsid w:val="00C31D30"/>
    <w:rsid w:val="00C3341A"/>
    <w:rsid w:val="00C3739D"/>
    <w:rsid w:val="00C41EFE"/>
    <w:rsid w:val="00C477EC"/>
    <w:rsid w:val="00C47DCE"/>
    <w:rsid w:val="00C50A8B"/>
    <w:rsid w:val="00C6510B"/>
    <w:rsid w:val="00C70BD2"/>
    <w:rsid w:val="00C74601"/>
    <w:rsid w:val="00C75149"/>
    <w:rsid w:val="00C766BF"/>
    <w:rsid w:val="00C8467D"/>
    <w:rsid w:val="00CA34B8"/>
    <w:rsid w:val="00CB02B3"/>
    <w:rsid w:val="00CC04F4"/>
    <w:rsid w:val="00CE53C2"/>
    <w:rsid w:val="00CF5595"/>
    <w:rsid w:val="00CF571D"/>
    <w:rsid w:val="00CF5E7F"/>
    <w:rsid w:val="00D03821"/>
    <w:rsid w:val="00D12ED7"/>
    <w:rsid w:val="00D16613"/>
    <w:rsid w:val="00D32913"/>
    <w:rsid w:val="00D37F95"/>
    <w:rsid w:val="00D432B6"/>
    <w:rsid w:val="00D44ED7"/>
    <w:rsid w:val="00D45715"/>
    <w:rsid w:val="00D511B1"/>
    <w:rsid w:val="00D571A9"/>
    <w:rsid w:val="00D752DD"/>
    <w:rsid w:val="00D83C45"/>
    <w:rsid w:val="00D83E1C"/>
    <w:rsid w:val="00D928B7"/>
    <w:rsid w:val="00DA5802"/>
    <w:rsid w:val="00DA585D"/>
    <w:rsid w:val="00DC0330"/>
    <w:rsid w:val="00DC213B"/>
    <w:rsid w:val="00DC61F4"/>
    <w:rsid w:val="00DE1373"/>
    <w:rsid w:val="00DE7E11"/>
    <w:rsid w:val="00DF28FC"/>
    <w:rsid w:val="00E11D2E"/>
    <w:rsid w:val="00E20D24"/>
    <w:rsid w:val="00E2163D"/>
    <w:rsid w:val="00E23F0E"/>
    <w:rsid w:val="00E33760"/>
    <w:rsid w:val="00E33F0A"/>
    <w:rsid w:val="00E41B98"/>
    <w:rsid w:val="00E432D4"/>
    <w:rsid w:val="00E43424"/>
    <w:rsid w:val="00E4382C"/>
    <w:rsid w:val="00E657AF"/>
    <w:rsid w:val="00E72A9F"/>
    <w:rsid w:val="00E8001F"/>
    <w:rsid w:val="00E82D61"/>
    <w:rsid w:val="00EA1439"/>
    <w:rsid w:val="00EA3BF7"/>
    <w:rsid w:val="00EA7DB9"/>
    <w:rsid w:val="00EB07A8"/>
    <w:rsid w:val="00EC5819"/>
    <w:rsid w:val="00ED6B16"/>
    <w:rsid w:val="00EE5179"/>
    <w:rsid w:val="00EF0350"/>
    <w:rsid w:val="00EF4E28"/>
    <w:rsid w:val="00F1657E"/>
    <w:rsid w:val="00F21E23"/>
    <w:rsid w:val="00F23AF5"/>
    <w:rsid w:val="00F36C79"/>
    <w:rsid w:val="00F4736C"/>
    <w:rsid w:val="00F57756"/>
    <w:rsid w:val="00F60D37"/>
    <w:rsid w:val="00F6170F"/>
    <w:rsid w:val="00F711DF"/>
    <w:rsid w:val="00F74B8A"/>
    <w:rsid w:val="00F921E0"/>
    <w:rsid w:val="00F96CA5"/>
    <w:rsid w:val="00FB3348"/>
    <w:rsid w:val="00FC0D84"/>
    <w:rsid w:val="00FC3C9B"/>
    <w:rsid w:val="00FE038A"/>
    <w:rsid w:val="00FE18CB"/>
    <w:rsid w:val="00FE511A"/>
    <w:rsid w:val="00FF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C81"/>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87C81"/>
    <w:rPr>
      <w:rFonts w:ascii="Times New Roman" w:eastAsia="Times New Roman" w:hAnsi="Times New Roman" w:cs="Times New Roman"/>
      <w:b/>
      <w:sz w:val="24"/>
      <w:szCs w:val="24"/>
    </w:rPr>
  </w:style>
  <w:style w:type="paragraph" w:styleId="BodyText2">
    <w:name w:val="Body Text 2"/>
    <w:basedOn w:val="Normal"/>
    <w:link w:val="BodyText2Char"/>
    <w:rsid w:val="00587C8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87C81"/>
    <w:rPr>
      <w:rFonts w:ascii="Times New Roman" w:eastAsia="Times New Roman" w:hAnsi="Times New Roman" w:cs="Times New Roman"/>
      <w:sz w:val="28"/>
      <w:szCs w:val="20"/>
    </w:rPr>
  </w:style>
  <w:style w:type="character" w:styleId="CommentReference">
    <w:name w:val="annotation reference"/>
    <w:uiPriority w:val="99"/>
    <w:semiHidden/>
    <w:unhideWhenUsed/>
    <w:rsid w:val="00A75770"/>
    <w:rPr>
      <w:sz w:val="16"/>
      <w:szCs w:val="16"/>
    </w:rPr>
  </w:style>
  <w:style w:type="paragraph" w:styleId="CommentText">
    <w:name w:val="annotation text"/>
    <w:basedOn w:val="Normal"/>
    <w:link w:val="CommentTextChar"/>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5770"/>
    <w:rPr>
      <w:rFonts w:ascii="Times New Roman" w:eastAsia="Times New Roman" w:hAnsi="Times New Roman" w:cs="Times New Roman"/>
      <w:sz w:val="20"/>
      <w:szCs w:val="20"/>
    </w:rPr>
  </w:style>
  <w:style w:type="paragraph" w:styleId="FootnoteText">
    <w:name w:val="footnote text"/>
    <w:basedOn w:val="Normal"/>
    <w:link w:val="FootnoteTextChar"/>
    <w:rsid w:val="00A7577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A75770"/>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75770"/>
    <w:rPr>
      <w:vertAlign w:val="superscript"/>
    </w:rPr>
  </w:style>
  <w:style w:type="paragraph" w:styleId="BalloonText">
    <w:name w:val="Balloon Text"/>
    <w:basedOn w:val="Normal"/>
    <w:link w:val="BalloonTextChar"/>
    <w:uiPriority w:val="99"/>
    <w:semiHidden/>
    <w:unhideWhenUsed/>
    <w:rsid w:val="00A7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50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50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55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595"/>
  </w:style>
  <w:style w:type="paragraph" w:styleId="Footer">
    <w:name w:val="footer"/>
    <w:basedOn w:val="Normal"/>
    <w:link w:val="FooterChar"/>
    <w:uiPriority w:val="99"/>
    <w:unhideWhenUsed/>
    <w:rsid w:val="00CF55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595"/>
  </w:style>
  <w:style w:type="paragraph" w:styleId="ListParagraph">
    <w:name w:val="List Paragraph"/>
    <w:basedOn w:val="Normal"/>
    <w:uiPriority w:val="34"/>
    <w:qFormat/>
    <w:rsid w:val="00CF5595"/>
    <w:pPr>
      <w:ind w:left="720"/>
      <w:contextualSpacing/>
    </w:pPr>
  </w:style>
  <w:style w:type="paragraph" w:styleId="Revision">
    <w:name w:val="Revision"/>
    <w:hidden/>
    <w:uiPriority w:val="99"/>
    <w:semiHidden/>
    <w:rsid w:val="00726825"/>
    <w:pPr>
      <w:spacing w:after="0" w:line="240" w:lineRule="auto"/>
    </w:pPr>
  </w:style>
  <w:style w:type="character" w:styleId="Hyperlink">
    <w:name w:val="Hyperlink"/>
    <w:basedOn w:val="DefaultParagraphFont"/>
    <w:uiPriority w:val="99"/>
    <w:unhideWhenUsed/>
    <w:rsid w:val="008417EF"/>
    <w:rPr>
      <w:color w:val="0563C1" w:themeColor="hyperlink"/>
      <w:u w:val="single"/>
    </w:rPr>
  </w:style>
  <w:style w:type="paragraph" w:styleId="NormalWeb">
    <w:name w:val="Normal (Web)"/>
    <w:basedOn w:val="Normal"/>
    <w:uiPriority w:val="99"/>
    <w:semiHidden/>
    <w:unhideWhenUsed/>
    <w:rsid w:val="008417EF"/>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68651">
      <w:bodyDiv w:val="1"/>
      <w:marLeft w:val="0"/>
      <w:marRight w:val="0"/>
      <w:marTop w:val="0"/>
      <w:marBottom w:val="0"/>
      <w:divBdr>
        <w:top w:val="none" w:sz="0" w:space="0" w:color="auto"/>
        <w:left w:val="none" w:sz="0" w:space="0" w:color="auto"/>
        <w:bottom w:val="none" w:sz="0" w:space="0" w:color="auto"/>
        <w:right w:val="none" w:sz="0" w:space="0" w:color="auto"/>
      </w:divBdr>
    </w:div>
    <w:div w:id="18432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s.Auzins@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TAP xmlns="49b0bb89-35b3-4114-9b1c-a376ef2ba045">35</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D8360-7E34-4E65-95CD-9C7D3DC190E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736749FF-4C5B-4161-8051-67E737D047CD}">
  <ds:schemaRefs>
    <ds:schemaRef ds:uri="http://schemas.microsoft.com/sharepoint/v3/contenttype/forms"/>
  </ds:schemaRefs>
</ds:datastoreItem>
</file>

<file path=customXml/itemProps3.xml><?xml version="1.0" encoding="utf-8"?>
<ds:datastoreItem xmlns:ds="http://schemas.openxmlformats.org/officeDocument/2006/customXml" ds:itemID="{7C2641C2-6503-4709-8345-C06BABE23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3F5C5-85F8-4EAA-8FDC-E9B440B5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11456</Words>
  <Characters>6531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14.novembra noteikumos Nr.677 “Uzņēmumu ienākuma nodokļa likuma normu piemērošanas noteikumi””sākotnējās ietekmes novērtējuma ziņojums (anotācija)</vt:lpstr>
    </vt:vector>
  </TitlesOfParts>
  <Manager/>
  <Company>FM</Company>
  <LinksUpToDate>false</LinksUpToDate>
  <CharactersWithSpaces>17952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14.novembra noteikumos Nr.677 “Uzņēmumu ienākuma nodokļa likuma normu piemērošanas noteikumi””sākotnējās ietekmes novērtējuma ziņojums (anotācija)</dc:title>
  <dc:subject>Anotācija</dc:subject>
  <dc:creator>R.Auziņš</dc:creator>
  <cp:keywords/>
  <dc:description>Roberts Auziņš_x000d_
67083919</dc:description>
  <cp:lastModifiedBy>Inguna Dancīte</cp:lastModifiedBy>
  <cp:revision>2</cp:revision>
  <cp:lastPrinted>2018-12-06T08:07:00Z</cp:lastPrinted>
  <dcterms:created xsi:type="dcterms:W3CDTF">2019-04-15T09:10:00Z</dcterms:created>
  <dcterms:modified xsi:type="dcterms:W3CDTF">2019-04-15T09:10:00Z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