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80A1" w14:textId="77777777" w:rsidR="007116C7" w:rsidRPr="00AC37A9" w:rsidRDefault="007116C7" w:rsidP="00DB7395">
      <w:pPr>
        <w:pStyle w:val="naislab"/>
        <w:spacing w:before="0" w:after="0"/>
        <w:ind w:firstLine="720"/>
        <w:rPr>
          <w:color w:val="000000" w:themeColor="text1"/>
          <w:sz w:val="22"/>
          <w:szCs w:val="22"/>
        </w:rPr>
      </w:pPr>
      <w:r w:rsidRPr="00AC37A9">
        <w:rPr>
          <w:color w:val="000000" w:themeColor="text1"/>
          <w:sz w:val="22"/>
          <w:szCs w:val="22"/>
        </w:rPr>
        <w:t> </w:t>
      </w:r>
    </w:p>
    <w:p w14:paraId="4C19A4A9" w14:textId="77777777" w:rsidR="007116C7" w:rsidRPr="00AC37A9" w:rsidRDefault="007116C7" w:rsidP="00DB7395">
      <w:pPr>
        <w:pStyle w:val="naisnod"/>
        <w:spacing w:before="0" w:after="0"/>
        <w:ind w:firstLine="720"/>
        <w:rPr>
          <w:b w:val="0"/>
          <w:color w:val="000000" w:themeColor="text1"/>
          <w:sz w:val="22"/>
          <w:szCs w:val="22"/>
        </w:rPr>
      </w:pPr>
      <w:r w:rsidRPr="00AC37A9">
        <w:rPr>
          <w:b w:val="0"/>
          <w:color w:val="000000" w:themeColor="text1"/>
          <w:sz w:val="22"/>
          <w:szCs w:val="22"/>
        </w:rPr>
        <w:t>Izziņa par atzinumos sniegtajiem iebildumiem</w:t>
      </w:r>
    </w:p>
    <w:p w14:paraId="0ECED11F" w14:textId="77777777" w:rsidR="007116C7" w:rsidRPr="00AC37A9" w:rsidRDefault="007116C7" w:rsidP="00DB7395">
      <w:pPr>
        <w:pStyle w:val="naisf"/>
        <w:spacing w:before="0" w:after="0"/>
        <w:ind w:firstLine="720"/>
        <w:rPr>
          <w:color w:val="000000" w:themeColor="text1"/>
          <w:sz w:val="22"/>
          <w:szCs w:val="22"/>
        </w:rPr>
      </w:pPr>
    </w:p>
    <w:tbl>
      <w:tblPr>
        <w:tblW w:w="0" w:type="auto"/>
        <w:jc w:val="center"/>
        <w:tblLook w:val="00A0" w:firstRow="1" w:lastRow="0" w:firstColumn="1" w:lastColumn="0" w:noHBand="0" w:noVBand="0"/>
      </w:tblPr>
      <w:tblGrid>
        <w:gridCol w:w="11340"/>
      </w:tblGrid>
      <w:tr w:rsidR="00117519" w:rsidRPr="00AC37A9" w14:paraId="44E741CE" w14:textId="77777777" w:rsidTr="00DD3523">
        <w:trPr>
          <w:jc w:val="center"/>
        </w:trPr>
        <w:tc>
          <w:tcPr>
            <w:tcW w:w="11340" w:type="dxa"/>
            <w:tcBorders>
              <w:bottom w:val="single" w:sz="6" w:space="0" w:color="000000"/>
            </w:tcBorders>
          </w:tcPr>
          <w:p w14:paraId="2F39510E" w14:textId="77777777" w:rsidR="007116C7" w:rsidRPr="00AC37A9" w:rsidRDefault="004D5580" w:rsidP="00C1651B">
            <w:pPr>
              <w:ind w:firstLine="720"/>
              <w:jc w:val="center"/>
              <w:rPr>
                <w:color w:val="000000" w:themeColor="text1"/>
                <w:sz w:val="22"/>
                <w:szCs w:val="22"/>
              </w:rPr>
            </w:pPr>
            <w:r w:rsidRPr="00AC37A9">
              <w:rPr>
                <w:color w:val="000000" w:themeColor="text1"/>
                <w:sz w:val="22"/>
                <w:szCs w:val="22"/>
              </w:rPr>
              <w:t>Ministru kabineta noteikumu</w:t>
            </w:r>
            <w:r w:rsidR="00451270" w:rsidRPr="00AC37A9">
              <w:rPr>
                <w:color w:val="000000" w:themeColor="text1"/>
                <w:sz w:val="22"/>
                <w:szCs w:val="22"/>
              </w:rPr>
              <w:t xml:space="preserve"> </w:t>
            </w:r>
            <w:r w:rsidR="00C1651B" w:rsidRPr="00AC37A9">
              <w:rPr>
                <w:color w:val="000000" w:themeColor="text1"/>
                <w:sz w:val="22"/>
                <w:szCs w:val="22"/>
              </w:rPr>
              <w:t>“</w:t>
            </w:r>
            <w:r w:rsidRPr="00AC37A9">
              <w:rPr>
                <w:color w:val="000000" w:themeColor="text1"/>
                <w:sz w:val="22"/>
                <w:szCs w:val="22"/>
              </w:rPr>
              <w:t>Piemērojamais elektroniskā rēķina standarts un tā pamatelementu izmantošanas specifikācija un aprites kārtība</w:t>
            </w:r>
            <w:r w:rsidR="00483A8D" w:rsidRPr="00AC37A9">
              <w:rPr>
                <w:color w:val="000000" w:themeColor="text1"/>
                <w:sz w:val="22"/>
                <w:szCs w:val="22"/>
              </w:rPr>
              <w:t>”</w:t>
            </w:r>
            <w:r w:rsidR="007D6514" w:rsidRPr="00AC37A9">
              <w:rPr>
                <w:color w:val="000000" w:themeColor="text1"/>
                <w:sz w:val="22"/>
                <w:szCs w:val="22"/>
              </w:rPr>
              <w:t xml:space="preserve"> </w:t>
            </w:r>
            <w:r w:rsidRPr="00AC37A9">
              <w:rPr>
                <w:color w:val="000000" w:themeColor="text1"/>
                <w:sz w:val="22"/>
                <w:szCs w:val="22"/>
              </w:rPr>
              <w:t xml:space="preserve"> projektam</w:t>
            </w:r>
          </w:p>
        </w:tc>
      </w:tr>
    </w:tbl>
    <w:p w14:paraId="76D44CC1" w14:textId="77777777" w:rsidR="007116C7" w:rsidRPr="00AC37A9" w:rsidRDefault="007116C7" w:rsidP="009623BC">
      <w:pPr>
        <w:pStyle w:val="naisc"/>
        <w:spacing w:before="0" w:after="0"/>
        <w:ind w:firstLine="1080"/>
        <w:rPr>
          <w:color w:val="000000" w:themeColor="text1"/>
          <w:sz w:val="22"/>
          <w:szCs w:val="22"/>
        </w:rPr>
      </w:pPr>
      <w:r w:rsidRPr="00AC37A9">
        <w:rPr>
          <w:color w:val="000000" w:themeColor="text1"/>
          <w:sz w:val="22"/>
          <w:szCs w:val="22"/>
        </w:rPr>
        <w:t>(dokumenta veids un nosaukums)</w:t>
      </w:r>
    </w:p>
    <w:p w14:paraId="49918EE9" w14:textId="77777777" w:rsidR="007B4C0F" w:rsidRPr="00AC37A9" w:rsidRDefault="007B4C0F" w:rsidP="00DB7395">
      <w:pPr>
        <w:pStyle w:val="naisf"/>
        <w:spacing w:before="0" w:after="0"/>
        <w:ind w:firstLine="720"/>
        <w:rPr>
          <w:color w:val="000000" w:themeColor="text1"/>
          <w:sz w:val="22"/>
          <w:szCs w:val="22"/>
        </w:rPr>
      </w:pPr>
    </w:p>
    <w:p w14:paraId="702451CA" w14:textId="77777777" w:rsidR="007B4C0F" w:rsidRPr="00AC37A9" w:rsidRDefault="007B4C0F" w:rsidP="00184479">
      <w:pPr>
        <w:pStyle w:val="naisf"/>
        <w:spacing w:before="0" w:after="0"/>
        <w:ind w:firstLine="0"/>
        <w:jc w:val="center"/>
        <w:rPr>
          <w:color w:val="000000" w:themeColor="text1"/>
          <w:sz w:val="22"/>
          <w:szCs w:val="22"/>
        </w:rPr>
      </w:pPr>
      <w:r w:rsidRPr="00AC37A9">
        <w:rPr>
          <w:color w:val="000000" w:themeColor="text1"/>
          <w:sz w:val="22"/>
          <w:szCs w:val="22"/>
        </w:rPr>
        <w:t xml:space="preserve">I. Jautājumi, par kuriem saskaņošanā </w:t>
      </w:r>
      <w:r w:rsidR="00134188" w:rsidRPr="00AC37A9">
        <w:rPr>
          <w:color w:val="000000" w:themeColor="text1"/>
          <w:sz w:val="22"/>
          <w:szCs w:val="22"/>
        </w:rPr>
        <w:t xml:space="preserve">vienošanās </w:t>
      </w:r>
      <w:r w:rsidRPr="00AC37A9">
        <w:rPr>
          <w:color w:val="000000" w:themeColor="text1"/>
          <w:sz w:val="22"/>
          <w:szCs w:val="22"/>
        </w:rPr>
        <w:t>nav panākta</w:t>
      </w:r>
    </w:p>
    <w:p w14:paraId="3C62A7B9" w14:textId="77777777" w:rsidR="007B4C0F" w:rsidRPr="00AC37A9" w:rsidRDefault="007B4C0F" w:rsidP="00DB7395">
      <w:pPr>
        <w:pStyle w:val="naisf"/>
        <w:spacing w:before="0" w:after="0"/>
        <w:ind w:firstLine="720"/>
        <w:rPr>
          <w:color w:val="000000" w:themeColor="text1"/>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1869"/>
        <w:gridCol w:w="2510"/>
      </w:tblGrid>
      <w:tr w:rsidR="00117519" w:rsidRPr="00AC37A9" w14:paraId="066DAC2C" w14:textId="77777777" w:rsidTr="00CF0BA0">
        <w:tc>
          <w:tcPr>
            <w:tcW w:w="708" w:type="dxa"/>
            <w:tcBorders>
              <w:top w:val="single" w:sz="6" w:space="0" w:color="000000"/>
              <w:left w:val="single" w:sz="6" w:space="0" w:color="000000"/>
              <w:bottom w:val="single" w:sz="6" w:space="0" w:color="000000"/>
              <w:right w:val="single" w:sz="6" w:space="0" w:color="000000"/>
            </w:tcBorders>
            <w:vAlign w:val="center"/>
          </w:tcPr>
          <w:p w14:paraId="2FC92911" w14:textId="77777777" w:rsidR="005F4BFD" w:rsidRPr="00AC37A9" w:rsidRDefault="005F4BFD" w:rsidP="00155D68">
            <w:pPr>
              <w:pStyle w:val="naisc"/>
              <w:spacing w:before="0" w:after="0"/>
              <w:rPr>
                <w:color w:val="000000" w:themeColor="text1"/>
                <w:sz w:val="22"/>
                <w:szCs w:val="22"/>
              </w:rPr>
            </w:pPr>
            <w:r w:rsidRPr="00AC37A9">
              <w:rPr>
                <w:color w:val="000000" w:themeColor="text1"/>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5339483E" w14:textId="77777777" w:rsidR="005F4BFD" w:rsidRPr="00AC37A9" w:rsidRDefault="005F4BFD" w:rsidP="00155D68">
            <w:pPr>
              <w:pStyle w:val="naisc"/>
              <w:spacing w:before="0" w:after="0"/>
              <w:ind w:firstLine="12"/>
              <w:rPr>
                <w:color w:val="000000" w:themeColor="text1"/>
                <w:sz w:val="22"/>
                <w:szCs w:val="22"/>
              </w:rPr>
            </w:pPr>
            <w:r w:rsidRPr="00AC37A9">
              <w:rPr>
                <w:color w:val="000000" w:themeColor="text1"/>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7954EE9" w14:textId="77777777" w:rsidR="005F4BFD" w:rsidRPr="00AC37A9" w:rsidRDefault="005F4BFD" w:rsidP="00433B26">
            <w:pPr>
              <w:pStyle w:val="naisc"/>
              <w:spacing w:before="0" w:after="0"/>
              <w:ind w:right="3"/>
              <w:rPr>
                <w:color w:val="000000" w:themeColor="text1"/>
                <w:sz w:val="22"/>
                <w:szCs w:val="22"/>
              </w:rPr>
            </w:pPr>
            <w:r w:rsidRPr="00AC37A9">
              <w:rPr>
                <w:color w:val="000000" w:themeColor="text1"/>
                <w:sz w:val="22"/>
                <w:szCs w:val="22"/>
              </w:rPr>
              <w:t>Atzinumā norādītais ministrijas (citas institūcijas) iebildums</w:t>
            </w:r>
            <w:r w:rsidR="00184479" w:rsidRPr="00AC37A9">
              <w:rPr>
                <w:color w:val="000000" w:themeColor="text1"/>
                <w:sz w:val="22"/>
                <w:szCs w:val="22"/>
              </w:rPr>
              <w:t>,</w:t>
            </w:r>
            <w:r w:rsidR="000E5509" w:rsidRPr="00AC37A9">
              <w:rPr>
                <w:color w:val="000000" w:themeColor="text1"/>
                <w:sz w:val="22"/>
                <w:szCs w:val="22"/>
              </w:rPr>
              <w:t xml:space="preserve"> kā arī saskaņošanā papildus izteiktais iebildums</w:t>
            </w:r>
            <w:r w:rsidRPr="00AC37A9">
              <w:rPr>
                <w:color w:val="000000" w:themeColor="text1"/>
                <w:sz w:val="22"/>
                <w:szCs w:val="22"/>
              </w:rPr>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16011910" w14:textId="77777777" w:rsidR="005F4BFD" w:rsidRPr="00AC37A9" w:rsidRDefault="005F4BFD" w:rsidP="00155D68">
            <w:pPr>
              <w:pStyle w:val="naisc"/>
              <w:spacing w:before="0" w:after="0"/>
              <w:ind w:firstLine="21"/>
              <w:rPr>
                <w:color w:val="000000" w:themeColor="text1"/>
                <w:sz w:val="22"/>
                <w:szCs w:val="22"/>
              </w:rPr>
            </w:pPr>
            <w:r w:rsidRPr="00AC37A9">
              <w:rPr>
                <w:color w:val="000000" w:themeColor="text1"/>
                <w:sz w:val="22"/>
                <w:szCs w:val="22"/>
              </w:rPr>
              <w:t>Atbildīgās ministrijas pamatojums</w:t>
            </w:r>
            <w:r w:rsidR="009307F2" w:rsidRPr="00AC37A9">
              <w:rPr>
                <w:color w:val="000000" w:themeColor="text1"/>
                <w:sz w:val="22"/>
                <w:szCs w:val="22"/>
              </w:rPr>
              <w:t xml:space="preserve"> iebilduma noraidījumam</w:t>
            </w:r>
          </w:p>
        </w:tc>
        <w:tc>
          <w:tcPr>
            <w:tcW w:w="1869" w:type="dxa"/>
            <w:tcBorders>
              <w:top w:val="single" w:sz="4" w:space="0" w:color="auto"/>
              <w:left w:val="single" w:sz="4" w:space="0" w:color="auto"/>
              <w:bottom w:val="single" w:sz="4" w:space="0" w:color="auto"/>
              <w:right w:val="single" w:sz="4" w:space="0" w:color="auto"/>
            </w:tcBorders>
            <w:vAlign w:val="center"/>
          </w:tcPr>
          <w:p w14:paraId="432B3B2D" w14:textId="77777777" w:rsidR="005F4BFD" w:rsidRPr="00AC37A9" w:rsidRDefault="005F4BFD" w:rsidP="00155D68">
            <w:pPr>
              <w:jc w:val="center"/>
              <w:rPr>
                <w:color w:val="000000" w:themeColor="text1"/>
                <w:sz w:val="22"/>
                <w:szCs w:val="22"/>
              </w:rPr>
            </w:pPr>
            <w:r w:rsidRPr="00AC37A9">
              <w:rPr>
                <w:color w:val="000000" w:themeColor="text1"/>
                <w:sz w:val="22"/>
                <w:szCs w:val="22"/>
              </w:rPr>
              <w:t>Atzinuma sniedzēja uzturētais iebildums, ja tas atšķiras no atzinumā norādītā iebilduma pamatojuma</w:t>
            </w:r>
          </w:p>
        </w:tc>
        <w:tc>
          <w:tcPr>
            <w:tcW w:w="2510" w:type="dxa"/>
            <w:tcBorders>
              <w:top w:val="single" w:sz="4" w:space="0" w:color="auto"/>
              <w:left w:val="single" w:sz="4" w:space="0" w:color="auto"/>
              <w:bottom w:val="single" w:sz="4" w:space="0" w:color="auto"/>
            </w:tcBorders>
            <w:vAlign w:val="center"/>
          </w:tcPr>
          <w:p w14:paraId="6C8A084F" w14:textId="77777777" w:rsidR="005F4BFD" w:rsidRPr="00AC37A9" w:rsidRDefault="005F4BFD" w:rsidP="00155D68">
            <w:pPr>
              <w:jc w:val="center"/>
              <w:rPr>
                <w:color w:val="000000" w:themeColor="text1"/>
                <w:sz w:val="22"/>
                <w:szCs w:val="22"/>
              </w:rPr>
            </w:pPr>
            <w:r w:rsidRPr="00AC37A9">
              <w:rPr>
                <w:color w:val="000000" w:themeColor="text1"/>
                <w:sz w:val="22"/>
                <w:szCs w:val="22"/>
              </w:rPr>
              <w:t>Projekta attiecīgā punkta (panta) galīgā redakcija</w:t>
            </w:r>
          </w:p>
        </w:tc>
      </w:tr>
      <w:tr w:rsidR="00117519" w:rsidRPr="00AC37A9" w14:paraId="5F2000BB" w14:textId="77777777" w:rsidTr="00CF0BA0">
        <w:tc>
          <w:tcPr>
            <w:tcW w:w="708" w:type="dxa"/>
            <w:tcBorders>
              <w:top w:val="single" w:sz="6" w:space="0" w:color="000000"/>
              <w:left w:val="single" w:sz="6" w:space="0" w:color="000000"/>
              <w:bottom w:val="single" w:sz="6" w:space="0" w:color="000000"/>
              <w:right w:val="single" w:sz="6" w:space="0" w:color="000000"/>
            </w:tcBorders>
          </w:tcPr>
          <w:p w14:paraId="3872D5FF" w14:textId="77777777" w:rsidR="005F4BFD" w:rsidRPr="00AC37A9" w:rsidRDefault="008A36C9" w:rsidP="00155D68">
            <w:pPr>
              <w:pStyle w:val="naisc"/>
              <w:spacing w:before="0" w:after="0"/>
              <w:rPr>
                <w:color w:val="000000" w:themeColor="text1"/>
                <w:sz w:val="22"/>
                <w:szCs w:val="22"/>
              </w:rPr>
            </w:pPr>
            <w:r w:rsidRPr="00AC37A9">
              <w:rPr>
                <w:color w:val="000000" w:themeColor="text1"/>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28887274" w14:textId="77777777" w:rsidR="005F4BFD" w:rsidRPr="00AC37A9" w:rsidRDefault="008A36C9" w:rsidP="00155D68">
            <w:pPr>
              <w:pStyle w:val="naisc"/>
              <w:spacing w:before="0" w:after="0"/>
              <w:ind w:firstLine="1"/>
              <w:rPr>
                <w:color w:val="000000" w:themeColor="text1"/>
                <w:sz w:val="22"/>
                <w:szCs w:val="22"/>
              </w:rPr>
            </w:pPr>
            <w:r w:rsidRPr="00AC37A9">
              <w:rPr>
                <w:color w:val="000000" w:themeColor="text1"/>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159B8550" w14:textId="77777777" w:rsidR="005F4BFD" w:rsidRPr="00AC37A9" w:rsidRDefault="008A36C9" w:rsidP="00433B26">
            <w:pPr>
              <w:pStyle w:val="naisc"/>
              <w:spacing w:before="0" w:after="0"/>
              <w:jc w:val="both"/>
              <w:rPr>
                <w:color w:val="000000" w:themeColor="text1"/>
                <w:sz w:val="22"/>
                <w:szCs w:val="22"/>
              </w:rPr>
            </w:pPr>
            <w:r w:rsidRPr="00AC37A9">
              <w:rPr>
                <w:color w:val="000000" w:themeColor="text1"/>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0A56183F" w14:textId="77777777" w:rsidR="005F4BFD" w:rsidRPr="00AC37A9" w:rsidRDefault="008A36C9" w:rsidP="00155D68">
            <w:pPr>
              <w:pStyle w:val="naisc"/>
              <w:spacing w:before="0" w:after="0"/>
              <w:rPr>
                <w:color w:val="000000" w:themeColor="text1"/>
                <w:sz w:val="22"/>
                <w:szCs w:val="22"/>
              </w:rPr>
            </w:pPr>
            <w:r w:rsidRPr="00AC37A9">
              <w:rPr>
                <w:color w:val="000000" w:themeColor="text1"/>
                <w:sz w:val="22"/>
                <w:szCs w:val="22"/>
              </w:rPr>
              <w:t>4</w:t>
            </w:r>
          </w:p>
        </w:tc>
        <w:tc>
          <w:tcPr>
            <w:tcW w:w="1869" w:type="dxa"/>
            <w:tcBorders>
              <w:top w:val="single" w:sz="4" w:space="0" w:color="auto"/>
              <w:left w:val="single" w:sz="4" w:space="0" w:color="auto"/>
              <w:bottom w:val="single" w:sz="4" w:space="0" w:color="auto"/>
              <w:right w:val="single" w:sz="4" w:space="0" w:color="auto"/>
            </w:tcBorders>
          </w:tcPr>
          <w:p w14:paraId="23ECD59F" w14:textId="77777777" w:rsidR="005F4BFD" w:rsidRPr="00AC37A9" w:rsidRDefault="008A36C9" w:rsidP="00155D68">
            <w:pPr>
              <w:jc w:val="center"/>
              <w:rPr>
                <w:color w:val="000000" w:themeColor="text1"/>
                <w:sz w:val="22"/>
                <w:szCs w:val="22"/>
              </w:rPr>
            </w:pPr>
            <w:r w:rsidRPr="00AC37A9">
              <w:rPr>
                <w:color w:val="000000" w:themeColor="text1"/>
                <w:sz w:val="22"/>
                <w:szCs w:val="22"/>
              </w:rPr>
              <w:t>5</w:t>
            </w:r>
          </w:p>
        </w:tc>
        <w:tc>
          <w:tcPr>
            <w:tcW w:w="2510" w:type="dxa"/>
            <w:tcBorders>
              <w:top w:val="single" w:sz="4" w:space="0" w:color="auto"/>
              <w:left w:val="single" w:sz="4" w:space="0" w:color="auto"/>
              <w:bottom w:val="single" w:sz="4" w:space="0" w:color="auto"/>
            </w:tcBorders>
          </w:tcPr>
          <w:p w14:paraId="4FCBF918" w14:textId="77777777" w:rsidR="005F4BFD" w:rsidRPr="00AC37A9" w:rsidRDefault="008A36C9" w:rsidP="00155D68">
            <w:pPr>
              <w:jc w:val="center"/>
              <w:rPr>
                <w:color w:val="000000" w:themeColor="text1"/>
                <w:sz w:val="22"/>
                <w:szCs w:val="22"/>
              </w:rPr>
            </w:pPr>
            <w:r w:rsidRPr="00AC37A9">
              <w:rPr>
                <w:color w:val="000000" w:themeColor="text1"/>
                <w:sz w:val="22"/>
                <w:szCs w:val="22"/>
              </w:rPr>
              <w:t>6</w:t>
            </w:r>
          </w:p>
        </w:tc>
      </w:tr>
      <w:tr w:rsidR="008A64FB" w:rsidRPr="00AC37A9" w14:paraId="51C9CA8C" w14:textId="77777777" w:rsidTr="00CF0BA0">
        <w:tc>
          <w:tcPr>
            <w:tcW w:w="708" w:type="dxa"/>
            <w:tcBorders>
              <w:top w:val="single" w:sz="6" w:space="0" w:color="000000"/>
              <w:left w:val="single" w:sz="6" w:space="0" w:color="000000"/>
              <w:bottom w:val="single" w:sz="6" w:space="0" w:color="000000"/>
              <w:right w:val="single" w:sz="6" w:space="0" w:color="000000"/>
            </w:tcBorders>
          </w:tcPr>
          <w:p w14:paraId="15DE5B16" w14:textId="77777777" w:rsidR="008A64FB" w:rsidRPr="00AC37A9" w:rsidRDefault="008A64FB" w:rsidP="00155D68">
            <w:pPr>
              <w:pStyle w:val="naisc"/>
              <w:spacing w:before="0" w:after="0"/>
              <w:rPr>
                <w:color w:val="000000" w:themeColor="text1"/>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E592AF2" w14:textId="77777777" w:rsidR="008A64FB" w:rsidRPr="00AC37A9" w:rsidRDefault="008A64FB" w:rsidP="00155D68">
            <w:pPr>
              <w:pStyle w:val="naisc"/>
              <w:spacing w:before="0" w:after="0"/>
              <w:ind w:firstLine="1"/>
              <w:rPr>
                <w:color w:val="000000" w:themeColor="text1"/>
                <w:sz w:val="22"/>
                <w:szCs w:val="22"/>
              </w:rPr>
            </w:pPr>
          </w:p>
        </w:tc>
        <w:tc>
          <w:tcPr>
            <w:tcW w:w="3118" w:type="dxa"/>
            <w:tcBorders>
              <w:top w:val="single" w:sz="6" w:space="0" w:color="000000"/>
              <w:left w:val="single" w:sz="6" w:space="0" w:color="000000"/>
              <w:bottom w:val="single" w:sz="6" w:space="0" w:color="000000"/>
              <w:right w:val="single" w:sz="6" w:space="0" w:color="000000"/>
            </w:tcBorders>
          </w:tcPr>
          <w:p w14:paraId="0DD13220" w14:textId="77777777" w:rsidR="008A64FB" w:rsidRPr="00AC37A9" w:rsidRDefault="008A64FB" w:rsidP="00433B26">
            <w:pPr>
              <w:pStyle w:val="naisc"/>
              <w:spacing w:before="0" w:after="0"/>
              <w:jc w:val="both"/>
              <w:rPr>
                <w:color w:val="000000" w:themeColor="text1"/>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2D7CAF8C" w14:textId="77777777" w:rsidR="008A64FB" w:rsidRPr="00AC37A9" w:rsidRDefault="008A64FB" w:rsidP="00155D68">
            <w:pPr>
              <w:pStyle w:val="naisc"/>
              <w:spacing w:before="0" w:after="0"/>
              <w:rPr>
                <w:color w:val="000000" w:themeColor="text1"/>
                <w:sz w:val="22"/>
                <w:szCs w:val="22"/>
              </w:rPr>
            </w:pPr>
          </w:p>
        </w:tc>
        <w:tc>
          <w:tcPr>
            <w:tcW w:w="1869" w:type="dxa"/>
            <w:tcBorders>
              <w:top w:val="single" w:sz="4" w:space="0" w:color="auto"/>
              <w:left w:val="single" w:sz="4" w:space="0" w:color="auto"/>
              <w:bottom w:val="single" w:sz="4" w:space="0" w:color="auto"/>
              <w:right w:val="single" w:sz="4" w:space="0" w:color="auto"/>
            </w:tcBorders>
          </w:tcPr>
          <w:p w14:paraId="236750FF" w14:textId="77777777" w:rsidR="008A64FB" w:rsidRPr="00AC37A9" w:rsidRDefault="008A64FB" w:rsidP="00155D68">
            <w:pPr>
              <w:jc w:val="center"/>
              <w:rPr>
                <w:color w:val="000000" w:themeColor="text1"/>
                <w:sz w:val="22"/>
                <w:szCs w:val="22"/>
              </w:rPr>
            </w:pPr>
          </w:p>
        </w:tc>
        <w:tc>
          <w:tcPr>
            <w:tcW w:w="2510" w:type="dxa"/>
            <w:tcBorders>
              <w:top w:val="single" w:sz="4" w:space="0" w:color="auto"/>
              <w:left w:val="single" w:sz="4" w:space="0" w:color="auto"/>
              <w:bottom w:val="single" w:sz="4" w:space="0" w:color="auto"/>
            </w:tcBorders>
          </w:tcPr>
          <w:p w14:paraId="4D9B16E2" w14:textId="77777777" w:rsidR="008A64FB" w:rsidRPr="00AC37A9" w:rsidRDefault="008A64FB" w:rsidP="00155D68">
            <w:pPr>
              <w:jc w:val="center"/>
              <w:rPr>
                <w:color w:val="000000" w:themeColor="text1"/>
                <w:sz w:val="22"/>
                <w:szCs w:val="22"/>
              </w:rPr>
            </w:pPr>
          </w:p>
        </w:tc>
      </w:tr>
    </w:tbl>
    <w:p w14:paraId="08AB462F" w14:textId="77777777" w:rsidR="007B4C0F" w:rsidRPr="00AC37A9" w:rsidRDefault="007B4C0F" w:rsidP="00BB0CC5">
      <w:pPr>
        <w:pStyle w:val="naisf"/>
        <w:spacing w:before="0" w:after="0"/>
        <w:ind w:firstLine="0"/>
        <w:rPr>
          <w:color w:val="000000" w:themeColor="text1"/>
          <w:sz w:val="22"/>
          <w:szCs w:val="22"/>
        </w:rPr>
      </w:pPr>
    </w:p>
    <w:p w14:paraId="2DB0292E" w14:textId="77777777" w:rsidR="005D67F7" w:rsidRPr="00AC37A9" w:rsidRDefault="005D67F7" w:rsidP="005D67F7">
      <w:pPr>
        <w:pStyle w:val="naisf"/>
        <w:spacing w:before="0" w:after="0"/>
        <w:ind w:firstLine="0"/>
        <w:rPr>
          <w:color w:val="000000" w:themeColor="text1"/>
          <w:sz w:val="22"/>
          <w:szCs w:val="22"/>
        </w:rPr>
      </w:pPr>
      <w:r w:rsidRPr="00AC37A9">
        <w:rPr>
          <w:color w:val="000000" w:themeColor="text1"/>
          <w:sz w:val="22"/>
          <w:szCs w:val="22"/>
        </w:rPr>
        <w:t xml:space="preserve">Informācija par </w:t>
      </w:r>
      <w:proofErr w:type="spellStart"/>
      <w:r w:rsidRPr="00AC37A9">
        <w:rPr>
          <w:color w:val="000000" w:themeColor="text1"/>
          <w:sz w:val="22"/>
          <w:szCs w:val="22"/>
        </w:rPr>
        <w:t>starpministriju</w:t>
      </w:r>
      <w:proofErr w:type="spellEnd"/>
      <w:r w:rsidRPr="00AC37A9">
        <w:rPr>
          <w:color w:val="000000" w:themeColor="text1"/>
          <w:sz w:val="22"/>
          <w:szCs w:val="22"/>
        </w:rPr>
        <w:t xml:space="preserve"> (starpinstitūciju) sanāksmi vai elektronisko saskaņošanu</w:t>
      </w:r>
    </w:p>
    <w:p w14:paraId="5A2894B6" w14:textId="77777777" w:rsidR="005D67F7" w:rsidRPr="00AC37A9" w:rsidRDefault="005D67F7" w:rsidP="005D67F7">
      <w:pPr>
        <w:pStyle w:val="naisf"/>
        <w:spacing w:before="0" w:after="0"/>
        <w:ind w:firstLine="0"/>
        <w:rPr>
          <w:color w:val="000000" w:themeColor="text1"/>
          <w:sz w:val="22"/>
          <w:szCs w:val="22"/>
        </w:rPr>
      </w:pPr>
    </w:p>
    <w:tbl>
      <w:tblPr>
        <w:tblW w:w="12582" w:type="dxa"/>
        <w:tblLook w:val="00A0" w:firstRow="1" w:lastRow="0" w:firstColumn="1" w:lastColumn="0" w:noHBand="0" w:noVBand="0"/>
      </w:tblPr>
      <w:tblGrid>
        <w:gridCol w:w="6345"/>
        <w:gridCol w:w="6237"/>
      </w:tblGrid>
      <w:tr w:rsidR="00117519" w:rsidRPr="00AC37A9" w14:paraId="34EF8D35" w14:textId="77777777">
        <w:tc>
          <w:tcPr>
            <w:tcW w:w="6345" w:type="dxa"/>
          </w:tcPr>
          <w:p w14:paraId="61DE0380" w14:textId="77777777" w:rsidR="007B4C0F" w:rsidRPr="00AC37A9" w:rsidRDefault="005D67F7" w:rsidP="005D67F7">
            <w:pPr>
              <w:pStyle w:val="naisf"/>
              <w:spacing w:before="0" w:after="0"/>
              <w:ind w:firstLine="0"/>
              <w:rPr>
                <w:color w:val="000000" w:themeColor="text1"/>
                <w:sz w:val="22"/>
                <w:szCs w:val="22"/>
              </w:rPr>
            </w:pPr>
            <w:r w:rsidRPr="002409A6">
              <w:rPr>
                <w:color w:val="000000" w:themeColor="text1"/>
                <w:sz w:val="22"/>
                <w:szCs w:val="22"/>
              </w:rPr>
              <w:t>D</w:t>
            </w:r>
            <w:r w:rsidR="007B4C0F" w:rsidRPr="002409A6">
              <w:rPr>
                <w:color w:val="000000" w:themeColor="text1"/>
                <w:sz w:val="22"/>
                <w:szCs w:val="22"/>
              </w:rPr>
              <w:t>atums</w:t>
            </w:r>
          </w:p>
        </w:tc>
        <w:tc>
          <w:tcPr>
            <w:tcW w:w="6237" w:type="dxa"/>
            <w:tcBorders>
              <w:bottom w:val="single" w:sz="4" w:space="0" w:color="auto"/>
            </w:tcBorders>
          </w:tcPr>
          <w:p w14:paraId="1D39293B" w14:textId="78A56736" w:rsidR="007B4C0F" w:rsidRPr="00AC37A9" w:rsidRDefault="002409A6" w:rsidP="007D47E0">
            <w:pPr>
              <w:pStyle w:val="NormalWeb"/>
              <w:spacing w:before="0" w:beforeAutospacing="0" w:after="0" w:afterAutospacing="0"/>
              <w:rPr>
                <w:color w:val="000000" w:themeColor="text1"/>
                <w:sz w:val="22"/>
                <w:szCs w:val="22"/>
              </w:rPr>
            </w:pPr>
            <w:r>
              <w:rPr>
                <w:color w:val="000000" w:themeColor="text1"/>
                <w:sz w:val="22"/>
                <w:szCs w:val="22"/>
              </w:rPr>
              <w:t>22.03.2019</w:t>
            </w:r>
          </w:p>
        </w:tc>
      </w:tr>
      <w:tr w:rsidR="00117519" w:rsidRPr="00AC37A9" w14:paraId="20E1F26F" w14:textId="77777777" w:rsidTr="00075751">
        <w:tc>
          <w:tcPr>
            <w:tcW w:w="6345" w:type="dxa"/>
          </w:tcPr>
          <w:p w14:paraId="6508FCBF" w14:textId="77777777" w:rsidR="003C27A2" w:rsidRPr="00AC37A9" w:rsidRDefault="003C27A2" w:rsidP="007B4C0F">
            <w:pPr>
              <w:pStyle w:val="naisf"/>
              <w:spacing w:before="0" w:after="0"/>
              <w:ind w:firstLine="0"/>
              <w:rPr>
                <w:color w:val="000000" w:themeColor="text1"/>
                <w:sz w:val="22"/>
                <w:szCs w:val="22"/>
              </w:rPr>
            </w:pPr>
          </w:p>
        </w:tc>
        <w:tc>
          <w:tcPr>
            <w:tcW w:w="6237" w:type="dxa"/>
            <w:tcBorders>
              <w:top w:val="single" w:sz="4" w:space="0" w:color="auto"/>
            </w:tcBorders>
          </w:tcPr>
          <w:p w14:paraId="24D52B11" w14:textId="77777777" w:rsidR="003C27A2" w:rsidRPr="00AC37A9" w:rsidRDefault="003C27A2" w:rsidP="0036160E">
            <w:pPr>
              <w:pStyle w:val="NormalWeb"/>
              <w:spacing w:before="0" w:beforeAutospacing="0" w:after="0" w:afterAutospacing="0"/>
              <w:ind w:firstLine="720"/>
              <w:rPr>
                <w:color w:val="000000" w:themeColor="text1"/>
                <w:sz w:val="22"/>
                <w:szCs w:val="22"/>
              </w:rPr>
            </w:pPr>
          </w:p>
        </w:tc>
      </w:tr>
      <w:tr w:rsidR="00E428A0" w:rsidRPr="00AC37A9" w14:paraId="2EE0C265" w14:textId="77777777" w:rsidTr="00075751">
        <w:tc>
          <w:tcPr>
            <w:tcW w:w="6345" w:type="dxa"/>
          </w:tcPr>
          <w:p w14:paraId="171E5C33" w14:textId="77777777" w:rsidR="007B4C0F" w:rsidRPr="00AC37A9" w:rsidRDefault="00365CC0" w:rsidP="003C27A2">
            <w:pPr>
              <w:pStyle w:val="naiskr"/>
              <w:spacing w:before="0" w:after="0"/>
              <w:rPr>
                <w:color w:val="000000" w:themeColor="text1"/>
                <w:sz w:val="22"/>
                <w:szCs w:val="22"/>
              </w:rPr>
            </w:pPr>
            <w:r w:rsidRPr="00AC37A9">
              <w:rPr>
                <w:color w:val="000000" w:themeColor="text1"/>
                <w:sz w:val="22"/>
                <w:szCs w:val="22"/>
              </w:rPr>
              <w:t>Saskaņošanas dalībnieki</w:t>
            </w:r>
          </w:p>
        </w:tc>
        <w:tc>
          <w:tcPr>
            <w:tcW w:w="6237" w:type="dxa"/>
            <w:tcBorders>
              <w:bottom w:val="single" w:sz="4" w:space="0" w:color="auto"/>
            </w:tcBorders>
          </w:tcPr>
          <w:p w14:paraId="02C3DC22" w14:textId="390117EB" w:rsidR="007B4C0F" w:rsidRPr="00AC37A9" w:rsidRDefault="004A04EE" w:rsidP="004A04EE">
            <w:pPr>
              <w:pStyle w:val="NormalWeb"/>
              <w:spacing w:before="0" w:beforeAutospacing="0" w:after="0" w:afterAutospacing="0"/>
              <w:rPr>
                <w:color w:val="000000" w:themeColor="text1"/>
                <w:sz w:val="22"/>
                <w:szCs w:val="22"/>
              </w:rPr>
            </w:pPr>
            <w:r>
              <w:rPr>
                <w:color w:val="000000" w:themeColor="text1"/>
                <w:sz w:val="22"/>
                <w:szCs w:val="22"/>
              </w:rPr>
              <w:t>Tieslietu ministrija</w:t>
            </w:r>
            <w:r w:rsidRPr="004A04EE">
              <w:rPr>
                <w:color w:val="000000" w:themeColor="text1"/>
                <w:sz w:val="22"/>
                <w:szCs w:val="22"/>
              </w:rPr>
              <w:t>, Aizsardzības ministrij</w:t>
            </w:r>
            <w:r>
              <w:rPr>
                <w:color w:val="000000" w:themeColor="text1"/>
                <w:sz w:val="22"/>
                <w:szCs w:val="22"/>
              </w:rPr>
              <w:t>a</w:t>
            </w:r>
            <w:r w:rsidRPr="004A04EE">
              <w:rPr>
                <w:color w:val="000000" w:themeColor="text1"/>
                <w:sz w:val="22"/>
                <w:szCs w:val="22"/>
              </w:rPr>
              <w:t>, Ārlietu ministrij</w:t>
            </w:r>
            <w:r>
              <w:rPr>
                <w:color w:val="000000" w:themeColor="text1"/>
                <w:sz w:val="22"/>
                <w:szCs w:val="22"/>
              </w:rPr>
              <w:t>a</w:t>
            </w:r>
            <w:r w:rsidRPr="004A04EE">
              <w:rPr>
                <w:color w:val="000000" w:themeColor="text1"/>
                <w:sz w:val="22"/>
                <w:szCs w:val="22"/>
              </w:rPr>
              <w:t>, Ekonomikas ministrij</w:t>
            </w:r>
            <w:r>
              <w:rPr>
                <w:color w:val="000000" w:themeColor="text1"/>
                <w:sz w:val="22"/>
                <w:szCs w:val="22"/>
              </w:rPr>
              <w:t>a</w:t>
            </w:r>
            <w:r w:rsidRPr="004A04EE">
              <w:rPr>
                <w:color w:val="000000" w:themeColor="text1"/>
                <w:sz w:val="22"/>
                <w:szCs w:val="22"/>
              </w:rPr>
              <w:t xml:space="preserve">, </w:t>
            </w:r>
            <w:proofErr w:type="spellStart"/>
            <w:r w:rsidRPr="004A04EE">
              <w:rPr>
                <w:color w:val="000000" w:themeColor="text1"/>
                <w:sz w:val="22"/>
                <w:szCs w:val="22"/>
              </w:rPr>
              <w:t>Iekšlietu</w:t>
            </w:r>
            <w:proofErr w:type="spellEnd"/>
            <w:r w:rsidRPr="004A04EE">
              <w:rPr>
                <w:color w:val="000000" w:themeColor="text1"/>
                <w:sz w:val="22"/>
                <w:szCs w:val="22"/>
              </w:rPr>
              <w:t xml:space="preserve"> ministrij</w:t>
            </w:r>
            <w:r>
              <w:rPr>
                <w:color w:val="000000" w:themeColor="text1"/>
                <w:sz w:val="22"/>
                <w:szCs w:val="22"/>
              </w:rPr>
              <w:t>a</w:t>
            </w:r>
            <w:r w:rsidRPr="004A04EE">
              <w:rPr>
                <w:color w:val="000000" w:themeColor="text1"/>
                <w:sz w:val="22"/>
                <w:szCs w:val="22"/>
              </w:rPr>
              <w:t>, Izglītības un zinātnes ministrij</w:t>
            </w:r>
            <w:r>
              <w:rPr>
                <w:color w:val="000000" w:themeColor="text1"/>
                <w:sz w:val="22"/>
                <w:szCs w:val="22"/>
              </w:rPr>
              <w:t>a</w:t>
            </w:r>
            <w:r w:rsidRPr="004A04EE">
              <w:rPr>
                <w:color w:val="000000" w:themeColor="text1"/>
                <w:sz w:val="22"/>
                <w:szCs w:val="22"/>
              </w:rPr>
              <w:t>, Kultūras ministrij</w:t>
            </w:r>
            <w:r>
              <w:rPr>
                <w:color w:val="000000" w:themeColor="text1"/>
                <w:sz w:val="22"/>
                <w:szCs w:val="22"/>
              </w:rPr>
              <w:t>a</w:t>
            </w:r>
            <w:r w:rsidRPr="004A04EE">
              <w:rPr>
                <w:color w:val="000000" w:themeColor="text1"/>
                <w:sz w:val="22"/>
                <w:szCs w:val="22"/>
              </w:rPr>
              <w:t>, Labklājības ministrij</w:t>
            </w:r>
            <w:r>
              <w:rPr>
                <w:color w:val="000000" w:themeColor="text1"/>
                <w:sz w:val="22"/>
                <w:szCs w:val="22"/>
              </w:rPr>
              <w:t>a</w:t>
            </w:r>
            <w:r w:rsidRPr="004A04EE">
              <w:rPr>
                <w:color w:val="000000" w:themeColor="text1"/>
                <w:sz w:val="22"/>
                <w:szCs w:val="22"/>
              </w:rPr>
              <w:t>, Satiksmes ministrij</w:t>
            </w:r>
            <w:r>
              <w:rPr>
                <w:color w:val="000000" w:themeColor="text1"/>
                <w:sz w:val="22"/>
                <w:szCs w:val="22"/>
              </w:rPr>
              <w:t>a</w:t>
            </w:r>
            <w:r w:rsidRPr="004A04EE">
              <w:rPr>
                <w:color w:val="000000" w:themeColor="text1"/>
                <w:sz w:val="22"/>
                <w:szCs w:val="22"/>
              </w:rPr>
              <w:t>, Veselības ministrij</w:t>
            </w:r>
            <w:r>
              <w:rPr>
                <w:color w:val="000000" w:themeColor="text1"/>
                <w:sz w:val="22"/>
                <w:szCs w:val="22"/>
              </w:rPr>
              <w:t>a</w:t>
            </w:r>
            <w:r w:rsidRPr="004A04EE">
              <w:rPr>
                <w:color w:val="000000" w:themeColor="text1"/>
                <w:sz w:val="22"/>
                <w:szCs w:val="22"/>
              </w:rPr>
              <w:t>, Vides aizsardzības un reģionālās attīstības ministrij</w:t>
            </w:r>
            <w:r>
              <w:rPr>
                <w:color w:val="000000" w:themeColor="text1"/>
                <w:sz w:val="22"/>
                <w:szCs w:val="22"/>
              </w:rPr>
              <w:t>a, Zemkopības ministrija</w:t>
            </w:r>
            <w:r w:rsidRPr="004A04EE">
              <w:rPr>
                <w:color w:val="000000" w:themeColor="text1"/>
                <w:sz w:val="22"/>
                <w:szCs w:val="22"/>
              </w:rPr>
              <w:t>, Latvijas Pašvaldību savienīb</w:t>
            </w:r>
            <w:r>
              <w:rPr>
                <w:color w:val="000000" w:themeColor="text1"/>
                <w:sz w:val="22"/>
                <w:szCs w:val="22"/>
              </w:rPr>
              <w:t>a</w:t>
            </w:r>
            <w:r w:rsidRPr="004A04EE">
              <w:rPr>
                <w:color w:val="000000" w:themeColor="text1"/>
                <w:sz w:val="22"/>
                <w:szCs w:val="22"/>
              </w:rPr>
              <w:t xml:space="preserve">, Korupcijas </w:t>
            </w:r>
            <w:r>
              <w:rPr>
                <w:color w:val="000000" w:themeColor="text1"/>
                <w:sz w:val="22"/>
                <w:szCs w:val="22"/>
              </w:rPr>
              <w:t>novēršanas un apkarošanas birojs,</w:t>
            </w:r>
            <w:r w:rsidRPr="004A04EE">
              <w:rPr>
                <w:color w:val="000000" w:themeColor="text1"/>
                <w:sz w:val="22"/>
                <w:szCs w:val="22"/>
              </w:rPr>
              <w:t xml:space="preserve"> Lat</w:t>
            </w:r>
            <w:r>
              <w:rPr>
                <w:color w:val="000000" w:themeColor="text1"/>
                <w:sz w:val="22"/>
                <w:szCs w:val="22"/>
              </w:rPr>
              <w:t>vijas Darba devēju konfederācija,</w:t>
            </w:r>
            <w:r w:rsidRPr="004A04EE">
              <w:rPr>
                <w:sz w:val="28"/>
                <w:szCs w:val="20"/>
              </w:rPr>
              <w:t xml:space="preserve"> </w:t>
            </w:r>
            <w:r w:rsidRPr="004A04EE">
              <w:rPr>
                <w:color w:val="000000" w:themeColor="text1"/>
                <w:sz w:val="22"/>
                <w:szCs w:val="22"/>
              </w:rPr>
              <w:t>Latvijas Tird</w:t>
            </w:r>
            <w:r>
              <w:rPr>
                <w:color w:val="000000" w:themeColor="text1"/>
                <w:sz w:val="22"/>
                <w:szCs w:val="22"/>
              </w:rPr>
              <w:t>zniecības un rūpniecības kamera</w:t>
            </w:r>
            <w:r w:rsidRPr="004A04EE">
              <w:rPr>
                <w:color w:val="000000" w:themeColor="text1"/>
                <w:sz w:val="22"/>
                <w:szCs w:val="22"/>
              </w:rPr>
              <w:t xml:space="preserve"> un Latvijas Lielo pilsē</w:t>
            </w:r>
            <w:r>
              <w:rPr>
                <w:color w:val="000000" w:themeColor="text1"/>
                <w:sz w:val="22"/>
                <w:szCs w:val="22"/>
              </w:rPr>
              <w:t>tu asociācija.</w:t>
            </w:r>
          </w:p>
        </w:tc>
      </w:tr>
    </w:tbl>
    <w:p w14:paraId="7F8E5F74" w14:textId="77777777" w:rsidR="008A36C9" w:rsidRPr="00AC37A9" w:rsidRDefault="008A36C9">
      <w:pPr>
        <w:rPr>
          <w:color w:val="000000" w:themeColor="text1"/>
          <w:sz w:val="22"/>
          <w:szCs w:val="22"/>
        </w:rPr>
      </w:pPr>
    </w:p>
    <w:tbl>
      <w:tblPr>
        <w:tblW w:w="12582" w:type="dxa"/>
        <w:tblLook w:val="00A0" w:firstRow="1" w:lastRow="0" w:firstColumn="1" w:lastColumn="0" w:noHBand="0" w:noVBand="0"/>
      </w:tblPr>
      <w:tblGrid>
        <w:gridCol w:w="6345"/>
        <w:gridCol w:w="6237"/>
      </w:tblGrid>
      <w:tr w:rsidR="00117519" w:rsidRPr="00AC37A9" w14:paraId="794B2A1B" w14:textId="77777777" w:rsidTr="00F628F0">
        <w:trPr>
          <w:trHeight w:val="285"/>
        </w:trPr>
        <w:tc>
          <w:tcPr>
            <w:tcW w:w="6345" w:type="dxa"/>
          </w:tcPr>
          <w:p w14:paraId="13F0CFEB" w14:textId="77777777" w:rsidR="00F628F0" w:rsidRPr="00AC37A9" w:rsidRDefault="00F628F0" w:rsidP="000D0AED">
            <w:pPr>
              <w:pStyle w:val="naiskr"/>
              <w:spacing w:before="0" w:after="0"/>
              <w:rPr>
                <w:color w:val="000000" w:themeColor="text1"/>
                <w:sz w:val="22"/>
                <w:szCs w:val="22"/>
              </w:rPr>
            </w:pPr>
            <w:r w:rsidRPr="00AC37A9">
              <w:rPr>
                <w:color w:val="000000" w:themeColor="text1"/>
                <w:sz w:val="22"/>
                <w:szCs w:val="22"/>
              </w:rPr>
              <w:t>Saskaņošanas dalībnieki izskatīja šādu ministriju (citu institūciju) iebildumus</w:t>
            </w:r>
          </w:p>
        </w:tc>
        <w:tc>
          <w:tcPr>
            <w:tcW w:w="6237" w:type="dxa"/>
            <w:tcBorders>
              <w:bottom w:val="single" w:sz="4" w:space="0" w:color="auto"/>
            </w:tcBorders>
            <w:vAlign w:val="bottom"/>
          </w:tcPr>
          <w:p w14:paraId="186517B5" w14:textId="6FB855CC" w:rsidR="00F628F0" w:rsidRPr="00AC37A9" w:rsidRDefault="004A04EE" w:rsidP="004A04EE">
            <w:pPr>
              <w:tabs>
                <w:tab w:val="left" w:pos="7372"/>
              </w:tabs>
              <w:suppressAutoHyphens/>
              <w:spacing w:after="60"/>
              <w:jc w:val="both"/>
              <w:rPr>
                <w:color w:val="000000" w:themeColor="text1"/>
                <w:sz w:val="22"/>
                <w:szCs w:val="22"/>
                <w:lang w:eastAsia="ar-SA"/>
              </w:rPr>
            </w:pPr>
            <w:r w:rsidRPr="004A04EE">
              <w:rPr>
                <w:color w:val="000000" w:themeColor="text1"/>
                <w:sz w:val="22"/>
                <w:szCs w:val="22"/>
                <w:lang w:eastAsia="ar-SA"/>
              </w:rPr>
              <w:t>Vides aizsardzības un reģionālās attīstības ministrijas, Tieslietu ministrijas, Veselības ministrijas, Ekonomikas ministrijas</w:t>
            </w:r>
            <w:r>
              <w:rPr>
                <w:color w:val="000000" w:themeColor="text1"/>
                <w:sz w:val="22"/>
                <w:szCs w:val="22"/>
                <w:lang w:eastAsia="ar-SA"/>
              </w:rPr>
              <w:t>.</w:t>
            </w:r>
          </w:p>
        </w:tc>
      </w:tr>
      <w:tr w:rsidR="00117519" w:rsidRPr="00AC37A9" w14:paraId="06E1A84A" w14:textId="77777777" w:rsidTr="00075751">
        <w:trPr>
          <w:trHeight w:val="465"/>
        </w:trPr>
        <w:tc>
          <w:tcPr>
            <w:tcW w:w="12582" w:type="dxa"/>
            <w:gridSpan w:val="2"/>
          </w:tcPr>
          <w:p w14:paraId="539B4638" w14:textId="77777777" w:rsidR="007B4C0F" w:rsidRPr="00AC37A9" w:rsidRDefault="007B4C0F" w:rsidP="003C27A2">
            <w:pPr>
              <w:pStyle w:val="naisc"/>
              <w:spacing w:before="0" w:after="0"/>
              <w:ind w:left="4820" w:firstLine="720"/>
              <w:rPr>
                <w:color w:val="000000" w:themeColor="text1"/>
                <w:sz w:val="22"/>
                <w:szCs w:val="22"/>
              </w:rPr>
            </w:pPr>
          </w:p>
        </w:tc>
      </w:tr>
      <w:tr w:rsidR="00E428A0" w:rsidRPr="00AC37A9" w14:paraId="3A5705FA" w14:textId="77777777" w:rsidTr="00075751">
        <w:tc>
          <w:tcPr>
            <w:tcW w:w="6345" w:type="dxa"/>
          </w:tcPr>
          <w:p w14:paraId="1A01DF79" w14:textId="77777777" w:rsidR="007B4C0F" w:rsidRPr="00AC37A9" w:rsidRDefault="007B4C0F" w:rsidP="0036160E">
            <w:pPr>
              <w:pStyle w:val="naiskr"/>
              <w:spacing w:before="0" w:after="0"/>
              <w:rPr>
                <w:color w:val="000000" w:themeColor="text1"/>
                <w:sz w:val="22"/>
                <w:szCs w:val="22"/>
              </w:rPr>
            </w:pPr>
            <w:r w:rsidRPr="00AC37A9">
              <w:rPr>
                <w:color w:val="000000" w:themeColor="text1"/>
                <w:sz w:val="22"/>
                <w:szCs w:val="22"/>
              </w:rPr>
              <w:lastRenderedPageBreak/>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54E6EE76" w14:textId="77777777" w:rsidR="007B4C0F" w:rsidRPr="00AC37A9" w:rsidRDefault="007B4C0F" w:rsidP="005B5F3E">
            <w:pPr>
              <w:pStyle w:val="naiskr"/>
              <w:spacing w:before="0" w:after="0"/>
              <w:rPr>
                <w:color w:val="000000" w:themeColor="text1"/>
                <w:sz w:val="22"/>
                <w:szCs w:val="22"/>
              </w:rPr>
            </w:pPr>
          </w:p>
        </w:tc>
      </w:tr>
    </w:tbl>
    <w:p w14:paraId="378D0AE2" w14:textId="77777777" w:rsidR="00683081" w:rsidRPr="00AC37A9" w:rsidRDefault="00683081" w:rsidP="00683081">
      <w:pPr>
        <w:pStyle w:val="naisf"/>
        <w:spacing w:before="0" w:after="0"/>
        <w:ind w:firstLine="720"/>
        <w:rPr>
          <w:color w:val="000000" w:themeColor="text1"/>
          <w:sz w:val="22"/>
          <w:szCs w:val="22"/>
        </w:rPr>
      </w:pPr>
    </w:p>
    <w:p w14:paraId="38E74962" w14:textId="77777777" w:rsidR="00075751" w:rsidRPr="00AC37A9" w:rsidRDefault="00075751" w:rsidP="00184479">
      <w:pPr>
        <w:pStyle w:val="naisf"/>
        <w:spacing w:before="0" w:after="0"/>
        <w:ind w:firstLine="0"/>
        <w:jc w:val="center"/>
        <w:rPr>
          <w:color w:val="000000" w:themeColor="text1"/>
          <w:sz w:val="22"/>
          <w:szCs w:val="22"/>
        </w:rPr>
      </w:pPr>
    </w:p>
    <w:p w14:paraId="1BF700CE" w14:textId="77777777" w:rsidR="007B4C0F" w:rsidRPr="00AC37A9" w:rsidRDefault="007B4C0F" w:rsidP="00184479">
      <w:pPr>
        <w:pStyle w:val="naisf"/>
        <w:spacing w:before="0" w:after="0"/>
        <w:ind w:firstLine="0"/>
        <w:jc w:val="center"/>
        <w:rPr>
          <w:color w:val="000000" w:themeColor="text1"/>
          <w:sz w:val="22"/>
          <w:szCs w:val="22"/>
        </w:rPr>
      </w:pPr>
      <w:r w:rsidRPr="00AC37A9">
        <w:rPr>
          <w:color w:val="000000" w:themeColor="text1"/>
          <w:sz w:val="22"/>
          <w:szCs w:val="22"/>
        </w:rPr>
        <w:t>II. </w:t>
      </w:r>
      <w:r w:rsidR="00134188" w:rsidRPr="00AC37A9">
        <w:rPr>
          <w:color w:val="000000" w:themeColor="text1"/>
          <w:sz w:val="22"/>
          <w:szCs w:val="22"/>
        </w:rPr>
        <w:t>Jautājumi, par kuriem saskaņošanā vienošan</w:t>
      </w:r>
      <w:r w:rsidR="00144622" w:rsidRPr="00AC37A9">
        <w:rPr>
          <w:color w:val="000000" w:themeColor="text1"/>
          <w:sz w:val="22"/>
          <w:szCs w:val="22"/>
        </w:rPr>
        <w:t>ā</w:t>
      </w:r>
      <w:r w:rsidR="00134188" w:rsidRPr="00AC37A9">
        <w:rPr>
          <w:color w:val="000000" w:themeColor="text1"/>
          <w:sz w:val="22"/>
          <w:szCs w:val="22"/>
        </w:rPr>
        <w:t>s ir panākta</w:t>
      </w:r>
    </w:p>
    <w:p w14:paraId="6DE6AE42" w14:textId="77777777" w:rsidR="007B4C0F" w:rsidRPr="00AC37A9" w:rsidRDefault="007B4C0F" w:rsidP="00DB7395">
      <w:pPr>
        <w:pStyle w:val="naisf"/>
        <w:spacing w:before="0" w:after="0"/>
        <w:ind w:firstLine="720"/>
        <w:rPr>
          <w:color w:val="000000" w:themeColor="text1"/>
          <w:sz w:val="22"/>
          <w:szCs w:val="22"/>
        </w:rPr>
      </w:pPr>
    </w:p>
    <w:tbl>
      <w:tblPr>
        <w:tblW w:w="13890"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683"/>
        <w:gridCol w:w="860"/>
        <w:gridCol w:w="3260"/>
        <w:gridCol w:w="1099"/>
        <w:gridCol w:w="1845"/>
        <w:gridCol w:w="3576"/>
      </w:tblGrid>
      <w:tr w:rsidR="00117519" w:rsidRPr="00AC37A9" w14:paraId="5DA5230A" w14:textId="77777777" w:rsidTr="00781479">
        <w:tc>
          <w:tcPr>
            <w:tcW w:w="567" w:type="dxa"/>
            <w:tcBorders>
              <w:top w:val="single" w:sz="6" w:space="0" w:color="000000"/>
              <w:left w:val="single" w:sz="6" w:space="0" w:color="000000"/>
              <w:bottom w:val="single" w:sz="6" w:space="0" w:color="000000"/>
              <w:right w:val="single" w:sz="6" w:space="0" w:color="000000"/>
            </w:tcBorders>
            <w:vAlign w:val="center"/>
          </w:tcPr>
          <w:p w14:paraId="45B8087F" w14:textId="77777777" w:rsidR="00134188" w:rsidRPr="00AC37A9" w:rsidRDefault="00134188" w:rsidP="00155D68">
            <w:pPr>
              <w:pStyle w:val="naisc"/>
              <w:spacing w:before="0" w:after="0"/>
              <w:rPr>
                <w:color w:val="000000" w:themeColor="text1"/>
                <w:sz w:val="22"/>
                <w:szCs w:val="22"/>
              </w:rPr>
            </w:pPr>
            <w:r w:rsidRPr="00AC37A9">
              <w:rPr>
                <w:color w:val="000000" w:themeColor="text1"/>
                <w:sz w:val="22"/>
                <w:szCs w:val="22"/>
              </w:rPr>
              <w:t>Nr. p.k.</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14:paraId="402AC6FB" w14:textId="77777777" w:rsidR="00134188" w:rsidRPr="00AC37A9" w:rsidRDefault="00134188" w:rsidP="00155D68">
            <w:pPr>
              <w:pStyle w:val="naisc"/>
              <w:spacing w:before="0" w:after="0"/>
              <w:ind w:firstLine="12"/>
              <w:rPr>
                <w:color w:val="000000" w:themeColor="text1"/>
                <w:sz w:val="22"/>
                <w:szCs w:val="22"/>
              </w:rPr>
            </w:pPr>
            <w:r w:rsidRPr="00AC37A9">
              <w:rPr>
                <w:color w:val="000000" w:themeColor="text1"/>
                <w:sz w:val="22"/>
                <w:szCs w:val="22"/>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42052AA" w14:textId="77777777" w:rsidR="00134188" w:rsidRPr="00AC37A9" w:rsidRDefault="00134188" w:rsidP="00155D68">
            <w:pPr>
              <w:pStyle w:val="naisc"/>
              <w:spacing w:before="0" w:after="0"/>
              <w:ind w:right="3"/>
              <w:rPr>
                <w:color w:val="000000" w:themeColor="text1"/>
                <w:sz w:val="22"/>
                <w:szCs w:val="22"/>
              </w:rPr>
            </w:pPr>
            <w:r w:rsidRPr="00AC37A9">
              <w:rPr>
                <w:color w:val="000000" w:themeColor="text1"/>
                <w:sz w:val="22"/>
                <w:szCs w:val="22"/>
              </w:rPr>
              <w:t>Atzinumā norādītais ministrijas (citas institūcijas) iebildums, kā arī saskaņošanā papildus izteiktais iebildums par projekta konkrēto punktu (pantu)</w:t>
            </w:r>
          </w:p>
        </w:tc>
        <w:tc>
          <w:tcPr>
            <w:tcW w:w="2944" w:type="dxa"/>
            <w:gridSpan w:val="2"/>
            <w:tcBorders>
              <w:top w:val="single" w:sz="6" w:space="0" w:color="000000"/>
              <w:left w:val="single" w:sz="6" w:space="0" w:color="000000"/>
              <w:bottom w:val="single" w:sz="6" w:space="0" w:color="000000"/>
              <w:right w:val="single" w:sz="6" w:space="0" w:color="000000"/>
            </w:tcBorders>
            <w:vAlign w:val="center"/>
          </w:tcPr>
          <w:p w14:paraId="2710288A" w14:textId="77777777" w:rsidR="00134188" w:rsidRPr="00AC37A9" w:rsidRDefault="00134188" w:rsidP="00AC37A9">
            <w:pPr>
              <w:pStyle w:val="naisc"/>
              <w:spacing w:before="0" w:after="0"/>
              <w:ind w:firstLine="21"/>
              <w:rPr>
                <w:color w:val="000000" w:themeColor="text1"/>
                <w:sz w:val="22"/>
                <w:szCs w:val="22"/>
              </w:rPr>
            </w:pPr>
            <w:r w:rsidRPr="00AC37A9">
              <w:rPr>
                <w:color w:val="000000" w:themeColor="text1"/>
                <w:sz w:val="22"/>
                <w:szCs w:val="22"/>
              </w:rPr>
              <w:t>Atbildīgās ministrijas norāde</w:t>
            </w:r>
            <w:r w:rsidR="006C1C48" w:rsidRPr="00AC37A9">
              <w:rPr>
                <w:color w:val="000000" w:themeColor="text1"/>
                <w:sz w:val="22"/>
                <w:szCs w:val="22"/>
              </w:rPr>
              <w:t xml:space="preserve"> par to, ka </w:t>
            </w:r>
            <w:r w:rsidRPr="00AC37A9">
              <w:rPr>
                <w:color w:val="000000" w:themeColor="text1"/>
                <w:sz w:val="22"/>
                <w:szCs w:val="22"/>
              </w:rPr>
              <w:t>iebildums ir ņemts vērā</w:t>
            </w:r>
            <w:r w:rsidR="006455E7" w:rsidRPr="00AC37A9">
              <w:rPr>
                <w:color w:val="000000" w:themeColor="text1"/>
                <w:sz w:val="22"/>
                <w:szCs w:val="22"/>
              </w:rPr>
              <w:t>,</w:t>
            </w:r>
            <w:r w:rsidRPr="00AC37A9">
              <w:rPr>
                <w:color w:val="000000" w:themeColor="text1"/>
                <w:sz w:val="22"/>
                <w:szCs w:val="22"/>
              </w:rPr>
              <w:t xml:space="preserve"> vai </w:t>
            </w:r>
            <w:r w:rsidR="006C1C48" w:rsidRPr="00AC37A9">
              <w:rPr>
                <w:color w:val="000000" w:themeColor="text1"/>
                <w:sz w:val="22"/>
                <w:szCs w:val="22"/>
              </w:rPr>
              <w:t xml:space="preserve">informācija par saskaņošanā </w:t>
            </w:r>
            <w:r w:rsidR="00022B0F" w:rsidRPr="00AC37A9">
              <w:rPr>
                <w:color w:val="000000" w:themeColor="text1"/>
                <w:sz w:val="22"/>
                <w:szCs w:val="22"/>
              </w:rPr>
              <w:t>panākto alternatīvo risinājumu</w:t>
            </w:r>
          </w:p>
        </w:tc>
        <w:tc>
          <w:tcPr>
            <w:tcW w:w="3576" w:type="dxa"/>
            <w:tcBorders>
              <w:top w:val="single" w:sz="4" w:space="0" w:color="auto"/>
              <w:left w:val="single" w:sz="4" w:space="0" w:color="auto"/>
              <w:bottom w:val="single" w:sz="4" w:space="0" w:color="auto"/>
            </w:tcBorders>
            <w:vAlign w:val="center"/>
          </w:tcPr>
          <w:p w14:paraId="31EFF560" w14:textId="77777777" w:rsidR="00134188" w:rsidRPr="00AC37A9" w:rsidRDefault="00134188" w:rsidP="00155D68">
            <w:pPr>
              <w:jc w:val="center"/>
              <w:rPr>
                <w:color w:val="000000" w:themeColor="text1"/>
                <w:sz w:val="22"/>
                <w:szCs w:val="22"/>
              </w:rPr>
            </w:pPr>
            <w:r w:rsidRPr="00AC37A9">
              <w:rPr>
                <w:color w:val="000000" w:themeColor="text1"/>
                <w:sz w:val="22"/>
                <w:szCs w:val="22"/>
              </w:rPr>
              <w:t>Projekta attiecīgā punkta (panta) galīgā redakcija</w:t>
            </w:r>
          </w:p>
        </w:tc>
      </w:tr>
      <w:tr w:rsidR="00117519" w:rsidRPr="00AC37A9" w14:paraId="4E528821" w14:textId="77777777" w:rsidTr="00781479">
        <w:tc>
          <w:tcPr>
            <w:tcW w:w="567" w:type="dxa"/>
            <w:tcBorders>
              <w:top w:val="single" w:sz="6" w:space="0" w:color="000000"/>
              <w:left w:val="single" w:sz="6" w:space="0" w:color="000000"/>
              <w:bottom w:val="single" w:sz="6" w:space="0" w:color="000000"/>
              <w:right w:val="single" w:sz="6" w:space="0" w:color="000000"/>
            </w:tcBorders>
          </w:tcPr>
          <w:p w14:paraId="233E1532" w14:textId="77777777" w:rsidR="00134188" w:rsidRPr="00AC37A9" w:rsidRDefault="003B71E0" w:rsidP="00155D68">
            <w:pPr>
              <w:pStyle w:val="naisc"/>
              <w:spacing w:before="0" w:after="0"/>
              <w:rPr>
                <w:color w:val="000000" w:themeColor="text1"/>
                <w:sz w:val="22"/>
                <w:szCs w:val="22"/>
              </w:rPr>
            </w:pPr>
            <w:r w:rsidRPr="00AC37A9">
              <w:rPr>
                <w:color w:val="000000" w:themeColor="text1"/>
                <w:sz w:val="22"/>
                <w:szCs w:val="22"/>
              </w:rPr>
              <w:t>1</w:t>
            </w:r>
          </w:p>
        </w:tc>
        <w:tc>
          <w:tcPr>
            <w:tcW w:w="3543" w:type="dxa"/>
            <w:gridSpan w:val="2"/>
            <w:tcBorders>
              <w:top w:val="single" w:sz="6" w:space="0" w:color="000000"/>
              <w:left w:val="single" w:sz="6" w:space="0" w:color="000000"/>
              <w:bottom w:val="single" w:sz="6" w:space="0" w:color="000000"/>
              <w:right w:val="single" w:sz="6" w:space="0" w:color="000000"/>
            </w:tcBorders>
          </w:tcPr>
          <w:p w14:paraId="1FBFDB7C" w14:textId="77777777" w:rsidR="00134188" w:rsidRPr="00AC37A9" w:rsidRDefault="00F34AAB" w:rsidP="00155D68">
            <w:pPr>
              <w:pStyle w:val="naisc"/>
              <w:spacing w:before="0" w:after="0"/>
              <w:ind w:firstLine="720"/>
              <w:rPr>
                <w:color w:val="000000" w:themeColor="text1"/>
                <w:sz w:val="22"/>
                <w:szCs w:val="22"/>
              </w:rPr>
            </w:pPr>
            <w:r w:rsidRPr="00AC37A9">
              <w:rPr>
                <w:color w:val="000000" w:themeColor="text1"/>
                <w:sz w:val="22"/>
                <w:szCs w:val="22"/>
              </w:rPr>
              <w:t>2</w:t>
            </w:r>
          </w:p>
        </w:tc>
        <w:tc>
          <w:tcPr>
            <w:tcW w:w="3260" w:type="dxa"/>
            <w:tcBorders>
              <w:top w:val="single" w:sz="6" w:space="0" w:color="000000"/>
              <w:left w:val="single" w:sz="6" w:space="0" w:color="000000"/>
              <w:bottom w:val="single" w:sz="6" w:space="0" w:color="000000"/>
              <w:right w:val="single" w:sz="6" w:space="0" w:color="000000"/>
            </w:tcBorders>
          </w:tcPr>
          <w:p w14:paraId="1E53DFFE" w14:textId="77777777" w:rsidR="00134188" w:rsidRPr="00AC37A9" w:rsidRDefault="003B71E0" w:rsidP="00155D68">
            <w:pPr>
              <w:pStyle w:val="naisc"/>
              <w:spacing w:before="0" w:after="0"/>
              <w:ind w:firstLine="720"/>
              <w:rPr>
                <w:color w:val="000000" w:themeColor="text1"/>
                <w:sz w:val="22"/>
                <w:szCs w:val="22"/>
              </w:rPr>
            </w:pPr>
            <w:r w:rsidRPr="00AC37A9">
              <w:rPr>
                <w:color w:val="000000" w:themeColor="text1"/>
                <w:sz w:val="22"/>
                <w:szCs w:val="22"/>
              </w:rPr>
              <w:t>3</w:t>
            </w:r>
          </w:p>
        </w:tc>
        <w:tc>
          <w:tcPr>
            <w:tcW w:w="2944" w:type="dxa"/>
            <w:gridSpan w:val="2"/>
            <w:tcBorders>
              <w:top w:val="single" w:sz="6" w:space="0" w:color="000000"/>
              <w:left w:val="single" w:sz="6" w:space="0" w:color="000000"/>
              <w:bottom w:val="single" w:sz="6" w:space="0" w:color="000000"/>
              <w:right w:val="single" w:sz="6" w:space="0" w:color="000000"/>
            </w:tcBorders>
          </w:tcPr>
          <w:p w14:paraId="12C4D2BE" w14:textId="77777777" w:rsidR="00134188" w:rsidRPr="00AC37A9" w:rsidRDefault="003B71E0" w:rsidP="00AC37A9">
            <w:pPr>
              <w:pStyle w:val="naisc"/>
              <w:spacing w:before="0" w:after="0"/>
              <w:ind w:firstLine="720"/>
              <w:jc w:val="both"/>
              <w:rPr>
                <w:color w:val="000000" w:themeColor="text1"/>
                <w:sz w:val="22"/>
                <w:szCs w:val="22"/>
              </w:rPr>
            </w:pPr>
            <w:r w:rsidRPr="00AC37A9">
              <w:rPr>
                <w:color w:val="000000" w:themeColor="text1"/>
                <w:sz w:val="22"/>
                <w:szCs w:val="22"/>
              </w:rPr>
              <w:t>4</w:t>
            </w:r>
          </w:p>
        </w:tc>
        <w:tc>
          <w:tcPr>
            <w:tcW w:w="3576" w:type="dxa"/>
            <w:tcBorders>
              <w:top w:val="single" w:sz="4" w:space="0" w:color="auto"/>
              <w:left w:val="single" w:sz="4" w:space="0" w:color="auto"/>
              <w:bottom w:val="single" w:sz="4" w:space="0" w:color="auto"/>
            </w:tcBorders>
          </w:tcPr>
          <w:p w14:paraId="23D570BB" w14:textId="77777777" w:rsidR="00134188" w:rsidRPr="00AC37A9" w:rsidRDefault="003B71E0" w:rsidP="00155D68">
            <w:pPr>
              <w:jc w:val="center"/>
              <w:rPr>
                <w:color w:val="000000" w:themeColor="text1"/>
                <w:sz w:val="22"/>
                <w:szCs w:val="22"/>
              </w:rPr>
            </w:pPr>
            <w:r w:rsidRPr="00AC37A9">
              <w:rPr>
                <w:color w:val="000000" w:themeColor="text1"/>
                <w:sz w:val="22"/>
                <w:szCs w:val="22"/>
              </w:rPr>
              <w:t>5</w:t>
            </w:r>
          </w:p>
        </w:tc>
      </w:tr>
      <w:tr w:rsidR="00C662B9" w:rsidRPr="00AC37A9" w14:paraId="7964C217" w14:textId="77777777" w:rsidTr="00371A58">
        <w:tc>
          <w:tcPr>
            <w:tcW w:w="567" w:type="dxa"/>
            <w:tcBorders>
              <w:top w:val="single" w:sz="6" w:space="0" w:color="000000"/>
              <w:left w:val="single" w:sz="6" w:space="0" w:color="000000"/>
              <w:bottom w:val="single" w:sz="6" w:space="0" w:color="000000"/>
              <w:right w:val="single" w:sz="6" w:space="0" w:color="000000"/>
            </w:tcBorders>
          </w:tcPr>
          <w:p w14:paraId="48284C19" w14:textId="7EB7533F" w:rsidR="00C662B9" w:rsidRPr="00AC37A9" w:rsidRDefault="00843B80" w:rsidP="00371A58">
            <w:pPr>
              <w:pStyle w:val="naisc"/>
              <w:spacing w:before="0" w:after="0"/>
              <w:rPr>
                <w:color w:val="000000" w:themeColor="text1"/>
                <w:sz w:val="22"/>
                <w:szCs w:val="22"/>
              </w:rPr>
            </w:pPr>
            <w:r>
              <w:rPr>
                <w:color w:val="000000" w:themeColor="text1"/>
                <w:sz w:val="22"/>
                <w:szCs w:val="22"/>
              </w:rPr>
              <w:t>1</w:t>
            </w:r>
            <w:r w:rsidR="00C662B9" w:rsidRPr="00AC37A9">
              <w:rPr>
                <w:color w:val="000000" w:themeColor="text1"/>
                <w:sz w:val="22"/>
                <w:szCs w:val="22"/>
              </w:rPr>
              <w:t>.</w:t>
            </w:r>
          </w:p>
        </w:tc>
        <w:tc>
          <w:tcPr>
            <w:tcW w:w="3543" w:type="dxa"/>
            <w:gridSpan w:val="2"/>
            <w:tcBorders>
              <w:top w:val="single" w:sz="6" w:space="0" w:color="000000"/>
              <w:left w:val="single" w:sz="6" w:space="0" w:color="000000"/>
              <w:bottom w:val="single" w:sz="6" w:space="0" w:color="000000"/>
              <w:right w:val="single" w:sz="6" w:space="0" w:color="000000"/>
            </w:tcBorders>
          </w:tcPr>
          <w:p w14:paraId="72883E87" w14:textId="48F58E3F" w:rsidR="009624CD" w:rsidRDefault="009624CD" w:rsidP="00371A58">
            <w:pPr>
              <w:jc w:val="both"/>
              <w:rPr>
                <w:b/>
                <w:color w:val="000000" w:themeColor="text1"/>
                <w:sz w:val="22"/>
                <w:szCs w:val="22"/>
              </w:rPr>
            </w:pPr>
            <w:r>
              <w:rPr>
                <w:b/>
                <w:color w:val="000000" w:themeColor="text1"/>
                <w:sz w:val="22"/>
                <w:szCs w:val="22"/>
              </w:rPr>
              <w:t>Noteikumu projekta nosaukums:</w:t>
            </w:r>
          </w:p>
          <w:p w14:paraId="4CFC39B7" w14:textId="67D580BC" w:rsidR="00C662B9" w:rsidRPr="00AC37A9" w:rsidRDefault="009624CD" w:rsidP="00371A58">
            <w:pPr>
              <w:jc w:val="both"/>
              <w:rPr>
                <w:b/>
                <w:color w:val="000000" w:themeColor="text1"/>
                <w:sz w:val="22"/>
                <w:szCs w:val="22"/>
              </w:rPr>
            </w:pPr>
            <w:r>
              <w:rPr>
                <w:b/>
                <w:color w:val="000000" w:themeColor="text1"/>
                <w:sz w:val="22"/>
                <w:szCs w:val="22"/>
              </w:rPr>
              <w:t>“</w:t>
            </w:r>
            <w:r w:rsidR="00C662B9" w:rsidRPr="00AC37A9">
              <w:rPr>
                <w:b/>
                <w:color w:val="000000" w:themeColor="text1"/>
                <w:sz w:val="22"/>
                <w:szCs w:val="22"/>
              </w:rPr>
              <w:t>Noteikumi par piemērojamo elektroniskā rēķina standartu un tā pamatelementu izmantošanas specifikāciju un aprites kārtību</w:t>
            </w:r>
            <w:r>
              <w:rPr>
                <w:b/>
                <w:color w:val="000000" w:themeColor="text1"/>
                <w:sz w:val="22"/>
                <w:szCs w:val="22"/>
              </w:rPr>
              <w:t>”</w:t>
            </w:r>
          </w:p>
          <w:p w14:paraId="033F0B22" w14:textId="77777777" w:rsidR="00C662B9" w:rsidRPr="00AC37A9" w:rsidRDefault="00C662B9" w:rsidP="00371A58">
            <w:pPr>
              <w:pStyle w:val="naisc"/>
              <w:spacing w:before="0" w:after="0"/>
              <w:ind w:firstLine="720"/>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249ACF2D" w14:textId="77777777" w:rsidR="00C662B9" w:rsidRPr="00AC37A9" w:rsidRDefault="00C662B9" w:rsidP="00371A58">
            <w:pPr>
              <w:widowControl w:val="0"/>
              <w:tabs>
                <w:tab w:val="left" w:pos="993"/>
              </w:tabs>
              <w:jc w:val="both"/>
              <w:rPr>
                <w:b/>
                <w:color w:val="000000" w:themeColor="text1"/>
                <w:sz w:val="22"/>
                <w:szCs w:val="22"/>
              </w:rPr>
            </w:pPr>
            <w:r w:rsidRPr="00AC37A9">
              <w:rPr>
                <w:b/>
                <w:color w:val="000000" w:themeColor="text1"/>
                <w:sz w:val="22"/>
                <w:szCs w:val="22"/>
              </w:rPr>
              <w:t>Tieslietu ministrija</w:t>
            </w:r>
          </w:p>
          <w:p w14:paraId="4F3C65FD" w14:textId="5E7B65C1" w:rsidR="00C662B9" w:rsidRPr="00AC37A9" w:rsidRDefault="00C662B9" w:rsidP="00410785">
            <w:pPr>
              <w:widowControl w:val="0"/>
              <w:tabs>
                <w:tab w:val="left" w:pos="993"/>
              </w:tabs>
              <w:jc w:val="both"/>
              <w:rPr>
                <w:color w:val="000000" w:themeColor="text1"/>
                <w:sz w:val="22"/>
                <w:szCs w:val="22"/>
              </w:rPr>
            </w:pPr>
            <w:r w:rsidRPr="00AC37A9">
              <w:rPr>
                <w:color w:val="000000" w:themeColor="text1"/>
                <w:sz w:val="22"/>
                <w:szCs w:val="22"/>
              </w:rPr>
              <w:t>Vēršam uzmanību, ka projekta nosaukums neatbilst Ministru kabineta 2009. gada 3. februāra noteikumu Nr. 108 „Normatīvo aktu projektu sagatavošanas noteikumi” (turpmāk – Noteikumi Nr. 108) 91. un 92. punktam, kas noteic, ka noteikumu projekta nosaukumā vārdus “kārtība”, “noteikumi” vai tamlīdzīgi raksta kā nosaukuma pēdējo vārdu un ka nosaukumu ar vārdiem “Noteikumi par” iesāk tikai retos izņēmuma gadījumos. Ievērojot minēto, lūdzam precizēt projekta nosaukumu, izsakot to, piemērām, šādā redakcijā: “Piemērojamais elektroniskā rēķina standarts un tā pamatelementu izmantošanas specifikācija un aprites kārtība”.</w:t>
            </w:r>
          </w:p>
        </w:tc>
        <w:tc>
          <w:tcPr>
            <w:tcW w:w="2944" w:type="dxa"/>
            <w:gridSpan w:val="2"/>
            <w:tcBorders>
              <w:top w:val="single" w:sz="6" w:space="0" w:color="000000"/>
              <w:left w:val="single" w:sz="6" w:space="0" w:color="000000"/>
              <w:bottom w:val="single" w:sz="6" w:space="0" w:color="000000"/>
              <w:right w:val="single" w:sz="6" w:space="0" w:color="000000"/>
            </w:tcBorders>
          </w:tcPr>
          <w:p w14:paraId="5B2175CC" w14:textId="77777777" w:rsidR="00C662B9" w:rsidRPr="00AC37A9" w:rsidRDefault="00C662B9" w:rsidP="00AC37A9">
            <w:pPr>
              <w:pStyle w:val="naisc"/>
              <w:spacing w:before="0" w:after="0"/>
              <w:jc w:val="both"/>
              <w:rPr>
                <w:b/>
                <w:color w:val="000000" w:themeColor="text1"/>
                <w:sz w:val="22"/>
                <w:szCs w:val="22"/>
              </w:rPr>
            </w:pPr>
            <w:r w:rsidRPr="00AC37A9">
              <w:rPr>
                <w:b/>
                <w:color w:val="000000" w:themeColor="text1"/>
                <w:sz w:val="22"/>
                <w:szCs w:val="22"/>
              </w:rPr>
              <w:t>Ņemts vērā</w:t>
            </w:r>
          </w:p>
        </w:tc>
        <w:tc>
          <w:tcPr>
            <w:tcW w:w="3576" w:type="dxa"/>
            <w:tcBorders>
              <w:top w:val="single" w:sz="4" w:space="0" w:color="auto"/>
              <w:left w:val="single" w:sz="4" w:space="0" w:color="auto"/>
              <w:bottom w:val="single" w:sz="4" w:space="0" w:color="auto"/>
            </w:tcBorders>
          </w:tcPr>
          <w:p w14:paraId="3CD6953F" w14:textId="77777777" w:rsidR="009624CD" w:rsidRDefault="009624CD" w:rsidP="009624CD">
            <w:pPr>
              <w:jc w:val="both"/>
              <w:rPr>
                <w:b/>
                <w:color w:val="000000" w:themeColor="text1"/>
                <w:sz w:val="22"/>
                <w:szCs w:val="22"/>
              </w:rPr>
            </w:pPr>
            <w:r>
              <w:rPr>
                <w:b/>
                <w:color w:val="000000" w:themeColor="text1"/>
                <w:sz w:val="22"/>
                <w:szCs w:val="22"/>
              </w:rPr>
              <w:t>Noteikumu projekta nosaukums:</w:t>
            </w:r>
          </w:p>
          <w:p w14:paraId="2DB0F99D" w14:textId="0CEB6B0C" w:rsidR="00C662B9" w:rsidRPr="00AC37A9" w:rsidRDefault="009624CD" w:rsidP="00371A58">
            <w:pPr>
              <w:jc w:val="both"/>
              <w:rPr>
                <w:b/>
                <w:color w:val="000000" w:themeColor="text1"/>
                <w:sz w:val="22"/>
                <w:szCs w:val="22"/>
              </w:rPr>
            </w:pPr>
            <w:r>
              <w:rPr>
                <w:b/>
                <w:color w:val="000000" w:themeColor="text1"/>
                <w:sz w:val="22"/>
                <w:szCs w:val="22"/>
              </w:rPr>
              <w:t>“</w:t>
            </w:r>
            <w:r w:rsidR="00C662B9" w:rsidRPr="00AC37A9">
              <w:rPr>
                <w:b/>
                <w:color w:val="000000" w:themeColor="text1"/>
                <w:sz w:val="22"/>
                <w:szCs w:val="22"/>
              </w:rPr>
              <w:t>Piemērojamais elektroniskā rēķina standarts un tā pamatelementu izmantošanas specifikācija un aprites kārtība</w:t>
            </w:r>
            <w:r>
              <w:rPr>
                <w:b/>
                <w:color w:val="000000" w:themeColor="text1"/>
                <w:sz w:val="22"/>
                <w:szCs w:val="22"/>
              </w:rPr>
              <w:t>”</w:t>
            </w:r>
          </w:p>
        </w:tc>
      </w:tr>
      <w:tr w:rsidR="00C662B9" w:rsidRPr="00AC37A9" w14:paraId="6C164C20" w14:textId="77777777" w:rsidTr="00371A58">
        <w:tc>
          <w:tcPr>
            <w:tcW w:w="567" w:type="dxa"/>
            <w:tcBorders>
              <w:top w:val="single" w:sz="6" w:space="0" w:color="000000"/>
              <w:left w:val="single" w:sz="6" w:space="0" w:color="000000"/>
              <w:bottom w:val="single" w:sz="6" w:space="0" w:color="000000"/>
              <w:right w:val="single" w:sz="6" w:space="0" w:color="000000"/>
            </w:tcBorders>
          </w:tcPr>
          <w:p w14:paraId="1ADDAD6F" w14:textId="17D2E018" w:rsidR="00C662B9" w:rsidRPr="00AC37A9" w:rsidRDefault="00843B80" w:rsidP="00371A58">
            <w:pPr>
              <w:pStyle w:val="naisc"/>
              <w:spacing w:before="0" w:after="0"/>
              <w:rPr>
                <w:color w:val="000000" w:themeColor="text1"/>
                <w:sz w:val="22"/>
                <w:szCs w:val="22"/>
              </w:rPr>
            </w:pPr>
            <w:r>
              <w:rPr>
                <w:color w:val="000000" w:themeColor="text1"/>
                <w:sz w:val="22"/>
                <w:szCs w:val="22"/>
              </w:rPr>
              <w:t>2</w:t>
            </w:r>
            <w:r w:rsidR="00C662B9" w:rsidRPr="00AC37A9">
              <w:rPr>
                <w:color w:val="000000" w:themeColor="text1"/>
                <w:sz w:val="22"/>
                <w:szCs w:val="22"/>
              </w:rPr>
              <w:t>.</w:t>
            </w:r>
          </w:p>
        </w:tc>
        <w:tc>
          <w:tcPr>
            <w:tcW w:w="3543" w:type="dxa"/>
            <w:gridSpan w:val="2"/>
            <w:tcBorders>
              <w:top w:val="single" w:sz="6" w:space="0" w:color="000000"/>
              <w:left w:val="single" w:sz="6" w:space="0" w:color="000000"/>
              <w:bottom w:val="single" w:sz="6" w:space="0" w:color="000000"/>
              <w:right w:val="single" w:sz="6" w:space="0" w:color="000000"/>
            </w:tcBorders>
          </w:tcPr>
          <w:p w14:paraId="45532CED" w14:textId="22C51019" w:rsidR="00C662B9" w:rsidRPr="00AC37A9" w:rsidRDefault="00C662B9" w:rsidP="00371A58">
            <w:pPr>
              <w:pStyle w:val="naisc"/>
              <w:spacing w:before="0" w:after="0"/>
              <w:jc w:val="both"/>
              <w:rPr>
                <w:b/>
                <w:color w:val="000000" w:themeColor="text1"/>
                <w:sz w:val="22"/>
                <w:szCs w:val="22"/>
              </w:rPr>
            </w:pPr>
            <w:r w:rsidRPr="00AC37A9">
              <w:rPr>
                <w:b/>
                <w:color w:val="000000" w:themeColor="text1"/>
                <w:sz w:val="22"/>
                <w:szCs w:val="22"/>
              </w:rPr>
              <w:t>Noteikumu projekta nodaļas</w:t>
            </w:r>
            <w:r w:rsidR="00A72C9A">
              <w:rPr>
                <w:b/>
                <w:color w:val="000000" w:themeColor="text1"/>
                <w:sz w:val="22"/>
                <w:szCs w:val="22"/>
              </w:rPr>
              <w:t>.</w:t>
            </w:r>
          </w:p>
        </w:tc>
        <w:tc>
          <w:tcPr>
            <w:tcW w:w="3260" w:type="dxa"/>
            <w:tcBorders>
              <w:top w:val="single" w:sz="6" w:space="0" w:color="000000"/>
              <w:left w:val="single" w:sz="6" w:space="0" w:color="000000"/>
              <w:bottom w:val="single" w:sz="6" w:space="0" w:color="000000"/>
              <w:right w:val="single" w:sz="6" w:space="0" w:color="000000"/>
            </w:tcBorders>
          </w:tcPr>
          <w:p w14:paraId="22EF6361" w14:textId="77777777" w:rsidR="00C662B9" w:rsidRPr="00AC37A9" w:rsidRDefault="00C662B9" w:rsidP="00371A58">
            <w:pPr>
              <w:pStyle w:val="naisc"/>
              <w:spacing w:before="0" w:after="0"/>
              <w:jc w:val="left"/>
              <w:rPr>
                <w:b/>
                <w:color w:val="000000" w:themeColor="text1"/>
                <w:sz w:val="22"/>
                <w:szCs w:val="22"/>
              </w:rPr>
            </w:pPr>
            <w:r w:rsidRPr="00AC37A9">
              <w:rPr>
                <w:b/>
                <w:color w:val="000000" w:themeColor="text1"/>
                <w:sz w:val="22"/>
                <w:szCs w:val="22"/>
              </w:rPr>
              <w:t>Tieslietu ministrija</w:t>
            </w:r>
          </w:p>
          <w:p w14:paraId="54C44D90" w14:textId="77777777" w:rsidR="00C662B9" w:rsidRPr="00AC37A9" w:rsidRDefault="00C662B9" w:rsidP="00371A58">
            <w:pPr>
              <w:pStyle w:val="naisc"/>
              <w:spacing w:before="0" w:after="0"/>
              <w:jc w:val="both"/>
              <w:rPr>
                <w:color w:val="000000" w:themeColor="text1"/>
                <w:sz w:val="22"/>
                <w:szCs w:val="22"/>
              </w:rPr>
            </w:pPr>
            <w:r w:rsidRPr="00AC37A9">
              <w:rPr>
                <w:color w:val="000000" w:themeColor="text1"/>
                <w:sz w:val="22"/>
                <w:szCs w:val="22"/>
              </w:rPr>
              <w:t xml:space="preserve">Ņemot vērā, ka projektā ir tikai seši punkti, lūdzam atbilstoši </w:t>
            </w:r>
            <w:r w:rsidRPr="00AC37A9">
              <w:rPr>
                <w:color w:val="000000" w:themeColor="text1"/>
                <w:sz w:val="22"/>
                <w:szCs w:val="22"/>
              </w:rPr>
              <w:lastRenderedPageBreak/>
              <w:t>Noteikumu Nr. 108 111. punktam izvērtēt, vai projekta tekstu vispār nepieciešams sadalīt nodaļās. Gadījumā, ja projekta teksta sadalījums nodaļās ir nepieciešams, lūdzam precizēt projektu atbilstoši Noteikumu Nr. 108 107.1. apakšpunktam, numurējot projekta nodaļas.</w:t>
            </w:r>
          </w:p>
        </w:tc>
        <w:tc>
          <w:tcPr>
            <w:tcW w:w="2944" w:type="dxa"/>
            <w:gridSpan w:val="2"/>
            <w:tcBorders>
              <w:top w:val="single" w:sz="6" w:space="0" w:color="000000"/>
              <w:left w:val="single" w:sz="6" w:space="0" w:color="000000"/>
              <w:bottom w:val="single" w:sz="6" w:space="0" w:color="000000"/>
              <w:right w:val="single" w:sz="6" w:space="0" w:color="000000"/>
            </w:tcBorders>
          </w:tcPr>
          <w:p w14:paraId="09E0788A" w14:textId="77777777" w:rsidR="00C662B9" w:rsidRPr="00AC37A9" w:rsidRDefault="00C662B9" w:rsidP="00AC37A9">
            <w:pPr>
              <w:pStyle w:val="naisc"/>
              <w:spacing w:before="0" w:after="0"/>
              <w:jc w:val="both"/>
              <w:rPr>
                <w:b/>
                <w:color w:val="000000" w:themeColor="text1"/>
                <w:sz w:val="22"/>
                <w:szCs w:val="22"/>
              </w:rPr>
            </w:pPr>
            <w:r w:rsidRPr="00AC37A9">
              <w:rPr>
                <w:b/>
                <w:color w:val="000000" w:themeColor="text1"/>
                <w:sz w:val="22"/>
                <w:szCs w:val="22"/>
              </w:rPr>
              <w:lastRenderedPageBreak/>
              <w:t>Ņemts vērā</w:t>
            </w:r>
          </w:p>
        </w:tc>
        <w:tc>
          <w:tcPr>
            <w:tcW w:w="3576" w:type="dxa"/>
            <w:tcBorders>
              <w:top w:val="single" w:sz="4" w:space="0" w:color="auto"/>
              <w:left w:val="single" w:sz="4" w:space="0" w:color="auto"/>
              <w:bottom w:val="single" w:sz="4" w:space="0" w:color="auto"/>
            </w:tcBorders>
          </w:tcPr>
          <w:p w14:paraId="037CF6D7" w14:textId="79F35A9F" w:rsidR="00C662B9" w:rsidRPr="00AC37A9" w:rsidRDefault="00C662B9" w:rsidP="00371A58">
            <w:pPr>
              <w:rPr>
                <w:b/>
                <w:color w:val="000000" w:themeColor="text1"/>
                <w:sz w:val="22"/>
                <w:szCs w:val="22"/>
              </w:rPr>
            </w:pPr>
            <w:r w:rsidRPr="00AC37A9">
              <w:rPr>
                <w:b/>
                <w:color w:val="000000" w:themeColor="text1"/>
                <w:sz w:val="22"/>
                <w:szCs w:val="22"/>
              </w:rPr>
              <w:t>Precizētas noteikumu projekta nodaļas</w:t>
            </w:r>
            <w:r w:rsidR="00A72C9A">
              <w:rPr>
                <w:b/>
                <w:color w:val="000000" w:themeColor="text1"/>
                <w:sz w:val="22"/>
                <w:szCs w:val="22"/>
              </w:rPr>
              <w:t>.</w:t>
            </w:r>
          </w:p>
        </w:tc>
      </w:tr>
      <w:tr w:rsidR="00843B80" w:rsidRPr="00AC37A9" w14:paraId="2F76B386" w14:textId="77777777" w:rsidTr="00EE63D4">
        <w:tc>
          <w:tcPr>
            <w:tcW w:w="567" w:type="dxa"/>
            <w:tcBorders>
              <w:top w:val="single" w:sz="6" w:space="0" w:color="000000"/>
              <w:left w:val="single" w:sz="6" w:space="0" w:color="000000"/>
              <w:bottom w:val="single" w:sz="6" w:space="0" w:color="000000"/>
              <w:right w:val="single" w:sz="6" w:space="0" w:color="000000"/>
            </w:tcBorders>
          </w:tcPr>
          <w:p w14:paraId="445B1F8A" w14:textId="6155AB5F" w:rsidR="00843B80" w:rsidRPr="00AC37A9" w:rsidRDefault="00843B80" w:rsidP="00EE63D4">
            <w:pPr>
              <w:pStyle w:val="naisc"/>
              <w:spacing w:before="0" w:after="0"/>
              <w:rPr>
                <w:color w:val="000000" w:themeColor="text1"/>
                <w:sz w:val="22"/>
                <w:szCs w:val="22"/>
              </w:rPr>
            </w:pPr>
            <w:r>
              <w:rPr>
                <w:color w:val="000000" w:themeColor="text1"/>
                <w:sz w:val="22"/>
                <w:szCs w:val="22"/>
              </w:rPr>
              <w:t>3.</w:t>
            </w:r>
          </w:p>
        </w:tc>
        <w:tc>
          <w:tcPr>
            <w:tcW w:w="3543" w:type="dxa"/>
            <w:gridSpan w:val="2"/>
            <w:tcBorders>
              <w:top w:val="single" w:sz="6" w:space="0" w:color="000000"/>
              <w:left w:val="single" w:sz="6" w:space="0" w:color="000000"/>
              <w:bottom w:val="single" w:sz="6" w:space="0" w:color="000000"/>
              <w:right w:val="single" w:sz="6" w:space="0" w:color="000000"/>
            </w:tcBorders>
          </w:tcPr>
          <w:p w14:paraId="76D5BE28" w14:textId="77777777" w:rsidR="00843B80" w:rsidRPr="00AC37A9" w:rsidRDefault="00843B80" w:rsidP="00EE63D4">
            <w:pPr>
              <w:pStyle w:val="naisc"/>
              <w:spacing w:before="0" w:after="0"/>
              <w:ind w:firstLine="720"/>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00ECFA3F" w14:textId="77777777" w:rsidR="00843B80" w:rsidRPr="00AC37A9" w:rsidRDefault="00843B80" w:rsidP="00EE63D4">
            <w:pPr>
              <w:tabs>
                <w:tab w:val="left" w:pos="7372"/>
              </w:tabs>
              <w:suppressAutoHyphens/>
              <w:spacing w:after="60"/>
              <w:jc w:val="both"/>
              <w:rPr>
                <w:b/>
                <w:color w:val="000000" w:themeColor="text1"/>
                <w:sz w:val="22"/>
                <w:szCs w:val="22"/>
                <w:lang w:eastAsia="ar-SA"/>
              </w:rPr>
            </w:pPr>
            <w:r w:rsidRPr="00AC37A9">
              <w:rPr>
                <w:b/>
                <w:color w:val="000000" w:themeColor="text1"/>
                <w:sz w:val="22"/>
                <w:szCs w:val="22"/>
                <w:lang w:eastAsia="ar-SA"/>
              </w:rPr>
              <w:t>Vides aizsardzības un reģionālās attīstības ministrija</w:t>
            </w:r>
          </w:p>
          <w:p w14:paraId="1E490427" w14:textId="77777777" w:rsidR="00843B80" w:rsidRPr="00AC37A9" w:rsidRDefault="00843B80" w:rsidP="00EE63D4">
            <w:pPr>
              <w:tabs>
                <w:tab w:val="left" w:pos="7372"/>
              </w:tabs>
              <w:suppressAutoHyphens/>
              <w:spacing w:after="60"/>
              <w:jc w:val="both"/>
              <w:rPr>
                <w:color w:val="000000" w:themeColor="text1"/>
                <w:sz w:val="22"/>
                <w:szCs w:val="22"/>
                <w:lang w:eastAsia="ar-SA"/>
              </w:rPr>
            </w:pPr>
            <w:r w:rsidRPr="00AC37A9">
              <w:rPr>
                <w:color w:val="000000" w:themeColor="text1"/>
                <w:sz w:val="22"/>
                <w:szCs w:val="22"/>
                <w:lang w:eastAsia="ar-SA"/>
              </w:rPr>
              <w:t xml:space="preserve">Šajos MK noteikumos ir jāietver e-rēķinu aprites nosacījumi (piem., kā dokuments ir jāsagatavo, jāpārbauda, </w:t>
            </w:r>
            <w:proofErr w:type="spellStart"/>
            <w:r w:rsidRPr="00AC37A9">
              <w:rPr>
                <w:color w:val="000000" w:themeColor="text1"/>
                <w:sz w:val="22"/>
                <w:szCs w:val="22"/>
                <w:lang w:eastAsia="ar-SA"/>
              </w:rPr>
              <w:t>jānosūta</w:t>
            </w:r>
            <w:proofErr w:type="spellEnd"/>
            <w:r w:rsidRPr="00AC37A9">
              <w:rPr>
                <w:color w:val="000000" w:themeColor="text1"/>
                <w:sz w:val="22"/>
                <w:szCs w:val="22"/>
                <w:lang w:eastAsia="ar-SA"/>
              </w:rPr>
              <w:t>, jāsaņem, jāinformē par saņemšanu (vai jāapliecina saņemšanas fakts), jāinformē par izpildes faktu. Ko darīt, ja rēķins ir bijis nosūtīts kļūdains, vai tiek atcelts? Jāatrunā kārtība, kā var kļūt per PEPPOL adresātu), pieejamības nosacījumi, termiņi e-rēķinu izmantošanas uzsākšanai, iesaistīto pušu pienākumi un atbildības( piem., VRAA pusei jāuzņemas nodrošināt e-adreses e-rēķinu risinājuma publiskām personām pieejamību, uzturēšanu un attīstību, auditācijas nodrošināšana (t.sk. ko jāauditē), dalībnieku informēšana par plānotiem un neplānotiem pārtraukumiem, e-rēķinu izmantotājiem jāuzņemas korekti veidot un attiecīgajos veidos iesniegt e-rēķinus, pieņemt e-</w:t>
            </w:r>
            <w:r w:rsidRPr="00AC37A9">
              <w:rPr>
                <w:color w:val="000000" w:themeColor="text1"/>
                <w:sz w:val="22"/>
                <w:szCs w:val="22"/>
                <w:lang w:eastAsia="ar-SA"/>
              </w:rPr>
              <w:lastRenderedPageBreak/>
              <w:t>rēķinus un informēt piegādātāju par to saņemšanu/izpildi, FM  jāuzņemas noteikt standartus, informēt iesaistītās puses par jebkādām izmaiņām tajos.), e-rēķinu glabāšanas termiņus.</w:t>
            </w:r>
          </w:p>
          <w:p w14:paraId="723107A9" w14:textId="77777777" w:rsidR="00843B80" w:rsidRPr="00AC37A9" w:rsidRDefault="00843B80" w:rsidP="00EE63D4">
            <w:pPr>
              <w:pStyle w:val="naisc"/>
              <w:spacing w:before="0" w:after="0"/>
              <w:jc w:val="left"/>
              <w:rPr>
                <w:color w:val="000000" w:themeColor="text1"/>
                <w:sz w:val="22"/>
                <w:szCs w:val="22"/>
              </w:rPr>
            </w:pPr>
          </w:p>
        </w:tc>
        <w:tc>
          <w:tcPr>
            <w:tcW w:w="2944" w:type="dxa"/>
            <w:gridSpan w:val="2"/>
            <w:tcBorders>
              <w:top w:val="single" w:sz="6" w:space="0" w:color="000000"/>
              <w:left w:val="single" w:sz="6" w:space="0" w:color="000000"/>
              <w:bottom w:val="single" w:sz="6" w:space="0" w:color="000000"/>
              <w:right w:val="single" w:sz="6" w:space="0" w:color="000000"/>
            </w:tcBorders>
          </w:tcPr>
          <w:p w14:paraId="5DFFCC46" w14:textId="77777777" w:rsidR="00843B80" w:rsidRPr="00AC37A9" w:rsidRDefault="00843B80" w:rsidP="00EE63D4">
            <w:pPr>
              <w:pStyle w:val="naisc"/>
              <w:suppressAutoHyphens/>
              <w:snapToGrid w:val="0"/>
              <w:spacing w:before="0" w:after="60"/>
              <w:jc w:val="both"/>
              <w:rPr>
                <w:b/>
                <w:bCs/>
                <w:color w:val="000000" w:themeColor="text1"/>
                <w:sz w:val="22"/>
                <w:szCs w:val="22"/>
                <w:lang w:eastAsia="ar-SA"/>
              </w:rPr>
            </w:pPr>
            <w:r w:rsidRPr="00AC37A9">
              <w:rPr>
                <w:b/>
                <w:bCs/>
                <w:color w:val="000000" w:themeColor="text1"/>
                <w:sz w:val="22"/>
                <w:szCs w:val="22"/>
                <w:lang w:eastAsia="ar-SA"/>
              </w:rPr>
              <w:lastRenderedPageBreak/>
              <w:t>Ņemts vērā</w:t>
            </w:r>
            <w:r>
              <w:rPr>
                <w:b/>
                <w:bCs/>
                <w:color w:val="000000" w:themeColor="text1"/>
                <w:sz w:val="22"/>
                <w:szCs w:val="22"/>
                <w:lang w:eastAsia="ar-SA"/>
              </w:rPr>
              <w:t xml:space="preserve"> (panākta vienošanās)</w:t>
            </w:r>
          </w:p>
          <w:p w14:paraId="394C94FD" w14:textId="77777777" w:rsidR="00843B80" w:rsidRPr="00AC37A9" w:rsidRDefault="00843B80" w:rsidP="00EE63D4">
            <w:pPr>
              <w:pStyle w:val="naisc"/>
              <w:suppressAutoHyphens/>
              <w:snapToGrid w:val="0"/>
              <w:spacing w:before="0" w:after="60"/>
              <w:jc w:val="both"/>
              <w:rPr>
                <w:bCs/>
                <w:color w:val="000000" w:themeColor="text1"/>
                <w:sz w:val="22"/>
                <w:szCs w:val="22"/>
                <w:lang w:eastAsia="ar-SA"/>
              </w:rPr>
            </w:pPr>
            <w:r w:rsidRPr="00AC37A9">
              <w:rPr>
                <w:bCs/>
                <w:color w:val="000000" w:themeColor="text1"/>
                <w:sz w:val="22"/>
                <w:szCs w:val="22"/>
                <w:lang w:eastAsia="ar-SA"/>
              </w:rPr>
              <w:t xml:space="preserve">Ministru kabineta </w:t>
            </w:r>
            <w:r w:rsidRPr="00AC37A9">
              <w:rPr>
                <w:color w:val="000000" w:themeColor="text1"/>
                <w:sz w:val="22"/>
                <w:szCs w:val="22"/>
                <w:lang w:eastAsia="ar-SA"/>
              </w:rPr>
              <w:t xml:space="preserve">2017.gada 12.septembra </w:t>
            </w:r>
            <w:r w:rsidRPr="00AC37A9">
              <w:rPr>
                <w:bCs/>
                <w:color w:val="000000" w:themeColor="text1"/>
                <w:sz w:val="22"/>
                <w:szCs w:val="22"/>
                <w:lang w:eastAsia="ar-SA"/>
              </w:rPr>
              <w:t>noteikumi Nr.546</w:t>
            </w:r>
            <w:r w:rsidRPr="00AC37A9">
              <w:rPr>
                <w:color w:val="000000" w:themeColor="text1"/>
                <w:sz w:val="22"/>
                <w:szCs w:val="22"/>
                <w:lang w:eastAsia="ar-SA"/>
              </w:rPr>
              <w:t xml:space="preserve"> “</w:t>
            </w:r>
            <w:r w:rsidRPr="00AC37A9">
              <w:rPr>
                <w:bCs/>
                <w:color w:val="000000" w:themeColor="text1"/>
                <w:sz w:val="22"/>
                <w:szCs w:val="22"/>
                <w:lang w:eastAsia="ar-SA"/>
              </w:rPr>
              <w:t>Oficiālo elektronisko adrešu informācijas sistēmas noteikumi” jau nosaka vispārējo dokumentu aprites kārtību elektronisko adrešu informācijas sistēmā. Gadījumā, ja elektroniskajiem rēķiniem ir paredzama speciāla aprites kārtība elektronisko adrešu informācijas sistēmā, tad to nepieciešams noteikt iepriekš minētajos noteikumos.</w:t>
            </w:r>
          </w:p>
          <w:p w14:paraId="49FC758B" w14:textId="77777777" w:rsidR="00843B80" w:rsidRPr="00AC37A9" w:rsidRDefault="00843B80" w:rsidP="00EE63D4">
            <w:pPr>
              <w:pStyle w:val="naisc"/>
              <w:suppressAutoHyphens/>
              <w:snapToGrid w:val="0"/>
              <w:spacing w:before="0" w:after="60"/>
              <w:jc w:val="both"/>
              <w:rPr>
                <w:sz w:val="22"/>
                <w:szCs w:val="22"/>
              </w:rPr>
            </w:pPr>
            <w:r w:rsidRPr="00AC37A9">
              <w:rPr>
                <w:color w:val="000000" w:themeColor="text1"/>
                <w:sz w:val="22"/>
                <w:szCs w:val="22"/>
                <w:lang w:eastAsia="ar-SA"/>
              </w:rPr>
              <w:t xml:space="preserve">Vienlaikus, tā kā šobrīd nav uzsākts </w:t>
            </w:r>
            <w:r w:rsidRPr="00AC37A9">
              <w:rPr>
                <w:sz w:val="22"/>
                <w:szCs w:val="22"/>
              </w:rPr>
              <w:t>īstenot Eiropas infrastruktūras savienošanas instrumenta (</w:t>
            </w:r>
            <w:proofErr w:type="spellStart"/>
            <w:r w:rsidRPr="00A72C9A">
              <w:rPr>
                <w:i/>
                <w:sz w:val="22"/>
                <w:szCs w:val="22"/>
              </w:rPr>
              <w:t>Connecting</w:t>
            </w:r>
            <w:proofErr w:type="spellEnd"/>
            <w:r w:rsidRPr="00A72C9A">
              <w:rPr>
                <w:i/>
                <w:sz w:val="22"/>
                <w:szCs w:val="22"/>
              </w:rPr>
              <w:t xml:space="preserve"> </w:t>
            </w:r>
            <w:proofErr w:type="spellStart"/>
            <w:r w:rsidRPr="00A72C9A">
              <w:rPr>
                <w:i/>
                <w:sz w:val="22"/>
                <w:szCs w:val="22"/>
              </w:rPr>
              <w:t>Europe</w:t>
            </w:r>
            <w:proofErr w:type="spellEnd"/>
            <w:r w:rsidRPr="00A72C9A">
              <w:rPr>
                <w:i/>
                <w:sz w:val="22"/>
                <w:szCs w:val="22"/>
              </w:rPr>
              <w:t xml:space="preserve"> </w:t>
            </w:r>
            <w:proofErr w:type="spellStart"/>
            <w:r w:rsidRPr="00A72C9A">
              <w:rPr>
                <w:i/>
                <w:sz w:val="22"/>
                <w:szCs w:val="22"/>
              </w:rPr>
              <w:t>Facility</w:t>
            </w:r>
            <w:proofErr w:type="spellEnd"/>
            <w:r w:rsidRPr="00AC37A9">
              <w:rPr>
                <w:sz w:val="22"/>
                <w:szCs w:val="22"/>
              </w:rPr>
              <w:t>) līdzfinansēto projektu “Eiropas elektroniskais rēķins” (</w:t>
            </w:r>
            <w:r w:rsidRPr="00A72C9A">
              <w:rPr>
                <w:i/>
                <w:sz w:val="22"/>
                <w:szCs w:val="22"/>
              </w:rPr>
              <w:t>e-</w:t>
            </w:r>
            <w:proofErr w:type="spellStart"/>
            <w:r w:rsidRPr="00A72C9A">
              <w:rPr>
                <w:i/>
                <w:sz w:val="22"/>
                <w:szCs w:val="22"/>
              </w:rPr>
              <w:t>Invoices</w:t>
            </w:r>
            <w:proofErr w:type="spellEnd"/>
            <w:r w:rsidRPr="00A72C9A">
              <w:rPr>
                <w:i/>
                <w:sz w:val="22"/>
                <w:szCs w:val="22"/>
              </w:rPr>
              <w:t xml:space="preserve"> CEF Project</w:t>
            </w:r>
            <w:r w:rsidRPr="00AC37A9">
              <w:rPr>
                <w:sz w:val="22"/>
                <w:szCs w:val="22"/>
              </w:rPr>
              <w:t xml:space="preserve">), kura ietvaros cita starpā paredzēts izvērtēt nepieciešamās izmaiņas normatīvajos aktos, </w:t>
            </w:r>
            <w:r w:rsidRPr="00AC37A9">
              <w:rPr>
                <w:sz w:val="22"/>
                <w:szCs w:val="22"/>
              </w:rPr>
              <w:lastRenderedPageBreak/>
              <w:t xml:space="preserve">šobrīd arī nav panākta pilnīga vienošanās par </w:t>
            </w:r>
            <w:r w:rsidRPr="00AC37A9">
              <w:rPr>
                <w:color w:val="000000" w:themeColor="text1"/>
                <w:sz w:val="22"/>
                <w:szCs w:val="22"/>
                <w:lang w:eastAsia="ar-SA"/>
              </w:rPr>
              <w:t xml:space="preserve"> projekta ietvaros izstrādājamā risinājuma darbīb</w:t>
            </w:r>
            <w:r>
              <w:rPr>
                <w:color w:val="000000" w:themeColor="text1"/>
                <w:sz w:val="22"/>
                <w:szCs w:val="22"/>
                <w:lang w:eastAsia="ar-SA"/>
              </w:rPr>
              <w:t>u</w:t>
            </w:r>
            <w:r w:rsidRPr="00AC37A9">
              <w:rPr>
                <w:color w:val="000000" w:themeColor="text1"/>
                <w:sz w:val="22"/>
                <w:szCs w:val="22"/>
                <w:lang w:eastAsia="ar-SA"/>
              </w:rPr>
              <w:t xml:space="preserve">, attiecīgi nav iespējams paredzēt noteikumus par risinājuma darbību (ja tādus papildus esošajam regulējumam būs nepieciešams noteikt). Attiecīgi </w:t>
            </w:r>
            <w:proofErr w:type="spellStart"/>
            <w:r w:rsidRPr="00AC37A9">
              <w:rPr>
                <w:color w:val="000000" w:themeColor="text1"/>
                <w:sz w:val="22"/>
                <w:szCs w:val="22"/>
                <w:lang w:eastAsia="ar-SA"/>
              </w:rPr>
              <w:t>protokollēmumā</w:t>
            </w:r>
            <w:proofErr w:type="spellEnd"/>
            <w:r w:rsidRPr="00AC37A9">
              <w:rPr>
                <w:color w:val="000000" w:themeColor="text1"/>
                <w:sz w:val="22"/>
                <w:szCs w:val="22"/>
                <w:lang w:eastAsia="ar-SA"/>
              </w:rPr>
              <w:t xml:space="preserve"> ir paredzēts uzdevums VARAM un FM projekta īstenošanas gaitā izvērtēt nepieciešamās izmaiņas normatīvajos aktos un noteiktā kārtībā tās iesniegt izskatīšanai M</w:t>
            </w:r>
            <w:r>
              <w:rPr>
                <w:color w:val="000000" w:themeColor="text1"/>
                <w:sz w:val="22"/>
                <w:szCs w:val="22"/>
                <w:lang w:eastAsia="ar-SA"/>
              </w:rPr>
              <w:t>inistru kabinetā</w:t>
            </w:r>
            <w:r w:rsidRPr="00AC37A9">
              <w:rPr>
                <w:color w:val="000000" w:themeColor="text1"/>
                <w:sz w:val="22"/>
                <w:szCs w:val="22"/>
                <w:lang w:eastAsia="ar-SA"/>
              </w:rPr>
              <w:t>.</w:t>
            </w:r>
          </w:p>
          <w:p w14:paraId="753621D8" w14:textId="77777777" w:rsidR="00843B80" w:rsidRPr="00AC37A9" w:rsidRDefault="00843B80" w:rsidP="00EE63D4">
            <w:pPr>
              <w:pStyle w:val="naisc"/>
              <w:spacing w:before="0" w:after="0"/>
              <w:jc w:val="both"/>
              <w:rPr>
                <w:color w:val="000000" w:themeColor="text1"/>
                <w:sz w:val="22"/>
                <w:szCs w:val="22"/>
              </w:rPr>
            </w:pPr>
            <w:r w:rsidRPr="00AC37A9">
              <w:rPr>
                <w:color w:val="000000" w:themeColor="text1"/>
                <w:sz w:val="22"/>
                <w:szCs w:val="22"/>
                <w:lang w:eastAsia="ar-SA"/>
              </w:rPr>
              <w:t>Papildus skaidrojam</w:t>
            </w:r>
            <w:r w:rsidRPr="00AC37A9">
              <w:rPr>
                <w:color w:val="000000" w:themeColor="text1"/>
                <w:sz w:val="22"/>
                <w:szCs w:val="22"/>
              </w:rPr>
              <w:t>, ka elektronisko rēķinu standartu</w:t>
            </w:r>
            <w:r>
              <w:rPr>
                <w:color w:val="000000" w:themeColor="text1"/>
                <w:sz w:val="22"/>
                <w:szCs w:val="22"/>
              </w:rPr>
              <w:t>,</w:t>
            </w:r>
            <w:r w:rsidRPr="00AC37A9">
              <w:rPr>
                <w:color w:val="000000" w:themeColor="text1"/>
                <w:sz w:val="22"/>
                <w:szCs w:val="22"/>
              </w:rPr>
              <w:t xml:space="preserve"> jau ir noteikusi Eiropas Standartizācijas institūcija (CEN) un saskaņā ar </w:t>
            </w:r>
            <w:r>
              <w:rPr>
                <w:color w:val="000000" w:themeColor="text1"/>
                <w:sz w:val="22"/>
                <w:szCs w:val="22"/>
              </w:rPr>
              <w:t>D</w:t>
            </w:r>
            <w:r w:rsidRPr="00AC37A9">
              <w:rPr>
                <w:color w:val="000000" w:themeColor="text1"/>
                <w:sz w:val="22"/>
                <w:szCs w:val="22"/>
              </w:rPr>
              <w:t>irektīvu</w:t>
            </w:r>
            <w:r>
              <w:rPr>
                <w:color w:val="000000" w:themeColor="text1"/>
                <w:sz w:val="22"/>
                <w:szCs w:val="22"/>
              </w:rPr>
              <w:t xml:space="preserve"> 2014/55/ES</w:t>
            </w:r>
            <w:r w:rsidRPr="00AC37A9">
              <w:rPr>
                <w:color w:val="000000" w:themeColor="text1"/>
                <w:sz w:val="22"/>
                <w:szCs w:val="22"/>
              </w:rPr>
              <w:t xml:space="preserve"> un Eiropas Komisijas Eiropas Savienības Oficiālā Vēstneša 2017.gada 17.oktobra laidienā Nr. L 266/19 publicēto Komisijas 2017.gada 16.oktobra īstenošanas lēmumu 2017/1870 par atsauces uz elektronisko rēķinu sagatavošanas Eiropas standartu un tā sintakšu saraksta publicēšanu  dalībvalstīm minētais standarts ir obligāts, attiecīgi Finanšu ministrija nenoteikts citus standartus.</w:t>
            </w:r>
          </w:p>
        </w:tc>
        <w:tc>
          <w:tcPr>
            <w:tcW w:w="3576" w:type="dxa"/>
            <w:tcBorders>
              <w:top w:val="single" w:sz="4" w:space="0" w:color="auto"/>
              <w:left w:val="single" w:sz="4" w:space="0" w:color="auto"/>
              <w:bottom w:val="single" w:sz="4" w:space="0" w:color="auto"/>
            </w:tcBorders>
          </w:tcPr>
          <w:p w14:paraId="38BD5F32" w14:textId="77777777" w:rsidR="00843B80" w:rsidRPr="00AC37A9" w:rsidRDefault="00843B80" w:rsidP="00EE63D4">
            <w:pPr>
              <w:jc w:val="both"/>
              <w:rPr>
                <w:b/>
                <w:bCs/>
                <w:color w:val="000000" w:themeColor="text1"/>
                <w:sz w:val="22"/>
                <w:szCs w:val="22"/>
              </w:rPr>
            </w:pPr>
            <w:proofErr w:type="spellStart"/>
            <w:r w:rsidRPr="00AC37A9">
              <w:rPr>
                <w:b/>
                <w:bCs/>
                <w:color w:val="000000" w:themeColor="text1"/>
                <w:sz w:val="22"/>
                <w:szCs w:val="22"/>
              </w:rPr>
              <w:lastRenderedPageBreak/>
              <w:t>Protokollēmuma</w:t>
            </w:r>
            <w:proofErr w:type="spellEnd"/>
            <w:r w:rsidRPr="00AC37A9">
              <w:rPr>
                <w:b/>
                <w:bCs/>
                <w:color w:val="000000" w:themeColor="text1"/>
                <w:sz w:val="22"/>
                <w:szCs w:val="22"/>
              </w:rPr>
              <w:t xml:space="preserve"> projekta 2.punkts:</w:t>
            </w:r>
          </w:p>
          <w:p w14:paraId="53F9C13A" w14:textId="41A598FC" w:rsidR="00843B80" w:rsidRPr="00AC37A9" w:rsidRDefault="009C4CC8" w:rsidP="00EE63D4">
            <w:pPr>
              <w:jc w:val="both"/>
              <w:rPr>
                <w:color w:val="000000" w:themeColor="text1"/>
                <w:sz w:val="22"/>
                <w:szCs w:val="22"/>
              </w:rPr>
            </w:pPr>
            <w:r>
              <w:rPr>
                <w:color w:val="000000" w:themeColor="text1"/>
                <w:sz w:val="22"/>
                <w:szCs w:val="22"/>
              </w:rPr>
              <w:t xml:space="preserve">“2. </w:t>
            </w:r>
            <w:r w:rsidRPr="009C4CC8">
              <w:rPr>
                <w:color w:val="000000" w:themeColor="text1"/>
                <w:sz w:val="22"/>
                <w:szCs w:val="22"/>
              </w:rPr>
              <w:t>Vides aizsardzības un reģionālās attīstības ministrijai (Valsts reģionālās attīstības aģentūrai), īstenojot Eiropas infrastruktūras savienošanas instrumenta (</w:t>
            </w:r>
            <w:proofErr w:type="spellStart"/>
            <w:r w:rsidRPr="009C4CC8">
              <w:rPr>
                <w:color w:val="000000" w:themeColor="text1"/>
                <w:sz w:val="22"/>
                <w:szCs w:val="22"/>
              </w:rPr>
              <w:t>Connecting</w:t>
            </w:r>
            <w:proofErr w:type="spellEnd"/>
            <w:r w:rsidRPr="009C4CC8">
              <w:rPr>
                <w:color w:val="000000" w:themeColor="text1"/>
                <w:sz w:val="22"/>
                <w:szCs w:val="22"/>
              </w:rPr>
              <w:t xml:space="preserve"> </w:t>
            </w:r>
            <w:proofErr w:type="spellStart"/>
            <w:r w:rsidRPr="009C4CC8">
              <w:rPr>
                <w:color w:val="000000" w:themeColor="text1"/>
                <w:sz w:val="22"/>
                <w:szCs w:val="22"/>
              </w:rPr>
              <w:t>Europe</w:t>
            </w:r>
            <w:proofErr w:type="spellEnd"/>
            <w:r w:rsidRPr="009C4CC8">
              <w:rPr>
                <w:color w:val="000000" w:themeColor="text1"/>
                <w:sz w:val="22"/>
                <w:szCs w:val="22"/>
              </w:rPr>
              <w:t xml:space="preserve"> </w:t>
            </w:r>
            <w:proofErr w:type="spellStart"/>
            <w:r w:rsidRPr="009C4CC8">
              <w:rPr>
                <w:color w:val="000000" w:themeColor="text1"/>
                <w:sz w:val="22"/>
                <w:szCs w:val="22"/>
              </w:rPr>
              <w:t>Facility</w:t>
            </w:r>
            <w:proofErr w:type="spellEnd"/>
            <w:r w:rsidRPr="009C4CC8">
              <w:rPr>
                <w:color w:val="000000" w:themeColor="text1"/>
                <w:sz w:val="22"/>
                <w:szCs w:val="22"/>
              </w:rPr>
              <w:t>) līdzfinansēto projektu “Eiropas elektroniskais rēķins” (e-</w:t>
            </w:r>
            <w:proofErr w:type="spellStart"/>
            <w:r w:rsidRPr="009C4CC8">
              <w:rPr>
                <w:color w:val="000000" w:themeColor="text1"/>
                <w:sz w:val="22"/>
                <w:szCs w:val="22"/>
              </w:rPr>
              <w:t>Invoices</w:t>
            </w:r>
            <w:proofErr w:type="spellEnd"/>
            <w:r w:rsidRPr="009C4CC8">
              <w:rPr>
                <w:color w:val="000000" w:themeColor="text1"/>
                <w:sz w:val="22"/>
                <w:szCs w:val="22"/>
              </w:rPr>
              <w:t xml:space="preserve"> CEF Project), sadarbībā ar Finanšu ministriju sagatavot un atbilstoši kompetencei noteiktā kārtībā iesniegt Ministru kabinetā nepieciešamos grozījumus normatīvajos aktos, nosakot, ka tiešās pārvaldes iestādes elektronisko rēķinu saņemšanai izmanto tikai projekta ietvaros radītos elektronisko rēķinu piegādes risinājumus.</w:t>
            </w:r>
            <w:r w:rsidR="00843B80" w:rsidRPr="00AC37A9">
              <w:rPr>
                <w:color w:val="000000" w:themeColor="text1"/>
                <w:sz w:val="22"/>
                <w:szCs w:val="22"/>
              </w:rPr>
              <w:t>”</w:t>
            </w:r>
          </w:p>
        </w:tc>
      </w:tr>
      <w:tr w:rsidR="00A72C9A" w:rsidRPr="00AC37A9" w14:paraId="117927B2" w14:textId="77777777" w:rsidTr="0043237E">
        <w:tc>
          <w:tcPr>
            <w:tcW w:w="567" w:type="dxa"/>
            <w:tcBorders>
              <w:top w:val="single" w:sz="6" w:space="0" w:color="000000"/>
              <w:left w:val="single" w:sz="6" w:space="0" w:color="000000"/>
              <w:bottom w:val="single" w:sz="6" w:space="0" w:color="000000"/>
              <w:right w:val="single" w:sz="6" w:space="0" w:color="000000"/>
            </w:tcBorders>
          </w:tcPr>
          <w:p w14:paraId="0371B164" w14:textId="09515376" w:rsidR="00A72C9A" w:rsidRPr="00AC37A9" w:rsidRDefault="007B2BFF" w:rsidP="00155D68">
            <w:pPr>
              <w:pStyle w:val="naisc"/>
              <w:spacing w:before="0" w:after="0"/>
              <w:rPr>
                <w:color w:val="000000" w:themeColor="text1"/>
                <w:sz w:val="22"/>
                <w:szCs w:val="22"/>
              </w:rPr>
            </w:pPr>
            <w:r>
              <w:rPr>
                <w:color w:val="000000" w:themeColor="text1"/>
                <w:sz w:val="22"/>
                <w:szCs w:val="22"/>
              </w:rPr>
              <w:lastRenderedPageBreak/>
              <w:t>4.</w:t>
            </w:r>
          </w:p>
        </w:tc>
        <w:tc>
          <w:tcPr>
            <w:tcW w:w="3543" w:type="dxa"/>
            <w:gridSpan w:val="2"/>
            <w:tcBorders>
              <w:top w:val="single" w:sz="6" w:space="0" w:color="000000"/>
              <w:left w:val="single" w:sz="6" w:space="0" w:color="000000"/>
              <w:bottom w:val="single" w:sz="6" w:space="0" w:color="000000"/>
              <w:right w:val="single" w:sz="6" w:space="0" w:color="000000"/>
            </w:tcBorders>
          </w:tcPr>
          <w:p w14:paraId="7A059A17" w14:textId="77777777" w:rsidR="00A72C9A" w:rsidRPr="00AC37A9" w:rsidRDefault="00A72C9A" w:rsidP="008A64FB">
            <w:pPr>
              <w:tabs>
                <w:tab w:val="left" w:pos="567"/>
              </w:tabs>
              <w:rPr>
                <w:b/>
                <w:color w:val="000000" w:themeColor="text1"/>
                <w:sz w:val="22"/>
                <w:szCs w:val="22"/>
              </w:rPr>
            </w:pPr>
            <w:r w:rsidRPr="00AC37A9">
              <w:rPr>
                <w:b/>
                <w:color w:val="000000" w:themeColor="text1"/>
                <w:sz w:val="22"/>
                <w:szCs w:val="22"/>
              </w:rPr>
              <w:t>Noteikumu projekta 3.punkts:</w:t>
            </w:r>
          </w:p>
          <w:p w14:paraId="3BAF06EB" w14:textId="43F562AF" w:rsidR="00A72C9A" w:rsidRPr="00AC37A9" w:rsidRDefault="00A72C9A" w:rsidP="008A64FB">
            <w:pPr>
              <w:pStyle w:val="naisc"/>
              <w:spacing w:before="0" w:after="0"/>
              <w:jc w:val="both"/>
              <w:rPr>
                <w:color w:val="000000" w:themeColor="text1"/>
                <w:sz w:val="22"/>
                <w:szCs w:val="22"/>
              </w:rPr>
            </w:pPr>
            <w:r w:rsidRPr="00AC37A9">
              <w:rPr>
                <w:color w:val="000000" w:themeColor="text1"/>
                <w:sz w:val="22"/>
                <w:szCs w:val="22"/>
              </w:rPr>
              <w:t>“3. Pasūtītājs, sabiedrisko pakalpojumu sniedzējs vai publiskais partneris vai tā pārstāvis pieņem elektronisko rēķinu, kas ir sagatavots un izsniegts elektroniskā veidā un atbilst piemērojamajam elektroniskā rēķina standartam un iepirkuma līgumā vai publiskās un privātās partnerības līgumā pasūtītāja, sabiedrisko pakalpojumu sniedzēja vai publiskā partnera vai tā pārstāvja noteiktajām papildu prasībām obligātas informācijas norādīšanai kādā no piemērojamajā elektroniskā rēķina standartā paredzētajiem izvēles pamatelementiem.”</w:t>
            </w:r>
          </w:p>
        </w:tc>
        <w:tc>
          <w:tcPr>
            <w:tcW w:w="3260" w:type="dxa"/>
            <w:tcBorders>
              <w:top w:val="single" w:sz="6" w:space="0" w:color="000000"/>
              <w:left w:val="single" w:sz="6" w:space="0" w:color="000000"/>
              <w:bottom w:val="single" w:sz="6" w:space="0" w:color="000000"/>
              <w:right w:val="single" w:sz="6" w:space="0" w:color="000000"/>
            </w:tcBorders>
          </w:tcPr>
          <w:p w14:paraId="5016F9E8" w14:textId="77777777" w:rsidR="00A72C9A" w:rsidRPr="00AC37A9" w:rsidRDefault="00A72C9A" w:rsidP="008A64FB">
            <w:pPr>
              <w:tabs>
                <w:tab w:val="left" w:pos="7372"/>
              </w:tabs>
              <w:suppressAutoHyphens/>
              <w:spacing w:after="60"/>
              <w:jc w:val="both"/>
              <w:rPr>
                <w:b/>
                <w:color w:val="000000" w:themeColor="text1"/>
                <w:sz w:val="22"/>
                <w:szCs w:val="22"/>
                <w:lang w:eastAsia="ar-SA"/>
              </w:rPr>
            </w:pPr>
            <w:r w:rsidRPr="00AC37A9">
              <w:rPr>
                <w:b/>
                <w:color w:val="000000" w:themeColor="text1"/>
                <w:sz w:val="22"/>
                <w:szCs w:val="22"/>
                <w:lang w:eastAsia="ar-SA"/>
              </w:rPr>
              <w:t>Vides aizsardzības un reģionālās attīstības ministrija</w:t>
            </w:r>
          </w:p>
          <w:p w14:paraId="1C7E26C1" w14:textId="77777777" w:rsidR="00A72C9A" w:rsidRPr="00AC37A9" w:rsidRDefault="00A72C9A" w:rsidP="008A64FB">
            <w:pPr>
              <w:tabs>
                <w:tab w:val="left" w:pos="7372"/>
              </w:tabs>
              <w:suppressAutoHyphens/>
              <w:spacing w:after="60"/>
              <w:jc w:val="both"/>
              <w:rPr>
                <w:color w:val="000000" w:themeColor="text1"/>
                <w:sz w:val="22"/>
                <w:szCs w:val="22"/>
                <w:lang w:eastAsia="ar-SA"/>
              </w:rPr>
            </w:pPr>
            <w:r w:rsidRPr="00AC37A9">
              <w:rPr>
                <w:color w:val="000000" w:themeColor="text1"/>
                <w:sz w:val="22"/>
                <w:szCs w:val="22"/>
                <w:lang w:eastAsia="ar-SA"/>
              </w:rPr>
              <w:t>Standarta izvēles pamatelementu noteikšana kā obligāta, savstarpēji vienojoties (</w:t>
            </w:r>
            <w:r w:rsidRPr="00AC37A9">
              <w:rPr>
                <w:i/>
                <w:color w:val="000000" w:themeColor="text1"/>
                <w:sz w:val="22"/>
                <w:szCs w:val="22"/>
                <w:lang w:eastAsia="ar-SA"/>
              </w:rPr>
              <w:t>skat. “... un iepirkuma līgumā vai publiskās un privātās partnerības līgumā pasūtītāja, sabiedrisko pakalpojumu sniedzēja vai publiskā partnera vai tā pārstāvja noteiktajām papildu prasībām obligātas informācijas norādīšanai kādā no piemērojamajā elektroniskā rēķina standartā paredzētajiem izvēles pamatelementiem”</w:t>
            </w:r>
            <w:r w:rsidRPr="00AC37A9">
              <w:rPr>
                <w:color w:val="000000" w:themeColor="text1"/>
                <w:sz w:val="22"/>
                <w:szCs w:val="22"/>
                <w:lang w:eastAsia="ar-SA"/>
              </w:rPr>
              <w:t xml:space="preserve">) ar valsts pārvaldes iestādēm publiskā iepirkuma procesā, neatbilst standarta un tā precizējuma (CIUS) būtībai. Ja valsts pārvaldes iestādēm elektroniskajos rēķinos ir nepieciešami papildus obligāti lauki, tie ir jāpadara obligāti, izmainot esošo vai izveidojot jaunu CIUS un, ja nepieciešams, mainot vai papildinot tā pārbaudes </w:t>
            </w:r>
            <w:proofErr w:type="spellStart"/>
            <w:r w:rsidRPr="00AC37A9">
              <w:rPr>
                <w:i/>
                <w:color w:val="000000" w:themeColor="text1"/>
                <w:sz w:val="22"/>
                <w:szCs w:val="22"/>
                <w:lang w:eastAsia="ar-SA"/>
              </w:rPr>
              <w:t>schematron</w:t>
            </w:r>
            <w:proofErr w:type="spellEnd"/>
            <w:r w:rsidRPr="00AC37A9">
              <w:rPr>
                <w:color w:val="000000" w:themeColor="text1"/>
                <w:sz w:val="22"/>
                <w:szCs w:val="22"/>
                <w:lang w:eastAsia="ar-SA"/>
              </w:rPr>
              <w:t xml:space="preserve"> algoritmus. Tāpat jāņem vērā, ka vairāku CIUS izveide rada sarežģījumus publiskā iepirkuma procesa dalībniekiem gan Latvijā, gan Eiropas Savienībā.</w:t>
            </w:r>
          </w:p>
          <w:p w14:paraId="2EA17C0D" w14:textId="77777777" w:rsidR="00A72C9A" w:rsidRPr="00AC37A9" w:rsidRDefault="00A72C9A" w:rsidP="008A64FB">
            <w:pPr>
              <w:tabs>
                <w:tab w:val="left" w:pos="7372"/>
              </w:tabs>
              <w:suppressAutoHyphens/>
              <w:spacing w:after="60"/>
              <w:jc w:val="both"/>
              <w:rPr>
                <w:color w:val="000000" w:themeColor="text1"/>
                <w:sz w:val="22"/>
                <w:szCs w:val="22"/>
                <w:lang w:eastAsia="ar-SA"/>
              </w:rPr>
            </w:pPr>
            <w:r w:rsidRPr="00AC37A9">
              <w:rPr>
                <w:color w:val="000000" w:themeColor="text1"/>
                <w:sz w:val="22"/>
                <w:szCs w:val="22"/>
                <w:lang w:eastAsia="ar-SA"/>
              </w:rPr>
              <w:t xml:space="preserve">Ņemot vērā minēto, VARAM lūdz noteikumu projekta 3.punktu “3.Pasūtītājs, sabiedrisko pakalpojumu sniedzējs vai publiskais partneris vai tā pārstāvis </w:t>
            </w:r>
            <w:r w:rsidRPr="00AC37A9">
              <w:rPr>
                <w:color w:val="000000" w:themeColor="text1"/>
                <w:sz w:val="22"/>
                <w:szCs w:val="22"/>
                <w:lang w:eastAsia="ar-SA"/>
              </w:rPr>
              <w:lastRenderedPageBreak/>
              <w:t>pieņem elektronisko rēķinu, kas ir sagatavots un izsniegts elektroniskā veidā un atbilst piemērojamajam elektroniskā rēķina standartam un iepirkuma līgumā vai publiskās un privātās partnerības līgumā pasūtītāja, sabiedrisko pakalpojumu sniedzēja vai publiskā partnera vai tā pārstāvja noteiktajām papildu prasībām obligātas informācijas norādīšanai kādā no piemērojamajā elektroniskā rēķina standartā paredzētajiem izvēles pamatelementiem.” izteikt šādā redakcijā:</w:t>
            </w:r>
          </w:p>
          <w:p w14:paraId="44A94B0C" w14:textId="0420D292" w:rsidR="00A72C9A" w:rsidRPr="00AC37A9" w:rsidRDefault="00A72C9A" w:rsidP="00A72C9A">
            <w:pPr>
              <w:pStyle w:val="naisc"/>
              <w:spacing w:before="0" w:after="0"/>
              <w:jc w:val="both"/>
              <w:rPr>
                <w:color w:val="000000" w:themeColor="text1"/>
                <w:sz w:val="22"/>
                <w:szCs w:val="22"/>
              </w:rPr>
            </w:pPr>
            <w:r w:rsidRPr="00AC37A9">
              <w:rPr>
                <w:color w:val="000000" w:themeColor="text1"/>
                <w:sz w:val="22"/>
                <w:szCs w:val="22"/>
                <w:lang w:eastAsia="ar-SA"/>
              </w:rPr>
              <w:t>“</w:t>
            </w:r>
            <w:r w:rsidRPr="00AC37A9">
              <w:rPr>
                <w:i/>
                <w:color w:val="000000" w:themeColor="text1"/>
                <w:sz w:val="22"/>
                <w:szCs w:val="22"/>
                <w:lang w:eastAsia="ar-SA"/>
              </w:rPr>
              <w:t>3. Pasūtītājs, sabiedrisko pakalpojumu sniedzējs vai publiskais partneris vai tā pārstāvis pieņem elektronisko rēķinu, kas ir sagatavots un izsniegts elektroniskā veidā un atbilst piemērojamajam elektroniskā rēķina standartam.</w:t>
            </w:r>
            <w:r w:rsidRPr="00AC37A9">
              <w:rPr>
                <w:color w:val="000000" w:themeColor="text1"/>
                <w:sz w:val="22"/>
                <w:szCs w:val="22"/>
                <w:lang w:eastAsia="ar-SA"/>
              </w:rPr>
              <w:t>”</w:t>
            </w:r>
          </w:p>
        </w:tc>
        <w:tc>
          <w:tcPr>
            <w:tcW w:w="2944" w:type="dxa"/>
            <w:gridSpan w:val="2"/>
            <w:vMerge w:val="restart"/>
            <w:tcBorders>
              <w:top w:val="single" w:sz="6" w:space="0" w:color="000000"/>
              <w:left w:val="single" w:sz="6" w:space="0" w:color="000000"/>
              <w:right w:val="single" w:sz="6" w:space="0" w:color="000000"/>
            </w:tcBorders>
          </w:tcPr>
          <w:p w14:paraId="0705B814" w14:textId="77777777" w:rsidR="00A72C9A" w:rsidRPr="00AC37A9" w:rsidRDefault="00A72C9A" w:rsidP="00AC37A9">
            <w:pPr>
              <w:pStyle w:val="naisc"/>
              <w:suppressAutoHyphens/>
              <w:snapToGrid w:val="0"/>
              <w:spacing w:before="0" w:after="60"/>
              <w:jc w:val="both"/>
              <w:rPr>
                <w:b/>
                <w:bCs/>
                <w:color w:val="000000" w:themeColor="text1"/>
                <w:sz w:val="22"/>
                <w:szCs w:val="22"/>
                <w:lang w:eastAsia="ar-SA"/>
              </w:rPr>
            </w:pPr>
            <w:r w:rsidRPr="00AC37A9">
              <w:rPr>
                <w:b/>
                <w:bCs/>
                <w:color w:val="000000" w:themeColor="text1"/>
                <w:sz w:val="22"/>
                <w:szCs w:val="22"/>
                <w:lang w:eastAsia="ar-SA"/>
              </w:rPr>
              <w:lastRenderedPageBreak/>
              <w:t>Ņemts vērā</w:t>
            </w:r>
          </w:p>
          <w:p w14:paraId="0173831A" w14:textId="6F982D3D" w:rsidR="00A72C9A" w:rsidRPr="00AC37A9" w:rsidRDefault="00A72C9A" w:rsidP="00AC37A9">
            <w:pPr>
              <w:pStyle w:val="naisc"/>
              <w:suppressAutoHyphens/>
              <w:snapToGrid w:val="0"/>
              <w:spacing w:after="60"/>
              <w:jc w:val="both"/>
              <w:rPr>
                <w:color w:val="000000"/>
                <w:spacing w:val="-2"/>
                <w:sz w:val="22"/>
                <w:szCs w:val="22"/>
                <w:shd w:val="clear" w:color="auto" w:fill="FFFFFF"/>
              </w:rPr>
            </w:pPr>
            <w:r w:rsidRPr="00AC37A9">
              <w:rPr>
                <w:color w:val="000000" w:themeColor="text1"/>
                <w:sz w:val="22"/>
                <w:szCs w:val="22"/>
                <w:lang w:eastAsia="ar-SA"/>
              </w:rPr>
              <w:t xml:space="preserve">Direktīvas 34.apsverumā ir minēts, ka </w:t>
            </w:r>
            <w:r w:rsidRPr="00AC37A9">
              <w:rPr>
                <w:i/>
                <w:color w:val="000000" w:themeColor="text1"/>
                <w:sz w:val="22"/>
                <w:szCs w:val="22"/>
                <w:lang w:eastAsia="ar-SA"/>
              </w:rPr>
              <w:t xml:space="preserve">[..] Līgumslēdzējām iestādēm un līgumslēdzējiem tāpēc nebūtu jāatsakās pieņemt elektroniskos rēķinus, kuri atbilst iepriekš minētajiem nosacījumiem, tikai pamatojoties uz to, ka tie neatbilst prasībām (piemēram, valsts vai nozares īpašām prasībām vai jebkādām papildus tehniskām prasībām), kas nav šajā direktīvā īpaši paredzētās prasības. </w:t>
            </w:r>
            <w:r w:rsidRPr="00AC37A9">
              <w:rPr>
                <w:i/>
                <w:color w:val="000000" w:themeColor="text1"/>
                <w:sz w:val="22"/>
                <w:szCs w:val="22"/>
                <w:u w:val="single"/>
                <w:lang w:eastAsia="ar-SA"/>
              </w:rPr>
              <w:t>Tomēr šim pienākumam nebūtu jāietekmē iespējas rēķinus noraidīt citu pamatotu iemeslu dēļ, piemēram, līgumisku nosacījumu dēļ.</w:t>
            </w:r>
            <w:r w:rsidRPr="00AC37A9">
              <w:rPr>
                <w:i/>
                <w:color w:val="000000" w:themeColor="text1"/>
                <w:sz w:val="22"/>
                <w:szCs w:val="22"/>
                <w:lang w:eastAsia="ar-SA"/>
              </w:rPr>
              <w:t xml:space="preserve"> [..] </w:t>
            </w:r>
            <w:r w:rsidR="00053163">
              <w:rPr>
                <w:color w:val="000000" w:themeColor="text1"/>
                <w:sz w:val="22"/>
                <w:szCs w:val="22"/>
                <w:lang w:eastAsia="ar-SA"/>
              </w:rPr>
              <w:t xml:space="preserve">Tāpat </w:t>
            </w:r>
            <w:r w:rsidRPr="00AC37A9">
              <w:rPr>
                <w:color w:val="000000" w:themeColor="text1"/>
                <w:sz w:val="22"/>
                <w:szCs w:val="22"/>
                <w:lang w:eastAsia="ar-SA"/>
              </w:rPr>
              <w:t xml:space="preserve">elektronisko rēķinu </w:t>
            </w:r>
            <w:r w:rsidRPr="00AC37A9">
              <w:rPr>
                <w:color w:val="000000"/>
                <w:spacing w:val="-2"/>
                <w:sz w:val="22"/>
                <w:szCs w:val="22"/>
                <w:shd w:val="clear" w:color="auto" w:fill="FFFFFF"/>
              </w:rPr>
              <w:t xml:space="preserve">standarta EN 16931-1:2017 “Elektroniskie rēķini. 1.daļa. Elektronisko rēķinu pamatelementu semantisko datu modelis” 6.1.apakšnodaļā ir minēts, ka elektroniskais rēķins, kas atbilst elektroniskā rēķina pamatelementu semantisko datu modeļa noteikumiem, negarantē tā atbilstību līgumsaistībām. </w:t>
            </w:r>
            <w:r w:rsidRPr="00AC37A9">
              <w:rPr>
                <w:color w:val="000000" w:themeColor="text1"/>
                <w:sz w:val="22"/>
                <w:szCs w:val="22"/>
                <w:lang w:eastAsia="ar-SA"/>
              </w:rPr>
              <w:t xml:space="preserve">No Direktīvas 2014/55/ES 34.preambulas un standartā minētā ir secināms, ka pasūtītājs, sabiedrisko </w:t>
            </w:r>
            <w:r w:rsidRPr="00AC37A9">
              <w:rPr>
                <w:color w:val="000000" w:themeColor="text1"/>
                <w:sz w:val="22"/>
                <w:szCs w:val="22"/>
                <w:lang w:eastAsia="ar-SA"/>
              </w:rPr>
              <w:lastRenderedPageBreak/>
              <w:t>pakalpojumu sniedzējs vai publiskais partneris var noraidīt elektronisko rēķinu līgumisku apsvērumu dēļ. Attiecīgi līgumā var noteikt citas prasības, kam jāatbilst elektroniskajam rēķinam.</w:t>
            </w:r>
          </w:p>
          <w:p w14:paraId="477939E3" w14:textId="3C0C7678" w:rsidR="00A72C9A" w:rsidRPr="00AC37A9" w:rsidRDefault="00A72C9A" w:rsidP="00AC37A9">
            <w:pPr>
              <w:pStyle w:val="naisc"/>
              <w:spacing w:before="0" w:after="0"/>
              <w:jc w:val="both"/>
              <w:rPr>
                <w:color w:val="000000"/>
                <w:sz w:val="22"/>
                <w:szCs w:val="22"/>
                <w:shd w:val="clear" w:color="auto" w:fill="FFFFFF"/>
              </w:rPr>
            </w:pPr>
            <w:r w:rsidRPr="00AC37A9">
              <w:rPr>
                <w:color w:val="000000"/>
                <w:sz w:val="22"/>
                <w:szCs w:val="22"/>
                <w:shd w:val="clear" w:color="auto" w:fill="FFFFFF"/>
              </w:rPr>
              <w:t>Atbilstoši standarta lietošanas specifikācijai (</w:t>
            </w:r>
            <w:proofErr w:type="spellStart"/>
            <w:r w:rsidRPr="00AC37A9">
              <w:rPr>
                <w:i/>
                <w:iCs/>
                <w:color w:val="000000"/>
                <w:sz w:val="22"/>
                <w:szCs w:val="22"/>
                <w:shd w:val="clear" w:color="auto" w:fill="FFFFFF"/>
              </w:rPr>
              <w:t>Core</w:t>
            </w:r>
            <w:proofErr w:type="spellEnd"/>
            <w:r w:rsidRPr="00AC37A9">
              <w:rPr>
                <w:i/>
                <w:iCs/>
                <w:color w:val="000000"/>
                <w:sz w:val="22"/>
                <w:szCs w:val="22"/>
                <w:shd w:val="clear" w:color="auto" w:fill="FFFFFF"/>
              </w:rPr>
              <w:t xml:space="preserve"> </w:t>
            </w:r>
            <w:proofErr w:type="spellStart"/>
            <w:r w:rsidRPr="00AC37A9">
              <w:rPr>
                <w:i/>
                <w:iCs/>
                <w:color w:val="000000"/>
                <w:sz w:val="22"/>
                <w:szCs w:val="22"/>
                <w:shd w:val="clear" w:color="auto" w:fill="FFFFFF"/>
              </w:rPr>
              <w:t>Invoice</w:t>
            </w:r>
            <w:proofErr w:type="spellEnd"/>
            <w:r w:rsidRPr="00AC37A9">
              <w:rPr>
                <w:i/>
                <w:iCs/>
                <w:color w:val="000000"/>
                <w:sz w:val="22"/>
                <w:szCs w:val="22"/>
                <w:shd w:val="clear" w:color="auto" w:fill="FFFFFF"/>
              </w:rPr>
              <w:t xml:space="preserve"> </w:t>
            </w:r>
            <w:proofErr w:type="spellStart"/>
            <w:r w:rsidRPr="00AC37A9">
              <w:rPr>
                <w:i/>
                <w:iCs/>
                <w:color w:val="000000"/>
                <w:sz w:val="22"/>
                <w:szCs w:val="22"/>
                <w:shd w:val="clear" w:color="auto" w:fill="FFFFFF"/>
              </w:rPr>
              <w:t>Usage</w:t>
            </w:r>
            <w:proofErr w:type="spellEnd"/>
            <w:r w:rsidRPr="00AC37A9">
              <w:rPr>
                <w:i/>
                <w:iCs/>
                <w:color w:val="000000"/>
                <w:sz w:val="22"/>
                <w:szCs w:val="22"/>
                <w:shd w:val="clear" w:color="auto" w:fill="FFFFFF"/>
              </w:rPr>
              <w:t xml:space="preserve"> </w:t>
            </w:r>
            <w:proofErr w:type="spellStart"/>
            <w:r w:rsidRPr="00AC37A9">
              <w:rPr>
                <w:i/>
                <w:iCs/>
                <w:color w:val="000000"/>
                <w:sz w:val="22"/>
                <w:szCs w:val="22"/>
                <w:shd w:val="clear" w:color="auto" w:fill="FFFFFF"/>
              </w:rPr>
              <w:t>Specification</w:t>
            </w:r>
            <w:proofErr w:type="spellEnd"/>
            <w:r w:rsidRPr="00AC37A9">
              <w:rPr>
                <w:color w:val="000000"/>
                <w:sz w:val="22"/>
                <w:szCs w:val="22"/>
                <w:shd w:val="clear" w:color="auto" w:fill="FFFFFF"/>
              </w:rPr>
              <w:t xml:space="preserve">(CIUS)) pasūtītājam, sabiedrisko pakalpojumu sniedzējam vai publiskajam partnerim iespējams norādīt, kuri datu lauki (elektroniskā rēķina pamatelementi) tiek apstrādāti (papildus obligātajiem), kā arī noteikt noteikumus attiecībā uz tajos ievadāmo informāciju, to apstrādi. Līdz ar to pasūtītājs, sabiedrisko pakalpojumu sniedzējs vai publiskais partneris </w:t>
            </w:r>
            <w:r w:rsidRPr="00AC37A9">
              <w:rPr>
                <w:sz w:val="22"/>
                <w:szCs w:val="22"/>
              </w:rPr>
              <w:t>var paredzēt norādīt informāciju, kuras norādīšanu paredz kāds no standarta izvēles pamatelementiem (datu laukiem) un kā apstrāde paredzēta saskaņā ar Latvijas izmantojamo CIUS.</w:t>
            </w:r>
          </w:p>
          <w:p w14:paraId="2DB0F7DB" w14:textId="10AE9136" w:rsidR="00A72C9A" w:rsidRPr="00AC37A9" w:rsidRDefault="00A72C9A" w:rsidP="00AC37A9">
            <w:pPr>
              <w:pStyle w:val="naisc"/>
              <w:spacing w:before="0" w:after="0"/>
              <w:jc w:val="both"/>
              <w:rPr>
                <w:color w:val="000000" w:themeColor="text1"/>
                <w:sz w:val="22"/>
                <w:szCs w:val="22"/>
              </w:rPr>
            </w:pPr>
            <w:r w:rsidRPr="00AC37A9">
              <w:rPr>
                <w:color w:val="000000"/>
                <w:sz w:val="22"/>
                <w:szCs w:val="22"/>
                <w:shd w:val="clear" w:color="auto" w:fill="FFFFFF"/>
              </w:rPr>
              <w:t>Eiropas Komisija ir uzsvērusi, ka papildu lauku (</w:t>
            </w:r>
            <w:proofErr w:type="spellStart"/>
            <w:r w:rsidRPr="00AC37A9">
              <w:rPr>
                <w:i/>
                <w:iCs/>
                <w:color w:val="000000"/>
                <w:sz w:val="22"/>
                <w:szCs w:val="22"/>
                <w:shd w:val="clear" w:color="auto" w:fill="FFFFFF"/>
              </w:rPr>
              <w:t>Extensions</w:t>
            </w:r>
            <w:proofErr w:type="spellEnd"/>
            <w:r w:rsidRPr="00AC37A9">
              <w:rPr>
                <w:i/>
                <w:iCs/>
                <w:color w:val="000000"/>
                <w:sz w:val="22"/>
                <w:szCs w:val="22"/>
                <w:shd w:val="clear" w:color="auto" w:fill="FFFFFF"/>
              </w:rPr>
              <w:t>) </w:t>
            </w:r>
            <w:r w:rsidRPr="00AC37A9">
              <w:rPr>
                <w:color w:val="000000"/>
                <w:sz w:val="22"/>
                <w:szCs w:val="22"/>
                <w:shd w:val="clear" w:color="auto" w:fill="FFFFFF"/>
              </w:rPr>
              <w:t xml:space="preserve">izmantošana, kā arī CIUS sadrumstalotība (ja katrs pasūtītājs pats vai katrs sektors definē savu CIUS) var radīt informācijas sistēmu </w:t>
            </w:r>
            <w:proofErr w:type="spellStart"/>
            <w:r w:rsidRPr="00AC37A9">
              <w:rPr>
                <w:color w:val="000000"/>
                <w:sz w:val="22"/>
                <w:szCs w:val="22"/>
                <w:shd w:val="clear" w:color="auto" w:fill="FFFFFF"/>
              </w:rPr>
              <w:t>sadarbspējas</w:t>
            </w:r>
            <w:proofErr w:type="spellEnd"/>
            <w:r w:rsidRPr="00AC37A9">
              <w:rPr>
                <w:color w:val="000000"/>
                <w:sz w:val="22"/>
                <w:szCs w:val="22"/>
                <w:shd w:val="clear" w:color="auto" w:fill="FFFFFF"/>
              </w:rPr>
              <w:t xml:space="preserve"> problēmas </w:t>
            </w:r>
            <w:r w:rsidRPr="00AC37A9">
              <w:rPr>
                <w:color w:val="000000"/>
                <w:sz w:val="22"/>
                <w:szCs w:val="22"/>
                <w:shd w:val="clear" w:color="auto" w:fill="FFFFFF"/>
              </w:rPr>
              <w:lastRenderedPageBreak/>
              <w:t>attiecībā uz elektroniskajā rēķinā ietvertās informācijas apstrādi jo sevišķi pārrobežu sadarbībā. Līdz ar to noteikumu projektā netiek paredzēta papildu lauku (</w:t>
            </w:r>
            <w:proofErr w:type="spellStart"/>
            <w:r w:rsidRPr="00AC37A9">
              <w:rPr>
                <w:i/>
                <w:iCs/>
                <w:color w:val="000000"/>
                <w:sz w:val="22"/>
                <w:szCs w:val="22"/>
                <w:shd w:val="clear" w:color="auto" w:fill="FFFFFF"/>
              </w:rPr>
              <w:t>Extensions</w:t>
            </w:r>
            <w:proofErr w:type="spellEnd"/>
            <w:r w:rsidRPr="00AC37A9">
              <w:rPr>
                <w:i/>
                <w:iCs/>
                <w:color w:val="000000"/>
                <w:sz w:val="22"/>
                <w:szCs w:val="22"/>
                <w:shd w:val="clear" w:color="auto" w:fill="FFFFFF"/>
              </w:rPr>
              <w:t>) </w:t>
            </w:r>
            <w:r w:rsidRPr="00AC37A9">
              <w:rPr>
                <w:color w:val="000000"/>
                <w:sz w:val="22"/>
                <w:szCs w:val="22"/>
                <w:shd w:val="clear" w:color="auto" w:fill="FFFFFF"/>
              </w:rPr>
              <w:t>izmantošanas iespēja, kā arī Latvijā paredzēts sekot rekomendācijām un neveidot vairāk kā vienu CIUS.</w:t>
            </w:r>
          </w:p>
        </w:tc>
        <w:tc>
          <w:tcPr>
            <w:tcW w:w="3576" w:type="dxa"/>
            <w:tcBorders>
              <w:top w:val="single" w:sz="4" w:space="0" w:color="auto"/>
              <w:left w:val="single" w:sz="4" w:space="0" w:color="auto"/>
              <w:bottom w:val="single" w:sz="4" w:space="0" w:color="auto"/>
            </w:tcBorders>
          </w:tcPr>
          <w:p w14:paraId="09E65AB8" w14:textId="77777777" w:rsidR="00A72C9A" w:rsidRPr="00AC37A9" w:rsidRDefault="00A72C9A" w:rsidP="008A64FB">
            <w:pPr>
              <w:tabs>
                <w:tab w:val="left" w:pos="567"/>
              </w:tabs>
              <w:rPr>
                <w:b/>
                <w:color w:val="000000" w:themeColor="text1"/>
                <w:sz w:val="22"/>
                <w:szCs w:val="22"/>
              </w:rPr>
            </w:pPr>
            <w:r w:rsidRPr="00AC37A9">
              <w:rPr>
                <w:b/>
                <w:color w:val="000000" w:themeColor="text1"/>
                <w:sz w:val="22"/>
                <w:szCs w:val="22"/>
              </w:rPr>
              <w:lastRenderedPageBreak/>
              <w:t>Noteikumu projekta 5.punkts:</w:t>
            </w:r>
          </w:p>
          <w:p w14:paraId="792166FE" w14:textId="2DA0789C" w:rsidR="00A72C9A" w:rsidRPr="00AC37A9" w:rsidRDefault="00836535" w:rsidP="008A64FB">
            <w:pPr>
              <w:jc w:val="both"/>
              <w:rPr>
                <w:color w:val="000000" w:themeColor="text1"/>
                <w:sz w:val="22"/>
                <w:szCs w:val="22"/>
              </w:rPr>
            </w:pPr>
            <w:r>
              <w:rPr>
                <w:color w:val="000000" w:themeColor="text1"/>
                <w:sz w:val="22"/>
                <w:szCs w:val="22"/>
              </w:rPr>
              <w:t xml:space="preserve">“5. </w:t>
            </w:r>
            <w:r w:rsidRPr="00836535">
              <w:rPr>
                <w:color w:val="000000" w:themeColor="text1"/>
                <w:sz w:val="22"/>
                <w:szCs w:val="22"/>
              </w:rPr>
              <w:t>Pasūtītājs, sabiedrisko pakalpojumu sniedzējs vai publiskais partneris vai tā pārstāvis iepirkuma līgumā vai publiskās un privātās partnerības līgumā ir tiesīgs paredzēt pienākumu piegādātājam elektroniskajā rēķinā norādīt tādu papildu informāciju par saimniecisko darījumu, kuru var norādīt saskaņā ar piemērojamo standartu un attiecīgās informācijas apstrādi paredz šo noteikumu 4.punktā noteiktā elektronisko rēķinu pamatelementu izmantošanas specifikācija.</w:t>
            </w:r>
            <w:r w:rsidR="00A72C9A" w:rsidRPr="00AC37A9">
              <w:rPr>
                <w:color w:val="000000" w:themeColor="text1"/>
                <w:sz w:val="22"/>
                <w:szCs w:val="22"/>
              </w:rPr>
              <w:t>”</w:t>
            </w:r>
          </w:p>
        </w:tc>
      </w:tr>
      <w:tr w:rsidR="00A72C9A" w:rsidRPr="00AC37A9" w14:paraId="3E55EFF4" w14:textId="77777777" w:rsidTr="0043237E">
        <w:tc>
          <w:tcPr>
            <w:tcW w:w="567" w:type="dxa"/>
            <w:tcBorders>
              <w:top w:val="single" w:sz="6" w:space="0" w:color="000000"/>
              <w:left w:val="single" w:sz="6" w:space="0" w:color="000000"/>
              <w:bottom w:val="single" w:sz="6" w:space="0" w:color="000000"/>
              <w:right w:val="single" w:sz="6" w:space="0" w:color="000000"/>
            </w:tcBorders>
          </w:tcPr>
          <w:p w14:paraId="34028D2F" w14:textId="0C06B5F7" w:rsidR="00A72C9A" w:rsidRPr="00AC37A9" w:rsidRDefault="007B2BFF" w:rsidP="00155D68">
            <w:pPr>
              <w:pStyle w:val="naisc"/>
              <w:spacing w:before="0" w:after="0"/>
              <w:rPr>
                <w:color w:val="000000" w:themeColor="text1"/>
                <w:sz w:val="22"/>
                <w:szCs w:val="22"/>
              </w:rPr>
            </w:pPr>
            <w:r>
              <w:rPr>
                <w:color w:val="000000" w:themeColor="text1"/>
                <w:sz w:val="22"/>
                <w:szCs w:val="22"/>
              </w:rPr>
              <w:t>5.</w:t>
            </w:r>
          </w:p>
        </w:tc>
        <w:tc>
          <w:tcPr>
            <w:tcW w:w="3543" w:type="dxa"/>
            <w:gridSpan w:val="2"/>
            <w:tcBorders>
              <w:top w:val="single" w:sz="6" w:space="0" w:color="000000"/>
              <w:left w:val="single" w:sz="6" w:space="0" w:color="000000"/>
              <w:bottom w:val="single" w:sz="6" w:space="0" w:color="000000"/>
              <w:right w:val="single" w:sz="6" w:space="0" w:color="000000"/>
            </w:tcBorders>
          </w:tcPr>
          <w:p w14:paraId="60EF0A0E" w14:textId="38B42025" w:rsidR="00A72C9A" w:rsidRPr="00AC37A9" w:rsidRDefault="00A72C9A" w:rsidP="008A64FB">
            <w:pPr>
              <w:pStyle w:val="naisc"/>
              <w:spacing w:before="0" w:after="0"/>
              <w:jc w:val="left"/>
              <w:rPr>
                <w:color w:val="000000" w:themeColor="text1"/>
                <w:sz w:val="22"/>
                <w:szCs w:val="22"/>
              </w:rPr>
            </w:pPr>
            <w:r w:rsidRPr="00AC37A9">
              <w:rPr>
                <w:b/>
                <w:color w:val="000000" w:themeColor="text1"/>
                <w:sz w:val="22"/>
                <w:szCs w:val="22"/>
              </w:rPr>
              <w:t>Anotācijas I sadaļas 2.punkts</w:t>
            </w:r>
          </w:p>
        </w:tc>
        <w:tc>
          <w:tcPr>
            <w:tcW w:w="3260" w:type="dxa"/>
            <w:tcBorders>
              <w:top w:val="single" w:sz="6" w:space="0" w:color="000000"/>
              <w:left w:val="single" w:sz="6" w:space="0" w:color="000000"/>
              <w:bottom w:val="single" w:sz="6" w:space="0" w:color="000000"/>
              <w:right w:val="single" w:sz="6" w:space="0" w:color="000000"/>
            </w:tcBorders>
          </w:tcPr>
          <w:p w14:paraId="66338B8B" w14:textId="77777777" w:rsidR="00A72C9A" w:rsidRPr="00AC37A9" w:rsidRDefault="00A72C9A" w:rsidP="008A64FB">
            <w:pPr>
              <w:jc w:val="both"/>
              <w:rPr>
                <w:b/>
                <w:color w:val="000000" w:themeColor="text1"/>
                <w:sz w:val="22"/>
                <w:szCs w:val="22"/>
              </w:rPr>
            </w:pPr>
            <w:r w:rsidRPr="00AC37A9">
              <w:rPr>
                <w:b/>
                <w:color w:val="000000" w:themeColor="text1"/>
                <w:sz w:val="22"/>
                <w:szCs w:val="22"/>
              </w:rPr>
              <w:t>Vides aizsardzības un reģionālās attīstības ministrija</w:t>
            </w:r>
          </w:p>
          <w:p w14:paraId="627D435D" w14:textId="77777777" w:rsidR="00A72C9A" w:rsidRPr="00AC37A9" w:rsidRDefault="00A72C9A" w:rsidP="008A64FB">
            <w:pPr>
              <w:jc w:val="both"/>
              <w:rPr>
                <w:color w:val="000000" w:themeColor="text1"/>
                <w:sz w:val="22"/>
                <w:szCs w:val="22"/>
              </w:rPr>
            </w:pPr>
            <w:r w:rsidRPr="00AC37A9">
              <w:rPr>
                <w:color w:val="000000" w:themeColor="text1"/>
                <w:sz w:val="22"/>
                <w:szCs w:val="22"/>
              </w:rPr>
              <w:t>Standarta izvēles pamatelementu noteikšana kā obligāta, savstarpēji vienojoties (</w:t>
            </w:r>
            <w:r w:rsidRPr="00AC37A9">
              <w:rPr>
                <w:i/>
                <w:color w:val="000000" w:themeColor="text1"/>
                <w:sz w:val="22"/>
                <w:szCs w:val="22"/>
              </w:rPr>
              <w:t xml:space="preserve">skat. “... un iepirkuma līgumā vai publiskās un privātās partnerības līgumā pasūtītāja, sabiedrisko pakalpojumu sniedzēja vai publiskā partnera vai tā pārstāvja noteiktajām papildu prasībām obligātas informācijas norādīšanai kādā no piemērojamajā elektroniskā </w:t>
            </w:r>
            <w:r w:rsidRPr="00AC37A9">
              <w:rPr>
                <w:i/>
                <w:color w:val="000000" w:themeColor="text1"/>
                <w:sz w:val="22"/>
                <w:szCs w:val="22"/>
              </w:rPr>
              <w:lastRenderedPageBreak/>
              <w:t>rēķina standartā paredzētajiem izvēles pamatelementiem”)</w:t>
            </w:r>
            <w:r w:rsidRPr="00AC37A9">
              <w:rPr>
                <w:color w:val="000000" w:themeColor="text1"/>
                <w:sz w:val="22"/>
                <w:szCs w:val="22"/>
              </w:rPr>
              <w:t xml:space="preserve"> ar valsts pārvaldes iestādēm publiskā iepirkuma procesā, neatbilst standarta un tā precizējuma (CIUS) būtībai. Ja valsts pārvaldes iestādēm elektroniskajos rēķinos ir nepieciešami papildus obligāti lauki, tie ir jāpadara obligāti, izmainot esošo vai izveidojot jaunu CIUS un, ja nepieciešams, mainot vai papildinot tā pārbaudes </w:t>
            </w:r>
            <w:proofErr w:type="spellStart"/>
            <w:r w:rsidRPr="00AC37A9">
              <w:rPr>
                <w:i/>
                <w:color w:val="000000" w:themeColor="text1"/>
                <w:sz w:val="22"/>
                <w:szCs w:val="22"/>
              </w:rPr>
              <w:t>schematron</w:t>
            </w:r>
            <w:proofErr w:type="spellEnd"/>
            <w:r w:rsidRPr="00AC37A9">
              <w:rPr>
                <w:color w:val="000000" w:themeColor="text1"/>
                <w:sz w:val="22"/>
                <w:szCs w:val="22"/>
              </w:rPr>
              <w:t xml:space="preserve"> algoritmus. Tāpat jāņem vērā, ka vairāku CIUS izveide rada sarežģījumus publiskā iepirkuma procesa dalībniekiem gan Latvijā, gan Eiropas Savienībā.</w:t>
            </w:r>
          </w:p>
          <w:p w14:paraId="7A8E27E4" w14:textId="77777777" w:rsidR="00A72C9A" w:rsidRPr="00AC37A9" w:rsidRDefault="00A72C9A" w:rsidP="008A64FB">
            <w:pPr>
              <w:jc w:val="both"/>
              <w:rPr>
                <w:color w:val="000000" w:themeColor="text1"/>
                <w:sz w:val="22"/>
                <w:szCs w:val="22"/>
              </w:rPr>
            </w:pPr>
            <w:r w:rsidRPr="00AC37A9">
              <w:rPr>
                <w:color w:val="000000" w:themeColor="text1"/>
                <w:sz w:val="22"/>
                <w:szCs w:val="22"/>
              </w:rPr>
              <w:t>Ņemot vērā minēto, VARAM lūdz dzēst Anotācijas sadaļā “</w:t>
            </w:r>
            <w:r w:rsidRPr="00AC37A9">
              <w:rPr>
                <w:bCs/>
                <w:color w:val="000000" w:themeColor="text1"/>
                <w:sz w:val="22"/>
                <w:szCs w:val="22"/>
              </w:rPr>
              <w:t>I. Tiesību akta projekta izstrādes nepieciešamība” (Standarta piemērošana 6</w:t>
            </w:r>
            <w:r w:rsidRPr="00AC37A9">
              <w:rPr>
                <w:color w:val="000000" w:themeColor="text1"/>
                <w:sz w:val="22"/>
                <w:szCs w:val="22"/>
              </w:rPr>
              <w:t xml:space="preserve">.lpp.) šādu tekstu: </w:t>
            </w:r>
            <w:r w:rsidRPr="00AC37A9">
              <w:rPr>
                <w:i/>
                <w:color w:val="000000" w:themeColor="text1"/>
                <w:sz w:val="22"/>
                <w:szCs w:val="22"/>
              </w:rPr>
              <w:t xml:space="preserve">“Pasūtītājs, sabiedrisko pakalpojumu sniedzējs vai publiskais partneris vai tā pārstāvis papildus Eiropas elektronisko rēķinu standartā un CIUS (PEPPOL BIS </w:t>
            </w:r>
            <w:proofErr w:type="spellStart"/>
            <w:r w:rsidRPr="00AC37A9">
              <w:rPr>
                <w:i/>
                <w:color w:val="000000" w:themeColor="text1"/>
                <w:sz w:val="22"/>
                <w:szCs w:val="22"/>
              </w:rPr>
              <w:t>Billing</w:t>
            </w:r>
            <w:proofErr w:type="spellEnd"/>
            <w:r w:rsidRPr="00AC37A9">
              <w:rPr>
                <w:i/>
                <w:color w:val="000000" w:themeColor="text1"/>
                <w:sz w:val="22"/>
                <w:szCs w:val="22"/>
              </w:rPr>
              <w:t xml:space="preserve"> 3.0) noteiktajiem obligātajiem elektroniskā rēķina datu laukiem iepirkuma līgumā vai publiskās un privātās partnerības līgumā var noteikt, ka Eiropas elektronisko rēķinu standartā un CIUS (PEPPOL BIS </w:t>
            </w:r>
            <w:proofErr w:type="spellStart"/>
            <w:r w:rsidRPr="00AC37A9">
              <w:rPr>
                <w:i/>
                <w:color w:val="000000" w:themeColor="text1"/>
                <w:sz w:val="22"/>
                <w:szCs w:val="22"/>
              </w:rPr>
              <w:t>Billing</w:t>
            </w:r>
            <w:proofErr w:type="spellEnd"/>
            <w:r w:rsidRPr="00AC37A9">
              <w:rPr>
                <w:i/>
                <w:color w:val="000000" w:themeColor="text1"/>
                <w:sz w:val="22"/>
                <w:szCs w:val="22"/>
              </w:rPr>
              <w:t xml:space="preserve"> 3.0) paredzētie izvēles datu lauki ir </w:t>
            </w:r>
            <w:r w:rsidRPr="00AC37A9">
              <w:rPr>
                <w:i/>
                <w:color w:val="000000" w:themeColor="text1"/>
                <w:sz w:val="22"/>
                <w:szCs w:val="22"/>
              </w:rPr>
              <w:lastRenderedPageBreak/>
              <w:t>obligāti aizpildāmi, ja šie dati ir nepieciešami elektronisko rēķinu automātiskas apstrādes nodrošināšanai vai citiem mērķiem. Savukārt, gadījumā, ja pasūtītājs, sabiedrisko pakalpojumu sniedzējs vai publiskais partneris vai tā pārstāvis iepirkuma līgumā vai publiskās un privātās partnerības līgumā neko nebūs noteicis attiecībā uz elektronisko rēķinu saturu, pasūtītājam, sabiedrisko pakalpojumu sniedzējam vai publiskajam partnerim vai tā pārstāvim būs jāpieņem un jāapstrādā jebkurš tāds elektroniskais rēķins, kas tehniski atbilst Eiropas elektronisko rēķinu standartam (Latvijā izrakstīto rēķinu gadījumā – arī CIUS) un ietver normatīvajos aktos noteikto informācijas minimumu.”</w:t>
            </w:r>
          </w:p>
          <w:p w14:paraId="4D61ADF3" w14:textId="77777777" w:rsidR="00A72C9A" w:rsidRPr="00AC37A9" w:rsidRDefault="00A72C9A" w:rsidP="00155D68">
            <w:pPr>
              <w:pStyle w:val="naisc"/>
              <w:spacing w:before="0" w:after="0"/>
              <w:ind w:firstLine="720"/>
              <w:rPr>
                <w:color w:val="000000" w:themeColor="text1"/>
                <w:sz w:val="22"/>
                <w:szCs w:val="22"/>
              </w:rPr>
            </w:pPr>
          </w:p>
        </w:tc>
        <w:tc>
          <w:tcPr>
            <w:tcW w:w="2944" w:type="dxa"/>
            <w:gridSpan w:val="2"/>
            <w:vMerge/>
            <w:tcBorders>
              <w:left w:val="single" w:sz="6" w:space="0" w:color="000000"/>
              <w:right w:val="single" w:sz="6" w:space="0" w:color="000000"/>
            </w:tcBorders>
          </w:tcPr>
          <w:p w14:paraId="375B2E93" w14:textId="69E811F4" w:rsidR="00A72C9A" w:rsidRPr="00AC37A9" w:rsidRDefault="00A72C9A" w:rsidP="00AC37A9">
            <w:pPr>
              <w:pStyle w:val="naisc"/>
              <w:spacing w:before="0" w:after="0"/>
              <w:jc w:val="both"/>
              <w:rPr>
                <w:color w:val="000000" w:themeColor="text1"/>
                <w:sz w:val="22"/>
                <w:szCs w:val="22"/>
              </w:rPr>
            </w:pPr>
          </w:p>
        </w:tc>
        <w:tc>
          <w:tcPr>
            <w:tcW w:w="3576" w:type="dxa"/>
            <w:tcBorders>
              <w:top w:val="single" w:sz="4" w:space="0" w:color="auto"/>
              <w:left w:val="single" w:sz="4" w:space="0" w:color="auto"/>
              <w:bottom w:val="single" w:sz="4" w:space="0" w:color="auto"/>
            </w:tcBorders>
          </w:tcPr>
          <w:p w14:paraId="40169B70" w14:textId="1998AD40" w:rsidR="00A72C9A" w:rsidRPr="00AC37A9" w:rsidRDefault="00A72C9A" w:rsidP="008A64FB">
            <w:pPr>
              <w:rPr>
                <w:color w:val="000000" w:themeColor="text1"/>
                <w:sz w:val="22"/>
                <w:szCs w:val="22"/>
              </w:rPr>
            </w:pPr>
            <w:r w:rsidRPr="00AC37A9">
              <w:rPr>
                <w:b/>
                <w:color w:val="000000" w:themeColor="text1"/>
                <w:sz w:val="22"/>
                <w:szCs w:val="22"/>
              </w:rPr>
              <w:t>Anotācijas I sadaļas 2.punkts</w:t>
            </w:r>
          </w:p>
        </w:tc>
      </w:tr>
      <w:tr w:rsidR="00A72C9A" w:rsidRPr="00AC37A9" w14:paraId="05E9E79E" w14:textId="77777777" w:rsidTr="0043237E">
        <w:tc>
          <w:tcPr>
            <w:tcW w:w="567" w:type="dxa"/>
            <w:tcBorders>
              <w:top w:val="single" w:sz="6" w:space="0" w:color="000000"/>
              <w:left w:val="single" w:sz="6" w:space="0" w:color="000000"/>
              <w:bottom w:val="single" w:sz="6" w:space="0" w:color="000000"/>
              <w:right w:val="single" w:sz="6" w:space="0" w:color="000000"/>
            </w:tcBorders>
          </w:tcPr>
          <w:p w14:paraId="042C242D" w14:textId="01CE06BF" w:rsidR="00A72C9A" w:rsidRPr="00AC37A9" w:rsidRDefault="007B2BFF" w:rsidP="00155D68">
            <w:pPr>
              <w:pStyle w:val="naisc"/>
              <w:spacing w:before="0" w:after="0"/>
              <w:rPr>
                <w:color w:val="000000" w:themeColor="text1"/>
                <w:sz w:val="22"/>
                <w:szCs w:val="22"/>
              </w:rPr>
            </w:pPr>
            <w:r>
              <w:rPr>
                <w:color w:val="000000" w:themeColor="text1"/>
                <w:sz w:val="22"/>
                <w:szCs w:val="22"/>
              </w:rPr>
              <w:lastRenderedPageBreak/>
              <w:t>6.</w:t>
            </w:r>
          </w:p>
        </w:tc>
        <w:tc>
          <w:tcPr>
            <w:tcW w:w="3543" w:type="dxa"/>
            <w:gridSpan w:val="2"/>
            <w:tcBorders>
              <w:top w:val="single" w:sz="6" w:space="0" w:color="000000"/>
              <w:left w:val="single" w:sz="6" w:space="0" w:color="000000"/>
              <w:bottom w:val="single" w:sz="6" w:space="0" w:color="000000"/>
              <w:right w:val="single" w:sz="6" w:space="0" w:color="000000"/>
            </w:tcBorders>
          </w:tcPr>
          <w:p w14:paraId="2C74969C" w14:textId="6AF88B98" w:rsidR="00A72C9A" w:rsidRPr="00AC37A9" w:rsidRDefault="00A72C9A" w:rsidP="008A64FB">
            <w:pPr>
              <w:pStyle w:val="naisc"/>
              <w:spacing w:before="0" w:after="0"/>
              <w:jc w:val="left"/>
              <w:rPr>
                <w:b/>
                <w:color w:val="000000" w:themeColor="text1"/>
                <w:sz w:val="22"/>
                <w:szCs w:val="22"/>
              </w:rPr>
            </w:pPr>
            <w:r w:rsidRPr="00AC37A9">
              <w:rPr>
                <w:b/>
                <w:color w:val="000000" w:themeColor="text1"/>
                <w:sz w:val="22"/>
                <w:szCs w:val="22"/>
              </w:rPr>
              <w:t>Anotācijas I sadaļas 2.punkts</w:t>
            </w:r>
          </w:p>
        </w:tc>
        <w:tc>
          <w:tcPr>
            <w:tcW w:w="3260" w:type="dxa"/>
            <w:tcBorders>
              <w:top w:val="single" w:sz="6" w:space="0" w:color="000000"/>
              <w:left w:val="single" w:sz="6" w:space="0" w:color="000000"/>
              <w:bottom w:val="single" w:sz="6" w:space="0" w:color="000000"/>
              <w:right w:val="single" w:sz="6" w:space="0" w:color="000000"/>
            </w:tcBorders>
          </w:tcPr>
          <w:p w14:paraId="3D14DB34" w14:textId="77777777" w:rsidR="00A72C9A" w:rsidRPr="00AC37A9" w:rsidRDefault="00A72C9A" w:rsidP="009A05CF">
            <w:pPr>
              <w:jc w:val="both"/>
              <w:rPr>
                <w:b/>
                <w:color w:val="000000" w:themeColor="text1"/>
                <w:sz w:val="22"/>
                <w:szCs w:val="22"/>
              </w:rPr>
            </w:pPr>
            <w:r w:rsidRPr="00AC37A9">
              <w:rPr>
                <w:b/>
                <w:color w:val="000000" w:themeColor="text1"/>
                <w:sz w:val="22"/>
                <w:szCs w:val="22"/>
              </w:rPr>
              <w:t>Vides aizsardzības un reģionālās attīstības ministrija</w:t>
            </w:r>
          </w:p>
          <w:p w14:paraId="642A3A8C" w14:textId="77777777" w:rsidR="00A72C9A" w:rsidRPr="00AC37A9" w:rsidRDefault="00A72C9A" w:rsidP="009A05CF">
            <w:pPr>
              <w:jc w:val="both"/>
              <w:rPr>
                <w:color w:val="000000" w:themeColor="text1"/>
                <w:sz w:val="22"/>
                <w:szCs w:val="22"/>
              </w:rPr>
            </w:pPr>
            <w:r w:rsidRPr="00AC37A9">
              <w:rPr>
                <w:color w:val="000000" w:themeColor="text1"/>
                <w:sz w:val="22"/>
                <w:szCs w:val="22"/>
              </w:rPr>
              <w:t xml:space="preserve">Standarta izvēles pamatelementu noteikšana kā obligāta, savstarpēji vienojoties ar valsts pārvaldes iestādēm publiskā iepirkuma procesā, neatbilst standarta un tā precizējuma (CIUS) būtībai. Ja valsts pārvaldes iestādēm elektroniskajos rēķinos ir nepieciešami papildus obligāti lauki, tie ir jāpadara obligāti, izmainot esošo vai izveidojot </w:t>
            </w:r>
            <w:r w:rsidRPr="00AC37A9">
              <w:rPr>
                <w:color w:val="000000" w:themeColor="text1"/>
                <w:sz w:val="22"/>
                <w:szCs w:val="22"/>
              </w:rPr>
              <w:lastRenderedPageBreak/>
              <w:t xml:space="preserve">jaunu CIUS un, ja nepieciešams, mainot vai papildinot tā pārbaudes </w:t>
            </w:r>
            <w:proofErr w:type="spellStart"/>
            <w:r w:rsidRPr="00AC37A9">
              <w:rPr>
                <w:i/>
                <w:color w:val="000000" w:themeColor="text1"/>
                <w:sz w:val="22"/>
                <w:szCs w:val="22"/>
              </w:rPr>
              <w:t>schematron</w:t>
            </w:r>
            <w:proofErr w:type="spellEnd"/>
            <w:r w:rsidRPr="00AC37A9">
              <w:rPr>
                <w:color w:val="000000" w:themeColor="text1"/>
                <w:sz w:val="22"/>
                <w:szCs w:val="22"/>
              </w:rPr>
              <w:t xml:space="preserve"> algoritmus. Tāpat jāņem vērā, ka vairāku CIUS izveide rada sarežģījumus publiskā iepirkuma procesa dalībniekiem gan Latvijā, gan Eiropas Savienībā.</w:t>
            </w:r>
          </w:p>
          <w:p w14:paraId="4314F2D6" w14:textId="77777777" w:rsidR="00A72C9A" w:rsidRPr="00AC37A9" w:rsidRDefault="00A72C9A" w:rsidP="009A05CF">
            <w:pPr>
              <w:jc w:val="both"/>
              <w:rPr>
                <w:color w:val="000000" w:themeColor="text1"/>
                <w:sz w:val="22"/>
                <w:szCs w:val="22"/>
              </w:rPr>
            </w:pPr>
            <w:r w:rsidRPr="00AC37A9">
              <w:rPr>
                <w:color w:val="000000" w:themeColor="text1"/>
                <w:sz w:val="22"/>
                <w:szCs w:val="22"/>
              </w:rPr>
              <w:t xml:space="preserve">VARAM lūdz izteikt Anotācijas sadaļas “I. Tiesību akta projekta izstrādes nepieciešamība” (Rēķinu tālāka apstrāde, 7.lpp.) tekstu: “Pasūtītājiem, sabiedrisko pakalpojumu sniedzējiem vai publiskajiem partneriem vai to pārstāvjiem var būt dažādas un atšķirīgas vajadzības attiecībā uz elektronisko rēķinos ietveramo informāciju (piemēram, daži pasūtītāji vēlas noteikt papildus obligātos datu laukus elektroniskajā rēķinā) vai izmantoto informācijas tehnoloģijas infrastruktūru, attiecīgi katram pasūtītājam, sabiedrisko pakalpojumu sniedzējam vai publiskajam partnerim vai tā pārstāvim pašam ir jāvērtē esošās informācijas tehnoloģijas infrastruktūras risinājumu pielāgošanas un jaunu risinājumu izveides iespēja, plānojot tam arī nepieciešamos līdzekļus elektronisko rēķinu pārvēršanai </w:t>
            </w:r>
            <w:proofErr w:type="spellStart"/>
            <w:r w:rsidRPr="00AC37A9">
              <w:rPr>
                <w:color w:val="000000" w:themeColor="text1"/>
                <w:sz w:val="22"/>
                <w:szCs w:val="22"/>
              </w:rPr>
              <w:t>cilvēklasāmā</w:t>
            </w:r>
            <w:proofErr w:type="spellEnd"/>
            <w:r w:rsidRPr="00AC37A9">
              <w:rPr>
                <w:color w:val="000000" w:themeColor="text1"/>
                <w:sz w:val="22"/>
                <w:szCs w:val="22"/>
              </w:rPr>
              <w:t xml:space="preserve"> veidā vai elektroniskā rēķina tālākas automatizētas apstrādes </w:t>
            </w:r>
            <w:r w:rsidRPr="00AC37A9">
              <w:rPr>
                <w:color w:val="000000" w:themeColor="text1"/>
                <w:sz w:val="22"/>
                <w:szCs w:val="22"/>
              </w:rPr>
              <w:lastRenderedPageBreak/>
              <w:t xml:space="preserve">risinājumu izstrādei. Ar Latvijas Informācijas un komunikācijas tehnoloģijas asociācijas (LIKTA) izveidotās darba grupas locekļiem ir diskutēts, ka sākotnēji varētu tikt izmantoti elektroniskie rēķini kuros ir iekodēta gan </w:t>
            </w:r>
            <w:proofErr w:type="spellStart"/>
            <w:r w:rsidRPr="00AC37A9">
              <w:rPr>
                <w:color w:val="000000" w:themeColor="text1"/>
                <w:sz w:val="22"/>
                <w:szCs w:val="22"/>
              </w:rPr>
              <w:t>cilvēklasāma</w:t>
            </w:r>
            <w:proofErr w:type="spellEnd"/>
            <w:r w:rsidRPr="00AC37A9">
              <w:rPr>
                <w:color w:val="000000" w:themeColor="text1"/>
                <w:sz w:val="22"/>
                <w:szCs w:val="22"/>
              </w:rPr>
              <w:t xml:space="preserve"> informācija.pdf formātā, gan mašīnlasāmā .</w:t>
            </w:r>
            <w:proofErr w:type="spellStart"/>
            <w:r w:rsidRPr="00AC37A9">
              <w:rPr>
                <w:color w:val="000000" w:themeColor="text1"/>
                <w:sz w:val="22"/>
                <w:szCs w:val="22"/>
              </w:rPr>
              <w:t>xml</w:t>
            </w:r>
            <w:proofErr w:type="spellEnd"/>
            <w:r w:rsidRPr="00AC37A9">
              <w:rPr>
                <w:color w:val="000000" w:themeColor="text1"/>
                <w:sz w:val="22"/>
                <w:szCs w:val="22"/>
              </w:rPr>
              <w:t xml:space="preserve"> formātā, lai nodrošinātu elektroniskā rēķina pieejamību </w:t>
            </w:r>
            <w:proofErr w:type="spellStart"/>
            <w:r w:rsidRPr="00AC37A9">
              <w:rPr>
                <w:color w:val="000000" w:themeColor="text1"/>
                <w:sz w:val="22"/>
                <w:szCs w:val="22"/>
              </w:rPr>
              <w:t>cilvēklasāmā</w:t>
            </w:r>
            <w:proofErr w:type="spellEnd"/>
            <w:r w:rsidRPr="00AC37A9">
              <w:rPr>
                <w:color w:val="000000" w:themeColor="text1"/>
                <w:sz w:val="22"/>
                <w:szCs w:val="22"/>
              </w:rPr>
              <w:t xml:space="preserve"> formā līdz sistēmu izveidei automatizētas apstrādes nodrošināšanai. ” šādā redakcijā:</w:t>
            </w:r>
          </w:p>
          <w:p w14:paraId="15B4DDC0" w14:textId="77777777" w:rsidR="00A72C9A" w:rsidRPr="00AC37A9" w:rsidRDefault="00A72C9A" w:rsidP="009A05CF">
            <w:pPr>
              <w:jc w:val="both"/>
              <w:rPr>
                <w:i/>
                <w:color w:val="000000" w:themeColor="text1"/>
                <w:sz w:val="22"/>
                <w:szCs w:val="22"/>
              </w:rPr>
            </w:pPr>
            <w:r w:rsidRPr="00AC37A9">
              <w:rPr>
                <w:i/>
                <w:color w:val="000000" w:themeColor="text1"/>
                <w:sz w:val="22"/>
                <w:szCs w:val="22"/>
              </w:rPr>
              <w:t>“Pasūtītājiem, sabiedrisko pakalpojumu sniedzējiem vai publiskajiem partneriem vai to pārstāvjiem pašam ir jāvērtē saņemtā elektroniskā rēķina tālākas automatizētas apstrādes risinājumu izvēle.</w:t>
            </w:r>
          </w:p>
          <w:p w14:paraId="0FC2A45C" w14:textId="56ABD8B4" w:rsidR="00A72C9A" w:rsidRPr="00AC37A9" w:rsidRDefault="00A72C9A" w:rsidP="009A05CF">
            <w:pPr>
              <w:jc w:val="both"/>
              <w:rPr>
                <w:b/>
                <w:color w:val="000000" w:themeColor="text1"/>
                <w:sz w:val="22"/>
                <w:szCs w:val="22"/>
              </w:rPr>
            </w:pPr>
            <w:r w:rsidRPr="00AC37A9">
              <w:rPr>
                <w:i/>
                <w:color w:val="000000" w:themeColor="text1"/>
                <w:sz w:val="22"/>
                <w:szCs w:val="22"/>
              </w:rPr>
              <w:t xml:space="preserve">Ar Latvijas Informācijas un komunikācijas tehnoloģijas asociācijas (LIKTA) izveidotās darba grupas locekļiem ir diskutēts par iespēju elektroniskajiem rēķiniem, nepieciešamības gadījumā, pievienot arī rēķina informāciju .PDF formātā, lai nodrošinātu elektroniskā rēķina pieejamību </w:t>
            </w:r>
            <w:proofErr w:type="spellStart"/>
            <w:r w:rsidRPr="00AC37A9">
              <w:rPr>
                <w:i/>
                <w:color w:val="000000" w:themeColor="text1"/>
                <w:sz w:val="22"/>
                <w:szCs w:val="22"/>
              </w:rPr>
              <w:t>cilvēklasāmā</w:t>
            </w:r>
            <w:proofErr w:type="spellEnd"/>
            <w:r w:rsidRPr="00AC37A9">
              <w:rPr>
                <w:i/>
                <w:color w:val="000000" w:themeColor="text1"/>
                <w:sz w:val="22"/>
                <w:szCs w:val="22"/>
              </w:rPr>
              <w:t xml:space="preserve"> formā līdz sistēmu izveidei automatizētas apstrādes nodrošināšanai.”</w:t>
            </w:r>
          </w:p>
        </w:tc>
        <w:tc>
          <w:tcPr>
            <w:tcW w:w="2944" w:type="dxa"/>
            <w:gridSpan w:val="2"/>
            <w:vMerge/>
            <w:tcBorders>
              <w:left w:val="single" w:sz="6" w:space="0" w:color="000000"/>
              <w:bottom w:val="single" w:sz="6" w:space="0" w:color="000000"/>
              <w:right w:val="single" w:sz="6" w:space="0" w:color="000000"/>
            </w:tcBorders>
          </w:tcPr>
          <w:p w14:paraId="39280E0D" w14:textId="263D7E10" w:rsidR="00A72C9A" w:rsidRPr="00AC37A9" w:rsidRDefault="00A72C9A" w:rsidP="00A72C9A">
            <w:pPr>
              <w:jc w:val="both"/>
              <w:rPr>
                <w:b/>
                <w:color w:val="000000" w:themeColor="text1"/>
                <w:sz w:val="22"/>
                <w:szCs w:val="22"/>
                <w:lang w:eastAsia="ar-SA"/>
              </w:rPr>
            </w:pPr>
          </w:p>
        </w:tc>
        <w:tc>
          <w:tcPr>
            <w:tcW w:w="3576" w:type="dxa"/>
            <w:tcBorders>
              <w:top w:val="single" w:sz="4" w:space="0" w:color="auto"/>
              <w:left w:val="single" w:sz="4" w:space="0" w:color="auto"/>
              <w:bottom w:val="single" w:sz="4" w:space="0" w:color="auto"/>
            </w:tcBorders>
          </w:tcPr>
          <w:p w14:paraId="50AFDE24" w14:textId="5E89BA37" w:rsidR="00A72C9A" w:rsidRPr="00AC37A9" w:rsidRDefault="00A72C9A" w:rsidP="008A64FB">
            <w:pPr>
              <w:rPr>
                <w:b/>
                <w:color w:val="000000" w:themeColor="text1"/>
                <w:sz w:val="22"/>
                <w:szCs w:val="22"/>
              </w:rPr>
            </w:pPr>
            <w:r w:rsidRPr="00AC37A9">
              <w:rPr>
                <w:b/>
                <w:color w:val="000000" w:themeColor="text1"/>
                <w:sz w:val="22"/>
                <w:szCs w:val="22"/>
              </w:rPr>
              <w:t>Anotācijas I sadaļas 2.punkts</w:t>
            </w:r>
          </w:p>
        </w:tc>
      </w:tr>
      <w:tr w:rsidR="00C662B9" w:rsidRPr="00AC37A9" w14:paraId="1C03C79B" w14:textId="77777777" w:rsidTr="00371A58">
        <w:tc>
          <w:tcPr>
            <w:tcW w:w="567" w:type="dxa"/>
            <w:tcBorders>
              <w:top w:val="single" w:sz="6" w:space="0" w:color="000000"/>
              <w:left w:val="single" w:sz="6" w:space="0" w:color="000000"/>
              <w:bottom w:val="single" w:sz="6" w:space="0" w:color="000000"/>
              <w:right w:val="single" w:sz="6" w:space="0" w:color="000000"/>
            </w:tcBorders>
          </w:tcPr>
          <w:p w14:paraId="52D947AD" w14:textId="59593F49" w:rsidR="00C662B9" w:rsidRPr="00AC37A9" w:rsidRDefault="007B2BFF" w:rsidP="00371A58">
            <w:pPr>
              <w:pStyle w:val="naisc"/>
              <w:spacing w:before="0" w:after="0"/>
              <w:rPr>
                <w:color w:val="000000" w:themeColor="text1"/>
                <w:sz w:val="22"/>
                <w:szCs w:val="22"/>
              </w:rPr>
            </w:pPr>
            <w:r>
              <w:rPr>
                <w:color w:val="000000" w:themeColor="text1"/>
                <w:sz w:val="22"/>
                <w:szCs w:val="22"/>
              </w:rPr>
              <w:lastRenderedPageBreak/>
              <w:t>7</w:t>
            </w:r>
            <w:r w:rsidR="00C662B9" w:rsidRPr="00AC37A9">
              <w:rPr>
                <w:color w:val="000000" w:themeColor="text1"/>
                <w:sz w:val="22"/>
                <w:szCs w:val="22"/>
              </w:rPr>
              <w:t>.</w:t>
            </w:r>
          </w:p>
        </w:tc>
        <w:tc>
          <w:tcPr>
            <w:tcW w:w="3543" w:type="dxa"/>
            <w:gridSpan w:val="2"/>
            <w:tcBorders>
              <w:top w:val="single" w:sz="6" w:space="0" w:color="000000"/>
              <w:left w:val="single" w:sz="6" w:space="0" w:color="000000"/>
              <w:bottom w:val="single" w:sz="6" w:space="0" w:color="000000"/>
              <w:right w:val="single" w:sz="6" w:space="0" w:color="000000"/>
            </w:tcBorders>
          </w:tcPr>
          <w:p w14:paraId="749FA251" w14:textId="77777777" w:rsidR="00C662B9" w:rsidRPr="00AC37A9" w:rsidRDefault="00C662B9" w:rsidP="00371A58">
            <w:pPr>
              <w:tabs>
                <w:tab w:val="left" w:pos="567"/>
              </w:tabs>
              <w:jc w:val="both"/>
              <w:rPr>
                <w:b/>
                <w:color w:val="000000" w:themeColor="text1"/>
                <w:sz w:val="22"/>
                <w:szCs w:val="22"/>
              </w:rPr>
            </w:pPr>
            <w:r w:rsidRPr="00AC37A9">
              <w:rPr>
                <w:b/>
                <w:color w:val="000000" w:themeColor="text1"/>
                <w:sz w:val="22"/>
                <w:szCs w:val="22"/>
              </w:rPr>
              <w:t>Noteikumu projekta 4.punkts:</w:t>
            </w:r>
          </w:p>
          <w:p w14:paraId="2B2301E7" w14:textId="77777777" w:rsidR="00C662B9" w:rsidRPr="00AC37A9" w:rsidRDefault="00C662B9" w:rsidP="00371A58">
            <w:pPr>
              <w:tabs>
                <w:tab w:val="left" w:pos="567"/>
              </w:tabs>
              <w:jc w:val="both"/>
              <w:rPr>
                <w:color w:val="000000" w:themeColor="text1"/>
                <w:sz w:val="22"/>
                <w:szCs w:val="22"/>
              </w:rPr>
            </w:pPr>
            <w:r w:rsidRPr="00AC37A9">
              <w:rPr>
                <w:color w:val="000000" w:themeColor="text1"/>
                <w:sz w:val="22"/>
                <w:szCs w:val="22"/>
              </w:rPr>
              <w:t xml:space="preserve">“4. Ja piegādātājs reģistrēts vai pastāvīgi dzīvo Latvijā, pasūtītājs, </w:t>
            </w:r>
            <w:r w:rsidRPr="00AC37A9">
              <w:rPr>
                <w:color w:val="000000" w:themeColor="text1"/>
                <w:sz w:val="22"/>
                <w:szCs w:val="22"/>
              </w:rPr>
              <w:lastRenderedPageBreak/>
              <w:t>sabiedrisko pakalpojumu sniedzējs vai publiskais partneris vai tā pārstāvis pieņem piegādātāja sagatavotu vai izsniegtu elektronisko rēķinu, ja tas atbilst šādām papildu prasībām:</w:t>
            </w:r>
          </w:p>
          <w:p w14:paraId="790CB3C9" w14:textId="77777777" w:rsidR="00C662B9" w:rsidRPr="00AC37A9" w:rsidRDefault="00C662B9" w:rsidP="00371A58">
            <w:pPr>
              <w:tabs>
                <w:tab w:val="left" w:pos="567"/>
              </w:tabs>
              <w:jc w:val="both"/>
              <w:rPr>
                <w:color w:val="000000" w:themeColor="text1"/>
                <w:sz w:val="22"/>
                <w:szCs w:val="22"/>
              </w:rPr>
            </w:pPr>
            <w:r w:rsidRPr="00AC37A9">
              <w:rPr>
                <w:color w:val="000000" w:themeColor="text1"/>
                <w:sz w:val="22"/>
                <w:szCs w:val="22"/>
              </w:rPr>
              <w:t>4.1. piemērojamajā elektronisko rēķinu standartā noteiktajai ISO/IEC 19845 (UBL 2.1) sintaksei;</w:t>
            </w:r>
          </w:p>
          <w:p w14:paraId="775A210C" w14:textId="77777777" w:rsidR="00C662B9" w:rsidRPr="00AC37A9" w:rsidRDefault="00C662B9" w:rsidP="00371A58">
            <w:pPr>
              <w:tabs>
                <w:tab w:val="left" w:pos="567"/>
              </w:tabs>
              <w:jc w:val="both"/>
              <w:rPr>
                <w:color w:val="000000" w:themeColor="text1"/>
                <w:sz w:val="22"/>
                <w:szCs w:val="22"/>
              </w:rPr>
            </w:pPr>
            <w:r w:rsidRPr="00AC37A9">
              <w:rPr>
                <w:color w:val="000000" w:themeColor="text1"/>
                <w:sz w:val="22"/>
                <w:szCs w:val="22"/>
              </w:rPr>
              <w:t xml:space="preserve">4.2. PAN-EUROPEAN PUBLIC PROCUREMENT ONLINE (PEPPOL) BIS </w:t>
            </w:r>
            <w:proofErr w:type="spellStart"/>
            <w:r w:rsidRPr="00AC37A9">
              <w:rPr>
                <w:color w:val="000000" w:themeColor="text1"/>
                <w:sz w:val="22"/>
                <w:szCs w:val="22"/>
              </w:rPr>
              <w:t>Billing</w:t>
            </w:r>
            <w:proofErr w:type="spellEnd"/>
            <w:r w:rsidRPr="00AC37A9">
              <w:rPr>
                <w:color w:val="000000" w:themeColor="text1"/>
                <w:sz w:val="22"/>
                <w:szCs w:val="22"/>
              </w:rPr>
              <w:t xml:space="preserve"> 3.0 rēķinu pamatelementu izmantošanas specifikācijai (</w:t>
            </w:r>
            <w:proofErr w:type="spellStart"/>
            <w:r w:rsidRPr="00AC37A9">
              <w:rPr>
                <w:color w:val="000000" w:themeColor="text1"/>
                <w:sz w:val="22"/>
                <w:szCs w:val="22"/>
              </w:rPr>
              <w:t>Core</w:t>
            </w:r>
            <w:proofErr w:type="spellEnd"/>
            <w:r w:rsidRPr="00AC37A9">
              <w:rPr>
                <w:color w:val="000000" w:themeColor="text1"/>
                <w:sz w:val="22"/>
                <w:szCs w:val="22"/>
              </w:rPr>
              <w:t xml:space="preserve"> </w:t>
            </w:r>
            <w:proofErr w:type="spellStart"/>
            <w:r w:rsidRPr="00AC37A9">
              <w:rPr>
                <w:color w:val="000000" w:themeColor="text1"/>
                <w:sz w:val="22"/>
                <w:szCs w:val="22"/>
              </w:rPr>
              <w:t>Invoice</w:t>
            </w:r>
            <w:proofErr w:type="spellEnd"/>
            <w:r w:rsidRPr="00AC37A9">
              <w:rPr>
                <w:color w:val="000000" w:themeColor="text1"/>
                <w:sz w:val="22"/>
                <w:szCs w:val="22"/>
              </w:rPr>
              <w:t xml:space="preserve"> </w:t>
            </w:r>
            <w:proofErr w:type="spellStart"/>
            <w:r w:rsidRPr="00AC37A9">
              <w:rPr>
                <w:color w:val="000000" w:themeColor="text1"/>
                <w:sz w:val="22"/>
                <w:szCs w:val="22"/>
              </w:rPr>
              <w:t>Usage</w:t>
            </w:r>
            <w:proofErr w:type="spellEnd"/>
            <w:r w:rsidRPr="00AC37A9">
              <w:rPr>
                <w:color w:val="000000" w:themeColor="text1"/>
                <w:sz w:val="22"/>
                <w:szCs w:val="22"/>
              </w:rPr>
              <w:t xml:space="preserve"> </w:t>
            </w:r>
            <w:proofErr w:type="spellStart"/>
            <w:r w:rsidRPr="00AC37A9">
              <w:rPr>
                <w:color w:val="000000" w:themeColor="text1"/>
                <w:sz w:val="22"/>
                <w:szCs w:val="22"/>
              </w:rPr>
              <w:t>Specification</w:t>
            </w:r>
            <w:proofErr w:type="spellEnd"/>
            <w:r w:rsidRPr="00AC37A9">
              <w:rPr>
                <w:color w:val="000000" w:themeColor="text1"/>
                <w:sz w:val="22"/>
                <w:szCs w:val="22"/>
              </w:rPr>
              <w:t xml:space="preserve"> (CIUS)), kas ir publicēta PEPPOL tīmekļa vietnē </w:t>
            </w:r>
            <w:hyperlink r:id="rId8" w:history="1">
              <w:r w:rsidRPr="00AC37A9">
                <w:rPr>
                  <w:rStyle w:val="Hyperlink"/>
                  <w:color w:val="000000" w:themeColor="text1"/>
                  <w:sz w:val="22"/>
                  <w:szCs w:val="22"/>
                </w:rPr>
                <w:t>http://docs.peppol.eu/poacc/billing/3.0/</w:t>
              </w:r>
            </w:hyperlink>
            <w:r w:rsidRPr="00AC37A9">
              <w:rPr>
                <w:color w:val="000000" w:themeColor="text1"/>
                <w:sz w:val="22"/>
                <w:szCs w:val="22"/>
              </w:rPr>
              <w:t>.”</w:t>
            </w:r>
          </w:p>
          <w:p w14:paraId="57B2D373" w14:textId="77777777" w:rsidR="00C662B9" w:rsidRPr="00AC37A9" w:rsidRDefault="00C662B9" w:rsidP="00371A58">
            <w:pPr>
              <w:rPr>
                <w:b/>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0266D9FE" w14:textId="77777777" w:rsidR="00C662B9" w:rsidRPr="00AC37A9" w:rsidRDefault="00C662B9" w:rsidP="00371A58">
            <w:pPr>
              <w:widowControl w:val="0"/>
              <w:tabs>
                <w:tab w:val="left" w:pos="993"/>
              </w:tabs>
              <w:jc w:val="both"/>
              <w:rPr>
                <w:b/>
                <w:color w:val="000000" w:themeColor="text1"/>
                <w:sz w:val="22"/>
                <w:szCs w:val="22"/>
              </w:rPr>
            </w:pPr>
            <w:r w:rsidRPr="00AC37A9">
              <w:rPr>
                <w:b/>
                <w:color w:val="000000" w:themeColor="text1"/>
                <w:sz w:val="22"/>
                <w:szCs w:val="22"/>
              </w:rPr>
              <w:lastRenderedPageBreak/>
              <w:t>Tieslietu ministrija</w:t>
            </w:r>
          </w:p>
          <w:p w14:paraId="3EC59860" w14:textId="77777777" w:rsidR="00C662B9" w:rsidRPr="00AC37A9" w:rsidRDefault="00C662B9" w:rsidP="00C662B9">
            <w:pPr>
              <w:widowControl w:val="0"/>
              <w:tabs>
                <w:tab w:val="left" w:pos="993"/>
              </w:tabs>
              <w:jc w:val="both"/>
              <w:rPr>
                <w:color w:val="000000" w:themeColor="text1"/>
                <w:sz w:val="22"/>
                <w:szCs w:val="22"/>
              </w:rPr>
            </w:pPr>
            <w:r w:rsidRPr="00AC37A9">
              <w:rPr>
                <w:color w:val="000000" w:themeColor="text1"/>
                <w:sz w:val="22"/>
                <w:szCs w:val="22"/>
              </w:rPr>
              <w:t xml:space="preserve">Projekta 4. punkts paredz atšķirīgas prasības elektroniskā </w:t>
            </w:r>
            <w:r w:rsidRPr="00AC37A9">
              <w:rPr>
                <w:color w:val="000000" w:themeColor="text1"/>
                <w:sz w:val="22"/>
                <w:szCs w:val="22"/>
              </w:rPr>
              <w:lastRenderedPageBreak/>
              <w:t>rēķina sagatavošanai, ja piegādātājs reģistrēts vai pastāvīgi dzīvo Latvijā. Lūdzam skaidrot minētā atšķirīgā regulējuma atbilstību Eiropas Parlamenta un Padomes 2014. gada 16. aprīļa Direktīvas 2014/55/ES par elektroniskajiem rēķiniem publiskā iepirkuma procedūrās (turpmāk – Direktīva) 7. pantam. Vēršam uzmanību, ka Direktīvas norma paredz, ka “</w:t>
            </w:r>
            <w:r w:rsidRPr="00AC37A9">
              <w:rPr>
                <w:i/>
                <w:color w:val="000000" w:themeColor="text1"/>
                <w:sz w:val="22"/>
                <w:szCs w:val="22"/>
              </w:rPr>
              <w:t>dalībvalstis nodrošina, ka līgumslēdzējas iestādes un līgumslēdzēji pieņem un apstrādā elektroniskos rēķinus, kas atbilst Eiropas elektronisko rēķinu standartam, uz kuru atsauce ir publicēta saskaņā ar 3. panta 2. punktu, un jebkurai no sintaksēm saskaņā ar 3. panta 2. punktu publicētajā sarakstā,</w:t>
            </w:r>
            <w:r w:rsidRPr="00AC37A9">
              <w:rPr>
                <w:color w:val="000000" w:themeColor="text1"/>
                <w:sz w:val="22"/>
                <w:szCs w:val="22"/>
              </w:rPr>
              <w:t xml:space="preserve">” un tieši neparedz atšķirīgu prasību noteikšanas iespējas. Gadījumā, ja papildu prasību noteikšana Latvijas piegādātājiem ir savietojama ar Direktīvu, lūdzam attiecīgi precizēt projekta anotācijas V sadaļas 1. tabulas D aili, norādot, ka projekts paredz stingrākas (atšķirīgas) prasības, nekā noteikts Direktīvas 7. pantā, un atbilstoši Ministru kabineta 2009. gada 15. decembra instrukcijas Nr. 19 “Tiesību akta projekta sākotnējās ietekmes izvērtēšanas kārtība” (turpmāk – instrukcija Nr. 19) </w:t>
            </w:r>
            <w:r w:rsidRPr="00AC37A9">
              <w:rPr>
                <w:color w:val="000000" w:themeColor="text1"/>
                <w:sz w:val="22"/>
                <w:szCs w:val="22"/>
              </w:rPr>
              <w:lastRenderedPageBreak/>
              <w:t>56.4. apakšpunktam skaidrojot stingrāku prasību noteikšanas nepieciešamību.</w:t>
            </w:r>
          </w:p>
          <w:p w14:paraId="109F412D" w14:textId="26BCD105" w:rsidR="00C662B9" w:rsidRPr="003329AF" w:rsidRDefault="00C662B9" w:rsidP="003329AF">
            <w:pPr>
              <w:pStyle w:val="ListParagraph"/>
              <w:tabs>
                <w:tab w:val="left" w:pos="993"/>
              </w:tabs>
              <w:spacing w:line="240" w:lineRule="auto"/>
              <w:ind w:left="0"/>
              <w:jc w:val="both"/>
              <w:rPr>
                <w:rFonts w:ascii="Times New Roman" w:hAnsi="Times New Roman"/>
                <w:color w:val="000000" w:themeColor="text1"/>
              </w:rPr>
            </w:pPr>
            <w:r w:rsidRPr="00AC37A9">
              <w:rPr>
                <w:rFonts w:ascii="Times New Roman" w:hAnsi="Times New Roman"/>
                <w:color w:val="000000" w:themeColor="text1"/>
              </w:rPr>
              <w:t xml:space="preserve">Minētais iebildums par atbilstību Direktīvai un nepieciešamību papildināt projekta anotācijas V sadaļu attiecas arī uz projekta 3.punktā noteikto, ka iepirkuma līgumā vai publiskās un privātās partnerības līgumā var noteikt papildu prasības obligātās informācijas norādīšanai kādā no piemērojamiem elektroniskā rēķina standarta izvēles pamatelementiem. </w:t>
            </w:r>
          </w:p>
        </w:tc>
        <w:tc>
          <w:tcPr>
            <w:tcW w:w="2944" w:type="dxa"/>
            <w:gridSpan w:val="2"/>
            <w:tcBorders>
              <w:top w:val="single" w:sz="6" w:space="0" w:color="000000"/>
              <w:left w:val="single" w:sz="6" w:space="0" w:color="000000"/>
              <w:bottom w:val="single" w:sz="6" w:space="0" w:color="000000"/>
              <w:right w:val="single" w:sz="6" w:space="0" w:color="000000"/>
            </w:tcBorders>
          </w:tcPr>
          <w:p w14:paraId="48941EA2" w14:textId="77777777" w:rsidR="00C662B9" w:rsidRPr="00AC37A9" w:rsidRDefault="00C662B9" w:rsidP="00AC37A9">
            <w:pPr>
              <w:pStyle w:val="naisc"/>
              <w:spacing w:before="0" w:after="0"/>
              <w:jc w:val="both"/>
              <w:rPr>
                <w:b/>
                <w:color w:val="000000" w:themeColor="text1"/>
                <w:sz w:val="22"/>
                <w:szCs w:val="22"/>
              </w:rPr>
            </w:pPr>
            <w:r w:rsidRPr="00AC37A9">
              <w:rPr>
                <w:b/>
                <w:color w:val="000000" w:themeColor="text1"/>
                <w:sz w:val="22"/>
                <w:szCs w:val="22"/>
              </w:rPr>
              <w:lastRenderedPageBreak/>
              <w:t>Ņemts vērā</w:t>
            </w:r>
          </w:p>
          <w:p w14:paraId="180A5F71" w14:textId="6C4875D2" w:rsidR="0044673F" w:rsidRDefault="00C662B9" w:rsidP="00AC37A9">
            <w:pPr>
              <w:pStyle w:val="naisc"/>
              <w:jc w:val="both"/>
              <w:rPr>
                <w:sz w:val="22"/>
                <w:szCs w:val="22"/>
              </w:rPr>
            </w:pPr>
            <w:r w:rsidRPr="00AC37A9">
              <w:rPr>
                <w:color w:val="000000" w:themeColor="text1"/>
                <w:sz w:val="22"/>
                <w:szCs w:val="22"/>
              </w:rPr>
              <w:t xml:space="preserve">Attiecībā uz </w:t>
            </w:r>
            <w:r w:rsidRPr="00AC37A9">
              <w:rPr>
                <w:sz w:val="22"/>
                <w:szCs w:val="22"/>
              </w:rPr>
              <w:t>Latvijā pastāvīgi dzīvojoš</w:t>
            </w:r>
            <w:r w:rsidR="00A72C9A">
              <w:rPr>
                <w:sz w:val="22"/>
                <w:szCs w:val="22"/>
              </w:rPr>
              <w:t>ām fiziskām personām</w:t>
            </w:r>
            <w:r w:rsidRPr="00AC37A9">
              <w:rPr>
                <w:sz w:val="22"/>
                <w:szCs w:val="22"/>
              </w:rPr>
              <w:t xml:space="preserve"> </w:t>
            </w:r>
            <w:r w:rsidRPr="00AC37A9">
              <w:rPr>
                <w:sz w:val="22"/>
                <w:szCs w:val="22"/>
              </w:rPr>
              <w:t>un Latvijā reģistrēt</w:t>
            </w:r>
            <w:r w:rsidR="00A72C9A">
              <w:rPr>
                <w:sz w:val="22"/>
                <w:szCs w:val="22"/>
              </w:rPr>
              <w:t>ām juridiskām personām</w:t>
            </w:r>
            <w:r w:rsidRPr="00AC37A9">
              <w:rPr>
                <w:sz w:val="22"/>
                <w:szCs w:val="22"/>
              </w:rPr>
              <w:t xml:space="preserve"> netiek paredzētas stingrākas prasības. CIUS ir </w:t>
            </w:r>
            <w:r w:rsidR="0044673F">
              <w:rPr>
                <w:sz w:val="22"/>
                <w:szCs w:val="22"/>
              </w:rPr>
              <w:t xml:space="preserve">Eiropas elektronisko rēķinu standartā paredzēta </w:t>
            </w:r>
            <w:r w:rsidRPr="00AC37A9">
              <w:rPr>
                <w:sz w:val="22"/>
                <w:szCs w:val="22"/>
              </w:rPr>
              <w:t xml:space="preserve">specifikācija, kas sniedz detalizētus norādījumus, paskaidrojumus un piemērus, kas saistīti ar </w:t>
            </w:r>
            <w:proofErr w:type="spellStart"/>
            <w:r w:rsidRPr="00AC37A9">
              <w:rPr>
                <w:sz w:val="22"/>
                <w:szCs w:val="22"/>
              </w:rPr>
              <w:t>pamatrēķina</w:t>
            </w:r>
            <w:proofErr w:type="spellEnd"/>
            <w:r w:rsidRPr="00AC37A9">
              <w:rPr>
                <w:sz w:val="22"/>
                <w:szCs w:val="22"/>
              </w:rPr>
              <w:t xml:space="preserve"> modelī esošo strukturētās informācijas elementu faktisko ieviešanu un izmantošanu konkrētā tirdzniecības situācijā. CIUS ir būtisks elements elektronisko rēķinu automātiskas apstrādes sistēmu izveidei un sniedz arī detalizētas standarta īstenošanas vadlīnijas</w:t>
            </w:r>
            <w:r w:rsidRPr="00AC37A9">
              <w:rPr>
                <w:rFonts w:eastAsiaTheme="minorHAnsi"/>
                <w:color w:val="000000"/>
                <w:spacing w:val="-2"/>
                <w:sz w:val="22"/>
                <w:szCs w:val="22"/>
                <w:shd w:val="clear" w:color="auto" w:fill="FFFFFF"/>
                <w:lang w:eastAsia="en-US"/>
              </w:rPr>
              <w:t xml:space="preserve"> </w:t>
            </w:r>
          </w:p>
          <w:p w14:paraId="75680B09" w14:textId="1FAA6DAD" w:rsidR="00C662B9" w:rsidRPr="00843B80" w:rsidRDefault="0044673F" w:rsidP="00283FD4">
            <w:pPr>
              <w:pStyle w:val="naisc"/>
              <w:jc w:val="both"/>
              <w:rPr>
                <w:color w:val="000000" w:themeColor="text1"/>
                <w:sz w:val="22"/>
                <w:szCs w:val="22"/>
              </w:rPr>
            </w:pPr>
            <w:r>
              <w:rPr>
                <w:sz w:val="22"/>
                <w:szCs w:val="22"/>
              </w:rPr>
              <w:t xml:space="preserve">(piemēram, </w:t>
            </w:r>
            <w:r w:rsidR="00C662B9" w:rsidRPr="00AC37A9">
              <w:rPr>
                <w:sz w:val="22"/>
                <w:szCs w:val="22"/>
              </w:rPr>
              <w:t>nosaka, katra lauka garumu, laukā izmantotos simbolus (skaitļi vai cipari) u.c. tehniskas lietas</w:t>
            </w:r>
            <w:r>
              <w:rPr>
                <w:sz w:val="22"/>
                <w:szCs w:val="22"/>
              </w:rPr>
              <w:t>)</w:t>
            </w:r>
            <w:r w:rsidR="00C662B9" w:rsidRPr="00AC37A9">
              <w:rPr>
                <w:sz w:val="22"/>
                <w:szCs w:val="22"/>
              </w:rPr>
              <w:t>.</w:t>
            </w:r>
            <w:r w:rsidR="00843B80">
              <w:rPr>
                <w:sz w:val="22"/>
                <w:szCs w:val="22"/>
              </w:rPr>
              <w:t xml:space="preserve"> </w:t>
            </w:r>
            <w:r w:rsidR="00B76560" w:rsidRPr="00843B80">
              <w:rPr>
                <w:color w:val="000000" w:themeColor="text1"/>
                <w:sz w:val="22"/>
                <w:szCs w:val="22"/>
              </w:rPr>
              <w:t xml:space="preserve">Attiecīgi Ministru kabineta sēdes </w:t>
            </w:r>
            <w:proofErr w:type="spellStart"/>
            <w:r w:rsidR="00B76560" w:rsidRPr="00843B80">
              <w:rPr>
                <w:color w:val="000000" w:themeColor="text1"/>
                <w:sz w:val="22"/>
                <w:szCs w:val="22"/>
              </w:rPr>
              <w:t>protokollēmumā</w:t>
            </w:r>
            <w:proofErr w:type="spellEnd"/>
            <w:r w:rsidR="00B76560" w:rsidRPr="00843B80">
              <w:rPr>
                <w:color w:val="000000" w:themeColor="text1"/>
                <w:sz w:val="22"/>
                <w:szCs w:val="22"/>
              </w:rPr>
              <w:t xml:space="preserve"> tiek ietverts uzdevums Finanšu ministrijai izstrādāt un līdz 2019.gada 1.oktobrim noteiktā kārtībā iesniegt izskatīšanai Ministru kabinetā attiecīgu tiesību akta projektu, lai noteiktu, ka turpmāk Latvijā pastāvīgi dzīvojošas fiziskas personas un Latvijā reģistrētas juridiskas personas elektroniskos rēķinus sagatavo atbilstoši</w:t>
            </w:r>
            <w:r w:rsidR="00843B80">
              <w:rPr>
                <w:color w:val="000000" w:themeColor="text1"/>
                <w:sz w:val="22"/>
                <w:szCs w:val="22"/>
              </w:rPr>
              <w:t xml:space="preserve"> </w:t>
            </w:r>
            <w:r w:rsidR="00B76560" w:rsidRPr="00843B80">
              <w:rPr>
                <w:color w:val="000000" w:themeColor="text1"/>
                <w:sz w:val="22"/>
                <w:szCs w:val="22"/>
              </w:rPr>
              <w:t xml:space="preserve">noteiktajai </w:t>
            </w:r>
            <w:r w:rsidR="00B76560" w:rsidRPr="00843B80">
              <w:rPr>
                <w:color w:val="000000" w:themeColor="text1"/>
                <w:sz w:val="22"/>
                <w:szCs w:val="22"/>
              </w:rPr>
              <w:lastRenderedPageBreak/>
              <w:t>ISO/IEC 19845 (UBL 2.1) sintaksei.</w:t>
            </w:r>
            <w:r w:rsidR="00B76560" w:rsidRPr="00B76560">
              <w:rPr>
                <w:b/>
                <w:color w:val="000000" w:themeColor="text1"/>
                <w:sz w:val="22"/>
                <w:szCs w:val="22"/>
              </w:rPr>
              <w:t xml:space="preserve"> </w:t>
            </w:r>
          </w:p>
        </w:tc>
        <w:tc>
          <w:tcPr>
            <w:tcW w:w="3576" w:type="dxa"/>
            <w:tcBorders>
              <w:top w:val="single" w:sz="4" w:space="0" w:color="auto"/>
              <w:left w:val="single" w:sz="4" w:space="0" w:color="auto"/>
              <w:bottom w:val="single" w:sz="4" w:space="0" w:color="auto"/>
            </w:tcBorders>
          </w:tcPr>
          <w:p w14:paraId="337C3E79" w14:textId="77777777" w:rsidR="00C662B9" w:rsidRPr="00AC37A9" w:rsidRDefault="00C662B9" w:rsidP="00371A58">
            <w:pPr>
              <w:tabs>
                <w:tab w:val="left" w:pos="567"/>
              </w:tabs>
              <w:jc w:val="both"/>
              <w:rPr>
                <w:b/>
                <w:color w:val="000000" w:themeColor="text1"/>
                <w:sz w:val="22"/>
                <w:szCs w:val="22"/>
              </w:rPr>
            </w:pPr>
            <w:r w:rsidRPr="00AC37A9">
              <w:rPr>
                <w:b/>
                <w:color w:val="000000" w:themeColor="text1"/>
                <w:sz w:val="22"/>
                <w:szCs w:val="22"/>
              </w:rPr>
              <w:lastRenderedPageBreak/>
              <w:t>Noteikumu projekta 4.punkts:</w:t>
            </w:r>
          </w:p>
          <w:p w14:paraId="40757881" w14:textId="5736B4B6" w:rsidR="00C662B9" w:rsidRPr="00AC37A9" w:rsidRDefault="00836535" w:rsidP="00371A58">
            <w:pPr>
              <w:jc w:val="both"/>
              <w:rPr>
                <w:color w:val="000000" w:themeColor="text1"/>
                <w:sz w:val="22"/>
                <w:szCs w:val="22"/>
              </w:rPr>
            </w:pPr>
            <w:r>
              <w:rPr>
                <w:color w:val="000000" w:themeColor="text1"/>
                <w:sz w:val="22"/>
                <w:szCs w:val="22"/>
              </w:rPr>
              <w:t>“4.</w:t>
            </w:r>
            <w:r w:rsidRPr="00836535">
              <w:rPr>
                <w:color w:val="000000" w:themeColor="text1"/>
                <w:sz w:val="22"/>
                <w:szCs w:val="22"/>
              </w:rPr>
              <w:tab/>
              <w:t xml:space="preserve">Ja piegādātājs reģistrēts vai pastāvīgi dzīvo Latvijā, pasūtītājs, </w:t>
            </w:r>
            <w:r w:rsidRPr="00836535">
              <w:rPr>
                <w:color w:val="000000" w:themeColor="text1"/>
                <w:sz w:val="22"/>
                <w:szCs w:val="22"/>
              </w:rPr>
              <w:lastRenderedPageBreak/>
              <w:t xml:space="preserve">sabiedrisko pakalpojumu sniedzējs vai publiskais partneris vai tā pārstāvis pieņem piegādātāja sagatavotu vai izsniegtu elektronisko rēķinu, ja papildus 3.punktā minētajam tas atbilst PAN-EUROPEAN PUBLIC PROCUREMENT ONLINE (PEPPOL) BIS </w:t>
            </w:r>
            <w:proofErr w:type="spellStart"/>
            <w:r w:rsidRPr="00836535">
              <w:rPr>
                <w:color w:val="000000" w:themeColor="text1"/>
                <w:sz w:val="22"/>
                <w:szCs w:val="22"/>
              </w:rPr>
              <w:t>Billing</w:t>
            </w:r>
            <w:proofErr w:type="spellEnd"/>
            <w:r w:rsidRPr="00836535">
              <w:rPr>
                <w:color w:val="000000" w:themeColor="text1"/>
                <w:sz w:val="22"/>
                <w:szCs w:val="22"/>
              </w:rPr>
              <w:t xml:space="preserve"> 3.0 elektronisko rēķinu pamatelementu izmantošanas specifikācijai (</w:t>
            </w:r>
            <w:proofErr w:type="spellStart"/>
            <w:r w:rsidRPr="00836535">
              <w:rPr>
                <w:color w:val="000000" w:themeColor="text1"/>
                <w:sz w:val="22"/>
                <w:szCs w:val="22"/>
              </w:rPr>
              <w:t>Core</w:t>
            </w:r>
            <w:proofErr w:type="spellEnd"/>
            <w:r w:rsidRPr="00836535">
              <w:rPr>
                <w:color w:val="000000" w:themeColor="text1"/>
                <w:sz w:val="22"/>
                <w:szCs w:val="22"/>
              </w:rPr>
              <w:t xml:space="preserve"> </w:t>
            </w:r>
            <w:proofErr w:type="spellStart"/>
            <w:r w:rsidRPr="00836535">
              <w:rPr>
                <w:color w:val="000000" w:themeColor="text1"/>
                <w:sz w:val="22"/>
                <w:szCs w:val="22"/>
              </w:rPr>
              <w:t>Invoice</w:t>
            </w:r>
            <w:proofErr w:type="spellEnd"/>
            <w:r w:rsidRPr="00836535">
              <w:rPr>
                <w:color w:val="000000" w:themeColor="text1"/>
                <w:sz w:val="22"/>
                <w:szCs w:val="22"/>
              </w:rPr>
              <w:t xml:space="preserve"> </w:t>
            </w:r>
            <w:proofErr w:type="spellStart"/>
            <w:r w:rsidRPr="00836535">
              <w:rPr>
                <w:color w:val="000000" w:themeColor="text1"/>
                <w:sz w:val="22"/>
                <w:szCs w:val="22"/>
              </w:rPr>
              <w:t>Usage</w:t>
            </w:r>
            <w:proofErr w:type="spellEnd"/>
            <w:r w:rsidRPr="00836535">
              <w:rPr>
                <w:color w:val="000000" w:themeColor="text1"/>
                <w:sz w:val="22"/>
                <w:szCs w:val="22"/>
              </w:rPr>
              <w:t xml:space="preserve"> </w:t>
            </w:r>
            <w:proofErr w:type="spellStart"/>
            <w:r w:rsidRPr="00836535">
              <w:rPr>
                <w:color w:val="000000" w:themeColor="text1"/>
                <w:sz w:val="22"/>
                <w:szCs w:val="22"/>
              </w:rPr>
              <w:t>Specification</w:t>
            </w:r>
            <w:proofErr w:type="spellEnd"/>
            <w:r w:rsidRPr="00836535">
              <w:rPr>
                <w:color w:val="000000" w:themeColor="text1"/>
                <w:sz w:val="22"/>
                <w:szCs w:val="22"/>
              </w:rPr>
              <w:t xml:space="preserve"> (CIUS)), kas ir publicēta PEPPOL tīmekļa vietnē http://docs.peppol.eu/poacc/billing/3.0/</w:t>
            </w:r>
            <w:r w:rsidR="00C662B9" w:rsidRPr="00AC37A9">
              <w:rPr>
                <w:color w:val="000000" w:themeColor="text1"/>
                <w:sz w:val="22"/>
                <w:szCs w:val="22"/>
              </w:rPr>
              <w:t>.</w:t>
            </w:r>
            <w:r>
              <w:rPr>
                <w:color w:val="000000" w:themeColor="text1"/>
                <w:sz w:val="22"/>
                <w:szCs w:val="22"/>
              </w:rPr>
              <w:t>”</w:t>
            </w:r>
          </w:p>
          <w:p w14:paraId="759CD0D1" w14:textId="77777777" w:rsidR="00C662B9" w:rsidRPr="00AC37A9" w:rsidRDefault="00C662B9" w:rsidP="00371A58">
            <w:pPr>
              <w:jc w:val="both"/>
              <w:rPr>
                <w:b/>
                <w:color w:val="000000" w:themeColor="text1"/>
                <w:sz w:val="22"/>
                <w:szCs w:val="22"/>
              </w:rPr>
            </w:pPr>
          </w:p>
        </w:tc>
      </w:tr>
      <w:tr w:rsidR="00C662B9" w:rsidRPr="00AC37A9" w14:paraId="106639C0" w14:textId="77777777" w:rsidTr="00371A58">
        <w:tc>
          <w:tcPr>
            <w:tcW w:w="567" w:type="dxa"/>
            <w:tcBorders>
              <w:top w:val="single" w:sz="6" w:space="0" w:color="000000"/>
              <w:left w:val="single" w:sz="6" w:space="0" w:color="000000"/>
              <w:bottom w:val="single" w:sz="6" w:space="0" w:color="000000"/>
              <w:right w:val="single" w:sz="6" w:space="0" w:color="000000"/>
            </w:tcBorders>
          </w:tcPr>
          <w:p w14:paraId="50AC50C4" w14:textId="21E3C8F7" w:rsidR="00C662B9" w:rsidRPr="00AC37A9" w:rsidRDefault="007B2BFF" w:rsidP="00371A58">
            <w:pPr>
              <w:pStyle w:val="naisc"/>
              <w:spacing w:before="0" w:after="0"/>
              <w:rPr>
                <w:color w:val="000000" w:themeColor="text1"/>
                <w:sz w:val="22"/>
                <w:szCs w:val="22"/>
              </w:rPr>
            </w:pPr>
            <w:r>
              <w:rPr>
                <w:color w:val="000000" w:themeColor="text1"/>
                <w:sz w:val="22"/>
                <w:szCs w:val="22"/>
              </w:rPr>
              <w:lastRenderedPageBreak/>
              <w:t>8</w:t>
            </w:r>
            <w:r w:rsidR="00C662B9" w:rsidRPr="00AC37A9">
              <w:rPr>
                <w:color w:val="000000" w:themeColor="text1"/>
                <w:sz w:val="22"/>
                <w:szCs w:val="22"/>
              </w:rPr>
              <w:t>.</w:t>
            </w:r>
          </w:p>
        </w:tc>
        <w:tc>
          <w:tcPr>
            <w:tcW w:w="3543" w:type="dxa"/>
            <w:gridSpan w:val="2"/>
            <w:tcBorders>
              <w:top w:val="single" w:sz="6" w:space="0" w:color="000000"/>
              <w:left w:val="single" w:sz="6" w:space="0" w:color="000000"/>
              <w:bottom w:val="single" w:sz="6" w:space="0" w:color="000000"/>
              <w:right w:val="single" w:sz="6" w:space="0" w:color="000000"/>
            </w:tcBorders>
          </w:tcPr>
          <w:p w14:paraId="7DA345AB" w14:textId="77777777" w:rsidR="00C662B9" w:rsidRPr="00AC37A9" w:rsidRDefault="00C662B9" w:rsidP="00371A58">
            <w:pPr>
              <w:tabs>
                <w:tab w:val="left" w:pos="567"/>
              </w:tabs>
              <w:jc w:val="both"/>
              <w:rPr>
                <w:b/>
                <w:color w:val="000000" w:themeColor="text1"/>
                <w:sz w:val="22"/>
                <w:szCs w:val="22"/>
              </w:rPr>
            </w:pPr>
            <w:r w:rsidRPr="00AC37A9">
              <w:rPr>
                <w:b/>
                <w:color w:val="000000" w:themeColor="text1"/>
                <w:sz w:val="22"/>
                <w:szCs w:val="22"/>
              </w:rPr>
              <w:t>Noteikumu projekta 4.punkts:</w:t>
            </w:r>
          </w:p>
          <w:p w14:paraId="7BB4A27C" w14:textId="77777777" w:rsidR="00C662B9" w:rsidRPr="00AC37A9" w:rsidRDefault="00C662B9" w:rsidP="00371A58">
            <w:pPr>
              <w:tabs>
                <w:tab w:val="left" w:pos="567"/>
              </w:tabs>
              <w:jc w:val="both"/>
              <w:rPr>
                <w:color w:val="000000" w:themeColor="text1"/>
                <w:sz w:val="22"/>
                <w:szCs w:val="22"/>
              </w:rPr>
            </w:pPr>
            <w:r w:rsidRPr="00AC37A9">
              <w:rPr>
                <w:color w:val="000000" w:themeColor="text1"/>
                <w:sz w:val="22"/>
                <w:szCs w:val="22"/>
              </w:rPr>
              <w:t>“4. Ja piegādātājs reģistrēts vai pastāvīgi dzīvo Latvijā, pasūtītājs, sabiedrisko pakalpojumu sniedzējs vai publiskais partneris vai tā pārstāvis pieņem piegādātāja sagatavotu vai izsniegtu elektronisko rēķinu, ja tas atbilst šādām papildu prasībām:</w:t>
            </w:r>
          </w:p>
          <w:p w14:paraId="5BCA6881" w14:textId="77777777" w:rsidR="00C662B9" w:rsidRPr="00AC37A9" w:rsidRDefault="00C662B9" w:rsidP="00371A58">
            <w:pPr>
              <w:tabs>
                <w:tab w:val="left" w:pos="567"/>
              </w:tabs>
              <w:jc w:val="both"/>
              <w:rPr>
                <w:color w:val="000000" w:themeColor="text1"/>
                <w:sz w:val="22"/>
                <w:szCs w:val="22"/>
              </w:rPr>
            </w:pPr>
            <w:r w:rsidRPr="00AC37A9">
              <w:rPr>
                <w:color w:val="000000" w:themeColor="text1"/>
                <w:sz w:val="22"/>
                <w:szCs w:val="22"/>
              </w:rPr>
              <w:t>4.1. piemērojamajā elektronisko rēķinu standartā noteiktajai ISO/IEC 19845 (UBL 2.1) sintaksei;</w:t>
            </w:r>
          </w:p>
          <w:p w14:paraId="7F1807A2" w14:textId="77777777" w:rsidR="00C662B9" w:rsidRPr="00AC37A9" w:rsidRDefault="00C662B9" w:rsidP="00371A58">
            <w:pPr>
              <w:tabs>
                <w:tab w:val="left" w:pos="567"/>
              </w:tabs>
              <w:jc w:val="both"/>
              <w:rPr>
                <w:color w:val="000000" w:themeColor="text1"/>
                <w:sz w:val="22"/>
                <w:szCs w:val="22"/>
              </w:rPr>
            </w:pPr>
            <w:r w:rsidRPr="00AC37A9">
              <w:rPr>
                <w:color w:val="000000" w:themeColor="text1"/>
                <w:sz w:val="22"/>
                <w:szCs w:val="22"/>
              </w:rPr>
              <w:t xml:space="preserve">4.2. PAN-EUROPEAN PUBLIC PROCUREMENT ONLINE (PEPPOL) BIS </w:t>
            </w:r>
            <w:proofErr w:type="spellStart"/>
            <w:r w:rsidRPr="00AC37A9">
              <w:rPr>
                <w:color w:val="000000" w:themeColor="text1"/>
                <w:sz w:val="22"/>
                <w:szCs w:val="22"/>
              </w:rPr>
              <w:t>Billing</w:t>
            </w:r>
            <w:proofErr w:type="spellEnd"/>
            <w:r w:rsidRPr="00AC37A9">
              <w:rPr>
                <w:color w:val="000000" w:themeColor="text1"/>
                <w:sz w:val="22"/>
                <w:szCs w:val="22"/>
              </w:rPr>
              <w:t xml:space="preserve"> 3.0 rēķinu pamatelementu izmantošanas specifikācijai (</w:t>
            </w:r>
            <w:proofErr w:type="spellStart"/>
            <w:r w:rsidRPr="00AC37A9">
              <w:rPr>
                <w:color w:val="000000" w:themeColor="text1"/>
                <w:sz w:val="22"/>
                <w:szCs w:val="22"/>
              </w:rPr>
              <w:t>Core</w:t>
            </w:r>
            <w:proofErr w:type="spellEnd"/>
            <w:r w:rsidRPr="00AC37A9">
              <w:rPr>
                <w:color w:val="000000" w:themeColor="text1"/>
                <w:sz w:val="22"/>
                <w:szCs w:val="22"/>
              </w:rPr>
              <w:t xml:space="preserve"> </w:t>
            </w:r>
            <w:proofErr w:type="spellStart"/>
            <w:r w:rsidRPr="00AC37A9">
              <w:rPr>
                <w:color w:val="000000" w:themeColor="text1"/>
                <w:sz w:val="22"/>
                <w:szCs w:val="22"/>
              </w:rPr>
              <w:t>Invoice</w:t>
            </w:r>
            <w:proofErr w:type="spellEnd"/>
            <w:r w:rsidRPr="00AC37A9">
              <w:rPr>
                <w:color w:val="000000" w:themeColor="text1"/>
                <w:sz w:val="22"/>
                <w:szCs w:val="22"/>
              </w:rPr>
              <w:t xml:space="preserve"> </w:t>
            </w:r>
            <w:proofErr w:type="spellStart"/>
            <w:r w:rsidRPr="00AC37A9">
              <w:rPr>
                <w:color w:val="000000" w:themeColor="text1"/>
                <w:sz w:val="22"/>
                <w:szCs w:val="22"/>
              </w:rPr>
              <w:t>Usage</w:t>
            </w:r>
            <w:proofErr w:type="spellEnd"/>
            <w:r w:rsidRPr="00AC37A9">
              <w:rPr>
                <w:color w:val="000000" w:themeColor="text1"/>
                <w:sz w:val="22"/>
                <w:szCs w:val="22"/>
              </w:rPr>
              <w:t xml:space="preserve"> </w:t>
            </w:r>
            <w:proofErr w:type="spellStart"/>
            <w:r w:rsidRPr="00AC37A9">
              <w:rPr>
                <w:color w:val="000000" w:themeColor="text1"/>
                <w:sz w:val="22"/>
                <w:szCs w:val="22"/>
              </w:rPr>
              <w:t>Specification</w:t>
            </w:r>
            <w:proofErr w:type="spellEnd"/>
            <w:r w:rsidRPr="00AC37A9">
              <w:rPr>
                <w:color w:val="000000" w:themeColor="text1"/>
                <w:sz w:val="22"/>
                <w:szCs w:val="22"/>
              </w:rPr>
              <w:t xml:space="preserve"> (CIUS)), kas ir publicēta PEPPOL tīmekļa vietnē </w:t>
            </w:r>
            <w:hyperlink r:id="rId9" w:history="1">
              <w:r w:rsidRPr="00AC37A9">
                <w:rPr>
                  <w:rStyle w:val="Hyperlink"/>
                  <w:color w:val="000000" w:themeColor="text1"/>
                  <w:sz w:val="22"/>
                  <w:szCs w:val="22"/>
                </w:rPr>
                <w:t>http://docs.peppol.eu/poacc/billing/3.0/</w:t>
              </w:r>
            </w:hyperlink>
            <w:r w:rsidRPr="00AC37A9">
              <w:rPr>
                <w:color w:val="000000" w:themeColor="text1"/>
                <w:sz w:val="22"/>
                <w:szCs w:val="22"/>
              </w:rPr>
              <w:t>.”</w:t>
            </w:r>
          </w:p>
          <w:p w14:paraId="57E9CBD5" w14:textId="77777777" w:rsidR="00C662B9" w:rsidRPr="00AC37A9" w:rsidRDefault="00C662B9" w:rsidP="00371A58">
            <w:pPr>
              <w:pStyle w:val="naisc"/>
              <w:spacing w:before="0" w:after="0"/>
              <w:jc w:val="left"/>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3F3D9F7E" w14:textId="77777777" w:rsidR="00C662B9" w:rsidRPr="00AC37A9" w:rsidRDefault="00C662B9" w:rsidP="00371A58">
            <w:pPr>
              <w:widowControl w:val="0"/>
              <w:tabs>
                <w:tab w:val="left" w:pos="993"/>
              </w:tabs>
              <w:jc w:val="both"/>
              <w:rPr>
                <w:b/>
                <w:color w:val="000000" w:themeColor="text1"/>
                <w:sz w:val="22"/>
                <w:szCs w:val="22"/>
              </w:rPr>
            </w:pPr>
            <w:r w:rsidRPr="00AC37A9">
              <w:rPr>
                <w:b/>
                <w:color w:val="000000" w:themeColor="text1"/>
                <w:sz w:val="22"/>
                <w:szCs w:val="22"/>
              </w:rPr>
              <w:lastRenderedPageBreak/>
              <w:t>Tieslietu ministrija</w:t>
            </w:r>
          </w:p>
          <w:p w14:paraId="3A1C7AF1" w14:textId="4A388866" w:rsidR="00C662B9" w:rsidRPr="00AC37A9" w:rsidRDefault="00C662B9" w:rsidP="00371A58">
            <w:pPr>
              <w:widowControl w:val="0"/>
              <w:tabs>
                <w:tab w:val="left" w:pos="993"/>
              </w:tabs>
              <w:jc w:val="both"/>
              <w:rPr>
                <w:color w:val="000000" w:themeColor="text1"/>
                <w:sz w:val="22"/>
                <w:szCs w:val="22"/>
              </w:rPr>
            </w:pPr>
            <w:r w:rsidRPr="00AC37A9">
              <w:rPr>
                <w:color w:val="000000" w:themeColor="text1"/>
                <w:sz w:val="22"/>
                <w:szCs w:val="22"/>
              </w:rPr>
              <w:t>Vēršam uzmanību, ka projekta 4. punktā noteiktās papildu prasības (papildu starptautisko standartu piemērošanas prasības) neatbilst Standartizāci</w:t>
            </w:r>
            <w:r w:rsidR="00834D5A">
              <w:rPr>
                <w:color w:val="000000" w:themeColor="text1"/>
                <w:sz w:val="22"/>
                <w:szCs w:val="22"/>
              </w:rPr>
              <w:t>jas likuma 12.panta trešās daļas, 13.panta otrās daļas un 14.</w:t>
            </w:r>
            <w:r w:rsidRPr="00AC37A9">
              <w:rPr>
                <w:color w:val="000000" w:themeColor="text1"/>
                <w:sz w:val="22"/>
                <w:szCs w:val="22"/>
              </w:rPr>
              <w:t>panta otrās daļas noteikumiem par to, kādā veidā pieļaujama obligāti piemērojamu standartu noteikšana Ministru kabineta noteikumos. Tāpat vēršam uzmanību, ka projekta anotācijas I sadaļā (3. lpp.) norādītie secinājumi par standartu tulkošanu ir pretrunā minētājām Standartizācijas likuma normām. Ievērojot minēto, lūdzam attiecīgi precizēt projektu un tā anotāciju.</w:t>
            </w:r>
          </w:p>
          <w:p w14:paraId="71A5450B" w14:textId="77777777" w:rsidR="00C662B9" w:rsidRPr="00AC37A9" w:rsidRDefault="00C662B9" w:rsidP="00371A58">
            <w:pPr>
              <w:pStyle w:val="naisc"/>
              <w:spacing w:before="0" w:after="0"/>
              <w:ind w:firstLine="720"/>
              <w:rPr>
                <w:color w:val="000000" w:themeColor="text1"/>
                <w:sz w:val="22"/>
                <w:szCs w:val="22"/>
              </w:rPr>
            </w:pPr>
          </w:p>
        </w:tc>
        <w:tc>
          <w:tcPr>
            <w:tcW w:w="2944" w:type="dxa"/>
            <w:gridSpan w:val="2"/>
            <w:tcBorders>
              <w:top w:val="single" w:sz="6" w:space="0" w:color="000000"/>
              <w:left w:val="single" w:sz="6" w:space="0" w:color="000000"/>
              <w:bottom w:val="single" w:sz="6" w:space="0" w:color="000000"/>
              <w:right w:val="single" w:sz="6" w:space="0" w:color="000000"/>
            </w:tcBorders>
          </w:tcPr>
          <w:p w14:paraId="5C7ED366" w14:textId="77777777" w:rsidR="00C662B9" w:rsidRPr="00AC37A9" w:rsidRDefault="00C662B9" w:rsidP="00AC37A9">
            <w:pPr>
              <w:pStyle w:val="naisc"/>
              <w:spacing w:before="0" w:after="0"/>
              <w:jc w:val="both"/>
              <w:rPr>
                <w:b/>
                <w:color w:val="000000" w:themeColor="text1"/>
                <w:sz w:val="22"/>
                <w:szCs w:val="22"/>
              </w:rPr>
            </w:pPr>
            <w:r w:rsidRPr="00AC37A9">
              <w:rPr>
                <w:b/>
                <w:color w:val="000000" w:themeColor="text1"/>
                <w:sz w:val="22"/>
                <w:szCs w:val="22"/>
              </w:rPr>
              <w:t>Ņemts vērā</w:t>
            </w:r>
          </w:p>
          <w:p w14:paraId="33FD8551" w14:textId="7515FBF2" w:rsidR="00371A58" w:rsidRPr="00AC37A9" w:rsidRDefault="00371A58" w:rsidP="00AC37A9">
            <w:pPr>
              <w:pStyle w:val="naisc"/>
              <w:spacing w:before="0" w:after="0"/>
              <w:jc w:val="both"/>
              <w:rPr>
                <w:color w:val="000000" w:themeColor="text1"/>
                <w:sz w:val="22"/>
                <w:szCs w:val="22"/>
              </w:rPr>
            </w:pPr>
            <w:r w:rsidRPr="00AC37A9">
              <w:rPr>
                <w:color w:val="000000" w:themeColor="text1"/>
                <w:sz w:val="22"/>
                <w:szCs w:val="22"/>
              </w:rPr>
              <w:t>Eiropas elektronisko rēķinu standarta 7.1.apakšnodaļa jau pēc būtības paredz CIUS izstrādi un izmantošanu</w:t>
            </w:r>
            <w:r w:rsidR="00C33F1A">
              <w:rPr>
                <w:color w:val="000000" w:themeColor="text1"/>
                <w:sz w:val="22"/>
                <w:szCs w:val="22"/>
              </w:rPr>
              <w:t>, tāpēc izmantojamā CIUS noteikšana pēc būtības nav papildu prasība.</w:t>
            </w:r>
          </w:p>
          <w:p w14:paraId="2F18209B" w14:textId="47A56B88" w:rsidR="00371A58" w:rsidRPr="00AC37A9" w:rsidRDefault="00371A58" w:rsidP="00AC37A9">
            <w:pPr>
              <w:pStyle w:val="naisc"/>
              <w:spacing w:before="0" w:after="0"/>
              <w:jc w:val="both"/>
              <w:rPr>
                <w:color w:val="000000" w:themeColor="text1"/>
                <w:sz w:val="22"/>
                <w:szCs w:val="22"/>
              </w:rPr>
            </w:pPr>
            <w:r w:rsidRPr="00AC37A9">
              <w:rPr>
                <w:color w:val="000000" w:themeColor="text1"/>
                <w:sz w:val="22"/>
                <w:szCs w:val="22"/>
              </w:rPr>
              <w:t xml:space="preserve">Atbilstoši </w:t>
            </w:r>
            <w:proofErr w:type="spellStart"/>
            <w:r w:rsidR="00A72C9A">
              <w:rPr>
                <w:color w:val="000000" w:themeColor="text1"/>
                <w:sz w:val="22"/>
                <w:szCs w:val="22"/>
              </w:rPr>
              <w:t>protokollēmuma</w:t>
            </w:r>
            <w:proofErr w:type="spellEnd"/>
            <w:r w:rsidRPr="00AC37A9">
              <w:rPr>
                <w:color w:val="000000" w:themeColor="text1"/>
                <w:sz w:val="22"/>
                <w:szCs w:val="22"/>
              </w:rPr>
              <w:t xml:space="preserve"> 1.punktam Finanšu ministrija sav</w:t>
            </w:r>
            <w:r w:rsidR="00C33F1A">
              <w:rPr>
                <w:color w:val="000000" w:themeColor="text1"/>
                <w:sz w:val="22"/>
                <w:szCs w:val="22"/>
              </w:rPr>
              <w:t>a</w:t>
            </w:r>
            <w:r w:rsidRPr="00AC37A9">
              <w:rPr>
                <w:color w:val="000000" w:themeColor="text1"/>
                <w:sz w:val="22"/>
                <w:szCs w:val="22"/>
              </w:rPr>
              <w:t xml:space="preserve"> budžet</w:t>
            </w:r>
            <w:r w:rsidR="00C33F1A">
              <w:rPr>
                <w:color w:val="000000" w:themeColor="text1"/>
                <w:sz w:val="22"/>
                <w:szCs w:val="22"/>
              </w:rPr>
              <w:t>a</w:t>
            </w:r>
            <w:r w:rsidRPr="00AC37A9">
              <w:rPr>
                <w:color w:val="000000" w:themeColor="text1"/>
                <w:sz w:val="22"/>
                <w:szCs w:val="22"/>
              </w:rPr>
              <w:t xml:space="preserve"> ietvaros iztulkos Eiropas elektronisko rēķinu standartu un sintakšu sarakstu</w:t>
            </w:r>
            <w:r w:rsidR="00C33F1A">
              <w:rPr>
                <w:color w:val="000000" w:themeColor="text1"/>
                <w:sz w:val="22"/>
                <w:szCs w:val="22"/>
              </w:rPr>
              <w:t xml:space="preserve"> (Eiropas elektronisko rēķinu standarta 1. un 2.daļu)</w:t>
            </w:r>
            <w:r w:rsidRPr="00AC37A9">
              <w:rPr>
                <w:color w:val="000000" w:themeColor="text1"/>
                <w:sz w:val="22"/>
                <w:szCs w:val="22"/>
              </w:rPr>
              <w:t xml:space="preserve">. Aptuvenās izmaksas </w:t>
            </w:r>
            <w:r w:rsidR="00C33F1A">
              <w:rPr>
                <w:color w:val="000000" w:themeColor="text1"/>
                <w:sz w:val="22"/>
                <w:szCs w:val="22"/>
              </w:rPr>
              <w:t>ir</w:t>
            </w:r>
            <w:r w:rsidR="00C33F1A" w:rsidRPr="00AC37A9">
              <w:rPr>
                <w:color w:val="000000" w:themeColor="text1"/>
                <w:sz w:val="22"/>
                <w:szCs w:val="22"/>
              </w:rPr>
              <w:t xml:space="preserve"> </w:t>
            </w:r>
            <w:r w:rsidRPr="00AC37A9">
              <w:rPr>
                <w:color w:val="000000" w:themeColor="text1"/>
                <w:sz w:val="22"/>
                <w:szCs w:val="22"/>
              </w:rPr>
              <w:t xml:space="preserve">2088.00 </w:t>
            </w:r>
            <w:proofErr w:type="spellStart"/>
            <w:r w:rsidRPr="00A72C9A">
              <w:rPr>
                <w:i/>
                <w:color w:val="000000" w:themeColor="text1"/>
                <w:sz w:val="22"/>
                <w:szCs w:val="22"/>
              </w:rPr>
              <w:t>euro</w:t>
            </w:r>
            <w:proofErr w:type="spellEnd"/>
            <w:r w:rsidRPr="00AC37A9">
              <w:rPr>
                <w:color w:val="000000" w:themeColor="text1"/>
                <w:sz w:val="22"/>
                <w:szCs w:val="22"/>
              </w:rPr>
              <w:t xml:space="preserve"> + PVN. Vienlaikus atzīmējam, ka </w:t>
            </w:r>
            <w:r w:rsidR="00C33F1A">
              <w:rPr>
                <w:color w:val="000000" w:themeColor="text1"/>
                <w:sz w:val="22"/>
                <w:szCs w:val="22"/>
              </w:rPr>
              <w:t xml:space="preserve">tādu </w:t>
            </w:r>
            <w:r w:rsidRPr="00AC37A9">
              <w:rPr>
                <w:color w:val="000000" w:themeColor="text1"/>
                <w:sz w:val="22"/>
                <w:szCs w:val="22"/>
              </w:rPr>
              <w:t>standartu, kas nosaka informācijas tehnoloģijas protokolu, sistēm</w:t>
            </w:r>
            <w:r w:rsidR="00C33F1A">
              <w:rPr>
                <w:color w:val="000000" w:themeColor="text1"/>
                <w:sz w:val="22"/>
                <w:szCs w:val="22"/>
              </w:rPr>
              <w:t>u</w:t>
            </w:r>
            <w:r w:rsidRPr="00AC37A9">
              <w:rPr>
                <w:color w:val="000000" w:themeColor="text1"/>
                <w:sz w:val="22"/>
                <w:szCs w:val="22"/>
              </w:rPr>
              <w:t xml:space="preserve"> izstrādes prasības, </w:t>
            </w:r>
            <w:r w:rsidRPr="00AC37A9">
              <w:rPr>
                <w:color w:val="000000" w:themeColor="text1"/>
                <w:sz w:val="22"/>
                <w:szCs w:val="22"/>
              </w:rPr>
              <w:lastRenderedPageBreak/>
              <w:t>kodus, struktūras un citus tehniskus parametrus tulkošana nekādā veidā nav nepieciešam</w:t>
            </w:r>
            <w:r w:rsidR="00C33F1A">
              <w:rPr>
                <w:color w:val="000000" w:themeColor="text1"/>
                <w:sz w:val="22"/>
                <w:szCs w:val="22"/>
              </w:rPr>
              <w:t>a un tie nav izmantojami</w:t>
            </w:r>
            <w:r w:rsidRPr="00AC37A9">
              <w:rPr>
                <w:color w:val="000000" w:themeColor="text1"/>
                <w:sz w:val="22"/>
                <w:szCs w:val="22"/>
              </w:rPr>
              <w:t xml:space="preserve">, lai privātpersona zinātu </w:t>
            </w:r>
            <w:r w:rsidR="00C33F1A">
              <w:rPr>
                <w:color w:val="000000" w:themeColor="text1"/>
                <w:sz w:val="22"/>
                <w:szCs w:val="22"/>
              </w:rPr>
              <w:t xml:space="preserve">vai aizstāvētu </w:t>
            </w:r>
            <w:r w:rsidRPr="00AC37A9">
              <w:rPr>
                <w:color w:val="000000" w:themeColor="text1"/>
                <w:sz w:val="22"/>
                <w:szCs w:val="22"/>
              </w:rPr>
              <w:t>savas tiesības.</w:t>
            </w:r>
          </w:p>
          <w:p w14:paraId="6728BEB4" w14:textId="432FD9E1" w:rsidR="00371A58" w:rsidRPr="00AC37A9" w:rsidRDefault="00371A58" w:rsidP="00AC37A9">
            <w:pPr>
              <w:ind w:right="57"/>
              <w:jc w:val="both"/>
              <w:rPr>
                <w:sz w:val="22"/>
                <w:szCs w:val="22"/>
              </w:rPr>
            </w:pPr>
            <w:r w:rsidRPr="00AC37A9">
              <w:rPr>
                <w:rFonts w:eastAsiaTheme="minorHAnsi"/>
                <w:sz w:val="22"/>
                <w:szCs w:val="22"/>
                <w:lang w:eastAsia="en-US"/>
              </w:rPr>
              <w:t>Konsultējoties ar Latvijas Informācijas un komunikācijas tehnoloģijas asociācijas (LIKTA) izveidotās darba grupas locekļiem un ar informācijas tehnoloģijas sistēmu izstrādātājiem, noskaidrots, ka sistēmu izstrādē tiek izmantoti standarti un dokumenti oriģinālvalodā, t.i., angļu valodā</w:t>
            </w:r>
            <w:r w:rsidR="00C33F1A">
              <w:rPr>
                <w:rFonts w:eastAsiaTheme="minorHAnsi"/>
                <w:sz w:val="22"/>
                <w:szCs w:val="22"/>
                <w:lang w:eastAsia="en-US"/>
              </w:rPr>
              <w:t>,</w:t>
            </w:r>
            <w:r w:rsidRPr="00AC37A9">
              <w:rPr>
                <w:rFonts w:eastAsiaTheme="minorHAnsi"/>
                <w:sz w:val="22"/>
                <w:szCs w:val="22"/>
                <w:lang w:eastAsia="en-US"/>
              </w:rPr>
              <w:t xml:space="preserve"> un tulkojums latviešu valodā pēc būtības nav nepieciešams</w:t>
            </w:r>
            <w:r w:rsidR="00C33F1A">
              <w:rPr>
                <w:rFonts w:eastAsiaTheme="minorHAnsi"/>
                <w:sz w:val="22"/>
                <w:szCs w:val="22"/>
                <w:lang w:eastAsia="en-US"/>
              </w:rPr>
              <w:t xml:space="preserve"> un izmantojams</w:t>
            </w:r>
            <w:r w:rsidRPr="00AC37A9">
              <w:rPr>
                <w:rFonts w:eastAsiaTheme="minorHAnsi"/>
                <w:sz w:val="22"/>
                <w:szCs w:val="22"/>
                <w:lang w:eastAsia="en-US"/>
              </w:rPr>
              <w:t xml:space="preserve"> informācijas tehnoloģijas sistēmas izstrādei. Savukārt izstrādāto informācijas tehnoloģijas sistēmu atbilstību standarta prasībām apliecinās</w:t>
            </w:r>
            <w:r w:rsidR="00A72C9A">
              <w:rPr>
                <w:rFonts w:eastAsiaTheme="minorHAnsi"/>
                <w:sz w:val="22"/>
                <w:szCs w:val="22"/>
                <w:lang w:eastAsia="en-US"/>
              </w:rPr>
              <w:t xml:space="preserve"> informācijas tehnoloģijas</w:t>
            </w:r>
            <w:r w:rsidRPr="00AC37A9">
              <w:rPr>
                <w:rFonts w:eastAsiaTheme="minorHAnsi"/>
                <w:sz w:val="22"/>
                <w:szCs w:val="22"/>
                <w:lang w:eastAsia="en-US"/>
              </w:rPr>
              <w:t xml:space="preserve"> sistēmu izstrādātāji, slēdzot attiecīgus līgumus ar </w:t>
            </w:r>
            <w:r w:rsidR="00A72C9A">
              <w:rPr>
                <w:rFonts w:eastAsiaTheme="minorHAnsi"/>
                <w:sz w:val="22"/>
                <w:szCs w:val="22"/>
                <w:lang w:eastAsia="en-US"/>
              </w:rPr>
              <w:t xml:space="preserve">informācijas tehnoloģijas </w:t>
            </w:r>
            <w:r w:rsidRPr="00AC37A9">
              <w:rPr>
                <w:rFonts w:eastAsiaTheme="minorHAnsi"/>
                <w:sz w:val="22"/>
                <w:szCs w:val="22"/>
                <w:lang w:eastAsia="en-US"/>
              </w:rPr>
              <w:t xml:space="preserve">sistēmu lietotājiem. </w:t>
            </w:r>
            <w:r w:rsidRPr="00AC37A9">
              <w:rPr>
                <w:sz w:val="22"/>
                <w:szCs w:val="22"/>
              </w:rPr>
              <w:t xml:space="preserve">Tāpat </w:t>
            </w:r>
            <w:r w:rsidR="00A72C9A">
              <w:rPr>
                <w:sz w:val="22"/>
                <w:szCs w:val="22"/>
              </w:rPr>
              <w:t xml:space="preserve">informācijas tehnoloģijas </w:t>
            </w:r>
            <w:r w:rsidRPr="00AC37A9">
              <w:rPr>
                <w:sz w:val="22"/>
                <w:szCs w:val="22"/>
              </w:rPr>
              <w:t>sistēmu lietotāji lielākajā daļā gadījumu nemaz nebūs tiesīgi piekļūt</w:t>
            </w:r>
            <w:r w:rsidR="00A72C9A">
              <w:rPr>
                <w:sz w:val="22"/>
                <w:szCs w:val="22"/>
              </w:rPr>
              <w:t xml:space="preserve"> informācijas tehnoloģijas</w:t>
            </w:r>
            <w:r w:rsidRPr="00AC37A9">
              <w:rPr>
                <w:sz w:val="22"/>
                <w:szCs w:val="22"/>
              </w:rPr>
              <w:t xml:space="preserve"> sistēmu pirmkodam, lai pret standartu </w:t>
            </w:r>
            <w:r w:rsidRPr="00AC37A9">
              <w:rPr>
                <w:sz w:val="22"/>
                <w:szCs w:val="22"/>
              </w:rPr>
              <w:lastRenderedPageBreak/>
              <w:t>pat teorētiski varētu pārbaudīt</w:t>
            </w:r>
            <w:r w:rsidR="00A72C9A">
              <w:rPr>
                <w:sz w:val="22"/>
                <w:szCs w:val="22"/>
              </w:rPr>
              <w:t xml:space="preserve"> informācijas tehnoloģijas</w:t>
            </w:r>
            <w:r w:rsidRPr="00AC37A9">
              <w:rPr>
                <w:sz w:val="22"/>
                <w:szCs w:val="22"/>
              </w:rPr>
              <w:t xml:space="preserve"> sistēmas korektu darbību, bet rīcība gadījumos, kad </w:t>
            </w:r>
            <w:r w:rsidR="00A72C9A">
              <w:rPr>
                <w:sz w:val="22"/>
                <w:szCs w:val="22"/>
              </w:rPr>
              <w:t>informācijas tehnoloģijas</w:t>
            </w:r>
            <w:r w:rsidR="00A72C9A" w:rsidRPr="00AC37A9">
              <w:rPr>
                <w:sz w:val="22"/>
                <w:szCs w:val="22"/>
              </w:rPr>
              <w:t xml:space="preserve"> </w:t>
            </w:r>
            <w:r w:rsidRPr="00AC37A9">
              <w:rPr>
                <w:sz w:val="22"/>
                <w:szCs w:val="22"/>
              </w:rPr>
              <w:t xml:space="preserve">sistēma nestrādās vai nestrādās korekti, atrunājama starp izstrādātājiem un </w:t>
            </w:r>
            <w:r w:rsidR="00A72C9A">
              <w:rPr>
                <w:sz w:val="22"/>
                <w:szCs w:val="22"/>
              </w:rPr>
              <w:t>informācijas tehnoloģijas</w:t>
            </w:r>
            <w:r w:rsidR="00A72C9A" w:rsidRPr="00AC37A9">
              <w:rPr>
                <w:sz w:val="22"/>
                <w:szCs w:val="22"/>
              </w:rPr>
              <w:t xml:space="preserve"> </w:t>
            </w:r>
            <w:r w:rsidRPr="00AC37A9">
              <w:rPr>
                <w:sz w:val="22"/>
                <w:szCs w:val="22"/>
              </w:rPr>
              <w:t>sistēmu pircējiem / lietotājiem noslēgtajos līgumos.</w:t>
            </w:r>
          </w:p>
          <w:p w14:paraId="6C569A80" w14:textId="14307948" w:rsidR="00FF7D76" w:rsidRPr="00FF7D76" w:rsidRDefault="00C33F1A" w:rsidP="00FF7D76">
            <w:pPr>
              <w:ind w:right="57"/>
              <w:jc w:val="both"/>
              <w:rPr>
                <w:sz w:val="22"/>
                <w:szCs w:val="22"/>
              </w:rPr>
            </w:pPr>
            <w:r>
              <w:rPr>
                <w:sz w:val="22"/>
                <w:szCs w:val="22"/>
              </w:rPr>
              <w:t>Aicinām</w:t>
            </w:r>
            <w:r w:rsidR="00371A58" w:rsidRPr="00AC37A9">
              <w:rPr>
                <w:sz w:val="22"/>
                <w:szCs w:val="22"/>
              </w:rPr>
              <w:t xml:space="preserve"> izvērtēt</w:t>
            </w:r>
            <w:r>
              <w:rPr>
                <w:sz w:val="22"/>
                <w:szCs w:val="22"/>
              </w:rPr>
              <w:t>,</w:t>
            </w:r>
            <w:r w:rsidR="00371A58" w:rsidRPr="00AC37A9">
              <w:rPr>
                <w:sz w:val="22"/>
                <w:szCs w:val="22"/>
              </w:rPr>
              <w:t xml:space="preserve"> vai šādu informācijas tehnoloģijas sistēmas standartu tulkošana, pat ja tie ir obligāti piemērojami,</w:t>
            </w:r>
            <w:r w:rsidR="00371A58" w:rsidRPr="00AC37A9">
              <w:rPr>
                <w:rFonts w:eastAsiaTheme="minorHAnsi"/>
                <w:color w:val="000000"/>
                <w:spacing w:val="-2"/>
                <w:sz w:val="22"/>
                <w:szCs w:val="22"/>
                <w:shd w:val="clear" w:color="auto" w:fill="FFFFFF"/>
                <w:lang w:eastAsia="en-US"/>
              </w:rPr>
              <w:t xml:space="preserve"> </w:t>
            </w:r>
            <w:r w:rsidR="00371A58" w:rsidRPr="00AC37A9">
              <w:rPr>
                <w:sz w:val="22"/>
                <w:szCs w:val="22"/>
              </w:rPr>
              <w:t>ir lietderīga no finanšu līdzekļu izmantošanas viedokļa, jo nav saskatāms, kā standarta tulkojums kādai personai praksē varētu palīdzēt aizstāvēt savas tiesības.</w:t>
            </w:r>
          </w:p>
        </w:tc>
        <w:tc>
          <w:tcPr>
            <w:tcW w:w="3576" w:type="dxa"/>
            <w:tcBorders>
              <w:top w:val="single" w:sz="4" w:space="0" w:color="auto"/>
              <w:left w:val="single" w:sz="4" w:space="0" w:color="auto"/>
              <w:bottom w:val="single" w:sz="4" w:space="0" w:color="auto"/>
            </w:tcBorders>
          </w:tcPr>
          <w:p w14:paraId="517202BB" w14:textId="77777777" w:rsidR="00C662B9" w:rsidRPr="00AC37A9" w:rsidRDefault="00C662B9" w:rsidP="00371A58">
            <w:pPr>
              <w:tabs>
                <w:tab w:val="left" w:pos="567"/>
              </w:tabs>
              <w:jc w:val="both"/>
              <w:rPr>
                <w:b/>
                <w:color w:val="000000" w:themeColor="text1"/>
                <w:sz w:val="22"/>
                <w:szCs w:val="22"/>
              </w:rPr>
            </w:pPr>
            <w:r w:rsidRPr="00AC37A9">
              <w:rPr>
                <w:b/>
                <w:color w:val="000000" w:themeColor="text1"/>
                <w:sz w:val="22"/>
                <w:szCs w:val="22"/>
              </w:rPr>
              <w:lastRenderedPageBreak/>
              <w:t>Noteikumu projekta 3. un 4.punkts:</w:t>
            </w:r>
          </w:p>
          <w:p w14:paraId="1DDF9EDF" w14:textId="12179141" w:rsidR="00C662B9" w:rsidRPr="00AC37A9" w:rsidRDefault="00836535" w:rsidP="00371A58">
            <w:pPr>
              <w:jc w:val="both"/>
              <w:rPr>
                <w:color w:val="000000" w:themeColor="text1"/>
                <w:sz w:val="22"/>
                <w:szCs w:val="22"/>
              </w:rPr>
            </w:pPr>
            <w:r>
              <w:rPr>
                <w:color w:val="000000" w:themeColor="text1"/>
                <w:sz w:val="22"/>
                <w:szCs w:val="22"/>
              </w:rPr>
              <w:t xml:space="preserve">“3. </w:t>
            </w:r>
            <w:r w:rsidRPr="00836535">
              <w:rPr>
                <w:color w:val="000000" w:themeColor="text1"/>
                <w:sz w:val="22"/>
                <w:szCs w:val="22"/>
              </w:rPr>
              <w:t>Pasūtītājs, sabiedrisko pakalpojumu sniedzējs vai publiskais partneris vai tā pārstāvis pieņem elektronisko rēķinu, kas ir sagatavots un izsniegts elektroniskā veidā un atbilst piemērojamajam elektroniskā rēķina standartam.</w:t>
            </w:r>
          </w:p>
          <w:p w14:paraId="26DE89CF" w14:textId="77777777" w:rsidR="00C662B9" w:rsidRPr="00AC37A9" w:rsidRDefault="00C662B9" w:rsidP="00371A58">
            <w:pPr>
              <w:jc w:val="both"/>
              <w:rPr>
                <w:color w:val="000000" w:themeColor="text1"/>
                <w:sz w:val="22"/>
                <w:szCs w:val="22"/>
              </w:rPr>
            </w:pPr>
          </w:p>
          <w:p w14:paraId="425997E6" w14:textId="2A274147" w:rsidR="00C662B9" w:rsidRPr="00AC37A9" w:rsidRDefault="00836535" w:rsidP="00371A58">
            <w:pPr>
              <w:jc w:val="both"/>
              <w:rPr>
                <w:color w:val="000000" w:themeColor="text1"/>
                <w:sz w:val="22"/>
                <w:szCs w:val="22"/>
              </w:rPr>
            </w:pPr>
            <w:r>
              <w:rPr>
                <w:color w:val="000000" w:themeColor="text1"/>
                <w:sz w:val="22"/>
                <w:szCs w:val="22"/>
              </w:rPr>
              <w:t xml:space="preserve">4. </w:t>
            </w:r>
            <w:r w:rsidRPr="00836535">
              <w:rPr>
                <w:color w:val="000000" w:themeColor="text1"/>
                <w:sz w:val="22"/>
                <w:szCs w:val="22"/>
              </w:rPr>
              <w:t xml:space="preserve">Ja piegādātājs reģistrēts vai pastāvīgi dzīvo Latvijā, pasūtītājs, sabiedrisko pakalpojumu sniedzējs vai publiskais partneris vai tā pārstāvis pieņem piegādātāja sagatavotu vai izsniegtu elektronisko rēķinu, ja papildus 3.punktā minētajam tas atbilst PAN-EUROPEAN PUBLIC PROCUREMENT ONLINE (PEPPOL) BIS </w:t>
            </w:r>
            <w:proofErr w:type="spellStart"/>
            <w:r w:rsidRPr="00836535">
              <w:rPr>
                <w:color w:val="000000" w:themeColor="text1"/>
                <w:sz w:val="22"/>
                <w:szCs w:val="22"/>
              </w:rPr>
              <w:t>Billing</w:t>
            </w:r>
            <w:proofErr w:type="spellEnd"/>
            <w:r w:rsidRPr="00836535">
              <w:rPr>
                <w:color w:val="000000" w:themeColor="text1"/>
                <w:sz w:val="22"/>
                <w:szCs w:val="22"/>
              </w:rPr>
              <w:t xml:space="preserve"> 3.0 elektronisko rēķinu pamatelementu izmantošanas specifikācijai (</w:t>
            </w:r>
            <w:proofErr w:type="spellStart"/>
            <w:r w:rsidRPr="00836535">
              <w:rPr>
                <w:color w:val="000000" w:themeColor="text1"/>
                <w:sz w:val="22"/>
                <w:szCs w:val="22"/>
              </w:rPr>
              <w:t>Core</w:t>
            </w:r>
            <w:proofErr w:type="spellEnd"/>
            <w:r w:rsidRPr="00836535">
              <w:rPr>
                <w:color w:val="000000" w:themeColor="text1"/>
                <w:sz w:val="22"/>
                <w:szCs w:val="22"/>
              </w:rPr>
              <w:t xml:space="preserve"> </w:t>
            </w:r>
            <w:proofErr w:type="spellStart"/>
            <w:r w:rsidRPr="00836535">
              <w:rPr>
                <w:color w:val="000000" w:themeColor="text1"/>
                <w:sz w:val="22"/>
                <w:szCs w:val="22"/>
              </w:rPr>
              <w:lastRenderedPageBreak/>
              <w:t>Invoice</w:t>
            </w:r>
            <w:proofErr w:type="spellEnd"/>
            <w:r w:rsidRPr="00836535">
              <w:rPr>
                <w:color w:val="000000" w:themeColor="text1"/>
                <w:sz w:val="22"/>
                <w:szCs w:val="22"/>
              </w:rPr>
              <w:t xml:space="preserve"> </w:t>
            </w:r>
            <w:proofErr w:type="spellStart"/>
            <w:r w:rsidRPr="00836535">
              <w:rPr>
                <w:color w:val="000000" w:themeColor="text1"/>
                <w:sz w:val="22"/>
                <w:szCs w:val="22"/>
              </w:rPr>
              <w:t>Usage</w:t>
            </w:r>
            <w:proofErr w:type="spellEnd"/>
            <w:r w:rsidRPr="00836535">
              <w:rPr>
                <w:color w:val="000000" w:themeColor="text1"/>
                <w:sz w:val="22"/>
                <w:szCs w:val="22"/>
              </w:rPr>
              <w:t xml:space="preserve"> </w:t>
            </w:r>
            <w:proofErr w:type="spellStart"/>
            <w:r w:rsidRPr="00836535">
              <w:rPr>
                <w:color w:val="000000" w:themeColor="text1"/>
                <w:sz w:val="22"/>
                <w:szCs w:val="22"/>
              </w:rPr>
              <w:t>Specification</w:t>
            </w:r>
            <w:proofErr w:type="spellEnd"/>
            <w:r w:rsidRPr="00836535">
              <w:rPr>
                <w:color w:val="000000" w:themeColor="text1"/>
                <w:sz w:val="22"/>
                <w:szCs w:val="22"/>
              </w:rPr>
              <w:t xml:space="preserve"> (CIUS)), kas ir publicēta PEPPOL tīmekļa vietnē http://docs.peppol.eu/poacc/billing/3.0/</w:t>
            </w:r>
            <w:r>
              <w:rPr>
                <w:color w:val="000000" w:themeColor="text1"/>
                <w:sz w:val="22"/>
                <w:szCs w:val="22"/>
              </w:rPr>
              <w:t>.</w:t>
            </w:r>
            <w:r w:rsidR="00C662B9" w:rsidRPr="00AC37A9">
              <w:rPr>
                <w:color w:val="000000" w:themeColor="text1"/>
                <w:sz w:val="22"/>
                <w:szCs w:val="22"/>
              </w:rPr>
              <w:t>”</w:t>
            </w:r>
          </w:p>
          <w:p w14:paraId="02253A42" w14:textId="77777777" w:rsidR="00C662B9" w:rsidRPr="00AC37A9" w:rsidRDefault="00C662B9" w:rsidP="00371A58">
            <w:pPr>
              <w:jc w:val="both"/>
              <w:rPr>
                <w:color w:val="000000" w:themeColor="text1"/>
                <w:sz w:val="22"/>
                <w:szCs w:val="22"/>
              </w:rPr>
            </w:pPr>
          </w:p>
          <w:p w14:paraId="6938B870" w14:textId="77777777" w:rsidR="00C662B9" w:rsidRPr="00AC37A9" w:rsidRDefault="00C662B9" w:rsidP="00371A58">
            <w:pPr>
              <w:jc w:val="both"/>
              <w:rPr>
                <w:b/>
                <w:color w:val="000000" w:themeColor="text1"/>
                <w:sz w:val="22"/>
                <w:szCs w:val="22"/>
              </w:rPr>
            </w:pPr>
            <w:r w:rsidRPr="00AC37A9">
              <w:rPr>
                <w:b/>
                <w:color w:val="000000" w:themeColor="text1"/>
                <w:sz w:val="22"/>
                <w:szCs w:val="22"/>
              </w:rPr>
              <w:t>Precizēts anotācijas I sadaļas 2.punkta teksts šādā redakcijā:</w:t>
            </w:r>
          </w:p>
          <w:p w14:paraId="40087EF3" w14:textId="3FA27A80" w:rsidR="00C662B9" w:rsidRPr="00AC37A9" w:rsidRDefault="00C662B9" w:rsidP="00371A58">
            <w:pPr>
              <w:jc w:val="both"/>
              <w:rPr>
                <w:color w:val="000000" w:themeColor="text1"/>
                <w:sz w:val="22"/>
                <w:szCs w:val="22"/>
              </w:rPr>
            </w:pPr>
            <w:r w:rsidRPr="00AC37A9">
              <w:rPr>
                <w:color w:val="000000" w:themeColor="text1"/>
                <w:sz w:val="22"/>
                <w:szCs w:val="22"/>
              </w:rPr>
              <w:t>“</w:t>
            </w:r>
            <w:r w:rsidR="009C4CC8" w:rsidRPr="009C4CC8">
              <w:rPr>
                <w:color w:val="000000" w:themeColor="text1"/>
                <w:sz w:val="22"/>
                <w:szCs w:val="22"/>
              </w:rPr>
              <w:t xml:space="preserve">Atbilstoši Standartizācijas likuma 14.panta otrajai un trešajai daļai Finanšu ministrija sava budžeta līdzekļu ietvaros līdz 2019.gada 30.jūnijam nodrošinās </w:t>
            </w:r>
            <w:r w:rsidR="009C4CC8" w:rsidRPr="009C4CC8">
              <w:rPr>
                <w:bCs/>
                <w:color w:val="000000" w:themeColor="text1"/>
                <w:sz w:val="22"/>
                <w:szCs w:val="22"/>
              </w:rPr>
              <w:t xml:space="preserve">Latvijas Nacionālās standartizācijas institūcijas “Latvijas standarts” Latvijas nacionālā standarta statusā adaptētā </w:t>
            </w:r>
            <w:r w:rsidR="009C4CC8" w:rsidRPr="009C4CC8">
              <w:rPr>
                <w:color w:val="000000" w:themeColor="text1"/>
                <w:sz w:val="22"/>
                <w:szCs w:val="22"/>
              </w:rPr>
              <w:t>elektronisko rēķinu standarta LVS EN 16931-1:2017 “Elektroniskie rēķini. 1.daļa. Elektronisko rēķinu pamatelementu semantisko datu modelis” un tehniskās specifikācijas LVS CEN/TS 16931-2:2017 “Elektroniskie rēķini. 2.daļa: Standartam EN 16931-1 atbilstošo sintakšu saraksts” tulkošanu valsts valodā.</w:t>
            </w:r>
            <w:r w:rsidRPr="00AC37A9">
              <w:rPr>
                <w:color w:val="000000" w:themeColor="text1"/>
                <w:sz w:val="22"/>
                <w:szCs w:val="22"/>
              </w:rPr>
              <w:t>”</w:t>
            </w:r>
          </w:p>
          <w:p w14:paraId="20FB0E17" w14:textId="77777777" w:rsidR="00C662B9" w:rsidRPr="00AC37A9" w:rsidRDefault="00C662B9" w:rsidP="00371A58">
            <w:pPr>
              <w:jc w:val="both"/>
              <w:rPr>
                <w:color w:val="000000" w:themeColor="text1"/>
                <w:sz w:val="22"/>
                <w:szCs w:val="22"/>
              </w:rPr>
            </w:pPr>
          </w:p>
          <w:p w14:paraId="5A584BB7" w14:textId="77777777" w:rsidR="00C662B9" w:rsidRPr="00AC37A9" w:rsidRDefault="00C662B9" w:rsidP="00371A58">
            <w:pPr>
              <w:jc w:val="both"/>
              <w:rPr>
                <w:b/>
                <w:color w:val="000000" w:themeColor="text1"/>
                <w:sz w:val="22"/>
                <w:szCs w:val="22"/>
              </w:rPr>
            </w:pPr>
            <w:r w:rsidRPr="00AC37A9">
              <w:rPr>
                <w:b/>
                <w:color w:val="000000" w:themeColor="text1"/>
                <w:sz w:val="22"/>
                <w:szCs w:val="22"/>
              </w:rPr>
              <w:t xml:space="preserve">Papildināts </w:t>
            </w:r>
            <w:proofErr w:type="spellStart"/>
            <w:r w:rsidRPr="00AC37A9">
              <w:rPr>
                <w:b/>
                <w:color w:val="000000" w:themeColor="text1"/>
                <w:sz w:val="22"/>
                <w:szCs w:val="22"/>
              </w:rPr>
              <w:t>Protokollēmums</w:t>
            </w:r>
            <w:proofErr w:type="spellEnd"/>
            <w:r w:rsidRPr="00AC37A9">
              <w:rPr>
                <w:b/>
                <w:color w:val="000000" w:themeColor="text1"/>
                <w:sz w:val="22"/>
                <w:szCs w:val="22"/>
              </w:rPr>
              <w:t xml:space="preserve"> ar 1.punktu šādā redakcijā:</w:t>
            </w:r>
          </w:p>
          <w:p w14:paraId="085D90A3" w14:textId="29C02721" w:rsidR="00C662B9" w:rsidRPr="00AC37A9" w:rsidRDefault="00C662B9" w:rsidP="00371A58">
            <w:pPr>
              <w:jc w:val="both"/>
              <w:rPr>
                <w:color w:val="000000" w:themeColor="text1"/>
                <w:sz w:val="22"/>
                <w:szCs w:val="22"/>
              </w:rPr>
            </w:pPr>
            <w:r w:rsidRPr="00AC37A9">
              <w:rPr>
                <w:color w:val="000000" w:themeColor="text1"/>
                <w:sz w:val="22"/>
                <w:szCs w:val="22"/>
              </w:rPr>
              <w:t>“1</w:t>
            </w:r>
            <w:r w:rsidR="009C4CC8">
              <w:t xml:space="preserve">. </w:t>
            </w:r>
            <w:r w:rsidR="009C4CC8" w:rsidRPr="009C4CC8">
              <w:rPr>
                <w:color w:val="000000" w:themeColor="text1"/>
                <w:sz w:val="22"/>
                <w:szCs w:val="22"/>
              </w:rPr>
              <w:t xml:space="preserve">Pieņemt zināšanai, ka Finanšu ministrija, ievērojot Standartizācijas likuma 13.panta otro daļu un 14.panta otro un trešo daļu, nodrošinās Latvijas Nacionālās standartizācijas institūcijas “Latvijas standarts” Latvijas nacionālā standarta statusā adaptētā elektronisko rēķinu standarta </w:t>
            </w:r>
            <w:r w:rsidR="009C4CC8" w:rsidRPr="009C4CC8">
              <w:rPr>
                <w:color w:val="000000" w:themeColor="text1"/>
                <w:sz w:val="22"/>
                <w:szCs w:val="22"/>
              </w:rPr>
              <w:lastRenderedPageBreak/>
              <w:t>LVS EN 16931-1:2017 “Elektroniskie rēķini. 1.daļa. Elektronisko rēķinu pamatelementu semantisko datu modelis” un tehniskās specifikācijas LVS CEN/TS 16931-2:2017 “Elektroniskie rēķini. 2.daļa: Standartam EN 16931-1 atbilstošo sintakšu saraksts” tulkošanu valsts valodā par tās budžeta līdzekļiem līdz 2019.gada 30.jūnijam.</w:t>
            </w:r>
            <w:r w:rsidRPr="00AC37A9">
              <w:rPr>
                <w:color w:val="000000" w:themeColor="text1"/>
                <w:sz w:val="22"/>
                <w:szCs w:val="22"/>
              </w:rPr>
              <w:t>”</w:t>
            </w:r>
          </w:p>
          <w:p w14:paraId="088278F0" w14:textId="77777777" w:rsidR="00C662B9" w:rsidRPr="00AC37A9" w:rsidRDefault="00C662B9" w:rsidP="00371A58">
            <w:pPr>
              <w:rPr>
                <w:color w:val="000000" w:themeColor="text1"/>
                <w:sz w:val="22"/>
                <w:szCs w:val="22"/>
              </w:rPr>
            </w:pPr>
          </w:p>
        </w:tc>
      </w:tr>
      <w:tr w:rsidR="000E04AD" w:rsidRPr="00AC37A9" w14:paraId="1F80B019" w14:textId="77777777" w:rsidTr="00AC37A9">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642E2D3C" w14:textId="17719BD9" w:rsidR="000E04AD" w:rsidRPr="00AC37A9" w:rsidRDefault="007B2BFF" w:rsidP="00AC37A9">
            <w:pPr>
              <w:pStyle w:val="naisc"/>
              <w:spacing w:before="0" w:after="0"/>
              <w:rPr>
                <w:color w:val="000000" w:themeColor="text1"/>
                <w:sz w:val="22"/>
                <w:szCs w:val="22"/>
              </w:rPr>
            </w:pPr>
            <w:r>
              <w:rPr>
                <w:color w:val="000000" w:themeColor="text1"/>
                <w:sz w:val="22"/>
                <w:szCs w:val="22"/>
              </w:rPr>
              <w:lastRenderedPageBreak/>
              <w:t>9.</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5A8A4B4F" w14:textId="77777777" w:rsidR="000E04AD" w:rsidRPr="00AC37A9" w:rsidRDefault="000E04AD" w:rsidP="00AC37A9">
            <w:pPr>
              <w:tabs>
                <w:tab w:val="left" w:pos="567"/>
              </w:tabs>
              <w:jc w:val="both"/>
              <w:rPr>
                <w:b/>
                <w:color w:val="000000" w:themeColor="text1"/>
                <w:sz w:val="22"/>
                <w:szCs w:val="22"/>
              </w:rPr>
            </w:pPr>
            <w:r w:rsidRPr="00AC37A9">
              <w:rPr>
                <w:b/>
                <w:color w:val="000000" w:themeColor="text1"/>
                <w:sz w:val="22"/>
                <w:szCs w:val="22"/>
              </w:rPr>
              <w:t>Noteikumu projekta 4.punkts:</w:t>
            </w:r>
          </w:p>
          <w:p w14:paraId="067800DA" w14:textId="77777777" w:rsidR="000E04AD" w:rsidRPr="00AC37A9" w:rsidRDefault="000E04AD" w:rsidP="00AC37A9">
            <w:pPr>
              <w:tabs>
                <w:tab w:val="left" w:pos="567"/>
              </w:tabs>
              <w:jc w:val="both"/>
              <w:rPr>
                <w:color w:val="000000" w:themeColor="text1"/>
                <w:sz w:val="22"/>
                <w:szCs w:val="22"/>
              </w:rPr>
            </w:pPr>
            <w:r w:rsidRPr="00AC37A9">
              <w:rPr>
                <w:color w:val="000000" w:themeColor="text1"/>
                <w:sz w:val="22"/>
                <w:szCs w:val="22"/>
              </w:rPr>
              <w:t>“4. Ja piegādātājs reģistrēts vai pastāvīgi dzīvo Latvijā, pasūtītājs, sabiedrisko pakalpojumu sniedzējs vai publiskais partneris vai tā pārstāvis pieņem piegādātāja sagatavotu vai izsniegtu elektronisko rēķinu, ja tas atbilst šādām papildu prasībām:</w:t>
            </w:r>
          </w:p>
          <w:p w14:paraId="44C554EE" w14:textId="77777777" w:rsidR="000E04AD" w:rsidRPr="00AC37A9" w:rsidRDefault="000E04AD" w:rsidP="00AC37A9">
            <w:pPr>
              <w:tabs>
                <w:tab w:val="left" w:pos="567"/>
              </w:tabs>
              <w:jc w:val="both"/>
              <w:rPr>
                <w:color w:val="000000" w:themeColor="text1"/>
                <w:sz w:val="22"/>
                <w:szCs w:val="22"/>
              </w:rPr>
            </w:pPr>
            <w:r w:rsidRPr="00AC37A9">
              <w:rPr>
                <w:color w:val="000000" w:themeColor="text1"/>
                <w:sz w:val="22"/>
                <w:szCs w:val="22"/>
              </w:rPr>
              <w:t>4.1. piemērojamajā elektronisko rēķinu standartā noteiktajai ISO/IEC 19845 (UBL 2.1) sintaksei;</w:t>
            </w:r>
          </w:p>
          <w:p w14:paraId="61580EF8" w14:textId="77777777" w:rsidR="000E04AD" w:rsidRPr="00AC37A9" w:rsidRDefault="000E04AD" w:rsidP="00AC37A9">
            <w:pPr>
              <w:tabs>
                <w:tab w:val="left" w:pos="567"/>
              </w:tabs>
              <w:jc w:val="both"/>
              <w:rPr>
                <w:color w:val="000000" w:themeColor="text1"/>
                <w:sz w:val="22"/>
                <w:szCs w:val="22"/>
              </w:rPr>
            </w:pPr>
            <w:r w:rsidRPr="00AC37A9">
              <w:rPr>
                <w:color w:val="000000" w:themeColor="text1"/>
                <w:sz w:val="22"/>
                <w:szCs w:val="22"/>
              </w:rPr>
              <w:t xml:space="preserve">4.2. PAN-EUROPEAN PUBLIC PROCUREMENT ONLINE (PEPPOL) BIS </w:t>
            </w:r>
            <w:proofErr w:type="spellStart"/>
            <w:r w:rsidRPr="00AC37A9">
              <w:rPr>
                <w:color w:val="000000" w:themeColor="text1"/>
                <w:sz w:val="22"/>
                <w:szCs w:val="22"/>
              </w:rPr>
              <w:t>Billing</w:t>
            </w:r>
            <w:proofErr w:type="spellEnd"/>
            <w:r w:rsidRPr="00AC37A9">
              <w:rPr>
                <w:color w:val="000000" w:themeColor="text1"/>
                <w:sz w:val="22"/>
                <w:szCs w:val="22"/>
              </w:rPr>
              <w:t xml:space="preserve"> 3.0 rēķinu pamatelementu izmantošanas specifikācijai (</w:t>
            </w:r>
            <w:proofErr w:type="spellStart"/>
            <w:r w:rsidRPr="00AC37A9">
              <w:rPr>
                <w:color w:val="000000" w:themeColor="text1"/>
                <w:sz w:val="22"/>
                <w:szCs w:val="22"/>
              </w:rPr>
              <w:t>Core</w:t>
            </w:r>
            <w:proofErr w:type="spellEnd"/>
            <w:r w:rsidRPr="00AC37A9">
              <w:rPr>
                <w:color w:val="000000" w:themeColor="text1"/>
                <w:sz w:val="22"/>
                <w:szCs w:val="22"/>
              </w:rPr>
              <w:t xml:space="preserve"> </w:t>
            </w:r>
            <w:proofErr w:type="spellStart"/>
            <w:r w:rsidRPr="00AC37A9">
              <w:rPr>
                <w:color w:val="000000" w:themeColor="text1"/>
                <w:sz w:val="22"/>
                <w:szCs w:val="22"/>
              </w:rPr>
              <w:t>Invoice</w:t>
            </w:r>
            <w:proofErr w:type="spellEnd"/>
            <w:r w:rsidRPr="00AC37A9">
              <w:rPr>
                <w:color w:val="000000" w:themeColor="text1"/>
                <w:sz w:val="22"/>
                <w:szCs w:val="22"/>
              </w:rPr>
              <w:t xml:space="preserve"> </w:t>
            </w:r>
            <w:proofErr w:type="spellStart"/>
            <w:r w:rsidRPr="00AC37A9">
              <w:rPr>
                <w:color w:val="000000" w:themeColor="text1"/>
                <w:sz w:val="22"/>
                <w:szCs w:val="22"/>
              </w:rPr>
              <w:t>Usage</w:t>
            </w:r>
            <w:proofErr w:type="spellEnd"/>
            <w:r w:rsidRPr="00AC37A9">
              <w:rPr>
                <w:color w:val="000000" w:themeColor="text1"/>
                <w:sz w:val="22"/>
                <w:szCs w:val="22"/>
              </w:rPr>
              <w:t xml:space="preserve"> </w:t>
            </w:r>
            <w:proofErr w:type="spellStart"/>
            <w:r w:rsidRPr="00AC37A9">
              <w:rPr>
                <w:color w:val="000000" w:themeColor="text1"/>
                <w:sz w:val="22"/>
                <w:szCs w:val="22"/>
              </w:rPr>
              <w:t>Specification</w:t>
            </w:r>
            <w:proofErr w:type="spellEnd"/>
            <w:r w:rsidRPr="00AC37A9">
              <w:rPr>
                <w:color w:val="000000" w:themeColor="text1"/>
                <w:sz w:val="22"/>
                <w:szCs w:val="22"/>
              </w:rPr>
              <w:t xml:space="preserve"> (CIUS)), kas ir publicēta PEPPOL tīmekļa vietnē </w:t>
            </w:r>
            <w:hyperlink r:id="rId10" w:history="1">
              <w:r w:rsidRPr="00AC37A9">
                <w:rPr>
                  <w:rStyle w:val="Hyperlink"/>
                  <w:color w:val="000000" w:themeColor="text1"/>
                  <w:sz w:val="22"/>
                  <w:szCs w:val="22"/>
                </w:rPr>
                <w:t>http://docs.peppol.eu/poacc/billing/3.0/</w:t>
              </w:r>
            </w:hyperlink>
            <w:r w:rsidRPr="00AC37A9">
              <w:rPr>
                <w:color w:val="000000" w:themeColor="text1"/>
                <w:sz w:val="22"/>
                <w:szCs w:val="22"/>
              </w:rPr>
              <w:t>.”</w:t>
            </w:r>
          </w:p>
          <w:p w14:paraId="0A431823" w14:textId="77777777" w:rsidR="000E04AD" w:rsidRPr="00AC37A9" w:rsidRDefault="000E04AD" w:rsidP="00AC37A9">
            <w:pPr>
              <w:jc w:val="both"/>
              <w:rPr>
                <w:b/>
                <w:bCs/>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B01BA99" w14:textId="77777777" w:rsidR="000E04AD" w:rsidRPr="00AC37A9" w:rsidRDefault="000E04AD" w:rsidP="009624CD">
            <w:pPr>
              <w:pStyle w:val="Heading2"/>
              <w:spacing w:before="0"/>
              <w:rPr>
                <w:rFonts w:ascii="Times New Roman" w:hAnsi="Times New Roman" w:cs="Times New Roman"/>
                <w:b/>
                <w:color w:val="000000" w:themeColor="text1"/>
                <w:sz w:val="22"/>
                <w:szCs w:val="22"/>
              </w:rPr>
            </w:pPr>
            <w:r w:rsidRPr="00AC37A9">
              <w:rPr>
                <w:rFonts w:ascii="Times New Roman" w:hAnsi="Times New Roman" w:cs="Times New Roman"/>
                <w:b/>
                <w:color w:val="000000" w:themeColor="text1"/>
                <w:sz w:val="22"/>
                <w:szCs w:val="22"/>
              </w:rPr>
              <w:t>Ekonomikas ministrija</w:t>
            </w:r>
          </w:p>
          <w:p w14:paraId="1C606F27" w14:textId="77777777" w:rsidR="000E04AD" w:rsidRPr="00AC37A9" w:rsidRDefault="000E04AD" w:rsidP="009624CD">
            <w:pPr>
              <w:pStyle w:val="Heading2"/>
              <w:spacing w:before="0"/>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Vēršam uzmanību Projekta 4.1.apakšpunkta prasībām, kas nosaka, ka elektroniskajam rēķinam jāatbilst  piemērojamajā elektronisko rēķinu standartā noteiktajai ISO/IEC 19845 (UBL 2.1) sintaksei.</w:t>
            </w:r>
          </w:p>
          <w:p w14:paraId="3A94F067" w14:textId="77777777" w:rsidR="000E04AD" w:rsidRPr="00AC37A9" w:rsidRDefault="000E04AD" w:rsidP="009624CD">
            <w:pPr>
              <w:pStyle w:val="Heading2"/>
              <w:spacing w:before="0"/>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Norādām, ka standarta izteikšana 4.1.apakšpunktā noteiktajā redakcijā ir pretrunā ar Ministru kabineta 2009.gada 3.februāra noteikumu Nr.108 “Normatīvo aktu projektu sagatavošanas noteikumi” 5.daļā noteiktajām prasībām, proti,  veidojot tiešās atsauces uz standartiem ir jāpielieto tiešās atsauces ar norādi uz standarta reģistrācijas datumu un standarta nosaukumu.</w:t>
            </w:r>
          </w:p>
          <w:p w14:paraId="7ED772F6" w14:textId="77777777" w:rsidR="000E04AD" w:rsidRPr="00AC37A9" w:rsidRDefault="000E04AD" w:rsidP="00AC37A9">
            <w:pPr>
              <w:pStyle w:val="Heading2"/>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 xml:space="preserve">Vienlaikus norādām, ka tiešo atsauču uz standartu izmantošanas gadījumā atbilstoši Ministru kabineta 2011.gada 25.maija rīkojuma Nr.217 “Par obligāti piemērojamo Latvijas nacionālo standartu tulkošanu” (turpmāk – Rīkojums Nr.217) 3.1.apakšpunktā noteiktajam, nepieciešams pamatot, kādēļ tiesību akta projektā jānorāda obligāti piemērojamo Latvijas nacionālo standartu. </w:t>
            </w:r>
          </w:p>
          <w:p w14:paraId="2A623583" w14:textId="77777777" w:rsidR="000E04AD" w:rsidRPr="00AC37A9" w:rsidRDefault="000E04AD" w:rsidP="00AC37A9">
            <w:pPr>
              <w:pStyle w:val="Heading2"/>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 xml:space="preserve">Ņemot vērā, ka šāds detalizēts pamatojums standarta ISO/IEC 19845 (UBL 2.1) norādīšanai nav sniegts, nav skaidri saprotama arī </w:t>
            </w:r>
            <w:r w:rsidRPr="00AC37A9">
              <w:rPr>
                <w:rFonts w:ascii="Times New Roman" w:hAnsi="Times New Roman" w:cs="Times New Roman"/>
                <w:color w:val="000000" w:themeColor="text1"/>
                <w:sz w:val="22"/>
                <w:szCs w:val="22"/>
              </w:rPr>
              <w:lastRenderedPageBreak/>
              <w:t>tā izmantošanas nepieciešamība normatīvajā aktā.</w:t>
            </w:r>
          </w:p>
          <w:p w14:paraId="14ABBD08" w14:textId="77777777" w:rsidR="000E04AD" w:rsidRPr="00AC37A9" w:rsidRDefault="000E04AD" w:rsidP="00AC37A9">
            <w:pPr>
              <w:pStyle w:val="Heading2"/>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Papildus vēršam uzmanību, ka atbilstoši Rīkojuma Nr.217 1.punkta prasībām, izstrādājot tiesību aktu projektus, nepieciešams atsaukties tikai uz obligāti piemērojamā Latvijas nacionālā standarta versiju, kā arī atbilstoši 3.2.apakšpunktam, minēt standarta tulkošanas finansējuma avotu un termiņu, kādā paredzēts nodrošināt standarta tulkojumu latviešu valodā.</w:t>
            </w:r>
          </w:p>
          <w:p w14:paraId="1B7F989A" w14:textId="77777777" w:rsidR="000E04AD" w:rsidRPr="00AC37A9" w:rsidRDefault="000E04AD" w:rsidP="00AC37A9">
            <w:pPr>
              <w:pStyle w:val="Heading2"/>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 xml:space="preserve">Ņemot vērā minēto, kā arī </w:t>
            </w:r>
            <w:bookmarkStart w:id="0" w:name="_Hlk2582172"/>
            <w:r w:rsidRPr="00AC37A9">
              <w:rPr>
                <w:rFonts w:ascii="Times New Roman" w:hAnsi="Times New Roman" w:cs="Times New Roman"/>
                <w:color w:val="000000" w:themeColor="text1"/>
                <w:sz w:val="22"/>
                <w:szCs w:val="22"/>
              </w:rPr>
              <w:t>Latvijas Nacionālā standartizācijas institūcijas „Latvijas standarts” (LVS) mājas lapā pieejamo informāciju</w:t>
            </w:r>
            <w:bookmarkEnd w:id="0"/>
            <w:r w:rsidRPr="00AC37A9">
              <w:rPr>
                <w:rFonts w:ascii="Times New Roman" w:hAnsi="Times New Roman" w:cs="Times New Roman"/>
                <w:color w:val="000000" w:themeColor="text1"/>
                <w:sz w:val="22"/>
                <w:szCs w:val="22"/>
              </w:rPr>
              <w:t>, kas liecina, ka Projekta 4.1.apakšpunktā minētais standarts ISO/IEC 19845 (UBL 2.1) nav adaptēts Latvijas nacionālā standarta statusā, tā pašreizējā izmantošana Projektā nav atbalstāma.</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5710F609" w14:textId="06D05EF7" w:rsidR="000E04AD" w:rsidRPr="00AC37A9" w:rsidRDefault="000E04AD" w:rsidP="00AC37A9">
            <w:pPr>
              <w:pStyle w:val="naisc"/>
              <w:spacing w:before="0" w:after="0"/>
              <w:jc w:val="both"/>
              <w:rPr>
                <w:b/>
                <w:color w:val="000000" w:themeColor="text1"/>
                <w:sz w:val="22"/>
                <w:szCs w:val="22"/>
              </w:rPr>
            </w:pPr>
            <w:r w:rsidRPr="00AC37A9">
              <w:rPr>
                <w:b/>
                <w:color w:val="000000" w:themeColor="text1"/>
                <w:sz w:val="22"/>
                <w:szCs w:val="22"/>
              </w:rPr>
              <w:lastRenderedPageBreak/>
              <w:t>Ņemts vērā</w:t>
            </w:r>
          </w:p>
          <w:p w14:paraId="5C14ED7C" w14:textId="676BA7D3" w:rsidR="000E04AD" w:rsidRPr="00A72C9A" w:rsidRDefault="000E04AD" w:rsidP="00AC37A9">
            <w:pPr>
              <w:pStyle w:val="naisc"/>
              <w:spacing w:before="0" w:after="0"/>
              <w:jc w:val="both"/>
              <w:rPr>
                <w:i/>
                <w:color w:val="000000" w:themeColor="text1"/>
                <w:sz w:val="22"/>
                <w:szCs w:val="22"/>
                <w:lang w:val="en-US"/>
              </w:rPr>
            </w:pPr>
            <w:r w:rsidRPr="00AC37A9">
              <w:rPr>
                <w:color w:val="000000" w:themeColor="text1"/>
                <w:sz w:val="22"/>
                <w:szCs w:val="22"/>
              </w:rPr>
              <w:t xml:space="preserve">Norādām, ka atbilstoši noteikumu projekta 2.punktam </w:t>
            </w:r>
            <w:r w:rsidR="00F871A5">
              <w:rPr>
                <w:i/>
                <w:color w:val="000000" w:themeColor="text1"/>
                <w:sz w:val="22"/>
                <w:szCs w:val="22"/>
                <w:u w:val="single"/>
              </w:rPr>
              <w:t>p</w:t>
            </w:r>
            <w:r w:rsidRPr="00A72C9A">
              <w:rPr>
                <w:i/>
                <w:color w:val="000000" w:themeColor="text1"/>
                <w:sz w:val="22"/>
                <w:szCs w:val="22"/>
                <w:u w:val="single"/>
              </w:rPr>
              <w:t>iemērojamais elektroniskā rēķina standarts šo noteikumu izpratnē ir dokumentu kopums</w:t>
            </w:r>
            <w:r w:rsidRPr="00A72C9A">
              <w:rPr>
                <w:i/>
                <w:color w:val="000000" w:themeColor="text1"/>
                <w:sz w:val="22"/>
                <w:szCs w:val="22"/>
              </w:rPr>
              <w:t xml:space="preserve">, atsauce uz kuru publicēta Eiropas Savienības Oficiālajā Vēstnesī un ko veido Latvijas nacionālā standarta statusā adaptētais Eiropas Savienības standarts LVS EN 16931-1:2017 “Elektroniskie </w:t>
            </w:r>
            <w:proofErr w:type="spellStart"/>
            <w:r w:rsidRPr="00A72C9A">
              <w:rPr>
                <w:i/>
                <w:color w:val="000000" w:themeColor="text1"/>
                <w:sz w:val="22"/>
                <w:szCs w:val="22"/>
              </w:rPr>
              <w:t>rēķini</w:t>
            </w:r>
            <w:proofErr w:type="spellEnd"/>
            <w:r w:rsidRPr="00A72C9A">
              <w:rPr>
                <w:i/>
                <w:color w:val="000000" w:themeColor="text1"/>
                <w:sz w:val="22"/>
                <w:szCs w:val="22"/>
              </w:rPr>
              <w:t xml:space="preserve">. 1.daļa. Elektronisko </w:t>
            </w:r>
            <w:proofErr w:type="spellStart"/>
            <w:r w:rsidRPr="00A72C9A">
              <w:rPr>
                <w:i/>
                <w:color w:val="000000" w:themeColor="text1"/>
                <w:sz w:val="22"/>
                <w:szCs w:val="22"/>
              </w:rPr>
              <w:t>rēķinu</w:t>
            </w:r>
            <w:proofErr w:type="spellEnd"/>
            <w:r w:rsidRPr="00A72C9A">
              <w:rPr>
                <w:i/>
                <w:color w:val="000000" w:themeColor="text1"/>
                <w:sz w:val="22"/>
                <w:szCs w:val="22"/>
              </w:rPr>
              <w:t xml:space="preserve"> pamatelementu semantisko datu modelis” un ar to saistītā tehniskā specifikācija LVS CEN/TS 16931-2:2017 “Elektroniskie rēķini. </w:t>
            </w:r>
            <w:proofErr w:type="gramStart"/>
            <w:r w:rsidRPr="00A72C9A">
              <w:rPr>
                <w:i/>
                <w:color w:val="000000" w:themeColor="text1"/>
                <w:sz w:val="22"/>
                <w:szCs w:val="22"/>
                <w:lang w:val="en-US"/>
              </w:rPr>
              <w:t>2.daļa</w:t>
            </w:r>
            <w:proofErr w:type="gramEnd"/>
            <w:r w:rsidRPr="00A72C9A">
              <w:rPr>
                <w:i/>
                <w:color w:val="000000" w:themeColor="text1"/>
                <w:sz w:val="22"/>
                <w:szCs w:val="22"/>
                <w:lang w:val="en-US"/>
              </w:rPr>
              <w:t xml:space="preserve">: </w:t>
            </w:r>
            <w:proofErr w:type="spellStart"/>
            <w:r w:rsidRPr="00A72C9A">
              <w:rPr>
                <w:i/>
                <w:color w:val="000000" w:themeColor="text1"/>
                <w:sz w:val="22"/>
                <w:szCs w:val="22"/>
                <w:lang w:val="en-US"/>
              </w:rPr>
              <w:t>Standartam</w:t>
            </w:r>
            <w:proofErr w:type="spellEnd"/>
            <w:r w:rsidRPr="00A72C9A">
              <w:rPr>
                <w:i/>
                <w:color w:val="000000" w:themeColor="text1"/>
                <w:sz w:val="22"/>
                <w:szCs w:val="22"/>
                <w:lang w:val="en-US"/>
              </w:rPr>
              <w:t xml:space="preserve"> EN 16931-1 </w:t>
            </w:r>
            <w:proofErr w:type="spellStart"/>
            <w:r w:rsidRPr="00A72C9A">
              <w:rPr>
                <w:i/>
                <w:color w:val="000000" w:themeColor="text1"/>
                <w:sz w:val="22"/>
                <w:szCs w:val="22"/>
                <w:lang w:val="en-US"/>
              </w:rPr>
              <w:t>atbilstošo</w:t>
            </w:r>
            <w:proofErr w:type="spellEnd"/>
            <w:r w:rsidRPr="00A72C9A">
              <w:rPr>
                <w:i/>
                <w:color w:val="000000" w:themeColor="text1"/>
                <w:sz w:val="22"/>
                <w:szCs w:val="22"/>
                <w:lang w:val="en-US"/>
              </w:rPr>
              <w:t xml:space="preserve"> </w:t>
            </w:r>
            <w:proofErr w:type="spellStart"/>
            <w:r w:rsidRPr="00A72C9A">
              <w:rPr>
                <w:i/>
                <w:color w:val="000000" w:themeColor="text1"/>
                <w:sz w:val="22"/>
                <w:szCs w:val="22"/>
                <w:lang w:val="en-US"/>
              </w:rPr>
              <w:t>sintakšu</w:t>
            </w:r>
            <w:proofErr w:type="spellEnd"/>
            <w:r w:rsidRPr="00A72C9A">
              <w:rPr>
                <w:i/>
                <w:color w:val="000000" w:themeColor="text1"/>
                <w:sz w:val="22"/>
                <w:szCs w:val="22"/>
                <w:lang w:val="en-US"/>
              </w:rPr>
              <w:t xml:space="preserve"> </w:t>
            </w:r>
            <w:proofErr w:type="spellStart"/>
            <w:r w:rsidRPr="00A72C9A">
              <w:rPr>
                <w:i/>
                <w:color w:val="000000" w:themeColor="text1"/>
                <w:sz w:val="22"/>
                <w:szCs w:val="22"/>
                <w:lang w:val="en-US"/>
              </w:rPr>
              <w:t>saraksts</w:t>
            </w:r>
            <w:proofErr w:type="spellEnd"/>
            <w:r w:rsidRPr="00A72C9A">
              <w:rPr>
                <w:i/>
                <w:color w:val="000000" w:themeColor="text1"/>
                <w:sz w:val="22"/>
                <w:szCs w:val="22"/>
                <w:lang w:val="en-US"/>
              </w:rPr>
              <w:t>”.</w:t>
            </w:r>
          </w:p>
          <w:p w14:paraId="2A7F58D5" w14:textId="3E4C4231" w:rsidR="000E04AD" w:rsidRPr="00AC37A9" w:rsidRDefault="000E04AD" w:rsidP="00D242FC">
            <w:pPr>
              <w:pStyle w:val="naisc"/>
              <w:jc w:val="both"/>
              <w:rPr>
                <w:color w:val="000000" w:themeColor="text1"/>
                <w:sz w:val="22"/>
                <w:szCs w:val="22"/>
              </w:rPr>
            </w:pPr>
            <w:r w:rsidRPr="00A72C9A">
              <w:rPr>
                <w:color w:val="000000" w:themeColor="text1"/>
                <w:sz w:val="22"/>
                <w:szCs w:val="22"/>
              </w:rPr>
              <w:t>Attiecīgi noteikumu projektā ar terminu “piemērojam</w:t>
            </w:r>
            <w:r w:rsidR="00F871A5">
              <w:rPr>
                <w:color w:val="000000" w:themeColor="text1"/>
                <w:sz w:val="22"/>
                <w:szCs w:val="22"/>
              </w:rPr>
              <w:t>ais</w:t>
            </w:r>
            <w:r w:rsidRPr="00A72C9A">
              <w:rPr>
                <w:color w:val="000000" w:themeColor="text1"/>
                <w:sz w:val="22"/>
                <w:szCs w:val="22"/>
              </w:rPr>
              <w:t xml:space="preserve"> elektronisko rēķinu standart</w:t>
            </w:r>
            <w:r w:rsidR="00F871A5">
              <w:rPr>
                <w:color w:val="000000" w:themeColor="text1"/>
                <w:sz w:val="22"/>
                <w:szCs w:val="22"/>
              </w:rPr>
              <w:t>s</w:t>
            </w:r>
            <w:r w:rsidRPr="00A72C9A">
              <w:rPr>
                <w:color w:val="000000" w:themeColor="text1"/>
                <w:sz w:val="22"/>
                <w:szCs w:val="22"/>
              </w:rPr>
              <w:t>” tiek saprasti noteikumu projekta 2.punktā minēt</w:t>
            </w:r>
            <w:r w:rsidR="00F871A5">
              <w:rPr>
                <w:color w:val="000000" w:themeColor="text1"/>
                <w:sz w:val="22"/>
                <w:szCs w:val="22"/>
              </w:rPr>
              <w:t>o</w:t>
            </w:r>
            <w:r w:rsidRPr="00A72C9A">
              <w:rPr>
                <w:color w:val="000000" w:themeColor="text1"/>
                <w:sz w:val="22"/>
                <w:szCs w:val="22"/>
              </w:rPr>
              <w:t xml:space="preserve"> dokumentu kopums,</w:t>
            </w:r>
            <w:r w:rsidRPr="00A72C9A">
              <w:rPr>
                <w:sz w:val="22"/>
                <w:szCs w:val="22"/>
              </w:rPr>
              <w:t xml:space="preserve"> </w:t>
            </w:r>
            <w:r w:rsidRPr="00A72C9A">
              <w:rPr>
                <w:color w:val="000000" w:themeColor="text1"/>
                <w:sz w:val="22"/>
                <w:szCs w:val="22"/>
              </w:rPr>
              <w:t>kurā arī ir atbilstoši n</w:t>
            </w:r>
            <w:r w:rsidR="00D242FC">
              <w:rPr>
                <w:color w:val="000000" w:themeColor="text1"/>
                <w:sz w:val="22"/>
                <w:szCs w:val="22"/>
              </w:rPr>
              <w:t>oformēta atsauce uz standartu</w:t>
            </w:r>
            <w:r w:rsidR="00F871A5">
              <w:rPr>
                <w:color w:val="000000" w:themeColor="text1"/>
                <w:sz w:val="22"/>
                <w:szCs w:val="22"/>
              </w:rPr>
              <w:t xml:space="preserve"> (dokumentu, kam Latvijā ir standarta statuss)</w:t>
            </w:r>
            <w:r w:rsidR="00D242FC">
              <w:rPr>
                <w:color w:val="000000" w:themeColor="text1"/>
                <w:sz w:val="22"/>
                <w:szCs w:val="22"/>
              </w:rPr>
              <w:t xml:space="preserve">. </w:t>
            </w:r>
          </w:p>
          <w:p w14:paraId="090E045F" w14:textId="31D51083" w:rsidR="000E04AD" w:rsidRPr="00834D5A" w:rsidRDefault="000E04AD" w:rsidP="00843B80">
            <w:pPr>
              <w:pStyle w:val="CommentText"/>
              <w:jc w:val="both"/>
              <w:rPr>
                <w:sz w:val="22"/>
                <w:szCs w:val="22"/>
              </w:rPr>
            </w:pPr>
            <w:r w:rsidRPr="00AC37A9">
              <w:rPr>
                <w:sz w:val="22"/>
                <w:szCs w:val="22"/>
              </w:rPr>
              <w:t xml:space="preserve">Savukārt pamatojums par </w:t>
            </w:r>
            <w:r w:rsidRPr="00AC37A9">
              <w:rPr>
                <w:color w:val="000000" w:themeColor="text1"/>
                <w:sz w:val="22"/>
                <w:szCs w:val="22"/>
              </w:rPr>
              <w:t>obligāti piemērojam</w:t>
            </w:r>
            <w:r w:rsidR="00F871A5">
              <w:rPr>
                <w:color w:val="000000" w:themeColor="text1"/>
                <w:sz w:val="22"/>
                <w:szCs w:val="22"/>
              </w:rPr>
              <w:t>ā</w:t>
            </w:r>
            <w:r w:rsidRPr="00AC37A9">
              <w:rPr>
                <w:color w:val="000000" w:themeColor="text1"/>
                <w:sz w:val="22"/>
                <w:szCs w:val="22"/>
              </w:rPr>
              <w:t xml:space="preserve"> standart</w:t>
            </w:r>
            <w:r w:rsidR="00F871A5">
              <w:rPr>
                <w:color w:val="000000" w:themeColor="text1"/>
                <w:sz w:val="22"/>
                <w:szCs w:val="22"/>
              </w:rPr>
              <w:t>a</w:t>
            </w:r>
            <w:r w:rsidRPr="00AC37A9">
              <w:rPr>
                <w:sz w:val="22"/>
                <w:szCs w:val="22"/>
              </w:rPr>
              <w:t xml:space="preserve"> izmantošu izriet no Direktīvas 2014/55/ES un Eiropas Savienības Oficiālajā Vēstneša 2017.gada 17.oktobra laidienā </w:t>
            </w:r>
            <w:r w:rsidRPr="00AC37A9">
              <w:rPr>
                <w:sz w:val="22"/>
                <w:szCs w:val="22"/>
              </w:rPr>
              <w:lastRenderedPageBreak/>
              <w:t>Nr. L 266/19 publicētā Komisijas 2017.gada 16.oktobra īstenošanas lēmuma Nr.2017/1870, kurā tiek noteikts</w:t>
            </w:r>
            <w:r w:rsidR="00A72C9A">
              <w:rPr>
                <w:sz w:val="22"/>
                <w:szCs w:val="22"/>
              </w:rPr>
              <w:t>, ka</w:t>
            </w:r>
            <w:r w:rsidRPr="00AC37A9">
              <w:rPr>
                <w:sz w:val="22"/>
                <w:szCs w:val="22"/>
              </w:rPr>
              <w:t xml:space="preserve"> dalībvalstīm ir jāpieņem elektroniskie rēķini atbilstoš</w:t>
            </w:r>
            <w:r w:rsidR="00F871A5">
              <w:rPr>
                <w:sz w:val="22"/>
                <w:szCs w:val="22"/>
              </w:rPr>
              <w:t>i</w:t>
            </w:r>
            <w:r w:rsidRPr="00AC37A9">
              <w:rPr>
                <w:sz w:val="22"/>
                <w:szCs w:val="22"/>
              </w:rPr>
              <w:t xml:space="preserve"> </w:t>
            </w:r>
            <w:r w:rsidR="00F871A5">
              <w:rPr>
                <w:sz w:val="22"/>
                <w:szCs w:val="22"/>
              </w:rPr>
              <w:t xml:space="preserve">konkrētam </w:t>
            </w:r>
            <w:r w:rsidRPr="00AC37A9">
              <w:rPr>
                <w:sz w:val="22"/>
                <w:szCs w:val="22"/>
              </w:rPr>
              <w:t>standartam un noteiktajām sintaksēm.</w:t>
            </w:r>
            <w:r w:rsidR="00D242FC">
              <w:rPr>
                <w:sz w:val="22"/>
                <w:szCs w:val="22"/>
              </w:rPr>
              <w:t xml:space="preserve"> Atbilstoši Direktīvas 2014/55/ES regulējumam nav pieļaujamas atkāpes no standarta vai sintakšu saraksta. Normatīvajā aktā nav iespējams pārņemt </w:t>
            </w:r>
            <w:r w:rsidR="008B5239">
              <w:rPr>
                <w:sz w:val="22"/>
                <w:szCs w:val="22"/>
              </w:rPr>
              <w:t xml:space="preserve">tikai </w:t>
            </w:r>
            <w:r w:rsidR="00D242FC">
              <w:rPr>
                <w:sz w:val="22"/>
                <w:szCs w:val="22"/>
              </w:rPr>
              <w:t>būtiskākās standarta prasības, jo</w:t>
            </w:r>
            <w:r w:rsidR="008B5239">
              <w:rPr>
                <w:sz w:val="22"/>
                <w:szCs w:val="22"/>
              </w:rPr>
              <w:t xml:space="preserve">, ņemot vērā konkrētā standarta mērķi un saturu, </w:t>
            </w:r>
            <w:r w:rsidR="00D242FC">
              <w:rPr>
                <w:sz w:val="22"/>
                <w:szCs w:val="22"/>
              </w:rPr>
              <w:t xml:space="preserve"> visa </w:t>
            </w:r>
            <w:r w:rsidR="008B5239">
              <w:rPr>
                <w:sz w:val="22"/>
                <w:szCs w:val="22"/>
              </w:rPr>
              <w:t xml:space="preserve">standartā </w:t>
            </w:r>
            <w:r w:rsidR="00D242FC">
              <w:rPr>
                <w:sz w:val="22"/>
                <w:szCs w:val="22"/>
              </w:rPr>
              <w:t xml:space="preserve">iekļautā informācija </w:t>
            </w:r>
            <w:r w:rsidR="008B5239">
              <w:rPr>
                <w:sz w:val="22"/>
                <w:szCs w:val="22"/>
              </w:rPr>
              <w:t xml:space="preserve">ir nepieciešama attiecīgu informācijas sistēmu tehniskai izstrādei un atbilstošas darbības nodrošināšanai. Pretējā </w:t>
            </w:r>
            <w:r w:rsidR="008B5239" w:rsidRPr="00843B80">
              <w:rPr>
                <w:sz w:val="22"/>
                <w:szCs w:val="22"/>
              </w:rPr>
              <w:t xml:space="preserve">gadījumā faktiski būtu </w:t>
            </w:r>
            <w:r w:rsidR="00D242FC" w:rsidRPr="00843B80">
              <w:rPr>
                <w:sz w:val="22"/>
                <w:szCs w:val="22"/>
              </w:rPr>
              <w:t>jāpārraksta viss standarts normatīvajā aktā,</w:t>
            </w:r>
            <w:r w:rsidR="008B5239" w:rsidRPr="00843B80">
              <w:rPr>
                <w:sz w:val="22"/>
                <w:szCs w:val="22"/>
              </w:rPr>
              <w:t xml:space="preserve"> </w:t>
            </w:r>
            <w:r w:rsidR="00843B80" w:rsidRPr="00843B80">
              <w:rPr>
                <w:sz w:val="22"/>
                <w:szCs w:val="22"/>
              </w:rPr>
              <w:t>k</w:t>
            </w:r>
            <w:r w:rsidR="008B5239" w:rsidRPr="00843B80">
              <w:rPr>
                <w:sz w:val="22"/>
                <w:szCs w:val="22"/>
              </w:rPr>
              <w:t>as nebūtu praktiski iespējams lielā informācijas apjoma dēļ.</w:t>
            </w:r>
            <w:r w:rsidR="00843B80" w:rsidRPr="00843B80">
              <w:rPr>
                <w:sz w:val="22"/>
                <w:szCs w:val="22"/>
              </w:rPr>
              <w:t xml:space="preserve"> </w:t>
            </w:r>
            <w:r w:rsidR="00D242FC" w:rsidRPr="00843B80">
              <w:rPr>
                <w:sz w:val="22"/>
                <w:szCs w:val="22"/>
              </w:rPr>
              <w:t>Papildus jāvērš uzmanība, ka minētais standarts un sintakšu saraksts (tehniskā</w:t>
            </w:r>
            <w:r w:rsidR="00D242FC" w:rsidRPr="00D242FC">
              <w:rPr>
                <w:sz w:val="22"/>
                <w:szCs w:val="22"/>
              </w:rPr>
              <w:t xml:space="preserve"> specifikācija) ir pieejams lejupielādei par brīvu</w:t>
            </w:r>
            <w:r w:rsidR="00D242FC">
              <w:rPr>
                <w:sz w:val="22"/>
                <w:szCs w:val="22"/>
              </w:rPr>
              <w:t xml:space="preserve"> (Latvijas Standartizācijas tīmekļvietnē)</w:t>
            </w:r>
            <w:r w:rsidR="00D242FC" w:rsidRPr="00D242FC">
              <w:rPr>
                <w:sz w:val="22"/>
                <w:szCs w:val="22"/>
              </w:rPr>
              <w:t xml:space="preserve"> saskaņā ar 2018.gada 18.decembrī noslēgto Eiropas Standartizācijas komitejas </w:t>
            </w:r>
            <w:r w:rsidR="00D242FC" w:rsidRPr="00D242FC">
              <w:rPr>
                <w:sz w:val="22"/>
                <w:szCs w:val="22"/>
              </w:rPr>
              <w:lastRenderedPageBreak/>
              <w:t>(</w:t>
            </w:r>
            <w:proofErr w:type="spellStart"/>
            <w:r w:rsidR="00D242FC" w:rsidRPr="00D242FC">
              <w:rPr>
                <w:i/>
                <w:sz w:val="22"/>
                <w:szCs w:val="22"/>
              </w:rPr>
              <w:t>European</w:t>
            </w:r>
            <w:proofErr w:type="spellEnd"/>
            <w:r w:rsidR="00D242FC" w:rsidRPr="00D242FC">
              <w:rPr>
                <w:i/>
                <w:sz w:val="22"/>
                <w:szCs w:val="22"/>
              </w:rPr>
              <w:t xml:space="preserve"> </w:t>
            </w:r>
            <w:proofErr w:type="spellStart"/>
            <w:r w:rsidR="00D242FC" w:rsidRPr="00D242FC">
              <w:rPr>
                <w:i/>
                <w:sz w:val="22"/>
                <w:szCs w:val="22"/>
              </w:rPr>
              <w:t>Committee</w:t>
            </w:r>
            <w:proofErr w:type="spellEnd"/>
            <w:r w:rsidR="00D242FC" w:rsidRPr="00D242FC">
              <w:rPr>
                <w:i/>
                <w:sz w:val="22"/>
                <w:szCs w:val="22"/>
              </w:rPr>
              <w:t xml:space="preserve"> </w:t>
            </w:r>
            <w:proofErr w:type="spellStart"/>
            <w:r w:rsidR="00D242FC" w:rsidRPr="00D242FC">
              <w:rPr>
                <w:i/>
                <w:sz w:val="22"/>
                <w:szCs w:val="22"/>
              </w:rPr>
              <w:t>for</w:t>
            </w:r>
            <w:proofErr w:type="spellEnd"/>
            <w:r w:rsidR="00D242FC" w:rsidRPr="00D242FC">
              <w:rPr>
                <w:i/>
                <w:sz w:val="22"/>
                <w:szCs w:val="22"/>
              </w:rPr>
              <w:t xml:space="preserve"> </w:t>
            </w:r>
            <w:proofErr w:type="spellStart"/>
            <w:r w:rsidR="00D242FC" w:rsidRPr="00D242FC">
              <w:rPr>
                <w:i/>
                <w:sz w:val="22"/>
                <w:szCs w:val="22"/>
              </w:rPr>
              <w:t>Standardisation</w:t>
            </w:r>
            <w:proofErr w:type="spellEnd"/>
            <w:r w:rsidR="00D242FC" w:rsidRPr="00D242FC">
              <w:rPr>
                <w:sz w:val="22"/>
                <w:szCs w:val="22"/>
              </w:rPr>
              <w:t xml:space="preserve">) un Eiropas Komisijas izņēmuma licences līgumu, kas paredz, ka  piekļuvi minētajiem standartizācijas dokumentiem apmaksā Eiropas Komisija. </w:t>
            </w:r>
            <w:r w:rsidR="00D242FC">
              <w:rPr>
                <w:sz w:val="22"/>
                <w:szCs w:val="22"/>
              </w:rPr>
              <w:t xml:space="preserve">Personām nerodas izmaksas, lai </w:t>
            </w:r>
            <w:r w:rsidR="008B5239">
              <w:rPr>
                <w:sz w:val="22"/>
                <w:szCs w:val="22"/>
              </w:rPr>
              <w:t xml:space="preserve">iepazītos ar </w:t>
            </w:r>
            <w:r w:rsidR="00D242FC">
              <w:rPr>
                <w:sz w:val="22"/>
                <w:szCs w:val="22"/>
              </w:rPr>
              <w:t>standart</w:t>
            </w:r>
            <w:r w:rsidR="008B5239">
              <w:rPr>
                <w:sz w:val="22"/>
                <w:szCs w:val="22"/>
              </w:rPr>
              <w:t>u.</w:t>
            </w:r>
          </w:p>
        </w:tc>
        <w:tc>
          <w:tcPr>
            <w:tcW w:w="3576" w:type="dxa"/>
            <w:tcBorders>
              <w:top w:val="single" w:sz="4" w:space="0" w:color="auto"/>
              <w:left w:val="single" w:sz="4" w:space="0" w:color="auto"/>
              <w:bottom w:val="single" w:sz="4" w:space="0" w:color="auto"/>
            </w:tcBorders>
            <w:shd w:val="clear" w:color="auto" w:fill="auto"/>
          </w:tcPr>
          <w:p w14:paraId="79CA5B5E" w14:textId="77777777" w:rsidR="000E04AD" w:rsidRPr="00AC37A9" w:rsidRDefault="000E04AD" w:rsidP="00AC37A9">
            <w:pPr>
              <w:tabs>
                <w:tab w:val="left" w:pos="567"/>
              </w:tabs>
              <w:jc w:val="both"/>
              <w:rPr>
                <w:b/>
                <w:color w:val="000000" w:themeColor="text1"/>
                <w:sz w:val="22"/>
                <w:szCs w:val="22"/>
              </w:rPr>
            </w:pPr>
            <w:r w:rsidRPr="00AC37A9">
              <w:rPr>
                <w:b/>
                <w:color w:val="000000" w:themeColor="text1"/>
                <w:sz w:val="22"/>
                <w:szCs w:val="22"/>
              </w:rPr>
              <w:lastRenderedPageBreak/>
              <w:t>Noteikumu projekta 4.punkts:</w:t>
            </w:r>
          </w:p>
          <w:p w14:paraId="63202174" w14:textId="5915A2D3" w:rsidR="000E04AD" w:rsidRPr="00AC37A9" w:rsidRDefault="00836535" w:rsidP="00AC37A9">
            <w:pPr>
              <w:jc w:val="both"/>
              <w:rPr>
                <w:sz w:val="22"/>
                <w:szCs w:val="22"/>
              </w:rPr>
            </w:pPr>
            <w:r>
              <w:rPr>
                <w:sz w:val="22"/>
                <w:szCs w:val="22"/>
              </w:rPr>
              <w:t xml:space="preserve">“4. </w:t>
            </w:r>
            <w:r w:rsidRPr="00836535">
              <w:rPr>
                <w:sz w:val="22"/>
                <w:szCs w:val="22"/>
              </w:rPr>
              <w:t xml:space="preserve">Ja piegādātājs reģistrēts vai pastāvīgi dzīvo Latvijā, pasūtītājs, sabiedrisko pakalpojumu sniedzējs vai publiskais partneris vai tā pārstāvis pieņem piegādātāja sagatavotu vai izsniegtu elektronisko rēķinu, ja papildus 3.punktā minētajam tas atbilst PAN-EUROPEAN PUBLIC PROCUREMENT ONLINE (PEPPOL) BIS </w:t>
            </w:r>
            <w:proofErr w:type="spellStart"/>
            <w:r w:rsidRPr="00836535">
              <w:rPr>
                <w:sz w:val="22"/>
                <w:szCs w:val="22"/>
              </w:rPr>
              <w:t>Billing</w:t>
            </w:r>
            <w:proofErr w:type="spellEnd"/>
            <w:r w:rsidRPr="00836535">
              <w:rPr>
                <w:sz w:val="22"/>
                <w:szCs w:val="22"/>
              </w:rPr>
              <w:t xml:space="preserve"> 3.0 elektronisko rēķinu pamatelementu izmantošanas specifikācijai (</w:t>
            </w:r>
            <w:proofErr w:type="spellStart"/>
            <w:r w:rsidRPr="00836535">
              <w:rPr>
                <w:sz w:val="22"/>
                <w:szCs w:val="22"/>
              </w:rPr>
              <w:t>Core</w:t>
            </w:r>
            <w:proofErr w:type="spellEnd"/>
            <w:r w:rsidRPr="00836535">
              <w:rPr>
                <w:sz w:val="22"/>
                <w:szCs w:val="22"/>
              </w:rPr>
              <w:t xml:space="preserve"> </w:t>
            </w:r>
            <w:proofErr w:type="spellStart"/>
            <w:r w:rsidRPr="00836535">
              <w:rPr>
                <w:sz w:val="22"/>
                <w:szCs w:val="22"/>
              </w:rPr>
              <w:t>Invoice</w:t>
            </w:r>
            <w:proofErr w:type="spellEnd"/>
            <w:r w:rsidRPr="00836535">
              <w:rPr>
                <w:sz w:val="22"/>
                <w:szCs w:val="22"/>
              </w:rPr>
              <w:t xml:space="preserve"> </w:t>
            </w:r>
            <w:proofErr w:type="spellStart"/>
            <w:r w:rsidRPr="00836535">
              <w:rPr>
                <w:sz w:val="22"/>
                <w:szCs w:val="22"/>
              </w:rPr>
              <w:t>Usage</w:t>
            </w:r>
            <w:proofErr w:type="spellEnd"/>
            <w:r w:rsidRPr="00836535">
              <w:rPr>
                <w:sz w:val="22"/>
                <w:szCs w:val="22"/>
              </w:rPr>
              <w:t xml:space="preserve"> </w:t>
            </w:r>
            <w:proofErr w:type="spellStart"/>
            <w:r w:rsidRPr="00836535">
              <w:rPr>
                <w:sz w:val="22"/>
                <w:szCs w:val="22"/>
              </w:rPr>
              <w:t>Specification</w:t>
            </w:r>
            <w:proofErr w:type="spellEnd"/>
            <w:r w:rsidRPr="00836535">
              <w:rPr>
                <w:sz w:val="22"/>
                <w:szCs w:val="22"/>
              </w:rPr>
              <w:t xml:space="preserve"> (CIUS)), kas ir publicēta PEPPOL tīmekļa vietnē http://docs.peppol.eu/poacc/billing/3.0/.</w:t>
            </w:r>
            <w:r w:rsidR="000E04AD" w:rsidRPr="00AC37A9">
              <w:rPr>
                <w:color w:val="000000" w:themeColor="text1"/>
                <w:sz w:val="22"/>
                <w:szCs w:val="22"/>
              </w:rPr>
              <w:t>”</w:t>
            </w:r>
          </w:p>
          <w:p w14:paraId="62B0462A" w14:textId="77777777" w:rsidR="000E04AD" w:rsidRPr="00AC37A9" w:rsidRDefault="000E04AD" w:rsidP="00AC37A9">
            <w:pPr>
              <w:jc w:val="both"/>
              <w:rPr>
                <w:b/>
                <w:bCs/>
                <w:color w:val="000000" w:themeColor="text1"/>
                <w:sz w:val="22"/>
                <w:szCs w:val="22"/>
              </w:rPr>
            </w:pPr>
          </w:p>
        </w:tc>
      </w:tr>
      <w:tr w:rsidR="008A64FB" w:rsidRPr="00AC37A9" w14:paraId="15B39A9D" w14:textId="77777777" w:rsidTr="00781479">
        <w:tc>
          <w:tcPr>
            <w:tcW w:w="567" w:type="dxa"/>
            <w:tcBorders>
              <w:top w:val="single" w:sz="6" w:space="0" w:color="000000"/>
              <w:left w:val="single" w:sz="6" w:space="0" w:color="000000"/>
              <w:bottom w:val="single" w:sz="6" w:space="0" w:color="000000"/>
              <w:right w:val="single" w:sz="6" w:space="0" w:color="000000"/>
            </w:tcBorders>
          </w:tcPr>
          <w:p w14:paraId="0756C0D9" w14:textId="5F9B15E5" w:rsidR="008A64FB" w:rsidRPr="00AC37A9" w:rsidRDefault="007B2BFF" w:rsidP="00155D68">
            <w:pPr>
              <w:pStyle w:val="naisc"/>
              <w:spacing w:before="0" w:after="0"/>
              <w:rPr>
                <w:color w:val="000000" w:themeColor="text1"/>
                <w:sz w:val="22"/>
                <w:szCs w:val="22"/>
              </w:rPr>
            </w:pPr>
            <w:r>
              <w:rPr>
                <w:color w:val="000000" w:themeColor="text1"/>
                <w:sz w:val="22"/>
                <w:szCs w:val="22"/>
              </w:rPr>
              <w:lastRenderedPageBreak/>
              <w:t>10.</w:t>
            </w:r>
          </w:p>
        </w:tc>
        <w:tc>
          <w:tcPr>
            <w:tcW w:w="3543" w:type="dxa"/>
            <w:gridSpan w:val="2"/>
            <w:tcBorders>
              <w:top w:val="single" w:sz="6" w:space="0" w:color="000000"/>
              <w:left w:val="single" w:sz="6" w:space="0" w:color="000000"/>
              <w:bottom w:val="single" w:sz="6" w:space="0" w:color="000000"/>
              <w:right w:val="single" w:sz="6" w:space="0" w:color="000000"/>
            </w:tcBorders>
          </w:tcPr>
          <w:p w14:paraId="4501B735" w14:textId="77777777" w:rsidR="00523959" w:rsidRPr="00AC37A9" w:rsidRDefault="00523959" w:rsidP="00523959">
            <w:pPr>
              <w:tabs>
                <w:tab w:val="left" w:pos="567"/>
              </w:tabs>
              <w:jc w:val="both"/>
              <w:rPr>
                <w:b/>
                <w:color w:val="000000" w:themeColor="text1"/>
                <w:sz w:val="22"/>
                <w:szCs w:val="22"/>
              </w:rPr>
            </w:pPr>
            <w:r w:rsidRPr="00AC37A9">
              <w:rPr>
                <w:b/>
                <w:color w:val="000000" w:themeColor="text1"/>
                <w:sz w:val="22"/>
                <w:szCs w:val="22"/>
              </w:rPr>
              <w:t>Noteikumu projekta 4.punkts:</w:t>
            </w:r>
          </w:p>
          <w:p w14:paraId="6DDE39F4" w14:textId="77777777" w:rsidR="00523959" w:rsidRPr="00AC37A9" w:rsidRDefault="00523959" w:rsidP="00523959">
            <w:pPr>
              <w:tabs>
                <w:tab w:val="left" w:pos="567"/>
              </w:tabs>
              <w:jc w:val="both"/>
              <w:rPr>
                <w:color w:val="000000" w:themeColor="text1"/>
                <w:sz w:val="22"/>
                <w:szCs w:val="22"/>
              </w:rPr>
            </w:pPr>
            <w:r w:rsidRPr="00AC37A9">
              <w:rPr>
                <w:color w:val="000000" w:themeColor="text1"/>
                <w:sz w:val="22"/>
                <w:szCs w:val="22"/>
              </w:rPr>
              <w:t>“4. Ja piegādātājs reģistrēts vai pastāvīgi dzīvo Latvijā, pasūtītājs, sabiedrisko pakalpojumu sniedzējs vai publiskais partneris vai tā pārstāvis pieņem piegādātāja sagatavotu vai izsniegtu elektronisko rēķinu, ja tas atbilst šādām papildu prasībām:</w:t>
            </w:r>
          </w:p>
          <w:p w14:paraId="01622D58" w14:textId="77777777" w:rsidR="00523959" w:rsidRPr="00AC37A9" w:rsidRDefault="00523959" w:rsidP="00523959">
            <w:pPr>
              <w:tabs>
                <w:tab w:val="left" w:pos="567"/>
              </w:tabs>
              <w:jc w:val="both"/>
              <w:rPr>
                <w:color w:val="000000" w:themeColor="text1"/>
                <w:sz w:val="22"/>
                <w:szCs w:val="22"/>
              </w:rPr>
            </w:pPr>
            <w:r w:rsidRPr="00AC37A9">
              <w:rPr>
                <w:color w:val="000000" w:themeColor="text1"/>
                <w:sz w:val="22"/>
                <w:szCs w:val="22"/>
              </w:rPr>
              <w:t>4.1. piemērojamajā elektronisko rēķinu standartā noteiktajai ISO/IEC 19845 (UBL 2.1) sintaksei;</w:t>
            </w:r>
          </w:p>
          <w:p w14:paraId="2E724B6E" w14:textId="77777777" w:rsidR="00523959" w:rsidRPr="00AC37A9" w:rsidRDefault="00523959" w:rsidP="00523959">
            <w:pPr>
              <w:tabs>
                <w:tab w:val="left" w:pos="567"/>
              </w:tabs>
              <w:jc w:val="both"/>
              <w:rPr>
                <w:color w:val="000000" w:themeColor="text1"/>
                <w:sz w:val="22"/>
                <w:szCs w:val="22"/>
              </w:rPr>
            </w:pPr>
            <w:r w:rsidRPr="00AC37A9">
              <w:rPr>
                <w:color w:val="000000" w:themeColor="text1"/>
                <w:sz w:val="22"/>
                <w:szCs w:val="22"/>
              </w:rPr>
              <w:t xml:space="preserve">4.2. PAN-EUROPEAN PUBLIC PROCUREMENT ONLINE (PEPPOL) BIS </w:t>
            </w:r>
            <w:proofErr w:type="spellStart"/>
            <w:r w:rsidRPr="00AC37A9">
              <w:rPr>
                <w:color w:val="000000" w:themeColor="text1"/>
                <w:sz w:val="22"/>
                <w:szCs w:val="22"/>
              </w:rPr>
              <w:t>Billing</w:t>
            </w:r>
            <w:proofErr w:type="spellEnd"/>
            <w:r w:rsidRPr="00AC37A9">
              <w:rPr>
                <w:color w:val="000000" w:themeColor="text1"/>
                <w:sz w:val="22"/>
                <w:szCs w:val="22"/>
              </w:rPr>
              <w:t xml:space="preserve"> 3.0 rēķinu pamatelementu izmantošanas specifikācijai (</w:t>
            </w:r>
            <w:proofErr w:type="spellStart"/>
            <w:r w:rsidRPr="00AC37A9">
              <w:rPr>
                <w:color w:val="000000" w:themeColor="text1"/>
                <w:sz w:val="22"/>
                <w:szCs w:val="22"/>
              </w:rPr>
              <w:t>Core</w:t>
            </w:r>
            <w:proofErr w:type="spellEnd"/>
            <w:r w:rsidRPr="00AC37A9">
              <w:rPr>
                <w:color w:val="000000" w:themeColor="text1"/>
                <w:sz w:val="22"/>
                <w:szCs w:val="22"/>
              </w:rPr>
              <w:t xml:space="preserve"> </w:t>
            </w:r>
            <w:proofErr w:type="spellStart"/>
            <w:r w:rsidRPr="00AC37A9">
              <w:rPr>
                <w:color w:val="000000" w:themeColor="text1"/>
                <w:sz w:val="22"/>
                <w:szCs w:val="22"/>
              </w:rPr>
              <w:t>Invoice</w:t>
            </w:r>
            <w:proofErr w:type="spellEnd"/>
            <w:r w:rsidRPr="00AC37A9">
              <w:rPr>
                <w:color w:val="000000" w:themeColor="text1"/>
                <w:sz w:val="22"/>
                <w:szCs w:val="22"/>
              </w:rPr>
              <w:t xml:space="preserve"> </w:t>
            </w:r>
            <w:proofErr w:type="spellStart"/>
            <w:r w:rsidRPr="00AC37A9">
              <w:rPr>
                <w:color w:val="000000" w:themeColor="text1"/>
                <w:sz w:val="22"/>
                <w:szCs w:val="22"/>
              </w:rPr>
              <w:t>Usage</w:t>
            </w:r>
            <w:proofErr w:type="spellEnd"/>
            <w:r w:rsidRPr="00AC37A9">
              <w:rPr>
                <w:color w:val="000000" w:themeColor="text1"/>
                <w:sz w:val="22"/>
                <w:szCs w:val="22"/>
              </w:rPr>
              <w:t xml:space="preserve"> </w:t>
            </w:r>
            <w:proofErr w:type="spellStart"/>
            <w:r w:rsidRPr="00AC37A9">
              <w:rPr>
                <w:color w:val="000000" w:themeColor="text1"/>
                <w:sz w:val="22"/>
                <w:szCs w:val="22"/>
              </w:rPr>
              <w:t>Specification</w:t>
            </w:r>
            <w:proofErr w:type="spellEnd"/>
            <w:r w:rsidRPr="00AC37A9">
              <w:rPr>
                <w:color w:val="000000" w:themeColor="text1"/>
                <w:sz w:val="22"/>
                <w:szCs w:val="22"/>
              </w:rPr>
              <w:t xml:space="preserve"> (CIUS)), kas ir publicēta PEPPOL tīmekļa vietnē </w:t>
            </w:r>
            <w:hyperlink r:id="rId11" w:history="1">
              <w:r w:rsidRPr="00AC37A9">
                <w:rPr>
                  <w:rStyle w:val="Hyperlink"/>
                  <w:color w:val="000000" w:themeColor="text1"/>
                  <w:sz w:val="22"/>
                  <w:szCs w:val="22"/>
                </w:rPr>
                <w:t>http://docs.peppol.eu/poacc/billing/3.0/</w:t>
              </w:r>
            </w:hyperlink>
            <w:r w:rsidRPr="00AC37A9">
              <w:rPr>
                <w:color w:val="000000" w:themeColor="text1"/>
                <w:sz w:val="22"/>
                <w:szCs w:val="22"/>
              </w:rPr>
              <w:t>.”</w:t>
            </w:r>
          </w:p>
          <w:p w14:paraId="2630E9C6" w14:textId="77777777" w:rsidR="008A64FB" w:rsidRPr="00AC37A9" w:rsidRDefault="008A64FB" w:rsidP="00523959">
            <w:pPr>
              <w:pStyle w:val="naisc"/>
              <w:spacing w:before="0" w:after="0"/>
              <w:jc w:val="left"/>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515E1657" w14:textId="77777777" w:rsidR="00523959" w:rsidRPr="00AC37A9" w:rsidRDefault="00523959" w:rsidP="00523959">
            <w:pPr>
              <w:tabs>
                <w:tab w:val="left" w:pos="7372"/>
              </w:tabs>
              <w:suppressAutoHyphens/>
              <w:spacing w:after="60"/>
              <w:jc w:val="both"/>
              <w:rPr>
                <w:b/>
                <w:color w:val="000000" w:themeColor="text1"/>
                <w:sz w:val="22"/>
                <w:szCs w:val="22"/>
              </w:rPr>
            </w:pPr>
            <w:r w:rsidRPr="00AC37A9">
              <w:rPr>
                <w:b/>
                <w:color w:val="000000" w:themeColor="text1"/>
                <w:sz w:val="22"/>
                <w:szCs w:val="22"/>
              </w:rPr>
              <w:t>Vides aizsardzības un reģionālās attīstības ministrija</w:t>
            </w:r>
          </w:p>
          <w:p w14:paraId="218BDDA0" w14:textId="77777777" w:rsidR="00523959" w:rsidRPr="00AC37A9" w:rsidRDefault="00523959" w:rsidP="00523959">
            <w:pPr>
              <w:tabs>
                <w:tab w:val="left" w:pos="7372"/>
              </w:tabs>
              <w:suppressAutoHyphens/>
              <w:spacing w:after="60"/>
              <w:jc w:val="both"/>
              <w:rPr>
                <w:color w:val="000000" w:themeColor="text1"/>
                <w:sz w:val="22"/>
                <w:szCs w:val="22"/>
                <w:lang w:eastAsia="ar-SA"/>
              </w:rPr>
            </w:pPr>
            <w:r w:rsidRPr="00AC37A9">
              <w:rPr>
                <w:color w:val="000000" w:themeColor="text1"/>
                <w:sz w:val="22"/>
                <w:szCs w:val="22"/>
                <w:lang w:eastAsia="ar-SA"/>
              </w:rPr>
              <w:t xml:space="preserve">Atbilstoši direktīvai 2014/55/ES un Eiropas Komisijas 2017. gada 16.oktobra īstenošanas lēmumā Nr.2017/1870 noteiktajam standartam un sintakšu sarakstam, kas minēts arī šo noteikumu anotācijā, kā obligāti pieņemamas ir nosauktas 2 sintakses - ISO/IEC  19845 (UBL 2.1) un UN/CEFACT CII D16B, kā neobligāta - UN/EDIFACT CII. Tas nozīmē, ka grāmatvedības sistēmām (kuras tiek lietotas valsts pārvaldē) ir jāspēj apstrādāt elektroniskos rēķinus, kas sagatavoti kā minimums, lietojot 2 sintakses (kas savā starpā ir mehāniski konvertējamas), un ir nepamatoti izvirzīt prasību Latvijā reģistrētiem lietotājiem iesniegt tikai UBL sintaksē sagatavotus elektroniskos rēķinus. Iespējamā rīcība - ieteikt elektroniskos rēķinus sagatavot iesniegšanai, lietojot UBL sintaksi un to </w:t>
            </w:r>
            <w:r w:rsidRPr="00AC37A9">
              <w:rPr>
                <w:color w:val="000000" w:themeColor="text1"/>
                <w:sz w:val="22"/>
                <w:szCs w:val="22"/>
                <w:lang w:eastAsia="ar-SA"/>
              </w:rPr>
              <w:lastRenderedPageBreak/>
              <w:t xml:space="preserve">aprakstīt noteikumu projekta anotācijā. </w:t>
            </w:r>
          </w:p>
          <w:p w14:paraId="0DC20AAF" w14:textId="77777777" w:rsidR="00523959" w:rsidRPr="00AC37A9" w:rsidRDefault="00523959" w:rsidP="00523959">
            <w:pPr>
              <w:tabs>
                <w:tab w:val="left" w:pos="7372"/>
              </w:tabs>
              <w:suppressAutoHyphens/>
              <w:spacing w:after="60"/>
              <w:jc w:val="both"/>
              <w:rPr>
                <w:color w:val="000000" w:themeColor="text1"/>
                <w:sz w:val="22"/>
                <w:szCs w:val="22"/>
                <w:lang w:eastAsia="ar-SA"/>
              </w:rPr>
            </w:pPr>
            <w:r w:rsidRPr="00AC37A9">
              <w:rPr>
                <w:color w:val="000000" w:themeColor="text1"/>
                <w:sz w:val="22"/>
                <w:szCs w:val="22"/>
                <w:lang w:eastAsia="ar-SA"/>
              </w:rPr>
              <w:t>Ņemot vērā minēto, VARAM piedāvā noteikumu projekta 4.punktu: “Ja piegādātājs reģistrēts vai pastāvīgi dzīvo Latvijā, pasūtītājs, sabiedrisko pakalpojumu sniedzējs vai publiskais partneris vai tā pārstāvis pieņem piegādātāja sagatavotu vai izsniegtu elektronisko rēķinu, ja tas atbilst šādām papildu prasībām:</w:t>
            </w:r>
          </w:p>
          <w:p w14:paraId="6820A0F5" w14:textId="77777777" w:rsidR="00523959" w:rsidRPr="00AC37A9" w:rsidRDefault="00523959" w:rsidP="00523959">
            <w:pPr>
              <w:tabs>
                <w:tab w:val="left" w:pos="7372"/>
              </w:tabs>
              <w:suppressAutoHyphens/>
              <w:spacing w:after="60"/>
              <w:jc w:val="both"/>
              <w:rPr>
                <w:color w:val="000000" w:themeColor="text1"/>
                <w:sz w:val="22"/>
                <w:szCs w:val="22"/>
                <w:lang w:eastAsia="ar-SA"/>
              </w:rPr>
            </w:pPr>
            <w:r w:rsidRPr="00AC37A9">
              <w:rPr>
                <w:color w:val="000000" w:themeColor="text1"/>
                <w:sz w:val="22"/>
                <w:szCs w:val="22"/>
                <w:lang w:eastAsia="ar-SA"/>
              </w:rPr>
              <w:t>4.1.piemērojamajā elektronisko rēķinu standartā noteiktajai ISO/IEC 19845 (UBL 2.1) sintaksei;</w:t>
            </w:r>
          </w:p>
          <w:p w14:paraId="3D851976" w14:textId="46CBB87C" w:rsidR="008A64FB" w:rsidRPr="00AC37A9" w:rsidRDefault="00523959" w:rsidP="00523959">
            <w:pPr>
              <w:pStyle w:val="naisc"/>
              <w:spacing w:before="0" w:after="0"/>
              <w:jc w:val="both"/>
              <w:rPr>
                <w:color w:val="000000" w:themeColor="text1"/>
                <w:sz w:val="22"/>
                <w:szCs w:val="22"/>
              </w:rPr>
            </w:pPr>
            <w:r w:rsidRPr="00AC37A9">
              <w:rPr>
                <w:color w:val="000000" w:themeColor="text1"/>
                <w:sz w:val="22"/>
                <w:szCs w:val="22"/>
                <w:lang w:eastAsia="ar-SA"/>
              </w:rPr>
              <w:t xml:space="preserve">4.2.PAN-EUROPEAN PUBLIC PROCUREMENT ONLINE (PEPPOL) BIS </w:t>
            </w:r>
            <w:proofErr w:type="spellStart"/>
            <w:r w:rsidRPr="00AC37A9">
              <w:rPr>
                <w:color w:val="000000" w:themeColor="text1"/>
                <w:sz w:val="22"/>
                <w:szCs w:val="22"/>
                <w:lang w:eastAsia="ar-SA"/>
              </w:rPr>
              <w:t>Billing</w:t>
            </w:r>
            <w:proofErr w:type="spellEnd"/>
            <w:r w:rsidRPr="00AC37A9">
              <w:rPr>
                <w:color w:val="000000" w:themeColor="text1"/>
                <w:sz w:val="22"/>
                <w:szCs w:val="22"/>
                <w:lang w:eastAsia="ar-SA"/>
              </w:rPr>
              <w:t xml:space="preserve"> 3.0 rēķinu pamatelementu izmantošanas specifikācijai (</w:t>
            </w:r>
            <w:proofErr w:type="spellStart"/>
            <w:r w:rsidRPr="00AC37A9">
              <w:rPr>
                <w:color w:val="000000" w:themeColor="text1"/>
                <w:sz w:val="22"/>
                <w:szCs w:val="22"/>
                <w:lang w:eastAsia="ar-SA"/>
              </w:rPr>
              <w:t>Core</w:t>
            </w:r>
            <w:proofErr w:type="spellEnd"/>
            <w:r w:rsidRPr="00AC37A9">
              <w:rPr>
                <w:color w:val="000000" w:themeColor="text1"/>
                <w:sz w:val="22"/>
                <w:szCs w:val="22"/>
                <w:lang w:eastAsia="ar-SA"/>
              </w:rPr>
              <w:t xml:space="preserve"> </w:t>
            </w:r>
            <w:proofErr w:type="spellStart"/>
            <w:r w:rsidRPr="00AC37A9">
              <w:rPr>
                <w:color w:val="000000" w:themeColor="text1"/>
                <w:sz w:val="22"/>
                <w:szCs w:val="22"/>
                <w:lang w:eastAsia="ar-SA"/>
              </w:rPr>
              <w:t>Invoice</w:t>
            </w:r>
            <w:proofErr w:type="spellEnd"/>
            <w:r w:rsidRPr="00AC37A9">
              <w:rPr>
                <w:color w:val="000000" w:themeColor="text1"/>
                <w:sz w:val="22"/>
                <w:szCs w:val="22"/>
                <w:lang w:eastAsia="ar-SA"/>
              </w:rPr>
              <w:t xml:space="preserve"> </w:t>
            </w:r>
            <w:proofErr w:type="spellStart"/>
            <w:r w:rsidRPr="00AC37A9">
              <w:rPr>
                <w:color w:val="000000" w:themeColor="text1"/>
                <w:sz w:val="22"/>
                <w:szCs w:val="22"/>
                <w:lang w:eastAsia="ar-SA"/>
              </w:rPr>
              <w:t>Usage</w:t>
            </w:r>
            <w:proofErr w:type="spellEnd"/>
            <w:r w:rsidRPr="00AC37A9">
              <w:rPr>
                <w:color w:val="000000" w:themeColor="text1"/>
                <w:sz w:val="22"/>
                <w:szCs w:val="22"/>
                <w:lang w:eastAsia="ar-SA"/>
              </w:rPr>
              <w:t xml:space="preserve"> </w:t>
            </w:r>
            <w:proofErr w:type="spellStart"/>
            <w:r w:rsidRPr="00AC37A9">
              <w:rPr>
                <w:color w:val="000000" w:themeColor="text1"/>
                <w:sz w:val="22"/>
                <w:szCs w:val="22"/>
                <w:lang w:eastAsia="ar-SA"/>
              </w:rPr>
              <w:t>Specification</w:t>
            </w:r>
            <w:proofErr w:type="spellEnd"/>
            <w:r w:rsidRPr="00AC37A9">
              <w:rPr>
                <w:color w:val="000000" w:themeColor="text1"/>
                <w:sz w:val="22"/>
                <w:szCs w:val="22"/>
                <w:lang w:eastAsia="ar-SA"/>
              </w:rPr>
              <w:t xml:space="preserve"> (CIUS)), kas ir publicēta PEPPOL tīmekļa vietnē </w:t>
            </w:r>
            <w:hyperlink r:id="rId12" w:history="1">
              <w:r w:rsidRPr="00AC37A9">
                <w:rPr>
                  <w:rStyle w:val="Hyperlink"/>
                  <w:color w:val="000000" w:themeColor="text1"/>
                  <w:sz w:val="22"/>
                  <w:szCs w:val="22"/>
                  <w:lang w:eastAsia="ar-SA"/>
                </w:rPr>
                <w:t>http://docs.peppol.eu/poacc/billing/3.0/.” izteikt</w:t>
              </w:r>
            </w:hyperlink>
            <w:r w:rsidRPr="00AC37A9">
              <w:rPr>
                <w:color w:val="000000" w:themeColor="text1"/>
                <w:sz w:val="22"/>
                <w:szCs w:val="22"/>
                <w:lang w:eastAsia="ar-SA"/>
              </w:rPr>
              <w:t xml:space="preserve"> šādā redakcijā: </w:t>
            </w:r>
            <w:r w:rsidRPr="00AC37A9">
              <w:rPr>
                <w:i/>
                <w:color w:val="000000" w:themeColor="text1"/>
                <w:sz w:val="22"/>
                <w:szCs w:val="22"/>
                <w:lang w:eastAsia="ar-SA"/>
              </w:rPr>
              <w:t xml:space="preserve">“4.Ja piegādātājs reģistrēts vai pastāvīgi dzīvo Latvijā, pasūtītājs, sabiedrisko pakalpojumu sniedzējs vai publiskais partneris vai tā pārstāvis pieņem piegādātāja sagatavotu vai izsniegtu elektronisko rēķinu, ja tas atbilst PAN-EUROPEAN PUBLIC PROCUREMENT ONLINE (PEPPOL) BIS </w:t>
            </w:r>
            <w:proofErr w:type="spellStart"/>
            <w:r w:rsidRPr="00AC37A9">
              <w:rPr>
                <w:i/>
                <w:color w:val="000000" w:themeColor="text1"/>
                <w:sz w:val="22"/>
                <w:szCs w:val="22"/>
                <w:lang w:eastAsia="ar-SA"/>
              </w:rPr>
              <w:t>Billing</w:t>
            </w:r>
            <w:proofErr w:type="spellEnd"/>
            <w:r w:rsidRPr="00AC37A9">
              <w:rPr>
                <w:i/>
                <w:color w:val="000000" w:themeColor="text1"/>
                <w:sz w:val="22"/>
                <w:szCs w:val="22"/>
                <w:lang w:eastAsia="ar-SA"/>
              </w:rPr>
              <w:t xml:space="preserve"> 3.0 rēķinu pamatelementu izmantošanas </w:t>
            </w:r>
            <w:r w:rsidRPr="00AC37A9">
              <w:rPr>
                <w:i/>
                <w:color w:val="000000" w:themeColor="text1"/>
                <w:sz w:val="22"/>
                <w:szCs w:val="22"/>
                <w:lang w:eastAsia="ar-SA"/>
              </w:rPr>
              <w:lastRenderedPageBreak/>
              <w:t>specifikācijai (</w:t>
            </w:r>
            <w:proofErr w:type="spellStart"/>
            <w:r w:rsidRPr="00AC37A9">
              <w:rPr>
                <w:i/>
                <w:color w:val="000000" w:themeColor="text1"/>
                <w:sz w:val="22"/>
                <w:szCs w:val="22"/>
                <w:lang w:eastAsia="ar-SA"/>
              </w:rPr>
              <w:t>Core</w:t>
            </w:r>
            <w:proofErr w:type="spellEnd"/>
            <w:r w:rsidRPr="00AC37A9">
              <w:rPr>
                <w:i/>
                <w:color w:val="000000" w:themeColor="text1"/>
                <w:sz w:val="22"/>
                <w:szCs w:val="22"/>
                <w:lang w:eastAsia="ar-SA"/>
              </w:rPr>
              <w:t xml:space="preserve"> </w:t>
            </w:r>
            <w:proofErr w:type="spellStart"/>
            <w:r w:rsidRPr="00AC37A9">
              <w:rPr>
                <w:i/>
                <w:color w:val="000000" w:themeColor="text1"/>
                <w:sz w:val="22"/>
                <w:szCs w:val="22"/>
                <w:lang w:eastAsia="ar-SA"/>
              </w:rPr>
              <w:t>Invoice</w:t>
            </w:r>
            <w:proofErr w:type="spellEnd"/>
            <w:r w:rsidRPr="00AC37A9">
              <w:rPr>
                <w:i/>
                <w:color w:val="000000" w:themeColor="text1"/>
                <w:sz w:val="22"/>
                <w:szCs w:val="22"/>
                <w:lang w:eastAsia="ar-SA"/>
              </w:rPr>
              <w:t xml:space="preserve"> </w:t>
            </w:r>
            <w:proofErr w:type="spellStart"/>
            <w:r w:rsidRPr="00AC37A9">
              <w:rPr>
                <w:i/>
                <w:color w:val="000000" w:themeColor="text1"/>
                <w:sz w:val="22"/>
                <w:szCs w:val="22"/>
                <w:lang w:eastAsia="ar-SA"/>
              </w:rPr>
              <w:t>Usage</w:t>
            </w:r>
            <w:proofErr w:type="spellEnd"/>
            <w:r w:rsidRPr="00AC37A9">
              <w:rPr>
                <w:i/>
                <w:color w:val="000000" w:themeColor="text1"/>
                <w:sz w:val="22"/>
                <w:szCs w:val="22"/>
                <w:lang w:eastAsia="ar-SA"/>
              </w:rPr>
              <w:t xml:space="preserve"> </w:t>
            </w:r>
            <w:proofErr w:type="spellStart"/>
            <w:r w:rsidRPr="00AC37A9">
              <w:rPr>
                <w:i/>
                <w:color w:val="000000" w:themeColor="text1"/>
                <w:sz w:val="22"/>
                <w:szCs w:val="22"/>
                <w:lang w:eastAsia="ar-SA"/>
              </w:rPr>
              <w:t>Specification</w:t>
            </w:r>
            <w:proofErr w:type="spellEnd"/>
            <w:r w:rsidRPr="00AC37A9">
              <w:rPr>
                <w:i/>
                <w:color w:val="000000" w:themeColor="text1"/>
                <w:sz w:val="22"/>
                <w:szCs w:val="22"/>
                <w:lang w:eastAsia="ar-SA"/>
              </w:rPr>
              <w:t xml:space="preserve"> (CIUS)), kas ir publicēta PEPPOL tīmekļa vietnē </w:t>
            </w:r>
            <w:hyperlink r:id="rId13" w:history="1">
              <w:r w:rsidRPr="00AC37A9">
                <w:rPr>
                  <w:rStyle w:val="Hyperlink"/>
                  <w:i/>
                  <w:color w:val="000000" w:themeColor="text1"/>
                  <w:sz w:val="22"/>
                  <w:szCs w:val="22"/>
                  <w:lang w:eastAsia="ar-SA"/>
                </w:rPr>
                <w:t>http://docs.peppol.eu/poacc/billing/3.0/</w:t>
              </w:r>
            </w:hyperlink>
            <w:r w:rsidRPr="00AC37A9">
              <w:rPr>
                <w:i/>
                <w:color w:val="000000" w:themeColor="text1"/>
                <w:sz w:val="22"/>
                <w:szCs w:val="22"/>
                <w:lang w:eastAsia="ar-SA"/>
              </w:rPr>
              <w:t>.”</w:t>
            </w:r>
          </w:p>
        </w:tc>
        <w:tc>
          <w:tcPr>
            <w:tcW w:w="2944" w:type="dxa"/>
            <w:gridSpan w:val="2"/>
            <w:tcBorders>
              <w:top w:val="single" w:sz="6" w:space="0" w:color="000000"/>
              <w:left w:val="single" w:sz="6" w:space="0" w:color="000000"/>
              <w:bottom w:val="single" w:sz="6" w:space="0" w:color="000000"/>
              <w:right w:val="single" w:sz="6" w:space="0" w:color="000000"/>
            </w:tcBorders>
          </w:tcPr>
          <w:p w14:paraId="0865A115" w14:textId="450A75DB" w:rsidR="008A64FB" w:rsidRPr="00AC37A9" w:rsidRDefault="00523959" w:rsidP="00AC37A9">
            <w:pPr>
              <w:pStyle w:val="naisc"/>
              <w:spacing w:before="0" w:after="0"/>
              <w:jc w:val="both"/>
              <w:rPr>
                <w:b/>
                <w:color w:val="000000" w:themeColor="text1"/>
                <w:sz w:val="22"/>
                <w:szCs w:val="22"/>
              </w:rPr>
            </w:pPr>
            <w:r w:rsidRPr="00AC37A9">
              <w:rPr>
                <w:b/>
                <w:color w:val="000000" w:themeColor="text1"/>
                <w:sz w:val="22"/>
                <w:szCs w:val="22"/>
              </w:rPr>
              <w:lastRenderedPageBreak/>
              <w:t>Ņemts vērā</w:t>
            </w:r>
          </w:p>
          <w:p w14:paraId="773A6BC9" w14:textId="1E223DE7" w:rsidR="00523959" w:rsidRPr="00AC37A9" w:rsidRDefault="00523959" w:rsidP="00AC37A9">
            <w:pPr>
              <w:pStyle w:val="naisc"/>
              <w:spacing w:before="0" w:after="0"/>
              <w:jc w:val="both"/>
              <w:rPr>
                <w:b/>
                <w:color w:val="000000" w:themeColor="text1"/>
                <w:sz w:val="22"/>
                <w:szCs w:val="22"/>
              </w:rPr>
            </w:pPr>
            <w:r w:rsidRPr="00AC37A9">
              <w:rPr>
                <w:color w:val="000000" w:themeColor="text1"/>
                <w:sz w:val="22"/>
                <w:szCs w:val="22"/>
              </w:rPr>
              <w:t xml:space="preserve">Atbilstoši </w:t>
            </w:r>
            <w:proofErr w:type="spellStart"/>
            <w:r w:rsidRPr="00AC37A9">
              <w:rPr>
                <w:color w:val="000000" w:themeColor="text1"/>
                <w:sz w:val="22"/>
                <w:szCs w:val="22"/>
              </w:rPr>
              <w:t>protokollēmuma</w:t>
            </w:r>
            <w:proofErr w:type="spellEnd"/>
            <w:r w:rsidRPr="00AC37A9">
              <w:rPr>
                <w:color w:val="000000" w:themeColor="text1"/>
                <w:sz w:val="22"/>
                <w:szCs w:val="22"/>
              </w:rPr>
              <w:t xml:space="preserve"> 5.punktam</w:t>
            </w:r>
            <w:r w:rsidR="0043237E">
              <w:rPr>
                <w:color w:val="000000" w:themeColor="text1"/>
                <w:sz w:val="22"/>
                <w:szCs w:val="22"/>
              </w:rPr>
              <w:t xml:space="preserve"> paredzēts, ka</w:t>
            </w:r>
            <w:r w:rsidRPr="00AC37A9">
              <w:rPr>
                <w:b/>
                <w:color w:val="000000" w:themeColor="text1"/>
                <w:sz w:val="22"/>
                <w:szCs w:val="22"/>
              </w:rPr>
              <w:t xml:space="preserve"> </w:t>
            </w:r>
            <w:r w:rsidRPr="00AC37A9">
              <w:rPr>
                <w:sz w:val="22"/>
                <w:szCs w:val="22"/>
              </w:rPr>
              <w:t>Finanšu ministrija</w:t>
            </w:r>
            <w:r w:rsidR="0043237E">
              <w:rPr>
                <w:sz w:val="22"/>
                <w:szCs w:val="22"/>
              </w:rPr>
              <w:t xml:space="preserve"> virzīs grozījumus normatīvajos aktos, </w:t>
            </w:r>
            <w:r w:rsidRPr="00AC37A9">
              <w:rPr>
                <w:sz w:val="22"/>
                <w:szCs w:val="22"/>
              </w:rPr>
              <w:t xml:space="preserve"> nosakot kādā sintaksē Latvijā pastāvīgi dzīvojošas fiziskas personas un Latvijā reģistrētas juridiskas personas izraksta elektroniskos rēķinus. Līdz ar to jautājums par konkrētas sintakses izmantošanu ir risināms citā normatīvajā aktā.</w:t>
            </w:r>
          </w:p>
          <w:p w14:paraId="0B09C347" w14:textId="77777777" w:rsidR="00523959" w:rsidRPr="00AC37A9" w:rsidRDefault="00523959" w:rsidP="00AC37A9">
            <w:pPr>
              <w:pStyle w:val="naisc"/>
              <w:spacing w:before="0" w:after="0"/>
              <w:jc w:val="both"/>
              <w:rPr>
                <w:b/>
                <w:color w:val="000000" w:themeColor="text1"/>
                <w:sz w:val="22"/>
                <w:szCs w:val="22"/>
              </w:rPr>
            </w:pPr>
          </w:p>
          <w:p w14:paraId="583AE860" w14:textId="77777777" w:rsidR="00523959" w:rsidRPr="00AC37A9" w:rsidRDefault="00523959" w:rsidP="00AC37A9">
            <w:pPr>
              <w:pStyle w:val="naisc"/>
              <w:spacing w:before="0" w:after="0"/>
              <w:jc w:val="both"/>
              <w:rPr>
                <w:b/>
                <w:color w:val="000000" w:themeColor="text1"/>
                <w:sz w:val="22"/>
                <w:szCs w:val="22"/>
              </w:rPr>
            </w:pPr>
          </w:p>
          <w:p w14:paraId="362E971D" w14:textId="7CC10742" w:rsidR="00523959" w:rsidRPr="00AC37A9" w:rsidRDefault="00523959" w:rsidP="00AC37A9">
            <w:pPr>
              <w:pStyle w:val="naisc"/>
              <w:spacing w:before="0" w:after="0"/>
              <w:jc w:val="both"/>
              <w:rPr>
                <w:color w:val="000000" w:themeColor="text1"/>
                <w:sz w:val="22"/>
                <w:szCs w:val="22"/>
              </w:rPr>
            </w:pPr>
          </w:p>
        </w:tc>
        <w:tc>
          <w:tcPr>
            <w:tcW w:w="3576" w:type="dxa"/>
            <w:tcBorders>
              <w:top w:val="single" w:sz="4" w:space="0" w:color="auto"/>
              <w:left w:val="single" w:sz="4" w:space="0" w:color="auto"/>
              <w:bottom w:val="single" w:sz="4" w:space="0" w:color="auto"/>
            </w:tcBorders>
          </w:tcPr>
          <w:p w14:paraId="5AD03EF6" w14:textId="77777777" w:rsidR="00523959" w:rsidRPr="00AC37A9" w:rsidRDefault="00523959" w:rsidP="00523959">
            <w:pPr>
              <w:tabs>
                <w:tab w:val="left" w:pos="567"/>
              </w:tabs>
              <w:jc w:val="both"/>
              <w:rPr>
                <w:b/>
                <w:color w:val="000000" w:themeColor="text1"/>
                <w:sz w:val="22"/>
                <w:szCs w:val="22"/>
              </w:rPr>
            </w:pPr>
            <w:r w:rsidRPr="00AC37A9">
              <w:rPr>
                <w:b/>
                <w:color w:val="000000" w:themeColor="text1"/>
                <w:sz w:val="22"/>
                <w:szCs w:val="22"/>
              </w:rPr>
              <w:t>Noteikumu projekta 4.punkts:</w:t>
            </w:r>
          </w:p>
          <w:p w14:paraId="346805CF" w14:textId="035CB97E" w:rsidR="00523959" w:rsidRPr="00AC37A9" w:rsidRDefault="00836535" w:rsidP="00523959">
            <w:pPr>
              <w:jc w:val="both"/>
              <w:rPr>
                <w:color w:val="000000" w:themeColor="text1"/>
                <w:sz w:val="22"/>
                <w:szCs w:val="22"/>
              </w:rPr>
            </w:pPr>
            <w:r>
              <w:rPr>
                <w:color w:val="000000" w:themeColor="text1"/>
                <w:sz w:val="22"/>
                <w:szCs w:val="22"/>
              </w:rPr>
              <w:t xml:space="preserve">“4. </w:t>
            </w:r>
            <w:r w:rsidRPr="00836535">
              <w:rPr>
                <w:color w:val="000000" w:themeColor="text1"/>
                <w:sz w:val="22"/>
                <w:szCs w:val="22"/>
              </w:rPr>
              <w:t xml:space="preserve">Ja piegādātājs reģistrēts vai pastāvīgi dzīvo Latvijā, pasūtītājs, sabiedrisko pakalpojumu sniedzējs vai publiskais partneris vai tā pārstāvis pieņem piegādātāja sagatavotu vai izsniegtu elektronisko rēķinu, ja papildus 3.punktā minētajam tas atbilst PAN-EUROPEAN PUBLIC PROCUREMENT ONLINE (PEPPOL) BIS </w:t>
            </w:r>
            <w:proofErr w:type="spellStart"/>
            <w:r w:rsidRPr="00836535">
              <w:rPr>
                <w:color w:val="000000" w:themeColor="text1"/>
                <w:sz w:val="22"/>
                <w:szCs w:val="22"/>
              </w:rPr>
              <w:t>Billing</w:t>
            </w:r>
            <w:proofErr w:type="spellEnd"/>
            <w:r w:rsidRPr="00836535">
              <w:rPr>
                <w:color w:val="000000" w:themeColor="text1"/>
                <w:sz w:val="22"/>
                <w:szCs w:val="22"/>
              </w:rPr>
              <w:t xml:space="preserve"> 3.0 elektronisko rēķinu pamatelementu izmantošanas specifikācijai (</w:t>
            </w:r>
            <w:proofErr w:type="spellStart"/>
            <w:r w:rsidRPr="00836535">
              <w:rPr>
                <w:color w:val="000000" w:themeColor="text1"/>
                <w:sz w:val="22"/>
                <w:szCs w:val="22"/>
              </w:rPr>
              <w:t>Core</w:t>
            </w:r>
            <w:proofErr w:type="spellEnd"/>
            <w:r w:rsidRPr="00836535">
              <w:rPr>
                <w:color w:val="000000" w:themeColor="text1"/>
                <w:sz w:val="22"/>
                <w:szCs w:val="22"/>
              </w:rPr>
              <w:t xml:space="preserve"> </w:t>
            </w:r>
            <w:proofErr w:type="spellStart"/>
            <w:r w:rsidRPr="00836535">
              <w:rPr>
                <w:color w:val="000000" w:themeColor="text1"/>
                <w:sz w:val="22"/>
                <w:szCs w:val="22"/>
              </w:rPr>
              <w:t>Invoice</w:t>
            </w:r>
            <w:proofErr w:type="spellEnd"/>
            <w:r w:rsidRPr="00836535">
              <w:rPr>
                <w:color w:val="000000" w:themeColor="text1"/>
                <w:sz w:val="22"/>
                <w:szCs w:val="22"/>
              </w:rPr>
              <w:t xml:space="preserve"> </w:t>
            </w:r>
            <w:proofErr w:type="spellStart"/>
            <w:r w:rsidRPr="00836535">
              <w:rPr>
                <w:color w:val="000000" w:themeColor="text1"/>
                <w:sz w:val="22"/>
                <w:szCs w:val="22"/>
              </w:rPr>
              <w:t>Usage</w:t>
            </w:r>
            <w:proofErr w:type="spellEnd"/>
            <w:r w:rsidRPr="00836535">
              <w:rPr>
                <w:color w:val="000000" w:themeColor="text1"/>
                <w:sz w:val="22"/>
                <w:szCs w:val="22"/>
              </w:rPr>
              <w:t xml:space="preserve"> </w:t>
            </w:r>
            <w:proofErr w:type="spellStart"/>
            <w:r w:rsidRPr="00836535">
              <w:rPr>
                <w:color w:val="000000" w:themeColor="text1"/>
                <w:sz w:val="22"/>
                <w:szCs w:val="22"/>
              </w:rPr>
              <w:t>Specification</w:t>
            </w:r>
            <w:proofErr w:type="spellEnd"/>
            <w:r w:rsidRPr="00836535">
              <w:rPr>
                <w:color w:val="000000" w:themeColor="text1"/>
                <w:sz w:val="22"/>
                <w:szCs w:val="22"/>
              </w:rPr>
              <w:t xml:space="preserve"> (CIUS)), kas ir publicēta PEPPOL tīmekļa vietnē http://docs.peppol.eu/poacc/billing/3.0/.</w:t>
            </w:r>
            <w:r w:rsidR="00523959" w:rsidRPr="00AC37A9">
              <w:rPr>
                <w:color w:val="000000" w:themeColor="text1"/>
                <w:sz w:val="22"/>
                <w:szCs w:val="22"/>
              </w:rPr>
              <w:t>”</w:t>
            </w:r>
          </w:p>
          <w:p w14:paraId="2C76AF01" w14:textId="77777777" w:rsidR="008A64FB" w:rsidRPr="00AC37A9" w:rsidRDefault="008A64FB" w:rsidP="00523959">
            <w:pPr>
              <w:rPr>
                <w:sz w:val="22"/>
                <w:szCs w:val="22"/>
              </w:rPr>
            </w:pPr>
          </w:p>
        </w:tc>
      </w:tr>
      <w:tr w:rsidR="00523959" w:rsidRPr="00AC37A9" w14:paraId="6E4635E2" w14:textId="77777777" w:rsidTr="00781479">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8C9A86D" w14:textId="721922BE" w:rsidR="00523959" w:rsidRPr="00AC37A9" w:rsidRDefault="007B2BFF" w:rsidP="00371A58">
            <w:pPr>
              <w:pStyle w:val="naisc"/>
              <w:spacing w:before="0" w:after="0"/>
              <w:rPr>
                <w:color w:val="000000" w:themeColor="text1"/>
                <w:sz w:val="22"/>
                <w:szCs w:val="22"/>
              </w:rPr>
            </w:pPr>
            <w:r>
              <w:rPr>
                <w:color w:val="000000" w:themeColor="text1"/>
                <w:sz w:val="22"/>
                <w:szCs w:val="22"/>
              </w:rPr>
              <w:lastRenderedPageBreak/>
              <w:t>11.</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3B4F0C47" w14:textId="77777777" w:rsidR="00523959" w:rsidRPr="00AC37A9" w:rsidRDefault="00523959" w:rsidP="00371A58">
            <w:pPr>
              <w:pStyle w:val="naisc"/>
              <w:spacing w:before="0" w:after="0"/>
              <w:jc w:val="both"/>
              <w:rPr>
                <w:color w:val="000000" w:themeColor="text1"/>
                <w:sz w:val="22"/>
                <w:szCs w:val="22"/>
              </w:rPr>
            </w:pPr>
            <w:r w:rsidRPr="00AC37A9">
              <w:rPr>
                <w:b/>
                <w:color w:val="000000" w:themeColor="text1"/>
                <w:sz w:val="22"/>
                <w:szCs w:val="22"/>
              </w:rPr>
              <w:t>Anotācijas I sadaļas 2.punkts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6296DFD9" w14:textId="77777777" w:rsidR="00523959" w:rsidRPr="00AC37A9" w:rsidRDefault="00523959" w:rsidP="00371A58">
            <w:pPr>
              <w:jc w:val="both"/>
              <w:rPr>
                <w:b/>
                <w:color w:val="000000" w:themeColor="text1"/>
                <w:sz w:val="22"/>
                <w:szCs w:val="22"/>
              </w:rPr>
            </w:pPr>
            <w:r w:rsidRPr="00AC37A9">
              <w:rPr>
                <w:b/>
                <w:color w:val="000000" w:themeColor="text1"/>
                <w:sz w:val="22"/>
                <w:szCs w:val="22"/>
              </w:rPr>
              <w:t>Vides aizsardzības un reģionālās attīstības ministrija</w:t>
            </w:r>
          </w:p>
          <w:p w14:paraId="511682CA" w14:textId="77777777" w:rsidR="00523959" w:rsidRPr="00AC37A9" w:rsidRDefault="00523959" w:rsidP="00371A58">
            <w:pPr>
              <w:jc w:val="both"/>
              <w:rPr>
                <w:color w:val="000000" w:themeColor="text1"/>
                <w:sz w:val="22"/>
                <w:szCs w:val="22"/>
              </w:rPr>
            </w:pPr>
            <w:r w:rsidRPr="00AC37A9">
              <w:rPr>
                <w:color w:val="000000" w:themeColor="text1"/>
                <w:sz w:val="22"/>
                <w:szCs w:val="22"/>
              </w:rPr>
              <w:t>Anotācijas sadaļā “</w:t>
            </w:r>
            <w:r w:rsidRPr="00AC37A9">
              <w:rPr>
                <w:bCs/>
                <w:color w:val="000000" w:themeColor="text1"/>
                <w:sz w:val="22"/>
                <w:szCs w:val="22"/>
              </w:rPr>
              <w:t xml:space="preserve">I. Tiesību akta projekta izstrādes nepieciešamība” (Standarta piemērošana, </w:t>
            </w:r>
            <w:r w:rsidRPr="00AC37A9">
              <w:rPr>
                <w:color w:val="000000" w:themeColor="text1"/>
                <w:sz w:val="22"/>
                <w:szCs w:val="22"/>
              </w:rPr>
              <w:t>5.lpp.) ir minēts: “Konkrētas sintakses izmantošana nodrošina izmaksu samazinājuma iespējams iekšzemes darījumiem Latvijā, jo neveidojot paralēlu atbalstu divām sintaksēm netiks izmantoti piegādes pakalpojumu sniedzēji un tiks nodrošināta ekonomiski izdevīgāka elektronisko rēķinu aprite. Tajā pašā laikā prasību definēšana šādā veidā nodrošina tehnoloģiskās neitralitātes ievērošanu, kā arī neliedz privātpersonu vajadzībām iegādāties vai veidot informācijas sistēmas, kas atbalsta vairākas sintakses (vai vairākus standartus), ja tās uzskata šādu rīcību par nepieciešamu (jo sevišķi, ja attiecīgās personas sadarbojas ar trešajām valstīm, kurās tiek izmantotas atšķirīgas sintakses vai standarti elektronisko rēķinu apritē).”</w:t>
            </w:r>
          </w:p>
          <w:p w14:paraId="276A0C98" w14:textId="3C8CCF0C" w:rsidR="00523959" w:rsidRPr="00AC37A9" w:rsidRDefault="00523959" w:rsidP="00523959">
            <w:pPr>
              <w:jc w:val="both"/>
              <w:rPr>
                <w:color w:val="000000" w:themeColor="text1"/>
                <w:sz w:val="22"/>
                <w:szCs w:val="22"/>
              </w:rPr>
            </w:pPr>
            <w:r w:rsidRPr="00AC37A9">
              <w:rPr>
                <w:color w:val="000000" w:themeColor="text1"/>
                <w:sz w:val="22"/>
                <w:szCs w:val="22"/>
              </w:rPr>
              <w:t xml:space="preserve">VARAM lūdz minēto tekstu dzēst no anotācijas, jo nav pamata apgalvot, ka jāorientējas tikai uz </w:t>
            </w:r>
            <w:r w:rsidRPr="00AC37A9">
              <w:rPr>
                <w:color w:val="000000" w:themeColor="text1"/>
                <w:sz w:val="22"/>
                <w:szCs w:val="22"/>
              </w:rPr>
              <w:lastRenderedPageBreak/>
              <w:t>vienu elektroniskā rēķina pieraksta sintaksi, jo grāmatvedības sistēmām (īpaši tām, kuras tiek lietotas valsts pārvaldē) ir jāspēj apstrādāt elektroniskos rēķinus, kas sagatavoti kā minimums, lietojot 2 sintakses (kas savā starpā ir mehāniski konvertējamas).</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444D2B0A" w14:textId="77777777" w:rsidR="00523959" w:rsidRPr="00AC37A9" w:rsidRDefault="00523959" w:rsidP="00AC37A9">
            <w:pPr>
              <w:pStyle w:val="naisc"/>
              <w:spacing w:before="0" w:after="0"/>
              <w:jc w:val="both"/>
              <w:rPr>
                <w:b/>
                <w:color w:val="000000" w:themeColor="text1"/>
                <w:sz w:val="22"/>
                <w:szCs w:val="22"/>
                <w:lang w:eastAsia="ar-SA"/>
              </w:rPr>
            </w:pPr>
            <w:r w:rsidRPr="00AC37A9">
              <w:rPr>
                <w:b/>
                <w:color w:val="000000" w:themeColor="text1"/>
                <w:sz w:val="22"/>
                <w:szCs w:val="22"/>
                <w:lang w:eastAsia="ar-SA"/>
              </w:rPr>
              <w:lastRenderedPageBreak/>
              <w:t>Ņemts vērā</w:t>
            </w:r>
          </w:p>
          <w:p w14:paraId="093805AC" w14:textId="22AD78F9" w:rsidR="00523959" w:rsidRPr="00AC37A9" w:rsidRDefault="00523959" w:rsidP="00AC37A9">
            <w:pPr>
              <w:jc w:val="both"/>
              <w:rPr>
                <w:color w:val="000000" w:themeColor="text1"/>
                <w:sz w:val="22"/>
                <w:szCs w:val="22"/>
              </w:rPr>
            </w:pPr>
            <w:r w:rsidRPr="00AC37A9">
              <w:rPr>
                <w:color w:val="000000" w:themeColor="text1"/>
                <w:sz w:val="22"/>
                <w:szCs w:val="22"/>
                <w:lang w:eastAsia="ar-SA"/>
              </w:rPr>
              <w:t xml:space="preserve">Finanšu ministrija piekrīt </w:t>
            </w:r>
            <w:r w:rsidRPr="00AC37A9">
              <w:rPr>
                <w:color w:val="000000" w:themeColor="text1"/>
                <w:sz w:val="22"/>
                <w:szCs w:val="22"/>
              </w:rPr>
              <w:t xml:space="preserve">Vides aizsardzības un reģionālās attīstības ministrijas viedoklim par </w:t>
            </w:r>
            <w:r w:rsidR="009A05CF" w:rsidRPr="00AC37A9">
              <w:rPr>
                <w:color w:val="000000" w:themeColor="text1"/>
                <w:sz w:val="22"/>
                <w:szCs w:val="22"/>
              </w:rPr>
              <w:t>vienas sintakses izmantošanu tiktāl ciktāl tas attiecas uz minēto noteikumu projektu.</w:t>
            </w:r>
          </w:p>
          <w:p w14:paraId="61451672" w14:textId="77777777" w:rsidR="00523959" w:rsidRPr="00AC37A9" w:rsidRDefault="00523959" w:rsidP="00AC37A9">
            <w:pPr>
              <w:pStyle w:val="naisc"/>
              <w:spacing w:before="0" w:after="0"/>
              <w:jc w:val="both"/>
              <w:rPr>
                <w:b/>
                <w:color w:val="000000" w:themeColor="text1"/>
                <w:sz w:val="22"/>
                <w:szCs w:val="22"/>
              </w:rPr>
            </w:pPr>
          </w:p>
          <w:p w14:paraId="1DB3BDD4" w14:textId="77777777" w:rsidR="00523959" w:rsidRPr="00AC37A9" w:rsidRDefault="00523959" w:rsidP="00AC37A9">
            <w:pPr>
              <w:pStyle w:val="naisc"/>
              <w:spacing w:before="0" w:after="0"/>
              <w:jc w:val="both"/>
              <w:rPr>
                <w:b/>
                <w:color w:val="000000" w:themeColor="text1"/>
                <w:sz w:val="22"/>
                <w:szCs w:val="22"/>
              </w:rPr>
            </w:pPr>
          </w:p>
          <w:p w14:paraId="2A71FD95" w14:textId="3418EDB9" w:rsidR="00523959" w:rsidRPr="00AC37A9" w:rsidRDefault="00523959" w:rsidP="00AC37A9">
            <w:pPr>
              <w:pStyle w:val="naisc"/>
              <w:spacing w:before="0" w:after="0"/>
              <w:jc w:val="both"/>
              <w:rPr>
                <w:b/>
                <w:color w:val="000000" w:themeColor="text1"/>
                <w:sz w:val="22"/>
                <w:szCs w:val="22"/>
              </w:rPr>
            </w:pPr>
          </w:p>
        </w:tc>
        <w:tc>
          <w:tcPr>
            <w:tcW w:w="3576" w:type="dxa"/>
            <w:tcBorders>
              <w:top w:val="single" w:sz="4" w:space="0" w:color="auto"/>
              <w:left w:val="single" w:sz="4" w:space="0" w:color="auto"/>
              <w:bottom w:val="single" w:sz="4" w:space="0" w:color="auto"/>
            </w:tcBorders>
            <w:shd w:val="clear" w:color="auto" w:fill="auto"/>
          </w:tcPr>
          <w:p w14:paraId="721A1937" w14:textId="77777777" w:rsidR="00523959" w:rsidRPr="00AC37A9" w:rsidRDefault="00523959" w:rsidP="00371A58">
            <w:pPr>
              <w:jc w:val="both"/>
              <w:rPr>
                <w:color w:val="000000" w:themeColor="text1"/>
                <w:sz w:val="22"/>
                <w:szCs w:val="22"/>
              </w:rPr>
            </w:pPr>
            <w:r w:rsidRPr="00AC37A9">
              <w:rPr>
                <w:b/>
                <w:color w:val="000000" w:themeColor="text1"/>
                <w:sz w:val="22"/>
                <w:szCs w:val="22"/>
              </w:rPr>
              <w:t>Precizēts anotācijas I sadaļas 2.punkts</w:t>
            </w:r>
          </w:p>
        </w:tc>
      </w:tr>
      <w:tr w:rsidR="009A05CF" w:rsidRPr="00AC37A9" w14:paraId="26DDD35F" w14:textId="77777777" w:rsidTr="00781479">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778DDDD3" w14:textId="5E8BF2FC" w:rsidR="009A05CF" w:rsidRPr="00AC37A9" w:rsidRDefault="007B2BFF" w:rsidP="00371A58">
            <w:pPr>
              <w:pStyle w:val="naisc"/>
              <w:spacing w:before="0" w:after="0"/>
              <w:rPr>
                <w:color w:val="000000" w:themeColor="text1"/>
                <w:sz w:val="22"/>
                <w:szCs w:val="22"/>
              </w:rPr>
            </w:pPr>
            <w:r>
              <w:rPr>
                <w:color w:val="000000" w:themeColor="text1"/>
                <w:sz w:val="22"/>
                <w:szCs w:val="22"/>
              </w:rPr>
              <w:t>12.</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1883DB7F" w14:textId="77777777" w:rsidR="009A05CF" w:rsidRPr="00AC37A9" w:rsidRDefault="009A05CF" w:rsidP="00371A58">
            <w:pPr>
              <w:pStyle w:val="naisc"/>
              <w:spacing w:before="0" w:after="0"/>
              <w:jc w:val="both"/>
              <w:rPr>
                <w:b/>
                <w:color w:val="000000" w:themeColor="text1"/>
                <w:sz w:val="22"/>
                <w:szCs w:val="22"/>
              </w:rPr>
            </w:pPr>
            <w:r w:rsidRPr="00AC37A9">
              <w:rPr>
                <w:b/>
                <w:color w:val="000000" w:themeColor="text1"/>
                <w:sz w:val="22"/>
                <w:szCs w:val="22"/>
              </w:rPr>
              <w:t>Anotācijas I sadaļas 2.punkts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58843B9" w14:textId="77777777" w:rsidR="009A05CF" w:rsidRPr="00AC37A9" w:rsidRDefault="009A05CF" w:rsidP="00371A58">
            <w:pPr>
              <w:jc w:val="both"/>
              <w:rPr>
                <w:b/>
                <w:color w:val="000000" w:themeColor="text1"/>
                <w:sz w:val="22"/>
                <w:szCs w:val="22"/>
              </w:rPr>
            </w:pPr>
            <w:r w:rsidRPr="00AC37A9">
              <w:rPr>
                <w:b/>
                <w:color w:val="000000" w:themeColor="text1"/>
                <w:sz w:val="22"/>
                <w:szCs w:val="22"/>
              </w:rPr>
              <w:t>Vides aizsardzības un reģionālās attīstības ministrija</w:t>
            </w:r>
          </w:p>
          <w:p w14:paraId="279AC69B" w14:textId="77777777" w:rsidR="009A05CF" w:rsidRPr="00AC37A9" w:rsidRDefault="009A05CF" w:rsidP="00371A58">
            <w:pPr>
              <w:jc w:val="both"/>
              <w:rPr>
                <w:color w:val="000000" w:themeColor="text1"/>
                <w:sz w:val="22"/>
                <w:szCs w:val="22"/>
              </w:rPr>
            </w:pPr>
            <w:r w:rsidRPr="00AC37A9">
              <w:rPr>
                <w:color w:val="000000" w:themeColor="text1"/>
                <w:sz w:val="22"/>
                <w:szCs w:val="22"/>
              </w:rPr>
              <w:t>Atbilstoši direktīvai 2014/55/ES un Eiropas Komisijas 2017.gada 16.oktobra īstenošanas lēmumā Nr.2017/1870 noteiktajam standartam un sintakšu sarakstam, kas minēts arī šo noteikumu anotācijā, kā obligāti pieņemamas ir nosauktas 2 sintakses - ISO/IEC  19845 (UBL 2.1) un UN/CEFACT CII D16B, kā neobligāta - UN/EDIFACT CII. Tas nozīmē, ka grāmatvedības sistēmām (kuras tiek lietotas valsts pārvaldē) ir jāspēj apstrādāt elektroniskos rēķinus, kas sagatavoti kā minimums, lietojot 2 sintakses (kas savā starpā ir mehāniski konvertējamas), un ir nepamatoti izvirzīt prasību Latvijā reģistrētiem lietotājiem iesniegt tikai UBL sintaksē sagatavotus elektroniskos rēķinus.</w:t>
            </w:r>
          </w:p>
          <w:p w14:paraId="681B8603" w14:textId="6EFA292D" w:rsidR="009A05CF" w:rsidRPr="00410785" w:rsidRDefault="009A05CF" w:rsidP="00371A58">
            <w:pPr>
              <w:jc w:val="both"/>
              <w:rPr>
                <w:color w:val="000000" w:themeColor="text1"/>
                <w:sz w:val="22"/>
                <w:szCs w:val="22"/>
              </w:rPr>
            </w:pPr>
            <w:r w:rsidRPr="00AC37A9">
              <w:rPr>
                <w:color w:val="000000" w:themeColor="text1"/>
                <w:sz w:val="22"/>
                <w:szCs w:val="22"/>
              </w:rPr>
              <w:t>Līdz ar to Anotācijas sadaļā “</w:t>
            </w:r>
            <w:r w:rsidRPr="00AC37A9">
              <w:rPr>
                <w:bCs/>
                <w:color w:val="000000" w:themeColor="text1"/>
                <w:sz w:val="22"/>
                <w:szCs w:val="22"/>
              </w:rPr>
              <w:t xml:space="preserve">I. Tiesību akta projekta izstrādes nepieciešamība” (Standarta piemērošana, </w:t>
            </w:r>
            <w:r w:rsidRPr="00AC37A9">
              <w:rPr>
                <w:color w:val="000000" w:themeColor="text1"/>
                <w:sz w:val="22"/>
                <w:szCs w:val="22"/>
              </w:rPr>
              <w:t xml:space="preserve">5.lpp.) tekstu: “Eiropas Komisija līdz šim ir </w:t>
            </w:r>
            <w:r w:rsidRPr="00AC37A9">
              <w:rPr>
                <w:color w:val="000000" w:themeColor="text1"/>
                <w:sz w:val="22"/>
                <w:szCs w:val="22"/>
              </w:rPr>
              <w:lastRenderedPageBreak/>
              <w:t xml:space="preserve">sniegusi neviennozīmīgas atbildes par to, vai ārvalstniekiem var prasīt elektroniskā rēķina atbilstību Latvijas definētajam CIUS un vienai konkrētai sintaksei.” VARAM lūdz aizstāt ar šādu tekstu: </w:t>
            </w:r>
            <w:r w:rsidRPr="00AC37A9">
              <w:rPr>
                <w:i/>
                <w:color w:val="000000" w:themeColor="text1"/>
                <w:sz w:val="22"/>
                <w:szCs w:val="22"/>
              </w:rPr>
              <w:t>“Eiropas Komisija līdz šim ir sniegusi neviennozīmīgas atbildes par to, vai ārvalstniekiem var prasīt elektroniskā rēķina atbilstību Latvijas definētajam CIUS.”</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02F0FDEE" w14:textId="77777777" w:rsidR="009A05CF" w:rsidRPr="00AC37A9" w:rsidRDefault="009A05CF" w:rsidP="00AC37A9">
            <w:pPr>
              <w:pStyle w:val="naisc"/>
              <w:spacing w:before="0" w:after="0"/>
              <w:jc w:val="both"/>
              <w:rPr>
                <w:b/>
                <w:color w:val="000000" w:themeColor="text1"/>
                <w:sz w:val="22"/>
                <w:szCs w:val="22"/>
              </w:rPr>
            </w:pPr>
            <w:r w:rsidRPr="00AC37A9">
              <w:rPr>
                <w:b/>
                <w:color w:val="000000" w:themeColor="text1"/>
                <w:sz w:val="22"/>
                <w:szCs w:val="22"/>
                <w:lang w:eastAsia="ar-SA"/>
              </w:rPr>
              <w:lastRenderedPageBreak/>
              <w:t>Ņemts vērā</w:t>
            </w:r>
          </w:p>
        </w:tc>
        <w:tc>
          <w:tcPr>
            <w:tcW w:w="3576" w:type="dxa"/>
            <w:tcBorders>
              <w:top w:val="single" w:sz="4" w:space="0" w:color="auto"/>
              <w:left w:val="single" w:sz="4" w:space="0" w:color="auto"/>
              <w:bottom w:val="single" w:sz="4" w:space="0" w:color="auto"/>
            </w:tcBorders>
            <w:shd w:val="clear" w:color="auto" w:fill="auto"/>
          </w:tcPr>
          <w:p w14:paraId="724A48F5" w14:textId="77777777" w:rsidR="009A05CF" w:rsidRPr="00AC37A9" w:rsidRDefault="009A05CF" w:rsidP="00371A58">
            <w:pPr>
              <w:jc w:val="both"/>
              <w:rPr>
                <w:b/>
                <w:color w:val="000000" w:themeColor="text1"/>
                <w:sz w:val="22"/>
                <w:szCs w:val="22"/>
              </w:rPr>
            </w:pPr>
            <w:r w:rsidRPr="00AC37A9">
              <w:rPr>
                <w:b/>
                <w:color w:val="000000" w:themeColor="text1"/>
                <w:sz w:val="22"/>
                <w:szCs w:val="22"/>
              </w:rPr>
              <w:t>Precizēts anotācijas I sadaļas 2.punkts</w:t>
            </w:r>
          </w:p>
        </w:tc>
      </w:tr>
      <w:tr w:rsidR="008A64FB" w:rsidRPr="00AC37A9" w14:paraId="2841FBE3" w14:textId="77777777" w:rsidTr="00781479">
        <w:tc>
          <w:tcPr>
            <w:tcW w:w="567" w:type="dxa"/>
            <w:tcBorders>
              <w:top w:val="single" w:sz="6" w:space="0" w:color="000000"/>
              <w:left w:val="single" w:sz="6" w:space="0" w:color="000000"/>
              <w:bottom w:val="single" w:sz="6" w:space="0" w:color="000000"/>
              <w:right w:val="single" w:sz="6" w:space="0" w:color="000000"/>
            </w:tcBorders>
          </w:tcPr>
          <w:p w14:paraId="5B1B59AF" w14:textId="3D2BFEE6" w:rsidR="008A64FB" w:rsidRPr="00AC37A9" w:rsidRDefault="007B2BFF" w:rsidP="00155D68">
            <w:pPr>
              <w:pStyle w:val="naisc"/>
              <w:spacing w:before="0" w:after="0"/>
              <w:rPr>
                <w:color w:val="000000" w:themeColor="text1"/>
                <w:sz w:val="22"/>
                <w:szCs w:val="22"/>
              </w:rPr>
            </w:pPr>
            <w:r>
              <w:rPr>
                <w:color w:val="000000" w:themeColor="text1"/>
                <w:sz w:val="22"/>
                <w:szCs w:val="22"/>
              </w:rPr>
              <w:t>13.</w:t>
            </w:r>
          </w:p>
        </w:tc>
        <w:tc>
          <w:tcPr>
            <w:tcW w:w="3543" w:type="dxa"/>
            <w:gridSpan w:val="2"/>
            <w:tcBorders>
              <w:top w:val="single" w:sz="6" w:space="0" w:color="000000"/>
              <w:left w:val="single" w:sz="6" w:space="0" w:color="000000"/>
              <w:bottom w:val="single" w:sz="6" w:space="0" w:color="000000"/>
              <w:right w:val="single" w:sz="6" w:space="0" w:color="000000"/>
            </w:tcBorders>
          </w:tcPr>
          <w:p w14:paraId="76818345" w14:textId="1BA0E5E2" w:rsidR="00164FD8" w:rsidRPr="00AC37A9" w:rsidRDefault="00164FD8" w:rsidP="00164FD8">
            <w:pPr>
              <w:pStyle w:val="naisc"/>
              <w:jc w:val="both"/>
              <w:rPr>
                <w:b/>
                <w:color w:val="000000" w:themeColor="text1"/>
                <w:sz w:val="22"/>
                <w:szCs w:val="22"/>
              </w:rPr>
            </w:pPr>
            <w:r w:rsidRPr="00AC37A9">
              <w:rPr>
                <w:b/>
                <w:color w:val="000000" w:themeColor="text1"/>
                <w:sz w:val="22"/>
                <w:szCs w:val="22"/>
              </w:rPr>
              <w:t>Noteikumu projekta 5.punkts:</w:t>
            </w:r>
          </w:p>
          <w:p w14:paraId="66A8CFF0" w14:textId="62914065" w:rsidR="00164FD8" w:rsidRPr="00AC37A9" w:rsidRDefault="00164FD8" w:rsidP="00164FD8">
            <w:pPr>
              <w:pStyle w:val="naisc"/>
              <w:jc w:val="both"/>
              <w:rPr>
                <w:color w:val="000000" w:themeColor="text1"/>
                <w:sz w:val="22"/>
                <w:szCs w:val="22"/>
              </w:rPr>
            </w:pPr>
            <w:r w:rsidRPr="00AC37A9">
              <w:rPr>
                <w:color w:val="000000" w:themeColor="text1"/>
                <w:sz w:val="22"/>
                <w:szCs w:val="22"/>
              </w:rPr>
              <w:t>5. Pasūtītājs, sabiedrisko pakalpojumu sniedzējs vai publiskais partneris vai tā pārstāvis nodrošina iespēju piegādātājiem iesniegt elektroniskos rēķinus, izmantojot šādus elektronisko rēķinu piegādes kanālus:</w:t>
            </w:r>
          </w:p>
          <w:p w14:paraId="753E055F" w14:textId="1EEE1C1F" w:rsidR="00164FD8" w:rsidRPr="00AC37A9" w:rsidRDefault="00164FD8" w:rsidP="00164FD8">
            <w:pPr>
              <w:pStyle w:val="naisc"/>
              <w:numPr>
                <w:ilvl w:val="1"/>
                <w:numId w:val="15"/>
              </w:numPr>
              <w:jc w:val="both"/>
              <w:rPr>
                <w:color w:val="000000" w:themeColor="text1"/>
                <w:sz w:val="22"/>
                <w:szCs w:val="22"/>
              </w:rPr>
            </w:pPr>
            <w:r w:rsidRPr="00AC37A9">
              <w:rPr>
                <w:color w:val="000000" w:themeColor="text1"/>
                <w:sz w:val="22"/>
                <w:szCs w:val="22"/>
              </w:rPr>
              <w:t>nosūtot uz elektroniskā pasta adresi, kas norādīta pasūtītāja, sabiedrisko pakalpojumu sniedzēja vai publiskā partnera vai tā pārstāvja tīmekļa vietnē un kas izmantojama saziņai ar attiecīgo pasūtītāju, sabiedrisko pakalpojumu sniedzēju vai publisko partneri vai tā pārstāvi;</w:t>
            </w:r>
          </w:p>
          <w:p w14:paraId="67610FE3" w14:textId="78A09CA1" w:rsidR="00164FD8" w:rsidRPr="00AC37A9" w:rsidRDefault="00164FD8" w:rsidP="00164FD8">
            <w:pPr>
              <w:pStyle w:val="naisc"/>
              <w:numPr>
                <w:ilvl w:val="1"/>
                <w:numId w:val="15"/>
              </w:numPr>
              <w:jc w:val="both"/>
              <w:rPr>
                <w:color w:val="000000" w:themeColor="text1"/>
                <w:sz w:val="22"/>
                <w:szCs w:val="22"/>
              </w:rPr>
            </w:pPr>
            <w:r w:rsidRPr="00AC37A9">
              <w:rPr>
                <w:color w:val="000000" w:themeColor="text1"/>
                <w:sz w:val="22"/>
                <w:szCs w:val="22"/>
              </w:rPr>
              <w:t xml:space="preserve">nosūtot uz oficiālo elektronisko adresi (pieejama Latvijā reģistrētiem vai pastāvīgi dzīvojošiem piegādātājiem elektronisko rēķinu piegādei </w:t>
            </w:r>
            <w:r w:rsidRPr="00AC37A9">
              <w:rPr>
                <w:color w:val="000000" w:themeColor="text1"/>
                <w:sz w:val="22"/>
                <w:szCs w:val="22"/>
              </w:rPr>
              <w:lastRenderedPageBreak/>
              <w:t>valsts pārvaldes iestādēm, pašvaldībām un to iestādēm);</w:t>
            </w:r>
          </w:p>
          <w:p w14:paraId="11AB5368" w14:textId="4A93B279" w:rsidR="00164FD8" w:rsidRPr="00AC37A9" w:rsidRDefault="00164FD8" w:rsidP="00164FD8">
            <w:pPr>
              <w:pStyle w:val="naisc"/>
              <w:numPr>
                <w:ilvl w:val="1"/>
                <w:numId w:val="15"/>
              </w:numPr>
              <w:jc w:val="both"/>
              <w:rPr>
                <w:color w:val="000000" w:themeColor="text1"/>
                <w:sz w:val="22"/>
                <w:szCs w:val="22"/>
              </w:rPr>
            </w:pPr>
            <w:r w:rsidRPr="00AC37A9">
              <w:rPr>
                <w:color w:val="000000" w:themeColor="text1"/>
                <w:sz w:val="22"/>
                <w:szCs w:val="22"/>
              </w:rPr>
              <w:t>citā veidā, kas norādīts iepirkuma līgumā vai publiskās un privātās partnerības līgumā.”</w:t>
            </w:r>
          </w:p>
          <w:p w14:paraId="434C85C9" w14:textId="77777777" w:rsidR="008A64FB" w:rsidRPr="00AC37A9" w:rsidRDefault="008A64FB" w:rsidP="00164FD8">
            <w:pPr>
              <w:pStyle w:val="naisc"/>
              <w:spacing w:before="0" w:after="0"/>
              <w:jc w:val="left"/>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tcPr>
          <w:p w14:paraId="3F14070F" w14:textId="77777777" w:rsidR="00164FD8" w:rsidRPr="00AC37A9" w:rsidRDefault="00164FD8" w:rsidP="00164FD8">
            <w:pPr>
              <w:jc w:val="both"/>
              <w:rPr>
                <w:b/>
                <w:color w:val="000000" w:themeColor="text1"/>
                <w:sz w:val="22"/>
                <w:szCs w:val="22"/>
              </w:rPr>
            </w:pPr>
            <w:r w:rsidRPr="00AC37A9">
              <w:rPr>
                <w:b/>
                <w:color w:val="000000" w:themeColor="text1"/>
                <w:sz w:val="22"/>
                <w:szCs w:val="22"/>
              </w:rPr>
              <w:lastRenderedPageBreak/>
              <w:t>Vides aizsardzības un reģionālās attīstības ministrija</w:t>
            </w:r>
          </w:p>
          <w:p w14:paraId="7E5FA6C2" w14:textId="77777777" w:rsidR="00164FD8" w:rsidRPr="00AC37A9" w:rsidRDefault="00164FD8" w:rsidP="00164FD8">
            <w:pPr>
              <w:jc w:val="both"/>
              <w:rPr>
                <w:color w:val="000000" w:themeColor="text1"/>
                <w:sz w:val="22"/>
                <w:szCs w:val="22"/>
              </w:rPr>
            </w:pPr>
            <w:r w:rsidRPr="00AC37A9">
              <w:rPr>
                <w:color w:val="000000" w:themeColor="text1"/>
                <w:sz w:val="22"/>
                <w:szCs w:val="22"/>
              </w:rPr>
              <w:t xml:space="preserve">Visiem publiskā iepirkuma procesa dalībniekiem, kas ir aktivizējuši oficiālo elektronisko adresi vai normatīvajos aktos tās lietošana ir noteikta obligāta, tas ir vienīgais elektronisko rēķinu iesniegšanas kanāls. Elektroniskais pasts ir spēkā līdz brīdim, kamēr oficiālās elektroniskās adreses lietošana nav obligāta (šobrīd Uzņēmumu reģistra reģistros reģistrētiem subjektiem 2020. gada 1. janvāris) un tiem ārvalstniekiem, kuriem oficiālās elektroniskās adreses lietošana nav obligāta. </w:t>
            </w:r>
          </w:p>
          <w:p w14:paraId="368D584A" w14:textId="77777777" w:rsidR="00164FD8" w:rsidRPr="00AC37A9" w:rsidRDefault="00164FD8" w:rsidP="00164FD8">
            <w:pPr>
              <w:jc w:val="both"/>
              <w:rPr>
                <w:color w:val="000000" w:themeColor="text1"/>
                <w:sz w:val="22"/>
                <w:szCs w:val="22"/>
              </w:rPr>
            </w:pPr>
            <w:r w:rsidRPr="00AC37A9">
              <w:rPr>
                <w:color w:val="000000" w:themeColor="text1"/>
                <w:sz w:val="22"/>
                <w:szCs w:val="22"/>
              </w:rPr>
              <w:t xml:space="preserve">Tāpat nedrīkst ignorēt iespēju, ka, neskatoties uz aktivizētu oficiālo elektronisko adresi, komersantiem var būt izdevīgāk lietot dažādus elektronisko rēķinu aprites mezglus, tīklus utt. elektronisko rēķinu piegādei. Šādās situācijās ir </w:t>
            </w:r>
            <w:r w:rsidRPr="00AC37A9">
              <w:rPr>
                <w:color w:val="000000" w:themeColor="text1"/>
                <w:sz w:val="22"/>
                <w:szCs w:val="22"/>
              </w:rPr>
              <w:lastRenderedPageBreak/>
              <w:t>svarīgi noteikt, ka to atļauts darīt ar nosacījumu, ja šie tīkli ir integrējuši savu risinājumu ar oficiālo elektronisko adresi un šādā tīklā iesūtīts elektroniskais rēķins nonāk pie adresāta elektroniskajā adresē. Integrācija nav valsts atbildība, jo valstij ir oficiālā elektroniskā adrese.</w:t>
            </w:r>
          </w:p>
          <w:p w14:paraId="6780D371" w14:textId="77777777" w:rsidR="00164FD8" w:rsidRPr="00AC37A9" w:rsidRDefault="00164FD8" w:rsidP="00024954">
            <w:pPr>
              <w:jc w:val="both"/>
              <w:rPr>
                <w:color w:val="000000" w:themeColor="text1"/>
                <w:sz w:val="22"/>
                <w:szCs w:val="22"/>
              </w:rPr>
            </w:pPr>
            <w:r w:rsidRPr="00AC37A9">
              <w:rPr>
                <w:color w:val="000000" w:themeColor="text1"/>
                <w:sz w:val="22"/>
                <w:szCs w:val="22"/>
              </w:rPr>
              <w:t>Ņemot vērā minēto, VARAM piedāvā noteikumu projekta 5.punktu:</w:t>
            </w:r>
          </w:p>
          <w:p w14:paraId="543C779B" w14:textId="77777777" w:rsidR="00164FD8" w:rsidRPr="00AC37A9" w:rsidRDefault="00164FD8" w:rsidP="00164FD8">
            <w:pPr>
              <w:jc w:val="both"/>
              <w:rPr>
                <w:color w:val="000000" w:themeColor="text1"/>
                <w:sz w:val="22"/>
                <w:szCs w:val="22"/>
              </w:rPr>
            </w:pPr>
            <w:r w:rsidRPr="00AC37A9">
              <w:rPr>
                <w:color w:val="000000" w:themeColor="text1"/>
                <w:sz w:val="22"/>
                <w:szCs w:val="22"/>
              </w:rPr>
              <w:t>“5.</w:t>
            </w:r>
            <w:r w:rsidRPr="00AC37A9">
              <w:rPr>
                <w:color w:val="000000" w:themeColor="text1"/>
                <w:sz w:val="22"/>
                <w:szCs w:val="22"/>
              </w:rPr>
              <w:tab/>
              <w:t>Pasūtītājs, sabiedrisko pakalpojumu sniedzējs vai publiskais partneris vai tā pārstāvis nodrošina iespēju piegādātājiem iesniegt elektroniskos rēķinus, izmantojot šādus elektronisko rēķinu piegādes kanālus:</w:t>
            </w:r>
          </w:p>
          <w:p w14:paraId="2EC5622E" w14:textId="77777777" w:rsidR="00164FD8" w:rsidRPr="00AC37A9" w:rsidRDefault="00164FD8" w:rsidP="00164FD8">
            <w:pPr>
              <w:jc w:val="both"/>
              <w:rPr>
                <w:color w:val="000000" w:themeColor="text1"/>
                <w:sz w:val="22"/>
                <w:szCs w:val="22"/>
              </w:rPr>
            </w:pPr>
            <w:r w:rsidRPr="00AC37A9">
              <w:rPr>
                <w:color w:val="000000" w:themeColor="text1"/>
                <w:sz w:val="22"/>
                <w:szCs w:val="22"/>
              </w:rPr>
              <w:t>5.1.</w:t>
            </w:r>
            <w:r w:rsidRPr="00AC37A9">
              <w:rPr>
                <w:color w:val="000000" w:themeColor="text1"/>
                <w:sz w:val="22"/>
                <w:szCs w:val="22"/>
              </w:rPr>
              <w:tab/>
              <w:t>nosūtot uz elektroniskā pasta adresi, kas norādīta pasūtītāja, sabiedrisko pakalpojumu sniedzēja vai publiskā partnera vai tā pārstāvja tīmekļa vietnē un kas izmantojama saziņai ar attiecīgo pasūtītāju, sabiedrisko pakalpojumu sniedzēju vai publisko partneri vai tā pārstāvi;</w:t>
            </w:r>
          </w:p>
          <w:p w14:paraId="655455A0" w14:textId="77777777" w:rsidR="00164FD8" w:rsidRPr="00AC37A9" w:rsidRDefault="00164FD8" w:rsidP="00164FD8">
            <w:pPr>
              <w:jc w:val="both"/>
              <w:rPr>
                <w:color w:val="000000" w:themeColor="text1"/>
                <w:sz w:val="22"/>
                <w:szCs w:val="22"/>
              </w:rPr>
            </w:pPr>
            <w:r w:rsidRPr="00AC37A9">
              <w:rPr>
                <w:color w:val="000000" w:themeColor="text1"/>
                <w:sz w:val="22"/>
                <w:szCs w:val="22"/>
              </w:rPr>
              <w:t>5.2.</w:t>
            </w:r>
            <w:r w:rsidRPr="00AC37A9">
              <w:rPr>
                <w:color w:val="000000" w:themeColor="text1"/>
                <w:sz w:val="22"/>
                <w:szCs w:val="22"/>
              </w:rPr>
              <w:tab/>
              <w:t>nosūtot uz oficiālo elektronisko adresi (pieejama Latvijā reģistrētiem vai pastāvīgi dzīvojošiem piegādātājiem elektronisko rēķinu piegādei valsts pārvaldes iestādēm, pašvaldībām un to iestādēm);</w:t>
            </w:r>
          </w:p>
          <w:p w14:paraId="6F65CFF0" w14:textId="77777777" w:rsidR="00164FD8" w:rsidRPr="00AC37A9" w:rsidRDefault="00164FD8" w:rsidP="00164FD8">
            <w:pPr>
              <w:jc w:val="both"/>
              <w:rPr>
                <w:color w:val="000000" w:themeColor="text1"/>
                <w:sz w:val="22"/>
                <w:szCs w:val="22"/>
              </w:rPr>
            </w:pPr>
            <w:r w:rsidRPr="00AC37A9">
              <w:rPr>
                <w:color w:val="000000" w:themeColor="text1"/>
                <w:sz w:val="22"/>
                <w:szCs w:val="22"/>
              </w:rPr>
              <w:lastRenderedPageBreak/>
              <w:t>5.3.</w:t>
            </w:r>
            <w:r w:rsidRPr="00AC37A9">
              <w:rPr>
                <w:color w:val="000000" w:themeColor="text1"/>
                <w:sz w:val="22"/>
                <w:szCs w:val="22"/>
              </w:rPr>
              <w:tab/>
              <w:t>citā veidā, kas norādīts iepirkuma līgumā vai publiskās un privātās partnerības līgumā.”</w:t>
            </w:r>
          </w:p>
          <w:p w14:paraId="2FE70AD9" w14:textId="77777777" w:rsidR="00164FD8" w:rsidRPr="00AC37A9" w:rsidRDefault="00164FD8" w:rsidP="00164FD8">
            <w:pPr>
              <w:jc w:val="both"/>
              <w:rPr>
                <w:color w:val="000000" w:themeColor="text1"/>
                <w:sz w:val="22"/>
                <w:szCs w:val="22"/>
              </w:rPr>
            </w:pPr>
            <w:r w:rsidRPr="00AC37A9">
              <w:rPr>
                <w:color w:val="000000" w:themeColor="text1"/>
                <w:sz w:val="22"/>
                <w:szCs w:val="22"/>
              </w:rPr>
              <w:t>izteikt šādā redakcijā:</w:t>
            </w:r>
          </w:p>
          <w:p w14:paraId="4D97E698" w14:textId="77777777" w:rsidR="00164FD8" w:rsidRPr="00AC37A9" w:rsidRDefault="00164FD8" w:rsidP="00164FD8">
            <w:pPr>
              <w:jc w:val="both"/>
              <w:rPr>
                <w:i/>
                <w:color w:val="000000" w:themeColor="text1"/>
                <w:sz w:val="22"/>
                <w:szCs w:val="22"/>
              </w:rPr>
            </w:pPr>
            <w:r w:rsidRPr="00AC37A9">
              <w:rPr>
                <w:i/>
                <w:color w:val="000000" w:themeColor="text1"/>
                <w:sz w:val="22"/>
                <w:szCs w:val="22"/>
              </w:rPr>
              <w:t>“5.</w:t>
            </w:r>
            <w:r w:rsidRPr="00AC37A9">
              <w:rPr>
                <w:i/>
                <w:color w:val="000000" w:themeColor="text1"/>
                <w:sz w:val="22"/>
                <w:szCs w:val="22"/>
              </w:rPr>
              <w:tab/>
              <w:t>Pasūtītājs, sabiedrisko pakalpojumu sniedzējs vai publiskais partneris vai tā pārstāvis nodrošina iespēju piegādātājiem iesniegt elektroniskos rēķinus, izmantojot šādus elektronisko rēķinu piegādes kanālus:</w:t>
            </w:r>
          </w:p>
          <w:p w14:paraId="57764529" w14:textId="77777777" w:rsidR="00164FD8" w:rsidRPr="00AC37A9" w:rsidRDefault="00164FD8" w:rsidP="00164FD8">
            <w:pPr>
              <w:jc w:val="both"/>
              <w:rPr>
                <w:i/>
                <w:color w:val="000000" w:themeColor="text1"/>
                <w:sz w:val="22"/>
                <w:szCs w:val="22"/>
              </w:rPr>
            </w:pPr>
            <w:r w:rsidRPr="00AC37A9">
              <w:rPr>
                <w:i/>
                <w:color w:val="000000" w:themeColor="text1"/>
                <w:sz w:val="22"/>
                <w:szCs w:val="22"/>
              </w:rPr>
              <w:t>5.1.</w:t>
            </w:r>
            <w:r w:rsidRPr="00AC37A9">
              <w:rPr>
                <w:i/>
                <w:color w:val="000000" w:themeColor="text1"/>
                <w:sz w:val="22"/>
                <w:szCs w:val="22"/>
              </w:rPr>
              <w:tab/>
              <w:t>oficiālā elektroniskā adrese, piegādātājiem, kuriem saskaņā ar normatīvo regulējumu ir pienākums lietot oficiālo elektronisko adresi;</w:t>
            </w:r>
          </w:p>
          <w:p w14:paraId="6F481DF8" w14:textId="77777777" w:rsidR="00164FD8" w:rsidRPr="00AC37A9" w:rsidRDefault="00164FD8" w:rsidP="00164FD8">
            <w:pPr>
              <w:jc w:val="both"/>
              <w:rPr>
                <w:i/>
                <w:color w:val="000000" w:themeColor="text1"/>
                <w:sz w:val="22"/>
                <w:szCs w:val="22"/>
              </w:rPr>
            </w:pPr>
            <w:r w:rsidRPr="00AC37A9">
              <w:rPr>
                <w:i/>
                <w:color w:val="000000" w:themeColor="text1"/>
                <w:sz w:val="22"/>
                <w:szCs w:val="22"/>
              </w:rPr>
              <w:t>5.2.</w:t>
            </w:r>
            <w:r w:rsidRPr="00AC37A9">
              <w:rPr>
                <w:i/>
                <w:color w:val="000000" w:themeColor="text1"/>
                <w:sz w:val="22"/>
                <w:szCs w:val="22"/>
              </w:rPr>
              <w:tab/>
              <w:t>elektroniskais pasts, piegādātājiem, kuriem saskaņā ar normatīvo regulējumu nav pienākums lietot oficiālo elektronisko adresi (ārzemnieki), vai šis pienākums vēl nav iestājies, nosūtot elektronisko rēķinu uz elektroniskā pasta adresi, kas norādīta pasūtītāja, sabiedrisko pakalpojumu sniedzēja vai publiskā partnera vai tā pārstāvja tīmekļa vietnē un kas izmantojama saziņai ar attiecīgo pasūtītāju, sabiedrisko pakalpojumu sniedzēju vai publisko partneri vai tā pārstāvi;</w:t>
            </w:r>
          </w:p>
          <w:p w14:paraId="69B5497B" w14:textId="01678BAB" w:rsidR="008A64FB" w:rsidRPr="00910E4C" w:rsidRDefault="00164FD8" w:rsidP="00910E4C">
            <w:pPr>
              <w:jc w:val="both"/>
              <w:rPr>
                <w:i/>
                <w:color w:val="000000" w:themeColor="text1"/>
                <w:sz w:val="22"/>
                <w:szCs w:val="22"/>
              </w:rPr>
            </w:pPr>
            <w:r w:rsidRPr="00AC37A9">
              <w:rPr>
                <w:i/>
                <w:color w:val="000000" w:themeColor="text1"/>
                <w:sz w:val="22"/>
                <w:szCs w:val="22"/>
              </w:rPr>
              <w:t xml:space="preserve">5.4. </w:t>
            </w:r>
            <w:r w:rsidRPr="00AC37A9">
              <w:rPr>
                <w:i/>
                <w:color w:val="000000" w:themeColor="text1"/>
                <w:sz w:val="22"/>
                <w:szCs w:val="22"/>
              </w:rPr>
              <w:tab/>
              <w:t xml:space="preserve">citi elektronisko rēķinu piegādes kanāli, kuri ir integrējuši savus risinājumus ar oficiālās elektroniskās adreses risinājumu </w:t>
            </w:r>
            <w:r w:rsidRPr="00AC37A9">
              <w:rPr>
                <w:i/>
                <w:color w:val="000000" w:themeColor="text1"/>
                <w:sz w:val="22"/>
                <w:szCs w:val="22"/>
              </w:rPr>
              <w:lastRenderedPageBreak/>
              <w:t>un lieto oficiālās elektroniskās adreses kanālu rēķinu piegādei valsts pārvaldes iestādēm, piemēram, Eiropas publisko iepirkumu tīkls PEPPOL (</w:t>
            </w:r>
            <w:proofErr w:type="spellStart"/>
            <w:r w:rsidRPr="00AC37A9">
              <w:rPr>
                <w:i/>
                <w:color w:val="000000" w:themeColor="text1"/>
                <w:sz w:val="22"/>
                <w:szCs w:val="22"/>
              </w:rPr>
              <w:t>Pan</w:t>
            </w:r>
            <w:proofErr w:type="spellEnd"/>
            <w:r w:rsidRPr="00AC37A9">
              <w:rPr>
                <w:i/>
                <w:color w:val="000000" w:themeColor="text1"/>
                <w:sz w:val="22"/>
                <w:szCs w:val="22"/>
              </w:rPr>
              <w:t xml:space="preserve"> </w:t>
            </w:r>
            <w:proofErr w:type="spellStart"/>
            <w:r w:rsidRPr="00AC37A9">
              <w:rPr>
                <w:i/>
                <w:color w:val="000000" w:themeColor="text1"/>
                <w:sz w:val="22"/>
                <w:szCs w:val="22"/>
              </w:rPr>
              <w:t>European</w:t>
            </w:r>
            <w:proofErr w:type="spellEnd"/>
            <w:r w:rsidRPr="00AC37A9">
              <w:rPr>
                <w:i/>
                <w:color w:val="000000" w:themeColor="text1"/>
                <w:sz w:val="22"/>
                <w:szCs w:val="22"/>
              </w:rPr>
              <w:t xml:space="preserve"> </w:t>
            </w:r>
            <w:proofErr w:type="spellStart"/>
            <w:r w:rsidRPr="00AC37A9">
              <w:rPr>
                <w:i/>
                <w:color w:val="000000" w:themeColor="text1"/>
                <w:sz w:val="22"/>
                <w:szCs w:val="22"/>
              </w:rPr>
              <w:t>Public</w:t>
            </w:r>
            <w:proofErr w:type="spellEnd"/>
            <w:r w:rsidRPr="00AC37A9">
              <w:rPr>
                <w:i/>
                <w:color w:val="000000" w:themeColor="text1"/>
                <w:sz w:val="22"/>
                <w:szCs w:val="22"/>
              </w:rPr>
              <w:t xml:space="preserve"> </w:t>
            </w:r>
            <w:proofErr w:type="spellStart"/>
            <w:r w:rsidRPr="00AC37A9">
              <w:rPr>
                <w:i/>
                <w:color w:val="000000" w:themeColor="text1"/>
                <w:sz w:val="22"/>
                <w:szCs w:val="22"/>
              </w:rPr>
              <w:t>Procurement</w:t>
            </w:r>
            <w:proofErr w:type="spellEnd"/>
            <w:r w:rsidRPr="00AC37A9">
              <w:rPr>
                <w:i/>
                <w:color w:val="000000" w:themeColor="text1"/>
                <w:sz w:val="22"/>
                <w:szCs w:val="22"/>
              </w:rPr>
              <w:t xml:space="preserve"> </w:t>
            </w:r>
            <w:proofErr w:type="spellStart"/>
            <w:r w:rsidRPr="00AC37A9">
              <w:rPr>
                <w:i/>
                <w:color w:val="000000" w:themeColor="text1"/>
                <w:sz w:val="22"/>
                <w:szCs w:val="22"/>
              </w:rPr>
              <w:t>On</w:t>
            </w:r>
            <w:proofErr w:type="spellEnd"/>
            <w:r w:rsidRPr="00AC37A9">
              <w:rPr>
                <w:i/>
                <w:color w:val="000000" w:themeColor="text1"/>
                <w:sz w:val="22"/>
                <w:szCs w:val="22"/>
              </w:rPr>
              <w:t>-Line) gadījumā, ja tas ir integrēts ar oficiālās elektronisko adreses risinājumu.”</w:t>
            </w:r>
          </w:p>
        </w:tc>
        <w:tc>
          <w:tcPr>
            <w:tcW w:w="2944" w:type="dxa"/>
            <w:gridSpan w:val="2"/>
            <w:tcBorders>
              <w:top w:val="single" w:sz="6" w:space="0" w:color="000000"/>
              <w:left w:val="single" w:sz="6" w:space="0" w:color="000000"/>
              <w:bottom w:val="single" w:sz="6" w:space="0" w:color="000000"/>
              <w:right w:val="single" w:sz="6" w:space="0" w:color="000000"/>
            </w:tcBorders>
          </w:tcPr>
          <w:p w14:paraId="1C19D34F" w14:textId="54735113" w:rsidR="00AC37A9" w:rsidRPr="00AC37A9" w:rsidRDefault="00AC37A9" w:rsidP="00AC37A9">
            <w:pPr>
              <w:pStyle w:val="naisc"/>
              <w:suppressAutoHyphens/>
              <w:snapToGrid w:val="0"/>
              <w:spacing w:before="0" w:after="60"/>
              <w:jc w:val="both"/>
              <w:rPr>
                <w:b/>
                <w:bCs/>
                <w:color w:val="000000" w:themeColor="text1"/>
                <w:sz w:val="22"/>
                <w:szCs w:val="22"/>
                <w:lang w:eastAsia="ar-SA"/>
              </w:rPr>
            </w:pPr>
            <w:r w:rsidRPr="00AC37A9">
              <w:rPr>
                <w:b/>
                <w:bCs/>
                <w:color w:val="000000" w:themeColor="text1"/>
                <w:sz w:val="22"/>
                <w:szCs w:val="22"/>
                <w:lang w:eastAsia="ar-SA"/>
              </w:rPr>
              <w:lastRenderedPageBreak/>
              <w:t>Ņemts vērā</w:t>
            </w:r>
            <w:r w:rsidR="0043237E">
              <w:rPr>
                <w:b/>
                <w:bCs/>
                <w:color w:val="000000" w:themeColor="text1"/>
                <w:sz w:val="22"/>
                <w:szCs w:val="22"/>
                <w:lang w:eastAsia="ar-SA"/>
              </w:rPr>
              <w:t xml:space="preserve"> (panākta vienošanās saskaņošanas laikā)</w:t>
            </w:r>
          </w:p>
          <w:p w14:paraId="5D405322" w14:textId="78BD6994" w:rsidR="00164FD8" w:rsidRPr="00AC37A9" w:rsidRDefault="007B2BFF" w:rsidP="00AC37A9">
            <w:pPr>
              <w:pStyle w:val="naisc"/>
              <w:suppressAutoHyphens/>
              <w:snapToGrid w:val="0"/>
              <w:spacing w:before="0" w:after="60"/>
              <w:jc w:val="both"/>
              <w:rPr>
                <w:color w:val="000000" w:themeColor="text1"/>
                <w:sz w:val="22"/>
                <w:szCs w:val="22"/>
                <w:lang w:eastAsia="ar-SA"/>
              </w:rPr>
            </w:pPr>
            <w:r>
              <w:rPr>
                <w:color w:val="000000" w:themeColor="text1"/>
                <w:sz w:val="22"/>
                <w:szCs w:val="22"/>
                <w:lang w:eastAsia="ar-SA"/>
              </w:rPr>
              <w:t>A</w:t>
            </w:r>
            <w:r w:rsidRPr="00AC37A9">
              <w:rPr>
                <w:color w:val="000000" w:themeColor="text1"/>
                <w:sz w:val="22"/>
                <w:szCs w:val="22"/>
                <w:lang w:eastAsia="ar-SA"/>
              </w:rPr>
              <w:t xml:space="preserve">r </w:t>
            </w:r>
            <w:proofErr w:type="spellStart"/>
            <w:r w:rsidRPr="00AC37A9">
              <w:rPr>
                <w:color w:val="000000" w:themeColor="text1"/>
                <w:sz w:val="22"/>
                <w:szCs w:val="22"/>
                <w:lang w:eastAsia="ar-SA"/>
              </w:rPr>
              <w:t>protokollēmuma</w:t>
            </w:r>
            <w:proofErr w:type="spellEnd"/>
            <w:r w:rsidRPr="00AC37A9">
              <w:rPr>
                <w:color w:val="000000" w:themeColor="text1"/>
                <w:sz w:val="22"/>
                <w:szCs w:val="22"/>
                <w:lang w:eastAsia="ar-SA"/>
              </w:rPr>
              <w:t xml:space="preserve"> 2.punktu tiek noteikts, ka </w:t>
            </w:r>
            <w:r w:rsidRPr="00AC37A9">
              <w:rPr>
                <w:color w:val="000000" w:themeColor="text1"/>
                <w:sz w:val="22"/>
                <w:szCs w:val="22"/>
              </w:rPr>
              <w:t xml:space="preserve">Vides aizsardzības un reģionālās attīstības ministrijai sadarbībā ar Finanšu ministriju </w:t>
            </w:r>
            <w:r w:rsidR="0043237E">
              <w:rPr>
                <w:color w:val="000000" w:themeColor="text1"/>
                <w:sz w:val="22"/>
                <w:szCs w:val="22"/>
              </w:rPr>
              <w:t>jāsagatavo</w:t>
            </w:r>
            <w:r w:rsidR="0043237E" w:rsidRPr="00AC37A9">
              <w:rPr>
                <w:color w:val="000000" w:themeColor="text1"/>
                <w:sz w:val="22"/>
                <w:szCs w:val="22"/>
              </w:rPr>
              <w:t xml:space="preserve"> </w:t>
            </w:r>
            <w:r w:rsidRPr="00AC37A9">
              <w:rPr>
                <w:color w:val="000000" w:themeColor="text1"/>
                <w:sz w:val="22"/>
                <w:szCs w:val="22"/>
              </w:rPr>
              <w:t xml:space="preserve">un atbilstoši kompetencei noteiktā kārtībā </w:t>
            </w:r>
            <w:r w:rsidR="0043237E">
              <w:rPr>
                <w:color w:val="000000" w:themeColor="text1"/>
                <w:sz w:val="22"/>
                <w:szCs w:val="22"/>
              </w:rPr>
              <w:t>jā</w:t>
            </w:r>
            <w:r w:rsidRPr="00AC37A9">
              <w:rPr>
                <w:color w:val="000000" w:themeColor="text1"/>
                <w:sz w:val="22"/>
                <w:szCs w:val="22"/>
              </w:rPr>
              <w:t>iesniedz Ministru kabinetā nepieciešamos grozījumus normatīvajos aktos, nosakot, ka tiešās pārvaldes iestādes elektronisko rēķinu saņemšanai izmanto tikai īstenot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līdzfinansēto projektu ietvaros radītos elektronisko rēķinu piegādes risinājumus.</w:t>
            </w:r>
            <w:r w:rsidR="0043237E">
              <w:rPr>
                <w:color w:val="000000" w:themeColor="text1"/>
                <w:sz w:val="22"/>
                <w:szCs w:val="22"/>
              </w:rPr>
              <w:t xml:space="preserve"> Papildu apsvērumus sk. anotācijā.</w:t>
            </w:r>
          </w:p>
          <w:p w14:paraId="6AD0EF3D" w14:textId="77777777" w:rsidR="008A64FB" w:rsidRPr="00AC37A9" w:rsidRDefault="008A64FB" w:rsidP="007B2BFF">
            <w:pPr>
              <w:jc w:val="both"/>
              <w:rPr>
                <w:color w:val="000000" w:themeColor="text1"/>
                <w:sz w:val="22"/>
                <w:szCs w:val="22"/>
              </w:rPr>
            </w:pPr>
          </w:p>
        </w:tc>
        <w:tc>
          <w:tcPr>
            <w:tcW w:w="3576" w:type="dxa"/>
            <w:tcBorders>
              <w:top w:val="single" w:sz="4" w:space="0" w:color="auto"/>
              <w:left w:val="single" w:sz="4" w:space="0" w:color="auto"/>
              <w:bottom w:val="single" w:sz="4" w:space="0" w:color="auto"/>
            </w:tcBorders>
          </w:tcPr>
          <w:p w14:paraId="7592CBA3" w14:textId="39A5BB50" w:rsidR="00164FD8" w:rsidRPr="00AC37A9" w:rsidRDefault="00164FD8" w:rsidP="00164FD8">
            <w:pPr>
              <w:jc w:val="both"/>
              <w:rPr>
                <w:b/>
                <w:color w:val="000000" w:themeColor="text1"/>
                <w:sz w:val="22"/>
                <w:szCs w:val="22"/>
              </w:rPr>
            </w:pPr>
            <w:r w:rsidRPr="00AC37A9">
              <w:rPr>
                <w:b/>
                <w:color w:val="000000" w:themeColor="text1"/>
                <w:sz w:val="22"/>
                <w:szCs w:val="22"/>
              </w:rPr>
              <w:t>Noteikumu projekta 6.punkts:</w:t>
            </w:r>
          </w:p>
          <w:p w14:paraId="2D7FB798" w14:textId="29CE1357" w:rsidR="00836535" w:rsidRPr="00836535" w:rsidRDefault="00836535" w:rsidP="00836535">
            <w:pPr>
              <w:jc w:val="both"/>
              <w:rPr>
                <w:color w:val="000000" w:themeColor="text1"/>
                <w:sz w:val="22"/>
                <w:szCs w:val="22"/>
              </w:rPr>
            </w:pPr>
            <w:r>
              <w:rPr>
                <w:color w:val="000000" w:themeColor="text1"/>
                <w:sz w:val="22"/>
                <w:szCs w:val="22"/>
              </w:rPr>
              <w:t xml:space="preserve">“6. </w:t>
            </w:r>
            <w:r w:rsidRPr="00836535">
              <w:rPr>
                <w:color w:val="000000" w:themeColor="text1"/>
                <w:sz w:val="22"/>
                <w:szCs w:val="22"/>
              </w:rPr>
              <w:t>Pasūtītājs, sabiedrisko pakalpojumu sniedzējs vai publiskais partneris vai tā pārstāvis nodrošina iespēju piegādātājiem iesniegt elektroniskos rēķinus, izmantojot šādus elektronisko rēķinu piegādes kanālus:</w:t>
            </w:r>
          </w:p>
          <w:p w14:paraId="17B3158B" w14:textId="77777777" w:rsidR="00836535" w:rsidRPr="00836535" w:rsidRDefault="00836535" w:rsidP="00836535">
            <w:pPr>
              <w:jc w:val="both"/>
              <w:rPr>
                <w:color w:val="000000" w:themeColor="text1"/>
                <w:sz w:val="22"/>
                <w:szCs w:val="22"/>
              </w:rPr>
            </w:pPr>
            <w:r w:rsidRPr="00836535">
              <w:rPr>
                <w:color w:val="000000" w:themeColor="text1"/>
                <w:sz w:val="22"/>
                <w:szCs w:val="22"/>
              </w:rPr>
              <w:t>6.1.</w:t>
            </w:r>
            <w:r w:rsidRPr="00836535">
              <w:rPr>
                <w:color w:val="000000" w:themeColor="text1"/>
                <w:sz w:val="22"/>
                <w:szCs w:val="22"/>
              </w:rPr>
              <w:tab/>
              <w:t>nosūtot uz oficiālo elektronisko adresi (pieejama Latvijā reģistrētiem vai pastāvīgi dzīvojošiem piegādātājiem elektronisko rēķinu piegādei valsts pārvaldes iestādēm, pašvaldībām un to iestādēm);</w:t>
            </w:r>
          </w:p>
          <w:p w14:paraId="4C4E285F" w14:textId="77777777" w:rsidR="00836535" w:rsidRPr="00836535" w:rsidRDefault="00836535" w:rsidP="00836535">
            <w:pPr>
              <w:jc w:val="both"/>
              <w:rPr>
                <w:color w:val="000000" w:themeColor="text1"/>
                <w:sz w:val="22"/>
                <w:szCs w:val="22"/>
              </w:rPr>
            </w:pPr>
            <w:r w:rsidRPr="00836535">
              <w:rPr>
                <w:color w:val="000000" w:themeColor="text1"/>
                <w:sz w:val="22"/>
                <w:szCs w:val="22"/>
              </w:rPr>
              <w:t>6.2.</w:t>
            </w:r>
            <w:r w:rsidRPr="00836535">
              <w:rPr>
                <w:color w:val="000000" w:themeColor="text1"/>
                <w:sz w:val="22"/>
                <w:szCs w:val="22"/>
              </w:rPr>
              <w:tab/>
              <w:t>nosūtot uz elektroniskā pasta adresi, kas norādīta pasūtītāja, sabiedrisko pakalpojumu sniedzēja vai publiskā partnera vai tā pārstāvja tīmekļa vietnē un kas izmantojama saziņai ar attiecīgo pasūtītāju, sabiedrisko pakalpojumu sniedzēju vai publisko partneri vai tā pārstāvi;</w:t>
            </w:r>
          </w:p>
          <w:p w14:paraId="6C76E527" w14:textId="6D6FAB29" w:rsidR="008A64FB" w:rsidRPr="00AC37A9" w:rsidRDefault="00836535" w:rsidP="00836535">
            <w:pPr>
              <w:jc w:val="both"/>
              <w:rPr>
                <w:color w:val="000000" w:themeColor="text1"/>
                <w:sz w:val="22"/>
                <w:szCs w:val="22"/>
              </w:rPr>
            </w:pPr>
            <w:r w:rsidRPr="00836535">
              <w:rPr>
                <w:color w:val="000000" w:themeColor="text1"/>
                <w:sz w:val="22"/>
                <w:szCs w:val="22"/>
              </w:rPr>
              <w:t>6.3.</w:t>
            </w:r>
            <w:r w:rsidRPr="00836535">
              <w:rPr>
                <w:color w:val="000000" w:themeColor="text1"/>
                <w:sz w:val="22"/>
                <w:szCs w:val="22"/>
              </w:rPr>
              <w:tab/>
              <w:t>citā veidā, kas norādīts iepirkuma līgumā vai publiskās un privātās partnerības līgumā.</w:t>
            </w:r>
            <w:r w:rsidR="00164FD8" w:rsidRPr="00AC37A9">
              <w:rPr>
                <w:color w:val="000000" w:themeColor="text1"/>
                <w:sz w:val="22"/>
                <w:szCs w:val="22"/>
              </w:rPr>
              <w:t>”</w:t>
            </w:r>
          </w:p>
        </w:tc>
      </w:tr>
      <w:tr w:rsidR="008A64FB" w:rsidRPr="00AC37A9" w14:paraId="280A2BCE" w14:textId="77777777" w:rsidTr="00781479">
        <w:tc>
          <w:tcPr>
            <w:tcW w:w="567" w:type="dxa"/>
            <w:tcBorders>
              <w:top w:val="single" w:sz="6" w:space="0" w:color="000000"/>
              <w:left w:val="single" w:sz="6" w:space="0" w:color="000000"/>
              <w:bottom w:val="single" w:sz="6" w:space="0" w:color="000000"/>
              <w:right w:val="single" w:sz="6" w:space="0" w:color="000000"/>
            </w:tcBorders>
          </w:tcPr>
          <w:p w14:paraId="2245F446" w14:textId="2BFF624F" w:rsidR="008A64FB" w:rsidRPr="00AC37A9" w:rsidRDefault="007B2BFF" w:rsidP="00155D68">
            <w:pPr>
              <w:pStyle w:val="naisc"/>
              <w:spacing w:before="0" w:after="0"/>
              <w:rPr>
                <w:color w:val="000000" w:themeColor="text1"/>
                <w:sz w:val="22"/>
                <w:szCs w:val="22"/>
              </w:rPr>
            </w:pPr>
            <w:r>
              <w:rPr>
                <w:color w:val="000000" w:themeColor="text1"/>
                <w:sz w:val="22"/>
                <w:szCs w:val="22"/>
              </w:rPr>
              <w:lastRenderedPageBreak/>
              <w:t>14.</w:t>
            </w:r>
          </w:p>
        </w:tc>
        <w:tc>
          <w:tcPr>
            <w:tcW w:w="3543" w:type="dxa"/>
            <w:gridSpan w:val="2"/>
            <w:tcBorders>
              <w:top w:val="single" w:sz="6" w:space="0" w:color="000000"/>
              <w:left w:val="single" w:sz="6" w:space="0" w:color="000000"/>
              <w:bottom w:val="single" w:sz="6" w:space="0" w:color="000000"/>
              <w:right w:val="single" w:sz="6" w:space="0" w:color="000000"/>
            </w:tcBorders>
          </w:tcPr>
          <w:p w14:paraId="70B8DA5F" w14:textId="37AFD237" w:rsidR="008A64FB" w:rsidRPr="00AC37A9" w:rsidRDefault="00781479" w:rsidP="00781479">
            <w:pPr>
              <w:pStyle w:val="naisc"/>
              <w:spacing w:before="0" w:after="0"/>
              <w:jc w:val="both"/>
              <w:rPr>
                <w:color w:val="000000" w:themeColor="text1"/>
                <w:sz w:val="22"/>
                <w:szCs w:val="22"/>
              </w:rPr>
            </w:pPr>
            <w:r w:rsidRPr="00AC37A9">
              <w:rPr>
                <w:b/>
                <w:color w:val="000000" w:themeColor="text1"/>
                <w:sz w:val="22"/>
                <w:szCs w:val="22"/>
              </w:rPr>
              <w:t>Anotācijas I sadaļas 2.punkts</w:t>
            </w:r>
          </w:p>
        </w:tc>
        <w:tc>
          <w:tcPr>
            <w:tcW w:w="3260" w:type="dxa"/>
            <w:tcBorders>
              <w:top w:val="single" w:sz="6" w:space="0" w:color="000000"/>
              <w:left w:val="single" w:sz="6" w:space="0" w:color="000000"/>
              <w:bottom w:val="single" w:sz="6" w:space="0" w:color="000000"/>
              <w:right w:val="single" w:sz="6" w:space="0" w:color="000000"/>
            </w:tcBorders>
          </w:tcPr>
          <w:p w14:paraId="34CD0E77" w14:textId="77777777" w:rsidR="00781479" w:rsidRPr="00AC37A9" w:rsidRDefault="00781479" w:rsidP="00781479">
            <w:pPr>
              <w:ind w:right="57"/>
              <w:jc w:val="both"/>
              <w:rPr>
                <w:b/>
                <w:color w:val="000000" w:themeColor="text1"/>
                <w:sz w:val="22"/>
                <w:szCs w:val="22"/>
              </w:rPr>
            </w:pPr>
            <w:r w:rsidRPr="00AC37A9">
              <w:rPr>
                <w:b/>
                <w:color w:val="000000" w:themeColor="text1"/>
                <w:sz w:val="22"/>
                <w:szCs w:val="22"/>
              </w:rPr>
              <w:t>Vides aizsardzības un reģionālās attīstības ministrija</w:t>
            </w:r>
          </w:p>
          <w:p w14:paraId="39B0B6D5" w14:textId="77777777" w:rsidR="00781479" w:rsidRPr="00AC37A9" w:rsidRDefault="00781479" w:rsidP="00781479">
            <w:pPr>
              <w:ind w:right="57"/>
              <w:jc w:val="both"/>
              <w:rPr>
                <w:color w:val="000000" w:themeColor="text1"/>
                <w:sz w:val="22"/>
                <w:szCs w:val="22"/>
              </w:rPr>
            </w:pPr>
            <w:r w:rsidRPr="00AC37A9">
              <w:rPr>
                <w:color w:val="000000" w:themeColor="text1"/>
                <w:sz w:val="22"/>
                <w:szCs w:val="22"/>
              </w:rPr>
              <w:t>Šo noteikumu projekta anotācijas sadaļā “</w:t>
            </w:r>
            <w:r w:rsidRPr="00AC37A9">
              <w:rPr>
                <w:bCs/>
                <w:color w:val="000000" w:themeColor="text1"/>
                <w:sz w:val="22"/>
                <w:szCs w:val="22"/>
              </w:rPr>
              <w:t xml:space="preserve">I. Tiesību akta projekta izstrādes nepieciešamība” </w:t>
            </w:r>
            <w:r w:rsidRPr="00AC37A9">
              <w:rPr>
                <w:color w:val="000000" w:themeColor="text1"/>
                <w:sz w:val="22"/>
                <w:szCs w:val="22"/>
              </w:rPr>
              <w:t xml:space="preserve">(Regulējuma ietekme 2.lpp.)  ir teikts: “…, ja piegādātājs izvēlas rēķinu iesniegt elektroniskā veidā, tas to dara atbilstoši direktīvas 2014/55/ES un Eiropas Komisijas 2017. gada 16.oktobra īstenošanas lēmumā Nr.2017/1870 minētajam standartam un sintakšu sarakstam.” Kā obligāti pieņemamas ir nosauktas 2 sintakses - ISO/IEC  19845 (UBL 2.1) un UN/CEFACT CII D16B, kā neobligāta - UN/EDIFACT CII. Tas nozīmē, ka grāmatvedības sistēmām (kuras tiek lietotas valsts pārvaldē) ir jāspēj apstrādāt elektroniskos rēķinus, kas sagatavoti kā minimums, lietojot 2 sintakses (kas savā starpā ir mehāniski konvertējamas), un ir nepamatoti izvirzīt prasību Latvijā reģistrētiem lietotājiem iesniegt </w:t>
            </w:r>
            <w:r w:rsidRPr="00AC37A9">
              <w:rPr>
                <w:color w:val="000000" w:themeColor="text1"/>
                <w:sz w:val="22"/>
                <w:szCs w:val="22"/>
              </w:rPr>
              <w:lastRenderedPageBreak/>
              <w:t xml:space="preserve">tikai UBL sintaksē sagatavotus elektroniskos rēķinus. Iespējamā rīcība - ieteikt elektroniskos rēķinus sagatavot iesniegšanai, lietojot UBL sintaksi un to aprakstīt noteikumu projekta anotācijā. </w:t>
            </w:r>
          </w:p>
          <w:p w14:paraId="4B62EDC8" w14:textId="77777777" w:rsidR="00781479" w:rsidRPr="00AC37A9" w:rsidRDefault="00781479" w:rsidP="00781479">
            <w:pPr>
              <w:jc w:val="both"/>
              <w:rPr>
                <w:color w:val="000000" w:themeColor="text1"/>
                <w:sz w:val="22"/>
                <w:szCs w:val="22"/>
              </w:rPr>
            </w:pPr>
            <w:r w:rsidRPr="00AC37A9">
              <w:rPr>
                <w:color w:val="000000" w:themeColor="text1"/>
                <w:sz w:val="22"/>
                <w:szCs w:val="22"/>
              </w:rPr>
              <w:t>VARAM lūdz izteikt Anotācijas sadaļas “</w:t>
            </w:r>
            <w:r w:rsidRPr="00AC37A9">
              <w:rPr>
                <w:bCs/>
                <w:color w:val="000000" w:themeColor="text1"/>
                <w:sz w:val="22"/>
                <w:szCs w:val="22"/>
              </w:rPr>
              <w:t>I. Tiesību akta projekta izstrādes nepieciešamība” (E-rēķinu piegādes kanāli, 6</w:t>
            </w:r>
            <w:r w:rsidRPr="00AC37A9">
              <w:rPr>
                <w:color w:val="000000" w:themeColor="text1"/>
                <w:sz w:val="22"/>
                <w:szCs w:val="22"/>
              </w:rPr>
              <w:t xml:space="preserve">.lpp.) tekstu: “Ar noteikumu projektu tiek paredzēti trīs elektronisko rēķinu piegādes kanāli. Piegādātāji elektroniskos rēķinus būs tiesīgi iesniegt, izmantojot elektroniskā pasta adresi, oficiālo elektronisko adresi vai iepirkuma līgumā vai publiskās un privātās partnerības līgumā norādītajā veidā. Iespēja iepirkuma līgumā vai publiskās un privātās partnerības līgumā paredzēt arī citus piegādes kanālus nodrošinās iespēju tirgum piedāvāt arī citus efektīvus un tehnoloģiski pielāgotākus piegādes un apstrādes risinājumus. Attīstoties informācijas tehnoloģijas infrastruktūrai un risinājumiem, nākotnē tiks pārskatīts un lemts par konkrētu risinājuma izmantošanu, atsakoties no elektroniskās pasta adreses kā salīdzinoši neērta un nedroša piegādes kanāla.” šādā redakcijā: </w:t>
            </w:r>
          </w:p>
          <w:p w14:paraId="2D48FAC8" w14:textId="77777777" w:rsidR="00781479" w:rsidRPr="00AC37A9" w:rsidRDefault="00781479" w:rsidP="00781479">
            <w:pPr>
              <w:jc w:val="both"/>
              <w:rPr>
                <w:i/>
                <w:color w:val="000000" w:themeColor="text1"/>
                <w:sz w:val="22"/>
                <w:szCs w:val="22"/>
              </w:rPr>
            </w:pPr>
            <w:r w:rsidRPr="00AC37A9">
              <w:rPr>
                <w:color w:val="000000" w:themeColor="text1"/>
                <w:sz w:val="22"/>
                <w:szCs w:val="22"/>
              </w:rPr>
              <w:t>“</w:t>
            </w:r>
            <w:r w:rsidRPr="00AC37A9">
              <w:rPr>
                <w:i/>
                <w:color w:val="000000" w:themeColor="text1"/>
                <w:sz w:val="22"/>
                <w:szCs w:val="22"/>
              </w:rPr>
              <w:t xml:space="preserve">Ar noteikumu projektu tiek paredzēti divi elektronisko rēķinu </w:t>
            </w:r>
            <w:r w:rsidRPr="00AC37A9">
              <w:rPr>
                <w:i/>
                <w:color w:val="000000" w:themeColor="text1"/>
                <w:sz w:val="22"/>
                <w:szCs w:val="22"/>
              </w:rPr>
              <w:lastRenderedPageBreak/>
              <w:t>piegādes kanāli. Piegādātāji elektroniskos rēķinus būs tiesīgi iesniegt, izmantojot oficiālo elektronisko adresi vai elektronisko pasta adresi.</w:t>
            </w:r>
          </w:p>
          <w:p w14:paraId="63C99E6D" w14:textId="77777777" w:rsidR="00781479" w:rsidRPr="00AC37A9" w:rsidRDefault="00781479" w:rsidP="00781479">
            <w:pPr>
              <w:jc w:val="both"/>
              <w:rPr>
                <w:i/>
                <w:color w:val="000000" w:themeColor="text1"/>
                <w:sz w:val="22"/>
                <w:szCs w:val="22"/>
              </w:rPr>
            </w:pPr>
            <w:r w:rsidRPr="00AC37A9">
              <w:rPr>
                <w:i/>
                <w:color w:val="000000" w:themeColor="text1"/>
                <w:sz w:val="22"/>
                <w:szCs w:val="22"/>
              </w:rPr>
              <w:t>Visiem elektronisko rēķinu iesniedzējiem, kuri ir aktivējuši oficiālo elektronisko adresi, vai normatīvajos aktos tās lietošana ir noteikta obligāta, tas ir vienīgais elektronisko rēķinu iesniegšanas kanāls.</w:t>
            </w:r>
          </w:p>
          <w:p w14:paraId="48CF9849" w14:textId="77777777" w:rsidR="00781479" w:rsidRPr="00AC37A9" w:rsidRDefault="00781479" w:rsidP="00781479">
            <w:pPr>
              <w:jc w:val="both"/>
              <w:rPr>
                <w:i/>
                <w:color w:val="000000" w:themeColor="text1"/>
                <w:sz w:val="22"/>
                <w:szCs w:val="22"/>
              </w:rPr>
            </w:pPr>
            <w:r w:rsidRPr="00AC37A9">
              <w:rPr>
                <w:i/>
                <w:color w:val="000000" w:themeColor="text1"/>
                <w:sz w:val="22"/>
                <w:szCs w:val="22"/>
              </w:rPr>
              <w:t>Elektroniskās pasta adreses kanāls ir izmantojams līdz brīdim, kamēr oficiālās elektroniskās adreses lietošana nav obligāta un ārzemniekiem, kuri nav aktivējuši e-adresi.</w:t>
            </w:r>
          </w:p>
          <w:p w14:paraId="7E9E7082" w14:textId="5F11F672" w:rsidR="008A64FB" w:rsidRPr="00AC37A9" w:rsidRDefault="00781479" w:rsidP="00910E4C">
            <w:pPr>
              <w:pStyle w:val="naisc"/>
              <w:spacing w:before="0" w:after="0"/>
              <w:jc w:val="both"/>
              <w:rPr>
                <w:color w:val="000000" w:themeColor="text1"/>
                <w:sz w:val="22"/>
                <w:szCs w:val="22"/>
              </w:rPr>
            </w:pPr>
            <w:r w:rsidRPr="00AC37A9">
              <w:rPr>
                <w:i/>
                <w:color w:val="000000" w:themeColor="text1"/>
                <w:sz w:val="22"/>
                <w:szCs w:val="22"/>
              </w:rPr>
              <w:t xml:space="preserve">Piegādātāji var izmantot arī citus tehnoloģiskus risinājumus (specializētus elektronisko rēķinu portālus vai tīklus, piemēram, PAN-EUROPEAN PUBLIC PROCUREMENT ONLINE (PEPPOL)) elektronisko rēķinu sagatavošanai, apstrādei un iesniegšanai, ar nosacījumu, ka šie risinājumi ir integrēti ar oficiālo elektronisko adresi un tajos iesūtītie elektroniskie rēķini nonāk pie adresāta oficiālajā elektroniskajā adresē. Šāda pieeja nodrošina iespēju tirgum piedāvāt arī citus efektīvus un tehnoloģiski pielāgotākus elektronisko rēķinu piegādes un apstrādes </w:t>
            </w:r>
            <w:r w:rsidRPr="00AC37A9">
              <w:rPr>
                <w:i/>
                <w:color w:val="000000" w:themeColor="text1"/>
                <w:sz w:val="22"/>
                <w:szCs w:val="22"/>
              </w:rPr>
              <w:lastRenderedPageBreak/>
              <w:t>risinājumus, tos integrējot ar oficiālo elektronisko adresi.”</w:t>
            </w:r>
          </w:p>
        </w:tc>
        <w:tc>
          <w:tcPr>
            <w:tcW w:w="2944" w:type="dxa"/>
            <w:gridSpan w:val="2"/>
            <w:tcBorders>
              <w:top w:val="single" w:sz="6" w:space="0" w:color="000000"/>
              <w:left w:val="single" w:sz="6" w:space="0" w:color="000000"/>
              <w:bottom w:val="single" w:sz="6" w:space="0" w:color="000000"/>
              <w:right w:val="single" w:sz="6" w:space="0" w:color="000000"/>
            </w:tcBorders>
          </w:tcPr>
          <w:p w14:paraId="6DCD5FC2" w14:textId="77777777" w:rsidR="00AC37A9" w:rsidRPr="00AC37A9" w:rsidRDefault="00AC37A9" w:rsidP="00AC37A9">
            <w:pPr>
              <w:pStyle w:val="naisc"/>
              <w:suppressAutoHyphens/>
              <w:snapToGrid w:val="0"/>
              <w:spacing w:before="0" w:after="60"/>
              <w:jc w:val="both"/>
              <w:rPr>
                <w:b/>
                <w:bCs/>
                <w:color w:val="000000" w:themeColor="text1"/>
                <w:sz w:val="22"/>
                <w:szCs w:val="22"/>
                <w:lang w:eastAsia="ar-SA"/>
              </w:rPr>
            </w:pPr>
            <w:r w:rsidRPr="00AC37A9">
              <w:rPr>
                <w:b/>
                <w:bCs/>
                <w:color w:val="000000" w:themeColor="text1"/>
                <w:sz w:val="22"/>
                <w:szCs w:val="22"/>
                <w:lang w:eastAsia="ar-SA"/>
              </w:rPr>
              <w:lastRenderedPageBreak/>
              <w:t>Ņemts vērā</w:t>
            </w:r>
          </w:p>
          <w:p w14:paraId="78A1E9B8" w14:textId="431431A0" w:rsidR="00781479" w:rsidRPr="00AC37A9" w:rsidRDefault="00781479" w:rsidP="00AC37A9">
            <w:pPr>
              <w:pStyle w:val="naisc"/>
              <w:spacing w:before="0" w:after="0"/>
              <w:jc w:val="both"/>
              <w:rPr>
                <w:b/>
                <w:color w:val="000000" w:themeColor="text1"/>
                <w:sz w:val="22"/>
                <w:szCs w:val="22"/>
                <w:lang w:eastAsia="ar-SA"/>
              </w:rPr>
            </w:pPr>
            <w:r w:rsidRPr="00AC37A9">
              <w:rPr>
                <w:color w:val="000000" w:themeColor="text1"/>
                <w:sz w:val="22"/>
                <w:szCs w:val="22"/>
                <w:lang w:eastAsia="ar-SA"/>
              </w:rPr>
              <w:t>Tiek precizēts noteikumu projekts</w:t>
            </w:r>
            <w:r w:rsidR="007B2BFF">
              <w:rPr>
                <w:color w:val="000000" w:themeColor="text1"/>
                <w:sz w:val="22"/>
                <w:szCs w:val="22"/>
                <w:lang w:eastAsia="ar-SA"/>
              </w:rPr>
              <w:t>,</w:t>
            </w:r>
            <w:r w:rsidRPr="00AC37A9">
              <w:rPr>
                <w:color w:val="000000" w:themeColor="text1"/>
                <w:sz w:val="22"/>
                <w:szCs w:val="22"/>
                <w:lang w:eastAsia="ar-SA"/>
              </w:rPr>
              <w:t xml:space="preserve"> paredzot, ka pasūtītājiem, sabiedrisko pakalpojumu sniedzējiem un publiskajiem partneriem ir jāspēj pieņemt elektroniskos rēķinus atbilstoši abām sintaksēm. </w:t>
            </w:r>
            <w:proofErr w:type="spellStart"/>
            <w:r w:rsidR="007B2BFF">
              <w:rPr>
                <w:color w:val="000000" w:themeColor="text1"/>
                <w:sz w:val="22"/>
                <w:szCs w:val="22"/>
              </w:rPr>
              <w:t>P</w:t>
            </w:r>
            <w:r w:rsidRPr="00AC37A9">
              <w:rPr>
                <w:color w:val="000000" w:themeColor="text1"/>
                <w:sz w:val="22"/>
                <w:szCs w:val="22"/>
              </w:rPr>
              <w:t>rotokollēmuma</w:t>
            </w:r>
            <w:proofErr w:type="spellEnd"/>
            <w:r w:rsidRPr="00AC37A9">
              <w:rPr>
                <w:color w:val="000000" w:themeColor="text1"/>
                <w:sz w:val="22"/>
                <w:szCs w:val="22"/>
              </w:rPr>
              <w:t xml:space="preserve"> 5.punktā ir paredzēts uzdevums </w:t>
            </w:r>
            <w:r w:rsidRPr="00AC37A9">
              <w:rPr>
                <w:sz w:val="22"/>
                <w:szCs w:val="22"/>
              </w:rPr>
              <w:t>Finanšu ministrijai risināt jautājumu par vienas konkrētas sintakses izmantošanu elektronisko rēķinu izrakstīšanai.</w:t>
            </w:r>
          </w:p>
          <w:p w14:paraId="71683BFB" w14:textId="16EFA4DB" w:rsidR="00781479" w:rsidRPr="00AC37A9" w:rsidRDefault="007B2BFF" w:rsidP="00AC37A9">
            <w:pPr>
              <w:pStyle w:val="CommentText"/>
              <w:jc w:val="both"/>
              <w:rPr>
                <w:sz w:val="22"/>
                <w:szCs w:val="22"/>
              </w:rPr>
            </w:pPr>
            <w:r>
              <w:rPr>
                <w:sz w:val="22"/>
                <w:szCs w:val="22"/>
              </w:rPr>
              <w:t>A</w:t>
            </w:r>
            <w:r w:rsidR="00781479" w:rsidRPr="00AC37A9">
              <w:rPr>
                <w:sz w:val="22"/>
                <w:szCs w:val="22"/>
              </w:rPr>
              <w:t>notācijā tiek aicināts</w:t>
            </w:r>
            <w:r w:rsidR="00834D5A">
              <w:rPr>
                <w:sz w:val="22"/>
                <w:szCs w:val="22"/>
              </w:rPr>
              <w:t xml:space="preserve"> informācijas tehnoloģijas</w:t>
            </w:r>
            <w:r w:rsidR="00781479" w:rsidRPr="00AC37A9">
              <w:rPr>
                <w:sz w:val="22"/>
                <w:szCs w:val="22"/>
              </w:rPr>
              <w:t xml:space="preserve"> sistēmas izstrādātājiem veidot </w:t>
            </w:r>
            <w:r w:rsidR="00024954" w:rsidRPr="00AC37A9">
              <w:rPr>
                <w:sz w:val="22"/>
                <w:szCs w:val="22"/>
              </w:rPr>
              <w:t>tādas informācijas tehnoloģijas sistēmas</w:t>
            </w:r>
            <w:r>
              <w:rPr>
                <w:sz w:val="22"/>
                <w:szCs w:val="22"/>
              </w:rPr>
              <w:t>, kurās</w:t>
            </w:r>
            <w:r w:rsidR="00024954" w:rsidRPr="00AC37A9">
              <w:rPr>
                <w:sz w:val="22"/>
                <w:szCs w:val="22"/>
              </w:rPr>
              <w:t xml:space="preserve"> elektronisko rēķinu </w:t>
            </w:r>
            <w:r w:rsidR="00781479" w:rsidRPr="00AC37A9">
              <w:rPr>
                <w:sz w:val="22"/>
                <w:szCs w:val="22"/>
              </w:rPr>
              <w:t xml:space="preserve">izrakstīšanai </w:t>
            </w:r>
            <w:r>
              <w:rPr>
                <w:sz w:val="22"/>
                <w:szCs w:val="22"/>
              </w:rPr>
              <w:t xml:space="preserve">tiek </w:t>
            </w:r>
            <w:r w:rsidR="00024954" w:rsidRPr="00AC37A9">
              <w:rPr>
                <w:sz w:val="22"/>
                <w:szCs w:val="22"/>
              </w:rPr>
              <w:t>noteikt</w:t>
            </w:r>
            <w:r>
              <w:rPr>
                <w:sz w:val="22"/>
                <w:szCs w:val="22"/>
              </w:rPr>
              <w:t>a</w:t>
            </w:r>
            <w:r w:rsidR="00024954" w:rsidRPr="00AC37A9">
              <w:rPr>
                <w:sz w:val="22"/>
                <w:szCs w:val="22"/>
              </w:rPr>
              <w:t xml:space="preserve"> </w:t>
            </w:r>
            <w:r w:rsidR="00781479" w:rsidRPr="00AC37A9">
              <w:rPr>
                <w:sz w:val="22"/>
                <w:szCs w:val="22"/>
              </w:rPr>
              <w:t xml:space="preserve">tikai UBL sintaksē, ievērojot arī </w:t>
            </w:r>
            <w:proofErr w:type="spellStart"/>
            <w:r w:rsidR="00781479" w:rsidRPr="00AC37A9">
              <w:rPr>
                <w:sz w:val="22"/>
                <w:szCs w:val="22"/>
              </w:rPr>
              <w:t>protokollēmuma</w:t>
            </w:r>
            <w:proofErr w:type="spellEnd"/>
            <w:r w:rsidR="00781479" w:rsidRPr="00AC37A9">
              <w:rPr>
                <w:sz w:val="22"/>
                <w:szCs w:val="22"/>
              </w:rPr>
              <w:t xml:space="preserve"> 5.punktā doto uzdevumu, ka</w:t>
            </w:r>
            <w:r w:rsidR="00024954" w:rsidRPr="00AC37A9">
              <w:rPr>
                <w:sz w:val="22"/>
                <w:szCs w:val="22"/>
              </w:rPr>
              <w:t xml:space="preserve"> elektronisko rēķinu izrakstīšanai izmanto tikai UBL.</w:t>
            </w:r>
          </w:p>
          <w:p w14:paraId="7CB22E98" w14:textId="6C38FE2C" w:rsidR="00781479" w:rsidRPr="00AC37A9" w:rsidRDefault="00781479" w:rsidP="00AC37A9">
            <w:pPr>
              <w:pStyle w:val="naisc"/>
              <w:suppressAutoHyphens/>
              <w:snapToGrid w:val="0"/>
              <w:spacing w:before="0" w:after="60"/>
              <w:jc w:val="both"/>
              <w:rPr>
                <w:b/>
                <w:color w:val="000000" w:themeColor="text1"/>
                <w:sz w:val="22"/>
                <w:szCs w:val="22"/>
                <w:lang w:eastAsia="ar-SA"/>
              </w:rPr>
            </w:pPr>
          </w:p>
          <w:p w14:paraId="617BD618" w14:textId="7F968CCF" w:rsidR="00781479" w:rsidRPr="00AC37A9" w:rsidRDefault="00781479" w:rsidP="00AC37A9">
            <w:pPr>
              <w:pStyle w:val="naisc"/>
              <w:suppressAutoHyphens/>
              <w:snapToGrid w:val="0"/>
              <w:spacing w:before="0" w:after="60"/>
              <w:jc w:val="both"/>
              <w:rPr>
                <w:b/>
                <w:color w:val="000000" w:themeColor="text1"/>
                <w:sz w:val="22"/>
                <w:szCs w:val="22"/>
                <w:lang w:eastAsia="ar-SA"/>
              </w:rPr>
            </w:pPr>
          </w:p>
          <w:p w14:paraId="1F4F3120" w14:textId="77777777" w:rsidR="008A64FB" w:rsidRPr="00AC37A9" w:rsidRDefault="008A64FB" w:rsidP="00AC37A9">
            <w:pPr>
              <w:ind w:right="57"/>
              <w:jc w:val="both"/>
              <w:rPr>
                <w:color w:val="000000" w:themeColor="text1"/>
                <w:sz w:val="22"/>
                <w:szCs w:val="22"/>
              </w:rPr>
            </w:pPr>
          </w:p>
        </w:tc>
        <w:tc>
          <w:tcPr>
            <w:tcW w:w="3576" w:type="dxa"/>
            <w:tcBorders>
              <w:top w:val="single" w:sz="4" w:space="0" w:color="auto"/>
              <w:left w:val="single" w:sz="4" w:space="0" w:color="auto"/>
              <w:bottom w:val="single" w:sz="4" w:space="0" w:color="auto"/>
            </w:tcBorders>
          </w:tcPr>
          <w:p w14:paraId="3C1C62E1" w14:textId="2994C81E" w:rsidR="008A64FB" w:rsidRPr="00AC37A9" w:rsidRDefault="00781479" w:rsidP="00781479">
            <w:pPr>
              <w:jc w:val="both"/>
              <w:rPr>
                <w:color w:val="000000" w:themeColor="text1"/>
                <w:sz w:val="22"/>
                <w:szCs w:val="22"/>
              </w:rPr>
            </w:pPr>
            <w:r w:rsidRPr="00AC37A9">
              <w:rPr>
                <w:b/>
                <w:color w:val="000000" w:themeColor="text1"/>
                <w:sz w:val="22"/>
                <w:szCs w:val="22"/>
              </w:rPr>
              <w:lastRenderedPageBreak/>
              <w:t>Anotācijas I sadaļas 2.punkts</w:t>
            </w:r>
          </w:p>
        </w:tc>
      </w:tr>
      <w:tr w:rsidR="00371A58" w:rsidRPr="00AC37A9" w14:paraId="35AF6A8E" w14:textId="77777777" w:rsidTr="00371A58">
        <w:tc>
          <w:tcPr>
            <w:tcW w:w="567" w:type="dxa"/>
            <w:tcBorders>
              <w:top w:val="single" w:sz="6" w:space="0" w:color="000000"/>
              <w:left w:val="single" w:sz="6" w:space="0" w:color="000000"/>
              <w:bottom w:val="single" w:sz="6" w:space="0" w:color="000000"/>
              <w:right w:val="single" w:sz="6" w:space="0" w:color="000000"/>
            </w:tcBorders>
          </w:tcPr>
          <w:p w14:paraId="071C7023" w14:textId="05D39FA2" w:rsidR="00371A58" w:rsidRPr="00AC37A9" w:rsidRDefault="007B2BFF" w:rsidP="00371A58">
            <w:pPr>
              <w:pStyle w:val="naisc"/>
              <w:spacing w:before="0" w:after="0"/>
              <w:rPr>
                <w:color w:val="000000" w:themeColor="text1"/>
                <w:sz w:val="22"/>
                <w:szCs w:val="22"/>
              </w:rPr>
            </w:pPr>
            <w:r>
              <w:rPr>
                <w:color w:val="000000" w:themeColor="text1"/>
                <w:sz w:val="22"/>
                <w:szCs w:val="22"/>
              </w:rPr>
              <w:lastRenderedPageBreak/>
              <w:t>1</w:t>
            </w:r>
            <w:r w:rsidR="00371A58" w:rsidRPr="00AC37A9">
              <w:rPr>
                <w:color w:val="000000" w:themeColor="text1"/>
                <w:sz w:val="22"/>
                <w:szCs w:val="22"/>
              </w:rPr>
              <w:t>5.</w:t>
            </w:r>
          </w:p>
        </w:tc>
        <w:tc>
          <w:tcPr>
            <w:tcW w:w="3543" w:type="dxa"/>
            <w:gridSpan w:val="2"/>
            <w:tcBorders>
              <w:top w:val="single" w:sz="6" w:space="0" w:color="000000"/>
              <w:left w:val="single" w:sz="6" w:space="0" w:color="000000"/>
              <w:bottom w:val="single" w:sz="6" w:space="0" w:color="000000"/>
              <w:right w:val="single" w:sz="6" w:space="0" w:color="000000"/>
            </w:tcBorders>
          </w:tcPr>
          <w:p w14:paraId="69069168" w14:textId="77777777" w:rsidR="00371A58" w:rsidRPr="00AC37A9" w:rsidRDefault="00371A58" w:rsidP="00371A58">
            <w:pPr>
              <w:pStyle w:val="naisc"/>
              <w:spacing w:before="0" w:after="0"/>
              <w:jc w:val="left"/>
              <w:rPr>
                <w:b/>
                <w:color w:val="000000" w:themeColor="text1"/>
                <w:sz w:val="22"/>
                <w:szCs w:val="22"/>
              </w:rPr>
            </w:pPr>
            <w:r w:rsidRPr="00AC37A9">
              <w:rPr>
                <w:b/>
                <w:color w:val="000000" w:themeColor="text1"/>
                <w:sz w:val="22"/>
                <w:szCs w:val="22"/>
              </w:rPr>
              <w:t>Anotācijas V sadaļa</w:t>
            </w:r>
          </w:p>
        </w:tc>
        <w:tc>
          <w:tcPr>
            <w:tcW w:w="3260" w:type="dxa"/>
            <w:tcBorders>
              <w:top w:val="single" w:sz="6" w:space="0" w:color="000000"/>
              <w:left w:val="single" w:sz="6" w:space="0" w:color="000000"/>
              <w:bottom w:val="single" w:sz="6" w:space="0" w:color="000000"/>
              <w:right w:val="single" w:sz="6" w:space="0" w:color="000000"/>
            </w:tcBorders>
          </w:tcPr>
          <w:p w14:paraId="3C052071" w14:textId="77777777" w:rsidR="00371A58" w:rsidRPr="00AC37A9" w:rsidRDefault="00371A58" w:rsidP="00371A58">
            <w:pPr>
              <w:pStyle w:val="naisc"/>
              <w:spacing w:before="0" w:after="0"/>
              <w:jc w:val="both"/>
              <w:rPr>
                <w:b/>
                <w:color w:val="000000" w:themeColor="text1"/>
                <w:sz w:val="22"/>
                <w:szCs w:val="22"/>
              </w:rPr>
            </w:pPr>
            <w:r w:rsidRPr="00AC37A9">
              <w:rPr>
                <w:b/>
                <w:color w:val="000000" w:themeColor="text1"/>
                <w:sz w:val="22"/>
                <w:szCs w:val="22"/>
              </w:rPr>
              <w:t>Tieslietu ministrija</w:t>
            </w:r>
          </w:p>
          <w:p w14:paraId="2BBA6AD7" w14:textId="77777777" w:rsidR="00371A58" w:rsidRPr="00AC37A9" w:rsidRDefault="00371A58" w:rsidP="00371A58">
            <w:pPr>
              <w:pStyle w:val="naisc"/>
              <w:jc w:val="both"/>
              <w:rPr>
                <w:color w:val="000000" w:themeColor="text1"/>
                <w:sz w:val="22"/>
                <w:szCs w:val="22"/>
              </w:rPr>
            </w:pPr>
            <w:r w:rsidRPr="00AC37A9">
              <w:rPr>
                <w:color w:val="000000" w:themeColor="text1"/>
                <w:sz w:val="22"/>
                <w:szCs w:val="22"/>
              </w:rPr>
              <w:t>Lūdzam precizēt projekta anotācijas V sadaļas 1.punktu un 1.tabulu atbilstoši instrukcijas Nr. 19 56. punktam, kā arī precizēt projektu, nodrošinot pilnīgu un korektu Direktīvas normu pārņemšanu.</w:t>
            </w:r>
          </w:p>
          <w:p w14:paraId="29A18124" w14:textId="77777777" w:rsidR="00371A58" w:rsidRPr="00AC37A9" w:rsidRDefault="00371A58" w:rsidP="00371A58">
            <w:pPr>
              <w:pStyle w:val="naisc"/>
              <w:jc w:val="both"/>
              <w:rPr>
                <w:color w:val="000000" w:themeColor="text1"/>
                <w:sz w:val="22"/>
                <w:szCs w:val="22"/>
              </w:rPr>
            </w:pPr>
            <w:r w:rsidRPr="00AC37A9">
              <w:rPr>
                <w:color w:val="000000" w:themeColor="text1"/>
                <w:sz w:val="22"/>
                <w:szCs w:val="22"/>
              </w:rPr>
              <w:t>Pirmkārt, lūdzam redakcionāli precizēt projekta anotācijas V sadaļas 1. tabulas B aili, konkretizējot, kāda normatīvā akta 1. un 5. pantā attiecīgās Direktīvas normas tiek pārņemtas, ņemot vērā, ka projektā šādu vienību (pantu) nav.</w:t>
            </w:r>
          </w:p>
          <w:p w14:paraId="33E3FD0C" w14:textId="77777777" w:rsidR="00371A58" w:rsidRPr="00AC37A9" w:rsidRDefault="00371A58" w:rsidP="00371A58">
            <w:pPr>
              <w:pStyle w:val="naisc"/>
              <w:jc w:val="both"/>
              <w:rPr>
                <w:color w:val="000000" w:themeColor="text1"/>
                <w:sz w:val="22"/>
                <w:szCs w:val="22"/>
              </w:rPr>
            </w:pPr>
            <w:r w:rsidRPr="00AC37A9">
              <w:rPr>
                <w:color w:val="000000" w:themeColor="text1"/>
                <w:sz w:val="22"/>
                <w:szCs w:val="22"/>
              </w:rPr>
              <w:t xml:space="preserve">Otrkārt, lūdzam atkārtoti izvērtēt izvēli nepārņemt projektā vai citos normatīvajos aktos Direktīvas 2. panta 2.-5. punkta tiesību normas (terminu skaidrojumus) un nepieciešamības gadījumā papildināt projektu ar attiecīgu tiesisko regulējumu. Norādām, ka terminu definīcijas Eiropas Savienības tiesību aktos tiek ietvertas, lai nodrošinātu vienveidīgu šo terminu piemērošanu visās Eiropas Savienības dalībvalstīs. Līdz ar to Tieslietu ministrijas ieskatā projekta autoru skaidrojums, ka attiecīgie termini tiek “lietoti to vispārpieņemtajā nozīmē” un līdz </w:t>
            </w:r>
            <w:r w:rsidRPr="00AC37A9">
              <w:rPr>
                <w:color w:val="000000" w:themeColor="text1"/>
                <w:sz w:val="22"/>
                <w:szCs w:val="22"/>
              </w:rPr>
              <w:lastRenderedPageBreak/>
              <w:t>ar to nacionālajos normatīvajos aktos nav jāpārņem, nav pietiekams, nenodrošina Direktīvas pilnīgu pārņemšanu un nebūs uzskatāms par pamatojumu gadījumā, ja tiktu uzsākta pārkāpuma procedūra par nesavlaicīgu vai nepilnīgu Direktīvas pārņemšanu Latvijā.</w:t>
            </w:r>
          </w:p>
          <w:p w14:paraId="6E8D8C6E" w14:textId="3E4DD072" w:rsidR="00371A58" w:rsidRPr="00AC37A9" w:rsidRDefault="00371A58" w:rsidP="00910E4C">
            <w:pPr>
              <w:pStyle w:val="naisc"/>
              <w:jc w:val="both"/>
              <w:rPr>
                <w:color w:val="000000" w:themeColor="text1"/>
                <w:sz w:val="22"/>
                <w:szCs w:val="22"/>
              </w:rPr>
            </w:pPr>
            <w:r w:rsidRPr="00AC37A9">
              <w:rPr>
                <w:color w:val="000000" w:themeColor="text1"/>
                <w:sz w:val="22"/>
                <w:szCs w:val="22"/>
              </w:rPr>
              <w:t>Treškārt, lūdzam papildināt projekta anotācijas V sadaļas 1. tabulu ar informāciju par to, kur (kādos normatīvajos aktos) tiks pilnībā pārņemtas Direktīvas 6. panta tiesību normas atbilstoši instrukcijas Nr. 19 56.3. apakšpunktam.</w:t>
            </w:r>
          </w:p>
        </w:tc>
        <w:tc>
          <w:tcPr>
            <w:tcW w:w="2944" w:type="dxa"/>
            <w:gridSpan w:val="2"/>
            <w:tcBorders>
              <w:top w:val="single" w:sz="6" w:space="0" w:color="000000"/>
              <w:left w:val="single" w:sz="6" w:space="0" w:color="000000"/>
              <w:bottom w:val="single" w:sz="6" w:space="0" w:color="000000"/>
              <w:right w:val="single" w:sz="6" w:space="0" w:color="000000"/>
            </w:tcBorders>
          </w:tcPr>
          <w:p w14:paraId="47514BA6" w14:textId="77777777" w:rsidR="00371A58" w:rsidRPr="00AC37A9" w:rsidRDefault="00371A58" w:rsidP="00AC37A9">
            <w:pPr>
              <w:pStyle w:val="naisc"/>
              <w:spacing w:before="0" w:after="0"/>
              <w:jc w:val="both"/>
              <w:rPr>
                <w:b/>
                <w:color w:val="000000" w:themeColor="text1"/>
                <w:sz w:val="22"/>
                <w:szCs w:val="22"/>
              </w:rPr>
            </w:pPr>
            <w:r w:rsidRPr="00AC37A9">
              <w:rPr>
                <w:b/>
                <w:color w:val="000000" w:themeColor="text1"/>
                <w:sz w:val="22"/>
                <w:szCs w:val="22"/>
              </w:rPr>
              <w:lastRenderedPageBreak/>
              <w:t>Ņemts vērā</w:t>
            </w:r>
          </w:p>
          <w:p w14:paraId="69B16214" w14:textId="622C1F4E" w:rsidR="00371A58" w:rsidRPr="00AC37A9" w:rsidRDefault="00371A58" w:rsidP="00AC37A9">
            <w:pPr>
              <w:pStyle w:val="naisc"/>
              <w:spacing w:before="0" w:after="0"/>
              <w:jc w:val="both"/>
              <w:rPr>
                <w:color w:val="000000" w:themeColor="text1"/>
                <w:sz w:val="22"/>
                <w:szCs w:val="22"/>
              </w:rPr>
            </w:pPr>
            <w:r w:rsidRPr="00AC37A9">
              <w:rPr>
                <w:color w:val="000000" w:themeColor="text1"/>
                <w:sz w:val="22"/>
                <w:szCs w:val="22"/>
              </w:rPr>
              <w:t>Pirmkārt</w:t>
            </w:r>
            <w:r w:rsidR="000E04AD" w:rsidRPr="00AC37A9">
              <w:rPr>
                <w:color w:val="000000" w:themeColor="text1"/>
                <w:sz w:val="22"/>
                <w:szCs w:val="22"/>
              </w:rPr>
              <w:t>, attiecīgās ailes tiek precizētas atbilstoši Tieslietu ministrijas un instrukcijas Nr.19 56.punktam.</w:t>
            </w:r>
          </w:p>
          <w:p w14:paraId="596BF2C2" w14:textId="0B7A0B0E" w:rsidR="000E04AD" w:rsidRPr="00AC37A9" w:rsidRDefault="000E04AD" w:rsidP="00AC37A9">
            <w:pPr>
              <w:pStyle w:val="naisc"/>
              <w:spacing w:before="0" w:after="0"/>
              <w:jc w:val="both"/>
              <w:rPr>
                <w:color w:val="000000" w:themeColor="text1"/>
                <w:sz w:val="22"/>
                <w:szCs w:val="22"/>
              </w:rPr>
            </w:pPr>
            <w:r w:rsidRPr="00AC37A9">
              <w:rPr>
                <w:color w:val="000000" w:themeColor="text1"/>
                <w:sz w:val="22"/>
                <w:szCs w:val="22"/>
              </w:rPr>
              <w:t xml:space="preserve">Otrkārt, </w:t>
            </w:r>
            <w:r w:rsidRPr="00AC37A9">
              <w:rPr>
                <w:sz w:val="22"/>
                <w:szCs w:val="22"/>
              </w:rPr>
              <w:t>Direktīvas 2014/55/ES 2.pant</w:t>
            </w:r>
            <w:r w:rsidR="007B2BFF">
              <w:rPr>
                <w:sz w:val="22"/>
                <w:szCs w:val="22"/>
              </w:rPr>
              <w:t>a</w:t>
            </w:r>
            <w:r w:rsidRPr="00AC37A9">
              <w:rPr>
                <w:sz w:val="22"/>
                <w:szCs w:val="22"/>
              </w:rPr>
              <w:t xml:space="preserve"> 1, 6.,</w:t>
            </w:r>
            <w:r w:rsidR="00B868F4">
              <w:rPr>
                <w:sz w:val="22"/>
                <w:szCs w:val="22"/>
              </w:rPr>
              <w:t xml:space="preserve"> 7.,</w:t>
            </w:r>
            <w:r w:rsidRPr="00AC37A9">
              <w:rPr>
                <w:sz w:val="22"/>
                <w:szCs w:val="22"/>
              </w:rPr>
              <w:t xml:space="preserve"> 8., 9.punktā minētie termini ir ietveri Publisko iepirkumu likumā </w:t>
            </w:r>
            <w:r w:rsidR="0043237E">
              <w:rPr>
                <w:sz w:val="22"/>
                <w:szCs w:val="22"/>
              </w:rPr>
              <w:t>un</w:t>
            </w:r>
            <w:r w:rsidR="0043237E" w:rsidRPr="00AC37A9">
              <w:rPr>
                <w:sz w:val="22"/>
                <w:szCs w:val="22"/>
              </w:rPr>
              <w:t xml:space="preserve"> </w:t>
            </w:r>
            <w:r w:rsidRPr="00AC37A9">
              <w:rPr>
                <w:sz w:val="22"/>
                <w:szCs w:val="22"/>
              </w:rPr>
              <w:t>Sabiedrisko pakalpojumu sniedzēju iepirkumu likumā, savukārt pārējie Direktīvas 2014/55/ES 2.pantā minētie termini netiek lietoti normatīvajos aktos</w:t>
            </w:r>
            <w:r w:rsidR="001B0387">
              <w:rPr>
                <w:sz w:val="22"/>
                <w:szCs w:val="22"/>
              </w:rPr>
              <w:t>.</w:t>
            </w:r>
          </w:p>
          <w:p w14:paraId="1C870B10" w14:textId="1ADBB105" w:rsidR="0043237E" w:rsidRDefault="000E04AD" w:rsidP="00AC37A9">
            <w:pPr>
              <w:pStyle w:val="naisc"/>
              <w:spacing w:before="0" w:after="0"/>
              <w:jc w:val="both"/>
              <w:rPr>
                <w:sz w:val="22"/>
                <w:szCs w:val="22"/>
              </w:rPr>
            </w:pPr>
            <w:r w:rsidRPr="00AC37A9">
              <w:rPr>
                <w:color w:val="000000" w:themeColor="text1"/>
                <w:sz w:val="22"/>
                <w:szCs w:val="22"/>
              </w:rPr>
              <w:t xml:space="preserve">Treškārt, </w:t>
            </w:r>
            <w:r w:rsidRPr="00AC37A9">
              <w:rPr>
                <w:sz w:val="22"/>
                <w:szCs w:val="22"/>
              </w:rPr>
              <w:t xml:space="preserve">Direktīvas 2014/55/ES 6.pantā minētie “pamatelementi” </w:t>
            </w:r>
            <w:r w:rsidR="0043237E">
              <w:rPr>
                <w:sz w:val="22"/>
                <w:szCs w:val="22"/>
              </w:rPr>
              <w:t>ir norādīti, dodot uzdevumu Eiropas Standartizācijas institūcijai izstrādāt atbilstošu Eiropas elektronisko rēķinu standartu, kurā būtu ietverti minētie pamatelementi jeb informācija. Eiropas Elektronisko rēķinu standarts ir izstrādāts tādējādi, ka bez minētajiem pamatelementiem jeb informācijas nav iespējams sagatavot standartam atbilstošu elektronisko rēķinu. Līdz ar to</w:t>
            </w:r>
            <w:r w:rsidR="0043237E" w:rsidRPr="00AC37A9">
              <w:rPr>
                <w:sz w:val="22"/>
                <w:szCs w:val="22"/>
              </w:rPr>
              <w:t xml:space="preserve"> </w:t>
            </w:r>
            <w:r w:rsidR="0043237E">
              <w:rPr>
                <w:sz w:val="22"/>
                <w:szCs w:val="22"/>
              </w:rPr>
              <w:t xml:space="preserve">Direktīvas 2014/55/ES 6.pantu nav nepieciešams atsevišķi pārņemt. Vienlaikus informējam, ka vismaz </w:t>
            </w:r>
            <w:r w:rsidR="0043237E" w:rsidRPr="00AC37A9">
              <w:rPr>
                <w:sz w:val="22"/>
                <w:szCs w:val="22"/>
              </w:rPr>
              <w:t xml:space="preserve">daļa no </w:t>
            </w:r>
            <w:r w:rsidR="0043237E" w:rsidRPr="00AC37A9">
              <w:rPr>
                <w:sz w:val="22"/>
                <w:szCs w:val="22"/>
              </w:rPr>
              <w:lastRenderedPageBreak/>
              <w:t>Direktīvas 2014/55/ES 6.pantā minētajiem elementiem ir definēti Grāmatvedības likuma 7.pantā</w:t>
            </w:r>
            <w:r w:rsidR="0043237E">
              <w:rPr>
                <w:sz w:val="22"/>
                <w:szCs w:val="22"/>
              </w:rPr>
              <w:t xml:space="preserve"> kā attaisnojuma dokumenta (t.sk. rēķina) obligātie rekvizīti. Vienlaikus minētā norma neizslēdz citu rekvizītu ietveršanu rēķinā</w:t>
            </w:r>
            <w:r w:rsidR="0043237E" w:rsidRPr="00AC37A9">
              <w:rPr>
                <w:sz w:val="22"/>
                <w:szCs w:val="22"/>
              </w:rPr>
              <w:t>.</w:t>
            </w:r>
          </w:p>
          <w:p w14:paraId="0C30B41D" w14:textId="133E87CB" w:rsidR="00371A58" w:rsidRPr="00AC37A9" w:rsidRDefault="00371A58" w:rsidP="0043237E">
            <w:pPr>
              <w:pStyle w:val="naisc"/>
              <w:spacing w:before="0" w:after="0"/>
              <w:jc w:val="both"/>
              <w:rPr>
                <w:color w:val="000000" w:themeColor="text1"/>
                <w:sz w:val="22"/>
                <w:szCs w:val="22"/>
              </w:rPr>
            </w:pPr>
          </w:p>
        </w:tc>
        <w:tc>
          <w:tcPr>
            <w:tcW w:w="3576" w:type="dxa"/>
            <w:tcBorders>
              <w:top w:val="single" w:sz="4" w:space="0" w:color="auto"/>
              <w:left w:val="single" w:sz="4" w:space="0" w:color="auto"/>
              <w:bottom w:val="single" w:sz="4" w:space="0" w:color="auto"/>
            </w:tcBorders>
          </w:tcPr>
          <w:p w14:paraId="437A728F" w14:textId="77777777" w:rsidR="00371A58" w:rsidRPr="00AC37A9" w:rsidRDefault="00371A58" w:rsidP="00371A58">
            <w:pPr>
              <w:rPr>
                <w:b/>
                <w:color w:val="000000" w:themeColor="text1"/>
                <w:sz w:val="22"/>
                <w:szCs w:val="22"/>
              </w:rPr>
            </w:pPr>
            <w:r w:rsidRPr="00AC37A9">
              <w:rPr>
                <w:b/>
                <w:color w:val="000000" w:themeColor="text1"/>
                <w:sz w:val="22"/>
                <w:szCs w:val="22"/>
              </w:rPr>
              <w:lastRenderedPageBreak/>
              <w:t>Precizēta Anotācijas V sadaļa</w:t>
            </w:r>
          </w:p>
          <w:p w14:paraId="4B89B05D" w14:textId="77777777" w:rsidR="00371A58" w:rsidRPr="00AC37A9" w:rsidRDefault="00371A58" w:rsidP="00371A58">
            <w:pPr>
              <w:rPr>
                <w:b/>
                <w:color w:val="000000" w:themeColor="text1"/>
                <w:sz w:val="22"/>
                <w:szCs w:val="22"/>
              </w:rPr>
            </w:pPr>
          </w:p>
          <w:p w14:paraId="7C3FC682" w14:textId="77777777" w:rsidR="00371A58" w:rsidRPr="00AC37A9" w:rsidRDefault="00371A58" w:rsidP="00371A58">
            <w:pPr>
              <w:jc w:val="both"/>
              <w:rPr>
                <w:b/>
                <w:color w:val="000000" w:themeColor="text1"/>
                <w:sz w:val="22"/>
                <w:szCs w:val="22"/>
              </w:rPr>
            </w:pPr>
          </w:p>
        </w:tc>
      </w:tr>
      <w:tr w:rsidR="00024954" w:rsidRPr="00AC37A9" w14:paraId="5D224632" w14:textId="77777777" w:rsidTr="00371A58">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7669DC8" w14:textId="7AD8A0E3" w:rsidR="00024954" w:rsidRPr="00AC37A9" w:rsidRDefault="007B2BFF" w:rsidP="00371A58">
            <w:pPr>
              <w:pStyle w:val="naisc"/>
              <w:spacing w:before="0" w:after="0"/>
              <w:rPr>
                <w:color w:val="000000" w:themeColor="text1"/>
                <w:sz w:val="22"/>
                <w:szCs w:val="22"/>
              </w:rPr>
            </w:pPr>
            <w:r>
              <w:rPr>
                <w:color w:val="000000" w:themeColor="text1"/>
                <w:sz w:val="22"/>
                <w:szCs w:val="22"/>
              </w:rPr>
              <w:t>1</w:t>
            </w:r>
            <w:r w:rsidR="00024954" w:rsidRPr="00AC37A9">
              <w:rPr>
                <w:color w:val="000000" w:themeColor="text1"/>
                <w:sz w:val="22"/>
                <w:szCs w:val="22"/>
              </w:rPr>
              <w:t>6.</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56BFC624" w14:textId="77777777" w:rsidR="00024954" w:rsidRPr="00AC37A9" w:rsidRDefault="00024954" w:rsidP="00371A58">
            <w:pPr>
              <w:jc w:val="both"/>
              <w:rPr>
                <w:b/>
                <w:bCs/>
                <w:color w:val="000000" w:themeColor="text1"/>
                <w:sz w:val="22"/>
                <w:szCs w:val="22"/>
              </w:rPr>
            </w:pPr>
            <w:proofErr w:type="spellStart"/>
            <w:r w:rsidRPr="00AC37A9">
              <w:rPr>
                <w:b/>
                <w:bCs/>
                <w:color w:val="000000" w:themeColor="text1"/>
                <w:sz w:val="22"/>
                <w:szCs w:val="22"/>
              </w:rPr>
              <w:t>Protokollēmuma</w:t>
            </w:r>
            <w:proofErr w:type="spellEnd"/>
            <w:r w:rsidRPr="00AC37A9">
              <w:rPr>
                <w:b/>
                <w:bCs/>
                <w:color w:val="000000" w:themeColor="text1"/>
                <w:sz w:val="22"/>
                <w:szCs w:val="22"/>
              </w:rPr>
              <w:t xml:space="preserve"> projekta 1.punkts:</w:t>
            </w:r>
          </w:p>
          <w:p w14:paraId="16212DAB" w14:textId="77777777" w:rsidR="00024954" w:rsidRPr="00AC37A9" w:rsidRDefault="00024954" w:rsidP="00371A58">
            <w:pPr>
              <w:jc w:val="both"/>
              <w:rPr>
                <w:color w:val="000000" w:themeColor="text1"/>
                <w:sz w:val="22"/>
                <w:szCs w:val="22"/>
              </w:rPr>
            </w:pPr>
            <w:r w:rsidRPr="00AC37A9">
              <w:rPr>
                <w:bCs/>
                <w:color w:val="000000" w:themeColor="text1"/>
                <w:sz w:val="22"/>
                <w:szCs w:val="22"/>
              </w:rPr>
              <w:t>“1. Eiropas infrastruktūras savienošanas instrumenta (</w:t>
            </w:r>
            <w:proofErr w:type="spellStart"/>
            <w:r w:rsidRPr="00AC37A9">
              <w:rPr>
                <w:bCs/>
                <w:i/>
                <w:color w:val="000000" w:themeColor="text1"/>
                <w:sz w:val="22"/>
                <w:szCs w:val="22"/>
              </w:rPr>
              <w:t>Connecting</w:t>
            </w:r>
            <w:proofErr w:type="spellEnd"/>
            <w:r w:rsidRPr="00AC37A9">
              <w:rPr>
                <w:bCs/>
                <w:i/>
                <w:color w:val="000000" w:themeColor="text1"/>
                <w:sz w:val="22"/>
                <w:szCs w:val="22"/>
              </w:rPr>
              <w:t xml:space="preserve"> </w:t>
            </w:r>
            <w:proofErr w:type="spellStart"/>
            <w:r w:rsidRPr="00AC37A9">
              <w:rPr>
                <w:bCs/>
                <w:i/>
                <w:color w:val="000000" w:themeColor="text1"/>
                <w:sz w:val="22"/>
                <w:szCs w:val="22"/>
              </w:rPr>
              <w:t>Europe</w:t>
            </w:r>
            <w:proofErr w:type="spellEnd"/>
            <w:r w:rsidRPr="00AC37A9">
              <w:rPr>
                <w:bCs/>
                <w:i/>
                <w:color w:val="000000" w:themeColor="text1"/>
                <w:sz w:val="22"/>
                <w:szCs w:val="22"/>
              </w:rPr>
              <w:t xml:space="preserve"> </w:t>
            </w:r>
            <w:proofErr w:type="spellStart"/>
            <w:r w:rsidRPr="00AC37A9">
              <w:rPr>
                <w:bCs/>
                <w:i/>
                <w:color w:val="000000" w:themeColor="text1"/>
                <w:sz w:val="22"/>
                <w:szCs w:val="22"/>
              </w:rPr>
              <w:t>Facility</w:t>
            </w:r>
            <w:proofErr w:type="spellEnd"/>
            <w:r w:rsidRPr="00AC37A9">
              <w:rPr>
                <w:bCs/>
                <w:color w:val="000000" w:themeColor="text1"/>
                <w:sz w:val="22"/>
                <w:szCs w:val="22"/>
              </w:rPr>
              <w:t>) līdzfinansētā projekta “Eiropas elektroniskais rēķins” (</w:t>
            </w:r>
            <w:r w:rsidRPr="00AC37A9">
              <w:rPr>
                <w:bCs/>
                <w:i/>
                <w:color w:val="000000" w:themeColor="text1"/>
                <w:sz w:val="22"/>
                <w:szCs w:val="22"/>
              </w:rPr>
              <w:t>e-</w:t>
            </w:r>
            <w:proofErr w:type="spellStart"/>
            <w:r w:rsidRPr="00AC37A9">
              <w:rPr>
                <w:bCs/>
                <w:i/>
                <w:color w:val="000000" w:themeColor="text1"/>
                <w:sz w:val="22"/>
                <w:szCs w:val="22"/>
              </w:rPr>
              <w:t>Invoices</w:t>
            </w:r>
            <w:proofErr w:type="spellEnd"/>
            <w:r w:rsidRPr="00AC37A9">
              <w:rPr>
                <w:bCs/>
                <w:i/>
                <w:color w:val="000000" w:themeColor="text1"/>
                <w:sz w:val="22"/>
                <w:szCs w:val="22"/>
              </w:rPr>
              <w:t xml:space="preserve"> CEF Project</w:t>
            </w:r>
            <w:r w:rsidRPr="00AC37A9">
              <w:rPr>
                <w:bCs/>
                <w:color w:val="000000" w:themeColor="text1"/>
                <w:sz w:val="22"/>
                <w:szCs w:val="22"/>
              </w:rPr>
              <w:t>)</w:t>
            </w:r>
            <w:r w:rsidRPr="00AC37A9">
              <w:rPr>
                <w:color w:val="000000" w:themeColor="text1"/>
                <w:sz w:val="22"/>
                <w:szCs w:val="22"/>
              </w:rPr>
              <w:t xml:space="preserve"> apstiprināšanas gadījumā Vides aizsardzības un reģionālās attīstības ministrijai (Valsts reģionālās attīstības aģentūrai) īstenot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xml:space="preserve">) līdzfinansēto projektu un līdz 2020. gada 1. jūnijam noteiktā kārtībā iesniegt Ministru kabinetā attiecīgu tiesību akta projektu, lai noteiktu, ka valsts tiešās pārvaldes iestādes </w:t>
            </w:r>
            <w:r w:rsidRPr="00AC37A9">
              <w:rPr>
                <w:color w:val="000000" w:themeColor="text1"/>
                <w:sz w:val="22"/>
                <w:szCs w:val="22"/>
              </w:rPr>
              <w:lastRenderedPageBreak/>
              <w:t>izmanto projekta rezultātus, paredzot nepieciešamo finansējumu projekta rezultātu uzturēšanai.”</w:t>
            </w:r>
          </w:p>
          <w:p w14:paraId="11E1C3C1" w14:textId="77777777" w:rsidR="00024954" w:rsidRPr="00AC37A9" w:rsidRDefault="00024954" w:rsidP="00371A58">
            <w:pPr>
              <w:pStyle w:val="naisc"/>
              <w:spacing w:before="0" w:after="0"/>
              <w:ind w:firstLine="720"/>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D1F734B" w14:textId="77777777" w:rsidR="00024954" w:rsidRPr="00AC37A9" w:rsidRDefault="00024954" w:rsidP="00371A58">
            <w:pPr>
              <w:jc w:val="both"/>
              <w:rPr>
                <w:b/>
                <w:color w:val="000000" w:themeColor="text1"/>
                <w:sz w:val="22"/>
                <w:szCs w:val="22"/>
              </w:rPr>
            </w:pPr>
            <w:r w:rsidRPr="00AC37A9">
              <w:rPr>
                <w:b/>
                <w:color w:val="000000" w:themeColor="text1"/>
                <w:sz w:val="22"/>
                <w:szCs w:val="22"/>
              </w:rPr>
              <w:lastRenderedPageBreak/>
              <w:t>Vides aizsardzības un reģionālās attīstības ministrija</w:t>
            </w:r>
          </w:p>
          <w:p w14:paraId="5A96D637" w14:textId="51A3BEFD" w:rsidR="003329AF" w:rsidRPr="00AC37A9" w:rsidRDefault="00024954" w:rsidP="00371A58">
            <w:pPr>
              <w:pStyle w:val="naisc"/>
              <w:spacing w:before="0" w:after="0"/>
              <w:jc w:val="both"/>
              <w:rPr>
                <w:color w:val="000000" w:themeColor="text1"/>
                <w:sz w:val="22"/>
                <w:szCs w:val="22"/>
              </w:rPr>
            </w:pPr>
            <w:r w:rsidRPr="00AC37A9">
              <w:rPr>
                <w:color w:val="000000" w:themeColor="text1"/>
                <w:sz w:val="22"/>
                <w:szCs w:val="22"/>
              </w:rPr>
              <w:t xml:space="preserve">VARAM lūdz </w:t>
            </w:r>
            <w:proofErr w:type="spellStart"/>
            <w:r w:rsidRPr="00AC37A9">
              <w:rPr>
                <w:color w:val="000000" w:themeColor="text1"/>
                <w:sz w:val="22"/>
                <w:szCs w:val="22"/>
              </w:rPr>
              <w:t>protokollēmuma</w:t>
            </w:r>
            <w:proofErr w:type="spellEnd"/>
            <w:r w:rsidRPr="00AC37A9">
              <w:rPr>
                <w:color w:val="000000" w:themeColor="text1"/>
                <w:sz w:val="22"/>
                <w:szCs w:val="22"/>
              </w:rPr>
              <w:t xml:space="preserve"> 1.punktu: “1.</w:t>
            </w:r>
            <w:r w:rsidRPr="00AC37A9">
              <w:rPr>
                <w:color w:val="000000" w:themeColor="text1"/>
                <w:sz w:val="22"/>
                <w:szCs w:val="22"/>
              </w:rPr>
              <w:tab/>
              <w:t>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līdzfinansētā projekta “Eiropas elektroniskais rēķins” (</w:t>
            </w:r>
            <w:r w:rsidRPr="00AC37A9">
              <w:rPr>
                <w:i/>
                <w:color w:val="000000" w:themeColor="text1"/>
                <w:sz w:val="22"/>
                <w:szCs w:val="22"/>
              </w:rPr>
              <w:t>e-</w:t>
            </w:r>
            <w:proofErr w:type="spellStart"/>
            <w:r w:rsidRPr="00AC37A9">
              <w:rPr>
                <w:i/>
                <w:color w:val="000000" w:themeColor="text1"/>
                <w:sz w:val="22"/>
                <w:szCs w:val="22"/>
              </w:rPr>
              <w:t>Invoices</w:t>
            </w:r>
            <w:proofErr w:type="spellEnd"/>
            <w:r w:rsidRPr="00AC37A9">
              <w:rPr>
                <w:i/>
                <w:color w:val="000000" w:themeColor="text1"/>
                <w:sz w:val="22"/>
                <w:szCs w:val="22"/>
              </w:rPr>
              <w:t xml:space="preserve"> CEF Project</w:t>
            </w:r>
            <w:r w:rsidRPr="00AC37A9">
              <w:rPr>
                <w:color w:val="000000" w:themeColor="text1"/>
                <w:sz w:val="22"/>
                <w:szCs w:val="22"/>
              </w:rPr>
              <w:t>) apstiprināšanas gadījumā Vides aizsardzības un reģionālās attīstības ministrijai (Valsts reģionālās attīstības aģentūrai) īstenot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xml:space="preserve">) līdzfinansēto projektu un līdz 2020. gada 1. jūnijam noteiktā kārtībā iesniegt Ministru kabinetā </w:t>
            </w:r>
            <w:r w:rsidRPr="00AC37A9">
              <w:rPr>
                <w:color w:val="000000" w:themeColor="text1"/>
                <w:sz w:val="22"/>
                <w:szCs w:val="22"/>
              </w:rPr>
              <w:lastRenderedPageBreak/>
              <w:t>attiecīgu tiesību akta projektu, lai noteiktu, ka valsts tiešās pārvaldes iestādes izmanto projekta rezultātus, paredzot nepieciešamo finansējumu projekta rezultātu uzturēšanai.” dzēst.</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67A4F13E" w14:textId="08B7B14B" w:rsidR="00024954" w:rsidRPr="00AC37A9" w:rsidRDefault="00024954" w:rsidP="00AC37A9">
            <w:pPr>
              <w:pStyle w:val="naisc"/>
              <w:spacing w:before="0" w:after="0"/>
              <w:jc w:val="both"/>
              <w:rPr>
                <w:b/>
                <w:color w:val="000000" w:themeColor="text1"/>
                <w:sz w:val="22"/>
                <w:szCs w:val="22"/>
              </w:rPr>
            </w:pPr>
            <w:r w:rsidRPr="00AC37A9">
              <w:rPr>
                <w:b/>
                <w:color w:val="000000" w:themeColor="text1"/>
                <w:sz w:val="22"/>
                <w:szCs w:val="22"/>
              </w:rPr>
              <w:lastRenderedPageBreak/>
              <w:t>Ņemts vērā</w:t>
            </w:r>
            <w:r w:rsidR="00495A7A">
              <w:rPr>
                <w:b/>
                <w:color w:val="000000" w:themeColor="text1"/>
                <w:sz w:val="22"/>
                <w:szCs w:val="22"/>
              </w:rPr>
              <w:t xml:space="preserve"> (saskaņošanas laikā panākta vienošanās par redakciju)</w:t>
            </w:r>
          </w:p>
        </w:tc>
        <w:tc>
          <w:tcPr>
            <w:tcW w:w="3576" w:type="dxa"/>
            <w:tcBorders>
              <w:top w:val="single" w:sz="4" w:space="0" w:color="auto"/>
              <w:left w:val="single" w:sz="4" w:space="0" w:color="auto"/>
              <w:bottom w:val="single" w:sz="4" w:space="0" w:color="auto"/>
            </w:tcBorders>
            <w:shd w:val="clear" w:color="auto" w:fill="auto"/>
          </w:tcPr>
          <w:p w14:paraId="3DC7BBA1" w14:textId="50C19E99" w:rsidR="00024954" w:rsidRPr="00AC37A9" w:rsidRDefault="00024954" w:rsidP="00371A58">
            <w:pPr>
              <w:jc w:val="both"/>
              <w:rPr>
                <w:b/>
                <w:bCs/>
                <w:color w:val="000000" w:themeColor="text1"/>
                <w:sz w:val="22"/>
                <w:szCs w:val="22"/>
              </w:rPr>
            </w:pPr>
            <w:proofErr w:type="spellStart"/>
            <w:r w:rsidRPr="00AC37A9">
              <w:rPr>
                <w:b/>
                <w:bCs/>
                <w:color w:val="000000" w:themeColor="text1"/>
                <w:sz w:val="22"/>
                <w:szCs w:val="22"/>
              </w:rPr>
              <w:t>Protokollēmuma</w:t>
            </w:r>
            <w:proofErr w:type="spellEnd"/>
            <w:r w:rsidRPr="00AC37A9">
              <w:rPr>
                <w:b/>
                <w:bCs/>
                <w:color w:val="000000" w:themeColor="text1"/>
                <w:sz w:val="22"/>
                <w:szCs w:val="22"/>
              </w:rPr>
              <w:t xml:space="preserve"> projekta 2.punkts:</w:t>
            </w:r>
          </w:p>
          <w:p w14:paraId="3275DCBE" w14:textId="07DB1E21" w:rsidR="00024954" w:rsidRPr="00AC37A9" w:rsidRDefault="00024954" w:rsidP="00371A58">
            <w:pPr>
              <w:jc w:val="both"/>
              <w:rPr>
                <w:color w:val="000000" w:themeColor="text1"/>
                <w:sz w:val="22"/>
                <w:szCs w:val="22"/>
              </w:rPr>
            </w:pPr>
            <w:r w:rsidRPr="00AC37A9">
              <w:rPr>
                <w:bCs/>
                <w:color w:val="000000" w:themeColor="text1"/>
                <w:sz w:val="22"/>
                <w:szCs w:val="22"/>
              </w:rPr>
              <w:t xml:space="preserve">“2. </w:t>
            </w:r>
            <w:r w:rsidR="009C4CC8" w:rsidRPr="009C4CC8">
              <w:rPr>
                <w:bCs/>
                <w:color w:val="000000" w:themeColor="text1"/>
                <w:sz w:val="22"/>
                <w:szCs w:val="22"/>
              </w:rPr>
              <w:t>Vides aizsardzības un reģionālās attīstības ministrijai (Valsts reģionālās attīstības aģentūrai), īstenojot Eiropas infrastruktūras savienošanas instrumenta (</w:t>
            </w:r>
            <w:proofErr w:type="spellStart"/>
            <w:r w:rsidR="009C4CC8" w:rsidRPr="009C4CC8">
              <w:rPr>
                <w:bCs/>
                <w:color w:val="000000" w:themeColor="text1"/>
                <w:sz w:val="22"/>
                <w:szCs w:val="22"/>
              </w:rPr>
              <w:t>Connecting</w:t>
            </w:r>
            <w:proofErr w:type="spellEnd"/>
            <w:r w:rsidR="009C4CC8" w:rsidRPr="009C4CC8">
              <w:rPr>
                <w:bCs/>
                <w:color w:val="000000" w:themeColor="text1"/>
                <w:sz w:val="22"/>
                <w:szCs w:val="22"/>
              </w:rPr>
              <w:t xml:space="preserve"> </w:t>
            </w:r>
            <w:proofErr w:type="spellStart"/>
            <w:r w:rsidR="009C4CC8" w:rsidRPr="009C4CC8">
              <w:rPr>
                <w:bCs/>
                <w:color w:val="000000" w:themeColor="text1"/>
                <w:sz w:val="22"/>
                <w:szCs w:val="22"/>
              </w:rPr>
              <w:t>Europe</w:t>
            </w:r>
            <w:proofErr w:type="spellEnd"/>
            <w:r w:rsidR="009C4CC8" w:rsidRPr="009C4CC8">
              <w:rPr>
                <w:bCs/>
                <w:color w:val="000000" w:themeColor="text1"/>
                <w:sz w:val="22"/>
                <w:szCs w:val="22"/>
              </w:rPr>
              <w:t xml:space="preserve"> </w:t>
            </w:r>
            <w:proofErr w:type="spellStart"/>
            <w:r w:rsidR="009C4CC8" w:rsidRPr="009C4CC8">
              <w:rPr>
                <w:bCs/>
                <w:color w:val="000000" w:themeColor="text1"/>
                <w:sz w:val="22"/>
                <w:szCs w:val="22"/>
              </w:rPr>
              <w:t>Facility</w:t>
            </w:r>
            <w:proofErr w:type="spellEnd"/>
            <w:r w:rsidR="009C4CC8" w:rsidRPr="009C4CC8">
              <w:rPr>
                <w:bCs/>
                <w:color w:val="000000" w:themeColor="text1"/>
                <w:sz w:val="22"/>
                <w:szCs w:val="22"/>
              </w:rPr>
              <w:t>) līdzfinansēto projektu “Eiropas elektroniskais rēķins” (e-</w:t>
            </w:r>
            <w:proofErr w:type="spellStart"/>
            <w:r w:rsidR="009C4CC8" w:rsidRPr="009C4CC8">
              <w:rPr>
                <w:bCs/>
                <w:color w:val="000000" w:themeColor="text1"/>
                <w:sz w:val="22"/>
                <w:szCs w:val="22"/>
              </w:rPr>
              <w:t>Invoices</w:t>
            </w:r>
            <w:proofErr w:type="spellEnd"/>
            <w:r w:rsidR="009C4CC8" w:rsidRPr="009C4CC8">
              <w:rPr>
                <w:bCs/>
                <w:color w:val="000000" w:themeColor="text1"/>
                <w:sz w:val="22"/>
                <w:szCs w:val="22"/>
              </w:rPr>
              <w:t xml:space="preserve"> CEF Project), sadarbībā ar Finanšu ministriju sagatavot un atbilstoši kompetencei noteiktā kārtībā iesniegt Ministru kabinetā nepieciešamos grozījumus normatīvajos aktos, nosakot, ka tiešās pārvaldes iestādes elektronisko rēķinu saņemšanai izmanto tikai projekta ietvaros radītos elektronisko rēķinu piegādes risinājumus.</w:t>
            </w:r>
            <w:r w:rsidRPr="00AC37A9">
              <w:rPr>
                <w:bCs/>
                <w:color w:val="000000" w:themeColor="text1"/>
                <w:sz w:val="22"/>
                <w:szCs w:val="22"/>
              </w:rPr>
              <w:t>”</w:t>
            </w:r>
          </w:p>
          <w:p w14:paraId="53FCE2E7" w14:textId="77777777" w:rsidR="00024954" w:rsidRDefault="00024954" w:rsidP="00371A58">
            <w:pPr>
              <w:jc w:val="both"/>
              <w:rPr>
                <w:color w:val="000000" w:themeColor="text1"/>
                <w:sz w:val="22"/>
                <w:szCs w:val="22"/>
              </w:rPr>
            </w:pPr>
          </w:p>
          <w:p w14:paraId="6EA222E9" w14:textId="63913075" w:rsidR="003329AF" w:rsidRPr="00AC37A9" w:rsidRDefault="003329AF" w:rsidP="00371A58">
            <w:pPr>
              <w:jc w:val="both"/>
              <w:rPr>
                <w:color w:val="000000" w:themeColor="text1"/>
                <w:sz w:val="22"/>
                <w:szCs w:val="22"/>
              </w:rPr>
            </w:pPr>
          </w:p>
        </w:tc>
      </w:tr>
      <w:tr w:rsidR="00910E4C" w:rsidRPr="00AC37A9" w14:paraId="5D5651FC" w14:textId="77777777" w:rsidTr="00371A58">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146DACA" w14:textId="24511444" w:rsidR="00910E4C" w:rsidRDefault="00910E4C" w:rsidP="00371A58">
            <w:pPr>
              <w:pStyle w:val="naisc"/>
              <w:spacing w:before="0" w:after="0"/>
              <w:rPr>
                <w:color w:val="000000" w:themeColor="text1"/>
                <w:sz w:val="22"/>
                <w:szCs w:val="22"/>
              </w:rPr>
            </w:pPr>
            <w:r>
              <w:rPr>
                <w:color w:val="000000" w:themeColor="text1"/>
                <w:sz w:val="22"/>
                <w:szCs w:val="22"/>
              </w:rPr>
              <w:t>17.</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70B13BF0" w14:textId="77777777" w:rsidR="00910E4C" w:rsidRPr="00AC37A9" w:rsidRDefault="00910E4C" w:rsidP="00910E4C">
            <w:pPr>
              <w:jc w:val="both"/>
              <w:rPr>
                <w:b/>
                <w:bCs/>
                <w:color w:val="000000" w:themeColor="text1"/>
                <w:sz w:val="22"/>
                <w:szCs w:val="22"/>
              </w:rPr>
            </w:pPr>
            <w:proofErr w:type="spellStart"/>
            <w:r w:rsidRPr="00AC37A9">
              <w:rPr>
                <w:b/>
                <w:bCs/>
                <w:color w:val="000000" w:themeColor="text1"/>
                <w:sz w:val="22"/>
                <w:szCs w:val="22"/>
              </w:rPr>
              <w:t>Protokollēmuma</w:t>
            </w:r>
            <w:proofErr w:type="spellEnd"/>
            <w:r w:rsidRPr="00AC37A9">
              <w:rPr>
                <w:b/>
                <w:bCs/>
                <w:color w:val="000000" w:themeColor="text1"/>
                <w:sz w:val="22"/>
                <w:szCs w:val="22"/>
              </w:rPr>
              <w:t xml:space="preserve"> projekta 1.punkts:</w:t>
            </w:r>
          </w:p>
          <w:p w14:paraId="5A554BCA" w14:textId="77777777" w:rsidR="00910E4C" w:rsidRPr="00AC37A9" w:rsidRDefault="00910E4C" w:rsidP="00910E4C">
            <w:pPr>
              <w:jc w:val="both"/>
              <w:rPr>
                <w:color w:val="000000" w:themeColor="text1"/>
                <w:sz w:val="22"/>
                <w:szCs w:val="22"/>
              </w:rPr>
            </w:pPr>
            <w:r w:rsidRPr="00AC37A9">
              <w:rPr>
                <w:bCs/>
                <w:color w:val="000000" w:themeColor="text1"/>
                <w:sz w:val="22"/>
                <w:szCs w:val="22"/>
              </w:rPr>
              <w:t>“1. Eiropas infrastruktūras savienošanas instrumenta (</w:t>
            </w:r>
            <w:proofErr w:type="spellStart"/>
            <w:r w:rsidRPr="00AC37A9">
              <w:rPr>
                <w:bCs/>
                <w:i/>
                <w:color w:val="000000" w:themeColor="text1"/>
                <w:sz w:val="22"/>
                <w:szCs w:val="22"/>
              </w:rPr>
              <w:t>Connecting</w:t>
            </w:r>
            <w:proofErr w:type="spellEnd"/>
            <w:r w:rsidRPr="00AC37A9">
              <w:rPr>
                <w:bCs/>
                <w:i/>
                <w:color w:val="000000" w:themeColor="text1"/>
                <w:sz w:val="22"/>
                <w:szCs w:val="22"/>
              </w:rPr>
              <w:t xml:space="preserve"> </w:t>
            </w:r>
            <w:proofErr w:type="spellStart"/>
            <w:r w:rsidRPr="00AC37A9">
              <w:rPr>
                <w:bCs/>
                <w:i/>
                <w:color w:val="000000" w:themeColor="text1"/>
                <w:sz w:val="22"/>
                <w:szCs w:val="22"/>
              </w:rPr>
              <w:t>Europe</w:t>
            </w:r>
            <w:proofErr w:type="spellEnd"/>
            <w:r w:rsidRPr="00AC37A9">
              <w:rPr>
                <w:bCs/>
                <w:i/>
                <w:color w:val="000000" w:themeColor="text1"/>
                <w:sz w:val="22"/>
                <w:szCs w:val="22"/>
              </w:rPr>
              <w:t xml:space="preserve"> </w:t>
            </w:r>
            <w:proofErr w:type="spellStart"/>
            <w:r w:rsidRPr="00AC37A9">
              <w:rPr>
                <w:bCs/>
                <w:i/>
                <w:color w:val="000000" w:themeColor="text1"/>
                <w:sz w:val="22"/>
                <w:szCs w:val="22"/>
              </w:rPr>
              <w:t>Facility</w:t>
            </w:r>
            <w:proofErr w:type="spellEnd"/>
            <w:r w:rsidRPr="00AC37A9">
              <w:rPr>
                <w:bCs/>
                <w:color w:val="000000" w:themeColor="text1"/>
                <w:sz w:val="22"/>
                <w:szCs w:val="22"/>
              </w:rPr>
              <w:t>) līdzfinansētā projekta “Eiropas elektroniskais rēķins” (</w:t>
            </w:r>
            <w:r w:rsidRPr="00AC37A9">
              <w:rPr>
                <w:bCs/>
                <w:i/>
                <w:color w:val="000000" w:themeColor="text1"/>
                <w:sz w:val="22"/>
                <w:szCs w:val="22"/>
              </w:rPr>
              <w:t>e-</w:t>
            </w:r>
            <w:proofErr w:type="spellStart"/>
            <w:r w:rsidRPr="00AC37A9">
              <w:rPr>
                <w:bCs/>
                <w:i/>
                <w:color w:val="000000" w:themeColor="text1"/>
                <w:sz w:val="22"/>
                <w:szCs w:val="22"/>
              </w:rPr>
              <w:t>Invoices</w:t>
            </w:r>
            <w:proofErr w:type="spellEnd"/>
            <w:r w:rsidRPr="00AC37A9">
              <w:rPr>
                <w:bCs/>
                <w:i/>
                <w:color w:val="000000" w:themeColor="text1"/>
                <w:sz w:val="22"/>
                <w:szCs w:val="22"/>
              </w:rPr>
              <w:t xml:space="preserve"> CEF Project</w:t>
            </w:r>
            <w:r w:rsidRPr="00AC37A9">
              <w:rPr>
                <w:bCs/>
                <w:color w:val="000000" w:themeColor="text1"/>
                <w:sz w:val="22"/>
                <w:szCs w:val="22"/>
              </w:rPr>
              <w:t>)</w:t>
            </w:r>
            <w:r w:rsidRPr="00AC37A9">
              <w:rPr>
                <w:color w:val="000000" w:themeColor="text1"/>
                <w:sz w:val="22"/>
                <w:szCs w:val="22"/>
              </w:rPr>
              <w:t xml:space="preserve"> apstiprināšanas gadījumā Vides aizsardzības un reģionālās attīstības ministrijai (Valsts reģionālās attīstības aģentūrai) īstenot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līdzfinansēto projektu un līdz 2020. gada 1. jūnijam noteiktā kārtībā iesniegt Ministru kabinetā attiecīgu tiesību akta projektu, lai noteiktu, ka valsts tiešās pārvaldes iestādes izmanto projekta rezultātus, paredzot nepieciešamo finansējumu projekta rezultātu uzturēšanai.”</w:t>
            </w:r>
          </w:p>
          <w:p w14:paraId="06443E7E" w14:textId="77777777" w:rsidR="00910E4C" w:rsidRPr="00AC37A9" w:rsidRDefault="00910E4C" w:rsidP="00371A58">
            <w:pPr>
              <w:jc w:val="both"/>
              <w:rPr>
                <w:b/>
                <w:bCs/>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56C7266" w14:textId="77777777" w:rsidR="00910E4C" w:rsidRPr="00AC37A9" w:rsidRDefault="00910E4C" w:rsidP="00910E4C">
            <w:pPr>
              <w:pStyle w:val="Heading2"/>
              <w:jc w:val="both"/>
              <w:rPr>
                <w:rFonts w:ascii="Times New Roman" w:hAnsi="Times New Roman" w:cs="Times New Roman"/>
                <w:b/>
                <w:color w:val="000000" w:themeColor="text1"/>
                <w:sz w:val="22"/>
                <w:szCs w:val="22"/>
              </w:rPr>
            </w:pPr>
            <w:r w:rsidRPr="00AC37A9">
              <w:rPr>
                <w:rFonts w:ascii="Times New Roman" w:hAnsi="Times New Roman" w:cs="Times New Roman"/>
                <w:b/>
                <w:color w:val="000000" w:themeColor="text1"/>
                <w:sz w:val="22"/>
                <w:szCs w:val="22"/>
              </w:rPr>
              <w:t>Veselības ministrija</w:t>
            </w:r>
          </w:p>
          <w:p w14:paraId="5C6D98CE" w14:textId="77777777" w:rsidR="00910E4C" w:rsidRPr="00AC37A9" w:rsidRDefault="00910E4C" w:rsidP="00910E4C">
            <w:pPr>
              <w:pStyle w:val="Heading2"/>
              <w:jc w:val="both"/>
              <w:rPr>
                <w:rFonts w:ascii="Times New Roman" w:hAnsi="Times New Roman" w:cs="Times New Roman"/>
                <w:color w:val="000000" w:themeColor="text1"/>
                <w:sz w:val="22"/>
                <w:szCs w:val="22"/>
              </w:rPr>
            </w:pPr>
            <w:r w:rsidRPr="00AC37A9">
              <w:rPr>
                <w:rFonts w:ascii="Times New Roman" w:hAnsi="Times New Roman" w:cs="Times New Roman"/>
                <w:color w:val="000000" w:themeColor="text1"/>
                <w:sz w:val="22"/>
                <w:szCs w:val="22"/>
              </w:rPr>
              <w:t xml:space="preserve">Lūdzam papildināt Ministru kabineta sēdes </w:t>
            </w:r>
            <w:proofErr w:type="spellStart"/>
            <w:r w:rsidRPr="00AC37A9">
              <w:rPr>
                <w:rFonts w:ascii="Times New Roman" w:hAnsi="Times New Roman" w:cs="Times New Roman"/>
                <w:color w:val="000000" w:themeColor="text1"/>
                <w:sz w:val="22"/>
                <w:szCs w:val="22"/>
              </w:rPr>
              <w:t>protokollēmuma</w:t>
            </w:r>
            <w:proofErr w:type="spellEnd"/>
            <w:r w:rsidRPr="00AC37A9">
              <w:rPr>
                <w:rFonts w:ascii="Times New Roman" w:hAnsi="Times New Roman" w:cs="Times New Roman"/>
                <w:color w:val="000000" w:themeColor="text1"/>
                <w:sz w:val="22"/>
                <w:szCs w:val="22"/>
              </w:rPr>
              <w:t xml:space="preserve"> projekta 1.punktu, izsākot to šādā redakcijā:</w:t>
            </w:r>
          </w:p>
          <w:p w14:paraId="031E29B7" w14:textId="738C0A73" w:rsidR="00910E4C" w:rsidRPr="00AC37A9" w:rsidRDefault="00910E4C" w:rsidP="00910E4C">
            <w:pPr>
              <w:jc w:val="both"/>
              <w:rPr>
                <w:b/>
                <w:color w:val="000000" w:themeColor="text1"/>
                <w:sz w:val="22"/>
                <w:szCs w:val="22"/>
              </w:rPr>
            </w:pPr>
            <w:r w:rsidRPr="00AC37A9">
              <w:rPr>
                <w:color w:val="000000" w:themeColor="text1"/>
                <w:sz w:val="22"/>
                <w:szCs w:val="22"/>
              </w:rPr>
              <w:t>“Eiropas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līdzfinansētā projekta “Eiropas elektroniskais rēķins” (</w:t>
            </w:r>
            <w:r w:rsidRPr="00AC37A9">
              <w:rPr>
                <w:i/>
                <w:color w:val="000000" w:themeColor="text1"/>
                <w:sz w:val="22"/>
                <w:szCs w:val="22"/>
              </w:rPr>
              <w:t>e-</w:t>
            </w:r>
            <w:proofErr w:type="spellStart"/>
            <w:r w:rsidRPr="00AC37A9">
              <w:rPr>
                <w:i/>
                <w:color w:val="000000" w:themeColor="text1"/>
                <w:sz w:val="22"/>
                <w:szCs w:val="22"/>
              </w:rPr>
              <w:t>Invoices</w:t>
            </w:r>
            <w:proofErr w:type="spellEnd"/>
            <w:r w:rsidRPr="00AC37A9">
              <w:rPr>
                <w:i/>
                <w:color w:val="000000" w:themeColor="text1"/>
                <w:sz w:val="22"/>
                <w:szCs w:val="22"/>
              </w:rPr>
              <w:t xml:space="preserve"> CEF Project</w:t>
            </w:r>
            <w:r w:rsidRPr="00AC37A9">
              <w:rPr>
                <w:color w:val="000000" w:themeColor="text1"/>
                <w:sz w:val="22"/>
                <w:szCs w:val="22"/>
              </w:rPr>
              <w:t>) apstiprināšanas gadījumā Vides aizsardzības un reģionālās attīstības ministrijai (Valsts reģionālās attīstības aģentūrai) īstenot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xml:space="preserve">) līdzfinansēto projektu un līdz 2020. gada 1. jūnijam noteiktā kārtībā iesniegt Ministru kabinetā attiecīgu tiesību akta projektu, lai noteiktu, ka valsts tiešās pārvaldes iestādes izmanto projekta rezultātus, paredzot </w:t>
            </w:r>
            <w:r w:rsidRPr="00AC37A9">
              <w:rPr>
                <w:color w:val="000000" w:themeColor="text1"/>
                <w:sz w:val="22"/>
                <w:szCs w:val="22"/>
                <w:u w:val="single"/>
              </w:rPr>
              <w:t>papildus</w:t>
            </w:r>
            <w:r w:rsidRPr="00AC37A9">
              <w:rPr>
                <w:color w:val="000000" w:themeColor="text1"/>
                <w:sz w:val="22"/>
                <w:szCs w:val="22"/>
              </w:rPr>
              <w:t xml:space="preserve"> nepieciešamo finansējumu projekta rezultātu uzturēšanai.”</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68BD52E4" w14:textId="77777777" w:rsidR="00910E4C" w:rsidRPr="00AC37A9" w:rsidRDefault="00910E4C" w:rsidP="00910E4C">
            <w:pPr>
              <w:pStyle w:val="naisc"/>
              <w:spacing w:before="0" w:after="0"/>
              <w:jc w:val="both"/>
              <w:rPr>
                <w:b/>
                <w:color w:val="000000" w:themeColor="text1"/>
                <w:sz w:val="22"/>
                <w:szCs w:val="22"/>
              </w:rPr>
            </w:pPr>
            <w:r w:rsidRPr="00AC37A9">
              <w:rPr>
                <w:b/>
                <w:color w:val="000000" w:themeColor="text1"/>
                <w:sz w:val="22"/>
                <w:szCs w:val="22"/>
              </w:rPr>
              <w:t>Ņemts vērā</w:t>
            </w:r>
          </w:p>
          <w:p w14:paraId="3732FEF6" w14:textId="4221DDE1" w:rsidR="00910E4C" w:rsidRPr="00AC37A9" w:rsidRDefault="00910E4C" w:rsidP="00910E4C">
            <w:pPr>
              <w:pStyle w:val="naisc"/>
              <w:spacing w:before="0" w:after="0"/>
              <w:jc w:val="both"/>
              <w:rPr>
                <w:b/>
                <w:color w:val="000000" w:themeColor="text1"/>
                <w:sz w:val="22"/>
                <w:szCs w:val="22"/>
              </w:rPr>
            </w:pPr>
            <w:r w:rsidRPr="00AC37A9">
              <w:rPr>
                <w:color w:val="000000" w:themeColor="text1"/>
                <w:sz w:val="22"/>
                <w:szCs w:val="22"/>
              </w:rPr>
              <w:t xml:space="preserve">(Precizēts atbilstoši </w:t>
            </w:r>
            <w:r>
              <w:rPr>
                <w:color w:val="000000" w:themeColor="text1"/>
                <w:sz w:val="22"/>
                <w:szCs w:val="22"/>
              </w:rPr>
              <w:t xml:space="preserve">panāktajai vienošanās ar </w:t>
            </w:r>
            <w:r w:rsidRPr="00AC37A9">
              <w:rPr>
                <w:color w:val="000000" w:themeColor="text1"/>
                <w:sz w:val="22"/>
                <w:szCs w:val="22"/>
              </w:rPr>
              <w:t>VARAM)</w:t>
            </w:r>
          </w:p>
        </w:tc>
        <w:tc>
          <w:tcPr>
            <w:tcW w:w="3576" w:type="dxa"/>
            <w:tcBorders>
              <w:top w:val="single" w:sz="4" w:space="0" w:color="auto"/>
              <w:left w:val="single" w:sz="4" w:space="0" w:color="auto"/>
              <w:bottom w:val="single" w:sz="4" w:space="0" w:color="auto"/>
            </w:tcBorders>
            <w:shd w:val="clear" w:color="auto" w:fill="auto"/>
          </w:tcPr>
          <w:p w14:paraId="15D12D9E" w14:textId="77777777" w:rsidR="00910E4C" w:rsidRPr="00AC37A9" w:rsidRDefault="00910E4C" w:rsidP="00910E4C">
            <w:pPr>
              <w:jc w:val="both"/>
              <w:rPr>
                <w:b/>
                <w:bCs/>
                <w:color w:val="000000" w:themeColor="text1"/>
                <w:sz w:val="22"/>
                <w:szCs w:val="22"/>
              </w:rPr>
            </w:pPr>
            <w:proofErr w:type="spellStart"/>
            <w:r w:rsidRPr="00AC37A9">
              <w:rPr>
                <w:b/>
                <w:bCs/>
                <w:color w:val="000000" w:themeColor="text1"/>
                <w:sz w:val="22"/>
                <w:szCs w:val="22"/>
              </w:rPr>
              <w:t>Protokollēmuma</w:t>
            </w:r>
            <w:proofErr w:type="spellEnd"/>
            <w:r w:rsidRPr="00AC37A9">
              <w:rPr>
                <w:b/>
                <w:bCs/>
                <w:color w:val="000000" w:themeColor="text1"/>
                <w:sz w:val="22"/>
                <w:szCs w:val="22"/>
              </w:rPr>
              <w:t xml:space="preserve"> projekta 2.punkts:</w:t>
            </w:r>
          </w:p>
          <w:p w14:paraId="3A6C0706" w14:textId="697A2E27" w:rsidR="00910E4C" w:rsidRPr="00AC37A9" w:rsidRDefault="00910E4C" w:rsidP="00910E4C">
            <w:pPr>
              <w:jc w:val="both"/>
              <w:rPr>
                <w:b/>
                <w:bCs/>
                <w:color w:val="000000" w:themeColor="text1"/>
                <w:sz w:val="22"/>
                <w:szCs w:val="22"/>
              </w:rPr>
            </w:pPr>
            <w:r w:rsidRPr="00AC37A9">
              <w:rPr>
                <w:bCs/>
                <w:color w:val="000000" w:themeColor="text1"/>
                <w:sz w:val="22"/>
                <w:szCs w:val="22"/>
              </w:rPr>
              <w:t>“2.</w:t>
            </w:r>
            <w:r w:rsidR="009C4CC8">
              <w:t xml:space="preserve"> </w:t>
            </w:r>
            <w:r w:rsidR="009C4CC8" w:rsidRPr="009C4CC8">
              <w:rPr>
                <w:bCs/>
                <w:color w:val="000000" w:themeColor="text1"/>
                <w:sz w:val="22"/>
                <w:szCs w:val="22"/>
              </w:rPr>
              <w:t>Vides aizsardzības un reģionālās attīstības ministrijai (Valsts reģionālās attīstības aģentūrai), īstenojot Eiropas infrastruktūras savienošanas instrumenta (</w:t>
            </w:r>
            <w:proofErr w:type="spellStart"/>
            <w:r w:rsidR="009C4CC8" w:rsidRPr="009C4CC8">
              <w:rPr>
                <w:bCs/>
                <w:color w:val="000000" w:themeColor="text1"/>
                <w:sz w:val="22"/>
                <w:szCs w:val="22"/>
              </w:rPr>
              <w:t>Connecting</w:t>
            </w:r>
            <w:proofErr w:type="spellEnd"/>
            <w:r w:rsidR="009C4CC8" w:rsidRPr="009C4CC8">
              <w:rPr>
                <w:bCs/>
                <w:color w:val="000000" w:themeColor="text1"/>
                <w:sz w:val="22"/>
                <w:szCs w:val="22"/>
              </w:rPr>
              <w:t xml:space="preserve"> </w:t>
            </w:r>
            <w:proofErr w:type="spellStart"/>
            <w:r w:rsidR="009C4CC8" w:rsidRPr="009C4CC8">
              <w:rPr>
                <w:bCs/>
                <w:color w:val="000000" w:themeColor="text1"/>
                <w:sz w:val="22"/>
                <w:szCs w:val="22"/>
              </w:rPr>
              <w:t>Europe</w:t>
            </w:r>
            <w:proofErr w:type="spellEnd"/>
            <w:r w:rsidR="009C4CC8" w:rsidRPr="009C4CC8">
              <w:rPr>
                <w:bCs/>
                <w:color w:val="000000" w:themeColor="text1"/>
                <w:sz w:val="22"/>
                <w:szCs w:val="22"/>
              </w:rPr>
              <w:t xml:space="preserve"> </w:t>
            </w:r>
            <w:proofErr w:type="spellStart"/>
            <w:r w:rsidR="009C4CC8" w:rsidRPr="009C4CC8">
              <w:rPr>
                <w:bCs/>
                <w:color w:val="000000" w:themeColor="text1"/>
                <w:sz w:val="22"/>
                <w:szCs w:val="22"/>
              </w:rPr>
              <w:t>Facility</w:t>
            </w:r>
            <w:proofErr w:type="spellEnd"/>
            <w:r w:rsidR="009C4CC8" w:rsidRPr="009C4CC8">
              <w:rPr>
                <w:bCs/>
                <w:color w:val="000000" w:themeColor="text1"/>
                <w:sz w:val="22"/>
                <w:szCs w:val="22"/>
              </w:rPr>
              <w:t>) līdzfinansēto projektu “Eiropas elektroniskais rēķins” (e-</w:t>
            </w:r>
            <w:proofErr w:type="spellStart"/>
            <w:r w:rsidR="009C4CC8" w:rsidRPr="009C4CC8">
              <w:rPr>
                <w:bCs/>
                <w:color w:val="000000" w:themeColor="text1"/>
                <w:sz w:val="22"/>
                <w:szCs w:val="22"/>
              </w:rPr>
              <w:t>Invoices</w:t>
            </w:r>
            <w:proofErr w:type="spellEnd"/>
            <w:r w:rsidR="009C4CC8" w:rsidRPr="009C4CC8">
              <w:rPr>
                <w:bCs/>
                <w:color w:val="000000" w:themeColor="text1"/>
                <w:sz w:val="22"/>
                <w:szCs w:val="22"/>
              </w:rPr>
              <w:t xml:space="preserve"> CEF Project), sadarbībā ar Finanšu ministriju sagatavot un atbilstoši kompetencei noteiktā kārtībā iesniegt Ministru kabinetā nepieciešamos grozījumus normatīvajos aktos, nosakot, ka tiešās pārvaldes iestādes elektronisko rēķinu saņemšanai izmanto tikai projekta ietvaros radītos elektronisko rēķinu piegādes risinājumus.</w:t>
            </w:r>
            <w:r w:rsidRPr="00AC37A9">
              <w:rPr>
                <w:bCs/>
                <w:color w:val="000000" w:themeColor="text1"/>
                <w:sz w:val="22"/>
                <w:szCs w:val="22"/>
              </w:rPr>
              <w:t>”</w:t>
            </w:r>
          </w:p>
        </w:tc>
      </w:tr>
      <w:tr w:rsidR="00024954" w:rsidRPr="00AC37A9" w14:paraId="5628A577" w14:textId="77777777" w:rsidTr="00371A58">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48F658A" w14:textId="3DB76BC8" w:rsidR="00024954" w:rsidRPr="00AC37A9" w:rsidRDefault="007B2BFF" w:rsidP="00371A58">
            <w:pPr>
              <w:pStyle w:val="naisc"/>
              <w:spacing w:before="0" w:after="0"/>
              <w:rPr>
                <w:color w:val="000000" w:themeColor="text1"/>
                <w:sz w:val="22"/>
                <w:szCs w:val="22"/>
              </w:rPr>
            </w:pPr>
            <w:r>
              <w:rPr>
                <w:color w:val="000000" w:themeColor="text1"/>
                <w:sz w:val="22"/>
                <w:szCs w:val="22"/>
              </w:rPr>
              <w:lastRenderedPageBreak/>
              <w:t>1</w:t>
            </w:r>
            <w:r w:rsidR="00024954" w:rsidRPr="00AC37A9">
              <w:rPr>
                <w:color w:val="000000" w:themeColor="text1"/>
                <w:sz w:val="22"/>
                <w:szCs w:val="22"/>
              </w:rPr>
              <w:t>8.</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6B6C053D" w14:textId="2974DC27" w:rsidR="00024954" w:rsidRPr="00AC37A9" w:rsidRDefault="00024954" w:rsidP="00024954">
            <w:pPr>
              <w:jc w:val="both"/>
              <w:rPr>
                <w:color w:val="000000" w:themeColor="text1"/>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2A11E242" w14:textId="77777777" w:rsidR="00024954" w:rsidRPr="00AC37A9" w:rsidRDefault="00024954" w:rsidP="00371A58">
            <w:pPr>
              <w:pStyle w:val="Heading2"/>
              <w:jc w:val="both"/>
              <w:rPr>
                <w:rFonts w:ascii="Times New Roman" w:eastAsia="Calibri" w:hAnsi="Times New Roman" w:cs="Times New Roman"/>
                <w:b/>
                <w:color w:val="000000" w:themeColor="text1"/>
                <w:sz w:val="22"/>
                <w:szCs w:val="22"/>
              </w:rPr>
            </w:pPr>
            <w:r w:rsidRPr="00AC37A9">
              <w:rPr>
                <w:rFonts w:ascii="Times New Roman" w:eastAsia="Calibri" w:hAnsi="Times New Roman" w:cs="Times New Roman"/>
                <w:b/>
                <w:color w:val="000000" w:themeColor="text1"/>
                <w:sz w:val="22"/>
                <w:szCs w:val="22"/>
              </w:rPr>
              <w:t>Vides aizsardzības un reģionālās attīstības ministrija</w:t>
            </w:r>
          </w:p>
          <w:p w14:paraId="0B21C370" w14:textId="77777777" w:rsidR="00024954" w:rsidRPr="00AC37A9" w:rsidRDefault="00024954" w:rsidP="00371A58">
            <w:pPr>
              <w:pStyle w:val="Heading2"/>
              <w:jc w:val="both"/>
              <w:rPr>
                <w:rFonts w:ascii="Times New Roman" w:hAnsi="Times New Roman" w:cs="Times New Roman"/>
                <w:color w:val="000000" w:themeColor="text1"/>
                <w:sz w:val="22"/>
                <w:szCs w:val="22"/>
              </w:rPr>
            </w:pPr>
            <w:r w:rsidRPr="00AC37A9">
              <w:rPr>
                <w:rFonts w:ascii="Times New Roman" w:eastAsia="Calibri" w:hAnsi="Times New Roman" w:cs="Times New Roman"/>
                <w:color w:val="000000" w:themeColor="text1"/>
                <w:sz w:val="22"/>
                <w:szCs w:val="22"/>
              </w:rPr>
              <w:t xml:space="preserve">VARAM lūdz </w:t>
            </w:r>
            <w:proofErr w:type="spellStart"/>
            <w:r w:rsidRPr="00AC37A9">
              <w:rPr>
                <w:rFonts w:ascii="Times New Roman" w:eastAsia="Calibri" w:hAnsi="Times New Roman" w:cs="Times New Roman"/>
                <w:color w:val="000000" w:themeColor="text1"/>
                <w:sz w:val="22"/>
                <w:szCs w:val="22"/>
              </w:rPr>
              <w:t>protokollēmumu</w:t>
            </w:r>
            <w:proofErr w:type="spellEnd"/>
            <w:r w:rsidRPr="00AC37A9">
              <w:rPr>
                <w:rFonts w:ascii="Times New Roman" w:eastAsia="Calibri" w:hAnsi="Times New Roman" w:cs="Times New Roman"/>
                <w:color w:val="000000" w:themeColor="text1"/>
                <w:sz w:val="22"/>
                <w:szCs w:val="22"/>
              </w:rPr>
              <w:t xml:space="preserve"> papildināt ar jaunu</w:t>
            </w:r>
            <w:r w:rsidRPr="00AC37A9">
              <w:rPr>
                <w:rFonts w:ascii="Times New Roman" w:hAnsi="Times New Roman" w:cs="Times New Roman"/>
                <w:color w:val="000000" w:themeColor="text1"/>
                <w:sz w:val="22"/>
                <w:szCs w:val="22"/>
              </w:rPr>
              <w:t xml:space="preserve"> punktu šādā redakcijā:</w:t>
            </w:r>
          </w:p>
          <w:p w14:paraId="7EDACAB5" w14:textId="67D878BF" w:rsidR="00024954" w:rsidRPr="00910E4C" w:rsidRDefault="00024954" w:rsidP="00910E4C">
            <w:pPr>
              <w:jc w:val="both"/>
              <w:rPr>
                <w:i/>
                <w:color w:val="000000" w:themeColor="text1"/>
                <w:sz w:val="22"/>
                <w:szCs w:val="22"/>
              </w:rPr>
            </w:pPr>
            <w:r w:rsidRPr="00AC37A9">
              <w:rPr>
                <w:i/>
                <w:color w:val="000000" w:themeColor="text1"/>
                <w:sz w:val="22"/>
                <w:szCs w:val="22"/>
              </w:rPr>
              <w:t>“Jautājumu par papildu nepieciešamā finansējuma piešķiršanu Valsts reģionālās attīstības aģentūrai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i/>
                <w:color w:val="000000" w:themeColor="text1"/>
                <w:sz w:val="22"/>
                <w:szCs w:val="22"/>
              </w:rPr>
              <w:t>) līdzfinansētā projekta “Eiropas elektroniskais rēķins” (e-</w:t>
            </w:r>
            <w:proofErr w:type="spellStart"/>
            <w:r w:rsidRPr="00AC37A9">
              <w:rPr>
                <w:i/>
                <w:color w:val="000000" w:themeColor="text1"/>
                <w:sz w:val="22"/>
                <w:szCs w:val="22"/>
              </w:rPr>
              <w:t>Invoices</w:t>
            </w:r>
            <w:proofErr w:type="spellEnd"/>
            <w:r w:rsidRPr="00AC37A9">
              <w:rPr>
                <w:i/>
                <w:color w:val="000000" w:themeColor="text1"/>
                <w:sz w:val="22"/>
                <w:szCs w:val="22"/>
              </w:rPr>
              <w:t xml:space="preserve"> CEF Project) īstenošanai</w:t>
            </w:r>
            <w:r w:rsidRPr="00AC37A9">
              <w:rPr>
                <w:i/>
                <w:color w:val="000000" w:themeColor="text1"/>
                <w:sz w:val="22"/>
                <w:szCs w:val="22"/>
              </w:rPr>
              <w:br/>
              <w:t xml:space="preserve">2020. gadā 73 129 </w:t>
            </w:r>
            <w:proofErr w:type="spellStart"/>
            <w:r w:rsidRPr="00AC37A9">
              <w:rPr>
                <w:i/>
                <w:color w:val="000000" w:themeColor="text1"/>
                <w:sz w:val="22"/>
                <w:szCs w:val="22"/>
              </w:rPr>
              <w:t>euro</w:t>
            </w:r>
            <w:proofErr w:type="spellEnd"/>
            <w:r w:rsidRPr="00AC37A9">
              <w:rPr>
                <w:i/>
                <w:color w:val="000000" w:themeColor="text1"/>
                <w:sz w:val="22"/>
                <w:szCs w:val="22"/>
              </w:rPr>
              <w:t xml:space="preserve"> (divām štata vietām par sistēmas ieviešanu), uzturēšanas posmā no 2021. gada 1. janvāra 67 575 </w:t>
            </w:r>
            <w:proofErr w:type="spellStart"/>
            <w:r w:rsidRPr="00AC37A9">
              <w:rPr>
                <w:i/>
                <w:color w:val="000000" w:themeColor="text1"/>
                <w:sz w:val="22"/>
                <w:szCs w:val="22"/>
              </w:rPr>
              <w:t>euro</w:t>
            </w:r>
            <w:proofErr w:type="spellEnd"/>
            <w:r w:rsidRPr="00AC37A9">
              <w:rPr>
                <w:i/>
                <w:color w:val="000000" w:themeColor="text1"/>
                <w:sz w:val="22"/>
                <w:szCs w:val="22"/>
              </w:rPr>
              <w:t xml:space="preserve"> (divām štata vietām par sistēmas uzturēšanu) un 60 000 </w:t>
            </w:r>
            <w:proofErr w:type="spellStart"/>
            <w:r w:rsidRPr="00AC37A9">
              <w:rPr>
                <w:i/>
                <w:color w:val="000000" w:themeColor="text1"/>
                <w:sz w:val="22"/>
                <w:szCs w:val="22"/>
              </w:rPr>
              <w:t>euro</w:t>
            </w:r>
            <w:proofErr w:type="spellEnd"/>
            <w:r w:rsidRPr="00AC37A9">
              <w:rPr>
                <w:i/>
                <w:color w:val="000000" w:themeColor="text1"/>
                <w:sz w:val="22"/>
                <w:szCs w:val="22"/>
              </w:rPr>
              <w:t xml:space="preserve"> katru gadu (kā maksa PEPPOL (</w:t>
            </w:r>
            <w:proofErr w:type="spellStart"/>
            <w:r w:rsidRPr="00AC37A9">
              <w:rPr>
                <w:i/>
                <w:color w:val="000000" w:themeColor="text1"/>
                <w:sz w:val="22"/>
                <w:szCs w:val="22"/>
              </w:rPr>
              <w:t>Pan</w:t>
            </w:r>
            <w:proofErr w:type="spellEnd"/>
            <w:r w:rsidRPr="00AC37A9">
              <w:rPr>
                <w:i/>
                <w:color w:val="000000" w:themeColor="text1"/>
                <w:sz w:val="22"/>
                <w:szCs w:val="22"/>
              </w:rPr>
              <w:t xml:space="preserve"> </w:t>
            </w:r>
            <w:proofErr w:type="spellStart"/>
            <w:r w:rsidRPr="00AC37A9">
              <w:rPr>
                <w:i/>
                <w:color w:val="000000" w:themeColor="text1"/>
                <w:sz w:val="22"/>
                <w:szCs w:val="22"/>
              </w:rPr>
              <w:t>European</w:t>
            </w:r>
            <w:proofErr w:type="spellEnd"/>
            <w:r w:rsidRPr="00AC37A9">
              <w:rPr>
                <w:i/>
                <w:color w:val="000000" w:themeColor="text1"/>
                <w:sz w:val="22"/>
                <w:szCs w:val="22"/>
              </w:rPr>
              <w:t xml:space="preserve"> </w:t>
            </w:r>
            <w:proofErr w:type="spellStart"/>
            <w:r w:rsidRPr="00AC37A9">
              <w:rPr>
                <w:i/>
                <w:color w:val="000000" w:themeColor="text1"/>
                <w:sz w:val="22"/>
                <w:szCs w:val="22"/>
              </w:rPr>
              <w:t>Public</w:t>
            </w:r>
            <w:proofErr w:type="spellEnd"/>
            <w:r w:rsidRPr="00AC37A9">
              <w:rPr>
                <w:i/>
                <w:color w:val="000000" w:themeColor="text1"/>
                <w:sz w:val="22"/>
                <w:szCs w:val="22"/>
              </w:rPr>
              <w:t xml:space="preserve"> </w:t>
            </w:r>
            <w:proofErr w:type="spellStart"/>
            <w:r w:rsidRPr="00AC37A9">
              <w:rPr>
                <w:i/>
                <w:color w:val="000000" w:themeColor="text1"/>
                <w:sz w:val="22"/>
                <w:szCs w:val="22"/>
              </w:rPr>
              <w:t>Procurement</w:t>
            </w:r>
            <w:proofErr w:type="spellEnd"/>
            <w:r w:rsidRPr="00AC37A9">
              <w:rPr>
                <w:i/>
                <w:color w:val="000000" w:themeColor="text1"/>
                <w:sz w:val="22"/>
                <w:szCs w:val="22"/>
              </w:rPr>
              <w:t xml:space="preserve"> </w:t>
            </w:r>
            <w:proofErr w:type="spellStart"/>
            <w:r w:rsidRPr="00AC37A9">
              <w:rPr>
                <w:i/>
                <w:color w:val="000000" w:themeColor="text1"/>
                <w:sz w:val="22"/>
                <w:szCs w:val="22"/>
              </w:rPr>
              <w:t>On</w:t>
            </w:r>
            <w:proofErr w:type="spellEnd"/>
            <w:r w:rsidRPr="00AC37A9">
              <w:rPr>
                <w:i/>
                <w:color w:val="000000" w:themeColor="text1"/>
                <w:sz w:val="22"/>
                <w:szCs w:val="22"/>
              </w:rPr>
              <w:t>-Line) par sniegto pakalpojumu),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2A9F8388" w14:textId="77777777" w:rsidR="00024954" w:rsidRPr="00AC37A9" w:rsidRDefault="00024954" w:rsidP="00AC37A9">
            <w:pPr>
              <w:pStyle w:val="naisc"/>
              <w:spacing w:before="0" w:after="0"/>
              <w:jc w:val="both"/>
              <w:rPr>
                <w:b/>
                <w:color w:val="000000" w:themeColor="text1"/>
                <w:sz w:val="22"/>
                <w:szCs w:val="22"/>
              </w:rPr>
            </w:pPr>
            <w:r w:rsidRPr="00AC37A9">
              <w:rPr>
                <w:b/>
                <w:color w:val="000000" w:themeColor="text1"/>
                <w:sz w:val="22"/>
                <w:szCs w:val="22"/>
              </w:rPr>
              <w:t>Ņemts vērā</w:t>
            </w:r>
          </w:p>
        </w:tc>
        <w:tc>
          <w:tcPr>
            <w:tcW w:w="3576" w:type="dxa"/>
            <w:tcBorders>
              <w:top w:val="single" w:sz="4" w:space="0" w:color="auto"/>
              <w:left w:val="single" w:sz="4" w:space="0" w:color="auto"/>
              <w:bottom w:val="single" w:sz="4" w:space="0" w:color="auto"/>
            </w:tcBorders>
            <w:shd w:val="clear" w:color="auto" w:fill="auto"/>
          </w:tcPr>
          <w:p w14:paraId="4485C2F6" w14:textId="6F6F1EF7" w:rsidR="00024954" w:rsidRPr="00AC37A9" w:rsidRDefault="00024954" w:rsidP="00371A58">
            <w:pPr>
              <w:jc w:val="both"/>
              <w:rPr>
                <w:b/>
                <w:bCs/>
                <w:color w:val="000000" w:themeColor="text1"/>
                <w:sz w:val="22"/>
                <w:szCs w:val="22"/>
              </w:rPr>
            </w:pPr>
            <w:proofErr w:type="spellStart"/>
            <w:r w:rsidRPr="00AC37A9">
              <w:rPr>
                <w:b/>
                <w:bCs/>
                <w:color w:val="000000" w:themeColor="text1"/>
                <w:sz w:val="22"/>
                <w:szCs w:val="22"/>
              </w:rPr>
              <w:t>Protokollēmuma</w:t>
            </w:r>
            <w:proofErr w:type="spellEnd"/>
            <w:r w:rsidRPr="00AC37A9">
              <w:rPr>
                <w:b/>
                <w:bCs/>
                <w:color w:val="000000" w:themeColor="text1"/>
                <w:sz w:val="22"/>
                <w:szCs w:val="22"/>
              </w:rPr>
              <w:t xml:space="preserve"> projekta 3.</w:t>
            </w:r>
            <w:r w:rsidR="009C4CC8">
              <w:rPr>
                <w:b/>
                <w:bCs/>
                <w:color w:val="000000" w:themeColor="text1"/>
                <w:sz w:val="22"/>
                <w:szCs w:val="22"/>
              </w:rPr>
              <w:t xml:space="preserve"> un 4.</w:t>
            </w:r>
            <w:r w:rsidRPr="00AC37A9">
              <w:rPr>
                <w:b/>
                <w:bCs/>
                <w:color w:val="000000" w:themeColor="text1"/>
                <w:sz w:val="22"/>
                <w:szCs w:val="22"/>
              </w:rPr>
              <w:t>punkts:</w:t>
            </w:r>
          </w:p>
          <w:p w14:paraId="7976FE01" w14:textId="63602DF1" w:rsidR="009C4CC8" w:rsidRPr="009C4CC8" w:rsidRDefault="009C4CC8" w:rsidP="009C4CC8">
            <w:pPr>
              <w:jc w:val="both"/>
              <w:rPr>
                <w:bCs/>
                <w:color w:val="000000" w:themeColor="text1"/>
                <w:sz w:val="22"/>
                <w:szCs w:val="22"/>
              </w:rPr>
            </w:pPr>
            <w:r>
              <w:rPr>
                <w:bCs/>
                <w:color w:val="000000" w:themeColor="text1"/>
                <w:sz w:val="22"/>
                <w:szCs w:val="22"/>
              </w:rPr>
              <w:t xml:space="preserve">“3. </w:t>
            </w:r>
            <w:r w:rsidRPr="009C4CC8">
              <w:rPr>
                <w:bCs/>
                <w:color w:val="000000" w:themeColor="text1"/>
                <w:sz w:val="22"/>
                <w:szCs w:val="22"/>
              </w:rPr>
              <w:t xml:space="preserve">Jautājumu par papildus nepieciešamā finansējuma piešķiršanu Valsts reģionālās attīstības aģentūrai indikatīvi 60 000 </w:t>
            </w:r>
            <w:proofErr w:type="spellStart"/>
            <w:r w:rsidRPr="009C4CC8">
              <w:rPr>
                <w:bCs/>
                <w:color w:val="000000" w:themeColor="text1"/>
                <w:sz w:val="22"/>
                <w:szCs w:val="22"/>
              </w:rPr>
              <w:t>euro</w:t>
            </w:r>
            <w:proofErr w:type="spellEnd"/>
            <w:r w:rsidRPr="009C4CC8">
              <w:rPr>
                <w:bCs/>
                <w:color w:val="000000" w:themeColor="text1"/>
                <w:sz w:val="22"/>
                <w:szCs w:val="22"/>
              </w:rPr>
              <w:t xml:space="preserve"> katru gadu (kā maksu PEPPOL (</w:t>
            </w:r>
            <w:proofErr w:type="spellStart"/>
            <w:r w:rsidRPr="009C4CC8">
              <w:rPr>
                <w:bCs/>
                <w:color w:val="000000" w:themeColor="text1"/>
                <w:sz w:val="22"/>
                <w:szCs w:val="22"/>
              </w:rPr>
              <w:t>Pan</w:t>
            </w:r>
            <w:proofErr w:type="spellEnd"/>
            <w:r w:rsidRPr="009C4CC8">
              <w:rPr>
                <w:bCs/>
                <w:color w:val="000000" w:themeColor="text1"/>
                <w:sz w:val="22"/>
                <w:szCs w:val="22"/>
              </w:rPr>
              <w:t xml:space="preserve"> </w:t>
            </w:r>
            <w:proofErr w:type="spellStart"/>
            <w:r w:rsidRPr="009C4CC8">
              <w:rPr>
                <w:bCs/>
                <w:color w:val="000000" w:themeColor="text1"/>
                <w:sz w:val="22"/>
                <w:szCs w:val="22"/>
              </w:rPr>
              <w:t>European</w:t>
            </w:r>
            <w:proofErr w:type="spellEnd"/>
            <w:r w:rsidRPr="009C4CC8">
              <w:rPr>
                <w:bCs/>
                <w:color w:val="000000" w:themeColor="text1"/>
                <w:sz w:val="22"/>
                <w:szCs w:val="22"/>
              </w:rPr>
              <w:t xml:space="preserve"> </w:t>
            </w:r>
            <w:proofErr w:type="spellStart"/>
            <w:r w:rsidRPr="009C4CC8">
              <w:rPr>
                <w:bCs/>
                <w:color w:val="000000" w:themeColor="text1"/>
                <w:sz w:val="22"/>
                <w:szCs w:val="22"/>
              </w:rPr>
              <w:t>Public</w:t>
            </w:r>
            <w:proofErr w:type="spellEnd"/>
            <w:r w:rsidRPr="009C4CC8">
              <w:rPr>
                <w:bCs/>
                <w:color w:val="000000" w:themeColor="text1"/>
                <w:sz w:val="22"/>
                <w:szCs w:val="22"/>
              </w:rPr>
              <w:t xml:space="preserve"> </w:t>
            </w:r>
            <w:proofErr w:type="spellStart"/>
            <w:r w:rsidRPr="009C4CC8">
              <w:rPr>
                <w:bCs/>
                <w:color w:val="000000" w:themeColor="text1"/>
                <w:sz w:val="22"/>
                <w:szCs w:val="22"/>
              </w:rPr>
              <w:t>Procurement</w:t>
            </w:r>
            <w:proofErr w:type="spellEnd"/>
            <w:r w:rsidRPr="009C4CC8">
              <w:rPr>
                <w:bCs/>
                <w:color w:val="000000" w:themeColor="text1"/>
                <w:sz w:val="22"/>
                <w:szCs w:val="22"/>
              </w:rPr>
              <w:t xml:space="preserve"> </w:t>
            </w:r>
            <w:proofErr w:type="spellStart"/>
            <w:r w:rsidRPr="009C4CC8">
              <w:rPr>
                <w:bCs/>
                <w:color w:val="000000" w:themeColor="text1"/>
                <w:sz w:val="22"/>
                <w:szCs w:val="22"/>
              </w:rPr>
              <w:t>On</w:t>
            </w:r>
            <w:proofErr w:type="spellEnd"/>
            <w:r w:rsidRPr="009C4CC8">
              <w:rPr>
                <w:bCs/>
                <w:color w:val="000000" w:themeColor="text1"/>
                <w:sz w:val="22"/>
                <w:szCs w:val="22"/>
              </w:rPr>
              <w:t>-Line) par sniegto pakalpojumu)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ievērojot valsts budžeta finansiālās iespējas.</w:t>
            </w:r>
          </w:p>
          <w:p w14:paraId="2703C1A5" w14:textId="3498E92B" w:rsidR="00024954" w:rsidRPr="00AC37A9" w:rsidRDefault="009C4CC8" w:rsidP="00410785">
            <w:pPr>
              <w:jc w:val="both"/>
              <w:rPr>
                <w:color w:val="000000" w:themeColor="text1"/>
                <w:sz w:val="22"/>
                <w:szCs w:val="22"/>
              </w:rPr>
            </w:pPr>
            <w:r>
              <w:rPr>
                <w:bCs/>
                <w:color w:val="000000" w:themeColor="text1"/>
                <w:sz w:val="22"/>
                <w:szCs w:val="22"/>
              </w:rPr>
              <w:t xml:space="preserve">4. </w:t>
            </w:r>
            <w:r w:rsidRPr="009C4CC8">
              <w:rPr>
                <w:bCs/>
                <w:color w:val="000000" w:themeColor="text1"/>
                <w:sz w:val="22"/>
                <w:szCs w:val="22"/>
              </w:rPr>
              <w:t xml:space="preserve">Lai nodrošinātu finansējumu Valsts reģionālās attīstības aģentūrai 2020.gadā  indikatīvi 73 129 </w:t>
            </w:r>
            <w:proofErr w:type="spellStart"/>
            <w:r w:rsidRPr="009C4CC8">
              <w:rPr>
                <w:bCs/>
                <w:color w:val="000000" w:themeColor="text1"/>
                <w:sz w:val="22"/>
                <w:szCs w:val="22"/>
              </w:rPr>
              <w:t>euro</w:t>
            </w:r>
            <w:proofErr w:type="spellEnd"/>
            <w:r w:rsidRPr="009C4CC8">
              <w:rPr>
                <w:bCs/>
                <w:color w:val="000000" w:themeColor="text1"/>
                <w:sz w:val="22"/>
                <w:szCs w:val="22"/>
              </w:rPr>
              <w:t xml:space="preserve"> (divām amata vietām par sistēmas ieviešanu) un uzturēšanai posmā no 2021.gada 1.janvāra indikatīvi 67 575 </w:t>
            </w:r>
            <w:proofErr w:type="spellStart"/>
            <w:r w:rsidRPr="009C4CC8">
              <w:rPr>
                <w:bCs/>
                <w:color w:val="000000" w:themeColor="text1"/>
                <w:sz w:val="22"/>
                <w:szCs w:val="22"/>
              </w:rPr>
              <w:t>euro</w:t>
            </w:r>
            <w:proofErr w:type="spellEnd"/>
            <w:r w:rsidRPr="009C4CC8">
              <w:rPr>
                <w:bCs/>
                <w:color w:val="000000" w:themeColor="text1"/>
                <w:sz w:val="22"/>
                <w:szCs w:val="22"/>
              </w:rPr>
              <w:t xml:space="preserve"> (divām amata vietām par sistēmas uzturēšanu), kas ir nepieciešams papildus Eiropas infrastruktūras savienošanas instrumenta (</w:t>
            </w:r>
            <w:proofErr w:type="spellStart"/>
            <w:r w:rsidRPr="009C4CC8">
              <w:rPr>
                <w:bCs/>
                <w:color w:val="000000" w:themeColor="text1"/>
                <w:sz w:val="22"/>
                <w:szCs w:val="22"/>
              </w:rPr>
              <w:t>Connecting</w:t>
            </w:r>
            <w:proofErr w:type="spellEnd"/>
            <w:r w:rsidRPr="009C4CC8">
              <w:rPr>
                <w:bCs/>
                <w:color w:val="000000" w:themeColor="text1"/>
                <w:sz w:val="22"/>
                <w:szCs w:val="22"/>
              </w:rPr>
              <w:t xml:space="preserve"> </w:t>
            </w:r>
            <w:proofErr w:type="spellStart"/>
            <w:r w:rsidRPr="009C4CC8">
              <w:rPr>
                <w:bCs/>
                <w:color w:val="000000" w:themeColor="text1"/>
                <w:sz w:val="22"/>
                <w:szCs w:val="22"/>
              </w:rPr>
              <w:t>Europe</w:t>
            </w:r>
            <w:proofErr w:type="spellEnd"/>
            <w:r w:rsidRPr="009C4CC8">
              <w:rPr>
                <w:bCs/>
                <w:color w:val="000000" w:themeColor="text1"/>
                <w:sz w:val="22"/>
                <w:szCs w:val="22"/>
              </w:rPr>
              <w:t xml:space="preserve"> </w:t>
            </w:r>
            <w:proofErr w:type="spellStart"/>
            <w:r w:rsidRPr="009C4CC8">
              <w:rPr>
                <w:bCs/>
                <w:color w:val="000000" w:themeColor="text1"/>
                <w:sz w:val="22"/>
                <w:szCs w:val="22"/>
              </w:rPr>
              <w:t>Facility</w:t>
            </w:r>
            <w:proofErr w:type="spellEnd"/>
            <w:r w:rsidRPr="009C4CC8">
              <w:rPr>
                <w:bCs/>
                <w:color w:val="000000" w:themeColor="text1"/>
                <w:sz w:val="22"/>
                <w:szCs w:val="22"/>
              </w:rPr>
              <w:t>) līdzfinansētā projekta “Eiropas elektroniskais rēķins” (e-</w:t>
            </w:r>
            <w:proofErr w:type="spellStart"/>
            <w:r w:rsidRPr="009C4CC8">
              <w:rPr>
                <w:bCs/>
                <w:color w:val="000000" w:themeColor="text1"/>
                <w:sz w:val="22"/>
                <w:szCs w:val="22"/>
              </w:rPr>
              <w:t>Invoices</w:t>
            </w:r>
            <w:proofErr w:type="spellEnd"/>
            <w:r w:rsidRPr="009C4CC8">
              <w:rPr>
                <w:bCs/>
                <w:color w:val="000000" w:themeColor="text1"/>
                <w:sz w:val="22"/>
                <w:szCs w:val="22"/>
              </w:rPr>
              <w:t xml:space="preserve"> CEF Project) īstenošanai paredzētajam finansējumam, VARAM sagatavot un noteiktā kārtībā iesniegt izskatīšanai Ministru kabineta sēdē priekšlikumus finansējuma un amata vietu pārdalei.</w:t>
            </w:r>
            <w:r w:rsidR="00024954" w:rsidRPr="00AC37A9">
              <w:rPr>
                <w:bCs/>
                <w:color w:val="000000" w:themeColor="text1"/>
                <w:sz w:val="22"/>
                <w:szCs w:val="22"/>
              </w:rPr>
              <w:t>”</w:t>
            </w:r>
          </w:p>
        </w:tc>
      </w:tr>
      <w:tr w:rsidR="00024954" w:rsidRPr="00AC37A9" w14:paraId="2A874C4F" w14:textId="77777777" w:rsidTr="00371A58">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46FC730" w14:textId="3CE2BB20" w:rsidR="00024954" w:rsidRPr="00AC37A9" w:rsidRDefault="007B2BFF" w:rsidP="00371A58">
            <w:pPr>
              <w:pStyle w:val="naisc"/>
              <w:spacing w:before="0" w:after="0"/>
              <w:rPr>
                <w:color w:val="000000" w:themeColor="text1"/>
                <w:sz w:val="22"/>
                <w:szCs w:val="22"/>
              </w:rPr>
            </w:pPr>
            <w:r>
              <w:rPr>
                <w:color w:val="000000" w:themeColor="text1"/>
                <w:sz w:val="22"/>
                <w:szCs w:val="22"/>
              </w:rPr>
              <w:lastRenderedPageBreak/>
              <w:t>19</w:t>
            </w:r>
            <w:r w:rsidR="00024954" w:rsidRPr="00AC37A9">
              <w:rPr>
                <w:color w:val="000000" w:themeColor="text1"/>
                <w:sz w:val="22"/>
                <w:szCs w:val="22"/>
              </w:rPr>
              <w:t>.</w:t>
            </w:r>
          </w:p>
        </w:tc>
        <w:tc>
          <w:tcPr>
            <w:tcW w:w="3543" w:type="dxa"/>
            <w:gridSpan w:val="2"/>
            <w:tcBorders>
              <w:top w:val="single" w:sz="6" w:space="0" w:color="000000"/>
              <w:left w:val="single" w:sz="6" w:space="0" w:color="000000"/>
              <w:bottom w:val="single" w:sz="6" w:space="0" w:color="000000"/>
              <w:right w:val="single" w:sz="6" w:space="0" w:color="000000"/>
            </w:tcBorders>
            <w:shd w:val="clear" w:color="auto" w:fill="auto"/>
          </w:tcPr>
          <w:p w14:paraId="1F393B4E" w14:textId="77777777" w:rsidR="00024954" w:rsidRPr="00AC37A9" w:rsidRDefault="00024954" w:rsidP="00371A58">
            <w:pPr>
              <w:pStyle w:val="naisc"/>
              <w:spacing w:before="0" w:after="0"/>
              <w:jc w:val="left"/>
              <w:rPr>
                <w:b/>
                <w:color w:val="000000" w:themeColor="text1"/>
                <w:sz w:val="22"/>
                <w:szCs w:val="22"/>
              </w:rPr>
            </w:pPr>
            <w:r w:rsidRPr="00AC37A9">
              <w:rPr>
                <w:b/>
                <w:color w:val="000000" w:themeColor="text1"/>
                <w:sz w:val="22"/>
                <w:szCs w:val="22"/>
              </w:rPr>
              <w:t>Anotācijas I sadaļas 2.punkts</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71A4E205" w14:textId="77777777" w:rsidR="00024954" w:rsidRPr="00AC37A9" w:rsidRDefault="00024954" w:rsidP="00371A58">
            <w:pPr>
              <w:tabs>
                <w:tab w:val="left" w:pos="7372"/>
              </w:tabs>
              <w:suppressAutoHyphens/>
              <w:spacing w:after="60"/>
              <w:jc w:val="both"/>
              <w:rPr>
                <w:b/>
                <w:color w:val="000000" w:themeColor="text1"/>
                <w:sz w:val="22"/>
                <w:szCs w:val="22"/>
              </w:rPr>
            </w:pPr>
            <w:r w:rsidRPr="00AC37A9">
              <w:rPr>
                <w:b/>
                <w:color w:val="000000" w:themeColor="text1"/>
                <w:sz w:val="22"/>
                <w:szCs w:val="22"/>
              </w:rPr>
              <w:t>Vides aizsardzības un reģionālās attīstības ministrija</w:t>
            </w:r>
          </w:p>
          <w:p w14:paraId="5D7FCCFB" w14:textId="0A8F0F06" w:rsidR="00910E4C" w:rsidRPr="00AC37A9" w:rsidRDefault="00024954" w:rsidP="00371A58">
            <w:pPr>
              <w:pStyle w:val="naisc"/>
              <w:spacing w:before="0" w:after="0"/>
              <w:jc w:val="both"/>
              <w:rPr>
                <w:color w:val="000000" w:themeColor="text1"/>
                <w:sz w:val="22"/>
                <w:szCs w:val="22"/>
              </w:rPr>
            </w:pPr>
            <w:r w:rsidRPr="00AC37A9">
              <w:rPr>
                <w:color w:val="000000" w:themeColor="text1"/>
                <w:sz w:val="22"/>
                <w:szCs w:val="22"/>
              </w:rPr>
              <w:t>VARAM lūdz Anotācijas sadaļas “I. Tiesību akta projekta izstrādes nepieciešamība” (</w:t>
            </w:r>
            <w:proofErr w:type="spellStart"/>
            <w:r w:rsidRPr="00AC37A9">
              <w:rPr>
                <w:color w:val="000000" w:themeColor="text1"/>
                <w:sz w:val="22"/>
                <w:szCs w:val="22"/>
              </w:rPr>
              <w:t>Protokollēmuma</w:t>
            </w:r>
            <w:proofErr w:type="spellEnd"/>
            <w:r w:rsidRPr="00AC37A9">
              <w:rPr>
                <w:color w:val="000000" w:themeColor="text1"/>
                <w:sz w:val="22"/>
                <w:szCs w:val="22"/>
              </w:rPr>
              <w:t xml:space="preserve"> projekts, 8.lpp.) tekstu: “Līdz ar to </w:t>
            </w:r>
            <w:proofErr w:type="spellStart"/>
            <w:r w:rsidRPr="00AC37A9">
              <w:rPr>
                <w:color w:val="000000" w:themeColor="text1"/>
                <w:sz w:val="22"/>
                <w:szCs w:val="22"/>
              </w:rPr>
              <w:t>protokollēmumā</w:t>
            </w:r>
            <w:proofErr w:type="spellEnd"/>
            <w:r w:rsidRPr="00AC37A9">
              <w:rPr>
                <w:color w:val="000000" w:themeColor="text1"/>
                <w:sz w:val="22"/>
                <w:szCs w:val="22"/>
              </w:rPr>
              <w:t xml:space="preserve"> tiek noteikts, ka Vides aizsardzības un reģionālas attīstības ministrijai un Vides reģionālās attīstības aģentūrai Eiropas infrastruktūras savienošanas instrumenta (</w:t>
            </w:r>
            <w:proofErr w:type="spellStart"/>
            <w:r w:rsidRPr="00AC37A9">
              <w:rPr>
                <w:i/>
                <w:color w:val="000000" w:themeColor="text1"/>
                <w:sz w:val="22"/>
                <w:szCs w:val="22"/>
              </w:rPr>
              <w:t>Connecting</w:t>
            </w:r>
            <w:proofErr w:type="spellEnd"/>
            <w:r w:rsidRPr="00AC37A9">
              <w:rPr>
                <w:i/>
                <w:color w:val="000000" w:themeColor="text1"/>
                <w:sz w:val="22"/>
                <w:szCs w:val="22"/>
              </w:rPr>
              <w:t xml:space="preserve"> </w:t>
            </w:r>
            <w:proofErr w:type="spellStart"/>
            <w:r w:rsidRPr="00AC37A9">
              <w:rPr>
                <w:i/>
                <w:color w:val="000000" w:themeColor="text1"/>
                <w:sz w:val="22"/>
                <w:szCs w:val="22"/>
              </w:rPr>
              <w:t>Europe</w:t>
            </w:r>
            <w:proofErr w:type="spellEnd"/>
            <w:r w:rsidRPr="00AC37A9">
              <w:rPr>
                <w:i/>
                <w:color w:val="000000" w:themeColor="text1"/>
                <w:sz w:val="22"/>
                <w:szCs w:val="22"/>
              </w:rPr>
              <w:t xml:space="preserve"> </w:t>
            </w:r>
            <w:proofErr w:type="spellStart"/>
            <w:r w:rsidRPr="00AC37A9">
              <w:rPr>
                <w:i/>
                <w:color w:val="000000" w:themeColor="text1"/>
                <w:sz w:val="22"/>
                <w:szCs w:val="22"/>
              </w:rPr>
              <w:t>Facility</w:t>
            </w:r>
            <w:proofErr w:type="spellEnd"/>
            <w:r w:rsidRPr="00AC37A9">
              <w:rPr>
                <w:color w:val="000000" w:themeColor="text1"/>
                <w:sz w:val="22"/>
                <w:szCs w:val="22"/>
              </w:rPr>
              <w:t>) līdzfinansētā projekta “Eiropas elektroniskais rēķins” (</w:t>
            </w:r>
            <w:r w:rsidRPr="00AC37A9">
              <w:rPr>
                <w:i/>
                <w:color w:val="000000" w:themeColor="text1"/>
                <w:sz w:val="22"/>
                <w:szCs w:val="22"/>
              </w:rPr>
              <w:t>e-</w:t>
            </w:r>
            <w:proofErr w:type="spellStart"/>
            <w:r w:rsidRPr="00AC37A9">
              <w:rPr>
                <w:i/>
                <w:color w:val="000000" w:themeColor="text1"/>
                <w:sz w:val="22"/>
                <w:szCs w:val="22"/>
              </w:rPr>
              <w:t>Invoices</w:t>
            </w:r>
            <w:proofErr w:type="spellEnd"/>
            <w:r w:rsidRPr="00AC37A9">
              <w:rPr>
                <w:i/>
                <w:color w:val="000000" w:themeColor="text1"/>
                <w:sz w:val="22"/>
                <w:szCs w:val="22"/>
              </w:rPr>
              <w:t xml:space="preserve"> CEF Project</w:t>
            </w:r>
            <w:r w:rsidRPr="00AC37A9">
              <w:rPr>
                <w:color w:val="000000" w:themeColor="text1"/>
                <w:sz w:val="22"/>
                <w:szCs w:val="22"/>
              </w:rPr>
              <w:t>) apstiprināšanas gadījumā jāīsteno projekts un jāizstrādā nepieciešamie tiesību akti, nosakot, ka valsts tiešās pārvaldes iestādes izmanto projekta rezultātus, paredzot nepieciešamo finansējumu projekta rezultātu uzturēšanai.” dzēst.</w:t>
            </w:r>
          </w:p>
        </w:tc>
        <w:tc>
          <w:tcPr>
            <w:tcW w:w="2944" w:type="dxa"/>
            <w:gridSpan w:val="2"/>
            <w:tcBorders>
              <w:top w:val="single" w:sz="6" w:space="0" w:color="000000"/>
              <w:left w:val="single" w:sz="6" w:space="0" w:color="000000"/>
              <w:bottom w:val="single" w:sz="6" w:space="0" w:color="000000"/>
              <w:right w:val="single" w:sz="6" w:space="0" w:color="000000"/>
            </w:tcBorders>
            <w:shd w:val="clear" w:color="auto" w:fill="auto"/>
          </w:tcPr>
          <w:p w14:paraId="0AE79A12" w14:textId="69D074D4" w:rsidR="00495A7A" w:rsidRPr="00AC37A9" w:rsidRDefault="00024954" w:rsidP="00AC37A9">
            <w:pPr>
              <w:pStyle w:val="naisc"/>
              <w:spacing w:before="0" w:after="0"/>
              <w:jc w:val="both"/>
              <w:rPr>
                <w:b/>
                <w:color w:val="000000" w:themeColor="text1"/>
                <w:sz w:val="22"/>
                <w:szCs w:val="22"/>
              </w:rPr>
            </w:pPr>
            <w:r w:rsidRPr="00AC37A9">
              <w:rPr>
                <w:b/>
                <w:color w:val="000000" w:themeColor="text1"/>
                <w:sz w:val="22"/>
                <w:szCs w:val="22"/>
              </w:rPr>
              <w:t>Ņemts vērā</w:t>
            </w:r>
            <w:r w:rsidR="00495A7A">
              <w:rPr>
                <w:b/>
                <w:color w:val="000000" w:themeColor="text1"/>
                <w:sz w:val="22"/>
                <w:szCs w:val="22"/>
              </w:rPr>
              <w:t xml:space="preserve"> (saskaņošanas laikā panākta vienošanās par redakciju)</w:t>
            </w:r>
          </w:p>
        </w:tc>
        <w:tc>
          <w:tcPr>
            <w:tcW w:w="3576" w:type="dxa"/>
            <w:tcBorders>
              <w:top w:val="single" w:sz="4" w:space="0" w:color="auto"/>
              <w:left w:val="single" w:sz="4" w:space="0" w:color="auto"/>
              <w:bottom w:val="single" w:sz="4" w:space="0" w:color="auto"/>
            </w:tcBorders>
            <w:shd w:val="clear" w:color="auto" w:fill="auto"/>
          </w:tcPr>
          <w:p w14:paraId="720E52B1" w14:textId="77777777" w:rsidR="00024954" w:rsidRPr="00AC37A9" w:rsidRDefault="00024954" w:rsidP="003E035B">
            <w:pPr>
              <w:jc w:val="both"/>
              <w:rPr>
                <w:b/>
                <w:color w:val="000000" w:themeColor="text1"/>
                <w:sz w:val="22"/>
                <w:szCs w:val="22"/>
              </w:rPr>
            </w:pPr>
            <w:r w:rsidRPr="00AC37A9">
              <w:rPr>
                <w:b/>
                <w:color w:val="000000" w:themeColor="text1"/>
                <w:sz w:val="22"/>
                <w:szCs w:val="22"/>
              </w:rPr>
              <w:t>Precizēts anotācijas I sadaļas 2.punkts</w:t>
            </w:r>
          </w:p>
        </w:tc>
      </w:tr>
      <w:tr w:rsidR="00117519" w:rsidRPr="00AC37A9" w14:paraId="59C97654" w14:textId="77777777" w:rsidTr="00781479">
        <w:tblPrEx>
          <w:tblBorders>
            <w:top w:val="none" w:sz="0" w:space="0" w:color="auto"/>
            <w:left w:val="none" w:sz="0" w:space="0" w:color="auto"/>
            <w:bottom w:val="none" w:sz="0" w:space="0" w:color="auto"/>
            <w:right w:val="none" w:sz="0" w:space="0" w:color="auto"/>
          </w:tblBorders>
        </w:tblPrEx>
        <w:trPr>
          <w:gridAfter w:val="2"/>
          <w:wAfter w:w="5421" w:type="dxa"/>
        </w:trPr>
        <w:tc>
          <w:tcPr>
            <w:tcW w:w="3250" w:type="dxa"/>
            <w:gridSpan w:val="2"/>
          </w:tcPr>
          <w:p w14:paraId="1C274B77" w14:textId="77777777" w:rsidR="006D4857" w:rsidRPr="00AC37A9" w:rsidRDefault="006D4857" w:rsidP="006D4857">
            <w:pPr>
              <w:pStyle w:val="naiskr"/>
              <w:spacing w:before="0" w:after="0"/>
              <w:rPr>
                <w:color w:val="000000" w:themeColor="text1"/>
                <w:sz w:val="22"/>
                <w:szCs w:val="22"/>
              </w:rPr>
            </w:pPr>
          </w:p>
          <w:p w14:paraId="74332C5A" w14:textId="77777777" w:rsidR="006D4857" w:rsidRDefault="006D4857" w:rsidP="006D4857">
            <w:pPr>
              <w:pStyle w:val="naiskr"/>
              <w:spacing w:before="0" w:after="0"/>
              <w:rPr>
                <w:color w:val="000000" w:themeColor="text1"/>
                <w:sz w:val="22"/>
                <w:szCs w:val="22"/>
              </w:rPr>
            </w:pPr>
            <w:r w:rsidRPr="00AC37A9">
              <w:rPr>
                <w:color w:val="000000" w:themeColor="text1"/>
                <w:sz w:val="22"/>
                <w:szCs w:val="22"/>
              </w:rPr>
              <w:t>Atbildīgā amatpersona</w:t>
            </w:r>
            <w:r w:rsidR="00410785">
              <w:rPr>
                <w:color w:val="000000" w:themeColor="text1"/>
                <w:sz w:val="22"/>
                <w:szCs w:val="22"/>
              </w:rPr>
              <w:t>:</w:t>
            </w:r>
          </w:p>
          <w:p w14:paraId="2A86C828" w14:textId="7C3955DD" w:rsidR="00410785" w:rsidRPr="00AC37A9" w:rsidRDefault="00410785" w:rsidP="006D4857">
            <w:pPr>
              <w:pStyle w:val="naiskr"/>
              <w:spacing w:before="0" w:after="0"/>
              <w:rPr>
                <w:color w:val="000000" w:themeColor="text1"/>
                <w:sz w:val="22"/>
                <w:szCs w:val="22"/>
              </w:rPr>
            </w:pPr>
          </w:p>
        </w:tc>
        <w:tc>
          <w:tcPr>
            <w:tcW w:w="5219" w:type="dxa"/>
            <w:gridSpan w:val="3"/>
          </w:tcPr>
          <w:p w14:paraId="0FB97BA7" w14:textId="77777777" w:rsidR="006D4857" w:rsidRPr="00AC37A9" w:rsidRDefault="006D4857" w:rsidP="00AC37A9">
            <w:pPr>
              <w:pStyle w:val="naiskr"/>
              <w:spacing w:before="0" w:after="0"/>
              <w:ind w:firstLine="720"/>
              <w:jc w:val="both"/>
              <w:rPr>
                <w:color w:val="000000" w:themeColor="text1"/>
                <w:sz w:val="22"/>
                <w:szCs w:val="22"/>
              </w:rPr>
            </w:pPr>
            <w:r w:rsidRPr="00AC37A9">
              <w:rPr>
                <w:color w:val="000000" w:themeColor="text1"/>
                <w:sz w:val="22"/>
                <w:szCs w:val="22"/>
              </w:rPr>
              <w:t>  </w:t>
            </w:r>
          </w:p>
        </w:tc>
      </w:tr>
      <w:tr w:rsidR="00117519" w:rsidRPr="00AC37A9" w14:paraId="1B375503" w14:textId="77777777" w:rsidTr="00781479">
        <w:tblPrEx>
          <w:tblBorders>
            <w:top w:val="none" w:sz="0" w:space="0" w:color="auto"/>
            <w:left w:val="none" w:sz="0" w:space="0" w:color="auto"/>
            <w:bottom w:val="none" w:sz="0" w:space="0" w:color="auto"/>
            <w:right w:val="none" w:sz="0" w:space="0" w:color="auto"/>
          </w:tblBorders>
        </w:tblPrEx>
        <w:trPr>
          <w:gridAfter w:val="2"/>
          <w:wAfter w:w="5421" w:type="dxa"/>
        </w:trPr>
        <w:tc>
          <w:tcPr>
            <w:tcW w:w="3250" w:type="dxa"/>
            <w:gridSpan w:val="2"/>
          </w:tcPr>
          <w:p w14:paraId="20CD6B5B" w14:textId="77777777" w:rsidR="006D4857" w:rsidRPr="00AC37A9" w:rsidRDefault="006D4857" w:rsidP="006D4857">
            <w:pPr>
              <w:pStyle w:val="naiskr"/>
              <w:spacing w:before="0" w:after="0"/>
              <w:ind w:firstLine="720"/>
              <w:rPr>
                <w:color w:val="000000" w:themeColor="text1"/>
                <w:sz w:val="22"/>
                <w:szCs w:val="22"/>
              </w:rPr>
            </w:pPr>
          </w:p>
        </w:tc>
        <w:tc>
          <w:tcPr>
            <w:tcW w:w="5219" w:type="dxa"/>
            <w:gridSpan w:val="3"/>
            <w:tcBorders>
              <w:top w:val="single" w:sz="6" w:space="0" w:color="000000"/>
            </w:tcBorders>
          </w:tcPr>
          <w:p w14:paraId="039C38AF" w14:textId="77777777" w:rsidR="006D4857" w:rsidRPr="00AC37A9" w:rsidRDefault="006D4857" w:rsidP="00AC37A9">
            <w:pPr>
              <w:pStyle w:val="naisc"/>
              <w:spacing w:before="0" w:after="0"/>
              <w:ind w:firstLine="720"/>
              <w:jc w:val="both"/>
              <w:rPr>
                <w:color w:val="000000" w:themeColor="text1"/>
                <w:sz w:val="22"/>
                <w:szCs w:val="22"/>
              </w:rPr>
            </w:pPr>
            <w:r w:rsidRPr="00AC37A9">
              <w:rPr>
                <w:color w:val="000000" w:themeColor="text1"/>
                <w:sz w:val="22"/>
                <w:szCs w:val="22"/>
              </w:rPr>
              <w:t>(paraksts)*</w:t>
            </w:r>
          </w:p>
        </w:tc>
      </w:tr>
    </w:tbl>
    <w:p w14:paraId="5069780B" w14:textId="77777777" w:rsidR="00317DC7" w:rsidRPr="00AC37A9" w:rsidRDefault="00184479" w:rsidP="00DB7395">
      <w:pPr>
        <w:pStyle w:val="naisf"/>
        <w:spacing w:before="0" w:after="0"/>
        <w:ind w:firstLine="720"/>
        <w:rPr>
          <w:color w:val="000000" w:themeColor="text1"/>
          <w:sz w:val="22"/>
          <w:szCs w:val="22"/>
        </w:rPr>
      </w:pPr>
      <w:r w:rsidRPr="00AC37A9">
        <w:rPr>
          <w:color w:val="000000" w:themeColor="text1"/>
          <w:sz w:val="22"/>
          <w:szCs w:val="22"/>
        </w:rPr>
        <w:t>Piezīme.</w:t>
      </w:r>
      <w:r w:rsidR="001D2FD0" w:rsidRPr="00AC37A9">
        <w:rPr>
          <w:color w:val="000000" w:themeColor="text1"/>
          <w:sz w:val="22"/>
          <w:szCs w:val="22"/>
        </w:rPr>
        <w:t xml:space="preserve"> </w:t>
      </w:r>
      <w:r w:rsidR="00FB6C91" w:rsidRPr="00AC37A9">
        <w:rPr>
          <w:color w:val="000000" w:themeColor="text1"/>
          <w:sz w:val="22"/>
          <w:szCs w:val="22"/>
        </w:rPr>
        <w:t>*</w:t>
      </w:r>
      <w:r w:rsidR="00317DC7" w:rsidRPr="00AC37A9">
        <w:rPr>
          <w:color w:val="000000" w:themeColor="text1"/>
          <w:sz w:val="22"/>
          <w:szCs w:val="22"/>
        </w:rPr>
        <w:t xml:space="preserve"> Dokumenta rekvizītu </w:t>
      </w:r>
      <w:r w:rsidR="00304387" w:rsidRPr="00AC37A9">
        <w:rPr>
          <w:color w:val="000000" w:themeColor="text1"/>
          <w:sz w:val="22"/>
          <w:szCs w:val="22"/>
        </w:rPr>
        <w:t>„</w:t>
      </w:r>
      <w:r w:rsidR="0018210A" w:rsidRPr="00AC37A9">
        <w:rPr>
          <w:color w:val="000000" w:themeColor="text1"/>
          <w:sz w:val="22"/>
          <w:szCs w:val="22"/>
        </w:rPr>
        <w:t>p</w:t>
      </w:r>
      <w:r w:rsidR="00317DC7" w:rsidRPr="00AC37A9">
        <w:rPr>
          <w:color w:val="000000" w:themeColor="text1"/>
          <w:sz w:val="22"/>
          <w:szCs w:val="22"/>
        </w:rPr>
        <w:t>araksts</w:t>
      </w:r>
      <w:r w:rsidR="00304387" w:rsidRPr="00AC37A9">
        <w:rPr>
          <w:color w:val="000000" w:themeColor="text1"/>
          <w:sz w:val="22"/>
          <w:szCs w:val="22"/>
        </w:rPr>
        <w:t>”</w:t>
      </w:r>
      <w:r w:rsidR="00317DC7" w:rsidRPr="00AC37A9">
        <w:rPr>
          <w:color w:val="000000" w:themeColor="text1"/>
          <w:sz w:val="22"/>
          <w:szCs w:val="22"/>
        </w:rPr>
        <w:t xml:space="preserve"> neaizpilda, ja elektroniskais dokuments ir </w:t>
      </w:r>
      <w:r w:rsidRPr="00AC37A9">
        <w:rPr>
          <w:color w:val="000000" w:themeColor="text1"/>
          <w:sz w:val="22"/>
          <w:szCs w:val="22"/>
        </w:rPr>
        <w:t>sagatavots</w:t>
      </w:r>
      <w:r w:rsidR="00317DC7" w:rsidRPr="00AC37A9">
        <w:rPr>
          <w:color w:val="000000" w:themeColor="text1"/>
          <w:sz w:val="22"/>
          <w:szCs w:val="22"/>
        </w:rPr>
        <w:t xml:space="preserve"> atbilstoši </w:t>
      </w:r>
      <w:r w:rsidRPr="00AC37A9">
        <w:rPr>
          <w:color w:val="000000" w:themeColor="text1"/>
          <w:sz w:val="22"/>
          <w:szCs w:val="22"/>
        </w:rPr>
        <w:t xml:space="preserve">normatīvajiem aktiem par </w:t>
      </w:r>
      <w:r w:rsidR="00317DC7" w:rsidRPr="00AC37A9">
        <w:rPr>
          <w:color w:val="000000" w:themeColor="text1"/>
          <w:sz w:val="22"/>
          <w:szCs w:val="22"/>
        </w:rPr>
        <w:t>elektronisko dokumentu noformēšan</w:t>
      </w:r>
      <w:r w:rsidRPr="00AC37A9">
        <w:rPr>
          <w:color w:val="000000" w:themeColor="text1"/>
          <w:sz w:val="22"/>
          <w:szCs w:val="22"/>
        </w:rPr>
        <w:t>u.</w:t>
      </w:r>
    </w:p>
    <w:p w14:paraId="792F1AE7" w14:textId="643B5E5F" w:rsidR="004373E1" w:rsidRDefault="004373E1" w:rsidP="00DB7395">
      <w:pPr>
        <w:pStyle w:val="naisf"/>
        <w:spacing w:before="0" w:after="0"/>
        <w:ind w:firstLine="720"/>
        <w:rPr>
          <w:color w:val="000000" w:themeColor="text1"/>
          <w:sz w:val="22"/>
          <w:szCs w:val="22"/>
        </w:rPr>
      </w:pPr>
    </w:p>
    <w:p w14:paraId="5738C3EA" w14:textId="77777777" w:rsidR="00410785" w:rsidRPr="00410785" w:rsidRDefault="00410785" w:rsidP="00410785">
      <w:pPr>
        <w:rPr>
          <w:sz w:val="22"/>
          <w:szCs w:val="22"/>
        </w:rPr>
      </w:pPr>
      <w:r w:rsidRPr="00410785">
        <w:rPr>
          <w:bCs/>
          <w:sz w:val="22"/>
          <w:szCs w:val="22"/>
        </w:rPr>
        <w:t>Edgars Matulis</w:t>
      </w:r>
    </w:p>
    <w:p w14:paraId="489AAF02" w14:textId="77777777" w:rsidR="00410785" w:rsidRPr="00410785" w:rsidRDefault="00410785" w:rsidP="00410785">
      <w:pPr>
        <w:rPr>
          <w:sz w:val="22"/>
          <w:szCs w:val="22"/>
        </w:rPr>
      </w:pPr>
      <w:r w:rsidRPr="00410785">
        <w:rPr>
          <w:sz w:val="22"/>
          <w:szCs w:val="22"/>
        </w:rPr>
        <w:t>Juridiskā departamenta Iepirkumu politi</w:t>
      </w:r>
      <w:r w:rsidRPr="00410785">
        <w:rPr>
          <w:sz w:val="22"/>
          <w:szCs w:val="22"/>
        </w:rPr>
        <w:t>kas un valsts nekustamo īpašumu</w:t>
      </w:r>
    </w:p>
    <w:p w14:paraId="6108E2E4" w14:textId="53688D90" w:rsidR="00410785" w:rsidRPr="00410785" w:rsidRDefault="00410785" w:rsidP="00410785">
      <w:pPr>
        <w:rPr>
          <w:bCs/>
          <w:sz w:val="22"/>
          <w:szCs w:val="22"/>
        </w:rPr>
      </w:pPr>
      <w:r w:rsidRPr="00410785">
        <w:rPr>
          <w:sz w:val="22"/>
          <w:szCs w:val="22"/>
        </w:rPr>
        <w:t>pārvaldīšanas poli</w:t>
      </w:r>
      <w:r w:rsidRPr="00410785">
        <w:rPr>
          <w:sz w:val="22"/>
          <w:szCs w:val="22"/>
        </w:rPr>
        <w:t>tikas nodaļas vecākais eksperts</w:t>
      </w:r>
    </w:p>
    <w:p w14:paraId="0B9C87B4" w14:textId="58BC14D7" w:rsidR="00410785" w:rsidRPr="00410785" w:rsidRDefault="00410785" w:rsidP="00410785">
      <w:pPr>
        <w:rPr>
          <w:sz w:val="22"/>
          <w:szCs w:val="22"/>
        </w:rPr>
      </w:pPr>
      <w:r w:rsidRPr="00410785">
        <w:rPr>
          <w:rStyle w:val="Emphasis"/>
          <w:bCs/>
          <w:i w:val="0"/>
          <w:sz w:val="22"/>
          <w:szCs w:val="22"/>
        </w:rPr>
        <w:t xml:space="preserve">tālr. </w:t>
      </w:r>
      <w:r w:rsidRPr="00410785">
        <w:rPr>
          <w:sz w:val="22"/>
          <w:szCs w:val="22"/>
        </w:rPr>
        <w:t>67095457</w:t>
      </w:r>
      <w:r w:rsidRPr="00410785">
        <w:rPr>
          <w:rStyle w:val="Emphasis"/>
          <w:bCs/>
          <w:i w:val="0"/>
          <w:sz w:val="22"/>
          <w:szCs w:val="22"/>
        </w:rPr>
        <w:t xml:space="preserve">, fakss </w:t>
      </w:r>
      <w:r w:rsidRPr="00410785">
        <w:rPr>
          <w:sz w:val="22"/>
          <w:szCs w:val="22"/>
        </w:rPr>
        <w:t>67095577</w:t>
      </w:r>
    </w:p>
    <w:p w14:paraId="7C125DDA" w14:textId="5E8C5A3E" w:rsidR="00410785" w:rsidRPr="00410785" w:rsidRDefault="00410785" w:rsidP="00410785">
      <w:pPr>
        <w:rPr>
          <w:sz w:val="22"/>
          <w:szCs w:val="22"/>
        </w:rPr>
      </w:pPr>
      <w:r w:rsidRPr="00410785">
        <w:rPr>
          <w:sz w:val="22"/>
          <w:szCs w:val="22"/>
        </w:rPr>
        <w:t>edgars.matulis</w:t>
      </w:r>
      <w:r w:rsidRPr="00410785">
        <w:rPr>
          <w:sz w:val="22"/>
          <w:szCs w:val="22"/>
        </w:rPr>
        <w:t>@fm.gov.lv</w:t>
      </w:r>
      <w:bookmarkStart w:id="1" w:name="_GoBack"/>
      <w:bookmarkEnd w:id="1"/>
    </w:p>
    <w:sectPr w:rsidR="00410785" w:rsidRPr="00410785" w:rsidSect="00410785">
      <w:headerReference w:type="even" r:id="rId14"/>
      <w:headerReference w:type="default" r:id="rId15"/>
      <w:footerReference w:type="default" r:id="rId16"/>
      <w:footerReference w:type="first" r:id="rId17"/>
      <w:pgSz w:w="16838" w:h="11906" w:orient="landscape" w:code="9"/>
      <w:pgMar w:top="1418" w:right="1134" w:bottom="993"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1BCE2" w16cid:durableId="203560F3"/>
  <w16cid:commentId w16cid:paraId="04BB6938" w16cid:durableId="203565A5"/>
  <w16cid:commentId w16cid:paraId="42556F69" w16cid:durableId="20356699"/>
  <w16cid:commentId w16cid:paraId="29130B59" w16cid:durableId="203567D4"/>
  <w16cid:commentId w16cid:paraId="31662D25" w16cid:durableId="203567F0"/>
  <w16cid:commentId w16cid:paraId="1C18258A" w16cid:durableId="203568A2"/>
  <w16cid:commentId w16cid:paraId="3175F383" w16cid:durableId="203568D3"/>
  <w16cid:commentId w16cid:paraId="477E970B" w16cid:durableId="203572EB"/>
  <w16cid:commentId w16cid:paraId="010F5D63" w16cid:durableId="20356A02"/>
  <w16cid:commentId w16cid:paraId="65767536" w16cid:durableId="20356AF6"/>
  <w16cid:commentId w16cid:paraId="6F74D8CB" w16cid:durableId="20356B03"/>
  <w16cid:commentId w16cid:paraId="19249BB3" w16cid:durableId="20356B5B"/>
  <w16cid:commentId w16cid:paraId="3D3D620E" w16cid:durableId="20356BC3"/>
  <w16cid:commentId w16cid:paraId="7F88C3D7" w16cid:durableId="20356C4B"/>
  <w16cid:commentId w16cid:paraId="4A5E191C" w16cid:durableId="20356CF7"/>
  <w16cid:commentId w16cid:paraId="797F342E" w16cid:durableId="20357013"/>
  <w16cid:commentId w16cid:paraId="75E1CB5B" w16cid:durableId="20356DD3"/>
  <w16cid:commentId w16cid:paraId="31FEBB28" w16cid:durableId="20356E4F"/>
  <w16cid:commentId w16cid:paraId="657C3879" w16cid:durableId="20356F30"/>
  <w16cid:commentId w16cid:paraId="02390D1D" w16cid:durableId="20356F7C"/>
  <w16cid:commentId w16cid:paraId="4C1931FE" w16cid:durableId="20357069"/>
  <w16cid:commentId w16cid:paraId="5E91D5DA" w16cid:durableId="203570AE"/>
  <w16cid:commentId w16cid:paraId="0B01B949" w16cid:durableId="203571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359DE" w14:textId="77777777" w:rsidR="00226CCA" w:rsidRDefault="00226CCA">
      <w:r>
        <w:separator/>
      </w:r>
    </w:p>
  </w:endnote>
  <w:endnote w:type="continuationSeparator" w:id="0">
    <w:p w14:paraId="7FBCD6DA" w14:textId="77777777" w:rsidR="00226CCA" w:rsidRDefault="0022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Dutch TL">
    <w:charset w:val="00"/>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A06A9" w14:textId="77777777" w:rsidR="0043237E" w:rsidRPr="00DA4710" w:rsidRDefault="0043237E" w:rsidP="00DA4710">
    <w:pPr>
      <w:pStyle w:val="Footer"/>
      <w:rPr>
        <w:sz w:val="20"/>
        <w:szCs w:val="16"/>
      </w:rPr>
    </w:pPr>
    <w:r w:rsidRPr="00BC26B5">
      <w:rPr>
        <w:sz w:val="20"/>
        <w:szCs w:val="16"/>
      </w:rPr>
      <w:t>FMIzz_</w:t>
    </w:r>
    <w:r>
      <w:rPr>
        <w:sz w:val="20"/>
        <w:szCs w:val="16"/>
      </w:rPr>
      <w:t>05032019</w:t>
    </w:r>
    <w:r w:rsidRPr="00BC26B5">
      <w:rPr>
        <w:sz w:val="20"/>
        <w:szCs w:val="16"/>
      </w:rPr>
      <w:t>_</w:t>
    </w:r>
    <w:r>
      <w:rPr>
        <w:sz w:val="20"/>
        <w:szCs w:val="16"/>
      </w:rPr>
      <w:t>erekini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AD04" w14:textId="77777777" w:rsidR="0043237E" w:rsidRPr="004D5580" w:rsidRDefault="0043237E" w:rsidP="004D5580">
    <w:pPr>
      <w:pStyle w:val="Footer"/>
      <w:rPr>
        <w:sz w:val="20"/>
        <w:szCs w:val="16"/>
      </w:rPr>
    </w:pPr>
    <w:r w:rsidRPr="00BC26B5">
      <w:rPr>
        <w:sz w:val="20"/>
        <w:szCs w:val="16"/>
      </w:rPr>
      <w:t>FMIzz_</w:t>
    </w:r>
    <w:r>
      <w:rPr>
        <w:sz w:val="20"/>
        <w:szCs w:val="16"/>
      </w:rPr>
      <w:t>05032019</w:t>
    </w:r>
    <w:r w:rsidRPr="00BC26B5">
      <w:rPr>
        <w:sz w:val="20"/>
        <w:szCs w:val="16"/>
      </w:rPr>
      <w:t>_</w:t>
    </w:r>
    <w:r>
      <w:rPr>
        <w:sz w:val="20"/>
        <w:szCs w:val="16"/>
      </w:rPr>
      <w:t>erekini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8833B" w14:textId="77777777" w:rsidR="00226CCA" w:rsidRDefault="00226CCA">
      <w:r>
        <w:separator/>
      </w:r>
    </w:p>
  </w:footnote>
  <w:footnote w:type="continuationSeparator" w:id="0">
    <w:p w14:paraId="2E3F9F91" w14:textId="77777777" w:rsidR="00226CCA" w:rsidRDefault="0022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327" w14:textId="77777777" w:rsidR="0043237E" w:rsidRDefault="004323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0F2B9" w14:textId="77777777" w:rsidR="0043237E" w:rsidRDefault="00432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4B51" w14:textId="2D04D757" w:rsidR="0043237E" w:rsidRDefault="0043237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785">
      <w:rPr>
        <w:rStyle w:val="PageNumber"/>
        <w:noProof/>
      </w:rPr>
      <w:t>29</w:t>
    </w:r>
    <w:r>
      <w:rPr>
        <w:rStyle w:val="PageNumber"/>
      </w:rPr>
      <w:fldChar w:fldCharType="end"/>
    </w:r>
  </w:p>
  <w:p w14:paraId="3D7E3107" w14:textId="77777777" w:rsidR="0043237E" w:rsidRDefault="00432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D6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636F9"/>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E7ACD"/>
    <w:multiLevelType w:val="hybridMultilevel"/>
    <w:tmpl w:val="DD7C9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B4176"/>
    <w:multiLevelType w:val="hybridMultilevel"/>
    <w:tmpl w:val="4BD6E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3324D"/>
    <w:multiLevelType w:val="hybridMultilevel"/>
    <w:tmpl w:val="AE0EE4A2"/>
    <w:lvl w:ilvl="0" w:tplc="186ADACE">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2FB97FEA"/>
    <w:multiLevelType w:val="multilevel"/>
    <w:tmpl w:val="24CAE3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5F3678"/>
    <w:multiLevelType w:val="hybridMultilevel"/>
    <w:tmpl w:val="4B4E8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966BF4"/>
    <w:multiLevelType w:val="hybridMultilevel"/>
    <w:tmpl w:val="D294F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BC66C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5BF1B5F"/>
    <w:multiLevelType w:val="hybridMultilevel"/>
    <w:tmpl w:val="C5C22D68"/>
    <w:lvl w:ilvl="0" w:tplc="4F46A81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B237F4"/>
    <w:multiLevelType w:val="multilevel"/>
    <w:tmpl w:val="7C1CA9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1"/>
  </w:num>
  <w:num w:numId="4">
    <w:abstractNumId w:val="9"/>
  </w:num>
  <w:num w:numId="5">
    <w:abstractNumId w:val="7"/>
  </w:num>
  <w:num w:numId="6">
    <w:abstractNumId w:val="8"/>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2"/>
  </w:num>
  <w:num w:numId="12">
    <w:abstractNumId w:val="2"/>
  </w:num>
  <w:num w:numId="13">
    <w:abstractNumId w:val="3"/>
  </w:num>
  <w:num w:numId="14">
    <w:abstractNumId w:val="6"/>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88D"/>
    <w:rsid w:val="00003C53"/>
    <w:rsid w:val="0000456E"/>
    <w:rsid w:val="000047EC"/>
    <w:rsid w:val="000055EA"/>
    <w:rsid w:val="00006BF1"/>
    <w:rsid w:val="0001118D"/>
    <w:rsid w:val="000111B8"/>
    <w:rsid w:val="0001131F"/>
    <w:rsid w:val="00011663"/>
    <w:rsid w:val="0001249F"/>
    <w:rsid w:val="000125C0"/>
    <w:rsid w:val="0001270C"/>
    <w:rsid w:val="00013178"/>
    <w:rsid w:val="0001322F"/>
    <w:rsid w:val="000136AA"/>
    <w:rsid w:val="00013B4C"/>
    <w:rsid w:val="00013BF6"/>
    <w:rsid w:val="000142FA"/>
    <w:rsid w:val="0001554C"/>
    <w:rsid w:val="00015B94"/>
    <w:rsid w:val="00015DE5"/>
    <w:rsid w:val="000172E2"/>
    <w:rsid w:val="00017449"/>
    <w:rsid w:val="00020249"/>
    <w:rsid w:val="00022338"/>
    <w:rsid w:val="0002296A"/>
    <w:rsid w:val="00022B0F"/>
    <w:rsid w:val="00022B74"/>
    <w:rsid w:val="00022B9A"/>
    <w:rsid w:val="00023FD6"/>
    <w:rsid w:val="0002416A"/>
    <w:rsid w:val="00024954"/>
    <w:rsid w:val="00024CCD"/>
    <w:rsid w:val="00024D20"/>
    <w:rsid w:val="000253DB"/>
    <w:rsid w:val="000278E7"/>
    <w:rsid w:val="00027A63"/>
    <w:rsid w:val="00027F9D"/>
    <w:rsid w:val="000307B5"/>
    <w:rsid w:val="000308ED"/>
    <w:rsid w:val="00032457"/>
    <w:rsid w:val="0003413A"/>
    <w:rsid w:val="000349CA"/>
    <w:rsid w:val="00034AA3"/>
    <w:rsid w:val="0003557A"/>
    <w:rsid w:val="00035C06"/>
    <w:rsid w:val="000366DF"/>
    <w:rsid w:val="000376CD"/>
    <w:rsid w:val="00040A5C"/>
    <w:rsid w:val="0004255B"/>
    <w:rsid w:val="00043005"/>
    <w:rsid w:val="0004345F"/>
    <w:rsid w:val="0004395E"/>
    <w:rsid w:val="00044026"/>
    <w:rsid w:val="00046075"/>
    <w:rsid w:val="00046CAD"/>
    <w:rsid w:val="00046F5C"/>
    <w:rsid w:val="00047385"/>
    <w:rsid w:val="00047A62"/>
    <w:rsid w:val="00047DCE"/>
    <w:rsid w:val="00047FED"/>
    <w:rsid w:val="00050554"/>
    <w:rsid w:val="00051DE9"/>
    <w:rsid w:val="00053163"/>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51"/>
    <w:rsid w:val="0007577A"/>
    <w:rsid w:val="0007661C"/>
    <w:rsid w:val="000774D2"/>
    <w:rsid w:val="000775D0"/>
    <w:rsid w:val="00081B0F"/>
    <w:rsid w:val="00081DE7"/>
    <w:rsid w:val="0008283D"/>
    <w:rsid w:val="00083090"/>
    <w:rsid w:val="00083214"/>
    <w:rsid w:val="00083B8F"/>
    <w:rsid w:val="000848AD"/>
    <w:rsid w:val="00084B11"/>
    <w:rsid w:val="00085322"/>
    <w:rsid w:val="0008656F"/>
    <w:rsid w:val="00086AB9"/>
    <w:rsid w:val="00086BCE"/>
    <w:rsid w:val="00086F36"/>
    <w:rsid w:val="00090168"/>
    <w:rsid w:val="00090C76"/>
    <w:rsid w:val="00091033"/>
    <w:rsid w:val="00091F10"/>
    <w:rsid w:val="00092C42"/>
    <w:rsid w:val="0009302B"/>
    <w:rsid w:val="00093EC2"/>
    <w:rsid w:val="00094C19"/>
    <w:rsid w:val="000958A2"/>
    <w:rsid w:val="000965E7"/>
    <w:rsid w:val="000A0041"/>
    <w:rsid w:val="000A015F"/>
    <w:rsid w:val="000A06FC"/>
    <w:rsid w:val="000A196D"/>
    <w:rsid w:val="000A1A02"/>
    <w:rsid w:val="000A4035"/>
    <w:rsid w:val="000A483A"/>
    <w:rsid w:val="000A4DEB"/>
    <w:rsid w:val="000A55D2"/>
    <w:rsid w:val="000A64D3"/>
    <w:rsid w:val="000A68DD"/>
    <w:rsid w:val="000A77B9"/>
    <w:rsid w:val="000A7EA7"/>
    <w:rsid w:val="000B0403"/>
    <w:rsid w:val="000B057B"/>
    <w:rsid w:val="000B06E7"/>
    <w:rsid w:val="000B0C94"/>
    <w:rsid w:val="000B1529"/>
    <w:rsid w:val="000B15E5"/>
    <w:rsid w:val="000B2382"/>
    <w:rsid w:val="000B3171"/>
    <w:rsid w:val="000B34A5"/>
    <w:rsid w:val="000B4746"/>
    <w:rsid w:val="000B54F4"/>
    <w:rsid w:val="000B7966"/>
    <w:rsid w:val="000B7CB1"/>
    <w:rsid w:val="000C0AE6"/>
    <w:rsid w:val="000C0D0D"/>
    <w:rsid w:val="000C1163"/>
    <w:rsid w:val="000C2555"/>
    <w:rsid w:val="000C3545"/>
    <w:rsid w:val="000C498A"/>
    <w:rsid w:val="000C4C16"/>
    <w:rsid w:val="000C56FC"/>
    <w:rsid w:val="000C7466"/>
    <w:rsid w:val="000C7907"/>
    <w:rsid w:val="000C7A11"/>
    <w:rsid w:val="000C7F5E"/>
    <w:rsid w:val="000D00AC"/>
    <w:rsid w:val="000D0AED"/>
    <w:rsid w:val="000D28AB"/>
    <w:rsid w:val="000D2D1B"/>
    <w:rsid w:val="000D3602"/>
    <w:rsid w:val="000D3CAA"/>
    <w:rsid w:val="000D4D89"/>
    <w:rsid w:val="000D5806"/>
    <w:rsid w:val="000D6BBD"/>
    <w:rsid w:val="000D7751"/>
    <w:rsid w:val="000D7C23"/>
    <w:rsid w:val="000E04AD"/>
    <w:rsid w:val="000E0A16"/>
    <w:rsid w:val="000E1BFA"/>
    <w:rsid w:val="000E2142"/>
    <w:rsid w:val="000E21D0"/>
    <w:rsid w:val="000E2A38"/>
    <w:rsid w:val="000E2ACC"/>
    <w:rsid w:val="000E3EDC"/>
    <w:rsid w:val="000E5509"/>
    <w:rsid w:val="000E585F"/>
    <w:rsid w:val="000E66F8"/>
    <w:rsid w:val="000E6B19"/>
    <w:rsid w:val="000F054F"/>
    <w:rsid w:val="000F079D"/>
    <w:rsid w:val="000F0D9D"/>
    <w:rsid w:val="000F19BF"/>
    <w:rsid w:val="000F1D56"/>
    <w:rsid w:val="000F2534"/>
    <w:rsid w:val="000F28D9"/>
    <w:rsid w:val="000F2D43"/>
    <w:rsid w:val="000F2F9A"/>
    <w:rsid w:val="000F3AA0"/>
    <w:rsid w:val="000F4AEB"/>
    <w:rsid w:val="000F4B40"/>
    <w:rsid w:val="000F4C3B"/>
    <w:rsid w:val="000F4E7B"/>
    <w:rsid w:val="000F57C3"/>
    <w:rsid w:val="000F5C37"/>
    <w:rsid w:val="000F5DC3"/>
    <w:rsid w:val="000F5DF0"/>
    <w:rsid w:val="000F6A0B"/>
    <w:rsid w:val="000F7695"/>
    <w:rsid w:val="0010097D"/>
    <w:rsid w:val="00101025"/>
    <w:rsid w:val="001012E3"/>
    <w:rsid w:val="00101865"/>
    <w:rsid w:val="00101EEB"/>
    <w:rsid w:val="0010312A"/>
    <w:rsid w:val="0010375A"/>
    <w:rsid w:val="001038ED"/>
    <w:rsid w:val="001042B0"/>
    <w:rsid w:val="00104DB4"/>
    <w:rsid w:val="00106F4F"/>
    <w:rsid w:val="001071D3"/>
    <w:rsid w:val="001075A8"/>
    <w:rsid w:val="00110259"/>
    <w:rsid w:val="00110AA9"/>
    <w:rsid w:val="0011254D"/>
    <w:rsid w:val="001139C2"/>
    <w:rsid w:val="00114559"/>
    <w:rsid w:val="00114EA9"/>
    <w:rsid w:val="00115BAF"/>
    <w:rsid w:val="00115ED0"/>
    <w:rsid w:val="001165BF"/>
    <w:rsid w:val="0011683C"/>
    <w:rsid w:val="00116AC7"/>
    <w:rsid w:val="00117519"/>
    <w:rsid w:val="001179E8"/>
    <w:rsid w:val="0012021B"/>
    <w:rsid w:val="00121C15"/>
    <w:rsid w:val="0012222D"/>
    <w:rsid w:val="00124F1E"/>
    <w:rsid w:val="001255E6"/>
    <w:rsid w:val="0012567E"/>
    <w:rsid w:val="0013053A"/>
    <w:rsid w:val="0013066A"/>
    <w:rsid w:val="001315EF"/>
    <w:rsid w:val="00131F39"/>
    <w:rsid w:val="00132375"/>
    <w:rsid w:val="00132C1C"/>
    <w:rsid w:val="00132E73"/>
    <w:rsid w:val="00133505"/>
    <w:rsid w:val="001339A4"/>
    <w:rsid w:val="00134188"/>
    <w:rsid w:val="00137403"/>
    <w:rsid w:val="00137D63"/>
    <w:rsid w:val="00140706"/>
    <w:rsid w:val="00140C7B"/>
    <w:rsid w:val="0014122A"/>
    <w:rsid w:val="00141BED"/>
    <w:rsid w:val="00141E85"/>
    <w:rsid w:val="00141F7E"/>
    <w:rsid w:val="0014319C"/>
    <w:rsid w:val="001436B3"/>
    <w:rsid w:val="00143976"/>
    <w:rsid w:val="00143DAC"/>
    <w:rsid w:val="00144622"/>
    <w:rsid w:val="00144781"/>
    <w:rsid w:val="00144917"/>
    <w:rsid w:val="0014702D"/>
    <w:rsid w:val="001474CD"/>
    <w:rsid w:val="00147596"/>
    <w:rsid w:val="00152718"/>
    <w:rsid w:val="001530CF"/>
    <w:rsid w:val="00153F12"/>
    <w:rsid w:val="001543DB"/>
    <w:rsid w:val="00155473"/>
    <w:rsid w:val="00155D68"/>
    <w:rsid w:val="00155DC2"/>
    <w:rsid w:val="00156D90"/>
    <w:rsid w:val="00156DF1"/>
    <w:rsid w:val="00156E9F"/>
    <w:rsid w:val="00157A57"/>
    <w:rsid w:val="00157DB6"/>
    <w:rsid w:val="00157EC2"/>
    <w:rsid w:val="00162A68"/>
    <w:rsid w:val="00162E08"/>
    <w:rsid w:val="001633F1"/>
    <w:rsid w:val="001644C3"/>
    <w:rsid w:val="00164FD8"/>
    <w:rsid w:val="0016531E"/>
    <w:rsid w:val="0016565C"/>
    <w:rsid w:val="00166314"/>
    <w:rsid w:val="00166746"/>
    <w:rsid w:val="00167590"/>
    <w:rsid w:val="00167918"/>
    <w:rsid w:val="00167C1E"/>
    <w:rsid w:val="0017043B"/>
    <w:rsid w:val="001706A1"/>
    <w:rsid w:val="00170914"/>
    <w:rsid w:val="00170DF2"/>
    <w:rsid w:val="00171BE4"/>
    <w:rsid w:val="00174841"/>
    <w:rsid w:val="001761FD"/>
    <w:rsid w:val="00177D61"/>
    <w:rsid w:val="00180125"/>
    <w:rsid w:val="001808CA"/>
    <w:rsid w:val="00180923"/>
    <w:rsid w:val="00180C4D"/>
    <w:rsid w:val="00180CE5"/>
    <w:rsid w:val="00181BAA"/>
    <w:rsid w:val="00181D2D"/>
    <w:rsid w:val="0018210A"/>
    <w:rsid w:val="00182DE0"/>
    <w:rsid w:val="0018386C"/>
    <w:rsid w:val="00183DF3"/>
    <w:rsid w:val="00184479"/>
    <w:rsid w:val="0018472C"/>
    <w:rsid w:val="00184838"/>
    <w:rsid w:val="00185755"/>
    <w:rsid w:val="001857AD"/>
    <w:rsid w:val="00187398"/>
    <w:rsid w:val="00187F73"/>
    <w:rsid w:val="00187FB0"/>
    <w:rsid w:val="001902E9"/>
    <w:rsid w:val="00190327"/>
    <w:rsid w:val="00190A0A"/>
    <w:rsid w:val="001926F2"/>
    <w:rsid w:val="00193BCE"/>
    <w:rsid w:val="00194B87"/>
    <w:rsid w:val="0019569A"/>
    <w:rsid w:val="00195748"/>
    <w:rsid w:val="00195962"/>
    <w:rsid w:val="001967F0"/>
    <w:rsid w:val="00197533"/>
    <w:rsid w:val="001977E7"/>
    <w:rsid w:val="00197CCA"/>
    <w:rsid w:val="001A0D8A"/>
    <w:rsid w:val="001A192D"/>
    <w:rsid w:val="001A4775"/>
    <w:rsid w:val="001A5DDF"/>
    <w:rsid w:val="001A7C72"/>
    <w:rsid w:val="001B0387"/>
    <w:rsid w:val="001B084B"/>
    <w:rsid w:val="001B0CEC"/>
    <w:rsid w:val="001B0FFC"/>
    <w:rsid w:val="001B1CF2"/>
    <w:rsid w:val="001B4388"/>
    <w:rsid w:val="001B463E"/>
    <w:rsid w:val="001B46F7"/>
    <w:rsid w:val="001B49E0"/>
    <w:rsid w:val="001B5377"/>
    <w:rsid w:val="001B6553"/>
    <w:rsid w:val="001B6647"/>
    <w:rsid w:val="001B69A7"/>
    <w:rsid w:val="001B6A47"/>
    <w:rsid w:val="001B6B0A"/>
    <w:rsid w:val="001B6C3C"/>
    <w:rsid w:val="001B7D8E"/>
    <w:rsid w:val="001C0824"/>
    <w:rsid w:val="001C0B83"/>
    <w:rsid w:val="001C1510"/>
    <w:rsid w:val="001C1989"/>
    <w:rsid w:val="001C28FD"/>
    <w:rsid w:val="001C3349"/>
    <w:rsid w:val="001C4ABA"/>
    <w:rsid w:val="001C546B"/>
    <w:rsid w:val="001C5EA2"/>
    <w:rsid w:val="001C6608"/>
    <w:rsid w:val="001C6C7D"/>
    <w:rsid w:val="001D15A4"/>
    <w:rsid w:val="001D1CB1"/>
    <w:rsid w:val="001D2AC0"/>
    <w:rsid w:val="001D2DBA"/>
    <w:rsid w:val="001D2FD0"/>
    <w:rsid w:val="001D3830"/>
    <w:rsid w:val="001D3BA6"/>
    <w:rsid w:val="001D402F"/>
    <w:rsid w:val="001D4C32"/>
    <w:rsid w:val="001D4CDE"/>
    <w:rsid w:val="001D5564"/>
    <w:rsid w:val="001D5CB9"/>
    <w:rsid w:val="001D67CB"/>
    <w:rsid w:val="001D6FAA"/>
    <w:rsid w:val="001D70FA"/>
    <w:rsid w:val="001D7BA9"/>
    <w:rsid w:val="001E039D"/>
    <w:rsid w:val="001E22E7"/>
    <w:rsid w:val="001E2714"/>
    <w:rsid w:val="001E398C"/>
    <w:rsid w:val="001E4456"/>
    <w:rsid w:val="001E4DDC"/>
    <w:rsid w:val="001E770B"/>
    <w:rsid w:val="001E774F"/>
    <w:rsid w:val="001E7C1D"/>
    <w:rsid w:val="001F073F"/>
    <w:rsid w:val="001F3009"/>
    <w:rsid w:val="001F3358"/>
    <w:rsid w:val="001F35CB"/>
    <w:rsid w:val="001F390F"/>
    <w:rsid w:val="001F5CD1"/>
    <w:rsid w:val="001F5DC4"/>
    <w:rsid w:val="001F6E82"/>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728"/>
    <w:rsid w:val="00211793"/>
    <w:rsid w:val="00211C11"/>
    <w:rsid w:val="00212345"/>
    <w:rsid w:val="00212DE6"/>
    <w:rsid w:val="00213049"/>
    <w:rsid w:val="00213293"/>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931"/>
    <w:rsid w:val="00224DA7"/>
    <w:rsid w:val="002261CB"/>
    <w:rsid w:val="002268BF"/>
    <w:rsid w:val="00226CCA"/>
    <w:rsid w:val="00227BDE"/>
    <w:rsid w:val="00230045"/>
    <w:rsid w:val="0023014E"/>
    <w:rsid w:val="002308FA"/>
    <w:rsid w:val="00230E94"/>
    <w:rsid w:val="00230EE8"/>
    <w:rsid w:val="0023132F"/>
    <w:rsid w:val="00231AA5"/>
    <w:rsid w:val="00232AB4"/>
    <w:rsid w:val="00232F90"/>
    <w:rsid w:val="0023339B"/>
    <w:rsid w:val="0023469C"/>
    <w:rsid w:val="00234C71"/>
    <w:rsid w:val="00235511"/>
    <w:rsid w:val="002366E0"/>
    <w:rsid w:val="00236975"/>
    <w:rsid w:val="00236DE1"/>
    <w:rsid w:val="002372EE"/>
    <w:rsid w:val="002372FD"/>
    <w:rsid w:val="0023764D"/>
    <w:rsid w:val="0024074F"/>
    <w:rsid w:val="002409A6"/>
    <w:rsid w:val="002415BC"/>
    <w:rsid w:val="00241EC5"/>
    <w:rsid w:val="002434B2"/>
    <w:rsid w:val="00244094"/>
    <w:rsid w:val="002442F4"/>
    <w:rsid w:val="002445EA"/>
    <w:rsid w:val="002447CC"/>
    <w:rsid w:val="00244ECE"/>
    <w:rsid w:val="00244FC5"/>
    <w:rsid w:val="00245D1D"/>
    <w:rsid w:val="00250EDA"/>
    <w:rsid w:val="00251502"/>
    <w:rsid w:val="002518E8"/>
    <w:rsid w:val="00251C10"/>
    <w:rsid w:val="00252E1E"/>
    <w:rsid w:val="002538BA"/>
    <w:rsid w:val="00253E8A"/>
    <w:rsid w:val="0025469D"/>
    <w:rsid w:val="002552B1"/>
    <w:rsid w:val="00255D01"/>
    <w:rsid w:val="00256E55"/>
    <w:rsid w:val="00257E0E"/>
    <w:rsid w:val="00257FF4"/>
    <w:rsid w:val="00260FCB"/>
    <w:rsid w:val="002615F5"/>
    <w:rsid w:val="002616B9"/>
    <w:rsid w:val="0026217B"/>
    <w:rsid w:val="002629E4"/>
    <w:rsid w:val="00263FE3"/>
    <w:rsid w:val="00265559"/>
    <w:rsid w:val="00265593"/>
    <w:rsid w:val="002675EA"/>
    <w:rsid w:val="00267BC5"/>
    <w:rsid w:val="00267CBE"/>
    <w:rsid w:val="00267E0B"/>
    <w:rsid w:val="00270680"/>
    <w:rsid w:val="00271103"/>
    <w:rsid w:val="002721FA"/>
    <w:rsid w:val="0027230C"/>
    <w:rsid w:val="00272B99"/>
    <w:rsid w:val="0027380D"/>
    <w:rsid w:val="00273DFE"/>
    <w:rsid w:val="0027468E"/>
    <w:rsid w:val="00274826"/>
    <w:rsid w:val="00275005"/>
    <w:rsid w:val="002752AB"/>
    <w:rsid w:val="002756D6"/>
    <w:rsid w:val="0027573C"/>
    <w:rsid w:val="002758F5"/>
    <w:rsid w:val="00276363"/>
    <w:rsid w:val="00276E80"/>
    <w:rsid w:val="002777A3"/>
    <w:rsid w:val="00281534"/>
    <w:rsid w:val="002815D0"/>
    <w:rsid w:val="00282039"/>
    <w:rsid w:val="002820A7"/>
    <w:rsid w:val="00283B82"/>
    <w:rsid w:val="00283E13"/>
    <w:rsid w:val="00283FD4"/>
    <w:rsid w:val="002842A6"/>
    <w:rsid w:val="00286478"/>
    <w:rsid w:val="0028667B"/>
    <w:rsid w:val="00287232"/>
    <w:rsid w:val="00287EDD"/>
    <w:rsid w:val="0029141B"/>
    <w:rsid w:val="002927D3"/>
    <w:rsid w:val="00292E48"/>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406"/>
    <w:rsid w:val="002B0559"/>
    <w:rsid w:val="002B09C0"/>
    <w:rsid w:val="002B13B3"/>
    <w:rsid w:val="002B183D"/>
    <w:rsid w:val="002B1DBF"/>
    <w:rsid w:val="002B207F"/>
    <w:rsid w:val="002B2A48"/>
    <w:rsid w:val="002B2BEE"/>
    <w:rsid w:val="002B31AD"/>
    <w:rsid w:val="002B3EA7"/>
    <w:rsid w:val="002B4BAE"/>
    <w:rsid w:val="002B538B"/>
    <w:rsid w:val="002B581B"/>
    <w:rsid w:val="002B5963"/>
    <w:rsid w:val="002B6AED"/>
    <w:rsid w:val="002C2892"/>
    <w:rsid w:val="002C58AB"/>
    <w:rsid w:val="002C6D84"/>
    <w:rsid w:val="002C7D21"/>
    <w:rsid w:val="002C7E22"/>
    <w:rsid w:val="002D1564"/>
    <w:rsid w:val="002D1CA4"/>
    <w:rsid w:val="002D1CE2"/>
    <w:rsid w:val="002D2C09"/>
    <w:rsid w:val="002D2C45"/>
    <w:rsid w:val="002D478A"/>
    <w:rsid w:val="002D4969"/>
    <w:rsid w:val="002D4EE1"/>
    <w:rsid w:val="002D4F49"/>
    <w:rsid w:val="002D65A0"/>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1DE6"/>
    <w:rsid w:val="00303F2B"/>
    <w:rsid w:val="00304387"/>
    <w:rsid w:val="00304607"/>
    <w:rsid w:val="0030467A"/>
    <w:rsid w:val="003047CC"/>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3F3F"/>
    <w:rsid w:val="00313FB1"/>
    <w:rsid w:val="0031449F"/>
    <w:rsid w:val="003145A5"/>
    <w:rsid w:val="003148B9"/>
    <w:rsid w:val="00314A2E"/>
    <w:rsid w:val="00314DB8"/>
    <w:rsid w:val="00315266"/>
    <w:rsid w:val="0031693B"/>
    <w:rsid w:val="003169CE"/>
    <w:rsid w:val="00316F0A"/>
    <w:rsid w:val="00317DC7"/>
    <w:rsid w:val="003200F9"/>
    <w:rsid w:val="003209C8"/>
    <w:rsid w:val="00320F38"/>
    <w:rsid w:val="00321183"/>
    <w:rsid w:val="00321694"/>
    <w:rsid w:val="00321F0A"/>
    <w:rsid w:val="003223CE"/>
    <w:rsid w:val="00322A2D"/>
    <w:rsid w:val="00322BCE"/>
    <w:rsid w:val="00322E80"/>
    <w:rsid w:val="00324AAF"/>
    <w:rsid w:val="00324D5B"/>
    <w:rsid w:val="00325045"/>
    <w:rsid w:val="00325D91"/>
    <w:rsid w:val="003267B4"/>
    <w:rsid w:val="00331193"/>
    <w:rsid w:val="00332511"/>
    <w:rsid w:val="003329AF"/>
    <w:rsid w:val="003333D4"/>
    <w:rsid w:val="00334951"/>
    <w:rsid w:val="003352E2"/>
    <w:rsid w:val="00336411"/>
    <w:rsid w:val="0033678D"/>
    <w:rsid w:val="0033720D"/>
    <w:rsid w:val="003373E8"/>
    <w:rsid w:val="0034069F"/>
    <w:rsid w:val="00342E74"/>
    <w:rsid w:val="003443DD"/>
    <w:rsid w:val="00344D5A"/>
    <w:rsid w:val="00345084"/>
    <w:rsid w:val="00346EB6"/>
    <w:rsid w:val="00347EDB"/>
    <w:rsid w:val="00350797"/>
    <w:rsid w:val="00351A85"/>
    <w:rsid w:val="00351BC7"/>
    <w:rsid w:val="003522E8"/>
    <w:rsid w:val="00353989"/>
    <w:rsid w:val="00355B7A"/>
    <w:rsid w:val="0035617C"/>
    <w:rsid w:val="00356941"/>
    <w:rsid w:val="00356E7E"/>
    <w:rsid w:val="00356EB8"/>
    <w:rsid w:val="00357B83"/>
    <w:rsid w:val="003614A8"/>
    <w:rsid w:val="0036160E"/>
    <w:rsid w:val="00362243"/>
    <w:rsid w:val="00362610"/>
    <w:rsid w:val="00363830"/>
    <w:rsid w:val="00363D2D"/>
    <w:rsid w:val="00364BB6"/>
    <w:rsid w:val="00364D6B"/>
    <w:rsid w:val="00365408"/>
    <w:rsid w:val="00365CC0"/>
    <w:rsid w:val="003668DF"/>
    <w:rsid w:val="00367688"/>
    <w:rsid w:val="00371A58"/>
    <w:rsid w:val="00372221"/>
    <w:rsid w:val="003722FA"/>
    <w:rsid w:val="00372CF2"/>
    <w:rsid w:val="00374C7E"/>
    <w:rsid w:val="00377353"/>
    <w:rsid w:val="0037736B"/>
    <w:rsid w:val="00377D2C"/>
    <w:rsid w:val="003811A9"/>
    <w:rsid w:val="00381F57"/>
    <w:rsid w:val="0038216E"/>
    <w:rsid w:val="003822E5"/>
    <w:rsid w:val="003830B8"/>
    <w:rsid w:val="00383262"/>
    <w:rsid w:val="0039521E"/>
    <w:rsid w:val="003A157A"/>
    <w:rsid w:val="003A283F"/>
    <w:rsid w:val="003A2A16"/>
    <w:rsid w:val="003A2FDD"/>
    <w:rsid w:val="003A3C43"/>
    <w:rsid w:val="003A3E58"/>
    <w:rsid w:val="003A5C19"/>
    <w:rsid w:val="003A5CCC"/>
    <w:rsid w:val="003A70FF"/>
    <w:rsid w:val="003A74D2"/>
    <w:rsid w:val="003A756B"/>
    <w:rsid w:val="003A7902"/>
    <w:rsid w:val="003B0FF6"/>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A2F"/>
    <w:rsid w:val="003D0AD4"/>
    <w:rsid w:val="003D17E6"/>
    <w:rsid w:val="003D1A20"/>
    <w:rsid w:val="003D1AC9"/>
    <w:rsid w:val="003D2AC9"/>
    <w:rsid w:val="003D2CD8"/>
    <w:rsid w:val="003D3724"/>
    <w:rsid w:val="003D469E"/>
    <w:rsid w:val="003D46A7"/>
    <w:rsid w:val="003D6376"/>
    <w:rsid w:val="003D75DD"/>
    <w:rsid w:val="003E035B"/>
    <w:rsid w:val="003E0C76"/>
    <w:rsid w:val="003E1235"/>
    <w:rsid w:val="003E274F"/>
    <w:rsid w:val="003E2982"/>
    <w:rsid w:val="003E2A35"/>
    <w:rsid w:val="003E2B56"/>
    <w:rsid w:val="003E2CE1"/>
    <w:rsid w:val="003E2DCB"/>
    <w:rsid w:val="003E4C3F"/>
    <w:rsid w:val="003E4D7C"/>
    <w:rsid w:val="003E5FA8"/>
    <w:rsid w:val="003E6252"/>
    <w:rsid w:val="003E6A47"/>
    <w:rsid w:val="003F1200"/>
    <w:rsid w:val="003F1421"/>
    <w:rsid w:val="003F1844"/>
    <w:rsid w:val="003F241E"/>
    <w:rsid w:val="003F2846"/>
    <w:rsid w:val="003F28C0"/>
    <w:rsid w:val="003F52B2"/>
    <w:rsid w:val="003F716E"/>
    <w:rsid w:val="003F7FC8"/>
    <w:rsid w:val="00400061"/>
    <w:rsid w:val="0040068A"/>
    <w:rsid w:val="00400813"/>
    <w:rsid w:val="00400DFE"/>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41C"/>
    <w:rsid w:val="00410785"/>
    <w:rsid w:val="00410C48"/>
    <w:rsid w:val="004131D1"/>
    <w:rsid w:val="004135B5"/>
    <w:rsid w:val="0041587A"/>
    <w:rsid w:val="00416277"/>
    <w:rsid w:val="00416E24"/>
    <w:rsid w:val="004171B4"/>
    <w:rsid w:val="0042063D"/>
    <w:rsid w:val="004209C2"/>
    <w:rsid w:val="0042197A"/>
    <w:rsid w:val="00422B23"/>
    <w:rsid w:val="00423A60"/>
    <w:rsid w:val="004250EA"/>
    <w:rsid w:val="0042510C"/>
    <w:rsid w:val="00425B50"/>
    <w:rsid w:val="0042651C"/>
    <w:rsid w:val="00426E9B"/>
    <w:rsid w:val="00427D55"/>
    <w:rsid w:val="00430042"/>
    <w:rsid w:val="00430E4A"/>
    <w:rsid w:val="0043233C"/>
    <w:rsid w:val="0043237E"/>
    <w:rsid w:val="00433B26"/>
    <w:rsid w:val="004345A6"/>
    <w:rsid w:val="00435527"/>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5C6"/>
    <w:rsid w:val="00444C06"/>
    <w:rsid w:val="004454DF"/>
    <w:rsid w:val="00445F0B"/>
    <w:rsid w:val="0044673F"/>
    <w:rsid w:val="00446804"/>
    <w:rsid w:val="004471AC"/>
    <w:rsid w:val="004478D4"/>
    <w:rsid w:val="00450347"/>
    <w:rsid w:val="00450380"/>
    <w:rsid w:val="004505C6"/>
    <w:rsid w:val="00451270"/>
    <w:rsid w:val="00451592"/>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01D"/>
    <w:rsid w:val="00467B65"/>
    <w:rsid w:val="00470977"/>
    <w:rsid w:val="00471E63"/>
    <w:rsid w:val="00471EA5"/>
    <w:rsid w:val="004720C9"/>
    <w:rsid w:val="004721B6"/>
    <w:rsid w:val="00472257"/>
    <w:rsid w:val="00472E49"/>
    <w:rsid w:val="004732BB"/>
    <w:rsid w:val="00474C60"/>
    <w:rsid w:val="00475944"/>
    <w:rsid w:val="00475DF0"/>
    <w:rsid w:val="00476525"/>
    <w:rsid w:val="004772E2"/>
    <w:rsid w:val="0047739F"/>
    <w:rsid w:val="00477F97"/>
    <w:rsid w:val="00480A2D"/>
    <w:rsid w:val="00480AFB"/>
    <w:rsid w:val="00481247"/>
    <w:rsid w:val="00481926"/>
    <w:rsid w:val="004828DC"/>
    <w:rsid w:val="00482FF7"/>
    <w:rsid w:val="00483098"/>
    <w:rsid w:val="00483A8D"/>
    <w:rsid w:val="00483AFB"/>
    <w:rsid w:val="0048402B"/>
    <w:rsid w:val="0048414A"/>
    <w:rsid w:val="00485C56"/>
    <w:rsid w:val="00486B79"/>
    <w:rsid w:val="00486CA2"/>
    <w:rsid w:val="00490B25"/>
    <w:rsid w:val="00490FD6"/>
    <w:rsid w:val="004911C4"/>
    <w:rsid w:val="00492804"/>
    <w:rsid w:val="00492985"/>
    <w:rsid w:val="00494CC8"/>
    <w:rsid w:val="004955E7"/>
    <w:rsid w:val="0049589C"/>
    <w:rsid w:val="00495A7A"/>
    <w:rsid w:val="00495EF1"/>
    <w:rsid w:val="00496ED4"/>
    <w:rsid w:val="00497D4A"/>
    <w:rsid w:val="004A0441"/>
    <w:rsid w:val="004A04EE"/>
    <w:rsid w:val="004A084C"/>
    <w:rsid w:val="004A15B3"/>
    <w:rsid w:val="004A1D01"/>
    <w:rsid w:val="004A2A54"/>
    <w:rsid w:val="004A2EF3"/>
    <w:rsid w:val="004A36F8"/>
    <w:rsid w:val="004A3B0D"/>
    <w:rsid w:val="004A52F5"/>
    <w:rsid w:val="004A5D3A"/>
    <w:rsid w:val="004A6897"/>
    <w:rsid w:val="004A692B"/>
    <w:rsid w:val="004A6CD1"/>
    <w:rsid w:val="004A6EB6"/>
    <w:rsid w:val="004A6F03"/>
    <w:rsid w:val="004A794C"/>
    <w:rsid w:val="004B3EC7"/>
    <w:rsid w:val="004B4A2C"/>
    <w:rsid w:val="004B4CE0"/>
    <w:rsid w:val="004B5664"/>
    <w:rsid w:val="004C02FB"/>
    <w:rsid w:val="004C2107"/>
    <w:rsid w:val="004C2771"/>
    <w:rsid w:val="004C5FC6"/>
    <w:rsid w:val="004C6435"/>
    <w:rsid w:val="004C649B"/>
    <w:rsid w:val="004C72F7"/>
    <w:rsid w:val="004C7B9C"/>
    <w:rsid w:val="004C7D55"/>
    <w:rsid w:val="004D089A"/>
    <w:rsid w:val="004D2D70"/>
    <w:rsid w:val="004D3184"/>
    <w:rsid w:val="004D5030"/>
    <w:rsid w:val="004D5580"/>
    <w:rsid w:val="004D6045"/>
    <w:rsid w:val="004D7546"/>
    <w:rsid w:val="004D7EC5"/>
    <w:rsid w:val="004E02B0"/>
    <w:rsid w:val="004E0B29"/>
    <w:rsid w:val="004E0E11"/>
    <w:rsid w:val="004E0F08"/>
    <w:rsid w:val="004E1546"/>
    <w:rsid w:val="004E19DC"/>
    <w:rsid w:val="004E35E8"/>
    <w:rsid w:val="004E50F0"/>
    <w:rsid w:val="004E5B90"/>
    <w:rsid w:val="004E6A03"/>
    <w:rsid w:val="004E75E0"/>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5E38"/>
    <w:rsid w:val="005070FF"/>
    <w:rsid w:val="00507C25"/>
    <w:rsid w:val="0051020E"/>
    <w:rsid w:val="005109F0"/>
    <w:rsid w:val="00510FEB"/>
    <w:rsid w:val="00512BBC"/>
    <w:rsid w:val="005134FB"/>
    <w:rsid w:val="005135FD"/>
    <w:rsid w:val="0051366C"/>
    <w:rsid w:val="00513B8B"/>
    <w:rsid w:val="0051684F"/>
    <w:rsid w:val="005168D7"/>
    <w:rsid w:val="00516A92"/>
    <w:rsid w:val="00516B9F"/>
    <w:rsid w:val="00517361"/>
    <w:rsid w:val="00517693"/>
    <w:rsid w:val="00517727"/>
    <w:rsid w:val="005205AB"/>
    <w:rsid w:val="00523378"/>
    <w:rsid w:val="00523959"/>
    <w:rsid w:val="0052486A"/>
    <w:rsid w:val="0052550F"/>
    <w:rsid w:val="00526C0F"/>
    <w:rsid w:val="0052702A"/>
    <w:rsid w:val="00530397"/>
    <w:rsid w:val="00530F73"/>
    <w:rsid w:val="00533B8E"/>
    <w:rsid w:val="00535164"/>
    <w:rsid w:val="00535417"/>
    <w:rsid w:val="00535833"/>
    <w:rsid w:val="0053642B"/>
    <w:rsid w:val="00536D28"/>
    <w:rsid w:val="005372C5"/>
    <w:rsid w:val="00537A26"/>
    <w:rsid w:val="00540E47"/>
    <w:rsid w:val="00541763"/>
    <w:rsid w:val="00543283"/>
    <w:rsid w:val="0054364C"/>
    <w:rsid w:val="00546747"/>
    <w:rsid w:val="00547510"/>
    <w:rsid w:val="00547ECC"/>
    <w:rsid w:val="00551D5A"/>
    <w:rsid w:val="00551EC3"/>
    <w:rsid w:val="00553D19"/>
    <w:rsid w:val="00554A44"/>
    <w:rsid w:val="00554C53"/>
    <w:rsid w:val="00554F18"/>
    <w:rsid w:val="00555220"/>
    <w:rsid w:val="005555F0"/>
    <w:rsid w:val="00555739"/>
    <w:rsid w:val="00556E75"/>
    <w:rsid w:val="0056069A"/>
    <w:rsid w:val="00560C3B"/>
    <w:rsid w:val="00561030"/>
    <w:rsid w:val="00561EA1"/>
    <w:rsid w:val="00562799"/>
    <w:rsid w:val="00564804"/>
    <w:rsid w:val="00565598"/>
    <w:rsid w:val="00565B5A"/>
    <w:rsid w:val="00565F23"/>
    <w:rsid w:val="0056694F"/>
    <w:rsid w:val="00567E8F"/>
    <w:rsid w:val="005702D6"/>
    <w:rsid w:val="00571D8D"/>
    <w:rsid w:val="00572588"/>
    <w:rsid w:val="00573A50"/>
    <w:rsid w:val="005746D2"/>
    <w:rsid w:val="00574E8A"/>
    <w:rsid w:val="00577775"/>
    <w:rsid w:val="0058121A"/>
    <w:rsid w:val="00581863"/>
    <w:rsid w:val="00581EA3"/>
    <w:rsid w:val="0058205A"/>
    <w:rsid w:val="0058260B"/>
    <w:rsid w:val="00582B47"/>
    <w:rsid w:val="00584D1E"/>
    <w:rsid w:val="00586795"/>
    <w:rsid w:val="00586B82"/>
    <w:rsid w:val="00587E13"/>
    <w:rsid w:val="005933AA"/>
    <w:rsid w:val="005940AA"/>
    <w:rsid w:val="00594614"/>
    <w:rsid w:val="00594E10"/>
    <w:rsid w:val="00595997"/>
    <w:rsid w:val="005962BE"/>
    <w:rsid w:val="00596306"/>
    <w:rsid w:val="00596487"/>
    <w:rsid w:val="005A0809"/>
    <w:rsid w:val="005A0B91"/>
    <w:rsid w:val="005A1494"/>
    <w:rsid w:val="005A3590"/>
    <w:rsid w:val="005A4A1C"/>
    <w:rsid w:val="005A4B82"/>
    <w:rsid w:val="005A5BD8"/>
    <w:rsid w:val="005A692A"/>
    <w:rsid w:val="005A6AB8"/>
    <w:rsid w:val="005B11C2"/>
    <w:rsid w:val="005B135C"/>
    <w:rsid w:val="005B180A"/>
    <w:rsid w:val="005B248D"/>
    <w:rsid w:val="005B382C"/>
    <w:rsid w:val="005B3C11"/>
    <w:rsid w:val="005B40DA"/>
    <w:rsid w:val="005B4226"/>
    <w:rsid w:val="005B5AA4"/>
    <w:rsid w:val="005B5F3E"/>
    <w:rsid w:val="005B656B"/>
    <w:rsid w:val="005B66F1"/>
    <w:rsid w:val="005B71B3"/>
    <w:rsid w:val="005B76A4"/>
    <w:rsid w:val="005C04A7"/>
    <w:rsid w:val="005C1345"/>
    <w:rsid w:val="005C17A4"/>
    <w:rsid w:val="005C1FAA"/>
    <w:rsid w:val="005C27CC"/>
    <w:rsid w:val="005C370D"/>
    <w:rsid w:val="005C4B43"/>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D7E24"/>
    <w:rsid w:val="005E0B59"/>
    <w:rsid w:val="005E1105"/>
    <w:rsid w:val="005E162F"/>
    <w:rsid w:val="005E27C9"/>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A1"/>
    <w:rsid w:val="005F7E8E"/>
    <w:rsid w:val="006003E5"/>
    <w:rsid w:val="00600E63"/>
    <w:rsid w:val="00601561"/>
    <w:rsid w:val="00601E55"/>
    <w:rsid w:val="00602037"/>
    <w:rsid w:val="006029DD"/>
    <w:rsid w:val="00602C6A"/>
    <w:rsid w:val="006032F8"/>
    <w:rsid w:val="00603595"/>
    <w:rsid w:val="00603AF5"/>
    <w:rsid w:val="00606C66"/>
    <w:rsid w:val="00607117"/>
    <w:rsid w:val="00610145"/>
    <w:rsid w:val="00610D1F"/>
    <w:rsid w:val="006123C6"/>
    <w:rsid w:val="00612C02"/>
    <w:rsid w:val="00612CDD"/>
    <w:rsid w:val="00612ECB"/>
    <w:rsid w:val="0061562E"/>
    <w:rsid w:val="00616D41"/>
    <w:rsid w:val="00616E4A"/>
    <w:rsid w:val="00617292"/>
    <w:rsid w:val="006200A9"/>
    <w:rsid w:val="00620DC2"/>
    <w:rsid w:val="00622225"/>
    <w:rsid w:val="00622D03"/>
    <w:rsid w:val="00622DCD"/>
    <w:rsid w:val="00622F57"/>
    <w:rsid w:val="00623DD5"/>
    <w:rsid w:val="00624269"/>
    <w:rsid w:val="00624A34"/>
    <w:rsid w:val="0062568D"/>
    <w:rsid w:val="006256D3"/>
    <w:rsid w:val="00625E7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0EDC"/>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774"/>
    <w:rsid w:val="0065198B"/>
    <w:rsid w:val="006525AF"/>
    <w:rsid w:val="0065266A"/>
    <w:rsid w:val="0065314B"/>
    <w:rsid w:val="00653463"/>
    <w:rsid w:val="00653F9C"/>
    <w:rsid w:val="006550E5"/>
    <w:rsid w:val="00655470"/>
    <w:rsid w:val="00656FEE"/>
    <w:rsid w:val="0065758F"/>
    <w:rsid w:val="00660897"/>
    <w:rsid w:val="00661028"/>
    <w:rsid w:val="006617BD"/>
    <w:rsid w:val="0066194D"/>
    <w:rsid w:val="00664695"/>
    <w:rsid w:val="00664840"/>
    <w:rsid w:val="00664B44"/>
    <w:rsid w:val="006652BF"/>
    <w:rsid w:val="0066630C"/>
    <w:rsid w:val="00667B44"/>
    <w:rsid w:val="00667BBD"/>
    <w:rsid w:val="00671149"/>
    <w:rsid w:val="00671615"/>
    <w:rsid w:val="00671741"/>
    <w:rsid w:val="00671766"/>
    <w:rsid w:val="00672914"/>
    <w:rsid w:val="006729A8"/>
    <w:rsid w:val="00673D8C"/>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6E24"/>
    <w:rsid w:val="00687C0D"/>
    <w:rsid w:val="00691237"/>
    <w:rsid w:val="006920E6"/>
    <w:rsid w:val="00692555"/>
    <w:rsid w:val="00693B31"/>
    <w:rsid w:val="00696566"/>
    <w:rsid w:val="006966BA"/>
    <w:rsid w:val="0069722D"/>
    <w:rsid w:val="006A0052"/>
    <w:rsid w:val="006A0A9E"/>
    <w:rsid w:val="006A1F1C"/>
    <w:rsid w:val="006A2785"/>
    <w:rsid w:val="006A2FBF"/>
    <w:rsid w:val="006A3836"/>
    <w:rsid w:val="006A3DD3"/>
    <w:rsid w:val="006A4625"/>
    <w:rsid w:val="006A47AE"/>
    <w:rsid w:val="006A5B5E"/>
    <w:rsid w:val="006A67CB"/>
    <w:rsid w:val="006B0368"/>
    <w:rsid w:val="006B0F6E"/>
    <w:rsid w:val="006B1D7B"/>
    <w:rsid w:val="006B2477"/>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5D2"/>
    <w:rsid w:val="006D2AF3"/>
    <w:rsid w:val="006D30DE"/>
    <w:rsid w:val="006D35C9"/>
    <w:rsid w:val="006D4857"/>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14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07DDD"/>
    <w:rsid w:val="0071004F"/>
    <w:rsid w:val="00710A59"/>
    <w:rsid w:val="00710FDE"/>
    <w:rsid w:val="007116C7"/>
    <w:rsid w:val="00711C5A"/>
    <w:rsid w:val="00712B66"/>
    <w:rsid w:val="00713C31"/>
    <w:rsid w:val="0071428D"/>
    <w:rsid w:val="007144C9"/>
    <w:rsid w:val="00714B1C"/>
    <w:rsid w:val="00716B3C"/>
    <w:rsid w:val="007170C2"/>
    <w:rsid w:val="00717EE4"/>
    <w:rsid w:val="00717F2D"/>
    <w:rsid w:val="00720453"/>
    <w:rsid w:val="00720853"/>
    <w:rsid w:val="007210E6"/>
    <w:rsid w:val="00722129"/>
    <w:rsid w:val="00722DD7"/>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46AC"/>
    <w:rsid w:val="00745496"/>
    <w:rsid w:val="007460DA"/>
    <w:rsid w:val="0074705B"/>
    <w:rsid w:val="007470EC"/>
    <w:rsid w:val="0075020B"/>
    <w:rsid w:val="007505ED"/>
    <w:rsid w:val="00750F2B"/>
    <w:rsid w:val="00751017"/>
    <w:rsid w:val="00751960"/>
    <w:rsid w:val="007520BA"/>
    <w:rsid w:val="0075320C"/>
    <w:rsid w:val="00753513"/>
    <w:rsid w:val="007535C7"/>
    <w:rsid w:val="00756551"/>
    <w:rsid w:val="00757769"/>
    <w:rsid w:val="0076067E"/>
    <w:rsid w:val="00761BFD"/>
    <w:rsid w:val="00761D5C"/>
    <w:rsid w:val="00761FE5"/>
    <w:rsid w:val="00762476"/>
    <w:rsid w:val="00762A18"/>
    <w:rsid w:val="00763AE2"/>
    <w:rsid w:val="0076467D"/>
    <w:rsid w:val="00766214"/>
    <w:rsid w:val="00766D90"/>
    <w:rsid w:val="00767C19"/>
    <w:rsid w:val="00767D4E"/>
    <w:rsid w:val="00771049"/>
    <w:rsid w:val="00771067"/>
    <w:rsid w:val="007722ED"/>
    <w:rsid w:val="00772774"/>
    <w:rsid w:val="0077408B"/>
    <w:rsid w:val="00774AF6"/>
    <w:rsid w:val="00774EC8"/>
    <w:rsid w:val="00776781"/>
    <w:rsid w:val="007776CC"/>
    <w:rsid w:val="00777CE9"/>
    <w:rsid w:val="00780D05"/>
    <w:rsid w:val="00781479"/>
    <w:rsid w:val="00781FCD"/>
    <w:rsid w:val="00783C7B"/>
    <w:rsid w:val="00784B14"/>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794"/>
    <w:rsid w:val="007A0415"/>
    <w:rsid w:val="007A06BA"/>
    <w:rsid w:val="007A27BD"/>
    <w:rsid w:val="007A294A"/>
    <w:rsid w:val="007A2DD6"/>
    <w:rsid w:val="007A319D"/>
    <w:rsid w:val="007A4C96"/>
    <w:rsid w:val="007A4D32"/>
    <w:rsid w:val="007A51A6"/>
    <w:rsid w:val="007A523D"/>
    <w:rsid w:val="007A5629"/>
    <w:rsid w:val="007A56E5"/>
    <w:rsid w:val="007A60CA"/>
    <w:rsid w:val="007A6F0F"/>
    <w:rsid w:val="007A708C"/>
    <w:rsid w:val="007A75B5"/>
    <w:rsid w:val="007A7985"/>
    <w:rsid w:val="007A7ABE"/>
    <w:rsid w:val="007B03C5"/>
    <w:rsid w:val="007B0ED9"/>
    <w:rsid w:val="007B26E1"/>
    <w:rsid w:val="007B2BFF"/>
    <w:rsid w:val="007B3045"/>
    <w:rsid w:val="007B4C0F"/>
    <w:rsid w:val="007B5E25"/>
    <w:rsid w:val="007B69EE"/>
    <w:rsid w:val="007B6E0E"/>
    <w:rsid w:val="007C2192"/>
    <w:rsid w:val="007C27FB"/>
    <w:rsid w:val="007C2CBB"/>
    <w:rsid w:val="007C309C"/>
    <w:rsid w:val="007C4209"/>
    <w:rsid w:val="007C5EB9"/>
    <w:rsid w:val="007C6338"/>
    <w:rsid w:val="007C7449"/>
    <w:rsid w:val="007C760C"/>
    <w:rsid w:val="007C7EA5"/>
    <w:rsid w:val="007D0775"/>
    <w:rsid w:val="007D1A95"/>
    <w:rsid w:val="007D245E"/>
    <w:rsid w:val="007D3764"/>
    <w:rsid w:val="007D47E0"/>
    <w:rsid w:val="007D485A"/>
    <w:rsid w:val="007D54FF"/>
    <w:rsid w:val="007D57D4"/>
    <w:rsid w:val="007D6315"/>
    <w:rsid w:val="007D6514"/>
    <w:rsid w:val="007D724A"/>
    <w:rsid w:val="007D75A3"/>
    <w:rsid w:val="007E16E2"/>
    <w:rsid w:val="007E19FE"/>
    <w:rsid w:val="007E1AAC"/>
    <w:rsid w:val="007E3B9C"/>
    <w:rsid w:val="007E44B7"/>
    <w:rsid w:val="007E4A2F"/>
    <w:rsid w:val="007E5040"/>
    <w:rsid w:val="007E5C4A"/>
    <w:rsid w:val="007E6915"/>
    <w:rsid w:val="007E74CA"/>
    <w:rsid w:val="007E7AD3"/>
    <w:rsid w:val="007F0070"/>
    <w:rsid w:val="007F0441"/>
    <w:rsid w:val="007F0E99"/>
    <w:rsid w:val="007F13F7"/>
    <w:rsid w:val="007F19ED"/>
    <w:rsid w:val="007F20F1"/>
    <w:rsid w:val="007F4224"/>
    <w:rsid w:val="007F4DD2"/>
    <w:rsid w:val="007F4FB9"/>
    <w:rsid w:val="007F7022"/>
    <w:rsid w:val="007F7690"/>
    <w:rsid w:val="008008E5"/>
    <w:rsid w:val="008011CC"/>
    <w:rsid w:val="00801404"/>
    <w:rsid w:val="008017AA"/>
    <w:rsid w:val="00801CBA"/>
    <w:rsid w:val="00801D92"/>
    <w:rsid w:val="008028A2"/>
    <w:rsid w:val="00802C6E"/>
    <w:rsid w:val="00802CA7"/>
    <w:rsid w:val="00804BCF"/>
    <w:rsid w:val="00804FA4"/>
    <w:rsid w:val="00805275"/>
    <w:rsid w:val="008065FD"/>
    <w:rsid w:val="00806A62"/>
    <w:rsid w:val="00806E55"/>
    <w:rsid w:val="008075CE"/>
    <w:rsid w:val="0081036F"/>
    <w:rsid w:val="00810746"/>
    <w:rsid w:val="00812179"/>
    <w:rsid w:val="008124E2"/>
    <w:rsid w:val="00813928"/>
    <w:rsid w:val="00813DEF"/>
    <w:rsid w:val="00814907"/>
    <w:rsid w:val="00815321"/>
    <w:rsid w:val="008166DB"/>
    <w:rsid w:val="008173E0"/>
    <w:rsid w:val="008175C1"/>
    <w:rsid w:val="008200D4"/>
    <w:rsid w:val="00820370"/>
    <w:rsid w:val="00820CC6"/>
    <w:rsid w:val="00822C41"/>
    <w:rsid w:val="00825043"/>
    <w:rsid w:val="00825267"/>
    <w:rsid w:val="008264EC"/>
    <w:rsid w:val="008268BC"/>
    <w:rsid w:val="00827C0D"/>
    <w:rsid w:val="00830642"/>
    <w:rsid w:val="00831250"/>
    <w:rsid w:val="00831D8D"/>
    <w:rsid w:val="008333B7"/>
    <w:rsid w:val="008336EC"/>
    <w:rsid w:val="008337B9"/>
    <w:rsid w:val="00833CF9"/>
    <w:rsid w:val="00834D5A"/>
    <w:rsid w:val="00834FD2"/>
    <w:rsid w:val="00835084"/>
    <w:rsid w:val="00835184"/>
    <w:rsid w:val="00835569"/>
    <w:rsid w:val="00835802"/>
    <w:rsid w:val="00836295"/>
    <w:rsid w:val="00836535"/>
    <w:rsid w:val="008370EE"/>
    <w:rsid w:val="0084093F"/>
    <w:rsid w:val="0084098A"/>
    <w:rsid w:val="00840DB0"/>
    <w:rsid w:val="00840EDE"/>
    <w:rsid w:val="008418A5"/>
    <w:rsid w:val="00843548"/>
    <w:rsid w:val="0084383C"/>
    <w:rsid w:val="00843B80"/>
    <w:rsid w:val="00843CC0"/>
    <w:rsid w:val="00844ADD"/>
    <w:rsid w:val="0084534E"/>
    <w:rsid w:val="00845CAD"/>
    <w:rsid w:val="00846062"/>
    <w:rsid w:val="008474C1"/>
    <w:rsid w:val="00847C1C"/>
    <w:rsid w:val="0085055E"/>
    <w:rsid w:val="00850C3B"/>
    <w:rsid w:val="00851605"/>
    <w:rsid w:val="00851C48"/>
    <w:rsid w:val="00852CA0"/>
    <w:rsid w:val="00852D85"/>
    <w:rsid w:val="00852F6C"/>
    <w:rsid w:val="0085465C"/>
    <w:rsid w:val="00854967"/>
    <w:rsid w:val="0085540B"/>
    <w:rsid w:val="00855511"/>
    <w:rsid w:val="0085582C"/>
    <w:rsid w:val="00855FD3"/>
    <w:rsid w:val="00856526"/>
    <w:rsid w:val="00857086"/>
    <w:rsid w:val="00857572"/>
    <w:rsid w:val="00860F4D"/>
    <w:rsid w:val="008611DE"/>
    <w:rsid w:val="00861375"/>
    <w:rsid w:val="00861C56"/>
    <w:rsid w:val="00861F29"/>
    <w:rsid w:val="008620A2"/>
    <w:rsid w:val="00862741"/>
    <w:rsid w:val="00862BBD"/>
    <w:rsid w:val="00863C9F"/>
    <w:rsid w:val="00863FAD"/>
    <w:rsid w:val="00864378"/>
    <w:rsid w:val="008645D6"/>
    <w:rsid w:val="0086552B"/>
    <w:rsid w:val="008655A2"/>
    <w:rsid w:val="0086584F"/>
    <w:rsid w:val="00865D7A"/>
    <w:rsid w:val="008671C7"/>
    <w:rsid w:val="00867EB8"/>
    <w:rsid w:val="00870335"/>
    <w:rsid w:val="00870AA2"/>
    <w:rsid w:val="00873D88"/>
    <w:rsid w:val="0087433B"/>
    <w:rsid w:val="008744DC"/>
    <w:rsid w:val="0087473B"/>
    <w:rsid w:val="00874B34"/>
    <w:rsid w:val="00875287"/>
    <w:rsid w:val="0087621E"/>
    <w:rsid w:val="008767B2"/>
    <w:rsid w:val="00877328"/>
    <w:rsid w:val="0087787A"/>
    <w:rsid w:val="0088018E"/>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64FB"/>
    <w:rsid w:val="008A7C40"/>
    <w:rsid w:val="008B16DE"/>
    <w:rsid w:val="008B251F"/>
    <w:rsid w:val="008B2602"/>
    <w:rsid w:val="008B2727"/>
    <w:rsid w:val="008B316B"/>
    <w:rsid w:val="008B5059"/>
    <w:rsid w:val="008B5239"/>
    <w:rsid w:val="008B5BF2"/>
    <w:rsid w:val="008B6934"/>
    <w:rsid w:val="008B6CF8"/>
    <w:rsid w:val="008B72F6"/>
    <w:rsid w:val="008C05E8"/>
    <w:rsid w:val="008C119E"/>
    <w:rsid w:val="008C1E24"/>
    <w:rsid w:val="008C1FBC"/>
    <w:rsid w:val="008C296B"/>
    <w:rsid w:val="008C2A46"/>
    <w:rsid w:val="008C321B"/>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5FC6"/>
    <w:rsid w:val="008E7209"/>
    <w:rsid w:val="008E7448"/>
    <w:rsid w:val="008F11BB"/>
    <w:rsid w:val="008F16FF"/>
    <w:rsid w:val="008F182F"/>
    <w:rsid w:val="008F1E95"/>
    <w:rsid w:val="008F208B"/>
    <w:rsid w:val="008F2304"/>
    <w:rsid w:val="008F57DD"/>
    <w:rsid w:val="008F5AEE"/>
    <w:rsid w:val="008F6EAA"/>
    <w:rsid w:val="008F7800"/>
    <w:rsid w:val="008F7BCA"/>
    <w:rsid w:val="00900F4D"/>
    <w:rsid w:val="0090167B"/>
    <w:rsid w:val="00902DEC"/>
    <w:rsid w:val="0090342E"/>
    <w:rsid w:val="00903D3A"/>
    <w:rsid w:val="009041CB"/>
    <w:rsid w:val="009044B9"/>
    <w:rsid w:val="009047B1"/>
    <w:rsid w:val="00904C86"/>
    <w:rsid w:val="00905F32"/>
    <w:rsid w:val="0090680D"/>
    <w:rsid w:val="00907B15"/>
    <w:rsid w:val="0091010C"/>
    <w:rsid w:val="0091045D"/>
    <w:rsid w:val="00910647"/>
    <w:rsid w:val="00910E4C"/>
    <w:rsid w:val="0091281A"/>
    <w:rsid w:val="00912B24"/>
    <w:rsid w:val="009139B5"/>
    <w:rsid w:val="00914190"/>
    <w:rsid w:val="00914514"/>
    <w:rsid w:val="00914549"/>
    <w:rsid w:val="00914C08"/>
    <w:rsid w:val="00914F2F"/>
    <w:rsid w:val="00916057"/>
    <w:rsid w:val="00916AD1"/>
    <w:rsid w:val="00916DBF"/>
    <w:rsid w:val="00917637"/>
    <w:rsid w:val="00917FEE"/>
    <w:rsid w:val="0092023D"/>
    <w:rsid w:val="00920472"/>
    <w:rsid w:val="00921251"/>
    <w:rsid w:val="00921861"/>
    <w:rsid w:val="0092189E"/>
    <w:rsid w:val="009219FD"/>
    <w:rsid w:val="00921DF7"/>
    <w:rsid w:val="00923810"/>
    <w:rsid w:val="00923DB3"/>
    <w:rsid w:val="009245F7"/>
    <w:rsid w:val="009257B0"/>
    <w:rsid w:val="009258BD"/>
    <w:rsid w:val="00925DEB"/>
    <w:rsid w:val="009263C0"/>
    <w:rsid w:val="00926FEC"/>
    <w:rsid w:val="009302D4"/>
    <w:rsid w:val="009307F2"/>
    <w:rsid w:val="00930CEC"/>
    <w:rsid w:val="00930F4A"/>
    <w:rsid w:val="0093375E"/>
    <w:rsid w:val="00933BEF"/>
    <w:rsid w:val="00933F07"/>
    <w:rsid w:val="00934BD5"/>
    <w:rsid w:val="0093787E"/>
    <w:rsid w:val="009412CC"/>
    <w:rsid w:val="0094388B"/>
    <w:rsid w:val="00943D09"/>
    <w:rsid w:val="00944826"/>
    <w:rsid w:val="009457A1"/>
    <w:rsid w:val="00945E75"/>
    <w:rsid w:val="00947C5D"/>
    <w:rsid w:val="00947CA9"/>
    <w:rsid w:val="00950478"/>
    <w:rsid w:val="009507B0"/>
    <w:rsid w:val="00950888"/>
    <w:rsid w:val="00950AF9"/>
    <w:rsid w:val="00950B5F"/>
    <w:rsid w:val="00950D35"/>
    <w:rsid w:val="0095144C"/>
    <w:rsid w:val="0095165B"/>
    <w:rsid w:val="00951B17"/>
    <w:rsid w:val="00951B8D"/>
    <w:rsid w:val="009536A8"/>
    <w:rsid w:val="00954596"/>
    <w:rsid w:val="00954A56"/>
    <w:rsid w:val="00955851"/>
    <w:rsid w:val="00955ECD"/>
    <w:rsid w:val="009578B9"/>
    <w:rsid w:val="00957E23"/>
    <w:rsid w:val="00961487"/>
    <w:rsid w:val="0096153A"/>
    <w:rsid w:val="00961A48"/>
    <w:rsid w:val="00961BA7"/>
    <w:rsid w:val="00961F01"/>
    <w:rsid w:val="00962162"/>
    <w:rsid w:val="009623BC"/>
    <w:rsid w:val="009624CD"/>
    <w:rsid w:val="009628BE"/>
    <w:rsid w:val="009631C8"/>
    <w:rsid w:val="00963AE4"/>
    <w:rsid w:val="00963C14"/>
    <w:rsid w:val="0096417B"/>
    <w:rsid w:val="009645CD"/>
    <w:rsid w:val="00965940"/>
    <w:rsid w:val="00965A4E"/>
    <w:rsid w:val="00966BE5"/>
    <w:rsid w:val="00966EB0"/>
    <w:rsid w:val="00971116"/>
    <w:rsid w:val="00972E28"/>
    <w:rsid w:val="00973030"/>
    <w:rsid w:val="009733F3"/>
    <w:rsid w:val="009746BE"/>
    <w:rsid w:val="009748E4"/>
    <w:rsid w:val="00975EC7"/>
    <w:rsid w:val="00976D65"/>
    <w:rsid w:val="00977CE6"/>
    <w:rsid w:val="009803A8"/>
    <w:rsid w:val="009807AC"/>
    <w:rsid w:val="00980C18"/>
    <w:rsid w:val="009810E9"/>
    <w:rsid w:val="0098141C"/>
    <w:rsid w:val="00981AA9"/>
    <w:rsid w:val="00981B9A"/>
    <w:rsid w:val="00981C91"/>
    <w:rsid w:val="00981D14"/>
    <w:rsid w:val="00983132"/>
    <w:rsid w:val="00983314"/>
    <w:rsid w:val="00983DF2"/>
    <w:rsid w:val="0098433A"/>
    <w:rsid w:val="00984CED"/>
    <w:rsid w:val="00985118"/>
    <w:rsid w:val="00985675"/>
    <w:rsid w:val="00985939"/>
    <w:rsid w:val="00985997"/>
    <w:rsid w:val="0098637F"/>
    <w:rsid w:val="00986A9B"/>
    <w:rsid w:val="00986B9C"/>
    <w:rsid w:val="00987BAB"/>
    <w:rsid w:val="009906BF"/>
    <w:rsid w:val="009913F3"/>
    <w:rsid w:val="00991DA1"/>
    <w:rsid w:val="009927F1"/>
    <w:rsid w:val="00992FF5"/>
    <w:rsid w:val="009933B9"/>
    <w:rsid w:val="009936C4"/>
    <w:rsid w:val="009948ED"/>
    <w:rsid w:val="00995ADA"/>
    <w:rsid w:val="0099643A"/>
    <w:rsid w:val="0099709D"/>
    <w:rsid w:val="00997959"/>
    <w:rsid w:val="009A05CF"/>
    <w:rsid w:val="009A0BAF"/>
    <w:rsid w:val="009A1431"/>
    <w:rsid w:val="009A153D"/>
    <w:rsid w:val="009A1634"/>
    <w:rsid w:val="009A2504"/>
    <w:rsid w:val="009A3A34"/>
    <w:rsid w:val="009A3FE2"/>
    <w:rsid w:val="009A400C"/>
    <w:rsid w:val="009A4B2C"/>
    <w:rsid w:val="009A5592"/>
    <w:rsid w:val="009A59BA"/>
    <w:rsid w:val="009A6417"/>
    <w:rsid w:val="009A6C70"/>
    <w:rsid w:val="009A6DF7"/>
    <w:rsid w:val="009A71F9"/>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05E"/>
    <w:rsid w:val="009C3721"/>
    <w:rsid w:val="009C4141"/>
    <w:rsid w:val="009C4B55"/>
    <w:rsid w:val="009C4CC8"/>
    <w:rsid w:val="009C5FCC"/>
    <w:rsid w:val="009C61A2"/>
    <w:rsid w:val="009C6DF6"/>
    <w:rsid w:val="009C6E92"/>
    <w:rsid w:val="009C7DDC"/>
    <w:rsid w:val="009D04F7"/>
    <w:rsid w:val="009D1589"/>
    <w:rsid w:val="009D2003"/>
    <w:rsid w:val="009D38C2"/>
    <w:rsid w:val="009D405B"/>
    <w:rsid w:val="009D417F"/>
    <w:rsid w:val="009D45A0"/>
    <w:rsid w:val="009D45E5"/>
    <w:rsid w:val="009D4AF7"/>
    <w:rsid w:val="009D4B85"/>
    <w:rsid w:val="009D52CA"/>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514"/>
    <w:rsid w:val="00A01607"/>
    <w:rsid w:val="00A018D4"/>
    <w:rsid w:val="00A01D67"/>
    <w:rsid w:val="00A02F9D"/>
    <w:rsid w:val="00A03767"/>
    <w:rsid w:val="00A04834"/>
    <w:rsid w:val="00A05628"/>
    <w:rsid w:val="00A07DCF"/>
    <w:rsid w:val="00A12979"/>
    <w:rsid w:val="00A131A9"/>
    <w:rsid w:val="00A13290"/>
    <w:rsid w:val="00A14965"/>
    <w:rsid w:val="00A1496E"/>
    <w:rsid w:val="00A14F84"/>
    <w:rsid w:val="00A16D6D"/>
    <w:rsid w:val="00A17C75"/>
    <w:rsid w:val="00A20E13"/>
    <w:rsid w:val="00A211C8"/>
    <w:rsid w:val="00A2121E"/>
    <w:rsid w:val="00A21EAC"/>
    <w:rsid w:val="00A221DE"/>
    <w:rsid w:val="00A22CB2"/>
    <w:rsid w:val="00A23138"/>
    <w:rsid w:val="00A23940"/>
    <w:rsid w:val="00A2394A"/>
    <w:rsid w:val="00A23ECC"/>
    <w:rsid w:val="00A24CD3"/>
    <w:rsid w:val="00A25461"/>
    <w:rsid w:val="00A26367"/>
    <w:rsid w:val="00A2678A"/>
    <w:rsid w:val="00A268B1"/>
    <w:rsid w:val="00A269E1"/>
    <w:rsid w:val="00A27072"/>
    <w:rsid w:val="00A27C1C"/>
    <w:rsid w:val="00A30D54"/>
    <w:rsid w:val="00A30F6A"/>
    <w:rsid w:val="00A32AEA"/>
    <w:rsid w:val="00A32F32"/>
    <w:rsid w:val="00A33E80"/>
    <w:rsid w:val="00A33EFE"/>
    <w:rsid w:val="00A3582C"/>
    <w:rsid w:val="00A37CF5"/>
    <w:rsid w:val="00A4148D"/>
    <w:rsid w:val="00A44837"/>
    <w:rsid w:val="00A44D0E"/>
    <w:rsid w:val="00A44D6F"/>
    <w:rsid w:val="00A4621D"/>
    <w:rsid w:val="00A509FB"/>
    <w:rsid w:val="00A51C19"/>
    <w:rsid w:val="00A51E04"/>
    <w:rsid w:val="00A522B5"/>
    <w:rsid w:val="00A52C31"/>
    <w:rsid w:val="00A52F37"/>
    <w:rsid w:val="00A533C5"/>
    <w:rsid w:val="00A5388C"/>
    <w:rsid w:val="00A5397B"/>
    <w:rsid w:val="00A53BE1"/>
    <w:rsid w:val="00A54644"/>
    <w:rsid w:val="00A55125"/>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790"/>
    <w:rsid w:val="00A67B0E"/>
    <w:rsid w:val="00A70048"/>
    <w:rsid w:val="00A718EF"/>
    <w:rsid w:val="00A71C43"/>
    <w:rsid w:val="00A72134"/>
    <w:rsid w:val="00A726A8"/>
    <w:rsid w:val="00A72951"/>
    <w:rsid w:val="00A72C9A"/>
    <w:rsid w:val="00A73505"/>
    <w:rsid w:val="00A75157"/>
    <w:rsid w:val="00A75E02"/>
    <w:rsid w:val="00A76AF5"/>
    <w:rsid w:val="00A76E79"/>
    <w:rsid w:val="00A7771B"/>
    <w:rsid w:val="00A77B53"/>
    <w:rsid w:val="00A811F1"/>
    <w:rsid w:val="00A8124C"/>
    <w:rsid w:val="00A82887"/>
    <w:rsid w:val="00A83010"/>
    <w:rsid w:val="00A830B6"/>
    <w:rsid w:val="00A83BF5"/>
    <w:rsid w:val="00A84CD1"/>
    <w:rsid w:val="00A85BC0"/>
    <w:rsid w:val="00A85E2E"/>
    <w:rsid w:val="00A861F3"/>
    <w:rsid w:val="00A8728F"/>
    <w:rsid w:val="00A8756A"/>
    <w:rsid w:val="00A87923"/>
    <w:rsid w:val="00A87F7D"/>
    <w:rsid w:val="00A906B7"/>
    <w:rsid w:val="00A9070E"/>
    <w:rsid w:val="00A9121B"/>
    <w:rsid w:val="00A92677"/>
    <w:rsid w:val="00A92DD4"/>
    <w:rsid w:val="00A94D0F"/>
    <w:rsid w:val="00A94F13"/>
    <w:rsid w:val="00A9568C"/>
    <w:rsid w:val="00A959C1"/>
    <w:rsid w:val="00A95BED"/>
    <w:rsid w:val="00A95EA2"/>
    <w:rsid w:val="00A96DC6"/>
    <w:rsid w:val="00A9787E"/>
    <w:rsid w:val="00A97AF9"/>
    <w:rsid w:val="00AA078C"/>
    <w:rsid w:val="00AA08E8"/>
    <w:rsid w:val="00AA0DB4"/>
    <w:rsid w:val="00AA0E9C"/>
    <w:rsid w:val="00AA11C5"/>
    <w:rsid w:val="00AA17E2"/>
    <w:rsid w:val="00AA21B7"/>
    <w:rsid w:val="00AA3827"/>
    <w:rsid w:val="00AA382D"/>
    <w:rsid w:val="00AA4A2C"/>
    <w:rsid w:val="00AA59A6"/>
    <w:rsid w:val="00AA6299"/>
    <w:rsid w:val="00AA6E05"/>
    <w:rsid w:val="00AB0262"/>
    <w:rsid w:val="00AB1035"/>
    <w:rsid w:val="00AB14A1"/>
    <w:rsid w:val="00AB202A"/>
    <w:rsid w:val="00AB5554"/>
    <w:rsid w:val="00AB5555"/>
    <w:rsid w:val="00AB55AD"/>
    <w:rsid w:val="00AB5D1B"/>
    <w:rsid w:val="00AB612C"/>
    <w:rsid w:val="00AB6901"/>
    <w:rsid w:val="00AB6918"/>
    <w:rsid w:val="00AB6B40"/>
    <w:rsid w:val="00AB740A"/>
    <w:rsid w:val="00AB7A78"/>
    <w:rsid w:val="00AC1DA5"/>
    <w:rsid w:val="00AC216B"/>
    <w:rsid w:val="00AC26B1"/>
    <w:rsid w:val="00AC2E0E"/>
    <w:rsid w:val="00AC37A9"/>
    <w:rsid w:val="00AC42B8"/>
    <w:rsid w:val="00AC45C5"/>
    <w:rsid w:val="00AC4791"/>
    <w:rsid w:val="00AC4FB6"/>
    <w:rsid w:val="00AC4FD1"/>
    <w:rsid w:val="00AC5FEF"/>
    <w:rsid w:val="00AC6036"/>
    <w:rsid w:val="00AC6696"/>
    <w:rsid w:val="00AC73D6"/>
    <w:rsid w:val="00AC76F9"/>
    <w:rsid w:val="00AD0328"/>
    <w:rsid w:val="00AD11DC"/>
    <w:rsid w:val="00AD1966"/>
    <w:rsid w:val="00AD19E8"/>
    <w:rsid w:val="00AD2B03"/>
    <w:rsid w:val="00AD2E07"/>
    <w:rsid w:val="00AD322B"/>
    <w:rsid w:val="00AD3707"/>
    <w:rsid w:val="00AD38A9"/>
    <w:rsid w:val="00AD4071"/>
    <w:rsid w:val="00AD44EA"/>
    <w:rsid w:val="00AD4782"/>
    <w:rsid w:val="00AD5236"/>
    <w:rsid w:val="00AD527D"/>
    <w:rsid w:val="00AD54E0"/>
    <w:rsid w:val="00AD6C0F"/>
    <w:rsid w:val="00AD758E"/>
    <w:rsid w:val="00AD7AB5"/>
    <w:rsid w:val="00AE08B7"/>
    <w:rsid w:val="00AE0DBA"/>
    <w:rsid w:val="00AE160F"/>
    <w:rsid w:val="00AE1E25"/>
    <w:rsid w:val="00AE21DC"/>
    <w:rsid w:val="00AE239B"/>
    <w:rsid w:val="00AE25D2"/>
    <w:rsid w:val="00AE2B47"/>
    <w:rsid w:val="00AE2CAD"/>
    <w:rsid w:val="00AE3090"/>
    <w:rsid w:val="00AE380E"/>
    <w:rsid w:val="00AE3AAD"/>
    <w:rsid w:val="00AE4189"/>
    <w:rsid w:val="00AE503A"/>
    <w:rsid w:val="00AE5B86"/>
    <w:rsid w:val="00AE68E2"/>
    <w:rsid w:val="00AF0157"/>
    <w:rsid w:val="00AF2EC7"/>
    <w:rsid w:val="00AF3876"/>
    <w:rsid w:val="00AF3AC0"/>
    <w:rsid w:val="00AF4F4A"/>
    <w:rsid w:val="00AF5ABB"/>
    <w:rsid w:val="00AF699C"/>
    <w:rsid w:val="00B00C24"/>
    <w:rsid w:val="00B00F93"/>
    <w:rsid w:val="00B01566"/>
    <w:rsid w:val="00B01BBE"/>
    <w:rsid w:val="00B03F92"/>
    <w:rsid w:val="00B05473"/>
    <w:rsid w:val="00B055D8"/>
    <w:rsid w:val="00B05D21"/>
    <w:rsid w:val="00B06CD6"/>
    <w:rsid w:val="00B06EBC"/>
    <w:rsid w:val="00B11D2D"/>
    <w:rsid w:val="00B123F0"/>
    <w:rsid w:val="00B12891"/>
    <w:rsid w:val="00B146C1"/>
    <w:rsid w:val="00B146E7"/>
    <w:rsid w:val="00B156DF"/>
    <w:rsid w:val="00B15A22"/>
    <w:rsid w:val="00B15ABB"/>
    <w:rsid w:val="00B16973"/>
    <w:rsid w:val="00B2036A"/>
    <w:rsid w:val="00B21057"/>
    <w:rsid w:val="00B2202B"/>
    <w:rsid w:val="00B23422"/>
    <w:rsid w:val="00B24948"/>
    <w:rsid w:val="00B24CBD"/>
    <w:rsid w:val="00B25CA3"/>
    <w:rsid w:val="00B26699"/>
    <w:rsid w:val="00B268DF"/>
    <w:rsid w:val="00B30028"/>
    <w:rsid w:val="00B31E8D"/>
    <w:rsid w:val="00B3313B"/>
    <w:rsid w:val="00B331E8"/>
    <w:rsid w:val="00B331EA"/>
    <w:rsid w:val="00B33DD1"/>
    <w:rsid w:val="00B34732"/>
    <w:rsid w:val="00B350B5"/>
    <w:rsid w:val="00B353B8"/>
    <w:rsid w:val="00B35C56"/>
    <w:rsid w:val="00B3678C"/>
    <w:rsid w:val="00B36B56"/>
    <w:rsid w:val="00B36F17"/>
    <w:rsid w:val="00B372ED"/>
    <w:rsid w:val="00B40603"/>
    <w:rsid w:val="00B40AF6"/>
    <w:rsid w:val="00B41071"/>
    <w:rsid w:val="00B425C0"/>
    <w:rsid w:val="00B42DB6"/>
    <w:rsid w:val="00B43A55"/>
    <w:rsid w:val="00B45EBB"/>
    <w:rsid w:val="00B46957"/>
    <w:rsid w:val="00B47B54"/>
    <w:rsid w:val="00B50E99"/>
    <w:rsid w:val="00B51926"/>
    <w:rsid w:val="00B51F9A"/>
    <w:rsid w:val="00B54DA7"/>
    <w:rsid w:val="00B54FC3"/>
    <w:rsid w:val="00B57158"/>
    <w:rsid w:val="00B600C6"/>
    <w:rsid w:val="00B60167"/>
    <w:rsid w:val="00B60FC0"/>
    <w:rsid w:val="00B61665"/>
    <w:rsid w:val="00B63528"/>
    <w:rsid w:val="00B63DAF"/>
    <w:rsid w:val="00B63E98"/>
    <w:rsid w:val="00B65754"/>
    <w:rsid w:val="00B661AA"/>
    <w:rsid w:val="00B66242"/>
    <w:rsid w:val="00B6651C"/>
    <w:rsid w:val="00B670D3"/>
    <w:rsid w:val="00B67958"/>
    <w:rsid w:val="00B701D1"/>
    <w:rsid w:val="00B716BB"/>
    <w:rsid w:val="00B716FD"/>
    <w:rsid w:val="00B7288D"/>
    <w:rsid w:val="00B734C2"/>
    <w:rsid w:val="00B73BDA"/>
    <w:rsid w:val="00B74053"/>
    <w:rsid w:val="00B76560"/>
    <w:rsid w:val="00B765A0"/>
    <w:rsid w:val="00B76C02"/>
    <w:rsid w:val="00B77BD2"/>
    <w:rsid w:val="00B811EC"/>
    <w:rsid w:val="00B814CB"/>
    <w:rsid w:val="00B81B6A"/>
    <w:rsid w:val="00B820F4"/>
    <w:rsid w:val="00B83238"/>
    <w:rsid w:val="00B835E0"/>
    <w:rsid w:val="00B8396D"/>
    <w:rsid w:val="00B850F6"/>
    <w:rsid w:val="00B85D92"/>
    <w:rsid w:val="00B868F4"/>
    <w:rsid w:val="00B90331"/>
    <w:rsid w:val="00B903ED"/>
    <w:rsid w:val="00B90B2D"/>
    <w:rsid w:val="00B919E9"/>
    <w:rsid w:val="00B935A1"/>
    <w:rsid w:val="00B95DAD"/>
    <w:rsid w:val="00B96C0C"/>
    <w:rsid w:val="00B9734D"/>
    <w:rsid w:val="00B97732"/>
    <w:rsid w:val="00BA27F4"/>
    <w:rsid w:val="00BA2E40"/>
    <w:rsid w:val="00BA342F"/>
    <w:rsid w:val="00BA3CB7"/>
    <w:rsid w:val="00BA41DE"/>
    <w:rsid w:val="00BA556C"/>
    <w:rsid w:val="00BA77E9"/>
    <w:rsid w:val="00BB0CC5"/>
    <w:rsid w:val="00BB0F31"/>
    <w:rsid w:val="00BB15AB"/>
    <w:rsid w:val="00BB189B"/>
    <w:rsid w:val="00BB1D21"/>
    <w:rsid w:val="00BB2E51"/>
    <w:rsid w:val="00BB4325"/>
    <w:rsid w:val="00BB4BEA"/>
    <w:rsid w:val="00BB4C1A"/>
    <w:rsid w:val="00BB50AB"/>
    <w:rsid w:val="00BB6664"/>
    <w:rsid w:val="00BC01FC"/>
    <w:rsid w:val="00BC1F79"/>
    <w:rsid w:val="00BC2201"/>
    <w:rsid w:val="00BC26B5"/>
    <w:rsid w:val="00BC2F70"/>
    <w:rsid w:val="00BC3C7A"/>
    <w:rsid w:val="00BC7DC6"/>
    <w:rsid w:val="00BC7EAA"/>
    <w:rsid w:val="00BD1039"/>
    <w:rsid w:val="00BD13B5"/>
    <w:rsid w:val="00BD2EFC"/>
    <w:rsid w:val="00BD340E"/>
    <w:rsid w:val="00BD60AD"/>
    <w:rsid w:val="00BD6955"/>
    <w:rsid w:val="00BD6C02"/>
    <w:rsid w:val="00BD73BB"/>
    <w:rsid w:val="00BE0124"/>
    <w:rsid w:val="00BE1244"/>
    <w:rsid w:val="00BE165D"/>
    <w:rsid w:val="00BE2394"/>
    <w:rsid w:val="00BE2702"/>
    <w:rsid w:val="00BE4326"/>
    <w:rsid w:val="00BE5F4F"/>
    <w:rsid w:val="00BE60DB"/>
    <w:rsid w:val="00BF0191"/>
    <w:rsid w:val="00BF13EC"/>
    <w:rsid w:val="00BF1C07"/>
    <w:rsid w:val="00BF203D"/>
    <w:rsid w:val="00BF2582"/>
    <w:rsid w:val="00BF2C09"/>
    <w:rsid w:val="00BF3DEE"/>
    <w:rsid w:val="00BF44EA"/>
    <w:rsid w:val="00BF4ED1"/>
    <w:rsid w:val="00BF54AC"/>
    <w:rsid w:val="00BF54BD"/>
    <w:rsid w:val="00BF5F04"/>
    <w:rsid w:val="00BF6B8E"/>
    <w:rsid w:val="00C025A5"/>
    <w:rsid w:val="00C0261B"/>
    <w:rsid w:val="00C03C78"/>
    <w:rsid w:val="00C04FD3"/>
    <w:rsid w:val="00C065A2"/>
    <w:rsid w:val="00C07919"/>
    <w:rsid w:val="00C103F9"/>
    <w:rsid w:val="00C104AC"/>
    <w:rsid w:val="00C10CEF"/>
    <w:rsid w:val="00C110E1"/>
    <w:rsid w:val="00C1198F"/>
    <w:rsid w:val="00C11FA1"/>
    <w:rsid w:val="00C125BC"/>
    <w:rsid w:val="00C12E21"/>
    <w:rsid w:val="00C12E65"/>
    <w:rsid w:val="00C13C20"/>
    <w:rsid w:val="00C13F33"/>
    <w:rsid w:val="00C13F74"/>
    <w:rsid w:val="00C146D3"/>
    <w:rsid w:val="00C1651B"/>
    <w:rsid w:val="00C16BE0"/>
    <w:rsid w:val="00C21C39"/>
    <w:rsid w:val="00C2325C"/>
    <w:rsid w:val="00C239ED"/>
    <w:rsid w:val="00C24D9D"/>
    <w:rsid w:val="00C25CF3"/>
    <w:rsid w:val="00C263E9"/>
    <w:rsid w:val="00C2775A"/>
    <w:rsid w:val="00C3063A"/>
    <w:rsid w:val="00C30BAD"/>
    <w:rsid w:val="00C31E8F"/>
    <w:rsid w:val="00C335DA"/>
    <w:rsid w:val="00C33D3E"/>
    <w:rsid w:val="00C33F1A"/>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C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963"/>
    <w:rsid w:val="00C55A32"/>
    <w:rsid w:val="00C564F2"/>
    <w:rsid w:val="00C56F11"/>
    <w:rsid w:val="00C61F3A"/>
    <w:rsid w:val="00C629CB"/>
    <w:rsid w:val="00C62B75"/>
    <w:rsid w:val="00C63363"/>
    <w:rsid w:val="00C657B5"/>
    <w:rsid w:val="00C661E1"/>
    <w:rsid w:val="00C662B9"/>
    <w:rsid w:val="00C66686"/>
    <w:rsid w:val="00C678C4"/>
    <w:rsid w:val="00C67FAD"/>
    <w:rsid w:val="00C71215"/>
    <w:rsid w:val="00C7216B"/>
    <w:rsid w:val="00C727BE"/>
    <w:rsid w:val="00C732A9"/>
    <w:rsid w:val="00C73448"/>
    <w:rsid w:val="00C735C3"/>
    <w:rsid w:val="00C73E2E"/>
    <w:rsid w:val="00C74546"/>
    <w:rsid w:val="00C748E2"/>
    <w:rsid w:val="00C7776C"/>
    <w:rsid w:val="00C8398D"/>
    <w:rsid w:val="00C84BC2"/>
    <w:rsid w:val="00C85139"/>
    <w:rsid w:val="00C8518C"/>
    <w:rsid w:val="00C85657"/>
    <w:rsid w:val="00C91C88"/>
    <w:rsid w:val="00C9291D"/>
    <w:rsid w:val="00C9331E"/>
    <w:rsid w:val="00C939C3"/>
    <w:rsid w:val="00C94228"/>
    <w:rsid w:val="00C96D56"/>
    <w:rsid w:val="00C977E6"/>
    <w:rsid w:val="00CA0020"/>
    <w:rsid w:val="00CA0B2E"/>
    <w:rsid w:val="00CA18CA"/>
    <w:rsid w:val="00CA2557"/>
    <w:rsid w:val="00CA3537"/>
    <w:rsid w:val="00CA4FD8"/>
    <w:rsid w:val="00CA5413"/>
    <w:rsid w:val="00CA5674"/>
    <w:rsid w:val="00CA5BDA"/>
    <w:rsid w:val="00CA5C1A"/>
    <w:rsid w:val="00CA5D7F"/>
    <w:rsid w:val="00CA633F"/>
    <w:rsid w:val="00CA641E"/>
    <w:rsid w:val="00CA7558"/>
    <w:rsid w:val="00CA785F"/>
    <w:rsid w:val="00CA787D"/>
    <w:rsid w:val="00CA792A"/>
    <w:rsid w:val="00CA7949"/>
    <w:rsid w:val="00CB0546"/>
    <w:rsid w:val="00CB0C6E"/>
    <w:rsid w:val="00CB0C89"/>
    <w:rsid w:val="00CB226B"/>
    <w:rsid w:val="00CB229B"/>
    <w:rsid w:val="00CB33B4"/>
    <w:rsid w:val="00CB3D93"/>
    <w:rsid w:val="00CB405F"/>
    <w:rsid w:val="00CB4441"/>
    <w:rsid w:val="00CB4913"/>
    <w:rsid w:val="00CB4B1A"/>
    <w:rsid w:val="00CB4E1F"/>
    <w:rsid w:val="00CB5EBA"/>
    <w:rsid w:val="00CC152E"/>
    <w:rsid w:val="00CC2493"/>
    <w:rsid w:val="00CC3222"/>
    <w:rsid w:val="00CC3344"/>
    <w:rsid w:val="00CC35F1"/>
    <w:rsid w:val="00CC35FF"/>
    <w:rsid w:val="00CC49D5"/>
    <w:rsid w:val="00CC4A0F"/>
    <w:rsid w:val="00CC6826"/>
    <w:rsid w:val="00CD0E6E"/>
    <w:rsid w:val="00CD113E"/>
    <w:rsid w:val="00CD23AE"/>
    <w:rsid w:val="00CD27DF"/>
    <w:rsid w:val="00CD2D8A"/>
    <w:rsid w:val="00CD3BAC"/>
    <w:rsid w:val="00CD3FF2"/>
    <w:rsid w:val="00CD4A65"/>
    <w:rsid w:val="00CD531F"/>
    <w:rsid w:val="00CD6FA3"/>
    <w:rsid w:val="00CE2184"/>
    <w:rsid w:val="00CE289F"/>
    <w:rsid w:val="00CE36A9"/>
    <w:rsid w:val="00CE3B7F"/>
    <w:rsid w:val="00CE3FA2"/>
    <w:rsid w:val="00CE41A0"/>
    <w:rsid w:val="00CE4958"/>
    <w:rsid w:val="00CE4C8C"/>
    <w:rsid w:val="00CE68E2"/>
    <w:rsid w:val="00CE706E"/>
    <w:rsid w:val="00CE70B1"/>
    <w:rsid w:val="00CE7AE4"/>
    <w:rsid w:val="00CF0A4C"/>
    <w:rsid w:val="00CF0BA0"/>
    <w:rsid w:val="00CF150A"/>
    <w:rsid w:val="00CF2225"/>
    <w:rsid w:val="00CF25E7"/>
    <w:rsid w:val="00CF3C77"/>
    <w:rsid w:val="00CF45A2"/>
    <w:rsid w:val="00CF4803"/>
    <w:rsid w:val="00CF52E7"/>
    <w:rsid w:val="00CF5CC0"/>
    <w:rsid w:val="00CF64B5"/>
    <w:rsid w:val="00CF7853"/>
    <w:rsid w:val="00D004ED"/>
    <w:rsid w:val="00D0260F"/>
    <w:rsid w:val="00D02B5E"/>
    <w:rsid w:val="00D03708"/>
    <w:rsid w:val="00D06776"/>
    <w:rsid w:val="00D06E46"/>
    <w:rsid w:val="00D06F95"/>
    <w:rsid w:val="00D112CB"/>
    <w:rsid w:val="00D1158C"/>
    <w:rsid w:val="00D11600"/>
    <w:rsid w:val="00D119A2"/>
    <w:rsid w:val="00D12E31"/>
    <w:rsid w:val="00D137F9"/>
    <w:rsid w:val="00D1458C"/>
    <w:rsid w:val="00D14C2F"/>
    <w:rsid w:val="00D1620E"/>
    <w:rsid w:val="00D16867"/>
    <w:rsid w:val="00D16EEC"/>
    <w:rsid w:val="00D2047A"/>
    <w:rsid w:val="00D20631"/>
    <w:rsid w:val="00D20725"/>
    <w:rsid w:val="00D207FC"/>
    <w:rsid w:val="00D2260B"/>
    <w:rsid w:val="00D22D49"/>
    <w:rsid w:val="00D23930"/>
    <w:rsid w:val="00D23A23"/>
    <w:rsid w:val="00D242FC"/>
    <w:rsid w:val="00D24D8A"/>
    <w:rsid w:val="00D24DA4"/>
    <w:rsid w:val="00D25235"/>
    <w:rsid w:val="00D25383"/>
    <w:rsid w:val="00D25670"/>
    <w:rsid w:val="00D2760D"/>
    <w:rsid w:val="00D276D8"/>
    <w:rsid w:val="00D301FF"/>
    <w:rsid w:val="00D3242E"/>
    <w:rsid w:val="00D3257F"/>
    <w:rsid w:val="00D340E2"/>
    <w:rsid w:val="00D36887"/>
    <w:rsid w:val="00D37563"/>
    <w:rsid w:val="00D379EB"/>
    <w:rsid w:val="00D37B56"/>
    <w:rsid w:val="00D400B8"/>
    <w:rsid w:val="00D4022C"/>
    <w:rsid w:val="00D41023"/>
    <w:rsid w:val="00D41C6C"/>
    <w:rsid w:val="00D42465"/>
    <w:rsid w:val="00D42E5B"/>
    <w:rsid w:val="00D439D1"/>
    <w:rsid w:val="00D43C68"/>
    <w:rsid w:val="00D444B2"/>
    <w:rsid w:val="00D453E4"/>
    <w:rsid w:val="00D47226"/>
    <w:rsid w:val="00D50B21"/>
    <w:rsid w:val="00D51349"/>
    <w:rsid w:val="00D521AD"/>
    <w:rsid w:val="00D527AF"/>
    <w:rsid w:val="00D529E1"/>
    <w:rsid w:val="00D533DE"/>
    <w:rsid w:val="00D534C2"/>
    <w:rsid w:val="00D5410F"/>
    <w:rsid w:val="00D5453B"/>
    <w:rsid w:val="00D54BC5"/>
    <w:rsid w:val="00D5586B"/>
    <w:rsid w:val="00D564DF"/>
    <w:rsid w:val="00D576DD"/>
    <w:rsid w:val="00D57CB4"/>
    <w:rsid w:val="00D61477"/>
    <w:rsid w:val="00D619E2"/>
    <w:rsid w:val="00D62036"/>
    <w:rsid w:val="00D620CC"/>
    <w:rsid w:val="00D62B16"/>
    <w:rsid w:val="00D634B8"/>
    <w:rsid w:val="00D63EF3"/>
    <w:rsid w:val="00D64441"/>
    <w:rsid w:val="00D65497"/>
    <w:rsid w:val="00D654DA"/>
    <w:rsid w:val="00D6609E"/>
    <w:rsid w:val="00D672C3"/>
    <w:rsid w:val="00D67A9F"/>
    <w:rsid w:val="00D67C20"/>
    <w:rsid w:val="00D70259"/>
    <w:rsid w:val="00D70C1B"/>
    <w:rsid w:val="00D70E5C"/>
    <w:rsid w:val="00D7146C"/>
    <w:rsid w:val="00D718CD"/>
    <w:rsid w:val="00D73428"/>
    <w:rsid w:val="00D7416F"/>
    <w:rsid w:val="00D755F2"/>
    <w:rsid w:val="00D762AC"/>
    <w:rsid w:val="00D775E7"/>
    <w:rsid w:val="00D77B9E"/>
    <w:rsid w:val="00D81CA9"/>
    <w:rsid w:val="00D822CD"/>
    <w:rsid w:val="00D839D8"/>
    <w:rsid w:val="00D83F9E"/>
    <w:rsid w:val="00D840C2"/>
    <w:rsid w:val="00D84426"/>
    <w:rsid w:val="00D84562"/>
    <w:rsid w:val="00D85C16"/>
    <w:rsid w:val="00D86169"/>
    <w:rsid w:val="00D86D6B"/>
    <w:rsid w:val="00D8732E"/>
    <w:rsid w:val="00D91294"/>
    <w:rsid w:val="00D9186A"/>
    <w:rsid w:val="00D91AF8"/>
    <w:rsid w:val="00D92D47"/>
    <w:rsid w:val="00D940EA"/>
    <w:rsid w:val="00D94213"/>
    <w:rsid w:val="00D94285"/>
    <w:rsid w:val="00D949E0"/>
    <w:rsid w:val="00D94BEB"/>
    <w:rsid w:val="00D94EA5"/>
    <w:rsid w:val="00D95F32"/>
    <w:rsid w:val="00D97205"/>
    <w:rsid w:val="00DA024A"/>
    <w:rsid w:val="00DA07EE"/>
    <w:rsid w:val="00DA0A58"/>
    <w:rsid w:val="00DA17AC"/>
    <w:rsid w:val="00DA1C85"/>
    <w:rsid w:val="00DA1CC9"/>
    <w:rsid w:val="00DA2E58"/>
    <w:rsid w:val="00DA328A"/>
    <w:rsid w:val="00DA328E"/>
    <w:rsid w:val="00DA3AA6"/>
    <w:rsid w:val="00DA3AAD"/>
    <w:rsid w:val="00DA40A2"/>
    <w:rsid w:val="00DA46C1"/>
    <w:rsid w:val="00DA4710"/>
    <w:rsid w:val="00DA70DD"/>
    <w:rsid w:val="00DB088F"/>
    <w:rsid w:val="00DB0B4A"/>
    <w:rsid w:val="00DB0C18"/>
    <w:rsid w:val="00DB1487"/>
    <w:rsid w:val="00DB19B4"/>
    <w:rsid w:val="00DB19F1"/>
    <w:rsid w:val="00DB26AE"/>
    <w:rsid w:val="00DB2FE7"/>
    <w:rsid w:val="00DB4411"/>
    <w:rsid w:val="00DB466D"/>
    <w:rsid w:val="00DB5E41"/>
    <w:rsid w:val="00DB5FD0"/>
    <w:rsid w:val="00DB6A66"/>
    <w:rsid w:val="00DB7395"/>
    <w:rsid w:val="00DB75C2"/>
    <w:rsid w:val="00DB7E2C"/>
    <w:rsid w:val="00DC027B"/>
    <w:rsid w:val="00DC03C0"/>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523"/>
    <w:rsid w:val="00DD3A7E"/>
    <w:rsid w:val="00DD3BF2"/>
    <w:rsid w:val="00DD434E"/>
    <w:rsid w:val="00DD4402"/>
    <w:rsid w:val="00DD60D0"/>
    <w:rsid w:val="00DD6200"/>
    <w:rsid w:val="00DD686C"/>
    <w:rsid w:val="00DD6E86"/>
    <w:rsid w:val="00DD6F84"/>
    <w:rsid w:val="00DE0E5D"/>
    <w:rsid w:val="00DE447F"/>
    <w:rsid w:val="00DE48F0"/>
    <w:rsid w:val="00DE4A77"/>
    <w:rsid w:val="00DE68EE"/>
    <w:rsid w:val="00DE6D24"/>
    <w:rsid w:val="00DE7285"/>
    <w:rsid w:val="00DE7C40"/>
    <w:rsid w:val="00DF0EA5"/>
    <w:rsid w:val="00DF1F1D"/>
    <w:rsid w:val="00DF23A5"/>
    <w:rsid w:val="00DF44A2"/>
    <w:rsid w:val="00DF4A7B"/>
    <w:rsid w:val="00DF4C6E"/>
    <w:rsid w:val="00DF6666"/>
    <w:rsid w:val="00DF745E"/>
    <w:rsid w:val="00DF762E"/>
    <w:rsid w:val="00E0044E"/>
    <w:rsid w:val="00E00816"/>
    <w:rsid w:val="00E00DE7"/>
    <w:rsid w:val="00E017C9"/>
    <w:rsid w:val="00E0239F"/>
    <w:rsid w:val="00E0267B"/>
    <w:rsid w:val="00E04441"/>
    <w:rsid w:val="00E05F03"/>
    <w:rsid w:val="00E06370"/>
    <w:rsid w:val="00E06B7B"/>
    <w:rsid w:val="00E06E20"/>
    <w:rsid w:val="00E07D7D"/>
    <w:rsid w:val="00E07DD9"/>
    <w:rsid w:val="00E102F8"/>
    <w:rsid w:val="00E10934"/>
    <w:rsid w:val="00E12FCF"/>
    <w:rsid w:val="00E13273"/>
    <w:rsid w:val="00E13379"/>
    <w:rsid w:val="00E139EE"/>
    <w:rsid w:val="00E14D83"/>
    <w:rsid w:val="00E14FA6"/>
    <w:rsid w:val="00E15A0D"/>
    <w:rsid w:val="00E16640"/>
    <w:rsid w:val="00E1740F"/>
    <w:rsid w:val="00E17B66"/>
    <w:rsid w:val="00E200CF"/>
    <w:rsid w:val="00E24287"/>
    <w:rsid w:val="00E2590D"/>
    <w:rsid w:val="00E3080D"/>
    <w:rsid w:val="00E31367"/>
    <w:rsid w:val="00E3181C"/>
    <w:rsid w:val="00E32EF3"/>
    <w:rsid w:val="00E33E21"/>
    <w:rsid w:val="00E34BC4"/>
    <w:rsid w:val="00E3540C"/>
    <w:rsid w:val="00E36187"/>
    <w:rsid w:val="00E36332"/>
    <w:rsid w:val="00E36C9B"/>
    <w:rsid w:val="00E37638"/>
    <w:rsid w:val="00E37E9D"/>
    <w:rsid w:val="00E41212"/>
    <w:rsid w:val="00E41B71"/>
    <w:rsid w:val="00E42569"/>
    <w:rsid w:val="00E428A0"/>
    <w:rsid w:val="00E434A0"/>
    <w:rsid w:val="00E44D30"/>
    <w:rsid w:val="00E44F27"/>
    <w:rsid w:val="00E4597F"/>
    <w:rsid w:val="00E46CB7"/>
    <w:rsid w:val="00E4723D"/>
    <w:rsid w:val="00E5077C"/>
    <w:rsid w:val="00E50EC8"/>
    <w:rsid w:val="00E5159B"/>
    <w:rsid w:val="00E515C6"/>
    <w:rsid w:val="00E52CFB"/>
    <w:rsid w:val="00E52E0D"/>
    <w:rsid w:val="00E52FE2"/>
    <w:rsid w:val="00E54629"/>
    <w:rsid w:val="00E54715"/>
    <w:rsid w:val="00E54D6B"/>
    <w:rsid w:val="00E54E6F"/>
    <w:rsid w:val="00E55338"/>
    <w:rsid w:val="00E559F0"/>
    <w:rsid w:val="00E569AF"/>
    <w:rsid w:val="00E5774E"/>
    <w:rsid w:val="00E57EEB"/>
    <w:rsid w:val="00E60255"/>
    <w:rsid w:val="00E60318"/>
    <w:rsid w:val="00E60BA8"/>
    <w:rsid w:val="00E61E25"/>
    <w:rsid w:val="00E61E28"/>
    <w:rsid w:val="00E628E4"/>
    <w:rsid w:val="00E647F7"/>
    <w:rsid w:val="00E64CA7"/>
    <w:rsid w:val="00E65FF5"/>
    <w:rsid w:val="00E660D3"/>
    <w:rsid w:val="00E662F9"/>
    <w:rsid w:val="00E663FE"/>
    <w:rsid w:val="00E66857"/>
    <w:rsid w:val="00E67556"/>
    <w:rsid w:val="00E67EED"/>
    <w:rsid w:val="00E7252F"/>
    <w:rsid w:val="00E72AFC"/>
    <w:rsid w:val="00E73FC2"/>
    <w:rsid w:val="00E74481"/>
    <w:rsid w:val="00E74517"/>
    <w:rsid w:val="00E755D7"/>
    <w:rsid w:val="00E7566D"/>
    <w:rsid w:val="00E76E91"/>
    <w:rsid w:val="00E774B4"/>
    <w:rsid w:val="00E778F5"/>
    <w:rsid w:val="00E80E7C"/>
    <w:rsid w:val="00E81779"/>
    <w:rsid w:val="00E8205B"/>
    <w:rsid w:val="00E82444"/>
    <w:rsid w:val="00E8341C"/>
    <w:rsid w:val="00E83467"/>
    <w:rsid w:val="00E851DA"/>
    <w:rsid w:val="00E8602B"/>
    <w:rsid w:val="00E86B5F"/>
    <w:rsid w:val="00E8796F"/>
    <w:rsid w:val="00E87D05"/>
    <w:rsid w:val="00E91C17"/>
    <w:rsid w:val="00E91F96"/>
    <w:rsid w:val="00E92E99"/>
    <w:rsid w:val="00E968FD"/>
    <w:rsid w:val="00E96D55"/>
    <w:rsid w:val="00E97993"/>
    <w:rsid w:val="00EA03DC"/>
    <w:rsid w:val="00EA0D5D"/>
    <w:rsid w:val="00EA1192"/>
    <w:rsid w:val="00EA153F"/>
    <w:rsid w:val="00EA2788"/>
    <w:rsid w:val="00EA2C6E"/>
    <w:rsid w:val="00EA4964"/>
    <w:rsid w:val="00EA4F1A"/>
    <w:rsid w:val="00EA7045"/>
    <w:rsid w:val="00EB02DE"/>
    <w:rsid w:val="00EB0A07"/>
    <w:rsid w:val="00EB1B69"/>
    <w:rsid w:val="00EB1C78"/>
    <w:rsid w:val="00EB36A0"/>
    <w:rsid w:val="00EB3B46"/>
    <w:rsid w:val="00EB4F08"/>
    <w:rsid w:val="00EB564E"/>
    <w:rsid w:val="00EB5ABD"/>
    <w:rsid w:val="00EC03F4"/>
    <w:rsid w:val="00EC0C39"/>
    <w:rsid w:val="00EC1433"/>
    <w:rsid w:val="00EC2941"/>
    <w:rsid w:val="00EC2E07"/>
    <w:rsid w:val="00EC43C7"/>
    <w:rsid w:val="00EC465D"/>
    <w:rsid w:val="00EC5966"/>
    <w:rsid w:val="00EC5C89"/>
    <w:rsid w:val="00EC66D2"/>
    <w:rsid w:val="00EC67E7"/>
    <w:rsid w:val="00ED0A1B"/>
    <w:rsid w:val="00ED21BC"/>
    <w:rsid w:val="00ED2FEC"/>
    <w:rsid w:val="00ED3F67"/>
    <w:rsid w:val="00ED440A"/>
    <w:rsid w:val="00ED6B91"/>
    <w:rsid w:val="00ED7971"/>
    <w:rsid w:val="00EE0748"/>
    <w:rsid w:val="00EE29A0"/>
    <w:rsid w:val="00EE2CEA"/>
    <w:rsid w:val="00EE3365"/>
    <w:rsid w:val="00EE48DF"/>
    <w:rsid w:val="00EE4AB3"/>
    <w:rsid w:val="00EE6A50"/>
    <w:rsid w:val="00EE7405"/>
    <w:rsid w:val="00EF033E"/>
    <w:rsid w:val="00EF06EC"/>
    <w:rsid w:val="00EF14FF"/>
    <w:rsid w:val="00EF2BFE"/>
    <w:rsid w:val="00EF2D85"/>
    <w:rsid w:val="00EF402C"/>
    <w:rsid w:val="00EF45E0"/>
    <w:rsid w:val="00EF4E6F"/>
    <w:rsid w:val="00EF5C82"/>
    <w:rsid w:val="00EF7A15"/>
    <w:rsid w:val="00F01F8C"/>
    <w:rsid w:val="00F035A6"/>
    <w:rsid w:val="00F03CE5"/>
    <w:rsid w:val="00F04A53"/>
    <w:rsid w:val="00F04AD0"/>
    <w:rsid w:val="00F06FFA"/>
    <w:rsid w:val="00F079DA"/>
    <w:rsid w:val="00F10033"/>
    <w:rsid w:val="00F10848"/>
    <w:rsid w:val="00F10B68"/>
    <w:rsid w:val="00F11F55"/>
    <w:rsid w:val="00F12DEC"/>
    <w:rsid w:val="00F13151"/>
    <w:rsid w:val="00F15523"/>
    <w:rsid w:val="00F15907"/>
    <w:rsid w:val="00F16391"/>
    <w:rsid w:val="00F2062B"/>
    <w:rsid w:val="00F21A18"/>
    <w:rsid w:val="00F21E61"/>
    <w:rsid w:val="00F220EA"/>
    <w:rsid w:val="00F222CD"/>
    <w:rsid w:val="00F2487E"/>
    <w:rsid w:val="00F24EA4"/>
    <w:rsid w:val="00F2568D"/>
    <w:rsid w:val="00F2625A"/>
    <w:rsid w:val="00F26C66"/>
    <w:rsid w:val="00F31A03"/>
    <w:rsid w:val="00F3283C"/>
    <w:rsid w:val="00F32D0F"/>
    <w:rsid w:val="00F343F0"/>
    <w:rsid w:val="00F34620"/>
    <w:rsid w:val="00F34AAB"/>
    <w:rsid w:val="00F34C4D"/>
    <w:rsid w:val="00F350CF"/>
    <w:rsid w:val="00F35582"/>
    <w:rsid w:val="00F36933"/>
    <w:rsid w:val="00F37004"/>
    <w:rsid w:val="00F376A1"/>
    <w:rsid w:val="00F37B8E"/>
    <w:rsid w:val="00F41746"/>
    <w:rsid w:val="00F41E79"/>
    <w:rsid w:val="00F42E8C"/>
    <w:rsid w:val="00F4315F"/>
    <w:rsid w:val="00F44181"/>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57BEC"/>
    <w:rsid w:val="00F612D6"/>
    <w:rsid w:val="00F628F0"/>
    <w:rsid w:val="00F63400"/>
    <w:rsid w:val="00F636C6"/>
    <w:rsid w:val="00F63BB2"/>
    <w:rsid w:val="00F6433D"/>
    <w:rsid w:val="00F6573E"/>
    <w:rsid w:val="00F662EB"/>
    <w:rsid w:val="00F67606"/>
    <w:rsid w:val="00F70327"/>
    <w:rsid w:val="00F70FEF"/>
    <w:rsid w:val="00F72FA8"/>
    <w:rsid w:val="00F75415"/>
    <w:rsid w:val="00F76EB9"/>
    <w:rsid w:val="00F773F9"/>
    <w:rsid w:val="00F8101C"/>
    <w:rsid w:val="00F817B9"/>
    <w:rsid w:val="00F81CB7"/>
    <w:rsid w:val="00F82280"/>
    <w:rsid w:val="00F8235F"/>
    <w:rsid w:val="00F823B9"/>
    <w:rsid w:val="00F8369C"/>
    <w:rsid w:val="00F83A22"/>
    <w:rsid w:val="00F83A97"/>
    <w:rsid w:val="00F844F0"/>
    <w:rsid w:val="00F84895"/>
    <w:rsid w:val="00F84E9D"/>
    <w:rsid w:val="00F8659E"/>
    <w:rsid w:val="00F86CE4"/>
    <w:rsid w:val="00F86F42"/>
    <w:rsid w:val="00F871A5"/>
    <w:rsid w:val="00F91941"/>
    <w:rsid w:val="00F92E3F"/>
    <w:rsid w:val="00F938D2"/>
    <w:rsid w:val="00F96389"/>
    <w:rsid w:val="00F9650E"/>
    <w:rsid w:val="00F96B73"/>
    <w:rsid w:val="00F977C7"/>
    <w:rsid w:val="00FA0890"/>
    <w:rsid w:val="00FA164A"/>
    <w:rsid w:val="00FA24D9"/>
    <w:rsid w:val="00FA3F3E"/>
    <w:rsid w:val="00FA4272"/>
    <w:rsid w:val="00FA4855"/>
    <w:rsid w:val="00FA4ACD"/>
    <w:rsid w:val="00FA6428"/>
    <w:rsid w:val="00FA7144"/>
    <w:rsid w:val="00FA7184"/>
    <w:rsid w:val="00FA7D59"/>
    <w:rsid w:val="00FB1D9D"/>
    <w:rsid w:val="00FB26F7"/>
    <w:rsid w:val="00FB3304"/>
    <w:rsid w:val="00FB46B8"/>
    <w:rsid w:val="00FB4B38"/>
    <w:rsid w:val="00FB54BB"/>
    <w:rsid w:val="00FB5AC0"/>
    <w:rsid w:val="00FB638F"/>
    <w:rsid w:val="00FB6C91"/>
    <w:rsid w:val="00FB74E8"/>
    <w:rsid w:val="00FC0263"/>
    <w:rsid w:val="00FC0348"/>
    <w:rsid w:val="00FC0FB5"/>
    <w:rsid w:val="00FC102A"/>
    <w:rsid w:val="00FC154C"/>
    <w:rsid w:val="00FC1DBC"/>
    <w:rsid w:val="00FC2637"/>
    <w:rsid w:val="00FC393B"/>
    <w:rsid w:val="00FC4052"/>
    <w:rsid w:val="00FC5252"/>
    <w:rsid w:val="00FC5EFF"/>
    <w:rsid w:val="00FC6356"/>
    <w:rsid w:val="00FC7D01"/>
    <w:rsid w:val="00FD0130"/>
    <w:rsid w:val="00FD0373"/>
    <w:rsid w:val="00FD0582"/>
    <w:rsid w:val="00FD0C93"/>
    <w:rsid w:val="00FD0D15"/>
    <w:rsid w:val="00FD1062"/>
    <w:rsid w:val="00FD2589"/>
    <w:rsid w:val="00FD4876"/>
    <w:rsid w:val="00FD52A3"/>
    <w:rsid w:val="00FD68D4"/>
    <w:rsid w:val="00FE00D9"/>
    <w:rsid w:val="00FE1186"/>
    <w:rsid w:val="00FE170D"/>
    <w:rsid w:val="00FE177A"/>
    <w:rsid w:val="00FE240A"/>
    <w:rsid w:val="00FE3ABE"/>
    <w:rsid w:val="00FE3E3C"/>
    <w:rsid w:val="00FE43E7"/>
    <w:rsid w:val="00FE4B66"/>
    <w:rsid w:val="00FE4F6E"/>
    <w:rsid w:val="00FE583F"/>
    <w:rsid w:val="00FE5CC4"/>
    <w:rsid w:val="00FE6B13"/>
    <w:rsid w:val="00FE7575"/>
    <w:rsid w:val="00FF1070"/>
    <w:rsid w:val="00FF10D2"/>
    <w:rsid w:val="00FF13E2"/>
    <w:rsid w:val="00FF1B9B"/>
    <w:rsid w:val="00FF2237"/>
    <w:rsid w:val="00FF3DEA"/>
    <w:rsid w:val="00FF3E93"/>
    <w:rsid w:val="00FF4953"/>
    <w:rsid w:val="00FF5FA3"/>
    <w:rsid w:val="00FF5FCE"/>
    <w:rsid w:val="00FF6177"/>
    <w:rsid w:val="00FF6AD9"/>
    <w:rsid w:val="00FF7D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F1442"/>
  <w15:chartTrackingRefBased/>
  <w15:docId w15:val="{0FCEE1B2-1633-4B56-B15E-10E2C95F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433B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rsid w:val="0034069F"/>
    <w:rPr>
      <w:rFonts w:ascii="Dutch TL" w:hAnsi="Dutch TL"/>
      <w:sz w:val="20"/>
      <w:szCs w:val="20"/>
      <w:lang w:eastAsia="zh-TW"/>
    </w:rPr>
  </w:style>
  <w:style w:type="character" w:customStyle="1" w:styleId="FootnoteTextChar">
    <w:name w:val="Footnote Text Char"/>
    <w:link w:val="FootnoteText"/>
    <w:rsid w:val="0034069F"/>
    <w:rPr>
      <w:rFonts w:ascii="Dutch TL" w:hAnsi="Dutch TL"/>
      <w:lang w:eastAsia="zh-TW"/>
    </w:rPr>
  </w:style>
  <w:style w:type="character" w:styleId="FootnoteReference">
    <w:name w:val="footnote reference"/>
    <w:rsid w:val="0034069F"/>
    <w:rPr>
      <w:vertAlign w:val="superscript"/>
    </w:rPr>
  </w:style>
  <w:style w:type="paragraph" w:customStyle="1" w:styleId="Normal1">
    <w:name w:val="Normal1"/>
    <w:basedOn w:val="Normal"/>
    <w:rsid w:val="00282039"/>
    <w:pPr>
      <w:spacing w:before="100" w:beforeAutospacing="1" w:after="100" w:afterAutospacing="1"/>
    </w:pPr>
  </w:style>
  <w:style w:type="character" w:customStyle="1" w:styleId="body1">
    <w:name w:val="body1"/>
    <w:rsid w:val="00A55125"/>
    <w:rPr>
      <w:rFonts w:ascii="Verdana" w:hAnsi="Verdana" w:hint="default"/>
      <w:color w:val="000000"/>
      <w:sz w:val="14"/>
      <w:szCs w:val="14"/>
    </w:rPr>
  </w:style>
  <w:style w:type="paragraph" w:customStyle="1" w:styleId="tv213">
    <w:name w:val="tv213"/>
    <w:basedOn w:val="Normal"/>
    <w:rsid w:val="00CF4803"/>
    <w:pPr>
      <w:spacing w:before="100" w:beforeAutospacing="1" w:after="100" w:afterAutospacing="1"/>
    </w:pPr>
  </w:style>
  <w:style w:type="character" w:customStyle="1" w:styleId="Heading2Char">
    <w:name w:val="Heading 2 Char"/>
    <w:basedOn w:val="DefaultParagraphFont"/>
    <w:link w:val="Heading2"/>
    <w:semiHidden/>
    <w:rsid w:val="00433B26"/>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unhideWhenUsed/>
    <w:rsid w:val="0044673F"/>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2568744">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eppol.eu/poacc/billing/3.0/" TargetMode="External"/><Relationship Id="rId13" Type="http://schemas.openxmlformats.org/officeDocument/2006/relationships/hyperlink" Target="http://docs.peppol.eu/poacc/billing/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peppol.eu/poacc/billing/3.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peppol.eu/poacc/billing/3.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peppol.eu/poacc/billing/3.0/"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docs.peppol.eu/poacc/billing/3.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E49C-E966-43CE-A5E0-04D4E027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31</Pages>
  <Words>8609</Words>
  <Characters>49073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Izziņa par atzinumos sniegtajiem iebildumiem noteikumu projektam „Piemērojamais elektroniskā rēķina standarts un tā pamatelementu izmantošanas specifikācija un aprites kārtība”</vt:lpstr>
    </vt:vector>
  </TitlesOfParts>
  <Company>Finanšu ministrija</Company>
  <LinksUpToDate>false</LinksUpToDate>
  <CharactersWithSpaces>57567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noteikumu projektam „Piemērojamais elektroniskā rēķina standarts un tā pamatelementu izmantošanas specifikācija un aprites kārtība”</dc:title>
  <dc:subject>Izziņa</dc:subject>
  <dc:creator>Edgars Matulis</dc:creator>
  <cp:keywords/>
  <dc:description>Edgars.Matulis@fm.gov.lv_x000d_
67095457</dc:description>
  <cp:lastModifiedBy>FM</cp:lastModifiedBy>
  <cp:revision>32</cp:revision>
  <cp:lastPrinted>2019-03-15T12:50:00Z</cp:lastPrinted>
  <dcterms:created xsi:type="dcterms:W3CDTF">2019-03-15T09:34:00Z</dcterms:created>
  <dcterms:modified xsi:type="dcterms:W3CDTF">2019-04-02T10:21:00Z</dcterms:modified>
</cp:coreProperties>
</file>