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AA78" w14:textId="58046451" w:rsidR="00894C55" w:rsidRDefault="00F61F4F" w:rsidP="00894C55">
      <w:pPr>
        <w:shd w:val="clear" w:color="auto" w:fill="FFFFFF"/>
        <w:spacing w:after="0" w:line="240" w:lineRule="auto"/>
        <w:jc w:val="center"/>
        <w:rPr>
          <w:rFonts w:eastAsia="Times New Roman" w:cs="Times New Roman"/>
          <w:b/>
          <w:bCs/>
          <w:szCs w:val="24"/>
          <w:lang w:eastAsia="lv-LV"/>
        </w:rPr>
      </w:pPr>
      <w:r w:rsidRPr="00E01332">
        <w:rPr>
          <w:b/>
          <w:szCs w:val="24"/>
        </w:rPr>
        <w:t>Ministru kabineta noteikumu “</w:t>
      </w:r>
      <w:r w:rsidR="004D5A61" w:rsidRPr="004D5A61">
        <w:rPr>
          <w:b/>
          <w:szCs w:val="24"/>
          <w:lang w:val="en-US"/>
        </w:rPr>
        <w:t>Piemērojamais elektroniskā rēķina standarts un tā pamatelementu izmantošanas specifikācija un aprites kārtība</w:t>
      </w:r>
      <w:r w:rsidRPr="00E01332">
        <w:rPr>
          <w:b/>
          <w:szCs w:val="24"/>
        </w:rPr>
        <w:t>”</w:t>
      </w:r>
      <w:r w:rsidR="00894C55" w:rsidRPr="00E01332">
        <w:rPr>
          <w:rFonts w:eastAsia="Times New Roman" w:cs="Times New Roman"/>
          <w:b/>
          <w:bCs/>
          <w:szCs w:val="24"/>
          <w:lang w:eastAsia="lv-LV"/>
        </w:rPr>
        <w:t xml:space="preserve"> projekta</w:t>
      </w:r>
      <w:r w:rsidRPr="00E01332">
        <w:rPr>
          <w:rFonts w:eastAsia="Times New Roman" w:cs="Times New Roman"/>
          <w:b/>
          <w:bCs/>
          <w:szCs w:val="24"/>
          <w:lang w:eastAsia="lv-LV"/>
        </w:rPr>
        <w:t xml:space="preserve"> </w:t>
      </w:r>
      <w:r w:rsidR="00894C55" w:rsidRPr="00E01332">
        <w:rPr>
          <w:rFonts w:eastAsia="Times New Roman" w:cs="Times New Roman"/>
          <w:b/>
          <w:bCs/>
          <w:szCs w:val="24"/>
          <w:lang w:eastAsia="lv-LV"/>
        </w:rPr>
        <w:t>sākotnējās ietekmes novērtējuma ziņojums (anotācija)</w:t>
      </w:r>
    </w:p>
    <w:p w14:paraId="1989D44A" w14:textId="5B695953" w:rsidR="003765F2" w:rsidRDefault="003765F2" w:rsidP="00894C55">
      <w:pPr>
        <w:shd w:val="clear" w:color="auto" w:fill="FFFFFF"/>
        <w:spacing w:after="0" w:line="240" w:lineRule="auto"/>
        <w:jc w:val="center"/>
        <w:rPr>
          <w:rFonts w:eastAsia="Times New Roman" w:cs="Times New Roman"/>
          <w:b/>
          <w:bCs/>
          <w:szCs w:val="24"/>
          <w:lang w:eastAsia="lv-LV"/>
        </w:rPr>
      </w:pPr>
    </w:p>
    <w:p w14:paraId="7394B910" w14:textId="23678CDE" w:rsidR="003765F2" w:rsidRDefault="003765F2" w:rsidP="00894C55">
      <w:pPr>
        <w:shd w:val="clear" w:color="auto" w:fill="FFFFFF"/>
        <w:spacing w:after="0" w:line="240" w:lineRule="auto"/>
        <w:jc w:val="center"/>
        <w:rPr>
          <w:rFonts w:eastAsia="Times New Roman" w:cs="Times New Roman"/>
          <w:b/>
          <w:bCs/>
          <w:szCs w:val="24"/>
          <w:lang w:eastAsia="lv-LV"/>
        </w:rPr>
      </w:pPr>
    </w:p>
    <w:tbl>
      <w:tblPr>
        <w:tblW w:w="907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7"/>
        <w:gridCol w:w="6365"/>
      </w:tblGrid>
      <w:tr w:rsidR="003765F2" w:rsidRPr="003765F2" w14:paraId="2893BBD6" w14:textId="77777777" w:rsidTr="003765F2">
        <w:trPr>
          <w:tblCellSpacing w:w="15" w:type="dxa"/>
        </w:trPr>
        <w:tc>
          <w:tcPr>
            <w:tcW w:w="9072"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6E111F" w14:textId="77777777" w:rsidR="003765F2" w:rsidRPr="003765F2" w:rsidRDefault="003765F2" w:rsidP="003765F2">
            <w:pPr>
              <w:spacing w:after="0" w:line="240" w:lineRule="auto"/>
              <w:jc w:val="center"/>
              <w:rPr>
                <w:rFonts w:ascii="Calibri" w:eastAsia="Times New Roman" w:hAnsi="Calibri" w:cs="Times New Roman"/>
                <w:sz w:val="20"/>
                <w:szCs w:val="20"/>
                <w:lang w:eastAsia="lv-LV"/>
              </w:rPr>
            </w:pPr>
            <w:r w:rsidRPr="003765F2">
              <w:rPr>
                <w:rFonts w:eastAsia="Times New Roman" w:cs="Times New Roman"/>
                <w:b/>
                <w:bCs/>
                <w:szCs w:val="24"/>
                <w:lang w:eastAsia="lv-LV"/>
              </w:rPr>
              <w:t>Tiesību akta projekta anotācijas kopsavilkums</w:t>
            </w:r>
          </w:p>
        </w:tc>
      </w:tr>
      <w:tr w:rsidR="003765F2" w:rsidRPr="004404B0" w14:paraId="0A052B65" w14:textId="77777777" w:rsidTr="003765F2">
        <w:trPr>
          <w:tblCellSpacing w:w="15" w:type="dxa"/>
        </w:trPr>
        <w:tc>
          <w:tcPr>
            <w:tcW w:w="72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699D7F5" w14:textId="77777777" w:rsidR="003765F2" w:rsidRPr="004404B0" w:rsidRDefault="003765F2" w:rsidP="003765F2">
            <w:pPr>
              <w:spacing w:after="0" w:line="240" w:lineRule="auto"/>
              <w:rPr>
                <w:rFonts w:ascii="Calibri" w:eastAsia="Times New Roman" w:hAnsi="Calibri" w:cs="Times New Roman"/>
                <w:sz w:val="20"/>
                <w:szCs w:val="20"/>
                <w:lang w:eastAsia="lv-LV"/>
              </w:rPr>
            </w:pPr>
            <w:r w:rsidRPr="004404B0">
              <w:rPr>
                <w:rFonts w:eastAsia="Times New Roman" w:cs="Times New Roman"/>
                <w:szCs w:val="24"/>
                <w:lang w:eastAsia="lv-LV"/>
              </w:rPr>
              <w:t>Mērķis, risinājums un projekta spēkā stāšanās laiks (500 zīmes bez atstarpēm)</w:t>
            </w:r>
          </w:p>
        </w:tc>
        <w:tc>
          <w:tcPr>
            <w:tcW w:w="203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9B9739" w14:textId="7DF0B590" w:rsidR="003765F2" w:rsidRPr="004404B0" w:rsidRDefault="003765F2" w:rsidP="00FE1A8E">
            <w:pPr>
              <w:spacing w:after="0" w:line="240" w:lineRule="auto"/>
              <w:jc w:val="both"/>
              <w:rPr>
                <w:rFonts w:ascii="Calibri" w:eastAsia="Times New Roman" w:hAnsi="Calibri" w:cs="Times New Roman"/>
                <w:sz w:val="20"/>
                <w:szCs w:val="20"/>
                <w:lang w:eastAsia="lv-LV"/>
              </w:rPr>
            </w:pPr>
            <w:r w:rsidRPr="004404B0">
              <w:rPr>
                <w:rFonts w:eastAsia="Times New Roman" w:cs="Times New Roman"/>
                <w:szCs w:val="24"/>
                <w:lang w:eastAsia="lv-LV"/>
              </w:rPr>
              <w:t>Noteikumu projekts izstrādāts</w:t>
            </w:r>
            <w:r w:rsidR="000A1FBF" w:rsidRPr="004404B0">
              <w:rPr>
                <w:rFonts w:eastAsia="Times New Roman" w:cs="Times New Roman"/>
                <w:szCs w:val="24"/>
                <w:lang w:eastAsia="lv-LV"/>
              </w:rPr>
              <w:t xml:space="preserve"> atbilstoši</w:t>
            </w:r>
            <w:r w:rsidRPr="004404B0">
              <w:rPr>
                <w:rFonts w:eastAsia="Times New Roman" w:cs="Times New Roman"/>
                <w:szCs w:val="24"/>
                <w:lang w:eastAsia="lv-LV"/>
              </w:rPr>
              <w:t xml:space="preserve"> </w:t>
            </w:r>
            <w:r w:rsidRPr="004404B0">
              <w:rPr>
                <w:rFonts w:cs="Times New Roman"/>
                <w:szCs w:val="24"/>
              </w:rPr>
              <w:t xml:space="preserve">Publisko iepirkumu likuma </w:t>
            </w:r>
            <w:r w:rsidR="004404B0" w:rsidRPr="004404B0">
              <w:rPr>
                <w:rFonts w:cs="Times New Roman"/>
                <w:szCs w:val="24"/>
              </w:rPr>
              <w:t>83</w:t>
            </w:r>
            <w:r w:rsidRPr="004404B0">
              <w:rPr>
                <w:rFonts w:cs="Times New Roman"/>
                <w:szCs w:val="24"/>
              </w:rPr>
              <w:t xml:space="preserve">.pantā, Sabiedrisko pakalpojumu sniedzēju iepirkumu likuma </w:t>
            </w:r>
            <w:r w:rsidR="004404B0" w:rsidRPr="004404B0">
              <w:rPr>
                <w:rFonts w:cs="Times New Roman"/>
                <w:szCs w:val="24"/>
              </w:rPr>
              <w:t>89</w:t>
            </w:r>
            <w:r w:rsidRPr="004404B0">
              <w:rPr>
                <w:rFonts w:cs="Times New Roman"/>
                <w:szCs w:val="24"/>
              </w:rPr>
              <w:t xml:space="preserve">.pantā, Aizsardzības un drošības jomas iepirkumu likuma </w:t>
            </w:r>
            <w:r w:rsidR="004404B0" w:rsidRPr="004404B0">
              <w:rPr>
                <w:rFonts w:cs="Times New Roman"/>
                <w:szCs w:val="24"/>
              </w:rPr>
              <w:t>7</w:t>
            </w:r>
            <w:r w:rsidR="004404B0" w:rsidRPr="004404B0">
              <w:rPr>
                <w:rFonts w:cs="Times New Roman"/>
                <w:szCs w:val="24"/>
                <w:vertAlign w:val="superscript"/>
              </w:rPr>
              <w:t>1</w:t>
            </w:r>
            <w:r w:rsidRPr="004404B0">
              <w:rPr>
                <w:rFonts w:cs="Times New Roman"/>
                <w:szCs w:val="24"/>
              </w:rPr>
              <w:t xml:space="preserve">.pantā, Publiskās un privātās partnerības likuma </w:t>
            </w:r>
            <w:r w:rsidR="004404B0" w:rsidRPr="004404B0">
              <w:rPr>
                <w:rFonts w:cs="Times New Roman"/>
                <w:szCs w:val="24"/>
              </w:rPr>
              <w:t>122</w:t>
            </w:r>
            <w:r w:rsidRPr="004404B0">
              <w:rPr>
                <w:rFonts w:cs="Times New Roman"/>
                <w:szCs w:val="24"/>
              </w:rPr>
              <w:t>.pantā noteiktajam deleģējumam</w:t>
            </w:r>
            <w:r w:rsidR="000A1FBF" w:rsidRPr="004404B0">
              <w:rPr>
                <w:rFonts w:cs="Times New Roman"/>
                <w:szCs w:val="24"/>
              </w:rPr>
              <w:t>.</w:t>
            </w:r>
            <w:r w:rsidRPr="004404B0">
              <w:rPr>
                <w:rFonts w:eastAsia="Times New Roman" w:cs="Times New Roman"/>
                <w:szCs w:val="24"/>
                <w:lang w:eastAsia="lv-LV"/>
              </w:rPr>
              <w:t xml:space="preserve"> Noteikumu projektā ir noteikts </w:t>
            </w:r>
            <w:r w:rsidR="00FE1A8E" w:rsidRPr="004404B0">
              <w:rPr>
                <w:rFonts w:eastAsia="Times New Roman" w:cs="Times New Roman"/>
                <w:szCs w:val="24"/>
                <w:lang w:eastAsia="lv-LV"/>
              </w:rPr>
              <w:t xml:space="preserve">piemērojamais </w:t>
            </w:r>
            <w:r w:rsidRPr="004404B0">
              <w:rPr>
                <w:rFonts w:eastAsia="Times New Roman" w:cs="Times New Roman"/>
                <w:szCs w:val="24"/>
                <w:lang w:eastAsia="lv-LV"/>
              </w:rPr>
              <w:t>elektronisk</w:t>
            </w:r>
            <w:r w:rsidR="00FE1A8E" w:rsidRPr="004404B0">
              <w:rPr>
                <w:rFonts w:eastAsia="Times New Roman" w:cs="Times New Roman"/>
                <w:szCs w:val="24"/>
                <w:lang w:eastAsia="lv-LV"/>
              </w:rPr>
              <w:t>ā</w:t>
            </w:r>
            <w:r w:rsidRPr="004404B0">
              <w:rPr>
                <w:rFonts w:eastAsia="Times New Roman" w:cs="Times New Roman"/>
                <w:szCs w:val="24"/>
                <w:lang w:eastAsia="lv-LV"/>
              </w:rPr>
              <w:t xml:space="preserve"> rēķin</w:t>
            </w:r>
            <w:r w:rsidR="00FE1A8E" w:rsidRPr="004404B0">
              <w:rPr>
                <w:rFonts w:eastAsia="Times New Roman" w:cs="Times New Roman"/>
                <w:szCs w:val="24"/>
                <w:lang w:eastAsia="lv-LV"/>
              </w:rPr>
              <w:t>a</w:t>
            </w:r>
            <w:r w:rsidRPr="004404B0">
              <w:rPr>
                <w:rFonts w:eastAsia="Times New Roman" w:cs="Times New Roman"/>
                <w:szCs w:val="24"/>
                <w:lang w:eastAsia="lv-LV"/>
              </w:rPr>
              <w:t xml:space="preserve"> standarts</w:t>
            </w:r>
            <w:r w:rsidR="00FE1A8E" w:rsidRPr="004404B0">
              <w:rPr>
                <w:rFonts w:eastAsia="Times New Roman" w:cs="Times New Roman"/>
                <w:szCs w:val="24"/>
                <w:lang w:eastAsia="lv-LV"/>
              </w:rPr>
              <w:t xml:space="preserve">, </w:t>
            </w:r>
            <w:r w:rsidR="00FE1A8E" w:rsidRPr="004404B0">
              <w:rPr>
                <w:rFonts w:cs="Times New Roman"/>
                <w:szCs w:val="24"/>
              </w:rPr>
              <w:t>tā pamatelementu izmantošanas specifikācija</w:t>
            </w:r>
            <w:r w:rsidR="00FE1A8E" w:rsidRPr="004404B0">
              <w:rPr>
                <w:rFonts w:eastAsia="Times New Roman" w:cs="Times New Roman"/>
                <w:szCs w:val="24"/>
                <w:lang w:eastAsia="lv-LV"/>
              </w:rPr>
              <w:t xml:space="preserve"> </w:t>
            </w:r>
            <w:r w:rsidRPr="004404B0">
              <w:rPr>
                <w:rFonts w:eastAsia="Times New Roman" w:cs="Times New Roman"/>
                <w:szCs w:val="24"/>
                <w:lang w:eastAsia="lv-LV"/>
              </w:rPr>
              <w:t xml:space="preserve">un </w:t>
            </w:r>
            <w:r w:rsidR="00FE1A8E" w:rsidRPr="004404B0">
              <w:rPr>
                <w:rFonts w:eastAsia="Times New Roman" w:cs="Times New Roman"/>
                <w:szCs w:val="24"/>
                <w:lang w:eastAsia="lv-LV"/>
              </w:rPr>
              <w:t>aprites kārtība (</w:t>
            </w:r>
            <w:r w:rsidRPr="004404B0">
              <w:rPr>
                <w:rFonts w:eastAsia="Times New Roman" w:cs="Times New Roman"/>
                <w:szCs w:val="24"/>
                <w:lang w:eastAsia="lv-LV"/>
              </w:rPr>
              <w:t xml:space="preserve">elektronisko rēķinu </w:t>
            </w:r>
            <w:r w:rsidR="000A1FBF" w:rsidRPr="004404B0">
              <w:rPr>
                <w:rFonts w:eastAsia="Times New Roman" w:cs="Times New Roman"/>
                <w:szCs w:val="24"/>
                <w:lang w:eastAsia="lv-LV"/>
              </w:rPr>
              <w:t>piegādes</w:t>
            </w:r>
            <w:r w:rsidRPr="004404B0">
              <w:rPr>
                <w:rFonts w:eastAsia="Times New Roman" w:cs="Times New Roman"/>
                <w:szCs w:val="24"/>
                <w:lang w:eastAsia="lv-LV"/>
              </w:rPr>
              <w:t xml:space="preserve"> kanāli</w:t>
            </w:r>
            <w:r w:rsidR="00FE1A8E" w:rsidRPr="004404B0">
              <w:rPr>
                <w:rFonts w:eastAsia="Times New Roman" w:cs="Times New Roman"/>
                <w:szCs w:val="24"/>
                <w:lang w:eastAsia="lv-LV"/>
              </w:rPr>
              <w:t>)</w:t>
            </w:r>
            <w:r w:rsidRPr="004404B0">
              <w:rPr>
                <w:rFonts w:eastAsia="Times New Roman" w:cs="Times New Roman"/>
                <w:szCs w:val="24"/>
                <w:lang w:eastAsia="lv-LV"/>
              </w:rPr>
              <w:t xml:space="preserve">. </w:t>
            </w:r>
          </w:p>
        </w:tc>
      </w:tr>
    </w:tbl>
    <w:p w14:paraId="3199C285" w14:textId="08DA667F" w:rsidR="00894C55" w:rsidRPr="004404B0" w:rsidRDefault="00894C55" w:rsidP="003765F2">
      <w:pPr>
        <w:shd w:val="clear" w:color="auto" w:fill="FFFFFF"/>
        <w:spacing w:after="0" w:line="240" w:lineRule="auto"/>
        <w:rPr>
          <w:rFonts w:eastAsia="Times New Roman" w:cs="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4404B0" w14:paraId="0337FCE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C824C8" w14:textId="77777777" w:rsidR="00894C55" w:rsidRPr="004404B0" w:rsidRDefault="00894C55" w:rsidP="000D5B9E">
            <w:pPr>
              <w:spacing w:after="60" w:line="240" w:lineRule="auto"/>
              <w:jc w:val="center"/>
              <w:rPr>
                <w:rFonts w:eastAsia="Times New Roman" w:cs="Times New Roman"/>
                <w:b/>
                <w:bCs/>
                <w:szCs w:val="24"/>
                <w:lang w:eastAsia="lv-LV"/>
              </w:rPr>
            </w:pPr>
            <w:r w:rsidRPr="004404B0">
              <w:rPr>
                <w:rFonts w:eastAsia="Times New Roman" w:cs="Times New Roman"/>
                <w:b/>
                <w:bCs/>
                <w:szCs w:val="24"/>
                <w:lang w:eastAsia="lv-LV"/>
              </w:rPr>
              <w:t>I.</w:t>
            </w:r>
            <w:r w:rsidR="0050178F" w:rsidRPr="004404B0">
              <w:rPr>
                <w:rFonts w:eastAsia="Times New Roman" w:cs="Times New Roman"/>
                <w:b/>
                <w:bCs/>
                <w:szCs w:val="24"/>
                <w:lang w:eastAsia="lv-LV"/>
              </w:rPr>
              <w:t> </w:t>
            </w:r>
            <w:r w:rsidRPr="004404B0">
              <w:rPr>
                <w:rFonts w:eastAsia="Times New Roman" w:cs="Times New Roman"/>
                <w:b/>
                <w:bCs/>
                <w:szCs w:val="24"/>
                <w:lang w:eastAsia="lv-LV"/>
              </w:rPr>
              <w:t>Tiesību akta projekta izstrādes nepieciešamība</w:t>
            </w:r>
          </w:p>
        </w:tc>
      </w:tr>
      <w:tr w:rsidR="0037321C" w:rsidRPr="004404B0" w14:paraId="0887C52B" w14:textId="77777777" w:rsidTr="00CD671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5EDE14B" w14:textId="77777777" w:rsidR="00894C55" w:rsidRPr="004404B0" w:rsidRDefault="00894C55" w:rsidP="000D5B9E">
            <w:pPr>
              <w:spacing w:after="0" w:line="240" w:lineRule="auto"/>
              <w:jc w:val="center"/>
              <w:rPr>
                <w:rFonts w:eastAsia="Times New Roman" w:cs="Times New Roman"/>
                <w:szCs w:val="24"/>
                <w:lang w:eastAsia="lv-LV"/>
              </w:rPr>
            </w:pPr>
            <w:r w:rsidRPr="004404B0">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61E8B6A4" w14:textId="77777777" w:rsidR="00894C55" w:rsidRPr="004404B0" w:rsidRDefault="00894C55" w:rsidP="000D5B9E">
            <w:pPr>
              <w:spacing w:after="0" w:line="240" w:lineRule="auto"/>
              <w:rPr>
                <w:rFonts w:eastAsia="Times New Roman" w:cs="Times New Roman"/>
                <w:szCs w:val="24"/>
                <w:lang w:eastAsia="lv-LV"/>
              </w:rPr>
            </w:pPr>
            <w:r w:rsidRPr="004404B0">
              <w:rPr>
                <w:rFonts w:eastAsia="Times New Roman" w:cs="Times New Roman"/>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hideMark/>
          </w:tcPr>
          <w:p w14:paraId="2217DD0B" w14:textId="5786495B" w:rsidR="00740FD1" w:rsidRPr="004404B0" w:rsidRDefault="00FC6ABD" w:rsidP="00D937EB">
            <w:pPr>
              <w:spacing w:after="60" w:line="240" w:lineRule="auto"/>
              <w:ind w:right="57"/>
              <w:jc w:val="both"/>
              <w:rPr>
                <w:rFonts w:eastAsia="Times New Roman" w:cs="Times New Roman"/>
                <w:szCs w:val="24"/>
                <w:lang w:eastAsia="lv-LV"/>
              </w:rPr>
            </w:pPr>
            <w:r w:rsidRPr="004404B0">
              <w:rPr>
                <w:rFonts w:cs="Times New Roman"/>
                <w:szCs w:val="24"/>
              </w:rPr>
              <w:t>Publisko iepirkumu likum</w:t>
            </w:r>
            <w:r w:rsidR="00D937EB">
              <w:rPr>
                <w:rFonts w:cs="Times New Roman"/>
                <w:szCs w:val="24"/>
              </w:rPr>
              <w:t>a</w:t>
            </w:r>
            <w:r w:rsidRPr="004404B0">
              <w:rPr>
                <w:rFonts w:cs="Times New Roman"/>
                <w:szCs w:val="24"/>
              </w:rPr>
              <w:t xml:space="preserve"> </w:t>
            </w:r>
            <w:r w:rsidR="004404B0" w:rsidRPr="004404B0">
              <w:rPr>
                <w:rFonts w:cs="Times New Roman"/>
                <w:szCs w:val="24"/>
              </w:rPr>
              <w:t>83</w:t>
            </w:r>
            <w:r w:rsidRPr="004404B0">
              <w:rPr>
                <w:rFonts w:cs="Times New Roman"/>
                <w:szCs w:val="24"/>
              </w:rPr>
              <w:t>.pants, Sabiedrisko pakalpojumu sniedzēju iepirkumu likum</w:t>
            </w:r>
            <w:r w:rsidR="00D937EB">
              <w:rPr>
                <w:rFonts w:cs="Times New Roman"/>
                <w:szCs w:val="24"/>
              </w:rPr>
              <w:t>a</w:t>
            </w:r>
            <w:r w:rsidRPr="004404B0">
              <w:rPr>
                <w:rFonts w:cs="Times New Roman"/>
                <w:szCs w:val="24"/>
              </w:rPr>
              <w:t xml:space="preserve"> </w:t>
            </w:r>
            <w:r w:rsidR="004404B0" w:rsidRPr="004404B0">
              <w:rPr>
                <w:rFonts w:cs="Times New Roman"/>
                <w:szCs w:val="24"/>
              </w:rPr>
              <w:t>89</w:t>
            </w:r>
            <w:r w:rsidR="00EF5E1A" w:rsidRPr="004404B0">
              <w:rPr>
                <w:rFonts w:cs="Times New Roman"/>
                <w:szCs w:val="24"/>
              </w:rPr>
              <w:t>.</w:t>
            </w:r>
            <w:r w:rsidRPr="004404B0">
              <w:rPr>
                <w:rFonts w:cs="Times New Roman"/>
                <w:szCs w:val="24"/>
              </w:rPr>
              <w:t>pants, Aizsardzības un drošības jomas iepirkumu likum</w:t>
            </w:r>
            <w:r w:rsidR="00D937EB">
              <w:rPr>
                <w:rFonts w:cs="Times New Roman"/>
                <w:szCs w:val="24"/>
              </w:rPr>
              <w:t>a</w:t>
            </w:r>
            <w:r w:rsidRPr="004404B0">
              <w:rPr>
                <w:rFonts w:cs="Times New Roman"/>
                <w:szCs w:val="24"/>
              </w:rPr>
              <w:t xml:space="preserve"> </w:t>
            </w:r>
            <w:r w:rsidR="004404B0" w:rsidRPr="004404B0">
              <w:rPr>
                <w:rFonts w:cs="Times New Roman"/>
                <w:szCs w:val="24"/>
              </w:rPr>
              <w:t>7</w:t>
            </w:r>
            <w:r w:rsidR="004404B0" w:rsidRPr="004404B0">
              <w:rPr>
                <w:rFonts w:cs="Times New Roman"/>
                <w:szCs w:val="24"/>
                <w:vertAlign w:val="superscript"/>
              </w:rPr>
              <w:t>1</w:t>
            </w:r>
            <w:r w:rsidRPr="004404B0">
              <w:rPr>
                <w:rFonts w:cs="Times New Roman"/>
                <w:szCs w:val="24"/>
              </w:rPr>
              <w:t>.pants, Publiskās un privātās partnerības likum</w:t>
            </w:r>
            <w:r w:rsidR="00D937EB">
              <w:rPr>
                <w:rFonts w:cs="Times New Roman"/>
                <w:szCs w:val="24"/>
              </w:rPr>
              <w:t>a</w:t>
            </w:r>
            <w:r w:rsidRPr="004404B0">
              <w:rPr>
                <w:rFonts w:cs="Times New Roman"/>
                <w:szCs w:val="24"/>
              </w:rPr>
              <w:t xml:space="preserve"> </w:t>
            </w:r>
            <w:r w:rsidR="004404B0" w:rsidRPr="004404B0">
              <w:rPr>
                <w:rFonts w:cs="Times New Roman"/>
                <w:szCs w:val="24"/>
              </w:rPr>
              <w:t>122</w:t>
            </w:r>
            <w:r w:rsidRPr="004404B0">
              <w:rPr>
                <w:rFonts w:cs="Times New Roman"/>
                <w:szCs w:val="24"/>
              </w:rPr>
              <w:t>.pants.</w:t>
            </w:r>
          </w:p>
        </w:tc>
      </w:tr>
      <w:tr w:rsidR="0037321C" w:rsidRPr="00E01332" w14:paraId="470D97BA" w14:textId="77777777" w:rsidTr="00CD671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BA3B1C0" w14:textId="77777777" w:rsidR="00894C55" w:rsidRPr="004404B0" w:rsidRDefault="00894C55" w:rsidP="000D5B9E">
            <w:pPr>
              <w:spacing w:after="0" w:line="240" w:lineRule="auto"/>
              <w:jc w:val="center"/>
              <w:rPr>
                <w:rFonts w:eastAsia="Times New Roman" w:cs="Times New Roman"/>
                <w:szCs w:val="24"/>
                <w:lang w:eastAsia="lv-LV"/>
              </w:rPr>
            </w:pPr>
            <w:r w:rsidRPr="004404B0">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31E6F642" w14:textId="2C163874" w:rsidR="00D64C04" w:rsidRDefault="00894C55" w:rsidP="000D5B9E">
            <w:pPr>
              <w:spacing w:after="0" w:line="240" w:lineRule="auto"/>
              <w:rPr>
                <w:rFonts w:eastAsia="Times New Roman" w:cs="Times New Roman"/>
                <w:szCs w:val="24"/>
                <w:lang w:eastAsia="lv-LV"/>
              </w:rPr>
            </w:pPr>
            <w:r w:rsidRPr="004404B0">
              <w:rPr>
                <w:rFonts w:eastAsia="Times New Roman" w:cs="Times New Roman"/>
                <w:szCs w:val="24"/>
                <w:lang w:eastAsia="lv-LV"/>
              </w:rPr>
              <w:t>Pašreizējā situācija un problēmas, kuru risināšanai tiesību akta projekts izstrādāts, tiesiskā regulējuma mērķis un būtība</w:t>
            </w:r>
          </w:p>
          <w:p w14:paraId="08B64E70" w14:textId="77777777" w:rsidR="00D64C04" w:rsidRPr="00D64C04" w:rsidRDefault="00D64C04" w:rsidP="00D64C04">
            <w:pPr>
              <w:rPr>
                <w:rFonts w:eastAsia="Times New Roman" w:cs="Times New Roman"/>
                <w:szCs w:val="24"/>
                <w:lang w:eastAsia="lv-LV"/>
              </w:rPr>
            </w:pPr>
          </w:p>
          <w:p w14:paraId="73C55FA1" w14:textId="77777777" w:rsidR="00D64C04" w:rsidRPr="00D64C04" w:rsidRDefault="00D64C04" w:rsidP="00D64C04">
            <w:pPr>
              <w:rPr>
                <w:rFonts w:eastAsia="Times New Roman" w:cs="Times New Roman"/>
                <w:szCs w:val="24"/>
                <w:lang w:eastAsia="lv-LV"/>
              </w:rPr>
            </w:pPr>
          </w:p>
          <w:p w14:paraId="75A74FD7" w14:textId="77777777" w:rsidR="00D64C04" w:rsidRPr="00D64C04" w:rsidRDefault="00D64C04" w:rsidP="00D64C04">
            <w:pPr>
              <w:rPr>
                <w:rFonts w:eastAsia="Times New Roman" w:cs="Times New Roman"/>
                <w:szCs w:val="24"/>
                <w:lang w:eastAsia="lv-LV"/>
              </w:rPr>
            </w:pPr>
          </w:p>
          <w:p w14:paraId="04D4267D" w14:textId="77777777" w:rsidR="00D64C04" w:rsidRPr="00D64C04" w:rsidRDefault="00D64C04" w:rsidP="00D64C04">
            <w:pPr>
              <w:rPr>
                <w:rFonts w:eastAsia="Times New Roman" w:cs="Times New Roman"/>
                <w:szCs w:val="24"/>
                <w:lang w:eastAsia="lv-LV"/>
              </w:rPr>
            </w:pPr>
          </w:p>
          <w:p w14:paraId="6445C55E" w14:textId="77777777" w:rsidR="00D64C04" w:rsidRPr="00D64C04" w:rsidRDefault="00D64C04" w:rsidP="00D64C04">
            <w:pPr>
              <w:rPr>
                <w:rFonts w:eastAsia="Times New Roman" w:cs="Times New Roman"/>
                <w:szCs w:val="24"/>
                <w:lang w:eastAsia="lv-LV"/>
              </w:rPr>
            </w:pPr>
          </w:p>
          <w:p w14:paraId="2F8DEEF7" w14:textId="77777777" w:rsidR="00D64C04" w:rsidRPr="00D64C04" w:rsidRDefault="00D64C04" w:rsidP="00D64C04">
            <w:pPr>
              <w:rPr>
                <w:rFonts w:eastAsia="Times New Roman" w:cs="Times New Roman"/>
                <w:szCs w:val="24"/>
                <w:lang w:eastAsia="lv-LV"/>
              </w:rPr>
            </w:pPr>
          </w:p>
          <w:p w14:paraId="13C97E80" w14:textId="77777777" w:rsidR="00D64C04" w:rsidRPr="00D64C04" w:rsidRDefault="00D64C04" w:rsidP="00D64C04">
            <w:pPr>
              <w:rPr>
                <w:rFonts w:eastAsia="Times New Roman" w:cs="Times New Roman"/>
                <w:szCs w:val="24"/>
                <w:lang w:eastAsia="lv-LV"/>
              </w:rPr>
            </w:pPr>
          </w:p>
          <w:p w14:paraId="7E3335D1" w14:textId="77777777" w:rsidR="00D64C04" w:rsidRPr="00D64C04" w:rsidRDefault="00D64C04" w:rsidP="00D64C04">
            <w:pPr>
              <w:rPr>
                <w:rFonts w:eastAsia="Times New Roman" w:cs="Times New Roman"/>
                <w:szCs w:val="24"/>
                <w:lang w:eastAsia="lv-LV"/>
              </w:rPr>
            </w:pPr>
          </w:p>
          <w:p w14:paraId="7D3A2FE8" w14:textId="77777777" w:rsidR="00D64C04" w:rsidRPr="00D64C04" w:rsidRDefault="00D64C04" w:rsidP="00D64C04">
            <w:pPr>
              <w:rPr>
                <w:rFonts w:eastAsia="Times New Roman" w:cs="Times New Roman"/>
                <w:szCs w:val="24"/>
                <w:lang w:eastAsia="lv-LV"/>
              </w:rPr>
            </w:pPr>
          </w:p>
          <w:p w14:paraId="67E2C52C" w14:textId="77777777" w:rsidR="00D64C04" w:rsidRPr="00D64C04" w:rsidRDefault="00D64C04" w:rsidP="00D64C04">
            <w:pPr>
              <w:rPr>
                <w:rFonts w:eastAsia="Times New Roman" w:cs="Times New Roman"/>
                <w:szCs w:val="24"/>
                <w:lang w:eastAsia="lv-LV"/>
              </w:rPr>
            </w:pPr>
          </w:p>
          <w:p w14:paraId="4F659D73" w14:textId="77777777" w:rsidR="00D64C04" w:rsidRPr="00D64C04" w:rsidRDefault="00D64C04" w:rsidP="00D64C04">
            <w:pPr>
              <w:rPr>
                <w:rFonts w:eastAsia="Times New Roman" w:cs="Times New Roman"/>
                <w:szCs w:val="24"/>
                <w:lang w:eastAsia="lv-LV"/>
              </w:rPr>
            </w:pPr>
          </w:p>
          <w:p w14:paraId="693AEF15" w14:textId="77777777" w:rsidR="00D64C04" w:rsidRPr="00D64C04" w:rsidRDefault="00D64C04" w:rsidP="00D64C04">
            <w:pPr>
              <w:rPr>
                <w:rFonts w:eastAsia="Times New Roman" w:cs="Times New Roman"/>
                <w:szCs w:val="24"/>
                <w:lang w:eastAsia="lv-LV"/>
              </w:rPr>
            </w:pPr>
          </w:p>
          <w:p w14:paraId="6B807B07" w14:textId="14F2E74D" w:rsidR="00D64C04" w:rsidRDefault="00D64C04" w:rsidP="00D64C04">
            <w:pPr>
              <w:rPr>
                <w:rFonts w:eastAsia="Times New Roman" w:cs="Times New Roman"/>
                <w:szCs w:val="24"/>
                <w:lang w:eastAsia="lv-LV"/>
              </w:rPr>
            </w:pPr>
          </w:p>
          <w:p w14:paraId="45A03350" w14:textId="77777777" w:rsidR="00894C55" w:rsidRPr="00D64C04" w:rsidRDefault="00894C55" w:rsidP="00D64C04">
            <w:pPr>
              <w:jc w:val="center"/>
              <w:rPr>
                <w:rFonts w:eastAsia="Times New Roman" w:cs="Times New Roman"/>
                <w:szCs w:val="24"/>
                <w:lang w:eastAsia="lv-LV"/>
              </w:rPr>
            </w:pPr>
          </w:p>
        </w:tc>
        <w:tc>
          <w:tcPr>
            <w:tcW w:w="3373" w:type="pct"/>
            <w:tcBorders>
              <w:top w:val="outset" w:sz="6" w:space="0" w:color="414142"/>
              <w:left w:val="outset" w:sz="6" w:space="0" w:color="414142"/>
              <w:bottom w:val="outset" w:sz="6" w:space="0" w:color="414142"/>
              <w:right w:val="outset" w:sz="6" w:space="0" w:color="414142"/>
            </w:tcBorders>
            <w:hideMark/>
          </w:tcPr>
          <w:p w14:paraId="0481FDD9" w14:textId="724EE150" w:rsidR="004C7A0B" w:rsidRPr="004404B0" w:rsidRDefault="00FC6ABD" w:rsidP="00B33365">
            <w:pPr>
              <w:spacing w:after="0" w:line="240" w:lineRule="auto"/>
              <w:ind w:right="57"/>
              <w:jc w:val="both"/>
              <w:rPr>
                <w:color w:val="000000"/>
                <w:spacing w:val="-2"/>
                <w:szCs w:val="24"/>
                <w:shd w:val="clear" w:color="auto" w:fill="FFFFFF"/>
              </w:rPr>
            </w:pPr>
            <w:r w:rsidRPr="004404B0">
              <w:rPr>
                <w:rFonts w:cs="Times New Roman"/>
                <w:szCs w:val="24"/>
              </w:rPr>
              <w:t>Publisko iepirkumu likum</w:t>
            </w:r>
            <w:r w:rsidR="001719F0" w:rsidRPr="004404B0">
              <w:rPr>
                <w:rFonts w:cs="Times New Roman"/>
                <w:szCs w:val="24"/>
              </w:rPr>
              <w:t>a</w:t>
            </w:r>
            <w:r w:rsidRPr="004404B0">
              <w:rPr>
                <w:rFonts w:cs="Times New Roman"/>
                <w:szCs w:val="24"/>
              </w:rPr>
              <w:t xml:space="preserve"> </w:t>
            </w:r>
            <w:r w:rsidR="004404B0" w:rsidRPr="004404B0">
              <w:rPr>
                <w:rFonts w:cs="Times New Roman"/>
                <w:szCs w:val="24"/>
              </w:rPr>
              <w:t>83</w:t>
            </w:r>
            <w:r w:rsidRPr="004404B0">
              <w:rPr>
                <w:rFonts w:cs="Times New Roman"/>
                <w:szCs w:val="24"/>
              </w:rPr>
              <w:t>.pantā, Sabiedrisko pakalpojumu sniedzēju iepirkumu likum</w:t>
            </w:r>
            <w:r w:rsidR="001719F0" w:rsidRPr="004404B0">
              <w:rPr>
                <w:rFonts w:cs="Times New Roman"/>
                <w:szCs w:val="24"/>
              </w:rPr>
              <w:t>a</w:t>
            </w:r>
            <w:r w:rsidRPr="004404B0">
              <w:rPr>
                <w:rFonts w:cs="Times New Roman"/>
                <w:szCs w:val="24"/>
              </w:rPr>
              <w:t xml:space="preserve"> </w:t>
            </w:r>
            <w:r w:rsidR="004404B0" w:rsidRPr="004404B0">
              <w:rPr>
                <w:rFonts w:cs="Times New Roman"/>
                <w:szCs w:val="24"/>
              </w:rPr>
              <w:t>89</w:t>
            </w:r>
            <w:r w:rsidRPr="004404B0">
              <w:rPr>
                <w:rFonts w:cs="Times New Roman"/>
                <w:szCs w:val="24"/>
              </w:rPr>
              <w:t>.pantā, Aizsardzības un drošības jomas iepirkumu likum</w:t>
            </w:r>
            <w:r w:rsidR="001719F0" w:rsidRPr="004404B0">
              <w:rPr>
                <w:rFonts w:cs="Times New Roman"/>
                <w:szCs w:val="24"/>
              </w:rPr>
              <w:t>a</w:t>
            </w:r>
            <w:r w:rsidRPr="004404B0">
              <w:rPr>
                <w:rFonts w:cs="Times New Roman"/>
                <w:szCs w:val="24"/>
              </w:rPr>
              <w:t xml:space="preserve"> </w:t>
            </w:r>
            <w:r w:rsidR="004404B0" w:rsidRPr="004404B0">
              <w:rPr>
                <w:rFonts w:cs="Times New Roman"/>
                <w:szCs w:val="24"/>
              </w:rPr>
              <w:t>7</w:t>
            </w:r>
            <w:r w:rsidR="004404B0" w:rsidRPr="004404B0">
              <w:rPr>
                <w:rFonts w:cs="Times New Roman"/>
                <w:szCs w:val="24"/>
                <w:vertAlign w:val="superscript"/>
              </w:rPr>
              <w:t>1</w:t>
            </w:r>
            <w:r w:rsidRPr="004404B0">
              <w:rPr>
                <w:rFonts w:cs="Times New Roman"/>
                <w:szCs w:val="24"/>
              </w:rPr>
              <w:t>.pantā, Publiskās un privātās partnerības likum</w:t>
            </w:r>
            <w:r w:rsidR="001719F0" w:rsidRPr="004404B0">
              <w:rPr>
                <w:rFonts w:cs="Times New Roman"/>
                <w:szCs w:val="24"/>
              </w:rPr>
              <w:t>a</w:t>
            </w:r>
            <w:r w:rsidRPr="004404B0">
              <w:rPr>
                <w:rFonts w:cs="Times New Roman"/>
                <w:szCs w:val="24"/>
              </w:rPr>
              <w:t xml:space="preserve"> </w:t>
            </w:r>
            <w:r w:rsidR="004404B0" w:rsidRPr="004404B0">
              <w:rPr>
                <w:rFonts w:cs="Times New Roman"/>
                <w:szCs w:val="24"/>
              </w:rPr>
              <w:t>122</w:t>
            </w:r>
            <w:r w:rsidRPr="004404B0">
              <w:rPr>
                <w:rFonts w:cs="Times New Roman"/>
                <w:szCs w:val="24"/>
              </w:rPr>
              <w:t>.pantā ir noteikts deleģējums Ministru kabinetam noteikt</w:t>
            </w:r>
            <w:r w:rsidR="0055371F" w:rsidRPr="004404B0">
              <w:rPr>
                <w:rFonts w:cs="Times New Roman"/>
                <w:szCs w:val="24"/>
              </w:rPr>
              <w:t xml:space="preserve"> </w:t>
            </w:r>
            <w:r w:rsidRPr="004404B0">
              <w:rPr>
                <w:color w:val="000000"/>
                <w:szCs w:val="24"/>
                <w:shd w:val="clear" w:color="auto" w:fill="FFFFFF"/>
              </w:rPr>
              <w:t>piemērojamo elektroniskā rēķina </w:t>
            </w:r>
            <w:r w:rsidRPr="004404B0">
              <w:rPr>
                <w:color w:val="000000"/>
                <w:spacing w:val="-2"/>
                <w:szCs w:val="24"/>
                <w:shd w:val="clear" w:color="auto" w:fill="FFFFFF"/>
              </w:rPr>
              <w:t>standartu</w:t>
            </w:r>
            <w:r w:rsidR="00390205" w:rsidRPr="004404B0">
              <w:rPr>
                <w:color w:val="000000"/>
                <w:spacing w:val="-2"/>
                <w:szCs w:val="24"/>
                <w:shd w:val="clear" w:color="auto" w:fill="FFFFFF"/>
              </w:rPr>
              <w:t>,</w:t>
            </w:r>
            <w:r w:rsidRPr="004404B0">
              <w:rPr>
                <w:color w:val="000000"/>
                <w:spacing w:val="-2"/>
                <w:szCs w:val="24"/>
                <w:shd w:val="clear" w:color="auto" w:fill="FFFFFF"/>
              </w:rPr>
              <w:t xml:space="preserve"> tā pamatelementu izmantošanas specifikāciju un </w:t>
            </w:r>
            <w:r w:rsidR="003765F2" w:rsidRPr="004404B0">
              <w:rPr>
                <w:color w:val="000000"/>
                <w:spacing w:val="-2"/>
                <w:szCs w:val="24"/>
                <w:shd w:val="clear" w:color="auto" w:fill="FFFFFF"/>
              </w:rPr>
              <w:t>aprites</w:t>
            </w:r>
            <w:r w:rsidRPr="004404B0">
              <w:rPr>
                <w:color w:val="000000"/>
                <w:spacing w:val="-2"/>
                <w:szCs w:val="24"/>
                <w:shd w:val="clear" w:color="auto" w:fill="FFFFFF"/>
              </w:rPr>
              <w:t xml:space="preserve"> kārtību.</w:t>
            </w:r>
          </w:p>
          <w:p w14:paraId="74A49469" w14:textId="6DD1AA20" w:rsidR="00C25F70" w:rsidRPr="004404B0" w:rsidRDefault="00C25F70" w:rsidP="00B33365">
            <w:pPr>
              <w:spacing w:after="0" w:line="240" w:lineRule="auto"/>
              <w:ind w:right="57"/>
              <w:jc w:val="both"/>
              <w:rPr>
                <w:color w:val="000000"/>
                <w:spacing w:val="-2"/>
                <w:szCs w:val="24"/>
                <w:shd w:val="clear" w:color="auto" w:fill="FFFFFF"/>
              </w:rPr>
            </w:pPr>
          </w:p>
          <w:p w14:paraId="62054B0E" w14:textId="121F5C58" w:rsidR="00C25F70" w:rsidRPr="004404B0" w:rsidRDefault="007A1F7C" w:rsidP="00B33365">
            <w:pPr>
              <w:spacing w:after="0" w:line="240" w:lineRule="auto"/>
              <w:ind w:right="57"/>
              <w:jc w:val="both"/>
              <w:rPr>
                <w:b/>
                <w:color w:val="000000"/>
                <w:spacing w:val="-2"/>
                <w:szCs w:val="24"/>
                <w:shd w:val="clear" w:color="auto" w:fill="FFFFFF"/>
              </w:rPr>
            </w:pPr>
            <w:r w:rsidRPr="004404B0">
              <w:rPr>
                <w:b/>
                <w:color w:val="000000"/>
                <w:spacing w:val="-2"/>
                <w:szCs w:val="24"/>
                <w:shd w:val="clear" w:color="auto" w:fill="FFFFFF"/>
              </w:rPr>
              <w:t>Regulējuma ietekme</w:t>
            </w:r>
            <w:r w:rsidR="00945A81" w:rsidRPr="004404B0">
              <w:rPr>
                <w:b/>
                <w:color w:val="000000"/>
                <w:spacing w:val="-2"/>
                <w:szCs w:val="24"/>
                <w:shd w:val="clear" w:color="auto" w:fill="FFFFFF"/>
              </w:rPr>
              <w:t xml:space="preserve"> </w:t>
            </w:r>
          </w:p>
          <w:p w14:paraId="6D89CE62" w14:textId="73D07CB6" w:rsidR="004808E8" w:rsidRPr="004404B0" w:rsidRDefault="00114F6A" w:rsidP="00B33365">
            <w:pPr>
              <w:spacing w:after="0" w:line="240" w:lineRule="auto"/>
              <w:ind w:right="57"/>
              <w:jc w:val="both"/>
              <w:rPr>
                <w:color w:val="000000"/>
                <w:shd w:val="clear" w:color="auto" w:fill="FFFFFF"/>
              </w:rPr>
            </w:pPr>
            <w:r>
              <w:rPr>
                <w:color w:val="000000"/>
                <w:shd w:val="clear" w:color="auto" w:fill="FFFFFF"/>
              </w:rPr>
              <w:t>Pa</w:t>
            </w:r>
            <w:r w:rsidR="00242175">
              <w:rPr>
                <w:color w:val="000000"/>
                <w:shd w:val="clear" w:color="auto" w:fill="FFFFFF"/>
              </w:rPr>
              <w:t>p</w:t>
            </w:r>
            <w:r>
              <w:rPr>
                <w:color w:val="000000"/>
                <w:shd w:val="clear" w:color="auto" w:fill="FFFFFF"/>
              </w:rPr>
              <w:t>īra formātā sagatavotu r</w:t>
            </w:r>
            <w:r w:rsidR="004B122A" w:rsidRPr="004404B0">
              <w:rPr>
                <w:color w:val="000000"/>
                <w:shd w:val="clear" w:color="auto" w:fill="FFFFFF"/>
              </w:rPr>
              <w:t>ēķinu iesniegšana pasūtītājiem, sabiedrisko pakalpojumu sniedzējiem vai publiskajiem partneriem vai t</w:t>
            </w:r>
            <w:r w:rsidR="007A1F7C" w:rsidRPr="004404B0">
              <w:rPr>
                <w:color w:val="000000"/>
                <w:shd w:val="clear" w:color="auto" w:fill="FFFFFF"/>
              </w:rPr>
              <w:t>o</w:t>
            </w:r>
            <w:r w:rsidR="004B122A" w:rsidRPr="004404B0">
              <w:rPr>
                <w:color w:val="000000"/>
                <w:shd w:val="clear" w:color="auto" w:fill="FFFFFF"/>
              </w:rPr>
              <w:t xml:space="preserve"> pārstāvjiem </w:t>
            </w:r>
            <w:r w:rsidR="00CB289E">
              <w:rPr>
                <w:color w:val="000000"/>
                <w:shd w:val="clear" w:color="auto" w:fill="FFFFFF"/>
              </w:rPr>
              <w:t xml:space="preserve">šobrīd </w:t>
            </w:r>
            <w:r w:rsidR="004B122A" w:rsidRPr="004404B0">
              <w:rPr>
                <w:color w:val="000000"/>
                <w:shd w:val="clear" w:color="auto" w:fill="FFFFFF"/>
              </w:rPr>
              <w:t xml:space="preserve">paliek nemainīga. </w:t>
            </w:r>
            <w:r w:rsidR="004808E8" w:rsidRPr="004404B0">
              <w:rPr>
                <w:color w:val="000000"/>
                <w:shd w:val="clear" w:color="auto" w:fill="FFFFFF"/>
              </w:rPr>
              <w:t>Publisko iepirkumu likums, Sabiedrisko pakalpojumu sniedzēju iepirkumu likums, Aizsardzības un drošības jomas iepirkumu likums, Publiskās un privātās partnerības likums un noteikumu projekts</w:t>
            </w:r>
            <w:r>
              <w:rPr>
                <w:color w:val="000000"/>
                <w:shd w:val="clear" w:color="auto" w:fill="FFFFFF"/>
              </w:rPr>
              <w:t>, kā arī citi normatīvie akti</w:t>
            </w:r>
            <w:r w:rsidR="004808E8" w:rsidRPr="004404B0">
              <w:rPr>
                <w:color w:val="000000"/>
                <w:shd w:val="clear" w:color="auto" w:fill="FFFFFF"/>
              </w:rPr>
              <w:t xml:space="preserve"> </w:t>
            </w:r>
            <w:r>
              <w:rPr>
                <w:color w:val="000000"/>
                <w:shd w:val="clear" w:color="auto" w:fill="FFFFFF"/>
              </w:rPr>
              <w:t xml:space="preserve">šobrīd </w:t>
            </w:r>
            <w:r w:rsidR="00CB289E">
              <w:rPr>
                <w:color w:val="000000"/>
                <w:shd w:val="clear" w:color="auto" w:fill="FFFFFF"/>
              </w:rPr>
              <w:t>dod tiesības iesniegt elektroniskos rēķinus, bet neuzliek to par pienākumu</w:t>
            </w:r>
            <w:r w:rsidR="004808E8" w:rsidRPr="004404B0">
              <w:rPr>
                <w:color w:val="000000"/>
                <w:shd w:val="clear" w:color="auto" w:fill="FFFFFF"/>
              </w:rPr>
              <w:t xml:space="preserve">, </w:t>
            </w:r>
            <w:r>
              <w:rPr>
                <w:color w:val="000000"/>
                <w:shd w:val="clear" w:color="auto" w:fill="FFFFFF"/>
              </w:rPr>
              <w:t xml:space="preserve">tādējādi </w:t>
            </w:r>
            <w:r w:rsidR="004808E8" w:rsidRPr="004404B0">
              <w:rPr>
                <w:color w:val="000000"/>
                <w:shd w:val="clear" w:color="auto" w:fill="FFFFFF"/>
              </w:rPr>
              <w:t>piegādātāji joprojām būs tiesīgi iesniegt rēķinus papīra formātā</w:t>
            </w:r>
            <w:r>
              <w:rPr>
                <w:color w:val="000000"/>
                <w:shd w:val="clear" w:color="auto" w:fill="FFFFFF"/>
              </w:rPr>
              <w:t xml:space="preserve">. </w:t>
            </w:r>
          </w:p>
          <w:p w14:paraId="1AF939C5" w14:textId="46318D31" w:rsidR="0010129B" w:rsidRPr="004404B0" w:rsidRDefault="00114F6A" w:rsidP="00B33365">
            <w:pPr>
              <w:spacing w:after="0" w:line="240" w:lineRule="auto"/>
              <w:ind w:right="57"/>
              <w:jc w:val="both"/>
              <w:rPr>
                <w:color w:val="000000"/>
                <w:spacing w:val="-2"/>
                <w:szCs w:val="24"/>
                <w:shd w:val="clear" w:color="auto" w:fill="FFFFFF"/>
              </w:rPr>
            </w:pPr>
            <w:r>
              <w:rPr>
                <w:color w:val="000000"/>
                <w:shd w:val="clear" w:color="auto" w:fill="FFFFFF"/>
              </w:rPr>
              <w:t>Minēto l</w:t>
            </w:r>
            <w:r w:rsidR="004808E8" w:rsidRPr="004404B0">
              <w:rPr>
                <w:color w:val="000000"/>
                <w:shd w:val="clear" w:color="auto" w:fill="FFFFFF"/>
              </w:rPr>
              <w:t>ikumu</w:t>
            </w:r>
            <w:r w:rsidR="003B6CA4" w:rsidRPr="004404B0">
              <w:rPr>
                <w:color w:val="000000"/>
                <w:shd w:val="clear" w:color="auto" w:fill="FFFFFF"/>
              </w:rPr>
              <w:t xml:space="preserve"> un n</w:t>
            </w:r>
            <w:r w:rsidR="00C533DC" w:rsidRPr="004404B0">
              <w:rPr>
                <w:color w:val="000000"/>
                <w:shd w:val="clear" w:color="auto" w:fill="FFFFFF"/>
              </w:rPr>
              <w:t xml:space="preserve">oteikumu </w:t>
            </w:r>
            <w:r w:rsidR="003B6CA4" w:rsidRPr="004404B0">
              <w:rPr>
                <w:color w:val="000000"/>
                <w:shd w:val="clear" w:color="auto" w:fill="FFFFFF"/>
              </w:rPr>
              <w:t xml:space="preserve">projekta regulējums </w:t>
            </w:r>
            <w:r w:rsidR="00C533DC" w:rsidRPr="004404B0">
              <w:rPr>
                <w:color w:val="000000"/>
                <w:shd w:val="clear" w:color="auto" w:fill="FFFFFF"/>
              </w:rPr>
              <w:t xml:space="preserve">paredz ar </w:t>
            </w:r>
            <w:r w:rsidR="00215FBB" w:rsidRPr="004404B0">
              <w:rPr>
                <w:color w:val="000000"/>
                <w:spacing w:val="-2"/>
                <w:szCs w:val="24"/>
                <w:shd w:val="clear" w:color="auto" w:fill="FFFFFF"/>
              </w:rPr>
              <w:t>Eiropas Parlamenta un Padomes 2014.gada 1</w:t>
            </w:r>
            <w:r w:rsidR="003B0BC3" w:rsidRPr="004404B0">
              <w:rPr>
                <w:color w:val="000000"/>
                <w:spacing w:val="-2"/>
                <w:szCs w:val="24"/>
                <w:shd w:val="clear" w:color="auto" w:fill="FFFFFF"/>
              </w:rPr>
              <w:t>6.</w:t>
            </w:r>
            <w:r w:rsidR="00215FBB" w:rsidRPr="004404B0">
              <w:rPr>
                <w:color w:val="000000"/>
                <w:spacing w:val="-2"/>
                <w:szCs w:val="24"/>
                <w:shd w:val="clear" w:color="auto" w:fill="FFFFFF"/>
              </w:rPr>
              <w:t>aprīļa direktīvu 2014/55/ES par elektroniskajiem rēķiniem publiskā iepirkuma procedūrās īstenošanu</w:t>
            </w:r>
            <w:r w:rsidR="00215FBB" w:rsidRPr="004404B0">
              <w:rPr>
                <w:color w:val="000000"/>
                <w:shd w:val="clear" w:color="auto" w:fill="FFFFFF"/>
              </w:rPr>
              <w:t xml:space="preserve"> (turpmāk - direktīva</w:t>
            </w:r>
            <w:r w:rsidR="00C533DC" w:rsidRPr="004404B0">
              <w:rPr>
                <w:color w:val="000000"/>
                <w:shd w:val="clear" w:color="auto" w:fill="FFFFFF"/>
              </w:rPr>
              <w:t xml:space="preserve"> 2014/55/ES</w:t>
            </w:r>
            <w:r w:rsidR="00215FBB" w:rsidRPr="004404B0">
              <w:rPr>
                <w:color w:val="000000"/>
                <w:shd w:val="clear" w:color="auto" w:fill="FFFFFF"/>
              </w:rPr>
              <w:t>)</w:t>
            </w:r>
            <w:r w:rsidR="00C533DC" w:rsidRPr="004404B0">
              <w:rPr>
                <w:color w:val="000000"/>
                <w:shd w:val="clear" w:color="auto" w:fill="FFFFFF"/>
              </w:rPr>
              <w:t xml:space="preserve"> noteikto pienākumu pasūtītājiem, sabiedrisko pakalpojumu sniedzējiem un publiskajiem partneriem vai to pārstāvjiem pieņemt un apstrādāt</w:t>
            </w:r>
            <w:r w:rsidR="003B6CA4" w:rsidRPr="004404B0">
              <w:rPr>
                <w:color w:val="000000"/>
                <w:shd w:val="clear" w:color="auto" w:fill="FFFFFF"/>
              </w:rPr>
              <w:t xml:space="preserve"> elektronisko</w:t>
            </w:r>
            <w:r w:rsidR="000C3995" w:rsidRPr="004404B0">
              <w:rPr>
                <w:color w:val="000000"/>
                <w:shd w:val="clear" w:color="auto" w:fill="FFFFFF"/>
              </w:rPr>
              <w:t>s</w:t>
            </w:r>
            <w:r w:rsidR="003B6CA4" w:rsidRPr="004404B0">
              <w:rPr>
                <w:color w:val="000000"/>
                <w:shd w:val="clear" w:color="auto" w:fill="FFFFFF"/>
              </w:rPr>
              <w:t xml:space="preserve"> rēķinus, kas atbilst </w:t>
            </w:r>
            <w:r>
              <w:rPr>
                <w:color w:val="000000"/>
                <w:shd w:val="clear" w:color="auto" w:fill="FFFFFF"/>
              </w:rPr>
              <w:t xml:space="preserve">šo </w:t>
            </w:r>
            <w:r w:rsidR="004808E8" w:rsidRPr="004404B0">
              <w:rPr>
                <w:color w:val="000000"/>
                <w:shd w:val="clear" w:color="auto" w:fill="FFFFFF"/>
              </w:rPr>
              <w:t>likumu</w:t>
            </w:r>
            <w:r w:rsidR="003B6CA4" w:rsidRPr="004404B0">
              <w:rPr>
                <w:color w:val="000000"/>
                <w:shd w:val="clear" w:color="auto" w:fill="FFFFFF"/>
              </w:rPr>
              <w:t xml:space="preserve"> un noteikumu projektā noteiktajām prasībām.</w:t>
            </w:r>
            <w:r w:rsidR="00180714" w:rsidRPr="004404B0">
              <w:rPr>
                <w:color w:val="000000"/>
                <w:shd w:val="clear" w:color="auto" w:fill="FFFFFF"/>
              </w:rPr>
              <w:t xml:space="preserve"> Tādējādi</w:t>
            </w:r>
            <w:r w:rsidR="0010129B" w:rsidRPr="004404B0">
              <w:rPr>
                <w:color w:val="000000"/>
                <w:shd w:val="clear" w:color="auto" w:fill="FFFFFF"/>
              </w:rPr>
              <w:t>, ja piegādātājs izvēl</w:t>
            </w:r>
            <w:r w:rsidR="00AF5FF0">
              <w:rPr>
                <w:color w:val="000000"/>
                <w:shd w:val="clear" w:color="auto" w:fill="FFFFFF"/>
              </w:rPr>
              <w:t>ēsies</w:t>
            </w:r>
            <w:r w:rsidR="0010129B" w:rsidRPr="004404B0">
              <w:rPr>
                <w:color w:val="000000"/>
                <w:shd w:val="clear" w:color="auto" w:fill="FFFFFF"/>
              </w:rPr>
              <w:t xml:space="preserve"> rēķinu </w:t>
            </w:r>
            <w:r w:rsidR="00AF5FF0">
              <w:rPr>
                <w:color w:val="000000"/>
                <w:shd w:val="clear" w:color="auto" w:fill="FFFFFF"/>
              </w:rPr>
              <w:t xml:space="preserve">sagatavot un </w:t>
            </w:r>
            <w:r w:rsidR="0010129B" w:rsidRPr="004404B0">
              <w:rPr>
                <w:color w:val="000000"/>
                <w:shd w:val="clear" w:color="auto" w:fill="FFFFFF"/>
              </w:rPr>
              <w:t>iesniegt elektroniskā veidā</w:t>
            </w:r>
            <w:r w:rsidR="007A1F7C" w:rsidRPr="004404B0">
              <w:rPr>
                <w:color w:val="000000"/>
                <w:shd w:val="clear" w:color="auto" w:fill="FFFFFF"/>
              </w:rPr>
              <w:t>, tas</w:t>
            </w:r>
            <w:r w:rsidR="00AF5FF0">
              <w:rPr>
                <w:color w:val="000000"/>
                <w:shd w:val="clear" w:color="auto" w:fill="FFFFFF"/>
              </w:rPr>
              <w:t xml:space="preserve">, ievērojot minētos likumus un šos noteikumus, rēķinu sagatavos un iesniegs </w:t>
            </w:r>
            <w:r w:rsidR="00180714" w:rsidRPr="004404B0">
              <w:rPr>
                <w:color w:val="000000"/>
                <w:shd w:val="clear" w:color="auto" w:fill="FFFFFF"/>
              </w:rPr>
              <w:t xml:space="preserve">atbilstoši </w:t>
            </w:r>
            <w:r w:rsidR="003B6CA4" w:rsidRPr="004404B0">
              <w:rPr>
                <w:color w:val="000000"/>
                <w:shd w:val="clear" w:color="auto" w:fill="FFFFFF"/>
              </w:rPr>
              <w:t>direktīv</w:t>
            </w:r>
            <w:r w:rsidR="000C3995" w:rsidRPr="004404B0">
              <w:rPr>
                <w:color w:val="000000"/>
                <w:shd w:val="clear" w:color="auto" w:fill="FFFFFF"/>
              </w:rPr>
              <w:t>as</w:t>
            </w:r>
            <w:r w:rsidR="003B6CA4" w:rsidRPr="004404B0">
              <w:rPr>
                <w:color w:val="000000"/>
                <w:shd w:val="clear" w:color="auto" w:fill="FFFFFF"/>
              </w:rPr>
              <w:t xml:space="preserve"> </w:t>
            </w:r>
            <w:r w:rsidR="00180714" w:rsidRPr="004404B0">
              <w:rPr>
                <w:color w:val="000000"/>
                <w:shd w:val="clear" w:color="auto" w:fill="FFFFFF"/>
              </w:rPr>
              <w:lastRenderedPageBreak/>
              <w:t xml:space="preserve">2014/55/ES </w:t>
            </w:r>
            <w:r w:rsidR="000C3995" w:rsidRPr="004404B0">
              <w:rPr>
                <w:color w:val="000000"/>
                <w:shd w:val="clear" w:color="auto" w:fill="FFFFFF"/>
              </w:rPr>
              <w:t xml:space="preserve">un Eiropas </w:t>
            </w:r>
            <w:r w:rsidR="000C3995" w:rsidRPr="004404B0">
              <w:rPr>
                <w:color w:val="000000"/>
                <w:spacing w:val="-2"/>
                <w:szCs w:val="24"/>
                <w:shd w:val="clear" w:color="auto" w:fill="FFFFFF"/>
              </w:rPr>
              <w:t xml:space="preserve">Komisijas 2017.gada 16.oktobra īstenošanas lēmumā Nr.2017/1870 </w:t>
            </w:r>
            <w:r w:rsidR="003B6CA4" w:rsidRPr="004404B0">
              <w:rPr>
                <w:color w:val="000000"/>
                <w:shd w:val="clear" w:color="auto" w:fill="FFFFFF"/>
              </w:rPr>
              <w:t>minētajam standartam</w:t>
            </w:r>
            <w:r w:rsidR="00DB716C" w:rsidRPr="004404B0">
              <w:rPr>
                <w:color w:val="000000"/>
                <w:shd w:val="clear" w:color="auto" w:fill="FFFFFF"/>
              </w:rPr>
              <w:t xml:space="preserve"> un</w:t>
            </w:r>
            <w:r w:rsidR="003365A1" w:rsidRPr="004404B0">
              <w:rPr>
                <w:color w:val="000000"/>
                <w:spacing w:val="-2"/>
                <w:szCs w:val="24"/>
                <w:shd w:val="clear" w:color="auto" w:fill="FFFFFF"/>
              </w:rPr>
              <w:t xml:space="preserve"> sintakšu sarakstam</w:t>
            </w:r>
            <w:r w:rsidR="0010129B" w:rsidRPr="004404B0">
              <w:rPr>
                <w:color w:val="000000"/>
                <w:shd w:val="clear" w:color="auto" w:fill="FFFFFF"/>
              </w:rPr>
              <w:t xml:space="preserve">. </w:t>
            </w:r>
          </w:p>
          <w:p w14:paraId="3BC06060" w14:textId="7F845CFA" w:rsidR="00362658" w:rsidRPr="004404B0" w:rsidRDefault="00362658" w:rsidP="00B33365">
            <w:pPr>
              <w:spacing w:after="0" w:line="240" w:lineRule="auto"/>
              <w:ind w:right="57"/>
              <w:jc w:val="both"/>
              <w:rPr>
                <w:color w:val="000000"/>
                <w:spacing w:val="-2"/>
                <w:szCs w:val="24"/>
                <w:shd w:val="clear" w:color="auto" w:fill="FFFFFF"/>
              </w:rPr>
            </w:pPr>
            <w:r w:rsidRPr="004404B0">
              <w:rPr>
                <w:color w:val="000000" w:themeColor="text1"/>
                <w:szCs w:val="24"/>
              </w:rPr>
              <w:t>Noteikumu projekts ir būtisks informācijas tehnoloģijas sistēm</w:t>
            </w:r>
            <w:r w:rsidR="007A1F7C" w:rsidRPr="004404B0">
              <w:rPr>
                <w:color w:val="000000" w:themeColor="text1"/>
                <w:szCs w:val="24"/>
              </w:rPr>
              <w:t>u</w:t>
            </w:r>
            <w:r w:rsidRPr="004404B0">
              <w:rPr>
                <w:color w:val="000000" w:themeColor="text1"/>
                <w:szCs w:val="24"/>
              </w:rPr>
              <w:t xml:space="preserve"> izstrādātājiem,</w:t>
            </w:r>
            <w:r w:rsidR="00DE02B0" w:rsidRPr="004404B0">
              <w:rPr>
                <w:color w:val="000000" w:themeColor="text1"/>
                <w:szCs w:val="24"/>
              </w:rPr>
              <w:t xml:space="preserve"> lai veidotu </w:t>
            </w:r>
            <w:r w:rsidR="006A576B">
              <w:rPr>
                <w:color w:val="000000" w:themeColor="text1"/>
                <w:szCs w:val="24"/>
              </w:rPr>
              <w:t>normatīvajām</w:t>
            </w:r>
            <w:r w:rsidR="00DE02B0" w:rsidRPr="004404B0">
              <w:rPr>
                <w:color w:val="000000" w:themeColor="text1"/>
                <w:szCs w:val="24"/>
              </w:rPr>
              <w:t xml:space="preserve"> prasībām atbilstoš</w:t>
            </w:r>
            <w:r w:rsidR="006A576B">
              <w:rPr>
                <w:color w:val="000000" w:themeColor="text1"/>
                <w:szCs w:val="24"/>
              </w:rPr>
              <w:t>u</w:t>
            </w:r>
            <w:r w:rsidR="00DE02B0" w:rsidRPr="004404B0">
              <w:rPr>
                <w:color w:val="000000" w:themeColor="text1"/>
                <w:szCs w:val="24"/>
              </w:rPr>
              <w:t xml:space="preserve"> informācijas sistēm</w:t>
            </w:r>
            <w:r w:rsidR="006A576B">
              <w:rPr>
                <w:color w:val="000000" w:themeColor="text1"/>
                <w:szCs w:val="24"/>
              </w:rPr>
              <w:t>u funkcionalitāti</w:t>
            </w:r>
            <w:r w:rsidR="00DE02B0" w:rsidRPr="004404B0">
              <w:rPr>
                <w:color w:val="000000" w:themeColor="text1"/>
                <w:szCs w:val="24"/>
              </w:rPr>
              <w:t>, kas nodrošināt</w:t>
            </w:r>
            <w:r w:rsidR="006A576B">
              <w:rPr>
                <w:color w:val="000000" w:themeColor="text1"/>
                <w:szCs w:val="24"/>
              </w:rPr>
              <w:t>u</w:t>
            </w:r>
            <w:r w:rsidR="00DE02B0" w:rsidRPr="004404B0">
              <w:rPr>
                <w:color w:val="000000" w:themeColor="text1"/>
                <w:szCs w:val="24"/>
              </w:rPr>
              <w:t xml:space="preserve"> visu </w:t>
            </w:r>
            <w:r w:rsidR="00AF5FF0">
              <w:rPr>
                <w:color w:val="000000" w:themeColor="text1"/>
                <w:szCs w:val="24"/>
              </w:rPr>
              <w:t xml:space="preserve">piemērojamajam standartam atbilstoša </w:t>
            </w:r>
            <w:r w:rsidR="00DE02B0" w:rsidRPr="004404B0">
              <w:rPr>
                <w:color w:val="000000" w:themeColor="text1"/>
                <w:szCs w:val="24"/>
              </w:rPr>
              <w:t xml:space="preserve">elektroniskā rēķina dzīves cikla procesu </w:t>
            </w:r>
            <w:r w:rsidR="00114F6A">
              <w:rPr>
                <w:color w:val="000000" w:themeColor="text1"/>
                <w:szCs w:val="24"/>
              </w:rPr>
              <w:t xml:space="preserve">- </w:t>
            </w:r>
            <w:r w:rsidR="00DE02B0" w:rsidRPr="004404B0">
              <w:rPr>
                <w:color w:val="000000" w:themeColor="text1"/>
                <w:szCs w:val="24"/>
              </w:rPr>
              <w:t xml:space="preserve">no </w:t>
            </w:r>
            <w:r w:rsidR="00AF5FF0">
              <w:rPr>
                <w:color w:val="000000" w:themeColor="text1"/>
                <w:szCs w:val="24"/>
              </w:rPr>
              <w:t>sagatavošanas (</w:t>
            </w:r>
            <w:r w:rsidR="00DE02B0" w:rsidRPr="004404B0">
              <w:rPr>
                <w:color w:val="000000" w:themeColor="text1"/>
                <w:szCs w:val="24"/>
              </w:rPr>
              <w:t>izrakstīšana</w:t>
            </w:r>
            <w:r w:rsidR="00AF5FF0">
              <w:rPr>
                <w:color w:val="000000" w:themeColor="text1"/>
                <w:szCs w:val="24"/>
              </w:rPr>
              <w:t>s)</w:t>
            </w:r>
            <w:r w:rsidR="00DE02B0" w:rsidRPr="004404B0">
              <w:rPr>
                <w:color w:val="000000" w:themeColor="text1"/>
                <w:szCs w:val="24"/>
              </w:rPr>
              <w:t xml:space="preserve"> līdz arhivēšanai</w:t>
            </w:r>
            <w:r w:rsidR="00D924D8" w:rsidRPr="004404B0">
              <w:rPr>
                <w:color w:val="000000" w:themeColor="text1"/>
                <w:szCs w:val="24"/>
              </w:rPr>
              <w:t>.</w:t>
            </w:r>
          </w:p>
          <w:p w14:paraId="343FD246" w14:textId="109B749A" w:rsidR="00945A81" w:rsidRPr="004404B0" w:rsidRDefault="006A576B" w:rsidP="00B33365">
            <w:pPr>
              <w:spacing w:after="0" w:line="240" w:lineRule="auto"/>
              <w:ind w:right="57"/>
              <w:jc w:val="both"/>
              <w:rPr>
                <w:color w:val="000000"/>
                <w:spacing w:val="-2"/>
                <w:szCs w:val="24"/>
                <w:shd w:val="clear" w:color="auto" w:fill="FFFFFF"/>
              </w:rPr>
            </w:pPr>
            <w:r>
              <w:rPr>
                <w:color w:val="000000"/>
                <w:shd w:val="clear" w:color="auto" w:fill="FFFFFF"/>
              </w:rPr>
              <w:t>D</w:t>
            </w:r>
            <w:r w:rsidRPr="004404B0">
              <w:rPr>
                <w:color w:val="000000"/>
                <w:shd w:val="clear" w:color="auto" w:fill="FFFFFF"/>
              </w:rPr>
              <w:t>ire</w:t>
            </w:r>
            <w:r>
              <w:rPr>
                <w:color w:val="000000"/>
                <w:shd w:val="clear" w:color="auto" w:fill="FFFFFF"/>
              </w:rPr>
              <w:t>ktīvā</w:t>
            </w:r>
            <w:r w:rsidRPr="004404B0">
              <w:rPr>
                <w:color w:val="000000"/>
                <w:shd w:val="clear" w:color="auto" w:fill="FFFFFF"/>
              </w:rPr>
              <w:t xml:space="preserve"> 2014/55/ES</w:t>
            </w:r>
            <w:r w:rsidRPr="004404B0">
              <w:rPr>
                <w:color w:val="000000"/>
                <w:spacing w:val="-2"/>
                <w:szCs w:val="24"/>
                <w:shd w:val="clear" w:color="auto" w:fill="FFFFFF"/>
              </w:rPr>
              <w:t xml:space="preserve"> </w:t>
            </w:r>
            <w:r>
              <w:rPr>
                <w:color w:val="000000"/>
                <w:spacing w:val="-2"/>
                <w:szCs w:val="24"/>
                <w:shd w:val="clear" w:color="auto" w:fill="FFFFFF"/>
              </w:rPr>
              <w:t>noteikto prasību ieviešana ir solis uz to, lai pārskatāmā n</w:t>
            </w:r>
            <w:r w:rsidR="004808E8" w:rsidRPr="004404B0">
              <w:rPr>
                <w:color w:val="000000"/>
                <w:shd w:val="clear" w:color="auto" w:fill="FFFFFF"/>
              </w:rPr>
              <w:t xml:space="preserve">ākotnē </w:t>
            </w:r>
            <w:r w:rsidR="001C5371">
              <w:rPr>
                <w:color w:val="000000"/>
                <w:shd w:val="clear" w:color="auto" w:fill="FFFFFF"/>
              </w:rPr>
              <w:t xml:space="preserve">lemtu par pilnīgu </w:t>
            </w:r>
            <w:r w:rsidR="004808E8" w:rsidRPr="004404B0">
              <w:rPr>
                <w:color w:val="000000"/>
                <w:shd w:val="clear" w:color="auto" w:fill="FFFFFF"/>
              </w:rPr>
              <w:t>atteik</w:t>
            </w:r>
            <w:r w:rsidR="001C5371">
              <w:rPr>
                <w:color w:val="000000"/>
                <w:shd w:val="clear" w:color="auto" w:fill="FFFFFF"/>
              </w:rPr>
              <w:t>šanos</w:t>
            </w:r>
            <w:r w:rsidR="004808E8" w:rsidRPr="004404B0">
              <w:rPr>
                <w:color w:val="000000"/>
                <w:shd w:val="clear" w:color="auto" w:fill="FFFFFF"/>
              </w:rPr>
              <w:t xml:space="preserve"> no drukātu</w:t>
            </w:r>
            <w:r>
              <w:rPr>
                <w:color w:val="000000"/>
                <w:shd w:val="clear" w:color="auto" w:fill="FFFFFF"/>
              </w:rPr>
              <w:t xml:space="preserve"> </w:t>
            </w:r>
            <w:r w:rsidR="001C5371">
              <w:rPr>
                <w:color w:val="000000"/>
                <w:shd w:val="clear" w:color="auto" w:fill="FFFFFF"/>
              </w:rPr>
              <w:t>un</w:t>
            </w:r>
            <w:r>
              <w:rPr>
                <w:color w:val="000000"/>
                <w:shd w:val="clear" w:color="auto" w:fill="FFFFFF"/>
              </w:rPr>
              <w:t xml:space="preserve"> nestrukturētu elektroniskas formas</w:t>
            </w:r>
            <w:r w:rsidR="004808E8" w:rsidRPr="004404B0">
              <w:rPr>
                <w:color w:val="000000"/>
                <w:shd w:val="clear" w:color="auto" w:fill="FFFFFF"/>
              </w:rPr>
              <w:t xml:space="preserve"> rēķinu izmantošanas. </w:t>
            </w:r>
            <w:r w:rsidR="0020231B">
              <w:rPr>
                <w:color w:val="000000"/>
                <w:spacing w:val="-2"/>
                <w:szCs w:val="24"/>
                <w:shd w:val="clear" w:color="auto" w:fill="FFFFFF"/>
              </w:rPr>
              <w:t xml:space="preserve">Šobrīd vēl </w:t>
            </w:r>
            <w:r w:rsidR="00945A81" w:rsidRPr="004404B0">
              <w:rPr>
                <w:color w:val="000000"/>
                <w:spacing w:val="-2"/>
                <w:szCs w:val="24"/>
                <w:shd w:val="clear" w:color="auto" w:fill="FFFFFF"/>
              </w:rPr>
              <w:t xml:space="preserve">pietiekami lielam skaitam piegādātāju </w:t>
            </w:r>
            <w:r w:rsidR="0020231B">
              <w:rPr>
                <w:color w:val="000000"/>
                <w:spacing w:val="-2"/>
                <w:szCs w:val="24"/>
                <w:shd w:val="clear" w:color="auto" w:fill="FFFFFF"/>
              </w:rPr>
              <w:t>nav</w:t>
            </w:r>
            <w:r w:rsidR="0020231B" w:rsidRPr="004404B0">
              <w:rPr>
                <w:color w:val="000000"/>
                <w:spacing w:val="-2"/>
                <w:szCs w:val="24"/>
                <w:shd w:val="clear" w:color="auto" w:fill="FFFFFF"/>
              </w:rPr>
              <w:t xml:space="preserve"> </w:t>
            </w:r>
            <w:r w:rsidR="00945A81" w:rsidRPr="004404B0">
              <w:rPr>
                <w:color w:val="000000"/>
                <w:spacing w:val="-2"/>
                <w:szCs w:val="24"/>
                <w:shd w:val="clear" w:color="auto" w:fill="FFFFFF"/>
              </w:rPr>
              <w:t xml:space="preserve">iespēja </w:t>
            </w:r>
            <w:r w:rsidR="00215FBB" w:rsidRPr="004404B0">
              <w:rPr>
                <w:color w:val="000000"/>
                <w:spacing w:val="-2"/>
                <w:szCs w:val="24"/>
                <w:shd w:val="clear" w:color="auto" w:fill="FFFFFF"/>
              </w:rPr>
              <w:t>elektronisko</w:t>
            </w:r>
            <w:r w:rsidR="007A1F7C" w:rsidRPr="004404B0">
              <w:rPr>
                <w:color w:val="000000"/>
                <w:spacing w:val="-2"/>
                <w:szCs w:val="24"/>
                <w:shd w:val="clear" w:color="auto" w:fill="FFFFFF"/>
              </w:rPr>
              <w:t>s</w:t>
            </w:r>
            <w:r w:rsidR="00215FBB" w:rsidRPr="004404B0">
              <w:rPr>
                <w:color w:val="000000"/>
                <w:spacing w:val="-2"/>
                <w:szCs w:val="24"/>
                <w:shd w:val="clear" w:color="auto" w:fill="FFFFFF"/>
              </w:rPr>
              <w:t xml:space="preserve"> </w:t>
            </w:r>
            <w:r w:rsidR="00945A81" w:rsidRPr="004404B0">
              <w:rPr>
                <w:color w:val="000000"/>
                <w:spacing w:val="-2"/>
                <w:szCs w:val="24"/>
                <w:shd w:val="clear" w:color="auto" w:fill="FFFFFF"/>
              </w:rPr>
              <w:t>rēķinus izrakstīt</w:t>
            </w:r>
            <w:r w:rsidR="00AF5FF0">
              <w:rPr>
                <w:color w:val="000000"/>
                <w:spacing w:val="-2"/>
                <w:szCs w:val="24"/>
                <w:shd w:val="clear" w:color="auto" w:fill="FFFFFF"/>
              </w:rPr>
              <w:t xml:space="preserve"> atbilstoši piemērojamajam standartam</w:t>
            </w:r>
            <w:r w:rsidR="00945A81" w:rsidRPr="004404B0">
              <w:rPr>
                <w:color w:val="000000"/>
                <w:spacing w:val="-2"/>
                <w:szCs w:val="24"/>
                <w:shd w:val="clear" w:color="auto" w:fill="FFFFFF"/>
              </w:rPr>
              <w:t>, savukārt pasūtītājiem</w:t>
            </w:r>
            <w:r w:rsidR="00C533DC" w:rsidRPr="004404B0">
              <w:rPr>
                <w:color w:val="000000"/>
                <w:spacing w:val="-2"/>
                <w:szCs w:val="24"/>
                <w:shd w:val="clear" w:color="auto" w:fill="FFFFFF"/>
              </w:rPr>
              <w:t xml:space="preserve"> </w:t>
            </w:r>
            <w:r w:rsidR="007A1F7C" w:rsidRPr="004404B0">
              <w:rPr>
                <w:color w:val="000000"/>
                <w:spacing w:val="-2"/>
                <w:szCs w:val="24"/>
                <w:shd w:val="clear" w:color="auto" w:fill="FFFFFF"/>
              </w:rPr>
              <w:t xml:space="preserve">- </w:t>
            </w:r>
            <w:r w:rsidR="00C533DC" w:rsidRPr="004404B0">
              <w:rPr>
                <w:color w:val="000000"/>
                <w:spacing w:val="-2"/>
                <w:szCs w:val="24"/>
                <w:shd w:val="clear" w:color="auto" w:fill="FFFFFF"/>
              </w:rPr>
              <w:t>tos</w:t>
            </w:r>
            <w:r w:rsidR="00945A81" w:rsidRPr="004404B0">
              <w:rPr>
                <w:color w:val="000000"/>
                <w:spacing w:val="-2"/>
                <w:szCs w:val="24"/>
                <w:shd w:val="clear" w:color="auto" w:fill="FFFFFF"/>
              </w:rPr>
              <w:t xml:space="preserve"> apstrādāt.</w:t>
            </w:r>
            <w:r w:rsidR="00C533DC" w:rsidRPr="004404B0">
              <w:rPr>
                <w:color w:val="000000"/>
                <w:spacing w:val="-2"/>
                <w:szCs w:val="24"/>
                <w:shd w:val="clear" w:color="auto" w:fill="FFFFFF"/>
              </w:rPr>
              <w:t xml:space="preserve"> </w:t>
            </w:r>
            <w:r w:rsidR="00F14E9A" w:rsidRPr="004404B0">
              <w:rPr>
                <w:color w:val="000000"/>
                <w:shd w:val="clear" w:color="auto" w:fill="FFFFFF"/>
              </w:rPr>
              <w:t>Vienlaikus šāds lēmums atkarīgs arī no nepieciešamās infrastruktūras pieejamības pasūtītājiem,</w:t>
            </w:r>
            <w:r w:rsidR="00C533DC" w:rsidRPr="004404B0">
              <w:rPr>
                <w:color w:val="000000"/>
                <w:shd w:val="clear" w:color="auto" w:fill="FFFFFF"/>
              </w:rPr>
              <w:t xml:space="preserve"> sabiedrisko pakalpojumu sniedzējiem un publiskajiem partneriem vai to pārstāvjiem,</w:t>
            </w:r>
            <w:r w:rsidR="00F14E9A" w:rsidRPr="004404B0">
              <w:rPr>
                <w:color w:val="000000"/>
                <w:shd w:val="clear" w:color="auto" w:fill="FFFFFF"/>
              </w:rPr>
              <w:t xml:space="preserve"> kā arī attiecīgu risinājumu elektronisko rēķinu izrakstīšanai pieejamības tirgū.</w:t>
            </w:r>
          </w:p>
          <w:p w14:paraId="708488F5" w14:textId="77777777" w:rsidR="00945A81" w:rsidRPr="004404B0" w:rsidRDefault="00945A81" w:rsidP="00B33365">
            <w:pPr>
              <w:spacing w:after="0" w:line="240" w:lineRule="auto"/>
              <w:ind w:right="57"/>
              <w:jc w:val="both"/>
              <w:rPr>
                <w:color w:val="000000"/>
                <w:spacing w:val="-2"/>
                <w:szCs w:val="24"/>
                <w:shd w:val="clear" w:color="auto" w:fill="FFFFFF"/>
              </w:rPr>
            </w:pPr>
          </w:p>
          <w:p w14:paraId="530F2F07" w14:textId="5333C7D3" w:rsidR="00C25F70" w:rsidRPr="004404B0" w:rsidRDefault="00C25F70" w:rsidP="00B33365">
            <w:pPr>
              <w:spacing w:after="0" w:line="240" w:lineRule="auto"/>
              <w:ind w:right="57"/>
              <w:jc w:val="both"/>
              <w:rPr>
                <w:b/>
                <w:color w:val="000000"/>
                <w:spacing w:val="-2"/>
                <w:szCs w:val="24"/>
                <w:shd w:val="clear" w:color="auto" w:fill="FFFFFF"/>
              </w:rPr>
            </w:pPr>
            <w:r w:rsidRPr="004404B0">
              <w:rPr>
                <w:b/>
                <w:color w:val="000000"/>
                <w:spacing w:val="-2"/>
                <w:szCs w:val="24"/>
                <w:shd w:val="clear" w:color="auto" w:fill="FFFFFF"/>
              </w:rPr>
              <w:t>Piemērojamais standarts</w:t>
            </w:r>
          </w:p>
          <w:p w14:paraId="53B7687A" w14:textId="77DBB6A3" w:rsidR="009846E0" w:rsidRPr="00675B51" w:rsidRDefault="007A56AA" w:rsidP="00F14E9A">
            <w:pPr>
              <w:spacing w:after="0" w:line="240" w:lineRule="auto"/>
              <w:ind w:right="57"/>
              <w:jc w:val="both"/>
            </w:pPr>
            <w:r w:rsidRPr="004404B0">
              <w:t xml:space="preserve">Eiropas Standartizācijas organizācija </w:t>
            </w:r>
            <w:r w:rsidR="00E31C8F">
              <w:t xml:space="preserve"> (</w:t>
            </w:r>
            <w:r w:rsidR="00E31C8F" w:rsidRPr="00D53E28">
              <w:rPr>
                <w:i/>
              </w:rPr>
              <w:t>European Standardization Organization</w:t>
            </w:r>
            <w:r w:rsidR="00E31C8F">
              <w:t xml:space="preserve">) </w:t>
            </w:r>
            <w:r w:rsidR="00114F6A">
              <w:t>atbilstoši</w:t>
            </w:r>
            <w:r w:rsidRPr="004404B0">
              <w:t xml:space="preserve"> </w:t>
            </w:r>
            <w:r w:rsidR="000C3995" w:rsidRPr="004404B0">
              <w:t>direktīv</w:t>
            </w:r>
            <w:r w:rsidR="00114F6A">
              <w:t>ā</w:t>
            </w:r>
            <w:r w:rsidRPr="004404B0">
              <w:t xml:space="preserve"> 2014/55/ES</w:t>
            </w:r>
            <w:r w:rsidR="000C3995" w:rsidRPr="004404B0">
              <w:t xml:space="preserve"> uzlikt</w:t>
            </w:r>
            <w:r w:rsidR="00675B51">
              <w:t>ajam pienākumam</w:t>
            </w:r>
            <w:r w:rsidRPr="004404B0">
              <w:t xml:space="preserve"> </w:t>
            </w:r>
            <w:r w:rsidR="00EB0933">
              <w:t xml:space="preserve">(sk. direktīvas 3. </w:t>
            </w:r>
            <w:r w:rsidR="006F605C">
              <w:t xml:space="preserve">– </w:t>
            </w:r>
            <w:r w:rsidR="00EB0933">
              <w:t xml:space="preserve">6.pantu) </w:t>
            </w:r>
            <w:r w:rsidRPr="004404B0">
              <w:t>ir izstrādājusi</w:t>
            </w:r>
            <w:r w:rsidR="003365A1" w:rsidRPr="004404B0">
              <w:rPr>
                <w:color w:val="000000"/>
                <w:spacing w:val="-2"/>
                <w:szCs w:val="24"/>
                <w:shd w:val="clear" w:color="auto" w:fill="FFFFFF"/>
              </w:rPr>
              <w:t xml:space="preserve"> </w:t>
            </w:r>
            <w:r w:rsidR="009846E0">
              <w:rPr>
                <w:color w:val="000000"/>
                <w:spacing w:val="-2"/>
                <w:szCs w:val="24"/>
                <w:shd w:val="clear" w:color="auto" w:fill="FFFFFF"/>
              </w:rPr>
              <w:t xml:space="preserve">Eiropas elektronisko rēķinu standartu, kas kopumā sastāv </w:t>
            </w:r>
            <w:r w:rsidR="009846E0" w:rsidRPr="004404B0">
              <w:t xml:space="preserve">no desmit daļām </w:t>
            </w:r>
            <w:r w:rsidR="00EB0933">
              <w:t xml:space="preserve">(dokumentiem) </w:t>
            </w:r>
            <w:r w:rsidR="009846E0" w:rsidRPr="004404B0">
              <w:t>un katrai daļai ir noteikts savs statuss</w:t>
            </w:r>
            <w:r w:rsidR="009846E0">
              <w:t xml:space="preserve"> (standarts, tehniskā speci</w:t>
            </w:r>
            <w:r w:rsidR="00675B51">
              <w:t xml:space="preserve">fikācija, tehniskais ziņojums). </w:t>
            </w:r>
            <w:r w:rsidR="009846E0">
              <w:rPr>
                <w:color w:val="000000"/>
                <w:spacing w:val="-2"/>
                <w:szCs w:val="24"/>
                <w:shd w:val="clear" w:color="auto" w:fill="FFFFFF"/>
              </w:rPr>
              <w:t xml:space="preserve">Vienlaikus direktīvas 2014/55/ES 3.panta 2.punktā ir paredzēts, ka Eiropas </w:t>
            </w:r>
            <w:r w:rsidR="009846E0" w:rsidRPr="009846E0">
              <w:rPr>
                <w:color w:val="000000"/>
                <w:spacing w:val="-2"/>
                <w:szCs w:val="24"/>
                <w:shd w:val="clear" w:color="auto" w:fill="FFFFFF"/>
              </w:rPr>
              <w:t xml:space="preserve">Komisija Eiropas </w:t>
            </w:r>
            <w:r w:rsidR="00242175" w:rsidRPr="009846E0">
              <w:rPr>
                <w:color w:val="000000"/>
                <w:spacing w:val="-2"/>
                <w:szCs w:val="24"/>
                <w:shd w:val="clear" w:color="auto" w:fill="FFFFFF"/>
              </w:rPr>
              <w:t>Savienības</w:t>
            </w:r>
            <w:r w:rsidR="009846E0" w:rsidRPr="009846E0">
              <w:rPr>
                <w:color w:val="000000"/>
                <w:spacing w:val="-2"/>
                <w:szCs w:val="24"/>
                <w:shd w:val="clear" w:color="auto" w:fill="FFFFFF"/>
              </w:rPr>
              <w:t xml:space="preserve"> </w:t>
            </w:r>
            <w:r w:rsidR="00242175" w:rsidRPr="009846E0">
              <w:rPr>
                <w:color w:val="000000"/>
                <w:spacing w:val="-2"/>
                <w:szCs w:val="24"/>
                <w:shd w:val="clear" w:color="auto" w:fill="FFFFFF"/>
              </w:rPr>
              <w:t>Oficiālajā</w:t>
            </w:r>
            <w:r w:rsidR="009846E0" w:rsidRPr="009846E0">
              <w:rPr>
                <w:color w:val="000000"/>
                <w:spacing w:val="-2"/>
                <w:szCs w:val="24"/>
                <w:shd w:val="clear" w:color="auto" w:fill="FFFFFF"/>
              </w:rPr>
              <w:t xml:space="preserve">̄ </w:t>
            </w:r>
            <w:r w:rsidR="00242175" w:rsidRPr="009846E0">
              <w:rPr>
                <w:color w:val="000000"/>
                <w:spacing w:val="-2"/>
                <w:szCs w:val="24"/>
                <w:shd w:val="clear" w:color="auto" w:fill="FFFFFF"/>
              </w:rPr>
              <w:t>Vēstnesī</w:t>
            </w:r>
            <w:r w:rsidR="009846E0" w:rsidRPr="009846E0">
              <w:rPr>
                <w:color w:val="000000"/>
                <w:spacing w:val="-2"/>
                <w:szCs w:val="24"/>
                <w:shd w:val="clear" w:color="auto" w:fill="FFFFFF"/>
              </w:rPr>
              <w:t xml:space="preserve"> </w:t>
            </w:r>
            <w:r w:rsidR="00242175" w:rsidRPr="009846E0">
              <w:rPr>
                <w:color w:val="000000"/>
                <w:spacing w:val="-2"/>
                <w:szCs w:val="24"/>
                <w:shd w:val="clear" w:color="auto" w:fill="FFFFFF"/>
              </w:rPr>
              <w:t>publicē</w:t>
            </w:r>
            <w:r w:rsidR="009846E0" w:rsidRPr="009846E0">
              <w:rPr>
                <w:color w:val="000000"/>
                <w:spacing w:val="-2"/>
                <w:szCs w:val="24"/>
                <w:shd w:val="clear" w:color="auto" w:fill="FFFFFF"/>
              </w:rPr>
              <w:t xml:space="preserve"> atsauci uz standartu kopā ar </w:t>
            </w:r>
            <w:r w:rsidR="00242175" w:rsidRPr="009846E0">
              <w:rPr>
                <w:color w:val="000000"/>
                <w:spacing w:val="-2"/>
                <w:szCs w:val="24"/>
                <w:shd w:val="clear" w:color="auto" w:fill="FFFFFF"/>
              </w:rPr>
              <w:t>ierobežotu</w:t>
            </w:r>
            <w:r w:rsidR="009846E0" w:rsidRPr="009846E0">
              <w:rPr>
                <w:color w:val="000000"/>
                <w:spacing w:val="-2"/>
                <w:szCs w:val="24"/>
                <w:shd w:val="clear" w:color="auto" w:fill="FFFFFF"/>
              </w:rPr>
              <w:t xml:space="preserve"> </w:t>
            </w:r>
            <w:r w:rsidR="00242175" w:rsidRPr="009846E0">
              <w:rPr>
                <w:color w:val="000000"/>
                <w:spacing w:val="-2"/>
                <w:szCs w:val="24"/>
                <w:shd w:val="clear" w:color="auto" w:fill="FFFFFF"/>
              </w:rPr>
              <w:t>sintakšu</w:t>
            </w:r>
            <w:r w:rsidR="009846E0" w:rsidRPr="009846E0">
              <w:rPr>
                <w:color w:val="000000"/>
                <w:spacing w:val="-2"/>
                <w:szCs w:val="24"/>
                <w:shd w:val="clear" w:color="auto" w:fill="FFFFFF"/>
              </w:rPr>
              <w:t xml:space="preserve"> sarakstu</w:t>
            </w:r>
            <w:r w:rsidR="009846E0">
              <w:rPr>
                <w:color w:val="000000"/>
                <w:spacing w:val="-2"/>
                <w:szCs w:val="24"/>
                <w:shd w:val="clear" w:color="auto" w:fill="FFFFFF"/>
              </w:rPr>
              <w:t>.</w:t>
            </w:r>
          </w:p>
          <w:p w14:paraId="1661439D" w14:textId="2A7DDA98" w:rsidR="009846E0" w:rsidRDefault="003365A1" w:rsidP="00F14E9A">
            <w:pPr>
              <w:spacing w:after="0" w:line="240" w:lineRule="auto"/>
              <w:ind w:right="57"/>
              <w:jc w:val="both"/>
            </w:pPr>
            <w:r w:rsidRPr="004404B0">
              <w:rPr>
                <w:color w:val="000000"/>
                <w:spacing w:val="-2"/>
                <w:szCs w:val="24"/>
                <w:shd w:val="clear" w:color="auto" w:fill="FFFFFF"/>
              </w:rPr>
              <w:t>Eiropas Savienības Oficiālajā Vēstneša 2017.gada 17.oktobra laidienā Nr. L 266/19 ir publicēts Komisijas 2017.gada 16.oktobra īstenošanas lēmums Nr.2017/1870</w:t>
            </w:r>
            <w:r w:rsidR="009846E0">
              <w:rPr>
                <w:color w:val="000000"/>
                <w:spacing w:val="-2"/>
                <w:szCs w:val="24"/>
                <w:shd w:val="clear" w:color="auto" w:fill="FFFFFF"/>
              </w:rPr>
              <w:t xml:space="preserve"> (turpmāk – Eiropas Komisijas īstenošanas lēmums)</w:t>
            </w:r>
            <w:r w:rsidRPr="004404B0">
              <w:rPr>
                <w:color w:val="000000"/>
                <w:spacing w:val="-2"/>
                <w:szCs w:val="24"/>
                <w:shd w:val="clear" w:color="auto" w:fill="FFFFFF"/>
              </w:rPr>
              <w:t xml:space="preserve">, kurā ir atsauces </w:t>
            </w:r>
            <w:r w:rsidR="004808E8" w:rsidRPr="004404B0">
              <w:rPr>
                <w:color w:val="000000"/>
                <w:spacing w:val="-2"/>
                <w:szCs w:val="24"/>
                <w:shd w:val="clear" w:color="auto" w:fill="FFFFFF"/>
              </w:rPr>
              <w:t>uz</w:t>
            </w:r>
            <w:r w:rsidRPr="004404B0">
              <w:rPr>
                <w:color w:val="000000"/>
                <w:spacing w:val="-2"/>
                <w:szCs w:val="24"/>
                <w:shd w:val="clear" w:color="auto" w:fill="FFFFFF"/>
              </w:rPr>
              <w:t xml:space="preserve"> </w:t>
            </w:r>
            <w:r w:rsidR="00114F6A">
              <w:rPr>
                <w:color w:val="000000"/>
                <w:spacing w:val="-2"/>
                <w:szCs w:val="24"/>
                <w:shd w:val="clear" w:color="auto" w:fill="FFFFFF"/>
              </w:rPr>
              <w:t>no</w:t>
            </w:r>
            <w:r w:rsidRPr="004404B0">
              <w:rPr>
                <w:color w:val="000000"/>
                <w:spacing w:val="-2"/>
                <w:szCs w:val="24"/>
                <w:shd w:val="clear" w:color="auto" w:fill="FFFFFF"/>
              </w:rPr>
              <w:t xml:space="preserve"> </w:t>
            </w:r>
            <w:r w:rsidRPr="004404B0">
              <w:rPr>
                <w:color w:val="000000"/>
                <w:shd w:val="clear" w:color="auto" w:fill="FFFFFF"/>
              </w:rPr>
              <w:t>direktīv</w:t>
            </w:r>
            <w:r w:rsidR="00114F6A">
              <w:rPr>
                <w:color w:val="000000"/>
                <w:shd w:val="clear" w:color="auto" w:fill="FFFFFF"/>
              </w:rPr>
              <w:t>as</w:t>
            </w:r>
            <w:r w:rsidRPr="004404B0">
              <w:rPr>
                <w:color w:val="000000"/>
                <w:shd w:val="clear" w:color="auto" w:fill="FFFFFF"/>
              </w:rPr>
              <w:t xml:space="preserve"> 2014/55/ES izrietošo</w:t>
            </w:r>
            <w:r w:rsidRPr="004404B0">
              <w:rPr>
                <w:color w:val="000000"/>
                <w:spacing w:val="-2"/>
                <w:szCs w:val="24"/>
                <w:shd w:val="clear" w:color="auto" w:fill="FFFFFF"/>
              </w:rPr>
              <w:t xml:space="preserve"> standart</w:t>
            </w:r>
            <w:r w:rsidR="00114F6A">
              <w:rPr>
                <w:color w:val="000000"/>
                <w:spacing w:val="-2"/>
                <w:szCs w:val="24"/>
                <w:shd w:val="clear" w:color="auto" w:fill="FFFFFF"/>
              </w:rPr>
              <w:t>u</w:t>
            </w:r>
            <w:r w:rsidRPr="004404B0">
              <w:rPr>
                <w:color w:val="000000"/>
                <w:spacing w:val="-2"/>
                <w:szCs w:val="24"/>
                <w:shd w:val="clear" w:color="auto" w:fill="FFFFFF"/>
              </w:rPr>
              <w:t xml:space="preserve"> EN 16931-1:2017 “Elektroniskie rēķini. 1.daļa. Elektronisko rēķinu pamatelementu semantisko datu modelis” un </w:t>
            </w:r>
            <w:r w:rsidR="00021B8F" w:rsidRPr="004404B0">
              <w:rPr>
                <w:color w:val="000000"/>
                <w:spacing w:val="-2"/>
                <w:szCs w:val="24"/>
                <w:shd w:val="clear" w:color="auto" w:fill="FFFFFF"/>
              </w:rPr>
              <w:t>piemērojamo sintakšu sarakstu</w:t>
            </w:r>
            <w:r w:rsidR="00021B8F">
              <w:rPr>
                <w:color w:val="000000"/>
                <w:spacing w:val="-2"/>
                <w:szCs w:val="24"/>
                <w:shd w:val="clear" w:color="auto" w:fill="FFFFFF"/>
              </w:rPr>
              <w:t xml:space="preserve"> (tehnisko specifikāciju) </w:t>
            </w:r>
            <w:r w:rsidRPr="004404B0">
              <w:rPr>
                <w:color w:val="000000"/>
                <w:spacing w:val="-2"/>
                <w:szCs w:val="24"/>
                <w:shd w:val="clear" w:color="auto" w:fill="FFFFFF"/>
              </w:rPr>
              <w:t>CEN/TS 16931-2:2017 “Elektroniskie rēķini. 2.daļa: Standartam EN 16931-1 atbilstošo sintakšu saraksts”.</w:t>
            </w:r>
            <w:r w:rsidR="000C3995" w:rsidRPr="004404B0">
              <w:t xml:space="preserve"> </w:t>
            </w:r>
            <w:r w:rsidR="009846E0">
              <w:t>Turpmāk, ja vien nav īpaši norādīts, ar terminu “Eiropas Elektronisko rēķinu standarts” saprotami Eiropas Komisijas īstenošanas lēmumā norādītie dokumenti.</w:t>
            </w:r>
          </w:p>
          <w:p w14:paraId="2F837C48" w14:textId="1D988B49" w:rsidR="00D3793A" w:rsidRPr="004404B0" w:rsidRDefault="008C2EF4" w:rsidP="00F14E9A">
            <w:pPr>
              <w:spacing w:after="0" w:line="240" w:lineRule="auto"/>
              <w:ind w:right="57"/>
              <w:jc w:val="both"/>
            </w:pPr>
            <w:r w:rsidRPr="004404B0">
              <w:t xml:space="preserve">Atbilstoši direktīvas 2014/55/ES regulējumam </w:t>
            </w:r>
            <w:r w:rsidR="00F8756C">
              <w:t xml:space="preserve">un </w:t>
            </w:r>
            <w:r w:rsidR="009846E0">
              <w:t xml:space="preserve">Eiropas </w:t>
            </w:r>
            <w:r w:rsidR="00F8756C" w:rsidRPr="004404B0">
              <w:rPr>
                <w:color w:val="000000"/>
                <w:spacing w:val="-2"/>
                <w:szCs w:val="24"/>
                <w:shd w:val="clear" w:color="auto" w:fill="FFFFFF"/>
              </w:rPr>
              <w:t>Komisijas īstenošanas lēmum</w:t>
            </w:r>
            <w:r w:rsidR="00F8756C">
              <w:rPr>
                <w:color w:val="000000"/>
                <w:spacing w:val="-2"/>
                <w:szCs w:val="24"/>
                <w:shd w:val="clear" w:color="auto" w:fill="FFFFFF"/>
              </w:rPr>
              <w:t>am</w:t>
            </w:r>
            <w:r w:rsidR="00F8756C" w:rsidRPr="004404B0">
              <w:rPr>
                <w:color w:val="000000"/>
                <w:spacing w:val="-2"/>
                <w:szCs w:val="24"/>
                <w:shd w:val="clear" w:color="auto" w:fill="FFFFFF"/>
              </w:rPr>
              <w:t xml:space="preserve"> </w:t>
            </w:r>
            <w:r w:rsidRPr="004404B0">
              <w:t xml:space="preserve">pasūtītājiem, sabiedrisko pakalpojumu sniedzējiem un </w:t>
            </w:r>
            <w:r w:rsidR="00F8756C" w:rsidRPr="004404B0">
              <w:t>publiskaj</w:t>
            </w:r>
            <w:r w:rsidR="00F8756C">
              <w:t>iem</w:t>
            </w:r>
            <w:r w:rsidR="00F8756C" w:rsidRPr="004404B0">
              <w:t xml:space="preserve"> </w:t>
            </w:r>
            <w:r w:rsidRPr="004404B0">
              <w:t>partneri</w:t>
            </w:r>
            <w:r w:rsidR="00F8756C">
              <w:t>em</w:t>
            </w:r>
            <w:r w:rsidRPr="004404B0">
              <w:t xml:space="preserve"> vai t</w:t>
            </w:r>
            <w:r w:rsidR="00F8756C">
              <w:t>o</w:t>
            </w:r>
            <w:r w:rsidRPr="004404B0">
              <w:t xml:space="preserve"> pārstā</w:t>
            </w:r>
            <w:r w:rsidR="00F8756C">
              <w:t>vjiem</w:t>
            </w:r>
            <w:r w:rsidRPr="004404B0">
              <w:t xml:space="preserve"> ir jāpieņem un jāapstrādā tādi elektroniskie rēķini, ka</w:t>
            </w:r>
            <w:r w:rsidR="003365A1" w:rsidRPr="004404B0">
              <w:t>s</w:t>
            </w:r>
            <w:r w:rsidRPr="004404B0">
              <w:t xml:space="preserve"> atbilst Eiropas elektronisko rēķinu standartam (</w:t>
            </w:r>
            <w:r w:rsidR="00F8756C">
              <w:t>t.i., divām tā daļām</w:t>
            </w:r>
            <w:r w:rsidR="009846E0">
              <w:t xml:space="preserve">, uz kurām dota atsauce Eiropas Komisijas īstenošanas </w:t>
            </w:r>
            <w:r w:rsidR="009846E0">
              <w:lastRenderedPageBreak/>
              <w:t>lēmumā</w:t>
            </w:r>
            <w:r w:rsidRPr="004404B0">
              <w:rPr>
                <w:color w:val="000000"/>
                <w:spacing w:val="-2"/>
                <w:szCs w:val="24"/>
                <w:shd w:val="clear" w:color="auto" w:fill="FFFFFF"/>
              </w:rPr>
              <w:t>. Pārējie</w:t>
            </w:r>
            <w:r w:rsidR="009846E0">
              <w:rPr>
                <w:color w:val="000000"/>
                <w:spacing w:val="-2"/>
                <w:szCs w:val="24"/>
                <w:shd w:val="clear" w:color="auto" w:fill="FFFFFF"/>
              </w:rPr>
              <w:t xml:space="preserve"> ar </w:t>
            </w:r>
            <w:r w:rsidR="009846E0" w:rsidRPr="004404B0">
              <w:t>Eiropas elektronisko rēķinu standart</w:t>
            </w:r>
            <w:r w:rsidR="009846E0">
              <w:t>u</w:t>
            </w:r>
            <w:r w:rsidRPr="004404B0">
              <w:rPr>
                <w:color w:val="000000"/>
                <w:spacing w:val="-2"/>
                <w:szCs w:val="24"/>
                <w:shd w:val="clear" w:color="auto" w:fill="FFFFFF"/>
              </w:rPr>
              <w:t xml:space="preserve"> </w:t>
            </w:r>
            <w:r w:rsidR="009846E0">
              <w:rPr>
                <w:color w:val="000000"/>
                <w:spacing w:val="-2"/>
                <w:szCs w:val="24"/>
                <w:shd w:val="clear" w:color="auto" w:fill="FFFFFF"/>
              </w:rPr>
              <w:t>saistītie</w:t>
            </w:r>
            <w:r w:rsidRPr="004404B0">
              <w:rPr>
                <w:color w:val="000000"/>
                <w:spacing w:val="-2"/>
                <w:szCs w:val="24"/>
                <w:shd w:val="clear" w:color="auto" w:fill="FFFFFF"/>
              </w:rPr>
              <w:t xml:space="preserve"> dokumenti ietver metodoloģiju vai vadlīnijas</w:t>
            </w:r>
            <w:r w:rsidR="009846E0">
              <w:rPr>
                <w:color w:val="000000"/>
                <w:spacing w:val="-2"/>
                <w:szCs w:val="24"/>
                <w:shd w:val="clear" w:color="auto" w:fill="FFFFFF"/>
              </w:rPr>
              <w:t>, bet</w:t>
            </w:r>
            <w:r w:rsidRPr="004404B0">
              <w:rPr>
                <w:color w:val="000000"/>
                <w:spacing w:val="-2"/>
                <w:szCs w:val="24"/>
                <w:shd w:val="clear" w:color="auto" w:fill="FFFFFF"/>
              </w:rPr>
              <w:t xml:space="preserve"> atbilstoši direktīva</w:t>
            </w:r>
            <w:r w:rsidR="00947F9B" w:rsidRPr="004404B0">
              <w:rPr>
                <w:color w:val="000000"/>
                <w:spacing w:val="-2"/>
                <w:szCs w:val="24"/>
                <w:shd w:val="clear" w:color="auto" w:fill="FFFFFF"/>
              </w:rPr>
              <w:t>s</w:t>
            </w:r>
            <w:r w:rsidRPr="004404B0">
              <w:rPr>
                <w:color w:val="000000"/>
                <w:spacing w:val="-2"/>
                <w:szCs w:val="24"/>
                <w:shd w:val="clear" w:color="auto" w:fill="FFFFFF"/>
              </w:rPr>
              <w:t xml:space="preserve"> 2014/55/ES</w:t>
            </w:r>
            <w:r w:rsidR="00F8756C">
              <w:rPr>
                <w:color w:val="000000"/>
                <w:spacing w:val="-2"/>
                <w:szCs w:val="24"/>
                <w:shd w:val="clear" w:color="auto" w:fill="FFFFFF"/>
              </w:rPr>
              <w:t xml:space="preserve"> un </w:t>
            </w:r>
            <w:r w:rsidR="009846E0">
              <w:rPr>
                <w:color w:val="000000"/>
                <w:spacing w:val="-2"/>
                <w:szCs w:val="24"/>
                <w:shd w:val="clear" w:color="auto" w:fill="FFFFFF"/>
              </w:rPr>
              <w:t xml:space="preserve">Eiropas </w:t>
            </w:r>
            <w:r w:rsidR="00F8756C">
              <w:rPr>
                <w:color w:val="000000"/>
                <w:spacing w:val="-2"/>
                <w:szCs w:val="24"/>
                <w:shd w:val="clear" w:color="auto" w:fill="FFFFFF"/>
              </w:rPr>
              <w:t>Komisijas īstenošanas lēmuma</w:t>
            </w:r>
            <w:r w:rsidRPr="004404B0">
              <w:rPr>
                <w:color w:val="000000"/>
                <w:spacing w:val="-2"/>
                <w:szCs w:val="24"/>
                <w:shd w:val="clear" w:color="auto" w:fill="FFFFFF"/>
              </w:rPr>
              <w:t xml:space="preserve"> </w:t>
            </w:r>
            <w:r w:rsidR="00947F9B" w:rsidRPr="004404B0">
              <w:rPr>
                <w:color w:val="000000"/>
                <w:spacing w:val="-2"/>
                <w:szCs w:val="24"/>
                <w:shd w:val="clear" w:color="auto" w:fill="FFFFFF"/>
              </w:rPr>
              <w:t xml:space="preserve">regulējumam </w:t>
            </w:r>
            <w:r w:rsidRPr="004404B0">
              <w:rPr>
                <w:color w:val="000000"/>
                <w:spacing w:val="-2"/>
                <w:szCs w:val="24"/>
                <w:shd w:val="clear" w:color="auto" w:fill="FFFFFF"/>
              </w:rPr>
              <w:t>nav saistoš</w:t>
            </w:r>
            <w:r w:rsidR="00883431">
              <w:rPr>
                <w:color w:val="000000"/>
                <w:spacing w:val="-2"/>
                <w:szCs w:val="24"/>
                <w:shd w:val="clear" w:color="auto" w:fill="FFFFFF"/>
              </w:rPr>
              <w:t>i</w:t>
            </w:r>
            <w:r w:rsidRPr="004404B0">
              <w:rPr>
                <w:color w:val="000000"/>
                <w:spacing w:val="-2"/>
                <w:szCs w:val="24"/>
                <w:shd w:val="clear" w:color="auto" w:fill="FFFFFF"/>
              </w:rPr>
              <w:t xml:space="preserve"> dalībvalstīm</w:t>
            </w:r>
            <w:r w:rsidR="009846E0">
              <w:rPr>
                <w:color w:val="000000"/>
                <w:spacing w:val="-2"/>
                <w:szCs w:val="24"/>
                <w:shd w:val="clear" w:color="auto" w:fill="FFFFFF"/>
              </w:rPr>
              <w:t>)</w:t>
            </w:r>
            <w:r w:rsidRPr="004404B0">
              <w:rPr>
                <w:color w:val="000000"/>
                <w:spacing w:val="-2"/>
                <w:szCs w:val="24"/>
                <w:shd w:val="clear" w:color="auto" w:fill="FFFFFF"/>
              </w:rPr>
              <w:t xml:space="preserve">. </w:t>
            </w:r>
          </w:p>
          <w:p w14:paraId="4723BAB8" w14:textId="2BA7F2DC" w:rsidR="008C2EF4" w:rsidRPr="004404B0" w:rsidRDefault="00FC054D" w:rsidP="00F14E9A">
            <w:pPr>
              <w:spacing w:after="0" w:line="240" w:lineRule="auto"/>
              <w:ind w:right="57"/>
              <w:jc w:val="both"/>
            </w:pPr>
            <w:r w:rsidRPr="004404B0">
              <w:rPr>
                <w:color w:val="000000"/>
                <w:szCs w:val="24"/>
                <w:shd w:val="clear" w:color="auto" w:fill="FFFFFF"/>
              </w:rPr>
              <w:t>Latvijas Nacionālā standartizācijas institūcija “Latvijas standarts” no direktīvas 2014/55/ES izrietošo standartu</w:t>
            </w:r>
            <w:r w:rsidR="008C2EF4" w:rsidRPr="004404B0">
              <w:rPr>
                <w:color w:val="000000"/>
                <w:szCs w:val="24"/>
                <w:shd w:val="clear" w:color="auto" w:fill="FFFFFF"/>
              </w:rPr>
              <w:t xml:space="preserve"> </w:t>
            </w:r>
            <w:r w:rsidR="008C2EF4" w:rsidRPr="004404B0">
              <w:rPr>
                <w:color w:val="000000"/>
                <w:spacing w:val="-2"/>
                <w:szCs w:val="24"/>
                <w:shd w:val="clear" w:color="auto" w:fill="FFFFFF"/>
              </w:rPr>
              <w:t xml:space="preserve">EN 16931-1:2017 “Elektroniskie rēķini. 1.daļa. Elektronisko rēķinu pamatelementu semantisko datu modelis” un pavadošo dokumentu CEN/TS 16931-2:2017 “Elektroniskie rēķini. 2.daļa: Standartam EN 16931-1 atbilstošo sintakšu saraksts” </w:t>
            </w:r>
            <w:r w:rsidRPr="004404B0">
              <w:rPr>
                <w:color w:val="000000"/>
                <w:szCs w:val="24"/>
                <w:shd w:val="clear" w:color="auto" w:fill="FFFFFF"/>
              </w:rPr>
              <w:t xml:space="preserve">ir adaptējusi Latvijas nacionālā standarta </w:t>
            </w:r>
            <w:r w:rsidR="008C2EF4" w:rsidRPr="004404B0">
              <w:rPr>
                <w:color w:val="000000"/>
                <w:szCs w:val="24"/>
                <w:shd w:val="clear" w:color="auto" w:fill="FFFFFF"/>
              </w:rPr>
              <w:t xml:space="preserve">un tehniskās specifikācijas </w:t>
            </w:r>
            <w:r w:rsidRPr="004404B0">
              <w:rPr>
                <w:color w:val="000000"/>
                <w:szCs w:val="24"/>
                <w:shd w:val="clear" w:color="auto" w:fill="FFFFFF"/>
              </w:rPr>
              <w:t>statusā</w:t>
            </w:r>
            <w:r w:rsidR="008C2EF4" w:rsidRPr="004404B0">
              <w:rPr>
                <w:color w:val="000000"/>
                <w:szCs w:val="24"/>
                <w:shd w:val="clear" w:color="auto" w:fill="FFFFFF"/>
              </w:rPr>
              <w:t xml:space="preserve">. </w:t>
            </w:r>
            <w:r w:rsidR="009846E0">
              <w:rPr>
                <w:color w:val="000000"/>
                <w:szCs w:val="24"/>
                <w:shd w:val="clear" w:color="auto" w:fill="FFFFFF"/>
              </w:rPr>
              <w:t>Vienlaikus attiecīgos statusos</w:t>
            </w:r>
            <w:r w:rsidR="00F8756C">
              <w:rPr>
                <w:color w:val="000000"/>
                <w:szCs w:val="24"/>
                <w:shd w:val="clear" w:color="auto" w:fill="FFFFFF"/>
              </w:rPr>
              <w:t xml:space="preserve"> ir adaptētas arī Eiropas elektronisko rēķinu standarta pārējās daļas.</w:t>
            </w:r>
          </w:p>
          <w:p w14:paraId="5BD148A3" w14:textId="7B499235" w:rsidR="0063538C" w:rsidRDefault="00F14E9A" w:rsidP="00A534F9">
            <w:pPr>
              <w:spacing w:after="0" w:line="240" w:lineRule="auto"/>
              <w:ind w:right="57"/>
              <w:jc w:val="both"/>
              <w:rPr>
                <w:color w:val="000000"/>
                <w:spacing w:val="-2"/>
                <w:szCs w:val="24"/>
                <w:shd w:val="clear" w:color="auto" w:fill="FFFFFF"/>
              </w:rPr>
            </w:pPr>
            <w:r w:rsidRPr="004404B0">
              <w:rPr>
                <w:color w:val="000000"/>
                <w:spacing w:val="-2"/>
                <w:szCs w:val="24"/>
                <w:shd w:val="clear" w:color="auto" w:fill="FFFFFF"/>
              </w:rPr>
              <w:t xml:space="preserve">No 2019. gada 15. janvāra </w:t>
            </w:r>
            <w:r w:rsidRPr="004404B0">
              <w:rPr>
                <w:color w:val="000000"/>
                <w:szCs w:val="24"/>
                <w:shd w:val="clear" w:color="auto" w:fill="FFFFFF"/>
              </w:rPr>
              <w:t xml:space="preserve">Latvijas Nacionālā standartizācijas institūcijas “Latvijas standarts” tīmekļvietnē </w:t>
            </w:r>
            <w:hyperlink r:id="rId11" w:history="1">
              <w:r w:rsidRPr="004404B0">
                <w:rPr>
                  <w:rStyle w:val="Hyperlink"/>
                  <w:spacing w:val="-2"/>
                  <w:szCs w:val="24"/>
                  <w:shd w:val="clear" w:color="auto" w:fill="FFFFFF"/>
                </w:rPr>
                <w:t>www.lvs.lv</w:t>
              </w:r>
            </w:hyperlink>
            <w:r w:rsidRPr="004404B0">
              <w:rPr>
                <w:color w:val="000000"/>
                <w:spacing w:val="-2"/>
                <w:szCs w:val="24"/>
                <w:shd w:val="clear" w:color="auto" w:fill="FFFFFF"/>
              </w:rPr>
              <w:t xml:space="preserve"> reģistrētiem lietotājiem bez maksas ir pieejam</w:t>
            </w:r>
            <w:r w:rsidR="004808E8" w:rsidRPr="004404B0">
              <w:rPr>
                <w:color w:val="000000"/>
                <w:spacing w:val="-2"/>
                <w:szCs w:val="24"/>
                <w:shd w:val="clear" w:color="auto" w:fill="FFFFFF"/>
              </w:rPr>
              <w:t>s</w:t>
            </w:r>
            <w:r w:rsidRPr="004404B0">
              <w:rPr>
                <w:color w:val="000000"/>
                <w:spacing w:val="-2"/>
                <w:szCs w:val="24"/>
                <w:shd w:val="clear" w:color="auto" w:fill="FFFFFF"/>
              </w:rPr>
              <w:t xml:space="preserve"> elektronisko rēķinu </w:t>
            </w:r>
            <w:r w:rsidR="00DB716C" w:rsidRPr="004404B0">
              <w:rPr>
                <w:color w:val="000000"/>
                <w:spacing w:val="-2"/>
                <w:szCs w:val="24"/>
                <w:shd w:val="clear" w:color="auto" w:fill="FFFFFF"/>
              </w:rPr>
              <w:t xml:space="preserve">standarts </w:t>
            </w:r>
            <w:r w:rsidRPr="004404B0">
              <w:rPr>
                <w:color w:val="000000"/>
                <w:spacing w:val="-2"/>
                <w:szCs w:val="24"/>
                <w:shd w:val="clear" w:color="auto" w:fill="FFFFFF"/>
              </w:rPr>
              <w:t xml:space="preserve">LVS EN 16931-1:2017 “Elektroniskie rēķini. 1.daļa. Elektronisko rēķinu pamatelementu semantisko datu modelis” un </w:t>
            </w:r>
            <w:r w:rsidR="003054C7">
              <w:rPr>
                <w:color w:val="000000"/>
                <w:spacing w:val="-2"/>
                <w:szCs w:val="24"/>
                <w:shd w:val="clear" w:color="auto" w:fill="FFFFFF"/>
              </w:rPr>
              <w:t xml:space="preserve">tehniskā specifikācija </w:t>
            </w:r>
            <w:r w:rsidRPr="004404B0">
              <w:rPr>
                <w:color w:val="000000"/>
                <w:spacing w:val="-2"/>
                <w:szCs w:val="24"/>
                <w:shd w:val="clear" w:color="auto" w:fill="FFFFFF"/>
              </w:rPr>
              <w:t>LVS CEN/TS 16931-2:2017 “Elektroniskie rēķini. 2.daļa: Standartam EN 16931-1 atbilstošo sintakšu saraksts”.</w:t>
            </w:r>
            <w:r w:rsidR="00C533DC" w:rsidRPr="004404B0">
              <w:rPr>
                <w:color w:val="000000"/>
                <w:spacing w:val="-2"/>
                <w:szCs w:val="24"/>
                <w:shd w:val="clear" w:color="auto" w:fill="FFFFFF"/>
              </w:rPr>
              <w:t xml:space="preserve"> </w:t>
            </w:r>
            <w:r w:rsidR="003365A1" w:rsidRPr="004404B0">
              <w:rPr>
                <w:color w:val="000000"/>
                <w:spacing w:val="-2"/>
                <w:szCs w:val="24"/>
                <w:shd w:val="clear" w:color="auto" w:fill="FFFFFF"/>
              </w:rPr>
              <w:t xml:space="preserve">Minētais standarts un sintakšu saraksts </w:t>
            </w:r>
            <w:r w:rsidR="009846E0">
              <w:rPr>
                <w:color w:val="000000"/>
                <w:spacing w:val="-2"/>
                <w:szCs w:val="24"/>
                <w:shd w:val="clear" w:color="auto" w:fill="FFFFFF"/>
              </w:rPr>
              <w:t xml:space="preserve">(tehniskā specifikācija) </w:t>
            </w:r>
            <w:r w:rsidRPr="004404B0">
              <w:rPr>
                <w:color w:val="000000"/>
                <w:spacing w:val="-2"/>
                <w:szCs w:val="24"/>
                <w:shd w:val="clear" w:color="auto" w:fill="FFFFFF"/>
              </w:rPr>
              <w:t xml:space="preserve">ir </w:t>
            </w:r>
            <w:r w:rsidR="003365A1" w:rsidRPr="004404B0">
              <w:rPr>
                <w:color w:val="000000"/>
                <w:spacing w:val="-2"/>
                <w:szCs w:val="24"/>
                <w:shd w:val="clear" w:color="auto" w:fill="FFFFFF"/>
              </w:rPr>
              <w:t xml:space="preserve">pieejams </w:t>
            </w:r>
            <w:r w:rsidRPr="004404B0">
              <w:rPr>
                <w:color w:val="000000"/>
                <w:spacing w:val="-2"/>
                <w:szCs w:val="24"/>
                <w:shd w:val="clear" w:color="auto" w:fill="FFFFFF"/>
              </w:rPr>
              <w:t xml:space="preserve">lejupielādei </w:t>
            </w:r>
            <w:r w:rsidR="00883431">
              <w:rPr>
                <w:color w:val="000000"/>
                <w:spacing w:val="-2"/>
                <w:szCs w:val="24"/>
                <w:shd w:val="clear" w:color="auto" w:fill="FFFFFF"/>
              </w:rPr>
              <w:t>bez maksas</w:t>
            </w:r>
            <w:r w:rsidR="005C26FB" w:rsidRPr="004404B0">
              <w:rPr>
                <w:color w:val="000000"/>
                <w:spacing w:val="-2"/>
                <w:szCs w:val="24"/>
                <w:shd w:val="clear" w:color="auto" w:fill="FFFFFF"/>
              </w:rPr>
              <w:t xml:space="preserve"> saskaņā ar 2018.gada 18.</w:t>
            </w:r>
            <w:r w:rsidRPr="004404B0">
              <w:rPr>
                <w:color w:val="000000"/>
                <w:spacing w:val="-2"/>
                <w:szCs w:val="24"/>
                <w:shd w:val="clear" w:color="auto" w:fill="FFFFFF"/>
              </w:rPr>
              <w:t>decembrī noslēgto Eiropas Standartizācijas komitejas</w:t>
            </w:r>
            <w:r w:rsidR="00261BAA">
              <w:rPr>
                <w:color w:val="000000"/>
                <w:spacing w:val="-2"/>
                <w:szCs w:val="24"/>
                <w:shd w:val="clear" w:color="auto" w:fill="FFFFFF"/>
              </w:rPr>
              <w:t xml:space="preserve"> (</w:t>
            </w:r>
            <w:r w:rsidR="00261BAA" w:rsidRPr="00261BAA">
              <w:rPr>
                <w:i/>
                <w:color w:val="000000"/>
                <w:spacing w:val="-2"/>
                <w:szCs w:val="24"/>
                <w:shd w:val="clear" w:color="auto" w:fill="FFFFFF"/>
              </w:rPr>
              <w:t>European Committee for Standardisation</w:t>
            </w:r>
            <w:r w:rsidR="00261BAA">
              <w:rPr>
                <w:color w:val="000000"/>
                <w:spacing w:val="-2"/>
                <w:szCs w:val="24"/>
                <w:shd w:val="clear" w:color="auto" w:fill="FFFFFF"/>
              </w:rPr>
              <w:t>)</w:t>
            </w:r>
            <w:r w:rsidRPr="004404B0">
              <w:rPr>
                <w:color w:val="000000"/>
                <w:spacing w:val="-2"/>
                <w:szCs w:val="24"/>
                <w:shd w:val="clear" w:color="auto" w:fill="FFFFFF"/>
              </w:rPr>
              <w:t xml:space="preserve"> un Eiropas Komisijas izņēmuma licences līgumu, kas paredz, ka  piekļuvi minētajiem standartizācijas dokumentiem apmaks</w:t>
            </w:r>
            <w:bookmarkStart w:id="0" w:name="_GoBack"/>
            <w:bookmarkEnd w:id="0"/>
            <w:r w:rsidRPr="004404B0">
              <w:rPr>
                <w:color w:val="000000"/>
                <w:spacing w:val="-2"/>
                <w:szCs w:val="24"/>
                <w:shd w:val="clear" w:color="auto" w:fill="FFFFFF"/>
              </w:rPr>
              <w:t>ā Eiropas Komisija.</w:t>
            </w:r>
            <w:r w:rsidR="00215FBB" w:rsidRPr="004404B0">
              <w:rPr>
                <w:color w:val="000000"/>
                <w:spacing w:val="-2"/>
                <w:szCs w:val="24"/>
                <w:shd w:val="clear" w:color="auto" w:fill="FFFFFF"/>
              </w:rPr>
              <w:t xml:space="preserve"> </w:t>
            </w:r>
          </w:p>
          <w:p w14:paraId="49FC810A" w14:textId="0B736786" w:rsidR="00085C25" w:rsidRDefault="00085C25" w:rsidP="00085C25">
            <w:pPr>
              <w:spacing w:after="0" w:line="240" w:lineRule="auto"/>
              <w:ind w:right="57"/>
              <w:jc w:val="both"/>
            </w:pPr>
            <w:r>
              <w:t xml:space="preserve">Atbilstoši Standartizācijas likuma 14.panta otrajai un </w:t>
            </w:r>
            <w:r w:rsidRPr="00085C25">
              <w:t>trešajai daļai Finanšu ministrija sav</w:t>
            </w:r>
            <w:r w:rsidR="00A1647C">
              <w:t>a</w:t>
            </w:r>
            <w:r w:rsidRPr="00085C25">
              <w:t xml:space="preserve"> budžet</w:t>
            </w:r>
            <w:r w:rsidR="00A1647C">
              <w:t>a</w:t>
            </w:r>
            <w:r w:rsidRPr="00085C25">
              <w:t xml:space="preserve"> līdzekļu ietvaros līdz </w:t>
            </w:r>
            <w:r w:rsidR="00A1647C">
              <w:t>2019.gada 30.</w:t>
            </w:r>
            <w:r w:rsidR="00D937EB">
              <w:t>jūnijam</w:t>
            </w:r>
            <w:r w:rsidRPr="00085C25">
              <w:t xml:space="preserve"> </w:t>
            </w:r>
            <w:r w:rsidR="00A1647C">
              <w:t xml:space="preserve">nodrošinās </w:t>
            </w:r>
            <w:r w:rsidRPr="00085C25">
              <w:rPr>
                <w:bCs/>
              </w:rPr>
              <w:t>Latvijas Nacionālā</w:t>
            </w:r>
            <w:r w:rsidR="00A1647C">
              <w:rPr>
                <w:bCs/>
              </w:rPr>
              <w:t>s</w:t>
            </w:r>
            <w:r w:rsidRPr="00085C25">
              <w:rPr>
                <w:bCs/>
              </w:rPr>
              <w:t xml:space="preserve"> standartizācijas institūcijas “Latvijas standarts” </w:t>
            </w:r>
            <w:r w:rsidR="00A1647C" w:rsidRPr="00A1647C">
              <w:rPr>
                <w:bCs/>
              </w:rPr>
              <w:t>Latvijas nacionālā standarta statusā</w:t>
            </w:r>
            <w:r w:rsidR="00A1647C">
              <w:rPr>
                <w:bCs/>
              </w:rPr>
              <w:t xml:space="preserve"> </w:t>
            </w:r>
            <w:r w:rsidRPr="00085C25">
              <w:rPr>
                <w:bCs/>
              </w:rPr>
              <w:t>adaptēt</w:t>
            </w:r>
            <w:r w:rsidR="00A1647C">
              <w:rPr>
                <w:bCs/>
              </w:rPr>
              <w:t>ā</w:t>
            </w:r>
            <w:r w:rsidRPr="00085C25">
              <w:rPr>
                <w:bCs/>
              </w:rPr>
              <w:t xml:space="preserve"> </w:t>
            </w:r>
            <w:r w:rsidRPr="00085C25">
              <w:t>elektronisko rēķinu standart</w:t>
            </w:r>
            <w:r w:rsidR="00A1647C">
              <w:t>a</w:t>
            </w:r>
            <w:r w:rsidRPr="00085C25">
              <w:t xml:space="preserve"> LVS EN 16931-1:2017 “Elektroniskie rēķini. 1.daļa. Elektronisko rēķinu pamatelementu semantisko datu modelis” un </w:t>
            </w:r>
            <w:r w:rsidR="00A1647C">
              <w:t xml:space="preserve">tehniskās specifikācijas </w:t>
            </w:r>
            <w:r w:rsidRPr="00085C25">
              <w:t>LVS CEN/TS 16931-2:2017</w:t>
            </w:r>
            <w:r w:rsidR="00A1647C">
              <w:t xml:space="preserve"> </w:t>
            </w:r>
            <w:r w:rsidRPr="00085C25">
              <w:t>“Elektroniskie rēķini. 2.daļa: Standartam EN 16931-1 atbilstošo sintakšu saraksts”</w:t>
            </w:r>
            <w:r w:rsidR="00A1647C">
              <w:t xml:space="preserve"> tulkošanu valsts valodā</w:t>
            </w:r>
            <w:r w:rsidRPr="00085C25">
              <w:t>.</w:t>
            </w:r>
          </w:p>
          <w:p w14:paraId="34004463" w14:textId="441A9B40" w:rsidR="00085C25" w:rsidRDefault="00A1647C" w:rsidP="00A534F9">
            <w:pPr>
              <w:spacing w:after="0" w:line="240" w:lineRule="auto"/>
              <w:ind w:right="57"/>
              <w:jc w:val="both"/>
            </w:pPr>
            <w:r>
              <w:t>Konsultācijas</w:t>
            </w:r>
            <w:r w:rsidRPr="004404B0">
              <w:t xml:space="preserve"> ar Latvijas Informācijas un komunikācijas tehnoloģijas asociācijas (LIKTA) izveidotās darba grupas locekļiem un ar informācijas tehnoloģijas sistēmu izstrādātājiem</w:t>
            </w:r>
            <w:r>
              <w:t xml:space="preserve"> liecina, ka</w:t>
            </w:r>
            <w:r w:rsidRPr="004404B0">
              <w:t xml:space="preserve"> sistēmu</w:t>
            </w:r>
            <w:r>
              <w:t xml:space="preserve"> izstrādātāji jau ir uzsākuši darbu pie informācijas tehnoloģiju risinājumu izstrādes (t.sk. grāmatvedības sistēmu programmatūras pielāgošanas, lai nodrošinātu Eiropas elektronisko rēķinu standartam atbilstošu elektronisko rēķinu apstrādi), turklāt </w:t>
            </w:r>
            <w:r w:rsidR="006F605C">
              <w:t xml:space="preserve">informācijas </w:t>
            </w:r>
            <w:r>
              <w:t xml:space="preserve">sistēmu izstrādē tiek un arī neatkarīgi no tulkojuma pieejamības tiks </w:t>
            </w:r>
            <w:r w:rsidRPr="004404B0">
              <w:t xml:space="preserve">izmantoti standarti un dokumenti oriģinālvalodā, </w:t>
            </w:r>
            <w:r>
              <w:t xml:space="preserve">t.i., </w:t>
            </w:r>
            <w:r w:rsidRPr="004404B0">
              <w:t>angļu valodā</w:t>
            </w:r>
            <w:r>
              <w:t>.</w:t>
            </w:r>
          </w:p>
          <w:p w14:paraId="48C4FAF7" w14:textId="32432317" w:rsidR="003138A4" w:rsidRPr="004404B0" w:rsidRDefault="00A1647C" w:rsidP="00A534F9">
            <w:pPr>
              <w:spacing w:after="0" w:line="240" w:lineRule="auto"/>
              <w:ind w:right="57"/>
              <w:jc w:val="both"/>
              <w:rPr>
                <w:color w:val="000000"/>
                <w:spacing w:val="-2"/>
                <w:szCs w:val="24"/>
                <w:shd w:val="clear" w:color="auto" w:fill="FFFFFF"/>
              </w:rPr>
            </w:pPr>
            <w:r>
              <w:t xml:space="preserve">Papildus jāatzīmē, ka </w:t>
            </w:r>
            <w:r w:rsidR="00BD73A5">
              <w:t xml:space="preserve">Eiropas elektronisko rēķinu </w:t>
            </w:r>
            <w:r w:rsidR="00BD73A5">
              <w:rPr>
                <w:rFonts w:cs="Times New Roman"/>
                <w:szCs w:val="24"/>
              </w:rPr>
              <w:t>s</w:t>
            </w:r>
            <w:r w:rsidR="002E0A25" w:rsidRPr="004404B0">
              <w:rPr>
                <w:rFonts w:cs="Times New Roman"/>
                <w:szCs w:val="24"/>
              </w:rPr>
              <w:t xml:space="preserve">tandartu </w:t>
            </w:r>
            <w:r w:rsidR="00BD1430">
              <w:rPr>
                <w:rFonts w:cs="Times New Roman"/>
                <w:szCs w:val="24"/>
              </w:rPr>
              <w:t xml:space="preserve">(kā dokumentu) </w:t>
            </w:r>
            <w:r w:rsidR="002E0A25" w:rsidRPr="004404B0">
              <w:t xml:space="preserve">tiešā veidā neizmantos grāmatvedības un </w:t>
            </w:r>
            <w:r w:rsidR="002E0A25" w:rsidRPr="004404B0">
              <w:lastRenderedPageBreak/>
              <w:t xml:space="preserve">maksājumu sistēmu lietotāji, proti, elektronisko rēķinu izrakstītāji un saņēmēji, bet gan </w:t>
            </w:r>
            <w:r w:rsidR="001065B1">
              <w:t xml:space="preserve">tikai </w:t>
            </w:r>
            <w:r w:rsidR="002E0A25" w:rsidRPr="004404B0">
              <w:t xml:space="preserve">informācijas tehnoloģijas sistēmu izstrādātāji. </w:t>
            </w:r>
            <w:r w:rsidR="00BD73A5">
              <w:t xml:space="preserve">Savukārt izstrādāto informācijas sistēmu atbilstību standarta prasībām apliecinās sistēmu izstrādātāji, slēdzot attiecīgus līgumus ar </w:t>
            </w:r>
            <w:r w:rsidR="006F605C">
              <w:t xml:space="preserve">informācijas </w:t>
            </w:r>
            <w:r w:rsidR="00BD73A5">
              <w:t xml:space="preserve">sistēmu </w:t>
            </w:r>
            <w:r w:rsidR="001065B1">
              <w:t>pircējiem (</w:t>
            </w:r>
            <w:r w:rsidR="00BD73A5">
              <w:t>lietotājiem</w:t>
            </w:r>
            <w:r w:rsidR="001065B1">
              <w:t>), kuros paredzami noteikumi par sistēmu izstrādātāju pienākumu atklāt un novērst kļūdas sistēmas darbībā, ja tādas tiek novērotas, vienlaikus risinājumi sistēmu izstrādei ir sistēmu izstrādātāju ziņā un parasti sistēmu  pircējiem (lietotājiem) nav piekļuves sistēmu pirmkodam, lai tehniskā līmenī izvērtētu risinājumu tehnisko</w:t>
            </w:r>
            <w:r w:rsidR="006F605C">
              <w:t xml:space="preserve"> pusi</w:t>
            </w:r>
            <w:r w:rsidR="001065B1">
              <w:t xml:space="preserve">. </w:t>
            </w:r>
            <w:r w:rsidR="003138A4" w:rsidRPr="004404B0">
              <w:t xml:space="preserve"> </w:t>
            </w:r>
          </w:p>
          <w:p w14:paraId="1D5868F1" w14:textId="579D8111" w:rsidR="003138A4" w:rsidRPr="004404B0" w:rsidRDefault="003138A4" w:rsidP="00B33365">
            <w:pPr>
              <w:spacing w:after="0" w:line="240" w:lineRule="auto"/>
              <w:ind w:right="57"/>
              <w:jc w:val="both"/>
              <w:rPr>
                <w:color w:val="000000"/>
                <w:spacing w:val="-2"/>
                <w:szCs w:val="24"/>
                <w:shd w:val="clear" w:color="auto" w:fill="FFFFFF"/>
              </w:rPr>
            </w:pPr>
          </w:p>
          <w:p w14:paraId="6850E5F1" w14:textId="26119DB7" w:rsidR="00C25F70" w:rsidRPr="004404B0" w:rsidRDefault="00C25F70" w:rsidP="00B33365">
            <w:pPr>
              <w:spacing w:after="0" w:line="240" w:lineRule="auto"/>
              <w:ind w:right="57"/>
              <w:jc w:val="both"/>
              <w:rPr>
                <w:b/>
                <w:color w:val="000000"/>
                <w:spacing w:val="-2"/>
                <w:szCs w:val="24"/>
                <w:shd w:val="clear" w:color="auto" w:fill="FFFFFF"/>
              </w:rPr>
            </w:pPr>
            <w:r w:rsidRPr="004404B0">
              <w:rPr>
                <w:b/>
                <w:color w:val="000000"/>
                <w:spacing w:val="-2"/>
                <w:szCs w:val="24"/>
                <w:shd w:val="clear" w:color="auto" w:fill="FFFFFF"/>
              </w:rPr>
              <w:t>Standarta piemērošana</w:t>
            </w:r>
          </w:p>
          <w:p w14:paraId="4C50317B" w14:textId="0183E708" w:rsidR="00A8324B" w:rsidRDefault="002356F2">
            <w:pPr>
              <w:spacing w:after="0" w:line="240" w:lineRule="auto"/>
              <w:ind w:right="57"/>
              <w:jc w:val="both"/>
              <w:rPr>
                <w:color w:val="000000"/>
                <w:shd w:val="clear" w:color="auto" w:fill="FFFFFF"/>
              </w:rPr>
            </w:pPr>
            <w:r w:rsidRPr="004404B0">
              <w:rPr>
                <w:color w:val="000000"/>
                <w:shd w:val="clear" w:color="auto" w:fill="FFFFFF"/>
              </w:rPr>
              <w:t>Eiropas elektronisko rēķinu standart</w:t>
            </w:r>
            <w:r w:rsidR="00A777C6" w:rsidRPr="004404B0">
              <w:rPr>
                <w:color w:val="000000"/>
                <w:shd w:val="clear" w:color="auto" w:fill="FFFFFF"/>
              </w:rPr>
              <w:t>s</w:t>
            </w:r>
            <w:r w:rsidRPr="004404B0">
              <w:rPr>
                <w:color w:val="000000"/>
                <w:shd w:val="clear" w:color="auto" w:fill="FFFFFF"/>
              </w:rPr>
              <w:t xml:space="preserve"> </w:t>
            </w:r>
            <w:r w:rsidR="006F605C">
              <w:rPr>
                <w:color w:val="000000"/>
                <w:shd w:val="clear" w:color="auto" w:fill="FFFFFF"/>
              </w:rPr>
              <w:t>–</w:t>
            </w:r>
            <w:r w:rsidR="00BD1430">
              <w:rPr>
                <w:color w:val="000000"/>
                <w:shd w:val="clear" w:color="auto" w:fill="FFFFFF"/>
              </w:rPr>
              <w:t xml:space="preserve"> standarts</w:t>
            </w:r>
            <w:r w:rsidRPr="004404B0">
              <w:rPr>
                <w:color w:val="000000"/>
                <w:spacing w:val="-2"/>
                <w:szCs w:val="24"/>
                <w:shd w:val="clear" w:color="auto" w:fill="FFFFFF"/>
              </w:rPr>
              <w:t xml:space="preserve"> EN 16931-1:2017 “Elektroniskie rēķini. 1.daļa. Elektronisko rēķinu pamatelementu semantisko datu modelis” un </w:t>
            </w:r>
            <w:r w:rsidR="00BD1430">
              <w:rPr>
                <w:color w:val="000000"/>
                <w:spacing w:val="-2"/>
                <w:szCs w:val="24"/>
                <w:shd w:val="clear" w:color="auto" w:fill="FFFFFF"/>
              </w:rPr>
              <w:t xml:space="preserve">tehniskā specifikācija </w:t>
            </w:r>
            <w:r w:rsidRPr="004404B0">
              <w:rPr>
                <w:color w:val="000000"/>
                <w:spacing w:val="-2"/>
                <w:szCs w:val="24"/>
                <w:shd w:val="clear" w:color="auto" w:fill="FFFFFF"/>
              </w:rPr>
              <w:t>CEN/TS 16931-2:2017 “Elektroniskie rēķini. 2.daļa: Standartam EN 16931-1 atbilstošo sintakšu saraksts”</w:t>
            </w:r>
            <w:r w:rsidR="00BD1430">
              <w:rPr>
                <w:color w:val="000000"/>
                <w:spacing w:val="-2"/>
                <w:szCs w:val="24"/>
                <w:shd w:val="clear" w:color="auto" w:fill="FFFFFF"/>
              </w:rPr>
              <w:t xml:space="preserve"> -</w:t>
            </w:r>
            <w:r w:rsidRPr="004404B0">
              <w:rPr>
                <w:color w:val="000000"/>
                <w:shd w:val="clear" w:color="auto" w:fill="FFFFFF"/>
              </w:rPr>
              <w:t xml:space="preserve"> paredz elektroniskā rēķina pamatelementus un divas </w:t>
            </w:r>
            <w:r w:rsidR="008F0642" w:rsidRPr="004404B0">
              <w:rPr>
                <w:color w:val="000000"/>
                <w:shd w:val="clear" w:color="auto" w:fill="FFFFFF"/>
              </w:rPr>
              <w:t xml:space="preserve">atbalstītās </w:t>
            </w:r>
            <w:r w:rsidRPr="004404B0">
              <w:rPr>
                <w:color w:val="000000"/>
                <w:shd w:val="clear" w:color="auto" w:fill="FFFFFF"/>
              </w:rPr>
              <w:t>sintakses</w:t>
            </w:r>
            <w:r w:rsidR="005C26FB" w:rsidRPr="004404B0">
              <w:rPr>
                <w:color w:val="000000"/>
                <w:shd w:val="clear" w:color="auto" w:fill="FFFFFF"/>
              </w:rPr>
              <w:t>.</w:t>
            </w:r>
            <w:r w:rsidR="005C26FB" w:rsidRPr="004404B0">
              <w:rPr>
                <w:color w:val="000000"/>
                <w:spacing w:val="-2"/>
                <w:szCs w:val="24"/>
                <w:shd w:val="clear" w:color="auto" w:fill="FFFFFF"/>
              </w:rPr>
              <w:t xml:space="preserve"> </w:t>
            </w:r>
            <w:r w:rsidR="00947F9B" w:rsidRPr="004404B0">
              <w:t>Ar e</w:t>
            </w:r>
            <w:r w:rsidR="003A65B0" w:rsidRPr="004404B0">
              <w:t>lektroniskā rēķina pamatelementiem tiek saprast</w:t>
            </w:r>
            <w:r w:rsidR="00BD1430">
              <w:t>s</w:t>
            </w:r>
            <w:r w:rsidR="003A65B0" w:rsidRPr="004404B0">
              <w:t xml:space="preserve"> elektroniskajā rēķinā </w:t>
            </w:r>
            <w:r w:rsidR="00746937" w:rsidRPr="004404B0">
              <w:t>ietvertais</w:t>
            </w:r>
            <w:r w:rsidR="003A65B0" w:rsidRPr="004404B0">
              <w:t xml:space="preserve"> informācijas kopums, kas </w:t>
            </w:r>
            <w:r w:rsidR="00746937" w:rsidRPr="004404B0">
              <w:t>nepieciešams</w:t>
            </w:r>
            <w:r w:rsidR="003A65B0" w:rsidRPr="004404B0">
              <w:t xml:space="preserve">, lai </w:t>
            </w:r>
            <w:r w:rsidR="00746937" w:rsidRPr="004404B0">
              <w:t>nodrošinātu</w:t>
            </w:r>
            <w:r w:rsidR="003A65B0" w:rsidRPr="004404B0">
              <w:t xml:space="preserve"> iespēju īstenot sadarbspēju pārrobežu </w:t>
            </w:r>
            <w:r w:rsidR="00746937" w:rsidRPr="004404B0">
              <w:t xml:space="preserve">elektronisko rēķinu </w:t>
            </w:r>
            <w:r w:rsidR="00A47898">
              <w:t>aprit</w:t>
            </w:r>
            <w:r w:rsidR="00EA539F" w:rsidRPr="004404B0">
              <w:t>i</w:t>
            </w:r>
            <w:r w:rsidR="003A65B0" w:rsidRPr="004404B0">
              <w:t xml:space="preserve">, </w:t>
            </w:r>
            <w:r w:rsidR="00746937" w:rsidRPr="004404B0">
              <w:t>tai skaitā</w:t>
            </w:r>
            <w:r w:rsidR="003A65B0" w:rsidRPr="004404B0">
              <w:t xml:space="preserve"> atbilstību tiesību aktiem</w:t>
            </w:r>
            <w:r w:rsidR="00BD1430">
              <w:t>,</w:t>
            </w:r>
            <w:r w:rsidR="00947F9B" w:rsidRPr="004404B0">
              <w:t xml:space="preserve"> savukārt sintakses tiek izveidotas, lai nodrošinātu vienotu mašīnlasāmu valodu vai dialektu, ko izmanto, lai aprakstītu elektroniskajā rēķinā ietvertos datu elementus</w:t>
            </w:r>
            <w:r w:rsidR="003A65B0" w:rsidRPr="004404B0">
              <w:t>.</w:t>
            </w:r>
            <w:r w:rsidR="003A65B0" w:rsidRPr="004404B0">
              <w:rPr>
                <w:color w:val="444444"/>
                <w:sz w:val="27"/>
                <w:szCs w:val="27"/>
                <w:shd w:val="clear" w:color="auto" w:fill="FFFFFF"/>
              </w:rPr>
              <w:t xml:space="preserve"> </w:t>
            </w:r>
            <w:r w:rsidRPr="004404B0">
              <w:rPr>
                <w:color w:val="000000"/>
                <w:shd w:val="clear" w:color="auto" w:fill="FFFFFF"/>
              </w:rPr>
              <w:t>Eiropas elektronisko rēķinu standart</w:t>
            </w:r>
            <w:r w:rsidR="005C26FB" w:rsidRPr="004404B0">
              <w:rPr>
                <w:color w:val="000000"/>
                <w:shd w:val="clear" w:color="auto" w:fill="FFFFFF"/>
              </w:rPr>
              <w:t>s</w:t>
            </w:r>
            <w:r w:rsidRPr="004404B0">
              <w:rPr>
                <w:color w:val="000000"/>
                <w:shd w:val="clear" w:color="auto" w:fill="FFFFFF"/>
              </w:rPr>
              <w:t xml:space="preserve"> </w:t>
            </w:r>
            <w:r w:rsidR="003F5D5F" w:rsidRPr="004404B0">
              <w:rPr>
                <w:color w:val="000000"/>
                <w:shd w:val="clear" w:color="auto" w:fill="FFFFFF"/>
              </w:rPr>
              <w:t>pieļauj</w:t>
            </w:r>
            <w:r w:rsidR="005C26FB" w:rsidRPr="004404B0">
              <w:rPr>
                <w:color w:val="000000"/>
                <w:shd w:val="clear" w:color="auto" w:fill="FFFFFF"/>
              </w:rPr>
              <w:t xml:space="preserve"> </w:t>
            </w:r>
            <w:r w:rsidRPr="004404B0">
              <w:rPr>
                <w:color w:val="000000"/>
                <w:shd w:val="clear" w:color="auto" w:fill="FFFFFF"/>
              </w:rPr>
              <w:t>iespēju</w:t>
            </w:r>
            <w:r w:rsidR="005C26FB" w:rsidRPr="004404B0">
              <w:rPr>
                <w:color w:val="000000"/>
                <w:shd w:val="clear" w:color="auto" w:fill="FFFFFF"/>
              </w:rPr>
              <w:t>, ka</w:t>
            </w:r>
            <w:r w:rsidR="003F5D5F" w:rsidRPr="004404B0">
              <w:rPr>
                <w:color w:val="000000"/>
                <w:shd w:val="clear" w:color="auto" w:fill="FFFFFF"/>
              </w:rPr>
              <w:t xml:space="preserve"> nacionālā līmenī, sektoru līmenī vai arī pat</w:t>
            </w:r>
            <w:r w:rsidRPr="004404B0">
              <w:rPr>
                <w:color w:val="000000"/>
                <w:shd w:val="clear" w:color="auto" w:fill="FFFFFF"/>
              </w:rPr>
              <w:t xml:space="preserve"> katr</w:t>
            </w:r>
            <w:r w:rsidR="005C26FB" w:rsidRPr="004404B0">
              <w:rPr>
                <w:color w:val="000000"/>
                <w:shd w:val="clear" w:color="auto" w:fill="FFFFFF"/>
              </w:rPr>
              <w:t>s</w:t>
            </w:r>
            <w:r w:rsidRPr="004404B0">
              <w:rPr>
                <w:color w:val="000000"/>
                <w:shd w:val="clear" w:color="auto" w:fill="FFFFFF"/>
              </w:rPr>
              <w:t xml:space="preserve"> </w:t>
            </w:r>
            <w:r w:rsidR="005C26FB" w:rsidRPr="004404B0">
              <w:rPr>
                <w:color w:val="000000"/>
                <w:shd w:val="clear" w:color="auto" w:fill="FFFFFF"/>
              </w:rPr>
              <w:t xml:space="preserve">pasūtītājs, sabiedrisko pakalpojumu sniedzējs vai publiskais partneris vai tā pārstāvis </w:t>
            </w:r>
            <w:r w:rsidR="003C0604">
              <w:rPr>
                <w:color w:val="000000"/>
                <w:shd w:val="clear" w:color="auto" w:fill="FFFFFF"/>
              </w:rPr>
              <w:t>var definēt</w:t>
            </w:r>
            <w:r w:rsidR="003C0604" w:rsidRPr="004404B0">
              <w:rPr>
                <w:color w:val="000000"/>
                <w:shd w:val="clear" w:color="auto" w:fill="FFFFFF"/>
              </w:rPr>
              <w:t xml:space="preserve"> </w:t>
            </w:r>
            <w:r w:rsidR="0020231B">
              <w:rPr>
                <w:color w:val="000000"/>
                <w:shd w:val="clear" w:color="auto" w:fill="FFFFFF"/>
              </w:rPr>
              <w:t xml:space="preserve">Elektroniskā rēķina pamatelementu </w:t>
            </w:r>
            <w:r w:rsidRPr="004404B0">
              <w:rPr>
                <w:color w:val="000000"/>
                <w:shd w:val="clear" w:color="auto" w:fill="FFFFFF"/>
              </w:rPr>
              <w:t>lietošanas specifikāciju (</w:t>
            </w:r>
            <w:r w:rsidRPr="004404B0">
              <w:rPr>
                <w:i/>
                <w:iCs/>
                <w:color w:val="000000"/>
                <w:shd w:val="clear" w:color="auto" w:fill="FFFFFF"/>
              </w:rPr>
              <w:t>Core Invoice Usage Specification</w:t>
            </w:r>
            <w:r w:rsidR="003C0604">
              <w:rPr>
                <w:i/>
                <w:iCs/>
                <w:color w:val="000000"/>
                <w:shd w:val="clear" w:color="auto" w:fill="FFFFFF"/>
              </w:rPr>
              <w:t xml:space="preserve"> </w:t>
            </w:r>
            <w:r w:rsidRPr="004404B0">
              <w:rPr>
                <w:color w:val="000000"/>
                <w:shd w:val="clear" w:color="auto" w:fill="FFFFFF"/>
              </w:rPr>
              <w:t xml:space="preserve">(CIUS)), ar ko </w:t>
            </w:r>
            <w:r w:rsidR="006F605C">
              <w:rPr>
                <w:color w:val="000000"/>
                <w:shd w:val="clear" w:color="auto" w:fill="FFFFFF"/>
              </w:rPr>
              <w:t xml:space="preserve">ir </w:t>
            </w:r>
            <w:r w:rsidRPr="004404B0">
              <w:rPr>
                <w:color w:val="000000"/>
                <w:shd w:val="clear" w:color="auto" w:fill="FFFFFF"/>
              </w:rPr>
              <w:t>iespējams</w:t>
            </w:r>
            <w:r w:rsidR="006F605C">
              <w:rPr>
                <w:color w:val="000000"/>
                <w:shd w:val="clear" w:color="auto" w:fill="FFFFFF"/>
              </w:rPr>
              <w:t xml:space="preserve"> sašaurināt vai specificēt standarta lietojumu,</w:t>
            </w:r>
            <w:r w:rsidRPr="004404B0">
              <w:rPr>
                <w:color w:val="000000"/>
                <w:shd w:val="clear" w:color="auto" w:fill="FFFFFF"/>
              </w:rPr>
              <w:t xml:space="preserve"> norād</w:t>
            </w:r>
            <w:r w:rsidR="006F605C">
              <w:rPr>
                <w:color w:val="000000"/>
                <w:shd w:val="clear" w:color="auto" w:fill="FFFFFF"/>
              </w:rPr>
              <w:t>o</w:t>
            </w:r>
            <w:r w:rsidRPr="004404B0">
              <w:rPr>
                <w:color w:val="000000"/>
                <w:shd w:val="clear" w:color="auto" w:fill="FFFFFF"/>
              </w:rPr>
              <w:t xml:space="preserve">t, </w:t>
            </w:r>
            <w:r w:rsidR="006F605C">
              <w:rPr>
                <w:color w:val="000000"/>
                <w:shd w:val="clear" w:color="auto" w:fill="FFFFFF"/>
              </w:rPr>
              <w:t>elementu lietošanas nosacījumus (</w:t>
            </w:r>
            <w:r w:rsidR="006F605C" w:rsidRPr="0020231B">
              <w:rPr>
                <w:i/>
                <w:color w:val="000000"/>
                <w:shd w:val="clear" w:color="auto" w:fill="FFFFFF"/>
              </w:rPr>
              <w:t>business term</w:t>
            </w:r>
            <w:r w:rsidR="006F605C">
              <w:rPr>
                <w:color w:val="000000"/>
                <w:shd w:val="clear" w:color="auto" w:fill="FFFFFF"/>
              </w:rPr>
              <w:t>),</w:t>
            </w:r>
            <w:r w:rsidR="00A8324B">
              <w:rPr>
                <w:color w:val="000000"/>
                <w:shd w:val="clear" w:color="auto" w:fill="FFFFFF"/>
              </w:rPr>
              <w:t xml:space="preserve"> </w:t>
            </w:r>
            <w:r w:rsidR="006F605C">
              <w:rPr>
                <w:color w:val="000000"/>
                <w:shd w:val="clear" w:color="auto" w:fill="FFFFFF"/>
              </w:rPr>
              <w:t>obligātumu (</w:t>
            </w:r>
            <w:r w:rsidR="006F605C" w:rsidRPr="0020231B">
              <w:rPr>
                <w:i/>
                <w:color w:val="000000"/>
                <w:shd w:val="clear" w:color="auto" w:fill="FFFFFF"/>
              </w:rPr>
              <w:t>cardinality</w:t>
            </w:r>
            <w:r w:rsidR="00A8324B">
              <w:rPr>
                <w:i/>
                <w:color w:val="000000"/>
                <w:shd w:val="clear" w:color="auto" w:fill="FFFFFF"/>
              </w:rPr>
              <w:t>),</w:t>
            </w:r>
            <w:r w:rsidR="00A8324B">
              <w:rPr>
                <w:color w:val="000000"/>
                <w:shd w:val="clear" w:color="auto" w:fill="FFFFFF"/>
              </w:rPr>
              <w:t xml:space="preserve"> izmantotos kodus un identifikatorus u.c.</w:t>
            </w:r>
            <w:r w:rsidR="006F605C">
              <w:rPr>
                <w:color w:val="000000"/>
                <w:shd w:val="clear" w:color="auto" w:fill="FFFFFF"/>
              </w:rPr>
              <w:t xml:space="preserve"> </w:t>
            </w:r>
            <w:r w:rsidR="00A8324B" w:rsidRPr="00A8324B">
              <w:rPr>
                <w:color w:val="000000"/>
                <w:spacing w:val="-2"/>
                <w:szCs w:val="24"/>
                <w:shd w:val="clear" w:color="auto" w:fill="FFFFFF"/>
              </w:rPr>
              <w:t xml:space="preserve">Katram </w:t>
            </w:r>
            <w:r w:rsidR="00A8324B">
              <w:rPr>
                <w:color w:val="000000"/>
                <w:spacing w:val="-2"/>
                <w:szCs w:val="24"/>
                <w:shd w:val="clear" w:color="auto" w:fill="FFFFFF"/>
              </w:rPr>
              <w:t>rēķinam</w:t>
            </w:r>
            <w:r w:rsidR="00A8324B" w:rsidRPr="00A8324B">
              <w:rPr>
                <w:color w:val="000000"/>
                <w:spacing w:val="-2"/>
                <w:szCs w:val="24"/>
                <w:shd w:val="clear" w:color="auto" w:fill="FFFFFF"/>
              </w:rPr>
              <w:t xml:space="preserve">, kas izveidots </w:t>
            </w:r>
            <w:r w:rsidR="00A8324B">
              <w:rPr>
                <w:color w:val="000000"/>
                <w:spacing w:val="-2"/>
                <w:szCs w:val="24"/>
                <w:shd w:val="clear" w:color="auto" w:fill="FFFFFF"/>
              </w:rPr>
              <w:t>atbilstoši</w:t>
            </w:r>
            <w:r w:rsidR="00A8324B" w:rsidRPr="00A8324B">
              <w:rPr>
                <w:color w:val="000000"/>
                <w:spacing w:val="-2"/>
                <w:szCs w:val="24"/>
                <w:shd w:val="clear" w:color="auto" w:fill="FFFFFF"/>
              </w:rPr>
              <w:t xml:space="preserve"> konkrēta</w:t>
            </w:r>
            <w:r w:rsidR="00A8324B">
              <w:rPr>
                <w:color w:val="000000"/>
                <w:spacing w:val="-2"/>
                <w:szCs w:val="24"/>
                <w:shd w:val="clear" w:color="auto" w:fill="FFFFFF"/>
              </w:rPr>
              <w:t>m</w:t>
            </w:r>
            <w:r w:rsidR="00A8324B" w:rsidRPr="00A8324B">
              <w:rPr>
                <w:color w:val="000000"/>
                <w:spacing w:val="-2"/>
                <w:szCs w:val="24"/>
                <w:shd w:val="clear" w:color="auto" w:fill="FFFFFF"/>
              </w:rPr>
              <w:t xml:space="preserve"> CIUS, vienmēr </w:t>
            </w:r>
            <w:r w:rsidR="00A8324B">
              <w:rPr>
                <w:color w:val="000000"/>
                <w:spacing w:val="-2"/>
                <w:szCs w:val="24"/>
                <w:shd w:val="clear" w:color="auto" w:fill="FFFFFF"/>
              </w:rPr>
              <w:t>jā</w:t>
            </w:r>
            <w:r w:rsidR="00A8324B" w:rsidRPr="00A8324B">
              <w:rPr>
                <w:color w:val="000000"/>
                <w:spacing w:val="-2"/>
                <w:szCs w:val="24"/>
                <w:shd w:val="clear" w:color="auto" w:fill="FFFFFF"/>
              </w:rPr>
              <w:t xml:space="preserve">atbilst </w:t>
            </w:r>
            <w:r w:rsidR="00A8324B" w:rsidRPr="004404B0">
              <w:rPr>
                <w:color w:val="000000"/>
                <w:shd w:val="clear" w:color="auto" w:fill="FFFFFF"/>
              </w:rPr>
              <w:t>Eiro</w:t>
            </w:r>
            <w:r w:rsidR="00A8324B">
              <w:rPr>
                <w:color w:val="000000"/>
                <w:shd w:val="clear" w:color="auto" w:fill="FFFFFF"/>
              </w:rPr>
              <w:t>pas elektronisko rēķinu standartam</w:t>
            </w:r>
            <w:r w:rsidR="004B5C84" w:rsidRPr="004404B0">
              <w:rPr>
                <w:color w:val="000000"/>
                <w:spacing w:val="-2"/>
                <w:szCs w:val="24"/>
                <w:shd w:val="clear" w:color="auto" w:fill="FFFFFF"/>
              </w:rPr>
              <w:t>.</w:t>
            </w:r>
            <w:r w:rsidR="00A8324B">
              <w:rPr>
                <w:color w:val="000000"/>
                <w:shd w:val="clear" w:color="auto" w:fill="FFFFFF"/>
              </w:rPr>
              <w:t xml:space="preserve"> </w:t>
            </w:r>
            <w:r w:rsidR="0020231B">
              <w:rPr>
                <w:color w:val="000000"/>
                <w:shd w:val="clear" w:color="auto" w:fill="FFFFFF"/>
              </w:rPr>
              <w:t xml:space="preserve">Vienlaikus </w:t>
            </w:r>
            <w:r w:rsidR="0020231B" w:rsidRPr="004404B0">
              <w:rPr>
                <w:color w:val="000000"/>
                <w:shd w:val="clear" w:color="auto" w:fill="FFFFFF"/>
              </w:rPr>
              <w:t>standarts arī pieļauj iespēju definēt standarta paplašinājumus (</w:t>
            </w:r>
            <w:r w:rsidR="0020231B" w:rsidRPr="004404B0">
              <w:rPr>
                <w:i/>
                <w:iCs/>
                <w:color w:val="000000"/>
                <w:shd w:val="clear" w:color="auto" w:fill="FFFFFF"/>
              </w:rPr>
              <w:t>Extensions</w:t>
            </w:r>
            <w:r w:rsidR="0020231B" w:rsidRPr="004404B0">
              <w:rPr>
                <w:color w:val="000000"/>
                <w:shd w:val="clear" w:color="auto" w:fill="FFFFFF"/>
              </w:rPr>
              <w:t xml:space="preserve">), ar ko iespējams noteikt papildu datu laukus, kurus neparedz (ne kā obligātus, ne arī izvēles) Eiropas elektronisko rēķinu standarts. </w:t>
            </w:r>
            <w:r w:rsidR="0020231B" w:rsidRPr="004404B0">
              <w:rPr>
                <w:color w:val="000000"/>
                <w:spacing w:val="-2"/>
                <w:szCs w:val="24"/>
                <w:shd w:val="clear" w:color="auto" w:fill="FFFFFF"/>
              </w:rPr>
              <w:t xml:space="preserve"> </w:t>
            </w:r>
          </w:p>
          <w:p w14:paraId="039788B3" w14:textId="5ED72A9E" w:rsidR="002356F2" w:rsidRPr="003B4273" w:rsidRDefault="003F5D5F">
            <w:pPr>
              <w:spacing w:after="0" w:line="240" w:lineRule="auto"/>
              <w:ind w:right="57"/>
              <w:jc w:val="both"/>
              <w:rPr>
                <w:color w:val="000000" w:themeColor="text1"/>
                <w:shd w:val="clear" w:color="auto" w:fill="FFFFFF"/>
              </w:rPr>
            </w:pPr>
            <w:r w:rsidRPr="004404B0">
              <w:rPr>
                <w:color w:val="000000"/>
                <w:shd w:val="clear" w:color="auto" w:fill="FFFFFF"/>
              </w:rPr>
              <w:t>Eiropas Komisija ir uzsvērusi, ka papildu lauku (</w:t>
            </w:r>
            <w:r w:rsidRPr="004404B0">
              <w:rPr>
                <w:i/>
                <w:iCs/>
                <w:color w:val="000000"/>
                <w:shd w:val="clear" w:color="auto" w:fill="FFFFFF"/>
              </w:rPr>
              <w:t>Extensions) </w:t>
            </w:r>
            <w:r w:rsidRPr="004404B0">
              <w:rPr>
                <w:color w:val="000000"/>
                <w:shd w:val="clear" w:color="auto" w:fill="FFFFFF"/>
              </w:rPr>
              <w:t>izmantošana, kā arī CIUS sadrumstalotība (ja katrs pasūtītājs pats vai katrs sektors definē savu CIUS) var radīt informācijas sistē</w:t>
            </w:r>
            <w:r w:rsidR="004808E8" w:rsidRPr="004404B0">
              <w:rPr>
                <w:color w:val="000000"/>
                <w:shd w:val="clear" w:color="auto" w:fill="FFFFFF"/>
              </w:rPr>
              <w:t>mu sadarbspējas problēmas attiecī</w:t>
            </w:r>
            <w:r w:rsidRPr="004404B0">
              <w:rPr>
                <w:color w:val="000000"/>
                <w:shd w:val="clear" w:color="auto" w:fill="FFFFFF"/>
              </w:rPr>
              <w:t xml:space="preserve">bā uz </w:t>
            </w:r>
            <w:r w:rsidR="004808E8" w:rsidRPr="004404B0">
              <w:rPr>
                <w:color w:val="000000"/>
                <w:shd w:val="clear" w:color="auto" w:fill="FFFFFF"/>
              </w:rPr>
              <w:t xml:space="preserve">elektroniskajā </w:t>
            </w:r>
            <w:r w:rsidRPr="004404B0">
              <w:rPr>
                <w:color w:val="000000"/>
                <w:shd w:val="clear" w:color="auto" w:fill="FFFFFF"/>
              </w:rPr>
              <w:t>rēķinā ietvertās informācijas apstrādi jo sevišķi pārrobežu sadarbībā. Līdz ar to n</w:t>
            </w:r>
            <w:r w:rsidR="00215FBB" w:rsidRPr="004404B0">
              <w:rPr>
                <w:color w:val="000000"/>
                <w:shd w:val="clear" w:color="auto" w:fill="FFFFFF"/>
              </w:rPr>
              <w:t xml:space="preserve">oteikumu projektā netiek paredzēta </w:t>
            </w:r>
            <w:r w:rsidRPr="004404B0">
              <w:rPr>
                <w:color w:val="000000"/>
                <w:shd w:val="clear" w:color="auto" w:fill="FFFFFF"/>
              </w:rPr>
              <w:t>papildu lauku (</w:t>
            </w:r>
            <w:r w:rsidRPr="004404B0">
              <w:rPr>
                <w:i/>
                <w:iCs/>
                <w:color w:val="000000"/>
                <w:shd w:val="clear" w:color="auto" w:fill="FFFFFF"/>
              </w:rPr>
              <w:t>Extensions) </w:t>
            </w:r>
            <w:r w:rsidRPr="004404B0">
              <w:rPr>
                <w:color w:val="000000"/>
                <w:shd w:val="clear" w:color="auto" w:fill="FFFFFF"/>
              </w:rPr>
              <w:t>izmantošana</w:t>
            </w:r>
            <w:r w:rsidR="00BD1430">
              <w:rPr>
                <w:color w:val="000000"/>
                <w:shd w:val="clear" w:color="auto" w:fill="FFFFFF"/>
              </w:rPr>
              <w:t>s iespēja</w:t>
            </w:r>
            <w:r w:rsidRPr="004404B0">
              <w:rPr>
                <w:color w:val="000000"/>
                <w:shd w:val="clear" w:color="auto" w:fill="FFFFFF"/>
              </w:rPr>
              <w:t>, kā arī</w:t>
            </w:r>
            <w:r w:rsidR="002356F2" w:rsidRPr="004404B0">
              <w:rPr>
                <w:color w:val="000000"/>
                <w:shd w:val="clear" w:color="auto" w:fill="FFFFFF"/>
              </w:rPr>
              <w:t xml:space="preserve"> Latvijā paredzēts sekot rekomendācijām un neveidot vairāk kā vienu CIUS</w:t>
            </w:r>
            <w:r w:rsidRPr="004404B0">
              <w:rPr>
                <w:color w:val="000000"/>
                <w:shd w:val="clear" w:color="auto" w:fill="FFFFFF"/>
              </w:rPr>
              <w:t xml:space="preserve">. </w:t>
            </w:r>
            <w:r w:rsidR="00A8324B">
              <w:rPr>
                <w:color w:val="000000"/>
                <w:shd w:val="clear" w:color="auto" w:fill="FFFFFF"/>
              </w:rPr>
              <w:t>Noteikumos ir p</w:t>
            </w:r>
            <w:r w:rsidRPr="004404B0">
              <w:rPr>
                <w:color w:val="000000"/>
                <w:shd w:val="clear" w:color="auto" w:fill="FFFFFF"/>
              </w:rPr>
              <w:t xml:space="preserve">aredzēts izmantot </w:t>
            </w:r>
            <w:r w:rsidR="002356F2" w:rsidRPr="004404B0">
              <w:rPr>
                <w:color w:val="000000"/>
                <w:shd w:val="clear" w:color="auto" w:fill="FFFFFF"/>
              </w:rPr>
              <w:t>PEPPOL</w:t>
            </w:r>
            <w:r w:rsidR="00586D46">
              <w:rPr>
                <w:color w:val="000000"/>
                <w:shd w:val="clear" w:color="auto" w:fill="FFFFFF"/>
              </w:rPr>
              <w:t xml:space="preserve"> (PEPPOL jeb </w:t>
            </w:r>
            <w:r w:rsidR="00586D46" w:rsidRPr="00586D46">
              <w:rPr>
                <w:color w:val="000000"/>
                <w:shd w:val="clear" w:color="auto" w:fill="FFFFFF"/>
              </w:rPr>
              <w:t>Pan-European Public Procurement On-Line</w:t>
            </w:r>
            <w:r w:rsidR="00586D46">
              <w:rPr>
                <w:color w:val="000000"/>
                <w:shd w:val="clear" w:color="auto" w:fill="FFFFFF"/>
              </w:rPr>
              <w:t xml:space="preserve"> ir platforma, kas nodrošina iespēju komersantiem komunicēt </w:t>
            </w:r>
            <w:r w:rsidR="00DA65EB">
              <w:rPr>
                <w:color w:val="000000"/>
                <w:shd w:val="clear" w:color="auto" w:fill="FFFFFF"/>
              </w:rPr>
              <w:lastRenderedPageBreak/>
              <w:t>elektroniski</w:t>
            </w:r>
            <w:r w:rsidR="00586D46">
              <w:rPr>
                <w:color w:val="000000"/>
                <w:shd w:val="clear" w:color="auto" w:fill="FFFFFF"/>
              </w:rPr>
              <w:t xml:space="preserve"> ar ikvienu </w:t>
            </w:r>
            <w:r w:rsidR="00DA65EB">
              <w:rPr>
                <w:color w:val="000000"/>
                <w:shd w:val="clear" w:color="auto" w:fill="FFFFFF"/>
              </w:rPr>
              <w:t xml:space="preserve">Eiropas Savienības valsts institūciju publisko iepirkumu procesā, palielinot efektivitāti un samazinot izmaksas. Vairāk informācijas sk. </w:t>
            </w:r>
            <w:hyperlink r:id="rId12" w:history="1">
              <w:r w:rsidR="00DA65EB" w:rsidRPr="00E831CB">
                <w:rPr>
                  <w:rStyle w:val="Hyperlink"/>
                  <w:shd w:val="clear" w:color="auto" w:fill="FFFFFF"/>
                </w:rPr>
                <w:t>https://peppol.eu/</w:t>
              </w:r>
            </w:hyperlink>
            <w:r w:rsidR="00586D46">
              <w:rPr>
                <w:color w:val="000000"/>
                <w:shd w:val="clear" w:color="auto" w:fill="FFFFFF"/>
              </w:rPr>
              <w:t>)</w:t>
            </w:r>
            <w:r w:rsidR="002356F2" w:rsidRPr="004404B0">
              <w:rPr>
                <w:color w:val="000000"/>
                <w:shd w:val="clear" w:color="auto" w:fill="FFFFFF"/>
              </w:rPr>
              <w:t xml:space="preserve"> BIS Billing 3.0</w:t>
            </w:r>
            <w:r w:rsidR="00834422">
              <w:rPr>
                <w:color w:val="000000"/>
                <w:shd w:val="clear" w:color="auto" w:fill="FFFFFF"/>
              </w:rPr>
              <w:t xml:space="preserve"> CIUS</w:t>
            </w:r>
            <w:r w:rsidR="002356F2" w:rsidRPr="004404B0">
              <w:rPr>
                <w:color w:val="000000"/>
                <w:shd w:val="clear" w:color="auto" w:fill="FFFFFF"/>
              </w:rPr>
              <w:t xml:space="preserve">, kuru izmanto vairākas Eiropas Savienības </w:t>
            </w:r>
            <w:r w:rsidR="002356F2" w:rsidRPr="003B4273">
              <w:rPr>
                <w:color w:val="000000" w:themeColor="text1"/>
                <w:shd w:val="clear" w:color="auto" w:fill="FFFFFF"/>
              </w:rPr>
              <w:t>dalībvalstis.</w:t>
            </w:r>
            <w:r w:rsidR="00BD2A07" w:rsidRPr="003B4273">
              <w:rPr>
                <w:rStyle w:val="FootnoteReference"/>
                <w:color w:val="000000" w:themeColor="text1"/>
              </w:rPr>
              <w:footnoteReference w:id="1"/>
            </w:r>
            <w:r w:rsidR="004808E8" w:rsidRPr="003B4273">
              <w:rPr>
                <w:color w:val="000000" w:themeColor="text1"/>
                <w:shd w:val="clear" w:color="auto" w:fill="FFFFFF"/>
              </w:rPr>
              <w:t xml:space="preserve"> </w:t>
            </w:r>
            <w:r w:rsidR="004808E8" w:rsidRPr="003B4273">
              <w:rPr>
                <w:color w:val="000000" w:themeColor="text1"/>
                <w:spacing w:val="-2"/>
                <w:szCs w:val="24"/>
                <w:shd w:val="clear" w:color="auto" w:fill="FFFFFF"/>
              </w:rPr>
              <w:t xml:space="preserve">Attiecībā uz Latvijā izrakstītiem elektroniskajiem rēķiniem tiek noteikts viens konkrēts izmantojamais CIUS, ko izstrādājis PEPPOL. PEPPOL BIS Billing 3.0 ir noteiktas prasības savietojamības nodrošināšanai un sniegtas pamatnostādnes šo prasību atbalstam un īstenošanai. </w:t>
            </w:r>
          </w:p>
          <w:p w14:paraId="7B661CAE" w14:textId="6B0EAFD5" w:rsidR="00D92DCB" w:rsidRPr="003B4273" w:rsidRDefault="003B0BC3" w:rsidP="00D92DCB">
            <w:pPr>
              <w:spacing w:after="0" w:line="240" w:lineRule="auto"/>
              <w:ind w:right="57"/>
              <w:jc w:val="both"/>
              <w:rPr>
                <w:color w:val="000000" w:themeColor="text1"/>
              </w:rPr>
            </w:pPr>
            <w:r w:rsidRPr="003B4273">
              <w:rPr>
                <w:color w:val="000000" w:themeColor="text1"/>
                <w:spacing w:val="-2"/>
                <w:szCs w:val="24"/>
                <w:shd w:val="clear" w:color="auto" w:fill="FFFFFF"/>
              </w:rPr>
              <w:t xml:space="preserve">Eiropas Komisija </w:t>
            </w:r>
            <w:r w:rsidR="004B5C84" w:rsidRPr="003B4273">
              <w:rPr>
                <w:color w:val="000000" w:themeColor="text1"/>
                <w:spacing w:val="-2"/>
                <w:szCs w:val="24"/>
                <w:shd w:val="clear" w:color="auto" w:fill="FFFFFF"/>
              </w:rPr>
              <w:t xml:space="preserve">līdz šim ir sniegusi neviennozīmīgas atbildes par to, </w:t>
            </w:r>
            <w:r w:rsidRPr="003B4273">
              <w:rPr>
                <w:color w:val="000000" w:themeColor="text1"/>
                <w:spacing w:val="-2"/>
                <w:szCs w:val="24"/>
                <w:shd w:val="clear" w:color="auto" w:fill="FFFFFF"/>
              </w:rPr>
              <w:t>vai ārvalstniekiem var prasīt elektroniskā rēķina atbilstību Latvijas definētajam CIUS.</w:t>
            </w:r>
            <w:r w:rsidR="007F4FF0" w:rsidRPr="003B4273">
              <w:rPr>
                <w:color w:val="000000" w:themeColor="text1"/>
                <w:spacing w:val="-2"/>
                <w:szCs w:val="24"/>
                <w:shd w:val="clear" w:color="auto" w:fill="FFFFFF"/>
              </w:rPr>
              <w:t xml:space="preserve"> Eiropas Komisija nerekomendē veidot vairākus CIUS valstī, jo </w:t>
            </w:r>
            <w:r w:rsidR="007F4FF0" w:rsidRPr="003B4273">
              <w:rPr>
                <w:color w:val="000000" w:themeColor="text1"/>
                <w:shd w:val="clear" w:color="auto" w:fill="FFFFFF"/>
              </w:rPr>
              <w:t>CIUS sadrumstalotība var radīt sadarbspējas problēmas, jo</w:t>
            </w:r>
            <w:r w:rsidR="00B53991" w:rsidRPr="003B4273">
              <w:rPr>
                <w:color w:val="000000" w:themeColor="text1"/>
                <w:shd w:val="clear" w:color="auto" w:fill="FFFFFF"/>
              </w:rPr>
              <w:t xml:space="preserve"> </w:t>
            </w:r>
            <w:r w:rsidR="007F4FF0" w:rsidRPr="003B4273">
              <w:rPr>
                <w:color w:val="000000" w:themeColor="text1"/>
              </w:rPr>
              <w:t>katrs pasūtītājs to varētu definēt atšķirīgi, līdz ar to</w:t>
            </w:r>
            <w:r w:rsidR="00B53991" w:rsidRPr="003B4273">
              <w:rPr>
                <w:color w:val="000000" w:themeColor="text1"/>
              </w:rPr>
              <w:t>, kā skaidrots iepriekš,</w:t>
            </w:r>
            <w:r w:rsidR="007F4FF0" w:rsidRPr="003B4273">
              <w:rPr>
                <w:color w:val="000000" w:themeColor="text1"/>
              </w:rPr>
              <w:t xml:space="preserve"> Latvijā tiek noteikts</w:t>
            </w:r>
            <w:r w:rsidR="00BD2A07" w:rsidRPr="003B4273">
              <w:rPr>
                <w:color w:val="000000" w:themeColor="text1"/>
                <w:shd w:val="clear" w:color="auto" w:fill="FFFFFF"/>
              </w:rPr>
              <w:t xml:space="preserve"> vienot</w:t>
            </w:r>
            <w:r w:rsidR="004D07A0" w:rsidRPr="003B4273">
              <w:rPr>
                <w:color w:val="000000" w:themeColor="text1"/>
                <w:shd w:val="clear" w:color="auto" w:fill="FFFFFF"/>
              </w:rPr>
              <w:t>s</w:t>
            </w:r>
            <w:r w:rsidR="00BD2A07" w:rsidRPr="003B4273">
              <w:rPr>
                <w:color w:val="000000" w:themeColor="text1"/>
                <w:shd w:val="clear" w:color="auto" w:fill="FFFFFF"/>
              </w:rPr>
              <w:t xml:space="preserve"> CIUS</w:t>
            </w:r>
            <w:r w:rsidR="007F4FF0" w:rsidRPr="003B4273">
              <w:rPr>
                <w:color w:val="000000" w:themeColor="text1"/>
              </w:rPr>
              <w:t>. Bet no otras puses Eiropas Komisija uzskata, ka pārrobežu kontekstā</w:t>
            </w:r>
            <w:r w:rsidR="00781EEA" w:rsidRPr="003B4273">
              <w:rPr>
                <w:color w:val="000000" w:themeColor="text1"/>
              </w:rPr>
              <w:t xml:space="preserve"> elektroniskos</w:t>
            </w:r>
            <w:r w:rsidR="007F4FF0" w:rsidRPr="003B4273">
              <w:rPr>
                <w:color w:val="000000" w:themeColor="text1"/>
              </w:rPr>
              <w:t xml:space="preserve"> rēķinus nevarētu noraidīt un attiecī</w:t>
            </w:r>
            <w:r w:rsidR="00781EEA" w:rsidRPr="003B4273">
              <w:rPr>
                <w:color w:val="000000" w:themeColor="text1"/>
              </w:rPr>
              <w:t>gi radīt papildu izmaksas citu dalībvalstu</w:t>
            </w:r>
            <w:r w:rsidR="007F4FF0" w:rsidRPr="003B4273">
              <w:rPr>
                <w:color w:val="000000" w:themeColor="text1"/>
              </w:rPr>
              <w:t xml:space="preserve"> piegādātājiem tikai tāpēc, ka tie savās valstīs strādā ar citu CIUS. </w:t>
            </w:r>
            <w:r w:rsidR="00CC74CF" w:rsidRPr="003B4273">
              <w:rPr>
                <w:color w:val="000000" w:themeColor="text1"/>
              </w:rPr>
              <w:t>Ņemot vērā apstākli, ka ārvalstnieku skaits iepirkumos ir salīdzinoši mazs</w:t>
            </w:r>
            <w:r w:rsidR="00C711F3" w:rsidRPr="003B4273">
              <w:rPr>
                <w:rStyle w:val="FootnoteReference"/>
                <w:color w:val="000000" w:themeColor="text1"/>
              </w:rPr>
              <w:footnoteReference w:id="2"/>
            </w:r>
            <w:r w:rsidR="00CC74CF" w:rsidRPr="003B4273">
              <w:rPr>
                <w:color w:val="000000" w:themeColor="text1"/>
              </w:rPr>
              <w:t xml:space="preserve">, tad noteikumu projektā </w:t>
            </w:r>
            <w:r w:rsidR="00385251" w:rsidRPr="003B4273">
              <w:rPr>
                <w:color w:val="000000" w:themeColor="text1"/>
              </w:rPr>
              <w:t xml:space="preserve">šobrīd </w:t>
            </w:r>
            <w:r w:rsidR="00CC74CF" w:rsidRPr="003B4273">
              <w:rPr>
                <w:color w:val="000000" w:themeColor="text1"/>
              </w:rPr>
              <w:t>netiek paredzēts</w:t>
            </w:r>
            <w:r w:rsidR="00385251" w:rsidRPr="003B4273">
              <w:rPr>
                <w:color w:val="000000" w:themeColor="text1"/>
              </w:rPr>
              <w:t>, ka</w:t>
            </w:r>
            <w:r w:rsidR="00CC74CF" w:rsidRPr="003B4273">
              <w:rPr>
                <w:color w:val="000000" w:themeColor="text1"/>
              </w:rPr>
              <w:t xml:space="preserve"> ārvalstu piegādātājiem elektronisk</w:t>
            </w:r>
            <w:r w:rsidR="004D07A0" w:rsidRPr="003B4273">
              <w:rPr>
                <w:color w:val="000000" w:themeColor="text1"/>
              </w:rPr>
              <w:t>os</w:t>
            </w:r>
            <w:r w:rsidR="00CC74CF" w:rsidRPr="003B4273">
              <w:rPr>
                <w:color w:val="000000" w:themeColor="text1"/>
              </w:rPr>
              <w:t xml:space="preserve"> rēķin</w:t>
            </w:r>
            <w:r w:rsidR="004D07A0" w:rsidRPr="003B4273">
              <w:rPr>
                <w:color w:val="000000" w:themeColor="text1"/>
              </w:rPr>
              <w:t>us</w:t>
            </w:r>
            <w:r w:rsidR="00CC74CF" w:rsidRPr="003B4273">
              <w:rPr>
                <w:color w:val="000000" w:themeColor="text1"/>
              </w:rPr>
              <w:t xml:space="preserve"> </w:t>
            </w:r>
            <w:r w:rsidR="00385251" w:rsidRPr="003B4273">
              <w:rPr>
                <w:color w:val="000000" w:themeColor="text1"/>
              </w:rPr>
              <w:t xml:space="preserve">jāiesniedz </w:t>
            </w:r>
            <w:r w:rsidR="00781EEA" w:rsidRPr="003B4273">
              <w:rPr>
                <w:color w:val="000000" w:themeColor="text1"/>
              </w:rPr>
              <w:t xml:space="preserve">atbilstoši </w:t>
            </w:r>
            <w:r w:rsidR="00CC74CF" w:rsidRPr="003B4273">
              <w:rPr>
                <w:color w:val="000000" w:themeColor="text1"/>
              </w:rPr>
              <w:t>Latvijas</w:t>
            </w:r>
            <w:r w:rsidR="00BD2A07" w:rsidRPr="003B4273">
              <w:rPr>
                <w:color w:val="000000" w:themeColor="text1"/>
              </w:rPr>
              <w:t xml:space="preserve"> definētajam</w:t>
            </w:r>
            <w:r w:rsidR="00781EEA" w:rsidRPr="003B4273">
              <w:rPr>
                <w:color w:val="000000" w:themeColor="text1"/>
              </w:rPr>
              <w:t xml:space="preserve"> CIUS. </w:t>
            </w:r>
            <w:r w:rsidR="00A47898" w:rsidRPr="003B4273">
              <w:rPr>
                <w:color w:val="000000" w:themeColor="text1"/>
              </w:rPr>
              <w:t>Minēto jautājumu -</w:t>
            </w:r>
            <w:r w:rsidR="004D07A0" w:rsidRPr="003B4273">
              <w:rPr>
                <w:color w:val="000000" w:themeColor="text1"/>
              </w:rPr>
              <w:t xml:space="preserve"> </w:t>
            </w:r>
            <w:r w:rsidR="00CC74CF" w:rsidRPr="003B4273">
              <w:rPr>
                <w:color w:val="000000" w:themeColor="text1"/>
              </w:rPr>
              <w:t>vai ārvalstu piegādātājiem, kuri ir ieguvuši līguma slēgšanas tiesības</w:t>
            </w:r>
            <w:r w:rsidR="00385251" w:rsidRPr="003B4273">
              <w:rPr>
                <w:color w:val="000000" w:themeColor="text1"/>
              </w:rPr>
              <w:t>,</w:t>
            </w:r>
            <w:r w:rsidR="00CC74CF" w:rsidRPr="003B4273">
              <w:rPr>
                <w:color w:val="000000" w:themeColor="text1"/>
              </w:rPr>
              <w:t xml:space="preserve"> ir pienākums iesniegt elektronisko rēķinu atbilstoši Latvijas CIUS</w:t>
            </w:r>
            <w:r w:rsidR="004D07A0" w:rsidRPr="003B4273">
              <w:rPr>
                <w:color w:val="000000" w:themeColor="text1"/>
              </w:rPr>
              <w:t>, tiek turpināts vērtēt saziņā ar Eiropas Komisiju</w:t>
            </w:r>
            <w:r w:rsidR="00CC74CF" w:rsidRPr="003B4273">
              <w:rPr>
                <w:color w:val="000000" w:themeColor="text1"/>
              </w:rPr>
              <w:t xml:space="preserve">. </w:t>
            </w:r>
            <w:r w:rsidR="00781EEA" w:rsidRPr="003B4273">
              <w:rPr>
                <w:color w:val="000000" w:themeColor="text1"/>
              </w:rPr>
              <w:t>Bet</w:t>
            </w:r>
            <w:r w:rsidR="00385251" w:rsidRPr="003B4273">
              <w:rPr>
                <w:color w:val="000000" w:themeColor="text1"/>
              </w:rPr>
              <w:t>,</w:t>
            </w:r>
            <w:r w:rsidR="00781EEA" w:rsidRPr="003B4273">
              <w:rPr>
                <w:color w:val="000000" w:themeColor="text1"/>
              </w:rPr>
              <w:t xml:space="preserve"> tā kā šobrīd vēl nav izveidotas automātiskas sistēmas</w:t>
            </w:r>
            <w:r w:rsidR="00CC74CF" w:rsidRPr="003B4273">
              <w:rPr>
                <w:color w:val="000000" w:themeColor="text1"/>
              </w:rPr>
              <w:t xml:space="preserve"> elektronisko</w:t>
            </w:r>
            <w:r w:rsidR="00781EEA" w:rsidRPr="003B4273">
              <w:rPr>
                <w:color w:val="000000" w:themeColor="text1"/>
              </w:rPr>
              <w:t xml:space="preserve"> rēķinu apstrādei</w:t>
            </w:r>
            <w:r w:rsidR="00385251" w:rsidRPr="003B4273">
              <w:rPr>
                <w:color w:val="000000" w:themeColor="text1"/>
              </w:rPr>
              <w:t>, kā arī ārvalstīs izrakstītu rēķinu īpatsvars prognozējams neliels</w:t>
            </w:r>
            <w:r w:rsidR="00781EEA" w:rsidRPr="003B4273">
              <w:rPr>
                <w:color w:val="000000" w:themeColor="text1"/>
              </w:rPr>
              <w:t>, tas</w:t>
            </w:r>
            <w:r w:rsidR="00385251" w:rsidRPr="003B4273">
              <w:rPr>
                <w:color w:val="000000" w:themeColor="text1"/>
              </w:rPr>
              <w:t xml:space="preserve"> šobrīd</w:t>
            </w:r>
            <w:r w:rsidR="00781EEA" w:rsidRPr="003B4273">
              <w:rPr>
                <w:color w:val="000000" w:themeColor="text1"/>
              </w:rPr>
              <w:t xml:space="preserve"> nekādā veidā neietekmēs pasūtītāju</w:t>
            </w:r>
            <w:r w:rsidR="00CC74CF" w:rsidRPr="003B4273">
              <w:rPr>
                <w:color w:val="000000" w:themeColor="text1"/>
              </w:rPr>
              <w:t>, sabiedrisko pakalpojumu sniedzēju vai publisk</w:t>
            </w:r>
            <w:r w:rsidR="00385251" w:rsidRPr="003B4273">
              <w:rPr>
                <w:color w:val="000000" w:themeColor="text1"/>
              </w:rPr>
              <w:t>o</w:t>
            </w:r>
            <w:r w:rsidR="00CC74CF" w:rsidRPr="003B4273">
              <w:rPr>
                <w:color w:val="000000" w:themeColor="text1"/>
              </w:rPr>
              <w:t xml:space="preserve"> partner</w:t>
            </w:r>
            <w:r w:rsidR="00385251" w:rsidRPr="003B4273">
              <w:rPr>
                <w:color w:val="000000" w:themeColor="text1"/>
              </w:rPr>
              <w:t>u</w:t>
            </w:r>
            <w:r w:rsidR="00CC74CF" w:rsidRPr="003B4273">
              <w:rPr>
                <w:color w:val="000000" w:themeColor="text1"/>
              </w:rPr>
              <w:t xml:space="preserve"> vai t</w:t>
            </w:r>
            <w:r w:rsidR="00385251" w:rsidRPr="003B4273">
              <w:rPr>
                <w:color w:val="000000" w:themeColor="text1"/>
              </w:rPr>
              <w:t>o</w:t>
            </w:r>
            <w:r w:rsidR="00CC74CF" w:rsidRPr="003B4273">
              <w:rPr>
                <w:color w:val="000000" w:themeColor="text1"/>
              </w:rPr>
              <w:t xml:space="preserve"> pārstāvju</w:t>
            </w:r>
            <w:r w:rsidR="00781EEA" w:rsidRPr="003B4273">
              <w:rPr>
                <w:color w:val="000000" w:themeColor="text1"/>
              </w:rPr>
              <w:t xml:space="preserve"> darbību.</w:t>
            </w:r>
            <w:r w:rsidR="00CC74CF" w:rsidRPr="003B4273">
              <w:rPr>
                <w:rFonts w:eastAsia="Calibri" w:cs="Times New Roman"/>
                <w:color w:val="000000" w:themeColor="text1"/>
                <w:szCs w:val="24"/>
              </w:rPr>
              <w:t xml:space="preserve"> Ar noteikumu projektu </w:t>
            </w:r>
            <w:r w:rsidR="00D92DCB" w:rsidRPr="003B4273">
              <w:rPr>
                <w:rFonts w:eastAsia="Calibri" w:cs="Times New Roman"/>
                <w:color w:val="000000" w:themeColor="text1"/>
                <w:szCs w:val="24"/>
              </w:rPr>
              <w:t>tiek paredzēts, ka pasūtītājiem</w:t>
            </w:r>
            <w:r w:rsidR="00A13023" w:rsidRPr="003B4273">
              <w:rPr>
                <w:rFonts w:eastAsia="Calibri" w:cs="Times New Roman"/>
                <w:color w:val="000000" w:themeColor="text1"/>
                <w:szCs w:val="24"/>
              </w:rPr>
              <w:t>, sabiedrisko pakalpojumu sniedzējiem vai publiskaj</w:t>
            </w:r>
            <w:r w:rsidR="00385251" w:rsidRPr="003B4273">
              <w:rPr>
                <w:rFonts w:eastAsia="Calibri" w:cs="Times New Roman"/>
                <w:color w:val="000000" w:themeColor="text1"/>
                <w:szCs w:val="24"/>
              </w:rPr>
              <w:t>iem</w:t>
            </w:r>
            <w:r w:rsidR="00A13023" w:rsidRPr="003B4273">
              <w:rPr>
                <w:rFonts w:eastAsia="Calibri" w:cs="Times New Roman"/>
                <w:color w:val="000000" w:themeColor="text1"/>
                <w:szCs w:val="24"/>
              </w:rPr>
              <w:t xml:space="preserve"> partneri</w:t>
            </w:r>
            <w:r w:rsidR="00385251" w:rsidRPr="003B4273">
              <w:rPr>
                <w:rFonts w:eastAsia="Calibri" w:cs="Times New Roman"/>
                <w:color w:val="000000" w:themeColor="text1"/>
                <w:szCs w:val="24"/>
              </w:rPr>
              <w:t>em</w:t>
            </w:r>
            <w:r w:rsidR="00A13023" w:rsidRPr="003B4273">
              <w:rPr>
                <w:rFonts w:eastAsia="Calibri" w:cs="Times New Roman"/>
                <w:color w:val="000000" w:themeColor="text1"/>
                <w:szCs w:val="24"/>
              </w:rPr>
              <w:t xml:space="preserve"> vai t</w:t>
            </w:r>
            <w:r w:rsidR="00385251" w:rsidRPr="003B4273">
              <w:rPr>
                <w:rFonts w:eastAsia="Calibri" w:cs="Times New Roman"/>
                <w:color w:val="000000" w:themeColor="text1"/>
                <w:szCs w:val="24"/>
              </w:rPr>
              <w:t>o</w:t>
            </w:r>
            <w:r w:rsidR="00A13023" w:rsidRPr="003B4273">
              <w:rPr>
                <w:rFonts w:eastAsia="Calibri" w:cs="Times New Roman"/>
                <w:color w:val="000000" w:themeColor="text1"/>
                <w:szCs w:val="24"/>
              </w:rPr>
              <w:t xml:space="preserve"> pārstāv</w:t>
            </w:r>
            <w:r w:rsidR="00385251" w:rsidRPr="003B4273">
              <w:rPr>
                <w:rFonts w:eastAsia="Calibri" w:cs="Times New Roman"/>
                <w:color w:val="000000" w:themeColor="text1"/>
                <w:szCs w:val="24"/>
              </w:rPr>
              <w:t>jiem</w:t>
            </w:r>
            <w:r w:rsidR="00D92DCB" w:rsidRPr="003B4273">
              <w:rPr>
                <w:rFonts w:eastAsia="Calibri" w:cs="Times New Roman"/>
                <w:color w:val="000000" w:themeColor="text1"/>
                <w:szCs w:val="24"/>
              </w:rPr>
              <w:t xml:space="preserve"> no </w:t>
            </w:r>
            <w:r w:rsidR="00D92DCB" w:rsidRPr="003B4273">
              <w:rPr>
                <w:color w:val="000000" w:themeColor="text1"/>
                <w:spacing w:val="-2"/>
                <w:szCs w:val="24"/>
                <w:shd w:val="clear" w:color="auto" w:fill="FFFFFF"/>
              </w:rPr>
              <w:t xml:space="preserve">ārvalstīs reģistrētiem vai pastāvīgi dzīvojošiem piegādātājiem ir pienākums pieņemt tādus elektroniskos rēķinus, kas atbilst </w:t>
            </w:r>
            <w:r w:rsidR="00EF5E1A" w:rsidRPr="003B4273">
              <w:rPr>
                <w:color w:val="000000" w:themeColor="text1"/>
                <w:spacing w:val="-2"/>
                <w:szCs w:val="24"/>
                <w:shd w:val="clear" w:color="auto" w:fill="FFFFFF"/>
              </w:rPr>
              <w:t>d</w:t>
            </w:r>
            <w:r w:rsidR="00D92DCB" w:rsidRPr="003B4273">
              <w:rPr>
                <w:color w:val="000000" w:themeColor="text1"/>
                <w:spacing w:val="-2"/>
                <w:szCs w:val="24"/>
                <w:shd w:val="clear" w:color="auto" w:fill="FFFFFF"/>
              </w:rPr>
              <w:t>irektīv</w:t>
            </w:r>
            <w:r w:rsidR="00D648A4" w:rsidRPr="003B4273">
              <w:rPr>
                <w:color w:val="000000" w:themeColor="text1"/>
                <w:spacing w:val="-2"/>
                <w:szCs w:val="24"/>
                <w:shd w:val="clear" w:color="auto" w:fill="FFFFFF"/>
              </w:rPr>
              <w:t>ai</w:t>
            </w:r>
            <w:r w:rsidR="00D92DCB" w:rsidRPr="003B4273">
              <w:rPr>
                <w:color w:val="000000" w:themeColor="text1"/>
                <w:spacing w:val="-2"/>
                <w:szCs w:val="24"/>
                <w:shd w:val="clear" w:color="auto" w:fill="FFFFFF"/>
              </w:rPr>
              <w:t xml:space="preserve"> 2014/55/ES </w:t>
            </w:r>
            <w:r w:rsidR="00D648A4" w:rsidRPr="003B4273">
              <w:rPr>
                <w:color w:val="000000" w:themeColor="text1"/>
                <w:spacing w:val="-2"/>
                <w:szCs w:val="24"/>
                <w:shd w:val="clear" w:color="auto" w:fill="FFFFFF"/>
              </w:rPr>
              <w:t xml:space="preserve">un </w:t>
            </w:r>
            <w:r w:rsidR="00C711F3" w:rsidRPr="003B4273">
              <w:rPr>
                <w:color w:val="000000" w:themeColor="text1"/>
                <w:spacing w:val="-2"/>
                <w:szCs w:val="24"/>
                <w:shd w:val="clear" w:color="auto" w:fill="FFFFFF"/>
              </w:rPr>
              <w:t xml:space="preserve">Eiropas Komisijas īstenošanas lēmumā </w:t>
            </w:r>
            <w:r w:rsidR="00D648A4" w:rsidRPr="003B4273">
              <w:rPr>
                <w:color w:val="000000" w:themeColor="text1"/>
                <w:spacing w:val="-2"/>
                <w:szCs w:val="24"/>
                <w:shd w:val="clear" w:color="auto" w:fill="FFFFFF"/>
              </w:rPr>
              <w:t xml:space="preserve">noteiktam </w:t>
            </w:r>
            <w:r w:rsidR="00D92DCB" w:rsidRPr="003B4273">
              <w:rPr>
                <w:rFonts w:eastAsia="Times New Roman" w:cs="Times New Roman"/>
                <w:color w:val="000000" w:themeColor="text1"/>
                <w:szCs w:val="24"/>
                <w:lang w:eastAsia="lv-LV"/>
              </w:rPr>
              <w:t xml:space="preserve">Eiropas elektronisko rēķinu </w:t>
            </w:r>
            <w:r w:rsidR="00D92DCB" w:rsidRPr="003B4273">
              <w:rPr>
                <w:color w:val="000000" w:themeColor="text1"/>
                <w:spacing w:val="-2"/>
                <w:szCs w:val="24"/>
                <w:shd w:val="clear" w:color="auto" w:fill="FFFFFF"/>
              </w:rPr>
              <w:t>standartam</w:t>
            </w:r>
            <w:r w:rsidR="00A13023" w:rsidRPr="003B4273">
              <w:rPr>
                <w:color w:val="000000" w:themeColor="text1"/>
                <w:spacing w:val="-2"/>
                <w:szCs w:val="24"/>
                <w:shd w:val="clear" w:color="auto" w:fill="FFFFFF"/>
              </w:rPr>
              <w:t xml:space="preserve"> un sintakšu sarakstam</w:t>
            </w:r>
            <w:r w:rsidR="00385251" w:rsidRPr="003B4273">
              <w:rPr>
                <w:color w:val="000000" w:themeColor="text1"/>
                <w:spacing w:val="-2"/>
                <w:szCs w:val="24"/>
                <w:shd w:val="clear" w:color="auto" w:fill="FFFFFF"/>
              </w:rPr>
              <w:t>, un šiem elektroniskajiem rēķiniem nav obligāti jāatbilst Latvijā definētajam CIUS</w:t>
            </w:r>
            <w:r w:rsidR="00D92DCB" w:rsidRPr="003B4273">
              <w:rPr>
                <w:color w:val="000000" w:themeColor="text1"/>
                <w:spacing w:val="-2"/>
                <w:szCs w:val="24"/>
                <w:shd w:val="clear" w:color="auto" w:fill="FFFFFF"/>
              </w:rPr>
              <w:t xml:space="preserve">. </w:t>
            </w:r>
          </w:p>
          <w:p w14:paraId="6B97E0D9" w14:textId="418FA406" w:rsidR="00D92DCB" w:rsidRPr="00BF185D" w:rsidRDefault="00D92DCB" w:rsidP="00D92DCB">
            <w:pPr>
              <w:spacing w:after="0" w:line="240" w:lineRule="auto"/>
              <w:ind w:right="57"/>
              <w:jc w:val="both"/>
              <w:rPr>
                <w:rFonts w:eastAsia="Calibri" w:cs="Times New Roman"/>
                <w:szCs w:val="24"/>
              </w:rPr>
            </w:pPr>
            <w:r w:rsidRPr="004404B0">
              <w:rPr>
                <w:rFonts w:eastAsia="Calibri" w:cs="Times New Roman"/>
                <w:szCs w:val="24"/>
              </w:rPr>
              <w:lastRenderedPageBreak/>
              <w:t>Pasūtītājs, sabiedrisko pakalpojumu sniedzējs vai publiskais partneris vai tā pārstāvis</w:t>
            </w:r>
            <w:r w:rsidR="00B95092">
              <w:rPr>
                <w:rFonts w:eastAsia="Calibri" w:cs="Times New Roman"/>
                <w:szCs w:val="24"/>
              </w:rPr>
              <w:t xml:space="preserve"> pastāvošās rīcības brīvības ietvaros iepirkuma līgumā vai </w:t>
            </w:r>
            <w:r w:rsidR="00B95092" w:rsidRPr="004404B0">
              <w:rPr>
                <w:rFonts w:eastAsia="Times New Roman" w:cs="Times New Roman"/>
                <w:color w:val="000000"/>
                <w:szCs w:val="24"/>
                <w:lang w:eastAsia="lv-LV"/>
              </w:rPr>
              <w:t>publiskās un privātās partnerības līgum</w:t>
            </w:r>
            <w:r w:rsidR="00B95092">
              <w:rPr>
                <w:rFonts w:eastAsia="Times New Roman" w:cs="Times New Roman"/>
                <w:color w:val="000000"/>
                <w:szCs w:val="24"/>
                <w:lang w:eastAsia="lv-LV"/>
              </w:rPr>
              <w:t>ā</w:t>
            </w:r>
            <w:r w:rsidR="00B95092" w:rsidRPr="004404B0">
              <w:rPr>
                <w:rFonts w:eastAsia="Calibri" w:cs="Times New Roman"/>
                <w:szCs w:val="24"/>
              </w:rPr>
              <w:t xml:space="preserve"> </w:t>
            </w:r>
            <w:r w:rsidR="00B95092">
              <w:rPr>
                <w:rFonts w:eastAsia="Calibri" w:cs="Times New Roman"/>
                <w:szCs w:val="24"/>
              </w:rPr>
              <w:t>var ietvert noteikumus</w:t>
            </w:r>
            <w:r w:rsidRPr="004404B0">
              <w:rPr>
                <w:rFonts w:eastAsia="Calibri" w:cs="Times New Roman"/>
                <w:szCs w:val="24"/>
              </w:rPr>
              <w:t xml:space="preserve"> </w:t>
            </w:r>
            <w:r w:rsidR="00B95092">
              <w:rPr>
                <w:rFonts w:eastAsia="Calibri" w:cs="Times New Roman"/>
                <w:szCs w:val="24"/>
              </w:rPr>
              <w:t>par elektroniskajā rēķin</w:t>
            </w:r>
            <w:r w:rsidR="00735333">
              <w:rPr>
                <w:rFonts w:eastAsia="Calibri" w:cs="Times New Roman"/>
                <w:szCs w:val="24"/>
              </w:rPr>
              <w:t>a</w:t>
            </w:r>
            <w:r w:rsidR="00B95092">
              <w:rPr>
                <w:rFonts w:eastAsia="Calibri" w:cs="Times New Roman"/>
                <w:szCs w:val="24"/>
              </w:rPr>
              <w:t xml:space="preserve"> </w:t>
            </w:r>
            <w:r w:rsidR="00735333">
              <w:rPr>
                <w:rFonts w:eastAsia="Calibri" w:cs="Times New Roman"/>
                <w:szCs w:val="24"/>
              </w:rPr>
              <w:t>izvēles datu lauku aizpildīšanu</w:t>
            </w:r>
            <w:r w:rsidR="00B95092">
              <w:rPr>
                <w:rFonts w:eastAsia="Calibri" w:cs="Times New Roman"/>
                <w:szCs w:val="24"/>
              </w:rPr>
              <w:t>. P</w:t>
            </w:r>
            <w:r w:rsidRPr="004404B0">
              <w:rPr>
                <w:rFonts w:eastAsia="Calibri" w:cs="Times New Roman"/>
                <w:szCs w:val="24"/>
              </w:rPr>
              <w:t>apildus</w:t>
            </w:r>
            <w:r w:rsidRPr="004404B0">
              <w:rPr>
                <w:color w:val="000000"/>
                <w:shd w:val="clear" w:color="auto" w:fill="FFFFFF"/>
              </w:rPr>
              <w:t xml:space="preserve"> </w:t>
            </w:r>
            <w:r w:rsidR="00385251">
              <w:rPr>
                <w:color w:val="000000"/>
                <w:shd w:val="clear" w:color="auto" w:fill="FFFFFF"/>
              </w:rPr>
              <w:t xml:space="preserve">Eiropas elektronisko rēķinu standartā </w:t>
            </w:r>
            <w:r w:rsidR="00765D04" w:rsidRPr="004404B0">
              <w:rPr>
                <w:color w:val="000000"/>
                <w:shd w:val="clear" w:color="auto" w:fill="FFFFFF"/>
              </w:rPr>
              <w:t>un</w:t>
            </w:r>
            <w:r w:rsidR="00385251">
              <w:rPr>
                <w:color w:val="000000"/>
                <w:shd w:val="clear" w:color="auto" w:fill="FFFFFF"/>
              </w:rPr>
              <w:t xml:space="preserve"> CIUS (</w:t>
            </w:r>
            <w:r w:rsidRPr="004404B0">
              <w:rPr>
                <w:color w:val="000000"/>
                <w:shd w:val="clear" w:color="auto" w:fill="FFFFFF"/>
              </w:rPr>
              <w:t>PEPPOL BIS Billing 3.0</w:t>
            </w:r>
            <w:r w:rsidR="00385251">
              <w:rPr>
                <w:color w:val="000000"/>
                <w:shd w:val="clear" w:color="auto" w:fill="FFFFFF"/>
              </w:rPr>
              <w:t>)</w:t>
            </w:r>
            <w:r w:rsidRPr="004404B0">
              <w:rPr>
                <w:rFonts w:eastAsia="Calibri" w:cs="Times New Roman"/>
                <w:szCs w:val="24"/>
              </w:rPr>
              <w:t xml:space="preserve"> noteiktaj</w:t>
            </w:r>
            <w:r w:rsidR="00385251">
              <w:rPr>
                <w:rFonts w:eastAsia="Calibri" w:cs="Times New Roman"/>
                <w:szCs w:val="24"/>
              </w:rPr>
              <w:t>ie</w:t>
            </w:r>
            <w:r w:rsidRPr="004404B0">
              <w:rPr>
                <w:rFonts w:eastAsia="Calibri" w:cs="Times New Roman"/>
                <w:szCs w:val="24"/>
              </w:rPr>
              <w:t xml:space="preserve">m </w:t>
            </w:r>
            <w:r w:rsidR="00765D04" w:rsidRPr="004404B0">
              <w:rPr>
                <w:rFonts w:eastAsia="Calibri" w:cs="Times New Roman"/>
                <w:szCs w:val="24"/>
              </w:rPr>
              <w:t>obligātajiem elektroniskā rēķina datu laukiem</w:t>
            </w:r>
            <w:r w:rsidR="00497D0C">
              <w:rPr>
                <w:rFonts w:eastAsia="Calibri" w:cs="Times New Roman"/>
                <w:szCs w:val="24"/>
              </w:rPr>
              <w:t xml:space="preserve"> iepirkuma</w:t>
            </w:r>
            <w:r w:rsidRPr="004404B0">
              <w:rPr>
                <w:rFonts w:eastAsia="Calibri" w:cs="Times New Roman"/>
                <w:szCs w:val="24"/>
              </w:rPr>
              <w:t xml:space="preserve"> līgumā</w:t>
            </w:r>
            <w:r w:rsidR="00497D0C">
              <w:rPr>
                <w:rFonts w:eastAsia="Calibri" w:cs="Times New Roman"/>
                <w:szCs w:val="24"/>
              </w:rPr>
              <w:t xml:space="preserve"> vai </w:t>
            </w:r>
            <w:r w:rsidR="00497D0C" w:rsidRPr="004404B0">
              <w:rPr>
                <w:rFonts w:eastAsia="Times New Roman" w:cs="Times New Roman"/>
                <w:color w:val="000000"/>
                <w:szCs w:val="24"/>
                <w:lang w:eastAsia="lv-LV"/>
              </w:rPr>
              <w:t>publiskās un privātās partnerības līgum</w:t>
            </w:r>
            <w:r w:rsidR="00497D0C">
              <w:rPr>
                <w:rFonts w:eastAsia="Times New Roman" w:cs="Times New Roman"/>
                <w:color w:val="000000"/>
                <w:szCs w:val="24"/>
                <w:lang w:eastAsia="lv-LV"/>
              </w:rPr>
              <w:t>ā</w:t>
            </w:r>
            <w:r w:rsidR="00765D04" w:rsidRPr="004404B0">
              <w:rPr>
                <w:rFonts w:eastAsia="Calibri" w:cs="Times New Roman"/>
                <w:szCs w:val="24"/>
              </w:rPr>
              <w:t xml:space="preserve"> var noteikt, ka </w:t>
            </w:r>
            <w:r w:rsidR="00385251">
              <w:rPr>
                <w:color w:val="000000"/>
                <w:shd w:val="clear" w:color="auto" w:fill="FFFFFF"/>
              </w:rPr>
              <w:t xml:space="preserve">Eiropas elektronisko rēķinu standartā </w:t>
            </w:r>
            <w:r w:rsidR="00765D04" w:rsidRPr="004404B0">
              <w:rPr>
                <w:rFonts w:eastAsia="Calibri" w:cs="Times New Roman"/>
                <w:szCs w:val="24"/>
              </w:rPr>
              <w:t xml:space="preserve">un </w:t>
            </w:r>
            <w:r w:rsidR="00385251">
              <w:rPr>
                <w:rFonts w:eastAsia="Calibri" w:cs="Times New Roman"/>
                <w:szCs w:val="24"/>
              </w:rPr>
              <w:t>CIUS (</w:t>
            </w:r>
            <w:r w:rsidR="004808E8" w:rsidRPr="004404B0">
              <w:rPr>
                <w:color w:val="000000"/>
                <w:shd w:val="clear" w:color="auto" w:fill="FFFFFF"/>
              </w:rPr>
              <w:t>PEPPOL BIS Billing 3.0</w:t>
            </w:r>
            <w:r w:rsidR="00385251">
              <w:rPr>
                <w:rFonts w:eastAsia="Calibri" w:cs="Times New Roman"/>
                <w:szCs w:val="24"/>
              </w:rPr>
              <w:t>)</w:t>
            </w:r>
            <w:r w:rsidR="00765D04" w:rsidRPr="004404B0">
              <w:rPr>
                <w:rFonts w:eastAsia="Calibri" w:cs="Times New Roman"/>
                <w:szCs w:val="24"/>
              </w:rPr>
              <w:t xml:space="preserve"> paredzētie izvēles datu lauki ir obligāti aizpildāmi, ja šie dati ir nepieciešami elektronisko rēķinu automātiskas apstrādes nodrošināšanai v</w:t>
            </w:r>
            <w:r w:rsidR="00A13023" w:rsidRPr="004404B0">
              <w:rPr>
                <w:rFonts w:eastAsia="Calibri" w:cs="Times New Roman"/>
                <w:szCs w:val="24"/>
              </w:rPr>
              <w:t>a</w:t>
            </w:r>
            <w:r w:rsidR="00765D04" w:rsidRPr="004404B0">
              <w:rPr>
                <w:rFonts w:eastAsia="Calibri" w:cs="Times New Roman"/>
                <w:szCs w:val="24"/>
              </w:rPr>
              <w:t>i citiem mērķiem</w:t>
            </w:r>
            <w:r w:rsidRPr="004404B0">
              <w:rPr>
                <w:rFonts w:cs="Times New Roman"/>
                <w:szCs w:val="24"/>
              </w:rPr>
              <w:t xml:space="preserve">. </w:t>
            </w:r>
            <w:r w:rsidR="00B95092">
              <w:rPr>
                <w:rFonts w:cs="Times New Roman"/>
                <w:szCs w:val="24"/>
              </w:rPr>
              <w:t>Vienlaikus p</w:t>
            </w:r>
            <w:r w:rsidR="001472DE">
              <w:rPr>
                <w:rFonts w:cs="Times New Roman"/>
                <w:szCs w:val="24"/>
              </w:rPr>
              <w:t xml:space="preserve">asūtītājs, sabiedrisko pakalpojumu sniedzējs vai publiskais partneris iepirkuma līgumā vai publiskās un privātās partnerības līgumā nedrīkst noteikt </w:t>
            </w:r>
            <w:r w:rsidR="00862CE1">
              <w:rPr>
                <w:color w:val="000000"/>
                <w:shd w:val="clear" w:color="auto" w:fill="FFFFFF"/>
              </w:rPr>
              <w:t xml:space="preserve"> </w:t>
            </w:r>
            <w:r w:rsidR="00862CE1" w:rsidRPr="004404B0">
              <w:rPr>
                <w:color w:val="000000"/>
                <w:shd w:val="clear" w:color="auto" w:fill="FFFFFF"/>
              </w:rPr>
              <w:t>papildu lauku (</w:t>
            </w:r>
            <w:r w:rsidR="00862CE1" w:rsidRPr="004404B0">
              <w:rPr>
                <w:i/>
                <w:iCs/>
                <w:color w:val="000000"/>
                <w:shd w:val="clear" w:color="auto" w:fill="FFFFFF"/>
              </w:rPr>
              <w:t>Extensions) </w:t>
            </w:r>
            <w:r w:rsidR="00862CE1" w:rsidRPr="004404B0">
              <w:rPr>
                <w:color w:val="000000"/>
                <w:shd w:val="clear" w:color="auto" w:fill="FFFFFF"/>
              </w:rPr>
              <w:t>izmantošan</w:t>
            </w:r>
            <w:r w:rsidR="00862CE1">
              <w:rPr>
                <w:color w:val="000000"/>
                <w:shd w:val="clear" w:color="auto" w:fill="FFFFFF"/>
              </w:rPr>
              <w:t>u</w:t>
            </w:r>
            <w:r w:rsidR="001472DE">
              <w:rPr>
                <w:rFonts w:cs="Times New Roman"/>
                <w:szCs w:val="24"/>
              </w:rPr>
              <w:t xml:space="preserve">. </w:t>
            </w:r>
            <w:r w:rsidR="00B95092">
              <w:rPr>
                <w:rFonts w:eastAsia="Times New Roman" w:cs="Times New Roman"/>
                <w:color w:val="000000"/>
                <w:szCs w:val="24"/>
                <w:lang w:eastAsia="lv-LV"/>
              </w:rPr>
              <w:t xml:space="preserve">Jebkurā gadījumā, </w:t>
            </w:r>
            <w:r w:rsidR="003A65B0" w:rsidRPr="004404B0">
              <w:rPr>
                <w:rFonts w:eastAsia="Times New Roman" w:cs="Times New Roman"/>
                <w:color w:val="000000"/>
                <w:szCs w:val="24"/>
                <w:lang w:eastAsia="lv-LV"/>
              </w:rPr>
              <w:t>ja pasūtītājs, sabiedrisko pakalpojumu sniedzējs vai publiskais partneris vai tā pārstāvis iepirkuma līgumā vai publiskās un privātās partnerības līgum</w:t>
            </w:r>
            <w:r w:rsidR="00497D0C">
              <w:rPr>
                <w:rFonts w:eastAsia="Times New Roman" w:cs="Times New Roman"/>
                <w:color w:val="000000"/>
                <w:szCs w:val="24"/>
                <w:lang w:eastAsia="lv-LV"/>
              </w:rPr>
              <w:t>ā</w:t>
            </w:r>
            <w:r w:rsidR="003A65B0" w:rsidRPr="004404B0">
              <w:rPr>
                <w:rFonts w:eastAsia="Times New Roman" w:cs="Times New Roman"/>
                <w:color w:val="000000"/>
                <w:szCs w:val="24"/>
                <w:lang w:eastAsia="lv-LV"/>
              </w:rPr>
              <w:t xml:space="preserve"> neko </w:t>
            </w:r>
            <w:r w:rsidR="00B95092">
              <w:rPr>
                <w:rFonts w:eastAsia="Times New Roman" w:cs="Times New Roman"/>
                <w:color w:val="000000"/>
                <w:szCs w:val="24"/>
                <w:lang w:eastAsia="lv-LV"/>
              </w:rPr>
              <w:t xml:space="preserve">papildus </w:t>
            </w:r>
            <w:r w:rsidR="003A65B0" w:rsidRPr="004404B0">
              <w:rPr>
                <w:rFonts w:eastAsia="Times New Roman" w:cs="Times New Roman"/>
                <w:color w:val="000000"/>
                <w:szCs w:val="24"/>
                <w:lang w:eastAsia="lv-LV"/>
              </w:rPr>
              <w:t>nebūs noteicis attiecībā uz elektronisko rēķinu saturu, pasūtītājam, sabiedrisko pakalpojumu sniedzējam vai publiskajam partnerim vai tā pārstāvim būs jāpieņem un jāapstrādā jebkurš tāds elektroniskais rēķins, kas tehniski atbilst Eiropas elektronisko rēķinu standartam</w:t>
            </w:r>
            <w:r w:rsidR="008F1B2C">
              <w:rPr>
                <w:rFonts w:eastAsia="Times New Roman" w:cs="Times New Roman"/>
                <w:color w:val="000000"/>
                <w:szCs w:val="24"/>
                <w:lang w:eastAsia="lv-LV"/>
              </w:rPr>
              <w:t xml:space="preserve"> (Latvijā izrakstīto rēķinu gadījumā – arī CIUS) </w:t>
            </w:r>
            <w:r w:rsidR="003A65B0" w:rsidRPr="004404B0">
              <w:rPr>
                <w:rFonts w:eastAsia="Times New Roman" w:cs="Times New Roman"/>
                <w:color w:val="000000"/>
                <w:szCs w:val="24"/>
                <w:lang w:eastAsia="lv-LV"/>
              </w:rPr>
              <w:t xml:space="preserve">un ietver normatīvajos aktos noteikto </w:t>
            </w:r>
            <w:r w:rsidR="00862CE1">
              <w:rPr>
                <w:rFonts w:eastAsia="Times New Roman" w:cs="Times New Roman"/>
                <w:color w:val="000000"/>
                <w:szCs w:val="24"/>
                <w:lang w:eastAsia="lv-LV"/>
              </w:rPr>
              <w:t xml:space="preserve">attaisnojuma dokumentā </w:t>
            </w:r>
            <w:r w:rsidR="00013E02">
              <w:rPr>
                <w:rFonts w:eastAsia="Times New Roman" w:cs="Times New Roman"/>
                <w:color w:val="000000"/>
                <w:szCs w:val="24"/>
                <w:lang w:eastAsia="lv-LV"/>
              </w:rPr>
              <w:t xml:space="preserve">obligāti </w:t>
            </w:r>
            <w:r w:rsidR="00862CE1">
              <w:rPr>
                <w:rFonts w:eastAsia="Times New Roman" w:cs="Times New Roman"/>
                <w:color w:val="000000"/>
                <w:szCs w:val="24"/>
                <w:lang w:eastAsia="lv-LV"/>
              </w:rPr>
              <w:t>ietveramo informāciju</w:t>
            </w:r>
            <w:r w:rsidR="003A65B0" w:rsidRPr="004404B0">
              <w:rPr>
                <w:rFonts w:eastAsia="Times New Roman" w:cs="Times New Roman"/>
                <w:color w:val="000000"/>
                <w:szCs w:val="24"/>
                <w:lang w:eastAsia="lv-LV"/>
              </w:rPr>
              <w:t>.</w:t>
            </w:r>
          </w:p>
          <w:p w14:paraId="1DE7175C" w14:textId="0AA0C6B6" w:rsidR="00B95092" w:rsidRPr="004404B0" w:rsidRDefault="00586D46" w:rsidP="00B95092">
            <w:pPr>
              <w:spacing w:after="0" w:line="240" w:lineRule="auto"/>
              <w:ind w:right="57"/>
              <w:jc w:val="both"/>
            </w:pPr>
            <w:r>
              <w:t xml:space="preserve">Saskaņā ar pieejamo informāciju šobrīd </w:t>
            </w:r>
            <w:r w:rsidR="00B95092" w:rsidRPr="004404B0">
              <w:t>Latvijā</w:t>
            </w:r>
            <w:r>
              <w:t>, ja vispār</w:t>
            </w:r>
            <w:r w:rsidR="00B95092" w:rsidRPr="004404B0">
              <w:t xml:space="preserve"> </w:t>
            </w:r>
            <w:r>
              <w:t xml:space="preserve">kāda no tirgū pieejamām informācijas sistēmām var nodrošināt </w:t>
            </w:r>
            <w:r w:rsidR="00B95092" w:rsidRPr="004404B0">
              <w:t>elektronisko rēķinu izrakstīšanu</w:t>
            </w:r>
            <w:r w:rsidR="00B95092">
              <w:t xml:space="preserve"> atbilstoši Eiropas elektronisko rēķinu standartam</w:t>
            </w:r>
            <w:r>
              <w:t>, tad šādu sistēmu skaits ir neliels</w:t>
            </w:r>
            <w:r w:rsidR="00B95092">
              <w:t xml:space="preserve">. Attiecīgi šobrīd iespējams </w:t>
            </w:r>
            <w:r w:rsidR="00862CE1">
              <w:t xml:space="preserve">apzināt tehniskos </w:t>
            </w:r>
            <w:r w:rsidR="00B95092">
              <w:t xml:space="preserve">risinājumus, lai infrastruktūras izveides un uzturēšanas izmaksas nākotnē būtu pēc iespējas mazākas. Viens no risinājumiem ir Latvijā izrakstītiem elektroniskajiem rēķiniem paredzēt </w:t>
            </w:r>
            <w:r w:rsidR="00862CE1">
              <w:t xml:space="preserve">iespēju </w:t>
            </w:r>
            <w:r w:rsidR="00B95092">
              <w:t>izmantot tikai</w:t>
            </w:r>
            <w:r w:rsidR="00B95092" w:rsidRPr="004404B0">
              <w:t xml:space="preserve"> vien</w:t>
            </w:r>
            <w:r w:rsidR="00B95092">
              <w:t>u</w:t>
            </w:r>
            <w:r w:rsidR="00B95092" w:rsidRPr="004404B0">
              <w:t xml:space="preserve"> konkrēt</w:t>
            </w:r>
            <w:r w:rsidR="00B95092">
              <w:t>u</w:t>
            </w:r>
            <w:r w:rsidR="00B95092" w:rsidRPr="004404B0">
              <w:t xml:space="preserve"> sintaks</w:t>
            </w:r>
            <w:r w:rsidR="00B95092">
              <w:t>i</w:t>
            </w:r>
            <w:r w:rsidR="00B95092" w:rsidRPr="004404B0">
              <w:t xml:space="preserve"> – UBL (</w:t>
            </w:r>
            <w:r w:rsidR="00B95092" w:rsidRPr="004404B0">
              <w:rPr>
                <w:i/>
              </w:rPr>
              <w:t>Universal Business Language</w:t>
            </w:r>
            <w:r w:rsidR="00B95092" w:rsidRPr="004404B0">
              <w:t>).</w:t>
            </w:r>
            <w:r w:rsidR="00B95092">
              <w:t xml:space="preserve"> </w:t>
            </w:r>
            <w:r w:rsidR="00B95092" w:rsidRPr="004404B0">
              <w:t>UBL tiek plaši izmantot</w:t>
            </w:r>
            <w:r w:rsidR="00B95092">
              <w:t>a</w:t>
            </w:r>
            <w:r w:rsidR="00B95092" w:rsidRPr="004404B0">
              <w:t xml:space="preserve"> visā pasaulē (piemēram, elektronisko rēķinu izrakstīšanai)</w:t>
            </w:r>
            <w:r w:rsidR="00417D67">
              <w:t xml:space="preserve"> un</w:t>
            </w:r>
            <w:r w:rsidR="00B95092" w:rsidRPr="004404B0">
              <w:t xml:space="preserve"> PEPPOL CIUS </w:t>
            </w:r>
            <w:r w:rsidR="00417D67">
              <w:t>atbalsta UBL sintaksi</w:t>
            </w:r>
            <w:r w:rsidR="00B95092">
              <w:t xml:space="preserve">, turklāt </w:t>
            </w:r>
            <w:r w:rsidR="00417D67">
              <w:t xml:space="preserve">PEPPOL piegādes tīkls nodrošina </w:t>
            </w:r>
            <w:r w:rsidR="00B95092">
              <w:t>ANO/CEFACT sintaksē saņemt</w:t>
            </w:r>
            <w:r w:rsidR="00417D67">
              <w:t>o</w:t>
            </w:r>
            <w:r w:rsidR="00B95092">
              <w:t xml:space="preserve"> rēķin</w:t>
            </w:r>
            <w:r w:rsidR="00417D67">
              <w:t>u</w:t>
            </w:r>
            <w:r w:rsidR="00B95092">
              <w:t xml:space="preserve"> automātisk</w:t>
            </w:r>
            <w:r w:rsidR="00417D67">
              <w:t>u</w:t>
            </w:r>
            <w:r w:rsidR="00B95092">
              <w:t xml:space="preserve"> konvertē</w:t>
            </w:r>
            <w:r w:rsidR="00417D67">
              <w:t>šanu</w:t>
            </w:r>
            <w:r w:rsidR="00B95092">
              <w:t xml:space="preserve"> UBL sintaksē.</w:t>
            </w:r>
            <w:r w:rsidR="00B95092" w:rsidRPr="004404B0">
              <w:t xml:space="preserve"> </w:t>
            </w:r>
            <w:r w:rsidR="00B95092">
              <w:t>P</w:t>
            </w:r>
            <w:r w:rsidR="00B95092" w:rsidRPr="004404B0">
              <w:t>ēdējo</w:t>
            </w:r>
            <w:r w:rsidR="00B95092">
              <w:t>s</w:t>
            </w:r>
            <w:r w:rsidR="00B95092" w:rsidRPr="004404B0">
              <w:t xml:space="preserve"> gados UBL </w:t>
            </w:r>
            <w:r w:rsidR="00B95092">
              <w:t xml:space="preserve">sintakse tiek izmantota </w:t>
            </w:r>
            <w:r w:rsidR="00B95092" w:rsidRPr="004404B0">
              <w:t>daudz</w:t>
            </w:r>
            <w:r w:rsidR="00B95092">
              <w:t>u</w:t>
            </w:r>
            <w:r w:rsidR="00B95092" w:rsidRPr="004404B0">
              <w:t xml:space="preserve"> Eiropas valst</w:t>
            </w:r>
            <w:r w:rsidR="00B95092">
              <w:t>u</w:t>
            </w:r>
            <w:r w:rsidR="00B95092" w:rsidRPr="004404B0">
              <w:t xml:space="preserve"> pārvaldes iestād</w:t>
            </w:r>
            <w:r w:rsidR="00B95092">
              <w:t>ē</w:t>
            </w:r>
            <w:r w:rsidR="00B95092" w:rsidRPr="004404B0">
              <w:t>s.</w:t>
            </w:r>
            <w:r w:rsidR="00B95092">
              <w:t xml:space="preserve"> Šāds risinājums var nodrošināt ātrāku un lētāku elektronisko rēķinu apstrādes sistēmu izstrādi, kā arī lētāku to uzturēšanu, neuzturot paralēlu atbalstu divām sintaksēm.   </w:t>
            </w:r>
          </w:p>
          <w:p w14:paraId="4577D8A6" w14:textId="77777777" w:rsidR="00B95092" w:rsidRDefault="00B95092" w:rsidP="00B95092">
            <w:pPr>
              <w:spacing w:after="0" w:line="240" w:lineRule="auto"/>
              <w:ind w:right="57"/>
              <w:jc w:val="both"/>
            </w:pPr>
            <w:r>
              <w:t>Kā minēts iepriekš, pasūtītājiem, sabiedrisko pakalpojumu sniedzējiem, publiskajiem partneriem vai to pārstāvjiem saskaņā ar Komisijas īstenošanas lēmumu un t</w:t>
            </w:r>
            <w:r>
              <w:rPr>
                <w:color w:val="000000"/>
                <w:spacing w:val="-2"/>
                <w:szCs w:val="24"/>
                <w:shd w:val="clear" w:color="auto" w:fill="FFFFFF"/>
              </w:rPr>
              <w:t xml:space="preserve">ehnisko specifikāciju </w:t>
            </w:r>
            <w:r w:rsidRPr="00085C25">
              <w:t>LVS CEN/TS 16931-2:2017</w:t>
            </w:r>
            <w:r>
              <w:t xml:space="preserve"> </w:t>
            </w:r>
            <w:r w:rsidRPr="00085C25">
              <w:t>“Elektroniskie rēķini. 2.daļa: Standartam EN 16931-1 atbilstošo sintakšu saraksts”</w:t>
            </w:r>
            <w:r>
              <w:t xml:space="preserve"> ir jāpieņem elektroniskie rēķini, ja tie atbilst kādai no šādām sintaksēm: 1. ANO/CEFACT “Cross Industry Invoice </w:t>
            </w:r>
            <w:r>
              <w:lastRenderedPageBreak/>
              <w:t xml:space="preserve">XML message” saskaņā ar “XML Schemas 16B (SCRDM - CII)” vai 2. Rēķinu un kredītnotu UBL paziņojumi saskaņā ar  “ISO/IEC 19845:2015”. Vienlaikus direktīva </w:t>
            </w:r>
            <w:r w:rsidRPr="004404B0">
              <w:rPr>
                <w:color w:val="000000"/>
                <w:shd w:val="clear" w:color="auto" w:fill="FFFFFF"/>
              </w:rPr>
              <w:t>2014/55/ES</w:t>
            </w:r>
            <w:r>
              <w:rPr>
                <w:color w:val="000000"/>
                <w:shd w:val="clear" w:color="auto" w:fill="FFFFFF"/>
              </w:rPr>
              <w:t xml:space="preserve"> un Eiropas Elektronisko rēķinu standarts neliedz Eiropas Savienības dalībvalstīm noteikt, kādā sintaksē attiecīgajā valstī ir izrakstāmi elektroniskie rēķini. Attiecīgi, ja tiek noteikts, ka Latvijā elektroniskie rēķini izrakstāmi tikai UBL sintaksē, savukārt rēķini no ārvalstu piegādātājiem tiek saņemti, izmantojot PEPPOL elektronisko rēķinu piegādes infrastruktūru, kas </w:t>
            </w:r>
            <w:r>
              <w:t>ANO/CEFACT sintaksē saņemtos rēķinus konvertē UBL sintaksē, zūd nepieciešamība elektronisko rēķinu apstrādes sistēmās nodrošināt atbalstu ANO/CEFACT sintaksei, tādējādi iepriekš minētie potenciālie iegumi no vienas sintakses izmantošanas ir sasniedzami.</w:t>
            </w:r>
          </w:p>
          <w:p w14:paraId="3CE0ED82" w14:textId="136B93D3" w:rsidR="00B95092" w:rsidRPr="00BF185D" w:rsidRDefault="00B95092" w:rsidP="00D92DCB">
            <w:pPr>
              <w:spacing w:after="0" w:line="240" w:lineRule="auto"/>
              <w:ind w:right="57"/>
              <w:jc w:val="both"/>
            </w:pPr>
            <w:r>
              <w:t>Tajā pašā laikā šobrīd likumos ietvertais deleģējums Ministru kabinetam atbilstoši tā mērķim neparedz iespēju noteikt, ka Latvijā elektroniskie rēķini jāizraksta vienā konkrētā sintaksē. Attiecīgi Ministru kabineta sēdes protokollēmumā tiek ietverts uzdevums F</w:t>
            </w:r>
            <w:r w:rsidRPr="00B53991">
              <w:t>inanšu ministrijai izstrādāt un līdz 2019.gada 1.oktobrim noteiktā kārtībā iesniegt izskatīšanai Ministru kabinetā attiecīgu tiesību akta projektu, lai noteiktu, ka turpmāk Latvijā pastāvīgi dzīvojošas fiziskas personas un Latvijā reģistrētas juridiskas personas elektroniskos rēķinus sagatavo atbilstoši tehniskajā specifikācijā LVS CEN/TS 16931-2:2017 “Elektroniskie rēķini. 2.daļa: Standartam EN 16931-1 atbilstošo sintakšu saraksts” noteiktajai ISO/IEC 19845 (UBL 2.1) sintaksei.</w:t>
            </w:r>
            <w:r>
              <w:t xml:space="preserve"> Minētais uzdevums līdz attiecīgu grozījumu izdarīšanai normatīvajos aktos faktiski ir rekomendācija elektronisko rēķinu apstrādes sistēmu izstrādātājiem neveidot sistēmas kas paredz elektronisko rēķinu izrakstīšanu citā sintaksē, kā vienīgi UBL sintaksē.</w:t>
            </w:r>
          </w:p>
          <w:p w14:paraId="0DFA48F4" w14:textId="62E62EF7" w:rsidR="002356F2" w:rsidRPr="004404B0" w:rsidRDefault="002356F2" w:rsidP="00B33365">
            <w:pPr>
              <w:spacing w:after="0" w:line="240" w:lineRule="auto"/>
              <w:ind w:right="57"/>
              <w:jc w:val="both"/>
              <w:rPr>
                <w:color w:val="000000"/>
                <w:spacing w:val="-2"/>
                <w:szCs w:val="24"/>
                <w:shd w:val="clear" w:color="auto" w:fill="FFFFFF"/>
              </w:rPr>
            </w:pPr>
          </w:p>
          <w:p w14:paraId="6E30A774" w14:textId="4C0253E2" w:rsidR="00C25F70" w:rsidRPr="004404B0" w:rsidRDefault="00C25F70" w:rsidP="00B33365">
            <w:pPr>
              <w:spacing w:after="0" w:line="240" w:lineRule="auto"/>
              <w:ind w:right="57"/>
              <w:jc w:val="both"/>
              <w:rPr>
                <w:b/>
                <w:color w:val="000000"/>
                <w:spacing w:val="-2"/>
                <w:szCs w:val="24"/>
                <w:shd w:val="clear" w:color="auto" w:fill="FFFFFF"/>
              </w:rPr>
            </w:pPr>
            <w:r w:rsidRPr="004404B0">
              <w:rPr>
                <w:b/>
                <w:color w:val="000000"/>
                <w:spacing w:val="-2"/>
                <w:szCs w:val="24"/>
                <w:shd w:val="clear" w:color="auto" w:fill="FFFFFF"/>
              </w:rPr>
              <w:t>E-rēķinu piegādes kanāli.</w:t>
            </w:r>
          </w:p>
          <w:p w14:paraId="3E3D8934" w14:textId="6DF0B72A" w:rsidR="00F06625" w:rsidRDefault="002C38A3" w:rsidP="00CE3A35">
            <w:pPr>
              <w:shd w:val="clear" w:color="auto" w:fill="FFFFFF"/>
              <w:spacing w:after="0" w:line="240" w:lineRule="auto"/>
              <w:jc w:val="both"/>
              <w:rPr>
                <w:color w:val="000000"/>
                <w:szCs w:val="24"/>
                <w:shd w:val="clear" w:color="auto" w:fill="FFFFFF"/>
              </w:rPr>
            </w:pPr>
            <w:r w:rsidRPr="004404B0">
              <w:rPr>
                <w:color w:val="000000"/>
                <w:shd w:val="clear" w:color="auto" w:fill="FFFFFF"/>
              </w:rPr>
              <w:t>A</w:t>
            </w:r>
            <w:r w:rsidR="00D92DCB" w:rsidRPr="004404B0">
              <w:rPr>
                <w:color w:val="000000"/>
                <w:shd w:val="clear" w:color="auto" w:fill="FFFFFF"/>
              </w:rPr>
              <w:t>r noteikumu projektu tiek paredzēti trīs elektronisko rēķinu piegādes kanāli.</w:t>
            </w:r>
            <w:r w:rsidR="00D92DCB" w:rsidRPr="004404B0">
              <w:rPr>
                <w:color w:val="000000"/>
                <w:szCs w:val="24"/>
                <w:shd w:val="clear" w:color="auto" w:fill="FFFFFF"/>
              </w:rPr>
              <w:t xml:space="preserve"> Piegādātāji elektroniskos rēķinus būs tiesīgi iesniegt</w:t>
            </w:r>
            <w:r w:rsidR="00EC0486" w:rsidRPr="004404B0">
              <w:rPr>
                <w:color w:val="000000"/>
                <w:szCs w:val="24"/>
                <w:shd w:val="clear" w:color="auto" w:fill="FFFFFF"/>
              </w:rPr>
              <w:t>,</w:t>
            </w:r>
            <w:r w:rsidR="00D92DCB" w:rsidRPr="004404B0">
              <w:rPr>
                <w:color w:val="000000"/>
                <w:szCs w:val="24"/>
                <w:shd w:val="clear" w:color="auto" w:fill="FFFFFF"/>
              </w:rPr>
              <w:t xml:space="preserve"> izmantojot oficiālo elektronisko adresi</w:t>
            </w:r>
            <w:r w:rsidR="00F06625">
              <w:rPr>
                <w:color w:val="000000"/>
                <w:szCs w:val="24"/>
                <w:shd w:val="clear" w:color="auto" w:fill="FFFFFF"/>
              </w:rPr>
              <w:t xml:space="preserve">, </w:t>
            </w:r>
            <w:r w:rsidR="00F06625" w:rsidRPr="004404B0">
              <w:rPr>
                <w:color w:val="000000"/>
                <w:szCs w:val="24"/>
                <w:shd w:val="clear" w:color="auto" w:fill="FFFFFF"/>
              </w:rPr>
              <w:t>elektroniskā pasta adresi</w:t>
            </w:r>
            <w:r w:rsidR="00F06625">
              <w:rPr>
                <w:color w:val="000000"/>
                <w:szCs w:val="24"/>
                <w:shd w:val="clear" w:color="auto" w:fill="FFFFFF"/>
              </w:rPr>
              <w:t xml:space="preserve"> (kā pagaidu risinājumu)</w:t>
            </w:r>
            <w:r w:rsidR="00F06625" w:rsidRPr="004404B0">
              <w:rPr>
                <w:color w:val="000000"/>
                <w:szCs w:val="24"/>
                <w:shd w:val="clear" w:color="auto" w:fill="FFFFFF"/>
              </w:rPr>
              <w:t xml:space="preserve">, </w:t>
            </w:r>
            <w:r w:rsidR="00D92DCB" w:rsidRPr="004404B0">
              <w:rPr>
                <w:color w:val="000000"/>
                <w:szCs w:val="24"/>
                <w:shd w:val="clear" w:color="auto" w:fill="FFFFFF"/>
              </w:rPr>
              <w:t>vai iepirkuma līgumā vai publiskās un privātās partnerības līgumā norādītajā veidā.</w:t>
            </w:r>
          </w:p>
          <w:p w14:paraId="37FF6C07" w14:textId="6FA5A54E" w:rsidR="007B0873" w:rsidRPr="00BF185D" w:rsidRDefault="00F06625" w:rsidP="00BF185D">
            <w:pPr>
              <w:shd w:val="clear" w:color="auto" w:fill="FFFFFF"/>
              <w:spacing w:after="0" w:line="240" w:lineRule="auto"/>
              <w:jc w:val="both"/>
              <w:rPr>
                <w:color w:val="000000"/>
                <w:szCs w:val="24"/>
                <w:shd w:val="clear" w:color="auto" w:fill="FFFFFF"/>
              </w:rPr>
            </w:pPr>
            <w:r w:rsidRPr="00F06625">
              <w:rPr>
                <w:color w:val="000000"/>
                <w:szCs w:val="24"/>
                <w:shd w:val="clear" w:color="auto" w:fill="FFFFFF"/>
              </w:rPr>
              <w:t>Vides aizsardzības un reģionālās attīstības ministrija (Valsts reģionālās attīstības aģentūra), īsteno</w:t>
            </w:r>
            <w:r>
              <w:rPr>
                <w:color w:val="000000"/>
                <w:szCs w:val="24"/>
                <w:shd w:val="clear" w:color="auto" w:fill="FFFFFF"/>
              </w:rPr>
              <w:t>s</w:t>
            </w:r>
            <w:r w:rsidRPr="00F06625">
              <w:rPr>
                <w:color w:val="000000"/>
                <w:szCs w:val="24"/>
                <w:shd w:val="clear" w:color="auto" w:fill="FFFFFF"/>
              </w:rPr>
              <w:t xml:space="preserve"> Eiropas infrastruktūras savienošanas instrumenta (Connecting Europe Facility) līdzfinansēto projektu “Eiropas elektroniskais rēķins” (e-Invoices CEF Project), </w:t>
            </w:r>
            <w:r>
              <w:rPr>
                <w:color w:val="000000"/>
                <w:szCs w:val="24"/>
                <w:shd w:val="clear" w:color="auto" w:fill="FFFFFF"/>
              </w:rPr>
              <w:t xml:space="preserve">kura ietvaros </w:t>
            </w:r>
            <w:r w:rsidRPr="00F06625">
              <w:rPr>
                <w:color w:val="000000"/>
                <w:szCs w:val="24"/>
                <w:shd w:val="clear" w:color="auto" w:fill="FFFFFF"/>
              </w:rPr>
              <w:t>sadarbībā ar Finanšu ministriju sagatavo</w:t>
            </w:r>
            <w:r>
              <w:rPr>
                <w:color w:val="000000"/>
                <w:szCs w:val="24"/>
                <w:shd w:val="clear" w:color="auto" w:fill="FFFFFF"/>
              </w:rPr>
              <w:t>s</w:t>
            </w:r>
            <w:r w:rsidRPr="00F06625">
              <w:rPr>
                <w:color w:val="000000"/>
                <w:szCs w:val="24"/>
                <w:shd w:val="clear" w:color="auto" w:fill="FFFFFF"/>
              </w:rPr>
              <w:t xml:space="preserve"> un atbilstoši kompetencei noteiktā kārtībā iesnieg</w:t>
            </w:r>
            <w:r>
              <w:rPr>
                <w:color w:val="000000"/>
                <w:szCs w:val="24"/>
                <w:shd w:val="clear" w:color="auto" w:fill="FFFFFF"/>
              </w:rPr>
              <w:t>s</w:t>
            </w:r>
            <w:r w:rsidRPr="00F06625">
              <w:rPr>
                <w:color w:val="000000"/>
                <w:szCs w:val="24"/>
                <w:shd w:val="clear" w:color="auto" w:fill="FFFFFF"/>
              </w:rPr>
              <w:t xml:space="preserve"> Ministru kabinetā nepieciešamos grozījumus normatīvajos aktos, nosakot, ka tiešās pārvaldes iestādes elektronisko rēķinu saņemšanai izmanto tikai projekta ietvaros radītos elektronisko rēķinu piegādes risinājumus.</w:t>
            </w:r>
            <w:r w:rsidR="007B0873">
              <w:rPr>
                <w:color w:val="000000"/>
                <w:szCs w:val="24"/>
                <w:shd w:val="clear" w:color="auto" w:fill="FFFFFF"/>
              </w:rPr>
              <w:t xml:space="preserve"> Šie risinājumi būs integrēti ar oficiālo elektronisko adresi. Tāpat projekta ietvaros tiks nodrošināts risinājums elektronisko rēķinu saņemšanai no ārvalstu piegādātājiem, izmantojot PEPPOL </w:t>
            </w:r>
            <w:r w:rsidR="007B0873">
              <w:rPr>
                <w:color w:val="000000"/>
                <w:szCs w:val="24"/>
                <w:shd w:val="clear" w:color="auto" w:fill="FFFFFF"/>
              </w:rPr>
              <w:lastRenderedPageBreak/>
              <w:t xml:space="preserve">elektronisko rēķinu piegādes infrastruktūru un nodrošinot šo elektronisko rēķinu saņemšanu oficiālās elektroniskās adreses kontā, no kura elektroniskos rēķinus būs iespējams </w:t>
            </w:r>
            <w:r w:rsidR="003E1BCB">
              <w:rPr>
                <w:color w:val="000000"/>
                <w:szCs w:val="24"/>
                <w:shd w:val="clear" w:color="auto" w:fill="FFFFFF"/>
              </w:rPr>
              <w:t>nodot apstrādei</w:t>
            </w:r>
            <w:r w:rsidR="007B0873">
              <w:rPr>
                <w:color w:val="000000"/>
                <w:szCs w:val="24"/>
                <w:shd w:val="clear" w:color="auto" w:fill="FFFFFF"/>
              </w:rPr>
              <w:t xml:space="preserve">, piemēram, dokumentu vadības sistēmās vai grāmatvedības sistēmās. </w:t>
            </w:r>
            <w:r w:rsidR="005717B0" w:rsidRPr="005717B0">
              <w:rPr>
                <w:color w:val="000000"/>
                <w:szCs w:val="24"/>
                <w:shd w:val="clear" w:color="auto" w:fill="FFFFFF"/>
              </w:rPr>
              <w:t>Lai īstenotu minēto integrāciju ar  PEPPOL elektronisko rēķinu piegādes infrastruktūru, jāņem vērā, ka PEPPOL elektronisko rēķinu piegādes infrastruktūras izmantošana ir maksas pakalpojums, par ko paredzama samaksa PEPPOL, sākot ar brīdi, kad risinājums izveidots un darbojas.</w:t>
            </w:r>
            <w:r w:rsidR="005717B0">
              <w:rPr>
                <w:color w:val="000000"/>
                <w:szCs w:val="24"/>
                <w:shd w:val="clear" w:color="auto" w:fill="FFFFFF"/>
              </w:rPr>
              <w:t xml:space="preserve"> </w:t>
            </w:r>
            <w:r w:rsidR="007B0873">
              <w:rPr>
                <w:color w:val="000000"/>
                <w:szCs w:val="24"/>
                <w:shd w:val="clear" w:color="auto" w:fill="FFFFFF"/>
              </w:rPr>
              <w:t>Līdz brīdim, kad projekta ietvaros paredzētie risinājumi būs izveidoti un izmantojami, tiešās pārvaldes iestādēm netiek rekomendēts bez saskaņošanas ar Vides aizsardzības un reģionālās attīstības ministriju ieguldīt finansējumu un resursus paralēlu</w:t>
            </w:r>
            <w:r w:rsidR="003E1BCB">
              <w:rPr>
                <w:color w:val="000000"/>
                <w:szCs w:val="24"/>
                <w:shd w:val="clear" w:color="auto" w:fill="FFFFFF"/>
              </w:rPr>
              <w:t xml:space="preserve"> elektronisko rēķinu piegādes risinājumu</w:t>
            </w:r>
            <w:r w:rsidR="007B0873">
              <w:rPr>
                <w:color w:val="000000"/>
                <w:szCs w:val="24"/>
                <w:shd w:val="clear" w:color="auto" w:fill="FFFFFF"/>
              </w:rPr>
              <w:t xml:space="preserve"> izveidē. Projekta ietvaros izveidotie risinājumi un infrastruktūra būs pieejama arī citiem pasūtītājiem, </w:t>
            </w:r>
            <w:r w:rsidR="007B0873">
              <w:t>sabiedrisko pakalpojumu sniedzējiem, publiskajiem partneriem vai to pārstāvjiem, un Vides aizsardzības un reģionālās attīstības ministrija un Valsts reģionālās attīstības aģentūra aicinās pēc iespējas izmantot projekta ietvaros radītos elektronisko rēķinu piegādes kanālu risinājumus.</w:t>
            </w:r>
          </w:p>
          <w:p w14:paraId="434E028A" w14:textId="75B9238D" w:rsidR="002C38A3" w:rsidRPr="004404B0" w:rsidRDefault="007B0873" w:rsidP="00D92DCB">
            <w:pPr>
              <w:shd w:val="clear" w:color="auto" w:fill="FFFFFF"/>
              <w:spacing w:after="0" w:line="240" w:lineRule="auto"/>
              <w:jc w:val="both"/>
              <w:rPr>
                <w:rFonts w:ascii="Calibri" w:eastAsia="Times New Roman" w:hAnsi="Calibri" w:cs="Times New Roman"/>
                <w:color w:val="000000"/>
                <w:sz w:val="20"/>
                <w:szCs w:val="20"/>
                <w:lang w:eastAsia="lv-LV"/>
              </w:rPr>
            </w:pPr>
            <w:r>
              <w:rPr>
                <w:rFonts w:eastAsia="Times New Roman" w:cs="Times New Roman"/>
                <w:color w:val="000000"/>
                <w:szCs w:val="24"/>
                <w:lang w:eastAsia="lv-LV"/>
              </w:rPr>
              <w:t xml:space="preserve">Vienlaikus, tā kā regulējums attiecas uz plašu subjektu loku, šobrīd netiek izslēgta iespēja </w:t>
            </w:r>
            <w:r w:rsidR="00A13023" w:rsidRPr="004404B0">
              <w:rPr>
                <w:rFonts w:eastAsia="Times New Roman" w:cs="Times New Roman"/>
                <w:color w:val="000000"/>
                <w:szCs w:val="24"/>
                <w:lang w:eastAsia="lv-LV"/>
              </w:rPr>
              <w:t>iepirkuma</w:t>
            </w:r>
            <w:r w:rsidR="00EC0486" w:rsidRPr="004404B0">
              <w:rPr>
                <w:rFonts w:eastAsia="Times New Roman" w:cs="Times New Roman"/>
                <w:color w:val="000000"/>
                <w:szCs w:val="24"/>
                <w:lang w:eastAsia="lv-LV"/>
              </w:rPr>
              <w:t xml:space="preserve"> līgumā</w:t>
            </w:r>
            <w:r w:rsidR="00A13023" w:rsidRPr="004404B0">
              <w:rPr>
                <w:rFonts w:eastAsia="Times New Roman" w:cs="Times New Roman"/>
                <w:color w:val="000000"/>
                <w:szCs w:val="24"/>
                <w:lang w:eastAsia="lv-LV"/>
              </w:rPr>
              <w:t xml:space="preserve"> vai publiskās un privātās partnerības līgumā paredzēt arī</w:t>
            </w:r>
            <w:r w:rsidR="00EC0486" w:rsidRPr="004404B0">
              <w:rPr>
                <w:rFonts w:eastAsia="Times New Roman" w:cs="Times New Roman"/>
                <w:color w:val="000000"/>
                <w:szCs w:val="24"/>
                <w:lang w:eastAsia="lv-LV"/>
              </w:rPr>
              <w:t xml:space="preserve"> citus piegādes kanālus</w:t>
            </w:r>
            <w:r>
              <w:rPr>
                <w:rFonts w:eastAsia="Times New Roman" w:cs="Times New Roman"/>
                <w:color w:val="000000"/>
                <w:szCs w:val="24"/>
                <w:lang w:eastAsia="lv-LV"/>
              </w:rPr>
              <w:t xml:space="preserve">, tādējādi </w:t>
            </w:r>
            <w:r w:rsidR="00CE3A35" w:rsidRPr="004404B0">
              <w:rPr>
                <w:rFonts w:eastAsia="Times New Roman" w:cs="Times New Roman"/>
                <w:color w:val="000000"/>
                <w:szCs w:val="24"/>
                <w:lang w:eastAsia="lv-LV"/>
              </w:rPr>
              <w:t>nodrošin</w:t>
            </w:r>
            <w:r>
              <w:rPr>
                <w:rFonts w:eastAsia="Times New Roman" w:cs="Times New Roman"/>
                <w:color w:val="000000"/>
                <w:szCs w:val="24"/>
                <w:lang w:eastAsia="lv-LV"/>
              </w:rPr>
              <w:t>ot</w:t>
            </w:r>
            <w:r w:rsidR="003A65B0" w:rsidRPr="004404B0">
              <w:rPr>
                <w:rFonts w:eastAsia="Times New Roman" w:cs="Times New Roman"/>
                <w:color w:val="000000"/>
                <w:szCs w:val="24"/>
                <w:lang w:eastAsia="lv-LV"/>
              </w:rPr>
              <w:t xml:space="preserve"> iespēju </w:t>
            </w:r>
            <w:r w:rsidR="00A13023" w:rsidRPr="004404B0">
              <w:rPr>
                <w:rFonts w:eastAsia="Times New Roman" w:cs="Times New Roman"/>
                <w:color w:val="000000"/>
                <w:szCs w:val="24"/>
                <w:lang w:eastAsia="lv-LV"/>
              </w:rPr>
              <w:t>tirgum piedāvāt arī citus</w:t>
            </w:r>
            <w:r w:rsidR="003A65B0" w:rsidRPr="004404B0">
              <w:rPr>
                <w:rFonts w:eastAsia="Times New Roman" w:cs="Times New Roman"/>
                <w:color w:val="000000"/>
                <w:szCs w:val="24"/>
                <w:lang w:eastAsia="lv-LV"/>
              </w:rPr>
              <w:t xml:space="preserve"> efektīvus </w:t>
            </w:r>
            <w:r>
              <w:rPr>
                <w:rFonts w:eastAsia="Times New Roman" w:cs="Times New Roman"/>
                <w:color w:val="000000"/>
                <w:szCs w:val="24"/>
                <w:lang w:eastAsia="lv-LV"/>
              </w:rPr>
              <w:t xml:space="preserve">elektronisko rēķinu </w:t>
            </w:r>
            <w:r w:rsidR="003A65B0" w:rsidRPr="004404B0">
              <w:rPr>
                <w:rFonts w:eastAsia="Times New Roman" w:cs="Times New Roman"/>
                <w:color w:val="000000"/>
                <w:szCs w:val="24"/>
                <w:lang w:eastAsia="lv-LV"/>
              </w:rPr>
              <w:t>piegādes un apstrādes risinājumus.</w:t>
            </w:r>
            <w:r w:rsidR="00CE3A35" w:rsidRPr="004404B0">
              <w:rPr>
                <w:rFonts w:eastAsia="Times New Roman" w:cs="Times New Roman"/>
                <w:color w:val="000000"/>
                <w:szCs w:val="24"/>
                <w:lang w:eastAsia="lv-LV"/>
              </w:rPr>
              <w:t xml:space="preserve"> </w:t>
            </w:r>
          </w:p>
          <w:p w14:paraId="18D03C4B" w14:textId="7BECBB4A" w:rsidR="00AF7372" w:rsidRPr="004404B0" w:rsidRDefault="00AF7372" w:rsidP="00D92DCB">
            <w:pPr>
              <w:shd w:val="clear" w:color="auto" w:fill="FFFFFF"/>
              <w:spacing w:after="0" w:line="240" w:lineRule="auto"/>
              <w:jc w:val="both"/>
              <w:rPr>
                <w:rFonts w:cs="Times New Roman"/>
                <w:szCs w:val="24"/>
              </w:rPr>
            </w:pPr>
            <w:r w:rsidRPr="004404B0">
              <w:rPr>
                <w:color w:val="000000"/>
                <w:szCs w:val="24"/>
                <w:shd w:val="clear" w:color="auto" w:fill="FFFFFF"/>
              </w:rPr>
              <w:t>Attīstoties informācijas tehnoloģijas infrastruktūr</w:t>
            </w:r>
            <w:r w:rsidR="001E4DAF">
              <w:rPr>
                <w:color w:val="000000"/>
                <w:szCs w:val="24"/>
                <w:shd w:val="clear" w:color="auto" w:fill="FFFFFF"/>
              </w:rPr>
              <w:t>ai</w:t>
            </w:r>
            <w:r w:rsidRPr="004404B0">
              <w:rPr>
                <w:color w:val="000000"/>
                <w:szCs w:val="24"/>
                <w:shd w:val="clear" w:color="auto" w:fill="FFFFFF"/>
              </w:rPr>
              <w:t xml:space="preserve"> un risinājumiem, nākotnē tiks pārskatīts un lemts par konkrētu risinājuma izmantošanu</w:t>
            </w:r>
            <w:r w:rsidR="00FC05FA" w:rsidRPr="004404B0">
              <w:rPr>
                <w:color w:val="000000"/>
                <w:szCs w:val="24"/>
                <w:shd w:val="clear" w:color="auto" w:fill="FFFFFF"/>
              </w:rPr>
              <w:t>,</w:t>
            </w:r>
            <w:r w:rsidRPr="004404B0">
              <w:rPr>
                <w:color w:val="000000"/>
                <w:szCs w:val="24"/>
                <w:shd w:val="clear" w:color="auto" w:fill="FFFFFF"/>
              </w:rPr>
              <w:t xml:space="preserve"> atsakoties no elektroniskās pasta adreses</w:t>
            </w:r>
            <w:r w:rsidR="00FC05FA" w:rsidRPr="004404B0">
              <w:rPr>
                <w:color w:val="000000"/>
                <w:szCs w:val="24"/>
                <w:shd w:val="clear" w:color="auto" w:fill="FFFFFF"/>
              </w:rPr>
              <w:t xml:space="preserve"> kā </w:t>
            </w:r>
            <w:r w:rsidR="001E4DAF">
              <w:rPr>
                <w:color w:val="000000"/>
                <w:szCs w:val="24"/>
                <w:shd w:val="clear" w:color="auto" w:fill="FFFFFF"/>
              </w:rPr>
              <w:t xml:space="preserve">salīdzinoši neērta un nedroša </w:t>
            </w:r>
            <w:r w:rsidR="00FC05FA" w:rsidRPr="004404B0">
              <w:rPr>
                <w:color w:val="000000"/>
                <w:szCs w:val="24"/>
                <w:shd w:val="clear" w:color="auto" w:fill="FFFFFF"/>
              </w:rPr>
              <w:t>piegādes kanāla</w:t>
            </w:r>
            <w:r w:rsidRPr="004404B0">
              <w:rPr>
                <w:color w:val="000000"/>
                <w:szCs w:val="24"/>
                <w:shd w:val="clear" w:color="auto" w:fill="FFFFFF"/>
              </w:rPr>
              <w:t xml:space="preserve">. </w:t>
            </w:r>
          </w:p>
          <w:p w14:paraId="37E09ABA" w14:textId="77777777" w:rsidR="00215FBB" w:rsidRPr="004404B0" w:rsidRDefault="00215FBB" w:rsidP="00D92DCB">
            <w:pPr>
              <w:shd w:val="clear" w:color="auto" w:fill="FFFFFF"/>
              <w:spacing w:after="0" w:line="240" w:lineRule="auto"/>
              <w:jc w:val="both"/>
              <w:rPr>
                <w:color w:val="000000"/>
                <w:szCs w:val="24"/>
                <w:shd w:val="clear" w:color="auto" w:fill="FFFFFF"/>
              </w:rPr>
            </w:pPr>
          </w:p>
          <w:p w14:paraId="47B8E057" w14:textId="54A1D6D7" w:rsidR="00C25F70" w:rsidRPr="004404B0" w:rsidRDefault="00C25F70" w:rsidP="00A534F9">
            <w:pPr>
              <w:shd w:val="clear" w:color="auto" w:fill="FFFFFF"/>
              <w:spacing w:after="0" w:line="240" w:lineRule="auto"/>
              <w:jc w:val="both"/>
              <w:rPr>
                <w:b/>
                <w:color w:val="000000"/>
                <w:spacing w:val="-2"/>
                <w:szCs w:val="24"/>
                <w:shd w:val="clear" w:color="auto" w:fill="FFFFFF"/>
              </w:rPr>
            </w:pPr>
            <w:r w:rsidRPr="004404B0">
              <w:rPr>
                <w:b/>
                <w:color w:val="000000"/>
                <w:spacing w:val="-2"/>
                <w:szCs w:val="24"/>
                <w:shd w:val="clear" w:color="auto" w:fill="FFFFFF"/>
              </w:rPr>
              <w:t>Rēķinu tālāka apstrāde.</w:t>
            </w:r>
          </w:p>
          <w:p w14:paraId="657458D1" w14:textId="43FDB0AA" w:rsidR="00E80142" w:rsidRPr="004404B0" w:rsidRDefault="00E80142" w:rsidP="00A534F9">
            <w:pPr>
              <w:shd w:val="clear" w:color="auto" w:fill="FFFFFF"/>
              <w:spacing w:after="0" w:line="240" w:lineRule="auto"/>
              <w:jc w:val="both"/>
              <w:rPr>
                <w:color w:val="000000"/>
                <w:szCs w:val="24"/>
                <w:shd w:val="clear" w:color="auto" w:fill="FFFFFF"/>
              </w:rPr>
            </w:pPr>
            <w:r w:rsidRPr="004404B0">
              <w:rPr>
                <w:color w:val="000000"/>
                <w:szCs w:val="24"/>
                <w:shd w:val="clear" w:color="auto" w:fill="FFFFFF"/>
              </w:rPr>
              <w:t>Pasūtītājiem, sabiedrisko pakalpojumu sniedzējiem vai publiskaj</w:t>
            </w:r>
            <w:r w:rsidR="001E4DAF">
              <w:rPr>
                <w:color w:val="000000"/>
                <w:szCs w:val="24"/>
                <w:shd w:val="clear" w:color="auto" w:fill="FFFFFF"/>
              </w:rPr>
              <w:t>iem</w:t>
            </w:r>
            <w:r w:rsidRPr="004404B0">
              <w:rPr>
                <w:color w:val="000000"/>
                <w:szCs w:val="24"/>
                <w:shd w:val="clear" w:color="auto" w:fill="FFFFFF"/>
              </w:rPr>
              <w:t xml:space="preserve"> partneri</w:t>
            </w:r>
            <w:r w:rsidR="001E4DAF">
              <w:rPr>
                <w:color w:val="000000"/>
                <w:szCs w:val="24"/>
                <w:shd w:val="clear" w:color="auto" w:fill="FFFFFF"/>
              </w:rPr>
              <w:t>e</w:t>
            </w:r>
            <w:r w:rsidRPr="004404B0">
              <w:rPr>
                <w:color w:val="000000"/>
                <w:szCs w:val="24"/>
                <w:shd w:val="clear" w:color="auto" w:fill="FFFFFF"/>
              </w:rPr>
              <w:t>m vai t</w:t>
            </w:r>
            <w:r w:rsidR="001E4DAF">
              <w:rPr>
                <w:color w:val="000000"/>
                <w:szCs w:val="24"/>
                <w:shd w:val="clear" w:color="auto" w:fill="FFFFFF"/>
              </w:rPr>
              <w:t xml:space="preserve">o </w:t>
            </w:r>
            <w:r w:rsidRPr="004404B0">
              <w:rPr>
                <w:color w:val="000000"/>
                <w:szCs w:val="24"/>
                <w:shd w:val="clear" w:color="auto" w:fill="FFFFFF"/>
              </w:rPr>
              <w:t>pārstāv</w:t>
            </w:r>
            <w:r w:rsidR="001E4DAF">
              <w:rPr>
                <w:color w:val="000000"/>
                <w:szCs w:val="24"/>
                <w:shd w:val="clear" w:color="auto" w:fill="FFFFFF"/>
              </w:rPr>
              <w:t>j</w:t>
            </w:r>
            <w:r w:rsidRPr="004404B0">
              <w:rPr>
                <w:color w:val="000000"/>
                <w:szCs w:val="24"/>
                <w:shd w:val="clear" w:color="auto" w:fill="FFFFFF"/>
              </w:rPr>
              <w:t>i</w:t>
            </w:r>
            <w:r w:rsidR="001E4DAF">
              <w:rPr>
                <w:color w:val="000000"/>
                <w:szCs w:val="24"/>
                <w:shd w:val="clear" w:color="auto" w:fill="FFFFFF"/>
              </w:rPr>
              <w:t>e</w:t>
            </w:r>
            <w:r w:rsidRPr="004404B0">
              <w:rPr>
                <w:color w:val="000000"/>
                <w:szCs w:val="24"/>
                <w:shd w:val="clear" w:color="auto" w:fill="FFFFFF"/>
              </w:rPr>
              <w:t xml:space="preserve">m var būt dažādas un atšķirīgas vajadzības attiecībā uz elektronisko rēķinos ietveramo informāciju vai izmantoto informācijas tehnoloģijas infrastruktūru, </w:t>
            </w:r>
            <w:r w:rsidR="001E4DAF">
              <w:rPr>
                <w:rFonts w:eastAsia="Times New Roman" w:cs="Times New Roman"/>
                <w:color w:val="0D0D0D"/>
                <w:szCs w:val="24"/>
                <w:lang w:eastAsia="lv-LV"/>
              </w:rPr>
              <w:t>attiecīgi</w:t>
            </w:r>
            <w:r w:rsidR="001E4DAF" w:rsidRPr="004404B0">
              <w:rPr>
                <w:rFonts w:eastAsia="Times New Roman" w:cs="Times New Roman"/>
                <w:color w:val="0D0D0D"/>
                <w:szCs w:val="24"/>
                <w:lang w:eastAsia="lv-LV"/>
              </w:rPr>
              <w:t xml:space="preserve"> </w:t>
            </w:r>
            <w:r w:rsidRPr="004404B0">
              <w:rPr>
                <w:rFonts w:eastAsia="Times New Roman" w:cs="Times New Roman"/>
                <w:color w:val="0D0D0D"/>
                <w:szCs w:val="24"/>
                <w:lang w:eastAsia="lv-LV"/>
              </w:rPr>
              <w:t>katram pasūtītājam, sabiedrisko pakalpojumu sniedzējam vai publiskajam partnerim vai tā pārstāvim pašam ir jāvērtē esošās informācijas tehnoloģijas infrastruktūras risinājumu pielāgošanas un jaunu risinājumu izveides iespēja, plānojot tam arī nepieciešamos līdzekļus</w:t>
            </w:r>
            <w:r w:rsidR="00764D2B">
              <w:rPr>
                <w:rFonts w:eastAsia="Times New Roman" w:cs="Times New Roman"/>
                <w:color w:val="0D0D0D"/>
                <w:szCs w:val="24"/>
                <w:lang w:eastAsia="lv-LV"/>
              </w:rPr>
              <w:t xml:space="preserve">. Vienkāršākais, bet vienlaikus neefektīvākais risinājums var būt saņemto </w:t>
            </w:r>
            <w:r w:rsidRPr="004404B0">
              <w:rPr>
                <w:rFonts w:eastAsia="Times New Roman" w:cs="Times New Roman"/>
                <w:color w:val="0D0D0D"/>
                <w:szCs w:val="24"/>
                <w:lang w:eastAsia="lv-LV"/>
              </w:rPr>
              <w:t xml:space="preserve">elektronisko rēķinu </w:t>
            </w:r>
            <w:r w:rsidRPr="004404B0">
              <w:rPr>
                <w:color w:val="000000"/>
                <w:szCs w:val="24"/>
                <w:shd w:val="clear" w:color="auto" w:fill="FFFFFF"/>
              </w:rPr>
              <w:t xml:space="preserve">pārvēršana cilvēklasāmā veidā </w:t>
            </w:r>
            <w:r w:rsidR="00764D2B">
              <w:rPr>
                <w:color w:val="000000"/>
                <w:szCs w:val="24"/>
                <w:shd w:val="clear" w:color="auto" w:fill="FFFFFF"/>
              </w:rPr>
              <w:t xml:space="preserve">un turpmāka apstrāde līdzīgi kā papīra dokumentu veidā saņemto rēķinu gadījumā. Daudz efektīvāks risinājums būtu </w:t>
            </w:r>
            <w:r w:rsidRPr="004404B0">
              <w:rPr>
                <w:color w:val="000000"/>
                <w:szCs w:val="24"/>
                <w:shd w:val="clear" w:color="auto" w:fill="FFFFFF"/>
              </w:rPr>
              <w:t xml:space="preserve">elektroniskā rēķina tālākas automatizētas apstrādes risinājumu </w:t>
            </w:r>
            <w:r w:rsidR="00764D2B">
              <w:rPr>
                <w:color w:val="000000"/>
                <w:szCs w:val="24"/>
                <w:shd w:val="clear" w:color="auto" w:fill="FFFFFF"/>
              </w:rPr>
              <w:t>ieviešana</w:t>
            </w:r>
            <w:r w:rsidRPr="004404B0">
              <w:rPr>
                <w:color w:val="000000"/>
                <w:szCs w:val="24"/>
                <w:shd w:val="clear" w:color="auto" w:fill="FFFFFF"/>
              </w:rPr>
              <w:t xml:space="preserve">. </w:t>
            </w:r>
          </w:p>
          <w:p w14:paraId="4E21B135" w14:textId="2ABCED89" w:rsidR="00EA539F" w:rsidRDefault="00801F5F" w:rsidP="00A534F9">
            <w:pPr>
              <w:shd w:val="clear" w:color="auto" w:fill="FFFFFF"/>
              <w:spacing w:after="0" w:line="240" w:lineRule="auto"/>
              <w:jc w:val="both"/>
              <w:rPr>
                <w:color w:val="000000" w:themeColor="text1"/>
                <w:spacing w:val="-2"/>
                <w:szCs w:val="24"/>
                <w:shd w:val="clear" w:color="auto" w:fill="FFFFFF"/>
              </w:rPr>
            </w:pPr>
            <w:r w:rsidRPr="004404B0">
              <w:t xml:space="preserve">Ar Latvijas Informācijas un komunikācijas tehnoloģijas asociācijas (LIKTA) izveidotās darba grupas locekļiem ir diskutēts, ka </w:t>
            </w:r>
            <w:r w:rsidR="003E1BCB">
              <w:t xml:space="preserve">Latvijā izrakstītajos elektroniskajos rēķinos </w:t>
            </w:r>
            <w:r w:rsidRPr="004404B0">
              <w:t xml:space="preserve">sākotnēji varētu tikt </w:t>
            </w:r>
            <w:r w:rsidR="003E1BCB">
              <w:t>ietverta rēķina datne</w:t>
            </w:r>
            <w:r w:rsidR="00D47956">
              <w:t xml:space="preserve"> </w:t>
            </w:r>
            <w:r w:rsidRPr="004404B0">
              <w:t xml:space="preserve">.pdf formātā, lai nodrošinātu elektroniskā rēķina pieejamību cilvēklasāmā formā </w:t>
            </w:r>
            <w:r w:rsidRPr="004404B0">
              <w:lastRenderedPageBreak/>
              <w:t>līdz sistēm</w:t>
            </w:r>
            <w:r w:rsidR="001E4DAF">
              <w:t>u</w:t>
            </w:r>
            <w:r w:rsidRPr="004404B0">
              <w:t xml:space="preserve"> izveidei</w:t>
            </w:r>
            <w:r w:rsidR="001E4DAF">
              <w:t xml:space="preserve"> automatizētas apstrādes nodrošināšanai</w:t>
            </w:r>
            <w:r w:rsidRPr="004404B0">
              <w:t>.</w:t>
            </w:r>
            <w:r w:rsidRPr="004404B0">
              <w:rPr>
                <w:color w:val="000000" w:themeColor="text1"/>
                <w:spacing w:val="-2"/>
                <w:szCs w:val="24"/>
                <w:shd w:val="clear" w:color="auto" w:fill="FFFFFF"/>
              </w:rPr>
              <w:t xml:space="preserve"> </w:t>
            </w:r>
            <w:r w:rsidR="003D4991" w:rsidRPr="004404B0">
              <w:rPr>
                <w:color w:val="000000" w:themeColor="text1"/>
                <w:spacing w:val="-2"/>
                <w:szCs w:val="24"/>
                <w:shd w:val="clear" w:color="auto" w:fill="FFFFFF"/>
              </w:rPr>
              <w:t>P</w:t>
            </w:r>
            <w:r w:rsidRPr="004404B0">
              <w:rPr>
                <w:color w:val="000000" w:themeColor="text1"/>
                <w:spacing w:val="-2"/>
                <w:szCs w:val="24"/>
                <w:shd w:val="clear" w:color="auto" w:fill="FFFFFF"/>
              </w:rPr>
              <w:t xml:space="preserve">asūtītāji, sabiedrisko pakalpojumu sniedzēji vai publiskie partneri vai to pārstāvji savu budžetu ietvaros var </w:t>
            </w:r>
            <w:r w:rsidR="003D4991" w:rsidRPr="004404B0">
              <w:rPr>
                <w:color w:val="000000" w:themeColor="text1"/>
                <w:spacing w:val="-2"/>
                <w:szCs w:val="24"/>
                <w:shd w:val="clear" w:color="auto" w:fill="FFFFFF"/>
              </w:rPr>
              <w:t xml:space="preserve">veikt vienkāršu integrāciju ar dokumentu vadības sistēmu un grāmatvedības sistēmu, lai tajā .xml datu struktūra būtu pieejama cilvēklasāmā veidā. Kā arī </w:t>
            </w:r>
            <w:r w:rsidR="00A13023" w:rsidRPr="004404B0">
              <w:rPr>
                <w:color w:val="000000" w:themeColor="text1"/>
                <w:spacing w:val="-2"/>
                <w:szCs w:val="24"/>
                <w:shd w:val="clear" w:color="auto" w:fill="FFFFFF"/>
              </w:rPr>
              <w:t>p</w:t>
            </w:r>
            <w:r w:rsidR="003D4991" w:rsidRPr="004404B0">
              <w:rPr>
                <w:color w:val="000000" w:themeColor="text1"/>
                <w:spacing w:val="-2"/>
                <w:szCs w:val="24"/>
                <w:shd w:val="clear" w:color="auto" w:fill="FFFFFF"/>
              </w:rPr>
              <w:t xml:space="preserve">asūtītāji, sabiedrisko pakalpojumu sniedzēji vai publiskie partneri vai to pārstāvji var izmantot </w:t>
            </w:r>
            <w:r w:rsidR="004404B0" w:rsidRPr="004404B0">
              <w:rPr>
                <w:color w:val="000000" w:themeColor="text1"/>
                <w:spacing w:val="-2"/>
                <w:szCs w:val="24"/>
                <w:shd w:val="clear" w:color="auto" w:fill="FFFFFF"/>
              </w:rPr>
              <w:t>atsevišķu</w:t>
            </w:r>
            <w:r w:rsidR="003D4991" w:rsidRPr="004404B0">
              <w:rPr>
                <w:color w:val="000000" w:themeColor="text1"/>
                <w:spacing w:val="-2"/>
                <w:szCs w:val="24"/>
                <w:shd w:val="clear" w:color="auto" w:fill="FFFFFF"/>
              </w:rPr>
              <w:t xml:space="preserve"> risinājumus</w:t>
            </w:r>
            <w:r w:rsidR="00A962B9">
              <w:rPr>
                <w:color w:val="000000" w:themeColor="text1"/>
                <w:spacing w:val="-2"/>
                <w:szCs w:val="24"/>
                <w:shd w:val="clear" w:color="auto" w:fill="FFFFFF"/>
              </w:rPr>
              <w:t xml:space="preserve"> elektronisko rēķ</w:t>
            </w:r>
            <w:r w:rsidR="001E4DAF">
              <w:rPr>
                <w:color w:val="000000" w:themeColor="text1"/>
                <w:spacing w:val="-2"/>
                <w:szCs w:val="24"/>
                <w:shd w:val="clear" w:color="auto" w:fill="FFFFFF"/>
              </w:rPr>
              <w:t>inu pārvēršanai cilvēklasāmā veidā un / vai nodošanai grāmatvedības un maksājumu sistēmām. Tāpat iespējams izstrādāt pilnībā</w:t>
            </w:r>
            <w:r w:rsidR="003D4991" w:rsidRPr="004404B0">
              <w:rPr>
                <w:color w:val="000000" w:themeColor="text1"/>
                <w:spacing w:val="-2"/>
                <w:szCs w:val="24"/>
                <w:shd w:val="clear" w:color="auto" w:fill="FFFFFF"/>
              </w:rPr>
              <w:t xml:space="preserve"> automatizētus risinājumus elektronisko rēķinu apritei (pārbaudei, saskaņošanai, apmaksai), lai</w:t>
            </w:r>
            <w:r w:rsidR="001E4DAF">
              <w:rPr>
                <w:color w:val="000000" w:themeColor="text1"/>
                <w:spacing w:val="-2"/>
                <w:szCs w:val="24"/>
                <w:shd w:val="clear" w:color="auto" w:fill="FFFFFF"/>
              </w:rPr>
              <w:t xml:space="preserve"> maksimāli</w:t>
            </w:r>
            <w:r w:rsidR="003D4991" w:rsidRPr="004404B0">
              <w:rPr>
                <w:color w:val="000000" w:themeColor="text1"/>
                <w:spacing w:val="-2"/>
                <w:szCs w:val="24"/>
                <w:shd w:val="clear" w:color="auto" w:fill="FFFFFF"/>
              </w:rPr>
              <w:t xml:space="preserve"> efektīvi nodrošinātu to apstrādi</w:t>
            </w:r>
            <w:r w:rsidR="001E4DAF">
              <w:rPr>
                <w:color w:val="000000" w:themeColor="text1"/>
                <w:spacing w:val="-2"/>
                <w:szCs w:val="24"/>
                <w:shd w:val="clear" w:color="auto" w:fill="FFFFFF"/>
              </w:rPr>
              <w:t>, samazinot cilvēkresursu patēriņu konkrētajiem procesiem.</w:t>
            </w:r>
          </w:p>
          <w:p w14:paraId="019329BA" w14:textId="642EF66D" w:rsidR="00172580" w:rsidRDefault="00172580" w:rsidP="00A534F9">
            <w:pPr>
              <w:shd w:val="clear" w:color="auto" w:fill="FFFFFF"/>
              <w:spacing w:after="0" w:line="240" w:lineRule="auto"/>
              <w:jc w:val="both"/>
              <w:rPr>
                <w:color w:val="000000" w:themeColor="text1"/>
                <w:spacing w:val="-2"/>
                <w:szCs w:val="24"/>
                <w:shd w:val="clear" w:color="auto" w:fill="FFFFFF"/>
              </w:rPr>
            </w:pPr>
          </w:p>
          <w:p w14:paraId="48A938D1" w14:textId="2A3D2AEB" w:rsidR="00BF185D" w:rsidRDefault="00764D2B" w:rsidP="00036F03">
            <w:pPr>
              <w:spacing w:after="0" w:line="240" w:lineRule="auto"/>
              <w:jc w:val="both"/>
              <w:rPr>
                <w:b/>
                <w:color w:val="000000" w:themeColor="text1"/>
                <w:spacing w:val="-2"/>
                <w:szCs w:val="24"/>
                <w:shd w:val="clear" w:color="auto" w:fill="FFFFFF"/>
              </w:rPr>
            </w:pPr>
            <w:r w:rsidRPr="00BF185D">
              <w:rPr>
                <w:b/>
                <w:color w:val="000000" w:themeColor="text1"/>
                <w:szCs w:val="24"/>
              </w:rPr>
              <w:t>Papildu uzdevumi Ministru kabineta sēdes protokollēmuma projektā</w:t>
            </w:r>
            <w:r w:rsidR="00BF185D">
              <w:rPr>
                <w:b/>
                <w:color w:val="000000" w:themeColor="text1"/>
                <w:spacing w:val="-2"/>
                <w:szCs w:val="24"/>
                <w:shd w:val="clear" w:color="auto" w:fill="FFFFFF"/>
              </w:rPr>
              <w:t>.</w:t>
            </w:r>
          </w:p>
          <w:p w14:paraId="70EE57E5" w14:textId="73C78794" w:rsidR="00764D2B" w:rsidRDefault="00172580" w:rsidP="00036F03">
            <w:pPr>
              <w:spacing w:after="0" w:line="240" w:lineRule="auto"/>
              <w:jc w:val="both"/>
              <w:rPr>
                <w:color w:val="000000" w:themeColor="text1"/>
                <w:szCs w:val="24"/>
              </w:rPr>
            </w:pPr>
            <w:r w:rsidRPr="00954F12">
              <w:rPr>
                <w:color w:val="000000" w:themeColor="text1"/>
                <w:szCs w:val="24"/>
              </w:rPr>
              <w:t>Ministru kabinets 2018.</w:t>
            </w:r>
            <w:r w:rsidR="00A962B9">
              <w:rPr>
                <w:color w:val="000000" w:themeColor="text1"/>
                <w:szCs w:val="24"/>
              </w:rPr>
              <w:t>gada 30.oktobra sēdē izskatīja i</w:t>
            </w:r>
            <w:r w:rsidRPr="00954F12">
              <w:rPr>
                <w:color w:val="000000" w:themeColor="text1"/>
                <w:szCs w:val="24"/>
              </w:rPr>
              <w:t>nformatīvo ziņojumu “Par papildu valsts budžeta saistību uzņemšanos Eiropas infrastruktūras savienošanas instrumenta (</w:t>
            </w:r>
            <w:r w:rsidRPr="00954F12">
              <w:rPr>
                <w:i/>
                <w:color w:val="000000" w:themeColor="text1"/>
                <w:szCs w:val="24"/>
              </w:rPr>
              <w:t>Connecting Europe Facility</w:t>
            </w:r>
            <w:r w:rsidRPr="00954F12">
              <w:rPr>
                <w:color w:val="000000" w:themeColor="text1"/>
                <w:szCs w:val="24"/>
              </w:rPr>
              <w:t>) līdzfinansētā projekta “Eiropas elektroniskais rēķins” (</w:t>
            </w:r>
            <w:r w:rsidRPr="00954F12">
              <w:rPr>
                <w:i/>
                <w:color w:val="000000" w:themeColor="text1"/>
                <w:szCs w:val="24"/>
              </w:rPr>
              <w:t>e-Invoices CEF Project</w:t>
            </w:r>
            <w:r w:rsidRPr="00954F12">
              <w:rPr>
                <w:color w:val="000000" w:themeColor="text1"/>
                <w:szCs w:val="24"/>
              </w:rPr>
              <w:t>) īstenošanai”</w:t>
            </w:r>
            <w:r w:rsidR="00764D2B">
              <w:rPr>
                <w:color w:val="000000" w:themeColor="text1"/>
                <w:szCs w:val="24"/>
              </w:rPr>
              <w:t>,</w:t>
            </w:r>
            <w:r w:rsidRPr="00954F12">
              <w:rPr>
                <w:color w:val="000000" w:themeColor="text1"/>
                <w:szCs w:val="24"/>
              </w:rPr>
              <w:t xml:space="preserve"> ar kuru Eiropas infrastruktūras savienošanas instrumenta (</w:t>
            </w:r>
            <w:r w:rsidRPr="00954F12">
              <w:rPr>
                <w:i/>
                <w:color w:val="000000" w:themeColor="text1"/>
                <w:szCs w:val="24"/>
              </w:rPr>
              <w:t>Connecting Europe Facility</w:t>
            </w:r>
            <w:r w:rsidRPr="00954F12">
              <w:rPr>
                <w:color w:val="000000" w:themeColor="text1"/>
                <w:szCs w:val="24"/>
              </w:rPr>
              <w:t>) līdzfinansētā projekta “Eiropas elektroniskais rēķins” (</w:t>
            </w:r>
            <w:r w:rsidRPr="00954F12">
              <w:rPr>
                <w:i/>
                <w:color w:val="000000" w:themeColor="text1"/>
                <w:szCs w:val="24"/>
              </w:rPr>
              <w:t>e-Invoices CEF Project</w:t>
            </w:r>
            <w:r w:rsidRPr="00954F12">
              <w:rPr>
                <w:color w:val="000000" w:themeColor="text1"/>
                <w:szCs w:val="24"/>
              </w:rPr>
              <w:t>) apstiprināšanas gadījumā atļau</w:t>
            </w:r>
            <w:r>
              <w:rPr>
                <w:color w:val="000000" w:themeColor="text1"/>
                <w:szCs w:val="24"/>
              </w:rPr>
              <w:t>j</w:t>
            </w:r>
            <w:r w:rsidRPr="00954F12">
              <w:rPr>
                <w:color w:val="000000" w:themeColor="text1"/>
                <w:szCs w:val="24"/>
              </w:rPr>
              <w:t xml:space="preserve"> V</w:t>
            </w:r>
            <w:r>
              <w:rPr>
                <w:color w:val="000000" w:themeColor="text1"/>
                <w:szCs w:val="24"/>
              </w:rPr>
              <w:t>alsts reģionālās attīstības aģentūrai</w:t>
            </w:r>
            <w:r w:rsidRPr="00954F12">
              <w:rPr>
                <w:color w:val="000000" w:themeColor="text1"/>
                <w:szCs w:val="24"/>
              </w:rPr>
              <w:t xml:space="preserve"> uzsākt īstenot projekta aktivitātes un uzņemties saistības projekta aktivitāšu </w:t>
            </w:r>
            <w:r w:rsidRPr="00BD541B">
              <w:rPr>
                <w:color w:val="000000" w:themeColor="text1"/>
                <w:szCs w:val="24"/>
              </w:rPr>
              <w:t>īstenošanai. Projekta ietvaros Valsts reģionālās attīstības aģentūra integrēs elektronisko rēķinu apriti vienotā sistēmā – Drošā elektroniskās piegādes platformā (e-adrese) un izveidos e-adreses slēgumu ar piegādes sistēmu, kas nodrošina elektronisko rēķinu pārrobežu saņemšanu (</w:t>
            </w:r>
            <w:r w:rsidRPr="00BD541B">
              <w:rPr>
                <w:i/>
                <w:color w:val="000000" w:themeColor="text1"/>
                <w:szCs w:val="24"/>
              </w:rPr>
              <w:t>Pan-European Public Procurement On-Line</w:t>
            </w:r>
            <w:r w:rsidRPr="00BD541B">
              <w:rPr>
                <w:color w:val="000000" w:themeColor="text1"/>
                <w:szCs w:val="24"/>
              </w:rPr>
              <w:t xml:space="preserve"> - PEPPOL), kā arī elektronisko rēķinu nodrošināšanu publisko iepirkumu procedūrās.</w:t>
            </w:r>
          </w:p>
          <w:p w14:paraId="59DA5990" w14:textId="487852F4" w:rsidR="00764D2B" w:rsidRDefault="00764D2B" w:rsidP="00036F03">
            <w:pPr>
              <w:spacing w:after="0" w:line="240" w:lineRule="auto"/>
              <w:jc w:val="both"/>
            </w:pPr>
            <w:r>
              <w:t>Protokollēmumā paredzēts uzdevums</w:t>
            </w:r>
            <w:r w:rsidRPr="00764D2B">
              <w:t>, īstenojot Eiropas infrastruktūras savienošanas instrumenta (Connecting Europe Facility) līdzfinansēto projektu “Eiropas elektroniskais rēķins” (e-Invoices CEF Project), sagatavot un</w:t>
            </w:r>
            <w:r w:rsidR="0046243F">
              <w:t xml:space="preserve"> Vides aizsardzības un reģionālās attīstības ministrijai un Finanšu ministrijai</w:t>
            </w:r>
            <w:r w:rsidRPr="00764D2B">
              <w:t xml:space="preserve"> atbilstoši kompetencei noteiktā kārtībā iesniegt Ministru kabinetā nepieciešamos grozījumus normatīvajos aktos, nosakot, ka tiešās pārvaldes iestādes elektronisko rēķinu saņemšanai izmanto tikai projekta ietvaros radītos elektronisko rēķinu piegādes risinājumus.</w:t>
            </w:r>
          </w:p>
          <w:p w14:paraId="43E22B3C" w14:textId="2DEF749D" w:rsidR="005717B0" w:rsidRPr="005717B0" w:rsidRDefault="005717B0" w:rsidP="005717B0">
            <w:pPr>
              <w:spacing w:after="0" w:line="240" w:lineRule="auto"/>
              <w:jc w:val="both"/>
              <w:rPr>
                <w:color w:val="000000" w:themeColor="text1"/>
                <w:szCs w:val="24"/>
              </w:rPr>
            </w:pPr>
            <w:r w:rsidRPr="005717B0">
              <w:rPr>
                <w:color w:val="000000" w:themeColor="text1"/>
                <w:szCs w:val="24"/>
              </w:rPr>
              <w:t xml:space="preserve">Lai nodrošinātu ērtu elektronisko rēķinu saņemšanu no ārvalstīs patstāvīgi dzīvojošiem vai reģistrētiem piegādātājiem, ir paredzēts, ka Valsts reģionālās attīstības aģentūra, īstenojot  </w:t>
            </w:r>
            <w:r w:rsidRPr="005717B0">
              <w:rPr>
                <w:bCs/>
                <w:color w:val="000000" w:themeColor="text1"/>
                <w:szCs w:val="24"/>
              </w:rPr>
              <w:t>Eiropas infrastruktūras savienošanas instrumenta (</w:t>
            </w:r>
            <w:r w:rsidRPr="005717B0">
              <w:rPr>
                <w:bCs/>
                <w:i/>
                <w:color w:val="000000" w:themeColor="text1"/>
                <w:szCs w:val="24"/>
              </w:rPr>
              <w:t>Connecting Europe Facility</w:t>
            </w:r>
            <w:r w:rsidRPr="005717B0">
              <w:rPr>
                <w:bCs/>
                <w:color w:val="000000" w:themeColor="text1"/>
                <w:szCs w:val="24"/>
              </w:rPr>
              <w:t>) līdzfinansēto projektu “Eiropas elektroniskais rēķins” (</w:t>
            </w:r>
            <w:r w:rsidRPr="005717B0">
              <w:rPr>
                <w:bCs/>
                <w:i/>
                <w:color w:val="000000" w:themeColor="text1"/>
                <w:szCs w:val="24"/>
              </w:rPr>
              <w:t>e-Invoices CEF Project</w:t>
            </w:r>
            <w:r w:rsidRPr="005717B0">
              <w:rPr>
                <w:bCs/>
                <w:color w:val="000000" w:themeColor="text1"/>
                <w:szCs w:val="24"/>
              </w:rPr>
              <w:t xml:space="preserve">), nodrošina izstrādājamā risinājuma integrēšanu ar PEPPOL elektronisko rēķinu piegādes infrastruktūru, par kuras izmantošanu ir veicama </w:t>
            </w:r>
            <w:r w:rsidRPr="005717B0">
              <w:rPr>
                <w:bCs/>
                <w:color w:val="000000" w:themeColor="text1"/>
                <w:szCs w:val="24"/>
              </w:rPr>
              <w:lastRenderedPageBreak/>
              <w:t xml:space="preserve">samaksa. Vienlaikus šajā brīdī nav iespējams precīzi noteikt izmaksas, bet tās indikatīvi ir noteiktas līdz  </w:t>
            </w:r>
            <w:r w:rsidRPr="005717B0">
              <w:rPr>
                <w:color w:val="000000" w:themeColor="text1"/>
                <w:szCs w:val="24"/>
              </w:rPr>
              <w:t xml:space="preserve">60 000 </w:t>
            </w:r>
            <w:r w:rsidRPr="005717B0">
              <w:rPr>
                <w:i/>
                <w:color w:val="000000" w:themeColor="text1"/>
                <w:szCs w:val="24"/>
              </w:rPr>
              <w:t>euro</w:t>
            </w:r>
            <w:r w:rsidRPr="005717B0">
              <w:rPr>
                <w:color w:val="000000" w:themeColor="text1"/>
                <w:szCs w:val="24"/>
              </w:rPr>
              <w:t xml:space="preserve"> katru gadu. Iesniedzot minēto jautājumu lēmuma pieņemšanai par finansējuma piešķiršanu, Vides aizsardzības un reģionālās attīstības ministrijai jāaktualizē un jādetalizē informācija par nepieciešamo finansējumu atbilstoši faktiskajai nepieciešamībai. Attiecīgi protokollēmumā ir paredzēts, ka jautājums par papildus nepieciešamā finansējuma piešķiršanu Valsts reģionālās attīstības aģentūrai indikatīvi 60 000 </w:t>
            </w:r>
            <w:r w:rsidRPr="005717B0">
              <w:rPr>
                <w:i/>
                <w:color w:val="000000" w:themeColor="text1"/>
                <w:szCs w:val="24"/>
              </w:rPr>
              <w:t>euro</w:t>
            </w:r>
            <w:r w:rsidRPr="005717B0">
              <w:rPr>
                <w:color w:val="000000" w:themeColor="text1"/>
                <w:szCs w:val="24"/>
              </w:rPr>
              <w:t xml:space="preserve"> katru gadu (kā maksu PEPPOL (</w:t>
            </w:r>
            <w:r w:rsidRPr="005717B0">
              <w:rPr>
                <w:i/>
                <w:color w:val="000000" w:themeColor="text1"/>
                <w:szCs w:val="24"/>
              </w:rPr>
              <w:t>Pan European Public Procurement On-Line</w:t>
            </w:r>
            <w:r w:rsidRPr="005717B0">
              <w:rPr>
                <w:color w:val="000000" w:themeColor="text1"/>
                <w:szCs w:val="24"/>
              </w:rPr>
              <w:t>) par sniegto pakalpojumu) izskatāms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ievērojot valsts budžeta finansiālās iespējas.</w:t>
            </w:r>
          </w:p>
          <w:p w14:paraId="68520957" w14:textId="241B5DF2" w:rsidR="005717B0" w:rsidRDefault="005717B0" w:rsidP="00BF185D">
            <w:pPr>
              <w:spacing w:after="0" w:line="240" w:lineRule="auto"/>
              <w:jc w:val="both"/>
              <w:rPr>
                <w:color w:val="000000" w:themeColor="text1"/>
                <w:szCs w:val="24"/>
              </w:rPr>
            </w:pPr>
            <w:r w:rsidRPr="005717B0">
              <w:rPr>
                <w:color w:val="000000" w:themeColor="text1"/>
                <w:szCs w:val="24"/>
              </w:rPr>
              <w:t>Vienlaikus Vides aizsardzības un reģionālās attīstības ministrija ir aktualizējusi jautājumu par cilvēkresursiem, kas nepieciešami Eiropas infrastruktūras savienošanas instrumenta (</w:t>
            </w:r>
            <w:r w:rsidRPr="005717B0">
              <w:rPr>
                <w:i/>
                <w:color w:val="000000" w:themeColor="text1"/>
                <w:szCs w:val="24"/>
              </w:rPr>
              <w:t>Connecting Europe Facility</w:t>
            </w:r>
            <w:r w:rsidRPr="005717B0">
              <w:rPr>
                <w:color w:val="000000" w:themeColor="text1"/>
                <w:szCs w:val="24"/>
              </w:rPr>
              <w:t>) līdzfinansētā projekta “Eiropas elektroniskais rēķins” (</w:t>
            </w:r>
            <w:r w:rsidRPr="005717B0">
              <w:rPr>
                <w:i/>
                <w:color w:val="000000" w:themeColor="text1"/>
                <w:szCs w:val="24"/>
              </w:rPr>
              <w:t>e-Invoices CEF Project</w:t>
            </w:r>
            <w:r w:rsidRPr="005717B0">
              <w:rPr>
                <w:color w:val="000000" w:themeColor="text1"/>
                <w:szCs w:val="24"/>
              </w:rPr>
              <w:t xml:space="preserve">) īstenošanai un rezultātu uzturēšanai. Papildu jaunas amata vietas netiek atļauts izveidot, vienlaikus Vides aizsardzības un reģionālās attīstības ministrijai ir iespēja risināt jautājumu par amata vietu un finansējuma pārdali minētajam mērķim. Attiecīgi protokollēmumā papildus tiek noteikts, ka, lai nodrošinātu finansējumu Valsts reģionālās attīstības aģentūrai 2020.gadā  indikatīvi 73 129 </w:t>
            </w:r>
            <w:r w:rsidRPr="005717B0">
              <w:rPr>
                <w:i/>
                <w:color w:val="000000" w:themeColor="text1"/>
                <w:szCs w:val="24"/>
              </w:rPr>
              <w:t>euro</w:t>
            </w:r>
            <w:r w:rsidRPr="005717B0">
              <w:rPr>
                <w:color w:val="000000" w:themeColor="text1"/>
                <w:szCs w:val="24"/>
              </w:rPr>
              <w:t xml:space="preserve"> (divām amata vietām par sistēmas ieviešanu) un uzturēšanai posmā no 2021.gada 1.janvāra indikatīvi 67 575 </w:t>
            </w:r>
            <w:r w:rsidRPr="005717B0">
              <w:rPr>
                <w:i/>
                <w:color w:val="000000" w:themeColor="text1"/>
                <w:szCs w:val="24"/>
              </w:rPr>
              <w:t>euro</w:t>
            </w:r>
            <w:r w:rsidRPr="005717B0">
              <w:rPr>
                <w:color w:val="000000" w:themeColor="text1"/>
                <w:szCs w:val="24"/>
              </w:rPr>
              <w:t xml:space="preserve"> (divām amata vietām par sistēmas uzturēšanu), kas ir nepieciešams papildus Eiropas infrastruktūras savienošanas instrumenta (</w:t>
            </w:r>
            <w:r w:rsidRPr="005717B0">
              <w:rPr>
                <w:i/>
                <w:color w:val="000000" w:themeColor="text1"/>
                <w:szCs w:val="24"/>
              </w:rPr>
              <w:t>Connecting Europe Facility</w:t>
            </w:r>
            <w:r w:rsidRPr="005717B0">
              <w:rPr>
                <w:color w:val="000000" w:themeColor="text1"/>
                <w:szCs w:val="24"/>
              </w:rPr>
              <w:t>) līdzfinansētā projekta “Eiropas elektroniskais rēķins” (</w:t>
            </w:r>
            <w:r w:rsidRPr="005717B0">
              <w:rPr>
                <w:i/>
                <w:color w:val="000000" w:themeColor="text1"/>
                <w:szCs w:val="24"/>
              </w:rPr>
              <w:t>e-Invoices CEF Project</w:t>
            </w:r>
            <w:r w:rsidRPr="005717B0">
              <w:rPr>
                <w:color w:val="000000" w:themeColor="text1"/>
                <w:szCs w:val="24"/>
              </w:rPr>
              <w:t xml:space="preserve">) īstenošanai paredzētajam finansējumam, </w:t>
            </w:r>
            <w:r w:rsidRPr="00E75FEE">
              <w:rPr>
                <w:rFonts w:cs="Times New Roman"/>
                <w:bCs/>
                <w:szCs w:val="24"/>
              </w:rPr>
              <w:t>Vides aizsardzības un reģionālas attīstības ministrija</w:t>
            </w:r>
            <w:r>
              <w:rPr>
                <w:rFonts w:cs="Times New Roman"/>
                <w:bCs/>
                <w:szCs w:val="24"/>
              </w:rPr>
              <w:t>i</w:t>
            </w:r>
            <w:r w:rsidRPr="005717B0">
              <w:rPr>
                <w:color w:val="000000" w:themeColor="text1"/>
                <w:szCs w:val="24"/>
              </w:rPr>
              <w:t xml:space="preserve"> sagatavot un noteiktā kārtībā iesniegt izskatīšanai Ministru kabineta sēdē priekšlikumus finansējuma un amata vietu pārdalei.</w:t>
            </w:r>
          </w:p>
          <w:p w14:paraId="2478BD94" w14:textId="05E8F55C" w:rsidR="005D1710" w:rsidRPr="00BF185D" w:rsidRDefault="00E31C8F" w:rsidP="00BF185D">
            <w:pPr>
              <w:spacing w:after="0" w:line="240" w:lineRule="auto"/>
              <w:jc w:val="both"/>
              <w:rPr>
                <w:color w:val="000000" w:themeColor="text1"/>
                <w:szCs w:val="24"/>
              </w:rPr>
            </w:pPr>
            <w:r w:rsidRPr="00D53E28">
              <w:rPr>
                <w:rFonts w:eastAsia="Times New Roman"/>
                <w:color w:val="000000" w:themeColor="text1"/>
              </w:rPr>
              <w:t>Vienlaikus ar protkollēmumu tiek paredzēts</w:t>
            </w:r>
            <w:r w:rsidRPr="00D53E28">
              <w:rPr>
                <w:color w:val="000000" w:themeColor="text1"/>
              </w:rPr>
              <w:t xml:space="preserve">, ka </w:t>
            </w:r>
            <w:r w:rsidR="00036F03" w:rsidRPr="00B45E64">
              <w:t>Valsts ie</w:t>
            </w:r>
            <w:r w:rsidR="00036F03">
              <w:t>ņēmumu dienests</w:t>
            </w:r>
            <w:r w:rsidR="00036F03" w:rsidRPr="00B45E64">
              <w:t xml:space="preserve"> līdz 2019.gada 1.oktobrim </w:t>
            </w:r>
            <w:r w:rsidR="00036F03">
              <w:t>izvērtē un informē</w:t>
            </w:r>
            <w:r w:rsidR="00036F03" w:rsidRPr="00B45E64">
              <w:t xml:space="preserve"> Ministru kabinetu par informācijas sistēmu pielāgošanu elektronisko rēķinu saņemšanai un apstrādei nodokļu administrēšanas vajadzībām.</w:t>
            </w:r>
            <w:r w:rsidR="006753D1">
              <w:t xml:space="preserve"> </w:t>
            </w:r>
          </w:p>
        </w:tc>
      </w:tr>
      <w:tr w:rsidR="0037321C" w:rsidRPr="00E01332" w14:paraId="74DB6B9B" w14:textId="77777777" w:rsidTr="00CD671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F82A6EA" w14:textId="77777777" w:rsidR="00894C55" w:rsidRPr="00E01332" w:rsidRDefault="00894C55" w:rsidP="000D5B9E">
            <w:pPr>
              <w:spacing w:after="60" w:line="240" w:lineRule="auto"/>
              <w:jc w:val="center"/>
              <w:rPr>
                <w:rFonts w:eastAsia="Times New Roman" w:cs="Times New Roman"/>
                <w:szCs w:val="24"/>
                <w:lang w:eastAsia="lv-LV"/>
              </w:rPr>
            </w:pPr>
            <w:r w:rsidRPr="00E01332">
              <w:rPr>
                <w:rFonts w:eastAsia="Times New Roman" w:cs="Times New Roman"/>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024A51E1" w14:textId="7E75F8AA" w:rsidR="00894C55" w:rsidRPr="00E01332" w:rsidRDefault="003765F2" w:rsidP="003765F2">
            <w:pPr>
              <w:rPr>
                <w:rFonts w:eastAsia="Times New Roman" w:cs="Times New Roman"/>
                <w:szCs w:val="24"/>
                <w:lang w:eastAsia="lv-LV"/>
              </w:rPr>
            </w:pPr>
            <w:r w:rsidRPr="003765F2">
              <w:rPr>
                <w:rFonts w:eastAsia="Times New Roman" w:cs="Times New Roman"/>
                <w:szCs w:val="24"/>
                <w:lang w:eastAsia="lv-LV"/>
              </w:rPr>
              <w:t>Projekta izstrādē iesaistītās institūcijas un publis</w:t>
            </w:r>
            <w:r>
              <w:rPr>
                <w:rFonts w:eastAsia="Times New Roman" w:cs="Times New Roman"/>
                <w:szCs w:val="24"/>
                <w:lang w:eastAsia="lv-LV"/>
              </w:rPr>
              <w:t>kas personas kapitālsabiedrības</w:t>
            </w:r>
          </w:p>
        </w:tc>
        <w:tc>
          <w:tcPr>
            <w:tcW w:w="3373" w:type="pct"/>
            <w:tcBorders>
              <w:top w:val="outset" w:sz="6" w:space="0" w:color="414142"/>
              <w:left w:val="outset" w:sz="6" w:space="0" w:color="414142"/>
              <w:bottom w:val="outset" w:sz="6" w:space="0" w:color="414142"/>
              <w:right w:val="outset" w:sz="6" w:space="0" w:color="414142"/>
            </w:tcBorders>
            <w:hideMark/>
          </w:tcPr>
          <w:p w14:paraId="7833C361" w14:textId="42556475" w:rsidR="00894C55" w:rsidRPr="00E01332" w:rsidRDefault="00905F02" w:rsidP="000D5B9E">
            <w:pPr>
              <w:spacing w:after="60" w:line="240" w:lineRule="auto"/>
              <w:rPr>
                <w:rFonts w:eastAsia="Times New Roman" w:cs="Times New Roman"/>
                <w:szCs w:val="24"/>
                <w:lang w:eastAsia="lv-LV"/>
              </w:rPr>
            </w:pPr>
            <w:r w:rsidRPr="00E01332">
              <w:rPr>
                <w:rFonts w:cs="Times New Roman"/>
                <w:szCs w:val="24"/>
              </w:rPr>
              <w:t xml:space="preserve">Finanšu ministrija, </w:t>
            </w:r>
            <w:r w:rsidR="003765F2">
              <w:rPr>
                <w:rFonts w:cs="Times New Roman"/>
                <w:szCs w:val="24"/>
              </w:rPr>
              <w:t xml:space="preserve">Valsts kase, </w:t>
            </w:r>
            <w:r w:rsidRPr="00E01332">
              <w:rPr>
                <w:rFonts w:cs="Times New Roman"/>
                <w:szCs w:val="24"/>
              </w:rPr>
              <w:t>Iepirkumu uzraudzības birojs.</w:t>
            </w:r>
          </w:p>
        </w:tc>
      </w:tr>
      <w:tr w:rsidR="0037321C" w:rsidRPr="00E01332" w14:paraId="6B8FC446" w14:textId="77777777" w:rsidTr="00CD6713">
        <w:tc>
          <w:tcPr>
            <w:tcW w:w="250" w:type="pct"/>
            <w:tcBorders>
              <w:top w:val="outset" w:sz="6" w:space="0" w:color="414142"/>
              <w:left w:val="outset" w:sz="6" w:space="0" w:color="414142"/>
              <w:bottom w:val="outset" w:sz="6" w:space="0" w:color="414142"/>
              <w:right w:val="outset" w:sz="6" w:space="0" w:color="414142"/>
            </w:tcBorders>
            <w:hideMark/>
          </w:tcPr>
          <w:p w14:paraId="20BC0489" w14:textId="77777777" w:rsidR="00894C55" w:rsidRPr="00E01332" w:rsidRDefault="00894C55" w:rsidP="000D5B9E">
            <w:pPr>
              <w:spacing w:after="60" w:line="240" w:lineRule="auto"/>
              <w:jc w:val="center"/>
              <w:rPr>
                <w:rFonts w:eastAsia="Times New Roman" w:cs="Times New Roman"/>
                <w:szCs w:val="24"/>
                <w:lang w:eastAsia="lv-LV"/>
              </w:rPr>
            </w:pPr>
            <w:r w:rsidRPr="00E01332">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6806AC8C" w14:textId="77777777" w:rsidR="00894C55" w:rsidRPr="00E01332" w:rsidRDefault="00894C55" w:rsidP="000D5B9E">
            <w:pPr>
              <w:spacing w:after="60" w:line="240" w:lineRule="auto"/>
              <w:rPr>
                <w:rFonts w:eastAsia="Times New Roman" w:cs="Times New Roman"/>
                <w:szCs w:val="24"/>
                <w:lang w:eastAsia="lv-LV"/>
              </w:rPr>
            </w:pPr>
            <w:r w:rsidRPr="00E01332">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63165A36" w14:textId="77777777" w:rsidR="00894C55" w:rsidRPr="00E01332" w:rsidRDefault="00BC2B19" w:rsidP="000D5B9E">
            <w:pPr>
              <w:spacing w:after="60" w:line="240" w:lineRule="auto"/>
              <w:rPr>
                <w:rFonts w:eastAsia="Times New Roman" w:cs="Times New Roman"/>
                <w:szCs w:val="24"/>
                <w:lang w:eastAsia="lv-LV"/>
              </w:rPr>
            </w:pPr>
            <w:r w:rsidRPr="00E01332">
              <w:rPr>
                <w:rFonts w:eastAsia="Times New Roman" w:cs="Times New Roman"/>
                <w:szCs w:val="24"/>
                <w:lang w:eastAsia="lv-LV"/>
              </w:rPr>
              <w:t>Nav.</w:t>
            </w:r>
          </w:p>
        </w:tc>
      </w:tr>
    </w:tbl>
    <w:p w14:paraId="3F0D70D9" w14:textId="5E998C87" w:rsidR="0037321C" w:rsidRPr="00E01332" w:rsidRDefault="0037321C" w:rsidP="000A1FBF">
      <w:pPr>
        <w:shd w:val="clear" w:color="auto" w:fill="FFFFFF"/>
        <w:spacing w:after="0" w:line="240" w:lineRule="auto"/>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3"/>
        <w:gridCol w:w="2595"/>
        <w:gridCol w:w="5967"/>
      </w:tblGrid>
      <w:tr w:rsidR="0037321C" w:rsidRPr="00E01332" w14:paraId="33AD4FD7"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AF0DB3" w14:textId="77777777" w:rsidR="00894C55" w:rsidRPr="00E01332" w:rsidRDefault="00894C55" w:rsidP="000D5B9E">
            <w:pPr>
              <w:spacing w:after="0" w:line="240" w:lineRule="auto"/>
              <w:jc w:val="center"/>
              <w:rPr>
                <w:rFonts w:eastAsia="Times New Roman" w:cs="Times New Roman"/>
                <w:b/>
                <w:bCs/>
                <w:szCs w:val="24"/>
                <w:lang w:eastAsia="lv-LV"/>
              </w:rPr>
            </w:pPr>
            <w:r w:rsidRPr="00E01332">
              <w:rPr>
                <w:rFonts w:eastAsia="Times New Roman" w:cs="Times New Roman"/>
                <w:b/>
                <w:bCs/>
                <w:szCs w:val="24"/>
                <w:lang w:eastAsia="lv-LV"/>
              </w:rPr>
              <w:lastRenderedPageBreak/>
              <w:t>II.</w:t>
            </w:r>
            <w:r w:rsidR="0050178F" w:rsidRPr="00E01332">
              <w:rPr>
                <w:rFonts w:eastAsia="Times New Roman" w:cs="Times New Roman"/>
                <w:b/>
                <w:bCs/>
                <w:szCs w:val="24"/>
                <w:lang w:eastAsia="lv-LV"/>
              </w:rPr>
              <w:t> </w:t>
            </w:r>
            <w:r w:rsidRPr="00E01332">
              <w:rPr>
                <w:rFonts w:eastAsia="Times New Roman" w:cs="Times New Roman"/>
                <w:b/>
                <w:bCs/>
                <w:szCs w:val="24"/>
                <w:lang w:eastAsia="lv-LV"/>
              </w:rPr>
              <w:t>Tiesību akta projekta ietekme uz sabiedrību, tautsaimniecības attīstību un administratīvo slogu</w:t>
            </w:r>
          </w:p>
        </w:tc>
      </w:tr>
      <w:tr w:rsidR="0037321C" w:rsidRPr="00E01332" w14:paraId="75A9A348" w14:textId="77777777" w:rsidTr="003759B0">
        <w:trPr>
          <w:trHeight w:val="372"/>
        </w:trPr>
        <w:tc>
          <w:tcPr>
            <w:tcW w:w="272" w:type="pct"/>
            <w:tcBorders>
              <w:top w:val="outset" w:sz="6" w:space="0" w:color="414142"/>
              <w:left w:val="outset" w:sz="6" w:space="0" w:color="414142"/>
              <w:bottom w:val="outset" w:sz="6" w:space="0" w:color="414142"/>
              <w:right w:val="outset" w:sz="6" w:space="0" w:color="414142"/>
            </w:tcBorders>
            <w:hideMark/>
          </w:tcPr>
          <w:p w14:paraId="1ADCAD59" w14:textId="77777777" w:rsidR="00894C55" w:rsidRPr="00E01332" w:rsidRDefault="00894C55" w:rsidP="000D5B9E">
            <w:pPr>
              <w:spacing w:after="0" w:line="240" w:lineRule="auto"/>
              <w:jc w:val="center"/>
              <w:rPr>
                <w:rFonts w:eastAsia="Times New Roman" w:cs="Times New Roman"/>
                <w:szCs w:val="24"/>
                <w:lang w:eastAsia="lv-LV"/>
              </w:rPr>
            </w:pPr>
            <w:r w:rsidRPr="00E01332">
              <w:rPr>
                <w:rFonts w:eastAsia="Times New Roman" w:cs="Times New Roman"/>
                <w:szCs w:val="24"/>
                <w:lang w:eastAsia="lv-LV"/>
              </w:rPr>
              <w:t>1.</w:t>
            </w:r>
          </w:p>
        </w:tc>
        <w:tc>
          <w:tcPr>
            <w:tcW w:w="1433" w:type="pct"/>
            <w:tcBorders>
              <w:top w:val="outset" w:sz="6" w:space="0" w:color="414142"/>
              <w:left w:val="outset" w:sz="6" w:space="0" w:color="414142"/>
              <w:bottom w:val="outset" w:sz="6" w:space="0" w:color="414142"/>
              <w:right w:val="outset" w:sz="6" w:space="0" w:color="414142"/>
            </w:tcBorders>
            <w:hideMark/>
          </w:tcPr>
          <w:p w14:paraId="1EF2E954" w14:textId="77777777" w:rsidR="00894C55" w:rsidRPr="00E01332" w:rsidRDefault="00894C55" w:rsidP="000D5B9E">
            <w:pPr>
              <w:spacing w:after="0" w:line="240" w:lineRule="auto"/>
              <w:rPr>
                <w:rFonts w:eastAsia="Times New Roman" w:cs="Times New Roman"/>
                <w:szCs w:val="24"/>
                <w:lang w:eastAsia="lv-LV"/>
              </w:rPr>
            </w:pPr>
            <w:r w:rsidRPr="00E01332">
              <w:rPr>
                <w:rFonts w:eastAsia="Times New Roman" w:cs="Times New Roman"/>
                <w:szCs w:val="24"/>
                <w:lang w:eastAsia="lv-LV"/>
              </w:rPr>
              <w:t>Sabiedrības mērķgrupas, kuras tiesiskais regulējums ietekmē vai varētu ietekmēt</w:t>
            </w:r>
          </w:p>
        </w:tc>
        <w:tc>
          <w:tcPr>
            <w:tcW w:w="3295" w:type="pct"/>
            <w:tcBorders>
              <w:top w:val="outset" w:sz="6" w:space="0" w:color="414142"/>
              <w:left w:val="outset" w:sz="6" w:space="0" w:color="414142"/>
              <w:bottom w:val="outset" w:sz="6" w:space="0" w:color="414142"/>
              <w:right w:val="outset" w:sz="6" w:space="0" w:color="414142"/>
            </w:tcBorders>
            <w:hideMark/>
          </w:tcPr>
          <w:p w14:paraId="315A70E4" w14:textId="2DEFCAAA" w:rsidR="00166980" w:rsidRPr="00E01332" w:rsidRDefault="003765F2" w:rsidP="000A1FBF">
            <w:pPr>
              <w:spacing w:after="60" w:line="240" w:lineRule="auto"/>
              <w:ind w:right="57"/>
              <w:jc w:val="both"/>
              <w:rPr>
                <w:rFonts w:eastAsia="Times New Roman" w:cs="Times New Roman"/>
                <w:szCs w:val="24"/>
                <w:lang w:eastAsia="lv-LV"/>
              </w:rPr>
            </w:pPr>
            <w:r>
              <w:rPr>
                <w:color w:val="000000"/>
                <w:shd w:val="clear" w:color="auto" w:fill="FFFFFF"/>
              </w:rPr>
              <w:t>Publiskās per</w:t>
            </w:r>
            <w:r w:rsidRPr="003765F2">
              <w:rPr>
                <w:rFonts w:cs="Times New Roman"/>
                <w:color w:val="000000"/>
                <w:szCs w:val="24"/>
                <w:shd w:val="clear" w:color="auto" w:fill="FFFFFF"/>
              </w:rPr>
              <w:t xml:space="preserve">sonas </w:t>
            </w:r>
            <w:r w:rsidR="000A1FBF">
              <w:rPr>
                <w:rFonts w:cs="Times New Roman"/>
                <w:color w:val="000000"/>
                <w:szCs w:val="24"/>
                <w:shd w:val="clear" w:color="auto" w:fill="FFFFFF"/>
              </w:rPr>
              <w:t xml:space="preserve">un </w:t>
            </w:r>
            <w:r w:rsidRPr="003765F2">
              <w:t>to kapitālsabiedrības un sabiedrisko pakalpojumu sniedzēji Sabiedrisko pakalpojumu sniedzēju iepirkumu likuma izpratnē</w:t>
            </w:r>
            <w:r w:rsidR="003759B0" w:rsidRPr="003765F2">
              <w:t>.</w:t>
            </w:r>
            <w:r w:rsidR="003759B0" w:rsidRPr="003765F2">
              <w:rPr>
                <w:rFonts w:cs="Times New Roman"/>
                <w:color w:val="000000"/>
                <w:szCs w:val="24"/>
                <w:shd w:val="clear" w:color="auto" w:fill="FFFFFF"/>
              </w:rPr>
              <w:t xml:space="preserve"> Juridiskas </w:t>
            </w:r>
            <w:r w:rsidR="003759B0">
              <w:rPr>
                <w:color w:val="000000"/>
                <w:shd w:val="clear" w:color="auto" w:fill="FFFFFF"/>
              </w:rPr>
              <w:t xml:space="preserve">un fiziskas personas, kas </w:t>
            </w:r>
            <w:r w:rsidR="00A227D6">
              <w:rPr>
                <w:color w:val="000000"/>
                <w:shd w:val="clear" w:color="auto" w:fill="FFFFFF"/>
              </w:rPr>
              <w:t>izlems rēķinus iesniegt elektroniskā veidā</w:t>
            </w:r>
            <w:r w:rsidR="003759B0">
              <w:rPr>
                <w:color w:val="000000"/>
                <w:shd w:val="clear" w:color="auto" w:fill="FFFFFF"/>
              </w:rPr>
              <w:t>.</w:t>
            </w:r>
          </w:p>
        </w:tc>
      </w:tr>
      <w:tr w:rsidR="0037321C" w:rsidRPr="00E01332" w14:paraId="453B417A" w14:textId="77777777" w:rsidTr="003759B0">
        <w:trPr>
          <w:trHeight w:val="408"/>
        </w:trPr>
        <w:tc>
          <w:tcPr>
            <w:tcW w:w="272" w:type="pct"/>
            <w:tcBorders>
              <w:top w:val="outset" w:sz="6" w:space="0" w:color="414142"/>
              <w:left w:val="outset" w:sz="6" w:space="0" w:color="414142"/>
              <w:bottom w:val="outset" w:sz="6" w:space="0" w:color="414142"/>
              <w:right w:val="outset" w:sz="6" w:space="0" w:color="414142"/>
            </w:tcBorders>
            <w:hideMark/>
          </w:tcPr>
          <w:p w14:paraId="07E9F3CD" w14:textId="77777777" w:rsidR="00894C55" w:rsidRPr="00E01332" w:rsidRDefault="00894C55" w:rsidP="000D5B9E">
            <w:pPr>
              <w:spacing w:after="60" w:line="240" w:lineRule="auto"/>
              <w:jc w:val="center"/>
              <w:rPr>
                <w:rFonts w:eastAsia="Times New Roman" w:cs="Times New Roman"/>
                <w:szCs w:val="24"/>
                <w:lang w:eastAsia="lv-LV"/>
              </w:rPr>
            </w:pPr>
            <w:r w:rsidRPr="00E01332">
              <w:rPr>
                <w:rFonts w:eastAsia="Times New Roman" w:cs="Times New Roman"/>
                <w:szCs w:val="24"/>
                <w:lang w:eastAsia="lv-LV"/>
              </w:rPr>
              <w:t>2.</w:t>
            </w:r>
          </w:p>
        </w:tc>
        <w:tc>
          <w:tcPr>
            <w:tcW w:w="1433" w:type="pct"/>
            <w:tcBorders>
              <w:top w:val="outset" w:sz="6" w:space="0" w:color="414142"/>
              <w:left w:val="outset" w:sz="6" w:space="0" w:color="414142"/>
              <w:bottom w:val="outset" w:sz="6" w:space="0" w:color="414142"/>
              <w:right w:val="outset" w:sz="6" w:space="0" w:color="414142"/>
            </w:tcBorders>
            <w:hideMark/>
          </w:tcPr>
          <w:p w14:paraId="353AAFA7" w14:textId="77777777" w:rsidR="00894C55" w:rsidRPr="00E01332" w:rsidRDefault="00894C55" w:rsidP="000D5B9E">
            <w:pPr>
              <w:spacing w:after="60" w:line="240" w:lineRule="auto"/>
              <w:rPr>
                <w:rFonts w:eastAsia="Times New Roman" w:cs="Times New Roman"/>
                <w:szCs w:val="24"/>
                <w:lang w:eastAsia="lv-LV"/>
              </w:rPr>
            </w:pPr>
            <w:r w:rsidRPr="00E01332">
              <w:rPr>
                <w:rFonts w:eastAsia="Times New Roman" w:cs="Times New Roman"/>
                <w:szCs w:val="24"/>
                <w:lang w:eastAsia="lv-LV"/>
              </w:rPr>
              <w:t>Tiesiskā regulējuma ietekme uz tautsaimniecību un administratīvo slogu</w:t>
            </w:r>
          </w:p>
        </w:tc>
        <w:tc>
          <w:tcPr>
            <w:tcW w:w="3295" w:type="pct"/>
            <w:tcBorders>
              <w:top w:val="outset" w:sz="6" w:space="0" w:color="414142"/>
              <w:left w:val="outset" w:sz="6" w:space="0" w:color="414142"/>
              <w:bottom w:val="outset" w:sz="6" w:space="0" w:color="414142"/>
              <w:right w:val="outset" w:sz="6" w:space="0" w:color="414142"/>
            </w:tcBorders>
            <w:hideMark/>
          </w:tcPr>
          <w:p w14:paraId="27716BA4" w14:textId="3E7D0547" w:rsidR="00894C55" w:rsidRPr="00EF5E1A" w:rsidRDefault="003759B0" w:rsidP="003759B0">
            <w:pPr>
              <w:shd w:val="clear" w:color="auto" w:fill="FFFFFF"/>
              <w:spacing w:after="0" w:line="240" w:lineRule="auto"/>
              <w:jc w:val="both"/>
              <w:rPr>
                <w:rFonts w:eastAsia="Times New Roman" w:cs="Times New Roman"/>
                <w:color w:val="000000"/>
                <w:szCs w:val="24"/>
                <w:lang w:eastAsia="lv-LV"/>
              </w:rPr>
            </w:pPr>
            <w:r w:rsidRPr="003759B0">
              <w:rPr>
                <w:rFonts w:eastAsia="Times New Roman" w:cs="Times New Roman"/>
                <w:color w:val="000000"/>
                <w:szCs w:val="24"/>
                <w:lang w:eastAsia="lv-LV"/>
              </w:rPr>
              <w:t xml:space="preserve">Administratīvais slogs </w:t>
            </w:r>
            <w:r w:rsidR="003765F2">
              <w:rPr>
                <w:rFonts w:eastAsia="Times New Roman" w:cs="Times New Roman"/>
                <w:color w:val="000000"/>
                <w:szCs w:val="24"/>
                <w:lang w:eastAsia="lv-LV"/>
              </w:rPr>
              <w:t>lielākajā daļā no noteikumu projektā</w:t>
            </w:r>
            <w:r w:rsidRPr="003759B0">
              <w:rPr>
                <w:rFonts w:eastAsia="Times New Roman" w:cs="Times New Roman"/>
                <w:color w:val="000000"/>
                <w:szCs w:val="24"/>
                <w:lang w:eastAsia="lv-LV"/>
              </w:rPr>
              <w:t xml:space="preserve"> paredzētā regulējuma paliek nemainīgs, jo iepirkumu norises kārtību </w:t>
            </w:r>
            <w:r w:rsidR="00EF5E1A">
              <w:rPr>
                <w:rFonts w:eastAsia="Times New Roman" w:cs="Times New Roman"/>
                <w:color w:val="000000"/>
                <w:szCs w:val="24"/>
                <w:lang w:eastAsia="lv-LV"/>
              </w:rPr>
              <w:t>d</w:t>
            </w:r>
            <w:r w:rsidRPr="003759B0">
              <w:rPr>
                <w:rFonts w:eastAsia="Times New Roman" w:cs="Times New Roman"/>
                <w:color w:val="000000"/>
                <w:szCs w:val="24"/>
                <w:lang w:eastAsia="lv-LV"/>
              </w:rPr>
              <w:t>irektīva 2014/55/ES nemaina. Administratīvais slogs samazinās</w:t>
            </w:r>
            <w:r w:rsidR="000D270C">
              <w:rPr>
                <w:rFonts w:eastAsia="Times New Roman" w:cs="Times New Roman"/>
                <w:color w:val="000000"/>
                <w:szCs w:val="24"/>
                <w:lang w:eastAsia="lv-LV"/>
              </w:rPr>
              <w:t>,</w:t>
            </w:r>
            <w:r w:rsidRPr="003759B0">
              <w:rPr>
                <w:rFonts w:eastAsia="Times New Roman" w:cs="Times New Roman"/>
                <w:color w:val="000000"/>
                <w:szCs w:val="24"/>
                <w:lang w:eastAsia="lv-LV"/>
              </w:rPr>
              <w:t xml:space="preserve"> ieviešot elektroniskos rēķinus, jo persona, kas iegūs līguma slēgšanas tiesības</w:t>
            </w:r>
            <w:r w:rsidR="000D270C">
              <w:rPr>
                <w:rFonts w:eastAsia="Times New Roman" w:cs="Times New Roman"/>
                <w:color w:val="000000"/>
                <w:szCs w:val="24"/>
                <w:lang w:eastAsia="lv-LV"/>
              </w:rPr>
              <w:t>,</w:t>
            </w:r>
            <w:r w:rsidRPr="003759B0">
              <w:rPr>
                <w:rFonts w:eastAsia="Times New Roman" w:cs="Times New Roman"/>
                <w:color w:val="000000"/>
                <w:szCs w:val="24"/>
                <w:lang w:eastAsia="lv-LV"/>
              </w:rPr>
              <w:t xml:space="preserve"> būs tiesīga iesniegt elektronisko rēķinus pasūtītājam</w:t>
            </w:r>
            <w:r w:rsidR="000A1FBF">
              <w:rPr>
                <w:rFonts w:eastAsia="Times New Roman" w:cs="Times New Roman"/>
                <w:color w:val="000000"/>
                <w:szCs w:val="24"/>
                <w:lang w:eastAsia="lv-LV"/>
              </w:rPr>
              <w:t>, sabiedrisko pakalpojumu sniedzējiem vai publiskajam partnerim vai tā pārstāvim</w:t>
            </w:r>
            <w:r w:rsidRPr="003759B0">
              <w:rPr>
                <w:rFonts w:eastAsia="Times New Roman" w:cs="Times New Roman"/>
                <w:color w:val="000000"/>
                <w:szCs w:val="24"/>
                <w:lang w:eastAsia="lv-LV"/>
              </w:rPr>
              <w:t>. Prognozējams, ka administratīvais slogs mazināsies pasūtītājiem</w:t>
            </w:r>
            <w:r w:rsidR="000A1FBF">
              <w:rPr>
                <w:rFonts w:eastAsia="Times New Roman" w:cs="Times New Roman"/>
                <w:color w:val="000000"/>
                <w:szCs w:val="24"/>
                <w:lang w:eastAsia="lv-LV"/>
              </w:rPr>
              <w:t xml:space="preserve"> sabiedrisko pakalpojumu sniedzējiem vai publiskajam partnerim vai tā pārstāvim</w:t>
            </w:r>
            <w:r w:rsidR="00EF5E1A">
              <w:rPr>
                <w:rFonts w:eastAsia="Times New Roman" w:cs="Times New Roman"/>
                <w:color w:val="000000"/>
                <w:szCs w:val="24"/>
                <w:lang w:eastAsia="lv-LV"/>
              </w:rPr>
              <w:t xml:space="preserve"> brīdī, kad tas automatizēs tālāku elektronisko rēķinu apstrādi un apriti. </w:t>
            </w:r>
            <w:r w:rsidR="00B34AC4">
              <w:rPr>
                <w:rFonts w:eastAsia="Times New Roman" w:cs="Times New Roman"/>
                <w:color w:val="000000"/>
                <w:szCs w:val="24"/>
                <w:lang w:eastAsia="lv-LV"/>
              </w:rPr>
              <w:t>Šobrīd</w:t>
            </w:r>
            <w:r w:rsidRPr="003759B0">
              <w:rPr>
                <w:rFonts w:eastAsia="Times New Roman" w:cs="Times New Roman"/>
                <w:color w:val="000000"/>
                <w:szCs w:val="24"/>
                <w:lang w:eastAsia="lv-LV"/>
              </w:rPr>
              <w:t xml:space="preserve"> nav </w:t>
            </w:r>
            <w:r w:rsidR="00B34AC4">
              <w:rPr>
                <w:rFonts w:eastAsia="Times New Roman" w:cs="Times New Roman"/>
                <w:color w:val="000000"/>
                <w:szCs w:val="24"/>
                <w:lang w:eastAsia="lv-LV"/>
              </w:rPr>
              <w:t xml:space="preserve">precīzi </w:t>
            </w:r>
            <w:r w:rsidRPr="003759B0">
              <w:rPr>
                <w:rFonts w:eastAsia="Times New Roman" w:cs="Times New Roman"/>
                <w:color w:val="000000"/>
                <w:szCs w:val="24"/>
                <w:lang w:eastAsia="lv-LV"/>
              </w:rPr>
              <w:t xml:space="preserve">prognozējams, </w:t>
            </w:r>
            <w:r w:rsidR="00B34AC4">
              <w:rPr>
                <w:rFonts w:eastAsia="Times New Roman" w:cs="Times New Roman"/>
                <w:color w:val="000000"/>
                <w:szCs w:val="24"/>
                <w:lang w:eastAsia="lv-LV"/>
              </w:rPr>
              <w:t xml:space="preserve">kad un </w:t>
            </w:r>
            <w:r w:rsidRPr="003759B0">
              <w:rPr>
                <w:rFonts w:eastAsia="Times New Roman" w:cs="Times New Roman"/>
                <w:color w:val="000000"/>
                <w:szCs w:val="24"/>
                <w:lang w:eastAsia="lv-LV"/>
              </w:rPr>
              <w:t>par cik</w:t>
            </w:r>
            <w:r w:rsidR="00B34AC4">
              <w:rPr>
                <w:rFonts w:eastAsia="Times New Roman" w:cs="Times New Roman"/>
                <w:color w:val="000000"/>
                <w:szCs w:val="24"/>
                <w:lang w:eastAsia="lv-LV"/>
              </w:rPr>
              <w:t xml:space="preserve"> attiecībā pret esošo līmeni</w:t>
            </w:r>
            <w:r w:rsidRPr="003759B0">
              <w:rPr>
                <w:rFonts w:eastAsia="Times New Roman" w:cs="Times New Roman"/>
                <w:color w:val="000000"/>
                <w:szCs w:val="24"/>
                <w:lang w:eastAsia="lv-LV"/>
              </w:rPr>
              <w:t xml:space="preserve"> samazināsies administratīvais slogs</w:t>
            </w:r>
            <w:r w:rsidR="00EF5E1A">
              <w:rPr>
                <w:rFonts w:eastAsia="Times New Roman" w:cs="Times New Roman"/>
                <w:color w:val="000000"/>
                <w:szCs w:val="24"/>
                <w:lang w:eastAsia="lv-LV"/>
              </w:rPr>
              <w:t xml:space="preserve"> publiskajām personām un to kapitālsabiedrībām un</w:t>
            </w:r>
            <w:r w:rsidRPr="003759B0">
              <w:rPr>
                <w:rFonts w:eastAsia="Times New Roman" w:cs="Times New Roman"/>
                <w:color w:val="000000"/>
                <w:szCs w:val="24"/>
                <w:lang w:eastAsia="lv-LV"/>
              </w:rPr>
              <w:t xml:space="preserve"> personām, kas iegūs līguma slēgšanas tiesības.</w:t>
            </w:r>
          </w:p>
        </w:tc>
      </w:tr>
      <w:tr w:rsidR="003759B0" w:rsidRPr="00E01332" w14:paraId="087CD0B1" w14:textId="77777777" w:rsidTr="003759B0">
        <w:trPr>
          <w:trHeight w:val="408"/>
        </w:trPr>
        <w:tc>
          <w:tcPr>
            <w:tcW w:w="272" w:type="pct"/>
            <w:tcBorders>
              <w:top w:val="outset" w:sz="6" w:space="0" w:color="414142"/>
              <w:left w:val="outset" w:sz="6" w:space="0" w:color="414142"/>
              <w:bottom w:val="outset" w:sz="6" w:space="0" w:color="414142"/>
              <w:right w:val="outset" w:sz="6" w:space="0" w:color="414142"/>
            </w:tcBorders>
          </w:tcPr>
          <w:p w14:paraId="470A79E5" w14:textId="2331CA89" w:rsidR="003759B0" w:rsidRPr="00E01332" w:rsidRDefault="003765F2" w:rsidP="000D5B9E">
            <w:pPr>
              <w:spacing w:after="60" w:line="240" w:lineRule="auto"/>
              <w:jc w:val="center"/>
              <w:rPr>
                <w:rFonts w:eastAsia="Times New Roman" w:cs="Times New Roman"/>
                <w:szCs w:val="24"/>
                <w:lang w:eastAsia="lv-LV"/>
              </w:rPr>
            </w:pPr>
            <w:r>
              <w:rPr>
                <w:rFonts w:eastAsia="Times New Roman" w:cs="Times New Roman"/>
                <w:szCs w:val="24"/>
                <w:lang w:eastAsia="lv-LV"/>
              </w:rPr>
              <w:t>3.</w:t>
            </w:r>
          </w:p>
        </w:tc>
        <w:tc>
          <w:tcPr>
            <w:tcW w:w="1433" w:type="pct"/>
            <w:tcBorders>
              <w:top w:val="outset" w:sz="6" w:space="0" w:color="414142"/>
              <w:left w:val="outset" w:sz="6" w:space="0" w:color="414142"/>
              <w:bottom w:val="outset" w:sz="6" w:space="0" w:color="414142"/>
              <w:right w:val="outset" w:sz="6" w:space="0" w:color="414142"/>
            </w:tcBorders>
          </w:tcPr>
          <w:p w14:paraId="77F31EFA" w14:textId="3BC19F86" w:rsidR="003759B0" w:rsidRPr="00E01332" w:rsidRDefault="003759B0" w:rsidP="000D5B9E">
            <w:pPr>
              <w:spacing w:after="60" w:line="240" w:lineRule="auto"/>
              <w:rPr>
                <w:rFonts w:eastAsia="Times New Roman" w:cs="Times New Roman"/>
                <w:szCs w:val="24"/>
                <w:lang w:eastAsia="lv-LV"/>
              </w:rPr>
            </w:pPr>
            <w:r>
              <w:rPr>
                <w:color w:val="000000"/>
                <w:shd w:val="clear" w:color="auto" w:fill="FFFFFF"/>
              </w:rPr>
              <w:t>Administratīvo izmaksu monetārs novērtējums</w:t>
            </w:r>
          </w:p>
        </w:tc>
        <w:tc>
          <w:tcPr>
            <w:tcW w:w="3295" w:type="pct"/>
            <w:tcBorders>
              <w:top w:val="outset" w:sz="6" w:space="0" w:color="414142"/>
              <w:left w:val="outset" w:sz="6" w:space="0" w:color="414142"/>
              <w:bottom w:val="outset" w:sz="6" w:space="0" w:color="414142"/>
              <w:right w:val="outset" w:sz="6" w:space="0" w:color="414142"/>
            </w:tcBorders>
          </w:tcPr>
          <w:p w14:paraId="44F86664" w14:textId="7342E0E0" w:rsidR="003759B0" w:rsidRPr="00E01332" w:rsidRDefault="003759B0" w:rsidP="002F6777">
            <w:pPr>
              <w:spacing w:after="60" w:line="240" w:lineRule="auto"/>
              <w:ind w:right="57"/>
              <w:jc w:val="both"/>
              <w:rPr>
                <w:rFonts w:eastAsia="Times New Roman" w:cs="Times New Roman"/>
                <w:szCs w:val="24"/>
                <w:lang w:eastAsia="lv-LV"/>
              </w:rPr>
            </w:pPr>
            <w:r>
              <w:rPr>
                <w:color w:val="000000"/>
                <w:shd w:val="clear" w:color="auto" w:fill="FFFFFF"/>
              </w:rPr>
              <w:t>Nav novērtējams</w:t>
            </w:r>
            <w:r w:rsidR="00B34AC4">
              <w:rPr>
                <w:color w:val="000000"/>
                <w:shd w:val="clear" w:color="auto" w:fill="FFFFFF"/>
              </w:rPr>
              <w:t>,</w:t>
            </w:r>
            <w:r>
              <w:rPr>
                <w:color w:val="000000"/>
                <w:shd w:val="clear" w:color="auto" w:fill="FFFFFF"/>
              </w:rPr>
              <w:t xml:space="preserve"> ņemot vērā, ka tas lielā mērā ir atkarīgs no piegādātāja izvēles.</w:t>
            </w:r>
          </w:p>
        </w:tc>
      </w:tr>
      <w:tr w:rsidR="003759B0" w:rsidRPr="00E01332" w14:paraId="5B77C673" w14:textId="77777777" w:rsidTr="003759B0">
        <w:trPr>
          <w:trHeight w:val="408"/>
        </w:trPr>
        <w:tc>
          <w:tcPr>
            <w:tcW w:w="272" w:type="pct"/>
            <w:tcBorders>
              <w:top w:val="outset" w:sz="6" w:space="0" w:color="414142"/>
              <w:left w:val="outset" w:sz="6" w:space="0" w:color="414142"/>
              <w:bottom w:val="outset" w:sz="6" w:space="0" w:color="414142"/>
              <w:right w:val="outset" w:sz="6" w:space="0" w:color="414142"/>
            </w:tcBorders>
          </w:tcPr>
          <w:p w14:paraId="36AD2DCC" w14:textId="1CA9BB06" w:rsidR="003759B0" w:rsidRPr="00E01332" w:rsidRDefault="003765F2" w:rsidP="000D5B9E">
            <w:pPr>
              <w:spacing w:after="60" w:line="240" w:lineRule="auto"/>
              <w:jc w:val="center"/>
              <w:rPr>
                <w:rFonts w:eastAsia="Times New Roman" w:cs="Times New Roman"/>
                <w:szCs w:val="24"/>
                <w:lang w:eastAsia="lv-LV"/>
              </w:rPr>
            </w:pPr>
            <w:r>
              <w:rPr>
                <w:rFonts w:eastAsia="Times New Roman" w:cs="Times New Roman"/>
                <w:szCs w:val="24"/>
                <w:lang w:eastAsia="lv-LV"/>
              </w:rPr>
              <w:t>4.</w:t>
            </w:r>
          </w:p>
        </w:tc>
        <w:tc>
          <w:tcPr>
            <w:tcW w:w="1433" w:type="pct"/>
            <w:tcBorders>
              <w:top w:val="outset" w:sz="6" w:space="0" w:color="414142"/>
              <w:left w:val="outset" w:sz="6" w:space="0" w:color="414142"/>
              <w:bottom w:val="outset" w:sz="6" w:space="0" w:color="414142"/>
              <w:right w:val="outset" w:sz="6" w:space="0" w:color="414142"/>
            </w:tcBorders>
          </w:tcPr>
          <w:p w14:paraId="2CC2ADCC" w14:textId="24E0062F" w:rsidR="003759B0" w:rsidRPr="00E01332" w:rsidRDefault="003759B0" w:rsidP="000D5B9E">
            <w:pPr>
              <w:spacing w:after="60" w:line="240" w:lineRule="auto"/>
              <w:rPr>
                <w:rFonts w:eastAsia="Times New Roman" w:cs="Times New Roman"/>
                <w:szCs w:val="24"/>
                <w:lang w:eastAsia="lv-LV"/>
              </w:rPr>
            </w:pPr>
            <w:r>
              <w:rPr>
                <w:color w:val="000000"/>
                <w:shd w:val="clear" w:color="auto" w:fill="FFFFFF"/>
              </w:rPr>
              <w:t>Atbilstības izmaksu monetārs novērtējums</w:t>
            </w:r>
          </w:p>
        </w:tc>
        <w:tc>
          <w:tcPr>
            <w:tcW w:w="3295" w:type="pct"/>
            <w:tcBorders>
              <w:top w:val="outset" w:sz="6" w:space="0" w:color="414142"/>
              <w:left w:val="outset" w:sz="6" w:space="0" w:color="414142"/>
              <w:bottom w:val="outset" w:sz="6" w:space="0" w:color="414142"/>
              <w:right w:val="outset" w:sz="6" w:space="0" w:color="414142"/>
            </w:tcBorders>
          </w:tcPr>
          <w:p w14:paraId="439237E9" w14:textId="5D404C28" w:rsidR="003759B0" w:rsidRPr="00E01332" w:rsidRDefault="003759B0" w:rsidP="00DC2646">
            <w:pPr>
              <w:spacing w:after="60" w:line="240" w:lineRule="auto"/>
              <w:ind w:right="57"/>
              <w:jc w:val="both"/>
              <w:rPr>
                <w:rFonts w:eastAsia="Times New Roman" w:cs="Times New Roman"/>
                <w:szCs w:val="24"/>
                <w:lang w:eastAsia="lv-LV"/>
              </w:rPr>
            </w:pPr>
            <w:r>
              <w:rPr>
                <w:color w:val="000000"/>
                <w:shd w:val="clear" w:color="auto" w:fill="FFFFFF"/>
              </w:rPr>
              <w:t>Nav novērtējams</w:t>
            </w:r>
            <w:r w:rsidR="00B34AC4">
              <w:rPr>
                <w:color w:val="000000"/>
                <w:shd w:val="clear" w:color="auto" w:fill="FFFFFF"/>
              </w:rPr>
              <w:t>,</w:t>
            </w:r>
            <w:r>
              <w:rPr>
                <w:color w:val="000000"/>
                <w:shd w:val="clear" w:color="auto" w:fill="FFFFFF"/>
              </w:rPr>
              <w:t xml:space="preserve"> ņemot vērā, ka tas lielā </w:t>
            </w:r>
            <w:r w:rsidR="00DC2646">
              <w:rPr>
                <w:color w:val="000000"/>
                <w:shd w:val="clear" w:color="auto" w:fill="FFFFFF"/>
              </w:rPr>
              <w:t xml:space="preserve">vērā </w:t>
            </w:r>
            <w:r>
              <w:rPr>
                <w:color w:val="000000"/>
                <w:shd w:val="clear" w:color="auto" w:fill="FFFFFF"/>
              </w:rPr>
              <w:t>ir atkarīgs no piegādātāja izvēles</w:t>
            </w:r>
            <w:r w:rsidR="00B34AC4">
              <w:rPr>
                <w:color w:val="000000"/>
                <w:shd w:val="clear" w:color="auto" w:fill="FFFFFF"/>
              </w:rPr>
              <w:t xml:space="preserve"> (</w:t>
            </w:r>
            <w:r w:rsidR="00A534F9">
              <w:rPr>
                <w:color w:val="000000"/>
                <w:shd w:val="clear" w:color="auto" w:fill="FFFFFF"/>
              </w:rPr>
              <w:t>vai tas vēlēsies izrakstīt elektronisko rēķinu vai iesniegt to papīra formā</w:t>
            </w:r>
            <w:r w:rsidR="00B34AC4">
              <w:rPr>
                <w:color w:val="000000"/>
                <w:shd w:val="clear" w:color="auto" w:fill="FFFFFF"/>
              </w:rPr>
              <w:t>)</w:t>
            </w:r>
            <w:r>
              <w:rPr>
                <w:color w:val="000000"/>
                <w:shd w:val="clear" w:color="auto" w:fill="FFFFFF"/>
              </w:rPr>
              <w:t>.</w:t>
            </w:r>
          </w:p>
        </w:tc>
      </w:tr>
      <w:tr w:rsidR="0037321C" w:rsidRPr="00E01332" w14:paraId="22080D3D" w14:textId="77777777" w:rsidTr="003759B0">
        <w:trPr>
          <w:trHeight w:val="276"/>
        </w:trPr>
        <w:tc>
          <w:tcPr>
            <w:tcW w:w="272" w:type="pct"/>
            <w:tcBorders>
              <w:top w:val="outset" w:sz="6" w:space="0" w:color="414142"/>
              <w:left w:val="outset" w:sz="6" w:space="0" w:color="414142"/>
              <w:bottom w:val="outset" w:sz="6" w:space="0" w:color="414142"/>
              <w:right w:val="outset" w:sz="6" w:space="0" w:color="414142"/>
            </w:tcBorders>
            <w:hideMark/>
          </w:tcPr>
          <w:p w14:paraId="52C81FB9" w14:textId="1A900B23" w:rsidR="00894C55" w:rsidRPr="00E01332" w:rsidRDefault="003765F2" w:rsidP="000D5B9E">
            <w:pPr>
              <w:spacing w:after="60" w:line="240" w:lineRule="auto"/>
              <w:jc w:val="center"/>
              <w:rPr>
                <w:rFonts w:eastAsia="Times New Roman" w:cs="Times New Roman"/>
                <w:szCs w:val="24"/>
                <w:lang w:eastAsia="lv-LV"/>
              </w:rPr>
            </w:pPr>
            <w:r>
              <w:rPr>
                <w:rFonts w:eastAsia="Times New Roman" w:cs="Times New Roman"/>
                <w:szCs w:val="24"/>
                <w:lang w:eastAsia="lv-LV"/>
              </w:rPr>
              <w:t>5</w:t>
            </w:r>
            <w:r w:rsidR="00894C55" w:rsidRPr="00E01332">
              <w:rPr>
                <w:rFonts w:eastAsia="Times New Roman" w:cs="Times New Roman"/>
                <w:szCs w:val="24"/>
                <w:lang w:eastAsia="lv-LV"/>
              </w:rPr>
              <w:t>.</w:t>
            </w:r>
          </w:p>
        </w:tc>
        <w:tc>
          <w:tcPr>
            <w:tcW w:w="1433" w:type="pct"/>
            <w:tcBorders>
              <w:top w:val="outset" w:sz="6" w:space="0" w:color="414142"/>
              <w:left w:val="outset" w:sz="6" w:space="0" w:color="414142"/>
              <w:bottom w:val="outset" w:sz="6" w:space="0" w:color="414142"/>
              <w:right w:val="outset" w:sz="6" w:space="0" w:color="414142"/>
            </w:tcBorders>
            <w:hideMark/>
          </w:tcPr>
          <w:p w14:paraId="6275D824" w14:textId="77777777" w:rsidR="00894C55" w:rsidRPr="00E01332" w:rsidRDefault="00894C55" w:rsidP="000D5B9E">
            <w:pPr>
              <w:spacing w:after="60" w:line="240" w:lineRule="auto"/>
              <w:rPr>
                <w:rFonts w:eastAsia="Times New Roman" w:cs="Times New Roman"/>
                <w:szCs w:val="24"/>
                <w:lang w:eastAsia="lv-LV"/>
              </w:rPr>
            </w:pPr>
            <w:r w:rsidRPr="00E01332">
              <w:rPr>
                <w:rFonts w:eastAsia="Times New Roman" w:cs="Times New Roman"/>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5DF1D869" w14:textId="77777777" w:rsidR="00894C55" w:rsidRPr="00E01332" w:rsidRDefault="00E12365" w:rsidP="000D5B9E">
            <w:pPr>
              <w:spacing w:after="60" w:line="240" w:lineRule="auto"/>
              <w:ind w:right="57"/>
              <w:jc w:val="both"/>
              <w:rPr>
                <w:rFonts w:eastAsia="Times New Roman" w:cs="Times New Roman"/>
                <w:szCs w:val="24"/>
                <w:lang w:eastAsia="lv-LV"/>
              </w:rPr>
            </w:pPr>
            <w:r w:rsidRPr="00E01332">
              <w:rPr>
                <w:color w:val="000000"/>
                <w:szCs w:val="24"/>
              </w:rPr>
              <w:t>Nav.</w:t>
            </w:r>
          </w:p>
        </w:tc>
      </w:tr>
    </w:tbl>
    <w:p w14:paraId="1901A415" w14:textId="6F2369A3" w:rsidR="007170DA" w:rsidRDefault="007170DA" w:rsidP="000D5B9E">
      <w:pPr>
        <w:shd w:val="clear" w:color="auto" w:fill="FFFFFF"/>
        <w:spacing w:after="0" w:line="240" w:lineRule="auto"/>
        <w:rPr>
          <w:rFonts w:eastAsia="Times New Roman" w:cs="Times New Roman"/>
          <w:szCs w:val="24"/>
          <w:lang w:eastAsia="lv-LV"/>
        </w:rPr>
      </w:pPr>
    </w:p>
    <w:tbl>
      <w:tblPr>
        <w:tblStyle w:val="TableGrid"/>
        <w:tblW w:w="5082" w:type="pct"/>
        <w:tblLayout w:type="fixed"/>
        <w:tblLook w:val="04A0" w:firstRow="1" w:lastRow="0" w:firstColumn="1" w:lastColumn="0" w:noHBand="0" w:noVBand="1"/>
      </w:tblPr>
      <w:tblGrid>
        <w:gridCol w:w="1697"/>
        <w:gridCol w:w="993"/>
        <w:gridCol w:w="1134"/>
        <w:gridCol w:w="992"/>
        <w:gridCol w:w="1134"/>
        <w:gridCol w:w="992"/>
        <w:gridCol w:w="1134"/>
        <w:gridCol w:w="1134"/>
      </w:tblGrid>
      <w:tr w:rsidR="005717B0" w:rsidRPr="00E75FEE" w14:paraId="6D23585A" w14:textId="77777777" w:rsidTr="005717B0">
        <w:tc>
          <w:tcPr>
            <w:tcW w:w="9210" w:type="dxa"/>
            <w:gridSpan w:val="8"/>
            <w:hideMark/>
          </w:tcPr>
          <w:p w14:paraId="5F7380DC" w14:textId="77777777" w:rsidR="005717B0" w:rsidRPr="00E75FEE" w:rsidRDefault="005717B0" w:rsidP="00BB19A4">
            <w:pPr>
              <w:ind w:firstLine="300"/>
              <w:jc w:val="center"/>
              <w:rPr>
                <w:rFonts w:eastAsia="Times New Roman" w:cs="Times New Roman"/>
                <w:b/>
                <w:bCs/>
                <w:szCs w:val="24"/>
                <w:lang w:eastAsia="lv-LV"/>
              </w:rPr>
            </w:pPr>
            <w:r w:rsidRPr="00E75FEE">
              <w:rPr>
                <w:rFonts w:eastAsia="Times New Roman" w:cs="Times New Roman"/>
                <w:b/>
                <w:bCs/>
                <w:szCs w:val="24"/>
                <w:lang w:eastAsia="lv-LV"/>
              </w:rPr>
              <w:t>III. Tiesību akta projekta ietekme uz valsts budžetu un pašvaldību budžetiem</w:t>
            </w:r>
          </w:p>
        </w:tc>
      </w:tr>
      <w:tr w:rsidR="005717B0" w:rsidRPr="00E75FEE" w14:paraId="75C66E02" w14:textId="77777777" w:rsidTr="005717B0">
        <w:tc>
          <w:tcPr>
            <w:tcW w:w="1697" w:type="dxa"/>
            <w:vMerge w:val="restart"/>
            <w:hideMark/>
          </w:tcPr>
          <w:p w14:paraId="00016C23" w14:textId="77777777" w:rsidR="005717B0" w:rsidRPr="00E75FEE" w:rsidRDefault="005717B0" w:rsidP="00BB19A4">
            <w:pPr>
              <w:ind w:firstLine="300"/>
              <w:jc w:val="center"/>
              <w:rPr>
                <w:rFonts w:eastAsia="Times New Roman" w:cs="Times New Roman"/>
                <w:szCs w:val="24"/>
                <w:lang w:eastAsia="lv-LV"/>
              </w:rPr>
            </w:pPr>
            <w:r w:rsidRPr="00E75FEE">
              <w:rPr>
                <w:rFonts w:eastAsia="Times New Roman" w:cs="Times New Roman"/>
                <w:szCs w:val="24"/>
                <w:lang w:eastAsia="lv-LV"/>
              </w:rPr>
              <w:t>Rādītāji</w:t>
            </w:r>
          </w:p>
        </w:tc>
        <w:tc>
          <w:tcPr>
            <w:tcW w:w="2127" w:type="dxa"/>
            <w:gridSpan w:val="2"/>
            <w:vMerge w:val="restart"/>
            <w:vAlign w:val="center"/>
            <w:hideMark/>
          </w:tcPr>
          <w:p w14:paraId="519E1C82" w14:textId="77777777" w:rsidR="005717B0" w:rsidRPr="00E75FEE" w:rsidRDefault="005717B0" w:rsidP="00BB19A4">
            <w:pPr>
              <w:ind w:firstLine="300"/>
              <w:jc w:val="center"/>
              <w:rPr>
                <w:rFonts w:eastAsia="Times New Roman" w:cs="Times New Roman"/>
                <w:szCs w:val="24"/>
                <w:lang w:eastAsia="lv-LV"/>
              </w:rPr>
            </w:pPr>
            <w:r w:rsidRPr="00E75FEE">
              <w:rPr>
                <w:rFonts w:eastAsia="Times New Roman" w:cs="Times New Roman"/>
                <w:szCs w:val="24"/>
                <w:lang w:eastAsia="lv-LV"/>
              </w:rPr>
              <w:t>2019. gads</w:t>
            </w:r>
          </w:p>
        </w:tc>
        <w:tc>
          <w:tcPr>
            <w:tcW w:w="5386" w:type="dxa"/>
            <w:gridSpan w:val="5"/>
            <w:hideMark/>
          </w:tcPr>
          <w:p w14:paraId="39B87DFF" w14:textId="77777777" w:rsidR="005717B0" w:rsidRPr="00E75FEE" w:rsidRDefault="005717B0" w:rsidP="00BB19A4">
            <w:pPr>
              <w:ind w:firstLine="300"/>
              <w:jc w:val="center"/>
              <w:rPr>
                <w:rFonts w:eastAsia="Times New Roman" w:cs="Times New Roman"/>
                <w:szCs w:val="24"/>
                <w:lang w:eastAsia="lv-LV"/>
              </w:rPr>
            </w:pPr>
            <w:r w:rsidRPr="00E75FEE">
              <w:rPr>
                <w:rFonts w:eastAsia="Times New Roman" w:cs="Times New Roman"/>
                <w:szCs w:val="24"/>
                <w:lang w:eastAsia="lv-LV"/>
              </w:rPr>
              <w:t>Turpmākie trīs gadi (</w:t>
            </w:r>
            <w:r w:rsidRPr="00E75FEE">
              <w:rPr>
                <w:rFonts w:eastAsia="Times New Roman" w:cs="Times New Roman"/>
                <w:i/>
                <w:iCs/>
                <w:szCs w:val="24"/>
                <w:lang w:eastAsia="lv-LV"/>
              </w:rPr>
              <w:t>euro</w:t>
            </w:r>
            <w:r w:rsidRPr="00E75FEE">
              <w:rPr>
                <w:rFonts w:eastAsia="Times New Roman" w:cs="Times New Roman"/>
                <w:szCs w:val="24"/>
                <w:lang w:eastAsia="lv-LV"/>
              </w:rPr>
              <w:t>)</w:t>
            </w:r>
          </w:p>
        </w:tc>
      </w:tr>
      <w:tr w:rsidR="005717B0" w:rsidRPr="00E75FEE" w14:paraId="3A84050C" w14:textId="77777777" w:rsidTr="005717B0">
        <w:tc>
          <w:tcPr>
            <w:tcW w:w="1697" w:type="dxa"/>
            <w:vMerge/>
            <w:hideMark/>
          </w:tcPr>
          <w:p w14:paraId="587742C7" w14:textId="77777777" w:rsidR="005717B0" w:rsidRPr="00E75FEE" w:rsidRDefault="005717B0" w:rsidP="00BB19A4">
            <w:pPr>
              <w:rPr>
                <w:rFonts w:eastAsia="Times New Roman" w:cs="Times New Roman"/>
                <w:szCs w:val="24"/>
                <w:lang w:eastAsia="lv-LV"/>
              </w:rPr>
            </w:pPr>
          </w:p>
        </w:tc>
        <w:tc>
          <w:tcPr>
            <w:tcW w:w="2127" w:type="dxa"/>
            <w:gridSpan w:val="2"/>
            <w:vMerge/>
            <w:hideMark/>
          </w:tcPr>
          <w:p w14:paraId="7249B677" w14:textId="77777777" w:rsidR="005717B0" w:rsidRPr="00E75FEE" w:rsidRDefault="005717B0" w:rsidP="00BB19A4">
            <w:pPr>
              <w:rPr>
                <w:rFonts w:eastAsia="Times New Roman" w:cs="Times New Roman"/>
                <w:szCs w:val="24"/>
                <w:lang w:eastAsia="lv-LV"/>
              </w:rPr>
            </w:pPr>
          </w:p>
        </w:tc>
        <w:tc>
          <w:tcPr>
            <w:tcW w:w="2126" w:type="dxa"/>
            <w:gridSpan w:val="2"/>
            <w:hideMark/>
          </w:tcPr>
          <w:p w14:paraId="10E9DBD5" w14:textId="77777777" w:rsidR="005717B0" w:rsidRPr="00E75FEE" w:rsidRDefault="005717B0" w:rsidP="00BB19A4">
            <w:pPr>
              <w:ind w:firstLine="300"/>
              <w:jc w:val="center"/>
              <w:rPr>
                <w:rFonts w:eastAsia="Times New Roman" w:cs="Times New Roman"/>
                <w:szCs w:val="24"/>
                <w:lang w:eastAsia="lv-LV"/>
              </w:rPr>
            </w:pPr>
            <w:r w:rsidRPr="00E75FEE">
              <w:rPr>
                <w:rFonts w:eastAsia="Times New Roman" w:cs="Times New Roman"/>
                <w:szCs w:val="24"/>
                <w:lang w:eastAsia="lv-LV"/>
              </w:rPr>
              <w:t>2020</w:t>
            </w:r>
          </w:p>
        </w:tc>
        <w:tc>
          <w:tcPr>
            <w:tcW w:w="2126" w:type="dxa"/>
            <w:gridSpan w:val="2"/>
            <w:hideMark/>
          </w:tcPr>
          <w:p w14:paraId="76A343BB" w14:textId="77777777" w:rsidR="005717B0" w:rsidRPr="00E75FEE" w:rsidRDefault="005717B0" w:rsidP="00BB19A4">
            <w:pPr>
              <w:ind w:firstLine="300"/>
              <w:jc w:val="center"/>
              <w:rPr>
                <w:rFonts w:eastAsia="Times New Roman" w:cs="Times New Roman"/>
                <w:szCs w:val="24"/>
                <w:lang w:eastAsia="lv-LV"/>
              </w:rPr>
            </w:pPr>
            <w:r w:rsidRPr="00E75FEE">
              <w:rPr>
                <w:rFonts w:eastAsia="Times New Roman" w:cs="Times New Roman"/>
                <w:szCs w:val="24"/>
                <w:lang w:eastAsia="lv-LV"/>
              </w:rPr>
              <w:t>2021</w:t>
            </w:r>
          </w:p>
        </w:tc>
        <w:tc>
          <w:tcPr>
            <w:tcW w:w="1134" w:type="dxa"/>
            <w:hideMark/>
          </w:tcPr>
          <w:p w14:paraId="706A5677" w14:textId="77777777" w:rsidR="005717B0" w:rsidRPr="00E75FEE" w:rsidRDefault="005717B0" w:rsidP="00BB19A4">
            <w:pPr>
              <w:ind w:firstLine="300"/>
              <w:jc w:val="center"/>
              <w:rPr>
                <w:rFonts w:eastAsia="Times New Roman" w:cs="Times New Roman"/>
                <w:szCs w:val="24"/>
                <w:lang w:eastAsia="lv-LV"/>
              </w:rPr>
            </w:pPr>
            <w:r w:rsidRPr="00E75FEE">
              <w:rPr>
                <w:rFonts w:eastAsia="Times New Roman" w:cs="Times New Roman"/>
                <w:szCs w:val="24"/>
                <w:lang w:eastAsia="lv-LV"/>
              </w:rPr>
              <w:t>2022</w:t>
            </w:r>
          </w:p>
        </w:tc>
      </w:tr>
      <w:tr w:rsidR="005717B0" w:rsidRPr="00E75FEE" w14:paraId="794A3CFF" w14:textId="77777777" w:rsidTr="005717B0">
        <w:tc>
          <w:tcPr>
            <w:tcW w:w="1697" w:type="dxa"/>
            <w:vMerge/>
            <w:hideMark/>
          </w:tcPr>
          <w:p w14:paraId="75C273E6" w14:textId="77777777" w:rsidR="005717B0" w:rsidRPr="00E75FEE" w:rsidRDefault="005717B0" w:rsidP="00BB19A4">
            <w:pPr>
              <w:rPr>
                <w:rFonts w:eastAsia="Times New Roman" w:cs="Times New Roman"/>
                <w:szCs w:val="24"/>
                <w:lang w:eastAsia="lv-LV"/>
              </w:rPr>
            </w:pPr>
          </w:p>
        </w:tc>
        <w:tc>
          <w:tcPr>
            <w:tcW w:w="993" w:type="dxa"/>
            <w:hideMark/>
          </w:tcPr>
          <w:p w14:paraId="3FE536E4" w14:textId="77777777" w:rsidR="005717B0" w:rsidRPr="00E75FEE" w:rsidRDefault="005717B0" w:rsidP="00BB19A4">
            <w:pPr>
              <w:jc w:val="both"/>
              <w:rPr>
                <w:rFonts w:eastAsia="Times New Roman" w:cs="Times New Roman"/>
                <w:sz w:val="22"/>
                <w:szCs w:val="24"/>
                <w:lang w:eastAsia="lv-LV"/>
              </w:rPr>
            </w:pPr>
            <w:r w:rsidRPr="00E75FEE">
              <w:rPr>
                <w:rFonts w:eastAsia="Times New Roman" w:cs="Times New Roman"/>
                <w:sz w:val="22"/>
                <w:szCs w:val="24"/>
                <w:lang w:eastAsia="lv-LV"/>
              </w:rPr>
              <w:t>saskaņā ar valsts budžetu kārtējam gadam</w:t>
            </w:r>
          </w:p>
        </w:tc>
        <w:tc>
          <w:tcPr>
            <w:tcW w:w="1134" w:type="dxa"/>
            <w:hideMark/>
          </w:tcPr>
          <w:p w14:paraId="577797E0" w14:textId="77777777" w:rsidR="005717B0" w:rsidRPr="00E75FEE" w:rsidRDefault="005717B0" w:rsidP="00BB19A4">
            <w:pPr>
              <w:jc w:val="both"/>
              <w:rPr>
                <w:rFonts w:eastAsia="Times New Roman" w:cs="Times New Roman"/>
                <w:sz w:val="22"/>
                <w:szCs w:val="24"/>
                <w:lang w:eastAsia="lv-LV"/>
              </w:rPr>
            </w:pPr>
            <w:r w:rsidRPr="00E75FEE">
              <w:rPr>
                <w:rFonts w:eastAsia="Times New Roman" w:cs="Times New Roman"/>
                <w:sz w:val="22"/>
                <w:szCs w:val="24"/>
                <w:lang w:eastAsia="lv-LV"/>
              </w:rPr>
              <w:t>izmaiņas kārtējā gadā, salīdzinot ar valsts budžetu kārtējam gadam</w:t>
            </w:r>
          </w:p>
        </w:tc>
        <w:tc>
          <w:tcPr>
            <w:tcW w:w="992" w:type="dxa"/>
            <w:hideMark/>
          </w:tcPr>
          <w:p w14:paraId="220A5E6B" w14:textId="77777777" w:rsidR="005717B0" w:rsidRPr="00E75FEE" w:rsidRDefault="005717B0" w:rsidP="00BB19A4">
            <w:pPr>
              <w:jc w:val="both"/>
              <w:rPr>
                <w:rFonts w:eastAsia="Times New Roman" w:cs="Times New Roman"/>
                <w:sz w:val="22"/>
                <w:szCs w:val="24"/>
                <w:lang w:eastAsia="lv-LV"/>
              </w:rPr>
            </w:pPr>
            <w:r w:rsidRPr="00E75FEE">
              <w:rPr>
                <w:rFonts w:eastAsia="Times New Roman" w:cs="Times New Roman"/>
                <w:sz w:val="22"/>
                <w:szCs w:val="24"/>
                <w:lang w:eastAsia="lv-LV"/>
              </w:rPr>
              <w:t>saskaņā ar vidēja termiņa budžeta ietvaru</w:t>
            </w:r>
          </w:p>
        </w:tc>
        <w:tc>
          <w:tcPr>
            <w:tcW w:w="1134" w:type="dxa"/>
            <w:hideMark/>
          </w:tcPr>
          <w:p w14:paraId="02D4F3E2" w14:textId="77777777" w:rsidR="005717B0" w:rsidRPr="00E75FEE" w:rsidRDefault="005717B0" w:rsidP="00BB19A4">
            <w:pPr>
              <w:jc w:val="both"/>
              <w:rPr>
                <w:rFonts w:eastAsia="Times New Roman" w:cs="Times New Roman"/>
                <w:sz w:val="22"/>
                <w:szCs w:val="24"/>
                <w:lang w:eastAsia="lv-LV"/>
              </w:rPr>
            </w:pPr>
            <w:r w:rsidRPr="00E75FEE">
              <w:rPr>
                <w:rFonts w:eastAsia="Times New Roman" w:cs="Times New Roman"/>
                <w:sz w:val="22"/>
                <w:szCs w:val="24"/>
                <w:lang w:eastAsia="lv-LV"/>
              </w:rPr>
              <w:t>izmaiņas, salīdzinot ar vidēja termiņa budžeta ietvaru 2020. gadam</w:t>
            </w:r>
          </w:p>
        </w:tc>
        <w:tc>
          <w:tcPr>
            <w:tcW w:w="992" w:type="dxa"/>
            <w:hideMark/>
          </w:tcPr>
          <w:p w14:paraId="3E9CE3BE" w14:textId="77777777" w:rsidR="005717B0" w:rsidRPr="00E75FEE" w:rsidRDefault="005717B0" w:rsidP="00BB19A4">
            <w:pPr>
              <w:jc w:val="both"/>
              <w:rPr>
                <w:rFonts w:eastAsia="Times New Roman" w:cs="Times New Roman"/>
                <w:sz w:val="22"/>
                <w:szCs w:val="24"/>
                <w:lang w:eastAsia="lv-LV"/>
              </w:rPr>
            </w:pPr>
            <w:r w:rsidRPr="00E75FEE">
              <w:rPr>
                <w:rFonts w:eastAsia="Times New Roman" w:cs="Times New Roman"/>
                <w:sz w:val="22"/>
                <w:szCs w:val="24"/>
                <w:lang w:eastAsia="lv-LV"/>
              </w:rPr>
              <w:t>saskaņā ar vidēja termiņa budžeta ietvaru</w:t>
            </w:r>
          </w:p>
        </w:tc>
        <w:tc>
          <w:tcPr>
            <w:tcW w:w="1134" w:type="dxa"/>
            <w:hideMark/>
          </w:tcPr>
          <w:p w14:paraId="23D9C42C" w14:textId="77777777" w:rsidR="005717B0" w:rsidRPr="00E75FEE" w:rsidRDefault="005717B0" w:rsidP="00BB19A4">
            <w:pPr>
              <w:jc w:val="both"/>
              <w:rPr>
                <w:rFonts w:eastAsia="Times New Roman" w:cs="Times New Roman"/>
                <w:sz w:val="22"/>
                <w:szCs w:val="24"/>
                <w:lang w:eastAsia="lv-LV"/>
              </w:rPr>
            </w:pPr>
            <w:r w:rsidRPr="00E75FEE">
              <w:rPr>
                <w:rFonts w:eastAsia="Times New Roman" w:cs="Times New Roman"/>
                <w:sz w:val="22"/>
                <w:szCs w:val="24"/>
                <w:lang w:eastAsia="lv-LV"/>
              </w:rPr>
              <w:t>izmaiņas, salīdzinot ar vidēja termiņa budžeta ietvaru 2021. gadam</w:t>
            </w:r>
          </w:p>
        </w:tc>
        <w:tc>
          <w:tcPr>
            <w:tcW w:w="1134" w:type="dxa"/>
            <w:hideMark/>
          </w:tcPr>
          <w:p w14:paraId="744795C9" w14:textId="77777777" w:rsidR="005717B0" w:rsidRPr="00E75FEE" w:rsidRDefault="005717B0" w:rsidP="00BB19A4">
            <w:pPr>
              <w:jc w:val="both"/>
              <w:rPr>
                <w:rFonts w:eastAsia="Times New Roman" w:cs="Times New Roman"/>
                <w:sz w:val="22"/>
                <w:szCs w:val="24"/>
                <w:lang w:eastAsia="lv-LV"/>
              </w:rPr>
            </w:pPr>
            <w:r w:rsidRPr="00E75FEE">
              <w:rPr>
                <w:rFonts w:eastAsia="Times New Roman" w:cs="Times New Roman"/>
                <w:sz w:val="22"/>
                <w:szCs w:val="24"/>
                <w:lang w:eastAsia="lv-LV"/>
              </w:rPr>
              <w:t>izmaiņas, salīdzinot ar vidēja termiņa budžeta ietvaru 2021. gadam</w:t>
            </w:r>
          </w:p>
        </w:tc>
      </w:tr>
      <w:tr w:rsidR="005717B0" w:rsidRPr="00E75FEE" w14:paraId="60DE9CBA" w14:textId="77777777" w:rsidTr="005717B0">
        <w:tc>
          <w:tcPr>
            <w:tcW w:w="1697" w:type="dxa"/>
            <w:hideMark/>
          </w:tcPr>
          <w:p w14:paraId="301301F1"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1</w:t>
            </w:r>
          </w:p>
        </w:tc>
        <w:tc>
          <w:tcPr>
            <w:tcW w:w="993" w:type="dxa"/>
            <w:hideMark/>
          </w:tcPr>
          <w:p w14:paraId="643E4567"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2</w:t>
            </w:r>
          </w:p>
        </w:tc>
        <w:tc>
          <w:tcPr>
            <w:tcW w:w="1134" w:type="dxa"/>
            <w:hideMark/>
          </w:tcPr>
          <w:p w14:paraId="43F96BDD"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3</w:t>
            </w:r>
          </w:p>
        </w:tc>
        <w:tc>
          <w:tcPr>
            <w:tcW w:w="992" w:type="dxa"/>
            <w:hideMark/>
          </w:tcPr>
          <w:p w14:paraId="52ABE942"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4</w:t>
            </w:r>
          </w:p>
        </w:tc>
        <w:tc>
          <w:tcPr>
            <w:tcW w:w="1134" w:type="dxa"/>
            <w:hideMark/>
          </w:tcPr>
          <w:p w14:paraId="28205900"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5</w:t>
            </w:r>
          </w:p>
        </w:tc>
        <w:tc>
          <w:tcPr>
            <w:tcW w:w="992" w:type="dxa"/>
            <w:hideMark/>
          </w:tcPr>
          <w:p w14:paraId="7C032E89"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w:t>
            </w:r>
          </w:p>
        </w:tc>
        <w:tc>
          <w:tcPr>
            <w:tcW w:w="1134" w:type="dxa"/>
            <w:hideMark/>
          </w:tcPr>
          <w:p w14:paraId="211D404C"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7</w:t>
            </w:r>
          </w:p>
        </w:tc>
        <w:tc>
          <w:tcPr>
            <w:tcW w:w="1134" w:type="dxa"/>
            <w:hideMark/>
          </w:tcPr>
          <w:p w14:paraId="7A386744"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8</w:t>
            </w:r>
          </w:p>
        </w:tc>
      </w:tr>
      <w:tr w:rsidR="005717B0" w:rsidRPr="00E75FEE" w14:paraId="2B85C9C9" w14:textId="77777777" w:rsidTr="005717B0">
        <w:tc>
          <w:tcPr>
            <w:tcW w:w="1697" w:type="dxa"/>
            <w:hideMark/>
          </w:tcPr>
          <w:p w14:paraId="572F83AE"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1. Budžeta ieņēmumi</w:t>
            </w:r>
          </w:p>
        </w:tc>
        <w:tc>
          <w:tcPr>
            <w:tcW w:w="993" w:type="dxa"/>
            <w:hideMark/>
          </w:tcPr>
          <w:p w14:paraId="54DB8A91"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055FCD26"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474DD092"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0F47397F"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3A75896A"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4A257DE6"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1B5BCAF5"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r>
      <w:tr w:rsidR="005717B0" w:rsidRPr="00E75FEE" w14:paraId="4BC2DD83" w14:textId="77777777" w:rsidTr="005717B0">
        <w:tc>
          <w:tcPr>
            <w:tcW w:w="1697" w:type="dxa"/>
            <w:hideMark/>
          </w:tcPr>
          <w:p w14:paraId="469AE103"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1.1. valsts pamatbudžets, tai skaitā ieņēmumi no maksas pakalpojumie</w:t>
            </w:r>
            <w:r w:rsidRPr="00E75FEE">
              <w:rPr>
                <w:rFonts w:eastAsia="Times New Roman" w:cs="Times New Roman"/>
                <w:szCs w:val="24"/>
                <w:lang w:eastAsia="lv-LV"/>
              </w:rPr>
              <w:lastRenderedPageBreak/>
              <w:t>m un citi pašu ieņēmumi</w:t>
            </w:r>
          </w:p>
        </w:tc>
        <w:tc>
          <w:tcPr>
            <w:tcW w:w="993" w:type="dxa"/>
            <w:hideMark/>
          </w:tcPr>
          <w:p w14:paraId="3EB70462"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lastRenderedPageBreak/>
              <w:t>0</w:t>
            </w:r>
          </w:p>
        </w:tc>
        <w:tc>
          <w:tcPr>
            <w:tcW w:w="1134" w:type="dxa"/>
            <w:hideMark/>
          </w:tcPr>
          <w:p w14:paraId="0E300AB5"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641772D4"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729D2E3E"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1303EAB3"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184F9757"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406DB4EE"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r>
      <w:tr w:rsidR="005717B0" w:rsidRPr="00E75FEE" w14:paraId="0785BC1A" w14:textId="77777777" w:rsidTr="005717B0">
        <w:tc>
          <w:tcPr>
            <w:tcW w:w="1697" w:type="dxa"/>
            <w:hideMark/>
          </w:tcPr>
          <w:p w14:paraId="0DB8B645"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1.2. valsts speciālais budžets</w:t>
            </w:r>
          </w:p>
        </w:tc>
        <w:tc>
          <w:tcPr>
            <w:tcW w:w="993" w:type="dxa"/>
            <w:hideMark/>
          </w:tcPr>
          <w:p w14:paraId="02353A14"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4F01CFE8"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1391CB6E"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5B3604C4"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4261A9D2"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37BCB63B"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5DA7C036"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r>
      <w:tr w:rsidR="005717B0" w:rsidRPr="00E75FEE" w14:paraId="3586E058" w14:textId="77777777" w:rsidTr="005717B0">
        <w:tc>
          <w:tcPr>
            <w:tcW w:w="1697" w:type="dxa"/>
            <w:hideMark/>
          </w:tcPr>
          <w:p w14:paraId="308DD4D0"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1.3. pašvaldību budžets</w:t>
            </w:r>
          </w:p>
        </w:tc>
        <w:tc>
          <w:tcPr>
            <w:tcW w:w="993" w:type="dxa"/>
            <w:hideMark/>
          </w:tcPr>
          <w:p w14:paraId="4C29FF36"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023097AF"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1D37B89E"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7DB24709"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3B5C199C"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574F3A88"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15854A7A"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r>
      <w:tr w:rsidR="005717B0" w:rsidRPr="00E75FEE" w14:paraId="749EE972" w14:textId="77777777" w:rsidTr="005717B0">
        <w:tc>
          <w:tcPr>
            <w:tcW w:w="1697" w:type="dxa"/>
            <w:hideMark/>
          </w:tcPr>
          <w:p w14:paraId="12596863"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2. Budžeta izdevumi</w:t>
            </w:r>
          </w:p>
        </w:tc>
        <w:tc>
          <w:tcPr>
            <w:tcW w:w="993" w:type="dxa"/>
            <w:hideMark/>
          </w:tcPr>
          <w:p w14:paraId="0B065E55"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0E5D977B"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378910CB"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2055FDAF"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992" w:type="dxa"/>
            <w:hideMark/>
          </w:tcPr>
          <w:p w14:paraId="1DF1F66C"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66874A86"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1134" w:type="dxa"/>
            <w:hideMark/>
          </w:tcPr>
          <w:p w14:paraId="6F42E6D8"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r>
      <w:tr w:rsidR="005717B0" w:rsidRPr="00E75FEE" w14:paraId="280CC308" w14:textId="77777777" w:rsidTr="005717B0">
        <w:tc>
          <w:tcPr>
            <w:tcW w:w="1697" w:type="dxa"/>
            <w:hideMark/>
          </w:tcPr>
          <w:p w14:paraId="0F6EB9B8"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2.1. valsts pamatbudžets</w:t>
            </w:r>
          </w:p>
        </w:tc>
        <w:tc>
          <w:tcPr>
            <w:tcW w:w="993" w:type="dxa"/>
            <w:hideMark/>
          </w:tcPr>
          <w:p w14:paraId="25D792B3"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5A23A21C"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240EF825"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6D527376"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992" w:type="dxa"/>
            <w:hideMark/>
          </w:tcPr>
          <w:p w14:paraId="0F2475C6"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04C6E2CF"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1134" w:type="dxa"/>
            <w:hideMark/>
          </w:tcPr>
          <w:p w14:paraId="5CF7C350"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r>
      <w:tr w:rsidR="005717B0" w:rsidRPr="00E75FEE" w14:paraId="18DCA48A" w14:textId="77777777" w:rsidTr="005717B0">
        <w:tc>
          <w:tcPr>
            <w:tcW w:w="1697" w:type="dxa"/>
            <w:hideMark/>
          </w:tcPr>
          <w:p w14:paraId="0CA2E420"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2.2. valsts speciālais budžets</w:t>
            </w:r>
          </w:p>
        </w:tc>
        <w:tc>
          <w:tcPr>
            <w:tcW w:w="993" w:type="dxa"/>
            <w:hideMark/>
          </w:tcPr>
          <w:p w14:paraId="60164769"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51BE724B"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12337759"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5B764B7A"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643A5F5C"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2E6936AC"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15632DB1"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r>
      <w:tr w:rsidR="005717B0" w:rsidRPr="00E75FEE" w14:paraId="68838B9A" w14:textId="77777777" w:rsidTr="005717B0">
        <w:tc>
          <w:tcPr>
            <w:tcW w:w="1697" w:type="dxa"/>
            <w:hideMark/>
          </w:tcPr>
          <w:p w14:paraId="63A0EF50"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2.3. pašvaldību budžets</w:t>
            </w:r>
          </w:p>
        </w:tc>
        <w:tc>
          <w:tcPr>
            <w:tcW w:w="993" w:type="dxa"/>
            <w:hideMark/>
          </w:tcPr>
          <w:p w14:paraId="3009BE35"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00D2D18C"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32BD969E"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2E47EC10"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1837FDCA"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370FF3A8"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7A0337E0"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r>
      <w:tr w:rsidR="005717B0" w:rsidRPr="00E75FEE" w14:paraId="1DBE425C" w14:textId="77777777" w:rsidTr="005717B0">
        <w:tc>
          <w:tcPr>
            <w:tcW w:w="1697" w:type="dxa"/>
            <w:hideMark/>
          </w:tcPr>
          <w:p w14:paraId="198F7D45"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3. Finansiālā ietekme</w:t>
            </w:r>
          </w:p>
        </w:tc>
        <w:tc>
          <w:tcPr>
            <w:tcW w:w="993" w:type="dxa"/>
            <w:hideMark/>
          </w:tcPr>
          <w:p w14:paraId="30C5903E"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263B5BA3"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4E375022"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3B0A12FA"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992" w:type="dxa"/>
            <w:hideMark/>
          </w:tcPr>
          <w:p w14:paraId="0C86C682"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297A19DB"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1134" w:type="dxa"/>
            <w:hideMark/>
          </w:tcPr>
          <w:p w14:paraId="4C3EBBFA"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r>
      <w:tr w:rsidR="005717B0" w:rsidRPr="00E75FEE" w14:paraId="3F01ED33" w14:textId="77777777" w:rsidTr="005717B0">
        <w:tc>
          <w:tcPr>
            <w:tcW w:w="1697" w:type="dxa"/>
            <w:hideMark/>
          </w:tcPr>
          <w:p w14:paraId="2704836A"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3.1. valsts pamatbudžets</w:t>
            </w:r>
          </w:p>
        </w:tc>
        <w:tc>
          <w:tcPr>
            <w:tcW w:w="993" w:type="dxa"/>
            <w:hideMark/>
          </w:tcPr>
          <w:p w14:paraId="733231A0"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67A6C933"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04818FF5"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797C6917"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992" w:type="dxa"/>
            <w:hideMark/>
          </w:tcPr>
          <w:p w14:paraId="34D89550"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73E4DE93"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1134" w:type="dxa"/>
            <w:hideMark/>
          </w:tcPr>
          <w:p w14:paraId="2E3B964E"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r>
      <w:tr w:rsidR="005717B0" w:rsidRPr="00E75FEE" w14:paraId="3A8E7F80" w14:textId="77777777" w:rsidTr="005717B0">
        <w:tc>
          <w:tcPr>
            <w:tcW w:w="1697" w:type="dxa"/>
            <w:hideMark/>
          </w:tcPr>
          <w:p w14:paraId="47F5A694"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3.2. speciālais budžets</w:t>
            </w:r>
          </w:p>
        </w:tc>
        <w:tc>
          <w:tcPr>
            <w:tcW w:w="993" w:type="dxa"/>
            <w:hideMark/>
          </w:tcPr>
          <w:p w14:paraId="36044891"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5D60C37B"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64383999"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5C067C58"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7FDD2D08"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63158FC7"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4D39B982"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r>
      <w:tr w:rsidR="005717B0" w:rsidRPr="00E75FEE" w14:paraId="6C1D37F1" w14:textId="77777777" w:rsidTr="005717B0">
        <w:tc>
          <w:tcPr>
            <w:tcW w:w="1697" w:type="dxa"/>
            <w:hideMark/>
          </w:tcPr>
          <w:p w14:paraId="07BE3216"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3.3. pašvaldību budžets</w:t>
            </w:r>
          </w:p>
        </w:tc>
        <w:tc>
          <w:tcPr>
            <w:tcW w:w="993" w:type="dxa"/>
            <w:hideMark/>
          </w:tcPr>
          <w:p w14:paraId="26942EA4"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1DCE0958"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04493E8D"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08F168F0"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30537E21"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0E1A81A5"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29EC5FA0"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r>
      <w:tr w:rsidR="005717B0" w:rsidRPr="00E75FEE" w14:paraId="5B7CC689" w14:textId="77777777" w:rsidTr="005717B0">
        <w:tc>
          <w:tcPr>
            <w:tcW w:w="1697" w:type="dxa"/>
            <w:hideMark/>
          </w:tcPr>
          <w:p w14:paraId="37F808F2"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4. Finanšu līdzekļi papildu izdevumu finansēšanai (kompensējošu izdevumu samazinājumu norāda ar "+" zīmi)</w:t>
            </w:r>
          </w:p>
        </w:tc>
        <w:tc>
          <w:tcPr>
            <w:tcW w:w="993" w:type="dxa"/>
            <w:hideMark/>
          </w:tcPr>
          <w:p w14:paraId="417BF113"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4ADC327B"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7C896495"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3DE4A868"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hideMark/>
          </w:tcPr>
          <w:p w14:paraId="081D766D"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6D54E280"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6C823D76"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r>
      <w:tr w:rsidR="005717B0" w:rsidRPr="00E75FEE" w14:paraId="18A27203" w14:textId="77777777" w:rsidTr="005717B0">
        <w:tc>
          <w:tcPr>
            <w:tcW w:w="1697" w:type="dxa"/>
            <w:hideMark/>
          </w:tcPr>
          <w:p w14:paraId="5CD95A8C"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5. Precizēta finansiālā ietekme</w:t>
            </w:r>
          </w:p>
        </w:tc>
        <w:tc>
          <w:tcPr>
            <w:tcW w:w="993" w:type="dxa"/>
            <w:vMerge w:val="restart"/>
            <w:hideMark/>
          </w:tcPr>
          <w:p w14:paraId="19739277"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X</w:t>
            </w:r>
          </w:p>
        </w:tc>
        <w:tc>
          <w:tcPr>
            <w:tcW w:w="1134" w:type="dxa"/>
            <w:hideMark/>
          </w:tcPr>
          <w:p w14:paraId="01C69E66"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vMerge w:val="restart"/>
            <w:hideMark/>
          </w:tcPr>
          <w:p w14:paraId="3BB76740"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X</w:t>
            </w:r>
          </w:p>
        </w:tc>
        <w:tc>
          <w:tcPr>
            <w:tcW w:w="1134" w:type="dxa"/>
            <w:hideMark/>
          </w:tcPr>
          <w:p w14:paraId="0600E4F0"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992" w:type="dxa"/>
            <w:vMerge w:val="restart"/>
            <w:hideMark/>
          </w:tcPr>
          <w:p w14:paraId="6B5B77C4"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X</w:t>
            </w:r>
          </w:p>
        </w:tc>
        <w:tc>
          <w:tcPr>
            <w:tcW w:w="1134" w:type="dxa"/>
            <w:hideMark/>
          </w:tcPr>
          <w:p w14:paraId="2F0E9D54"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1134" w:type="dxa"/>
            <w:hideMark/>
          </w:tcPr>
          <w:p w14:paraId="5EB6748F"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r>
      <w:tr w:rsidR="005717B0" w:rsidRPr="00E75FEE" w14:paraId="38E111A4" w14:textId="77777777" w:rsidTr="005717B0">
        <w:tc>
          <w:tcPr>
            <w:tcW w:w="1697" w:type="dxa"/>
            <w:hideMark/>
          </w:tcPr>
          <w:p w14:paraId="2AFC8B52"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5.1. valsts pamatbudžets</w:t>
            </w:r>
          </w:p>
        </w:tc>
        <w:tc>
          <w:tcPr>
            <w:tcW w:w="993" w:type="dxa"/>
            <w:vMerge/>
            <w:hideMark/>
          </w:tcPr>
          <w:p w14:paraId="3579A567" w14:textId="77777777" w:rsidR="005717B0" w:rsidRPr="00E75FEE" w:rsidRDefault="005717B0" w:rsidP="00BB19A4">
            <w:pPr>
              <w:jc w:val="center"/>
              <w:rPr>
                <w:rFonts w:eastAsia="Times New Roman" w:cs="Times New Roman"/>
                <w:szCs w:val="24"/>
                <w:lang w:eastAsia="lv-LV"/>
              </w:rPr>
            </w:pPr>
          </w:p>
        </w:tc>
        <w:tc>
          <w:tcPr>
            <w:tcW w:w="1134" w:type="dxa"/>
            <w:hideMark/>
          </w:tcPr>
          <w:p w14:paraId="16CB2761"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vMerge/>
            <w:hideMark/>
          </w:tcPr>
          <w:p w14:paraId="0AB2683E" w14:textId="77777777" w:rsidR="005717B0" w:rsidRPr="00E75FEE" w:rsidRDefault="005717B0" w:rsidP="00BB19A4">
            <w:pPr>
              <w:jc w:val="center"/>
              <w:rPr>
                <w:rFonts w:eastAsia="Times New Roman" w:cs="Times New Roman"/>
                <w:szCs w:val="24"/>
                <w:lang w:eastAsia="lv-LV"/>
              </w:rPr>
            </w:pPr>
          </w:p>
        </w:tc>
        <w:tc>
          <w:tcPr>
            <w:tcW w:w="1134" w:type="dxa"/>
            <w:hideMark/>
          </w:tcPr>
          <w:p w14:paraId="7955C83E"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992" w:type="dxa"/>
            <w:vMerge/>
            <w:hideMark/>
          </w:tcPr>
          <w:p w14:paraId="6AEFFBCA" w14:textId="77777777" w:rsidR="005717B0" w:rsidRPr="00E75FEE" w:rsidRDefault="005717B0" w:rsidP="00BB19A4">
            <w:pPr>
              <w:jc w:val="center"/>
              <w:rPr>
                <w:rFonts w:eastAsia="Times New Roman" w:cs="Times New Roman"/>
                <w:szCs w:val="24"/>
                <w:lang w:eastAsia="lv-LV"/>
              </w:rPr>
            </w:pPr>
          </w:p>
        </w:tc>
        <w:tc>
          <w:tcPr>
            <w:tcW w:w="1134" w:type="dxa"/>
            <w:hideMark/>
          </w:tcPr>
          <w:p w14:paraId="139B6B99"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c>
          <w:tcPr>
            <w:tcW w:w="1134" w:type="dxa"/>
            <w:hideMark/>
          </w:tcPr>
          <w:p w14:paraId="4C7B7FC2"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-60 000</w:t>
            </w:r>
          </w:p>
        </w:tc>
      </w:tr>
      <w:tr w:rsidR="005717B0" w:rsidRPr="00E75FEE" w14:paraId="1AF689D6" w14:textId="77777777" w:rsidTr="005717B0">
        <w:tc>
          <w:tcPr>
            <w:tcW w:w="1697" w:type="dxa"/>
            <w:hideMark/>
          </w:tcPr>
          <w:p w14:paraId="2D6E8417"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5.2. speciālais budžets</w:t>
            </w:r>
          </w:p>
        </w:tc>
        <w:tc>
          <w:tcPr>
            <w:tcW w:w="993" w:type="dxa"/>
            <w:vMerge/>
            <w:hideMark/>
          </w:tcPr>
          <w:p w14:paraId="03CE3316" w14:textId="77777777" w:rsidR="005717B0" w:rsidRPr="00E75FEE" w:rsidRDefault="005717B0" w:rsidP="00BB19A4">
            <w:pPr>
              <w:jc w:val="center"/>
              <w:rPr>
                <w:rFonts w:eastAsia="Times New Roman" w:cs="Times New Roman"/>
                <w:szCs w:val="24"/>
                <w:lang w:eastAsia="lv-LV"/>
              </w:rPr>
            </w:pPr>
          </w:p>
        </w:tc>
        <w:tc>
          <w:tcPr>
            <w:tcW w:w="1134" w:type="dxa"/>
            <w:hideMark/>
          </w:tcPr>
          <w:p w14:paraId="188A8678"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vMerge/>
            <w:hideMark/>
          </w:tcPr>
          <w:p w14:paraId="15557B45" w14:textId="77777777" w:rsidR="005717B0" w:rsidRPr="00E75FEE" w:rsidRDefault="005717B0" w:rsidP="00BB19A4">
            <w:pPr>
              <w:jc w:val="center"/>
              <w:rPr>
                <w:rFonts w:eastAsia="Times New Roman" w:cs="Times New Roman"/>
                <w:szCs w:val="24"/>
                <w:lang w:eastAsia="lv-LV"/>
              </w:rPr>
            </w:pPr>
          </w:p>
        </w:tc>
        <w:tc>
          <w:tcPr>
            <w:tcW w:w="1134" w:type="dxa"/>
            <w:hideMark/>
          </w:tcPr>
          <w:p w14:paraId="0B66B919"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vMerge/>
            <w:hideMark/>
          </w:tcPr>
          <w:p w14:paraId="7ED79BF1" w14:textId="77777777" w:rsidR="005717B0" w:rsidRPr="00E75FEE" w:rsidRDefault="005717B0" w:rsidP="00BB19A4">
            <w:pPr>
              <w:jc w:val="center"/>
              <w:rPr>
                <w:rFonts w:eastAsia="Times New Roman" w:cs="Times New Roman"/>
                <w:szCs w:val="24"/>
                <w:lang w:eastAsia="lv-LV"/>
              </w:rPr>
            </w:pPr>
          </w:p>
        </w:tc>
        <w:tc>
          <w:tcPr>
            <w:tcW w:w="1134" w:type="dxa"/>
            <w:hideMark/>
          </w:tcPr>
          <w:p w14:paraId="30865EAB"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2DEA922D"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r>
      <w:tr w:rsidR="005717B0" w:rsidRPr="00E75FEE" w14:paraId="0EE04F7B" w14:textId="77777777" w:rsidTr="005717B0">
        <w:tc>
          <w:tcPr>
            <w:tcW w:w="1697" w:type="dxa"/>
            <w:hideMark/>
          </w:tcPr>
          <w:p w14:paraId="7F12A723"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5.3. pašvaldību budžets</w:t>
            </w:r>
          </w:p>
        </w:tc>
        <w:tc>
          <w:tcPr>
            <w:tcW w:w="993" w:type="dxa"/>
            <w:vMerge/>
            <w:hideMark/>
          </w:tcPr>
          <w:p w14:paraId="09A2E619" w14:textId="77777777" w:rsidR="005717B0" w:rsidRPr="00E75FEE" w:rsidRDefault="005717B0" w:rsidP="00BB19A4">
            <w:pPr>
              <w:jc w:val="center"/>
              <w:rPr>
                <w:rFonts w:eastAsia="Times New Roman" w:cs="Times New Roman"/>
                <w:szCs w:val="24"/>
                <w:lang w:eastAsia="lv-LV"/>
              </w:rPr>
            </w:pPr>
          </w:p>
        </w:tc>
        <w:tc>
          <w:tcPr>
            <w:tcW w:w="1134" w:type="dxa"/>
            <w:hideMark/>
          </w:tcPr>
          <w:p w14:paraId="496214A3"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vMerge/>
            <w:hideMark/>
          </w:tcPr>
          <w:p w14:paraId="52BE9CF6" w14:textId="77777777" w:rsidR="005717B0" w:rsidRPr="00E75FEE" w:rsidRDefault="005717B0" w:rsidP="00BB19A4">
            <w:pPr>
              <w:jc w:val="center"/>
              <w:rPr>
                <w:rFonts w:eastAsia="Times New Roman" w:cs="Times New Roman"/>
                <w:szCs w:val="24"/>
                <w:lang w:eastAsia="lv-LV"/>
              </w:rPr>
            </w:pPr>
          </w:p>
        </w:tc>
        <w:tc>
          <w:tcPr>
            <w:tcW w:w="1134" w:type="dxa"/>
            <w:hideMark/>
          </w:tcPr>
          <w:p w14:paraId="75986AD9"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992" w:type="dxa"/>
            <w:vMerge/>
            <w:hideMark/>
          </w:tcPr>
          <w:p w14:paraId="7347ECBB" w14:textId="77777777" w:rsidR="005717B0" w:rsidRPr="00E75FEE" w:rsidRDefault="005717B0" w:rsidP="00BB19A4">
            <w:pPr>
              <w:jc w:val="center"/>
              <w:rPr>
                <w:rFonts w:eastAsia="Times New Roman" w:cs="Times New Roman"/>
                <w:szCs w:val="24"/>
                <w:lang w:eastAsia="lv-LV"/>
              </w:rPr>
            </w:pPr>
          </w:p>
        </w:tc>
        <w:tc>
          <w:tcPr>
            <w:tcW w:w="1134" w:type="dxa"/>
            <w:hideMark/>
          </w:tcPr>
          <w:p w14:paraId="2951C356"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c>
          <w:tcPr>
            <w:tcW w:w="1134" w:type="dxa"/>
            <w:hideMark/>
          </w:tcPr>
          <w:p w14:paraId="40BF8865" w14:textId="77777777" w:rsidR="005717B0" w:rsidRPr="00E75FEE" w:rsidRDefault="005717B0" w:rsidP="00BB19A4">
            <w:pPr>
              <w:jc w:val="center"/>
              <w:rPr>
                <w:rFonts w:eastAsia="Times New Roman" w:cs="Times New Roman"/>
                <w:szCs w:val="24"/>
                <w:lang w:eastAsia="lv-LV"/>
              </w:rPr>
            </w:pPr>
            <w:r w:rsidRPr="00E75FEE">
              <w:rPr>
                <w:rFonts w:eastAsia="Times New Roman" w:cs="Times New Roman"/>
                <w:szCs w:val="24"/>
                <w:lang w:eastAsia="lv-LV"/>
              </w:rPr>
              <w:t>0</w:t>
            </w:r>
          </w:p>
        </w:tc>
      </w:tr>
      <w:tr w:rsidR="005717B0" w:rsidRPr="00E75FEE" w14:paraId="0C6D6948" w14:textId="77777777" w:rsidTr="005717B0">
        <w:tc>
          <w:tcPr>
            <w:tcW w:w="1697" w:type="dxa"/>
            <w:hideMark/>
          </w:tcPr>
          <w:p w14:paraId="4E55CB6B"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 xml:space="preserve">6. Detalizēts ieņēmumu un izdevumu aprēķins (ja nepieciešams, detalizētu ieņēmumu un izdevumu </w:t>
            </w:r>
            <w:r w:rsidRPr="00E75FEE">
              <w:rPr>
                <w:rFonts w:eastAsia="Times New Roman" w:cs="Times New Roman"/>
                <w:szCs w:val="24"/>
                <w:lang w:eastAsia="lv-LV"/>
              </w:rPr>
              <w:lastRenderedPageBreak/>
              <w:t>aprēķinu var pievienot anotācijas pielikumā)</w:t>
            </w:r>
          </w:p>
        </w:tc>
        <w:tc>
          <w:tcPr>
            <w:tcW w:w="7513" w:type="dxa"/>
            <w:gridSpan w:val="7"/>
            <w:vMerge w:val="restart"/>
            <w:hideMark/>
          </w:tcPr>
          <w:p w14:paraId="4C69A861" w14:textId="77777777" w:rsidR="005717B0" w:rsidRPr="00E75FEE" w:rsidRDefault="005717B0" w:rsidP="00BB19A4">
            <w:pPr>
              <w:jc w:val="both"/>
              <w:rPr>
                <w:rFonts w:eastAsia="Times New Roman" w:cs="Times New Roman"/>
                <w:szCs w:val="24"/>
                <w:lang w:eastAsia="lv-LV"/>
              </w:rPr>
            </w:pPr>
            <w:r w:rsidRPr="00E75FEE">
              <w:rPr>
                <w:rFonts w:cs="Times New Roman"/>
                <w:bCs/>
                <w:szCs w:val="24"/>
              </w:rPr>
              <w:lastRenderedPageBreak/>
              <w:t xml:space="preserve">Saskaņā ar Vides aizsardzības un reģionālas attīstības ministrijas (Valsts reģionālās attīstības aģentūras) sniegto informāciju Valsts reģionālās attīstības aģentūrai nepieciešams papildu finansējums indikatīvi 60 000 </w:t>
            </w:r>
            <w:r w:rsidRPr="00E75FEE">
              <w:rPr>
                <w:rFonts w:cs="Times New Roman"/>
                <w:bCs/>
                <w:i/>
                <w:szCs w:val="24"/>
              </w:rPr>
              <w:t>euro</w:t>
            </w:r>
            <w:r w:rsidRPr="00E75FEE">
              <w:rPr>
                <w:rFonts w:cs="Times New Roman"/>
                <w:bCs/>
                <w:szCs w:val="24"/>
              </w:rPr>
              <w:t xml:space="preserve"> apmērā  katru gadu kā maksa PEPPOL (</w:t>
            </w:r>
            <w:r w:rsidRPr="00E75FEE">
              <w:rPr>
                <w:rFonts w:cs="Times New Roman"/>
                <w:bCs/>
                <w:i/>
                <w:szCs w:val="24"/>
              </w:rPr>
              <w:t>Pan European Public Procurement On-Line</w:t>
            </w:r>
            <w:r w:rsidRPr="00E75FEE">
              <w:rPr>
                <w:rFonts w:cs="Times New Roman"/>
                <w:bCs/>
                <w:szCs w:val="24"/>
              </w:rPr>
              <w:t>) par sniegto pakalpojumu, k</w:t>
            </w:r>
            <w:r w:rsidRPr="00E75FEE">
              <w:rPr>
                <w:rFonts w:eastAsia="Times New Roman" w:cs="Times New Roman"/>
                <w:szCs w:val="24"/>
              </w:rPr>
              <w:t xml:space="preserve">as ir nepieciešams, lai nodrošinātu publiskajā pārvaldē centralizētu e-rēķinu apriti starp ārvalstīs pastāvīgi dzīvojošiem vai reģistrētiem piegādātājiem (fiziskām personām un komersantiem) un Latvijas pasūtītājiem, sabiedrisko pakalpojumu </w:t>
            </w:r>
            <w:r w:rsidRPr="00E75FEE">
              <w:rPr>
                <w:rFonts w:eastAsia="Times New Roman" w:cs="Times New Roman"/>
                <w:szCs w:val="24"/>
              </w:rPr>
              <w:lastRenderedPageBreak/>
              <w:t xml:space="preserve">sniedzējiem un publiskajiem partneriem vai to pārstāvjiem. Pakalpojums ietver integrācijas risinājuma ar PEPPOL mezglu izveidi un uzturēšanu, kā arī maksu par e-rēķinu apriti. Ņemot vērā, ka e-adrese publiskās pārvaldes iestādēm ir obligāta, e-adresei pieintegrētais PEPPOL mezgla punkts, ko plānots iegādāties kā pakalpojumu, potenciāli radīs ietaupījumu un pasūtītājiem, sabiedrisko pakalpojumu sniedzējiem un publiskajiem partneriem vai to pārstāvjiem nebūs jādomā par lokāla risinājuma izveidi un uzturēšanu e-rēķinu apritei. Tas taupīs gan finanšu resursu (nebūs jāveido lokāli risinājumi), gan IT personāla resursu, gan (pēc projekta realizācijas) arī ar rēķinu apstrādi saistītā personāla resursus (jo projekta ietvaros tiek plānota e-adreses IS un grāmatvedības IS integrācija, kas dos iespēju daļēji automatizēt rēķinu apstrādi). Vienlaikus šajā stadijā nav iespējams nodrošināt detalizētu izmaksu aprēķinu, bet norādītā gada maksa ir indikatīva un balstīta uz Vides aizsardzības un reģionālās attīstības ministrijas (Valsts reģionālās attīstības aģentūras) speciālistu konsultācijām ar attiecīgu pakalpojumu sniedzēju. </w:t>
            </w:r>
          </w:p>
        </w:tc>
      </w:tr>
      <w:tr w:rsidR="005717B0" w:rsidRPr="00E75FEE" w14:paraId="724C6E1F" w14:textId="77777777" w:rsidTr="005717B0">
        <w:tc>
          <w:tcPr>
            <w:tcW w:w="1697" w:type="dxa"/>
            <w:hideMark/>
          </w:tcPr>
          <w:p w14:paraId="5C6CB30A"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lastRenderedPageBreak/>
              <w:t>6.1. detalizēts ieņēmumu aprēķins</w:t>
            </w:r>
          </w:p>
        </w:tc>
        <w:tc>
          <w:tcPr>
            <w:tcW w:w="7513" w:type="dxa"/>
            <w:gridSpan w:val="7"/>
            <w:vMerge/>
            <w:hideMark/>
          </w:tcPr>
          <w:p w14:paraId="511D7633" w14:textId="77777777" w:rsidR="005717B0" w:rsidRPr="00E75FEE" w:rsidRDefault="005717B0" w:rsidP="00BB19A4">
            <w:pPr>
              <w:rPr>
                <w:rFonts w:eastAsia="Times New Roman" w:cs="Times New Roman"/>
                <w:szCs w:val="24"/>
                <w:lang w:eastAsia="lv-LV"/>
              </w:rPr>
            </w:pPr>
          </w:p>
        </w:tc>
      </w:tr>
      <w:tr w:rsidR="005717B0" w:rsidRPr="00E75FEE" w14:paraId="50F79970" w14:textId="77777777" w:rsidTr="005717B0">
        <w:tc>
          <w:tcPr>
            <w:tcW w:w="1697" w:type="dxa"/>
            <w:hideMark/>
          </w:tcPr>
          <w:p w14:paraId="7929952B"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6.2. detalizēts izdevumu aprēķins</w:t>
            </w:r>
          </w:p>
        </w:tc>
        <w:tc>
          <w:tcPr>
            <w:tcW w:w="7513" w:type="dxa"/>
            <w:gridSpan w:val="7"/>
            <w:vMerge/>
            <w:hideMark/>
          </w:tcPr>
          <w:p w14:paraId="4B4C80D7" w14:textId="77777777" w:rsidR="005717B0" w:rsidRPr="00E75FEE" w:rsidRDefault="005717B0" w:rsidP="00BB19A4">
            <w:pPr>
              <w:rPr>
                <w:rFonts w:eastAsia="Times New Roman" w:cs="Times New Roman"/>
                <w:szCs w:val="24"/>
                <w:lang w:eastAsia="lv-LV"/>
              </w:rPr>
            </w:pPr>
          </w:p>
        </w:tc>
      </w:tr>
      <w:tr w:rsidR="005717B0" w:rsidRPr="00E75FEE" w14:paraId="414D799B" w14:textId="77777777" w:rsidTr="005717B0">
        <w:tc>
          <w:tcPr>
            <w:tcW w:w="1697" w:type="dxa"/>
            <w:hideMark/>
          </w:tcPr>
          <w:p w14:paraId="45C635A7"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7. Amata vietu skaita izmaiņas</w:t>
            </w:r>
          </w:p>
        </w:tc>
        <w:tc>
          <w:tcPr>
            <w:tcW w:w="7513" w:type="dxa"/>
            <w:gridSpan w:val="7"/>
            <w:hideMark/>
          </w:tcPr>
          <w:p w14:paraId="60052AF2"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Projekts šo jomu neskar.</w:t>
            </w:r>
          </w:p>
        </w:tc>
      </w:tr>
      <w:tr w:rsidR="005717B0" w:rsidRPr="00E75FEE" w14:paraId="71686091" w14:textId="77777777" w:rsidTr="005717B0">
        <w:tc>
          <w:tcPr>
            <w:tcW w:w="1697" w:type="dxa"/>
            <w:hideMark/>
          </w:tcPr>
          <w:p w14:paraId="543EF42B" w14:textId="77777777" w:rsidR="005717B0" w:rsidRPr="00E75FEE" w:rsidRDefault="005717B0" w:rsidP="00BB19A4">
            <w:pPr>
              <w:rPr>
                <w:rFonts w:eastAsia="Times New Roman" w:cs="Times New Roman"/>
                <w:szCs w:val="24"/>
                <w:lang w:eastAsia="lv-LV"/>
              </w:rPr>
            </w:pPr>
            <w:r w:rsidRPr="00E75FEE">
              <w:rPr>
                <w:rFonts w:eastAsia="Times New Roman" w:cs="Times New Roman"/>
                <w:szCs w:val="24"/>
                <w:lang w:eastAsia="lv-LV"/>
              </w:rPr>
              <w:t>8. Cita informācija</w:t>
            </w:r>
          </w:p>
        </w:tc>
        <w:tc>
          <w:tcPr>
            <w:tcW w:w="7513" w:type="dxa"/>
            <w:gridSpan w:val="7"/>
            <w:hideMark/>
          </w:tcPr>
          <w:p w14:paraId="0E29ECB1" w14:textId="77777777" w:rsidR="005717B0" w:rsidRPr="00E75FEE" w:rsidRDefault="005717B0" w:rsidP="00BB19A4">
            <w:pPr>
              <w:jc w:val="both"/>
              <w:rPr>
                <w:rFonts w:cs="Times New Roman"/>
                <w:szCs w:val="24"/>
              </w:rPr>
            </w:pPr>
            <w:r w:rsidRPr="00E75FEE">
              <w:rPr>
                <w:rFonts w:cs="Times New Roman"/>
                <w:szCs w:val="24"/>
              </w:rPr>
              <w:t xml:space="preserve">Jautājumu par papildus nepieciešamā finansējuma piešķiršanu Valsts reģionālās attīstības aģentūrai indikatīvi 60 000 </w:t>
            </w:r>
            <w:r w:rsidRPr="00E75FEE">
              <w:rPr>
                <w:rFonts w:cs="Times New Roman"/>
                <w:i/>
                <w:szCs w:val="24"/>
              </w:rPr>
              <w:t>euro</w:t>
            </w:r>
            <w:r w:rsidRPr="00E75FEE">
              <w:rPr>
                <w:rFonts w:cs="Times New Roman"/>
                <w:szCs w:val="24"/>
              </w:rPr>
              <w:t xml:space="preserve"> katru gadu (kā maksu PEPPOL (</w:t>
            </w:r>
            <w:r w:rsidRPr="00E75FEE">
              <w:rPr>
                <w:rFonts w:cs="Times New Roman"/>
                <w:i/>
                <w:szCs w:val="24"/>
              </w:rPr>
              <w:t>Pan European Public Procurement On-Line</w:t>
            </w:r>
            <w:r w:rsidRPr="00E75FEE">
              <w:rPr>
                <w:rFonts w:cs="Times New Roman"/>
                <w:szCs w:val="24"/>
              </w:rPr>
              <w:t>) par sniegto pakalpojumu) izskatīt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ievērojot valsts budžeta finansiālās iespējas.</w:t>
            </w:r>
          </w:p>
          <w:p w14:paraId="7969F852" w14:textId="77777777" w:rsidR="005717B0" w:rsidRPr="00E75FEE" w:rsidRDefault="005717B0" w:rsidP="00BB19A4">
            <w:pPr>
              <w:jc w:val="both"/>
              <w:rPr>
                <w:rFonts w:cs="Times New Roman"/>
                <w:szCs w:val="24"/>
              </w:rPr>
            </w:pPr>
            <w:r w:rsidRPr="00E75FEE">
              <w:rPr>
                <w:rFonts w:cs="Times New Roman"/>
                <w:szCs w:val="24"/>
              </w:rPr>
              <w:t>Iesniedzot prioritārā pasākuma pieteikumu, informācija par nepieciešamā finansējuma apmēru aktualizējama un detalizējami pamatojama atbilstoši faktiskajai nepieciešamībai.</w:t>
            </w:r>
          </w:p>
        </w:tc>
      </w:tr>
    </w:tbl>
    <w:tbl>
      <w:tblPr>
        <w:tblW w:w="9221"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21"/>
      </w:tblGrid>
      <w:tr w:rsidR="003765F2" w:rsidRPr="003765F2" w14:paraId="019FD4D8" w14:textId="77777777" w:rsidTr="005717B0">
        <w:trPr>
          <w:trHeight w:val="308"/>
          <w:tblCellSpacing w:w="15" w:type="dxa"/>
        </w:trPr>
        <w:tc>
          <w:tcPr>
            <w:tcW w:w="91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57416E9" w14:textId="64773876" w:rsidR="003765F2" w:rsidRPr="003765F2" w:rsidRDefault="003765F2" w:rsidP="003765F2">
            <w:pPr>
              <w:spacing w:after="0" w:line="240" w:lineRule="auto"/>
              <w:jc w:val="center"/>
              <w:rPr>
                <w:rFonts w:ascii="Calibri" w:eastAsia="Times New Roman" w:hAnsi="Calibri" w:cs="Times New Roman"/>
                <w:sz w:val="20"/>
                <w:szCs w:val="20"/>
                <w:lang w:eastAsia="lv-LV"/>
              </w:rPr>
            </w:pPr>
            <w:r w:rsidRPr="003765F2">
              <w:rPr>
                <w:rFonts w:eastAsia="Times New Roman" w:cs="Times New Roman"/>
                <w:b/>
                <w:bCs/>
                <w:szCs w:val="24"/>
                <w:lang w:eastAsia="lv-LV"/>
              </w:rPr>
              <w:t>IV. Tiesību akta projekta ietekme uz spēkā esošo tiesību normu sistēmu</w:t>
            </w:r>
          </w:p>
        </w:tc>
      </w:tr>
      <w:tr w:rsidR="003765F2" w:rsidRPr="003765F2" w14:paraId="1EC12373" w14:textId="77777777" w:rsidTr="005717B0">
        <w:trPr>
          <w:trHeight w:val="32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B52108" w14:textId="77777777" w:rsidR="003765F2" w:rsidRPr="003765F2" w:rsidRDefault="003765F2" w:rsidP="003765F2">
            <w:pPr>
              <w:spacing w:after="0" w:line="240" w:lineRule="auto"/>
              <w:jc w:val="center"/>
              <w:rPr>
                <w:rFonts w:ascii="Calibri" w:eastAsia="Times New Roman" w:hAnsi="Calibri" w:cs="Times New Roman"/>
                <w:sz w:val="20"/>
                <w:szCs w:val="20"/>
                <w:lang w:eastAsia="lv-LV"/>
              </w:rPr>
            </w:pPr>
            <w:r w:rsidRPr="003765F2">
              <w:rPr>
                <w:rFonts w:eastAsia="Times New Roman" w:cs="Times New Roman"/>
                <w:szCs w:val="24"/>
                <w:lang w:eastAsia="lv-LV"/>
              </w:rPr>
              <w:t>Projekts šo jomu neskar.</w:t>
            </w:r>
          </w:p>
        </w:tc>
      </w:tr>
    </w:tbl>
    <w:p w14:paraId="0D4B111B" w14:textId="0B94D4E0" w:rsidR="003765F2" w:rsidRPr="00E01332" w:rsidRDefault="003765F2" w:rsidP="000D5B9E">
      <w:pPr>
        <w:shd w:val="clear" w:color="auto" w:fill="FFFFFF"/>
        <w:spacing w:after="0" w:line="24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55"/>
      </w:tblGrid>
      <w:tr w:rsidR="007170DA" w:rsidRPr="007170DA" w14:paraId="6FA69664" w14:textId="77777777" w:rsidTr="007170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tbl>
            <w:tblPr>
              <w:tblW w:w="8976" w:type="dxa"/>
              <w:tblCellMar>
                <w:left w:w="0" w:type="dxa"/>
                <w:right w:w="0" w:type="dxa"/>
              </w:tblCellMar>
              <w:tblLook w:val="04A0" w:firstRow="1" w:lastRow="0" w:firstColumn="1" w:lastColumn="0" w:noHBand="0" w:noVBand="1"/>
            </w:tblPr>
            <w:tblGrid>
              <w:gridCol w:w="270"/>
              <w:gridCol w:w="2513"/>
              <w:gridCol w:w="6193"/>
            </w:tblGrid>
            <w:tr w:rsidR="007170DA" w:rsidRPr="007170DA" w14:paraId="0D27C3D1" w14:textId="77777777">
              <w:trPr>
                <w:trHeight w:val="426"/>
              </w:trPr>
              <w:tc>
                <w:tcPr>
                  <w:tcW w:w="5000" w:type="pct"/>
                  <w:gridSpan w:val="3"/>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14:paraId="59CC4960"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b/>
                      <w:bCs/>
                      <w:spacing w:val="-4"/>
                      <w:szCs w:val="24"/>
                      <w:lang w:eastAsia="lv-LV"/>
                    </w:rPr>
                    <w:t>V. Tiesību akta projekta atbilstība Latvijas Republikas starptautiskajām saistībām</w:t>
                  </w:r>
                </w:p>
              </w:tc>
            </w:tr>
            <w:tr w:rsidR="007170DA" w:rsidRPr="007170DA" w14:paraId="50B1A46E" w14:textId="77777777">
              <w:trPr>
                <w:trHeight w:val="771"/>
              </w:trPr>
              <w:tc>
                <w:tcPr>
                  <w:tcW w:w="1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498FD788"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spacing w:val="-4"/>
                      <w:szCs w:val="24"/>
                      <w:lang w:eastAsia="lv-LV"/>
                    </w:rPr>
                    <w:t>1.</w:t>
                  </w:r>
                </w:p>
              </w:tc>
              <w:tc>
                <w:tcPr>
                  <w:tcW w:w="1400" w:type="pct"/>
                  <w:tcBorders>
                    <w:top w:val="nil"/>
                    <w:left w:val="nil"/>
                    <w:bottom w:val="outset" w:sz="8" w:space="0" w:color="414142"/>
                    <w:right w:val="outset" w:sz="8" w:space="0" w:color="414142"/>
                  </w:tcBorders>
                  <w:tcMar>
                    <w:top w:w="30" w:type="dxa"/>
                    <w:left w:w="30" w:type="dxa"/>
                    <w:bottom w:w="30" w:type="dxa"/>
                    <w:right w:w="30" w:type="dxa"/>
                  </w:tcMar>
                  <w:hideMark/>
                </w:tcPr>
                <w:p w14:paraId="2E4C557F"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spacing w:val="-4"/>
                      <w:szCs w:val="24"/>
                      <w:lang w:eastAsia="lv-LV"/>
                    </w:rPr>
                    <w:t>Saistības pret Eiropas Savienību</w:t>
                  </w:r>
                </w:p>
              </w:tc>
              <w:tc>
                <w:tcPr>
                  <w:tcW w:w="3350" w:type="pct"/>
                  <w:tcBorders>
                    <w:top w:val="nil"/>
                    <w:left w:val="nil"/>
                    <w:bottom w:val="outset" w:sz="8" w:space="0" w:color="414142"/>
                    <w:right w:val="outset" w:sz="8" w:space="0" w:color="414142"/>
                  </w:tcBorders>
                  <w:tcMar>
                    <w:top w:w="30" w:type="dxa"/>
                    <w:left w:w="30" w:type="dxa"/>
                    <w:bottom w:w="30" w:type="dxa"/>
                    <w:right w:w="30" w:type="dxa"/>
                  </w:tcMar>
                  <w:hideMark/>
                </w:tcPr>
                <w:p w14:paraId="4178C1DA" w14:textId="77777777" w:rsidR="007170DA" w:rsidRPr="007170DA" w:rsidRDefault="007170DA" w:rsidP="007170DA">
                  <w:pPr>
                    <w:spacing w:after="0" w:line="240" w:lineRule="auto"/>
                    <w:jc w:val="both"/>
                    <w:rPr>
                      <w:rFonts w:ascii="Calibri" w:eastAsia="Times New Roman" w:hAnsi="Calibri" w:cs="Times New Roman"/>
                      <w:szCs w:val="24"/>
                      <w:lang w:eastAsia="lv-LV"/>
                    </w:rPr>
                  </w:pPr>
                  <w:r w:rsidRPr="007170DA">
                    <w:rPr>
                      <w:rFonts w:eastAsia="Times New Roman" w:cs="Times New Roman"/>
                      <w:spacing w:val="-4"/>
                      <w:szCs w:val="24"/>
                      <w:lang w:eastAsia="lv-LV"/>
                    </w:rPr>
                    <w:t>Eiropas Parlamenta un Padomes 2014.gada 16.aprīļa direktīva2014/55/ES par elektroniskajiem rēķiniem publiskā iepirkuma procedūrās.</w:t>
                  </w:r>
                </w:p>
              </w:tc>
            </w:tr>
            <w:tr w:rsidR="007170DA" w:rsidRPr="007170DA" w14:paraId="6B4622DA" w14:textId="77777777">
              <w:trPr>
                <w:trHeight w:val="430"/>
              </w:trPr>
              <w:tc>
                <w:tcPr>
                  <w:tcW w:w="1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49FE00CD"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spacing w:val="-4"/>
                      <w:szCs w:val="24"/>
                      <w:lang w:eastAsia="lv-LV"/>
                    </w:rPr>
                    <w:t>2.</w:t>
                  </w:r>
                </w:p>
              </w:tc>
              <w:tc>
                <w:tcPr>
                  <w:tcW w:w="1400" w:type="pct"/>
                  <w:tcBorders>
                    <w:top w:val="nil"/>
                    <w:left w:val="nil"/>
                    <w:bottom w:val="outset" w:sz="8" w:space="0" w:color="414142"/>
                    <w:right w:val="outset" w:sz="8" w:space="0" w:color="414142"/>
                  </w:tcBorders>
                  <w:tcMar>
                    <w:top w:w="30" w:type="dxa"/>
                    <w:left w:w="30" w:type="dxa"/>
                    <w:bottom w:w="30" w:type="dxa"/>
                    <w:right w:w="30" w:type="dxa"/>
                  </w:tcMar>
                  <w:hideMark/>
                </w:tcPr>
                <w:p w14:paraId="3071A771"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spacing w:val="-4"/>
                      <w:szCs w:val="24"/>
                      <w:lang w:eastAsia="lv-LV"/>
                    </w:rPr>
                    <w:t>Citas starptautiskās saistības</w:t>
                  </w:r>
                </w:p>
              </w:tc>
              <w:tc>
                <w:tcPr>
                  <w:tcW w:w="3350" w:type="pct"/>
                  <w:tcBorders>
                    <w:top w:val="nil"/>
                    <w:left w:val="nil"/>
                    <w:bottom w:val="outset" w:sz="8" w:space="0" w:color="414142"/>
                    <w:right w:val="outset" w:sz="8" w:space="0" w:color="414142"/>
                  </w:tcBorders>
                  <w:tcMar>
                    <w:top w:w="30" w:type="dxa"/>
                    <w:left w:w="30" w:type="dxa"/>
                    <w:bottom w:w="30" w:type="dxa"/>
                    <w:right w:w="30" w:type="dxa"/>
                  </w:tcMar>
                  <w:hideMark/>
                </w:tcPr>
                <w:p w14:paraId="13317444" w14:textId="13664F6D" w:rsidR="007170DA" w:rsidRPr="007170DA" w:rsidRDefault="003765F2" w:rsidP="007170DA">
                  <w:pPr>
                    <w:spacing w:after="0" w:line="240" w:lineRule="auto"/>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007170DA" w:rsidRPr="007170DA">
                    <w:rPr>
                      <w:rFonts w:eastAsia="Times New Roman" w:cs="Times New Roman"/>
                      <w:color w:val="000000"/>
                      <w:spacing w:val="-4"/>
                      <w:szCs w:val="24"/>
                      <w:lang w:eastAsia="lv-LV"/>
                    </w:rPr>
                    <w:t xml:space="preserve"> šo jomu neskar.</w:t>
                  </w:r>
                </w:p>
              </w:tc>
            </w:tr>
            <w:tr w:rsidR="007170DA" w:rsidRPr="007170DA" w14:paraId="62C6B144" w14:textId="77777777">
              <w:trPr>
                <w:trHeight w:val="263"/>
              </w:trPr>
              <w:tc>
                <w:tcPr>
                  <w:tcW w:w="1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7CB3F057"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spacing w:val="-4"/>
                      <w:szCs w:val="24"/>
                      <w:lang w:eastAsia="lv-LV"/>
                    </w:rPr>
                    <w:t>3.</w:t>
                  </w:r>
                </w:p>
              </w:tc>
              <w:tc>
                <w:tcPr>
                  <w:tcW w:w="1400" w:type="pct"/>
                  <w:tcBorders>
                    <w:top w:val="nil"/>
                    <w:left w:val="nil"/>
                    <w:bottom w:val="outset" w:sz="8" w:space="0" w:color="414142"/>
                    <w:right w:val="outset" w:sz="8" w:space="0" w:color="414142"/>
                  </w:tcBorders>
                  <w:tcMar>
                    <w:top w:w="30" w:type="dxa"/>
                    <w:left w:w="30" w:type="dxa"/>
                    <w:bottom w:w="30" w:type="dxa"/>
                    <w:right w:w="30" w:type="dxa"/>
                  </w:tcMar>
                  <w:hideMark/>
                </w:tcPr>
                <w:p w14:paraId="1E183038"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spacing w:val="-4"/>
                      <w:szCs w:val="24"/>
                      <w:lang w:eastAsia="lv-LV"/>
                    </w:rPr>
                    <w:t>Cita informācija</w:t>
                  </w:r>
                </w:p>
              </w:tc>
              <w:tc>
                <w:tcPr>
                  <w:tcW w:w="3350" w:type="pct"/>
                  <w:tcBorders>
                    <w:top w:val="nil"/>
                    <w:left w:val="nil"/>
                    <w:bottom w:val="outset" w:sz="8" w:space="0" w:color="414142"/>
                    <w:right w:val="outset" w:sz="8" w:space="0" w:color="414142"/>
                  </w:tcBorders>
                  <w:tcMar>
                    <w:top w:w="30" w:type="dxa"/>
                    <w:left w:w="30" w:type="dxa"/>
                    <w:bottom w:w="30" w:type="dxa"/>
                    <w:right w:w="30" w:type="dxa"/>
                  </w:tcMar>
                  <w:hideMark/>
                </w:tcPr>
                <w:p w14:paraId="20FE9C80"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spacing w:val="-4"/>
                      <w:szCs w:val="24"/>
                      <w:lang w:eastAsia="lv-LV"/>
                    </w:rPr>
                    <w:t>Nav.</w:t>
                  </w:r>
                </w:p>
              </w:tc>
            </w:tr>
            <w:tr w:rsidR="007170DA" w:rsidRPr="007170DA" w14:paraId="2D9E6AAB" w14:textId="77777777">
              <w:trPr>
                <w:trHeight w:val="263"/>
              </w:trPr>
              <w:tc>
                <w:tcPr>
                  <w:tcW w:w="5000" w:type="pct"/>
                  <w:gridSpan w:val="3"/>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7B8B6494" w14:textId="77777777" w:rsidR="007170DA" w:rsidRPr="007170DA" w:rsidRDefault="007170DA" w:rsidP="007170DA">
                  <w:pPr>
                    <w:spacing w:after="0" w:line="240" w:lineRule="auto"/>
                    <w:jc w:val="center"/>
                    <w:rPr>
                      <w:rFonts w:ascii="Calibri" w:eastAsia="Times New Roman" w:hAnsi="Calibri" w:cs="Times New Roman"/>
                      <w:szCs w:val="24"/>
                      <w:lang w:eastAsia="lv-LV"/>
                    </w:rPr>
                  </w:pPr>
                  <w:r w:rsidRPr="007170DA">
                    <w:rPr>
                      <w:rFonts w:eastAsia="Times New Roman" w:cs="Times New Roman"/>
                      <w:b/>
                      <w:bCs/>
                      <w:color w:val="000000"/>
                      <w:spacing w:val="-4"/>
                      <w:szCs w:val="24"/>
                      <w:lang w:eastAsia="lv-LV"/>
                    </w:rPr>
                    <w:t>1.tabula</w:t>
                  </w:r>
                  <w:r w:rsidRPr="007170DA">
                    <w:rPr>
                      <w:rFonts w:eastAsia="Times New Roman" w:cs="Times New Roman"/>
                      <w:b/>
                      <w:bCs/>
                      <w:color w:val="000000"/>
                      <w:spacing w:val="-4"/>
                      <w:szCs w:val="24"/>
                      <w:lang w:eastAsia="lv-LV"/>
                    </w:rPr>
                    <w:br/>
                    <w:t>Tiesību akta projekta atbilstība ES tiesību aktiem</w:t>
                  </w:r>
                </w:p>
              </w:tc>
            </w:tr>
          </w:tbl>
          <w:p w14:paraId="316EE0FD" w14:textId="77777777" w:rsidR="007170DA" w:rsidRPr="007170DA" w:rsidRDefault="007170DA" w:rsidP="007170DA">
            <w:pPr>
              <w:spacing w:after="0" w:line="240" w:lineRule="auto"/>
              <w:rPr>
                <w:rFonts w:eastAsia="Times New Roman" w:cs="Times New Roman"/>
                <w:vanish/>
                <w:szCs w:val="24"/>
                <w:lang w:eastAsia="lv-LV"/>
              </w:rPr>
            </w:pPr>
          </w:p>
          <w:tbl>
            <w:tblPr>
              <w:tblW w:w="8979" w:type="dxa"/>
              <w:tblCellMar>
                <w:left w:w="0" w:type="dxa"/>
                <w:right w:w="0" w:type="dxa"/>
              </w:tblCellMar>
              <w:tblLook w:val="04A0" w:firstRow="1" w:lastRow="0" w:firstColumn="1" w:lastColumn="0" w:noHBand="0" w:noVBand="1"/>
            </w:tblPr>
            <w:tblGrid>
              <w:gridCol w:w="1608"/>
              <w:gridCol w:w="1985"/>
              <w:gridCol w:w="2970"/>
              <w:gridCol w:w="2416"/>
            </w:tblGrid>
            <w:tr w:rsidR="007170DA" w:rsidRPr="007170DA" w14:paraId="12A18E69" w14:textId="77777777">
              <w:trPr>
                <w:trHeight w:val="830"/>
              </w:trPr>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BA0C9A"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Attiecīgā Eiropas Savienības tiesību akta datums, nosaukums</w:t>
                  </w:r>
                </w:p>
              </w:tc>
              <w:tc>
                <w:tcPr>
                  <w:tcW w:w="737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821662" w14:textId="77D785AC" w:rsidR="007170DA" w:rsidRPr="007170DA" w:rsidRDefault="007170DA" w:rsidP="00E01332">
                  <w:pPr>
                    <w:spacing w:line="214" w:lineRule="atLeast"/>
                    <w:jc w:val="both"/>
                    <w:rPr>
                      <w:rFonts w:ascii="Calibri" w:eastAsia="Times New Roman" w:hAnsi="Calibri" w:cs="Times New Roman"/>
                      <w:szCs w:val="24"/>
                      <w:lang w:eastAsia="lv-LV"/>
                    </w:rPr>
                  </w:pPr>
                  <w:r w:rsidRPr="007170DA">
                    <w:rPr>
                      <w:rFonts w:eastAsia="Times New Roman" w:cs="Times New Roman"/>
                      <w:spacing w:val="-4"/>
                      <w:szCs w:val="24"/>
                      <w:lang w:eastAsia="lv-LV"/>
                    </w:rPr>
                    <w:t>Eiropas Parlamenta</w:t>
                  </w:r>
                  <w:r w:rsidR="00E01332">
                    <w:rPr>
                      <w:rFonts w:eastAsia="Times New Roman" w:cs="Times New Roman"/>
                      <w:spacing w:val="-4"/>
                      <w:szCs w:val="24"/>
                      <w:lang w:eastAsia="lv-LV"/>
                    </w:rPr>
                    <w:t xml:space="preserve"> un Padomes 2014.gada 16.aprīļa </w:t>
                  </w:r>
                  <w:r w:rsidRPr="007170DA">
                    <w:rPr>
                      <w:rFonts w:eastAsia="Times New Roman" w:cs="Times New Roman"/>
                      <w:spacing w:val="-4"/>
                      <w:szCs w:val="24"/>
                      <w:lang w:eastAsia="lv-LV"/>
                    </w:rPr>
                    <w:t>direktīva</w:t>
                  </w:r>
                  <w:r w:rsidRPr="007170DA">
                    <w:rPr>
                      <w:rFonts w:eastAsia="Times New Roman" w:cs="Times New Roman"/>
                      <w:b/>
                      <w:bCs/>
                      <w:color w:val="444444"/>
                      <w:spacing w:val="-4"/>
                      <w:szCs w:val="24"/>
                      <w:shd w:val="clear" w:color="auto" w:fill="FFFFFF"/>
                      <w:lang w:eastAsia="lv-LV"/>
                    </w:rPr>
                    <w:t> </w:t>
                  </w:r>
                  <w:r w:rsidRPr="007170DA">
                    <w:rPr>
                      <w:rFonts w:eastAsia="Times New Roman" w:cs="Times New Roman"/>
                      <w:spacing w:val="-4"/>
                      <w:szCs w:val="24"/>
                      <w:lang w:eastAsia="lv-LV"/>
                    </w:rPr>
                    <w:t>2014/55/ES par elektroniskajiem rēķiniem publiskā iepirkuma procedūrās</w:t>
                  </w:r>
                </w:p>
              </w:tc>
            </w:tr>
            <w:tr w:rsidR="007170DA" w:rsidRPr="007170DA" w14:paraId="4951A2EB" w14:textId="77777777" w:rsidTr="00896892">
              <w:trPr>
                <w:trHeight w:val="271"/>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11FB2"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lastRenderedPageBreak/>
                    <w:t>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989C96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B</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6014BAB"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C</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7AC09644"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D</w:t>
                  </w:r>
                </w:p>
              </w:tc>
            </w:tr>
            <w:tr w:rsidR="007170DA" w:rsidRPr="007170DA" w14:paraId="4CDFC718"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6B834" w14:textId="67FA20E5"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5BE3E0B8" w14:textId="694626AD"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1.pants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030DA65" w14:textId="21FE5167" w:rsidR="007170DA" w:rsidRPr="007170DA" w:rsidRDefault="00896892" w:rsidP="001D2557">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1D2557">
                    <w:rPr>
                      <w:rFonts w:eastAsia="Times New Roman" w:cs="Times New Roman"/>
                      <w:spacing w:val="-4"/>
                      <w:szCs w:val="24"/>
                      <w:lang w:eastAsia="lv-LV"/>
                    </w:rPr>
                    <w:t>3</w:t>
                  </w:r>
                  <w:r w:rsidR="003343F3">
                    <w:rPr>
                      <w:rFonts w:eastAsia="Times New Roman" w:cs="Times New Roman"/>
                      <w:spacing w:val="-4"/>
                      <w:szCs w:val="24"/>
                      <w:lang w:eastAsia="lv-LV"/>
                    </w:rPr>
                    <w:t>.punkts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D372F93"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tiek pārņemta/ ieviesta daļēji.</w:t>
                  </w:r>
                </w:p>
                <w:p w14:paraId="49292744" w14:textId="77777777" w:rsidR="007170DA" w:rsidRPr="007170DA" w:rsidRDefault="007170DA" w:rsidP="00622939">
                  <w:pPr>
                    <w:spacing w:line="214" w:lineRule="atLeast"/>
                    <w:jc w:val="both"/>
                    <w:rPr>
                      <w:rFonts w:ascii="Calibri" w:eastAsia="Times New Roman" w:hAnsi="Calibri" w:cs="Times New Roman"/>
                      <w:szCs w:val="24"/>
                      <w:lang w:eastAsia="lv-LV"/>
                    </w:rPr>
                  </w:pPr>
                  <w:r w:rsidRPr="007170DA">
                    <w:rPr>
                      <w:rFonts w:eastAsia="Times New Roman" w:cs="Times New Roman"/>
                      <w:color w:val="000000"/>
                      <w:spacing w:val="-4"/>
                      <w:szCs w:val="24"/>
                      <w:lang w:eastAsia="lv-LV"/>
                    </w:rPr>
                    <w:t>Pilnīgas direktīvas normas transponēšanai ir nepieciešami grozījumi Sabiedrisko pakalpojumu sniedzēju iepirkumu likumā, Publiskā un privātās partnerības likumā un Aizsardzības un drošības jomas iepirkumu likumā.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4AD44820" w14:textId="091BC5AC"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 xml:space="preserve">Noteikumu projekts </w:t>
                  </w:r>
                  <w:r w:rsidR="007170DA" w:rsidRPr="007170DA">
                    <w:rPr>
                      <w:rFonts w:eastAsia="Times New Roman" w:cs="Times New Roman"/>
                      <w:color w:val="000000"/>
                      <w:spacing w:val="-4"/>
                      <w:szCs w:val="24"/>
                      <w:lang w:eastAsia="lv-LV"/>
                    </w:rPr>
                    <w:t>stingrākas prasības neparedz</w:t>
                  </w:r>
                </w:p>
              </w:tc>
            </w:tr>
            <w:tr w:rsidR="007170DA" w:rsidRPr="007170DA" w14:paraId="376138FF"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5F9F1" w14:textId="4436173F"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3FE5CAE5" w14:textId="14B19D8D"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2.panta 1.punkts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9DCF8E5" w14:textId="5D2E6968" w:rsidR="007170DA" w:rsidRPr="00B4472A" w:rsidRDefault="00B4472A" w:rsidP="00B4472A">
                  <w:pPr>
                    <w:jc w:val="both"/>
                    <w:rPr>
                      <w:sz w:val="22"/>
                    </w:rPr>
                  </w:pPr>
                  <w:r w:rsidRPr="00B4472A">
                    <w:rPr>
                      <w:sz w:val="22"/>
                    </w:rPr>
                    <w:t>Publisko iepirkumu likuma</w:t>
                  </w:r>
                  <w:r w:rsidR="00896892" w:rsidRPr="00B4472A">
                    <w:rPr>
                      <w:sz w:val="22"/>
                    </w:rPr>
                    <w:t xml:space="preserve"> </w:t>
                  </w:r>
                  <w:r w:rsidRPr="00B4472A">
                    <w:rPr>
                      <w:sz w:val="22"/>
                    </w:rPr>
                    <w:t>1. panta 5.</w:t>
                  </w:r>
                  <w:r w:rsidRPr="00B4472A">
                    <w:rPr>
                      <w:sz w:val="22"/>
                      <w:vertAlign w:val="superscript"/>
                    </w:rPr>
                    <w:t>1</w:t>
                  </w:r>
                  <w:r w:rsidRPr="00B4472A">
                    <w:rPr>
                      <w:sz w:val="22"/>
                    </w:rPr>
                    <w:t> punkts</w:t>
                  </w:r>
                  <w:r>
                    <w:rPr>
                      <w:sz w:val="22"/>
                    </w:rPr>
                    <w:t>;</w:t>
                  </w:r>
                  <w:r w:rsidRPr="00B4472A">
                    <w:rPr>
                      <w:sz w:val="22"/>
                    </w:rPr>
                    <w:t xml:space="preserve"> </w:t>
                  </w:r>
                </w:p>
                <w:p w14:paraId="24B47D5D" w14:textId="6EC3597E" w:rsidR="00B4472A" w:rsidRPr="00B4472A" w:rsidRDefault="00B4472A" w:rsidP="00B4472A">
                  <w:pPr>
                    <w:jc w:val="both"/>
                    <w:rPr>
                      <w:sz w:val="22"/>
                    </w:rPr>
                  </w:pPr>
                  <w:bookmarkStart w:id="1" w:name="mainRow"/>
                  <w:r w:rsidRPr="00B4472A">
                    <w:rPr>
                      <w:sz w:val="22"/>
                    </w:rPr>
                    <w:t>Aizsardzības un drošības jomas iepirkumu likuma 1. panta 5.</w:t>
                  </w:r>
                  <w:r w:rsidRPr="00B4472A">
                    <w:rPr>
                      <w:sz w:val="22"/>
                      <w:vertAlign w:val="superscript"/>
                    </w:rPr>
                    <w:t>1</w:t>
                  </w:r>
                  <w:r w:rsidRPr="00B4472A">
                    <w:rPr>
                      <w:sz w:val="22"/>
                    </w:rPr>
                    <w:t> punkts</w:t>
                  </w:r>
                  <w:r>
                    <w:rPr>
                      <w:sz w:val="22"/>
                    </w:rPr>
                    <w:t>;</w:t>
                  </w:r>
                </w:p>
                <w:p w14:paraId="70DCFFA6" w14:textId="22300F4D" w:rsidR="00B4472A" w:rsidRPr="00B4472A" w:rsidRDefault="00B4472A" w:rsidP="00B4472A">
                  <w:pPr>
                    <w:jc w:val="both"/>
                    <w:rPr>
                      <w:sz w:val="22"/>
                    </w:rPr>
                  </w:pPr>
                  <w:r w:rsidRPr="00B4472A">
                    <w:rPr>
                      <w:sz w:val="22"/>
                    </w:rPr>
                    <w:t>Sabiedrisko pakalpojumu sniedzēju iepirkumu likuma 1. panta 6.</w:t>
                  </w:r>
                  <w:r w:rsidRPr="00B4472A">
                    <w:rPr>
                      <w:sz w:val="22"/>
                      <w:vertAlign w:val="superscript"/>
                    </w:rPr>
                    <w:t>1</w:t>
                  </w:r>
                  <w:r w:rsidRPr="00B4472A">
                    <w:rPr>
                      <w:sz w:val="22"/>
                    </w:rPr>
                    <w:t> punkts</w:t>
                  </w:r>
                  <w:r>
                    <w:rPr>
                      <w:sz w:val="22"/>
                    </w:rPr>
                    <w:t>;</w:t>
                  </w:r>
                </w:p>
                <w:p w14:paraId="6DA59199" w14:textId="10D47094" w:rsidR="00B4472A" w:rsidRPr="00B4472A" w:rsidRDefault="00B4472A" w:rsidP="00B4472A">
                  <w:pPr>
                    <w:jc w:val="both"/>
                    <w:rPr>
                      <w:sz w:val="22"/>
                    </w:rPr>
                  </w:pPr>
                  <w:r w:rsidRPr="00B4472A">
                    <w:rPr>
                      <w:sz w:val="22"/>
                    </w:rPr>
                    <w:t>Publiskās un privātās partnerības likuma 1.panta 39.punkts</w:t>
                  </w:r>
                  <w:r>
                    <w:rPr>
                      <w:sz w:val="22"/>
                    </w:rPr>
                    <w:t>.</w:t>
                  </w:r>
                  <w:bookmarkEnd w:id="1"/>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3CF95B1" w14:textId="77777777" w:rsidR="007170DA" w:rsidRPr="007170DA" w:rsidRDefault="007170DA" w:rsidP="00622939">
                  <w:pPr>
                    <w:spacing w:line="214" w:lineRule="atLeast"/>
                    <w:jc w:val="both"/>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4DAE6B8F" w14:textId="44087589"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007170DA" w:rsidRPr="007170DA">
                    <w:rPr>
                      <w:rFonts w:eastAsia="Times New Roman" w:cs="Times New Roman"/>
                      <w:color w:val="000000"/>
                      <w:spacing w:val="-4"/>
                      <w:szCs w:val="24"/>
                      <w:lang w:eastAsia="lv-LV"/>
                    </w:rPr>
                    <w:t xml:space="preserve"> stingrākas prasības neparedz</w:t>
                  </w:r>
                </w:p>
              </w:tc>
            </w:tr>
            <w:tr w:rsidR="007170DA" w:rsidRPr="007170DA" w14:paraId="77785781"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56987"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27D465A1"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2.panta 2.punkts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A4BA6E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34EEED1" w14:textId="77777777" w:rsidR="007170DA" w:rsidRPr="00622939" w:rsidRDefault="007170DA" w:rsidP="00622939">
                  <w:pPr>
                    <w:spacing w:line="214" w:lineRule="atLeast"/>
                    <w:jc w:val="both"/>
                    <w:rPr>
                      <w:rFonts w:ascii="Calibri" w:eastAsia="Times New Roman" w:hAnsi="Calibri" w:cs="Times New Roman"/>
                      <w:color w:val="000000" w:themeColor="text1"/>
                      <w:szCs w:val="24"/>
                      <w:lang w:eastAsia="lv-LV"/>
                    </w:rPr>
                  </w:pPr>
                  <w:r w:rsidRPr="00622939">
                    <w:rPr>
                      <w:rFonts w:eastAsia="Times New Roman" w:cs="Times New Roman"/>
                      <w:color w:val="000000" w:themeColor="text1"/>
                      <w:spacing w:val="-4"/>
                      <w:szCs w:val="24"/>
                      <w:lang w:eastAsia="lv-LV"/>
                    </w:rPr>
                    <w:t>ES tiesību akta vienība netiek pārņemta/ ieviesta.</w:t>
                  </w:r>
                </w:p>
                <w:p w14:paraId="662CAE47" w14:textId="19ACEA10" w:rsidR="007170DA" w:rsidRPr="00622939" w:rsidRDefault="00622939" w:rsidP="00622939">
                  <w:pPr>
                    <w:spacing w:line="214" w:lineRule="atLeast"/>
                    <w:jc w:val="both"/>
                    <w:rPr>
                      <w:rFonts w:ascii="Calibri" w:eastAsia="Times New Roman" w:hAnsi="Calibri" w:cs="Times New Roman"/>
                      <w:color w:val="000000" w:themeColor="text1"/>
                      <w:szCs w:val="24"/>
                      <w:lang w:eastAsia="lv-LV"/>
                    </w:rPr>
                  </w:pPr>
                  <w:r w:rsidRPr="00622939">
                    <w:rPr>
                      <w:rFonts w:eastAsia="Times New Roman" w:cs="Times New Roman"/>
                      <w:color w:val="000000" w:themeColor="text1"/>
                      <w:spacing w:val="-4"/>
                      <w:szCs w:val="24"/>
                      <w:lang w:eastAsia="lv-LV"/>
                    </w:rPr>
                    <w:t>Direktīvas 2014/55/ES 2.panta 2.punktā minētais termins netiek lietots normatīvajos aktos</w:t>
                  </w:r>
                  <w:r>
                    <w:rPr>
                      <w:rFonts w:eastAsia="Times New Roman" w:cs="Times New Roman"/>
                      <w:color w:val="000000" w:themeColor="text1"/>
                      <w:spacing w:val="-4"/>
                      <w:szCs w:val="24"/>
                      <w:lang w:eastAsia="lv-LV"/>
                    </w:rPr>
                    <w:t>.</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5B26B847" w14:textId="57AF8D0B"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007170DA" w:rsidRPr="007170DA">
                    <w:rPr>
                      <w:rFonts w:eastAsia="Times New Roman" w:cs="Times New Roman"/>
                      <w:color w:val="000000"/>
                      <w:spacing w:val="-4"/>
                      <w:szCs w:val="24"/>
                      <w:lang w:eastAsia="lv-LV"/>
                    </w:rPr>
                    <w:t xml:space="preserve"> stingrākas prasības neparedz</w:t>
                  </w:r>
                </w:p>
              </w:tc>
            </w:tr>
            <w:tr w:rsidR="007170DA" w:rsidRPr="007170DA" w14:paraId="3CF8A04C"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2B20E"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5EC1D64A"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2.panta 3.punkts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D46BA6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D6A2CB5" w14:textId="77777777" w:rsidR="007170DA" w:rsidRPr="00622939" w:rsidRDefault="007170DA" w:rsidP="00622939">
                  <w:pPr>
                    <w:spacing w:line="214" w:lineRule="atLeast"/>
                    <w:jc w:val="both"/>
                    <w:rPr>
                      <w:rFonts w:ascii="Calibri" w:eastAsia="Times New Roman" w:hAnsi="Calibri" w:cs="Times New Roman"/>
                      <w:color w:val="000000" w:themeColor="text1"/>
                      <w:szCs w:val="24"/>
                      <w:lang w:eastAsia="lv-LV"/>
                    </w:rPr>
                  </w:pPr>
                  <w:r w:rsidRPr="00622939">
                    <w:rPr>
                      <w:rFonts w:eastAsia="Times New Roman" w:cs="Times New Roman"/>
                      <w:color w:val="000000" w:themeColor="text1"/>
                      <w:spacing w:val="-4"/>
                      <w:szCs w:val="24"/>
                      <w:lang w:eastAsia="lv-LV"/>
                    </w:rPr>
                    <w:t>ES tiesību akta vienība netiek pārņemta/ ieviesta.</w:t>
                  </w:r>
                </w:p>
                <w:p w14:paraId="5D41D812" w14:textId="05B1FF3D" w:rsidR="007170DA" w:rsidRPr="00622939" w:rsidRDefault="00622939" w:rsidP="00622939">
                  <w:pPr>
                    <w:spacing w:line="214" w:lineRule="atLeast"/>
                    <w:jc w:val="both"/>
                    <w:rPr>
                      <w:rFonts w:ascii="Calibri" w:eastAsia="Times New Roman" w:hAnsi="Calibri" w:cs="Times New Roman"/>
                      <w:color w:val="000000" w:themeColor="text1"/>
                      <w:szCs w:val="24"/>
                      <w:lang w:eastAsia="lv-LV"/>
                    </w:rPr>
                  </w:pPr>
                  <w:r w:rsidRPr="00622939">
                    <w:rPr>
                      <w:rFonts w:eastAsia="Times New Roman" w:cs="Times New Roman"/>
                      <w:color w:val="000000" w:themeColor="text1"/>
                      <w:spacing w:val="-4"/>
                      <w:szCs w:val="24"/>
                      <w:lang w:eastAsia="lv-LV"/>
                    </w:rPr>
                    <w:t>Direktīvas 2014/55/ES 2.panta 3.punktā minētais termins netiek lietots normatīvajos aktos</w:t>
                  </w:r>
                  <w:r>
                    <w:rPr>
                      <w:rFonts w:eastAsia="Times New Roman" w:cs="Times New Roman"/>
                      <w:color w:val="000000" w:themeColor="text1"/>
                      <w:spacing w:val="-4"/>
                      <w:szCs w:val="24"/>
                      <w:lang w:eastAsia="lv-LV"/>
                    </w:rPr>
                    <w:t>.</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420B0CD8" w14:textId="40FA4119"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 xml:space="preserve">Noteikumu projekts </w:t>
                  </w:r>
                  <w:r w:rsidR="007170DA" w:rsidRPr="007170DA">
                    <w:rPr>
                      <w:rFonts w:eastAsia="Times New Roman" w:cs="Times New Roman"/>
                      <w:color w:val="000000"/>
                      <w:spacing w:val="-4"/>
                      <w:szCs w:val="24"/>
                      <w:lang w:eastAsia="lv-LV"/>
                    </w:rPr>
                    <w:t>stingrākas prasības neparedz</w:t>
                  </w:r>
                </w:p>
              </w:tc>
            </w:tr>
            <w:tr w:rsidR="007170DA" w:rsidRPr="007170DA" w14:paraId="069CCCAD"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E1A01"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292A57A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lastRenderedPageBreak/>
                    <w:t>2.panta 4.punkts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8728068" w14:textId="1EB23A11" w:rsidR="007170DA" w:rsidRPr="007170DA" w:rsidRDefault="003343F3"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lastRenderedPageBreak/>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BB4F996" w14:textId="77777777" w:rsidR="007170DA" w:rsidRPr="00622939" w:rsidRDefault="007170DA" w:rsidP="00622939">
                  <w:pPr>
                    <w:spacing w:line="214" w:lineRule="atLeast"/>
                    <w:jc w:val="both"/>
                    <w:rPr>
                      <w:rFonts w:ascii="Calibri" w:eastAsia="Times New Roman" w:hAnsi="Calibri" w:cs="Times New Roman"/>
                      <w:color w:val="000000" w:themeColor="text1"/>
                      <w:szCs w:val="24"/>
                      <w:lang w:eastAsia="lv-LV"/>
                    </w:rPr>
                  </w:pPr>
                  <w:r w:rsidRPr="00622939">
                    <w:rPr>
                      <w:rFonts w:eastAsia="Times New Roman" w:cs="Times New Roman"/>
                      <w:color w:val="000000" w:themeColor="text1"/>
                      <w:spacing w:val="-4"/>
                      <w:szCs w:val="24"/>
                      <w:lang w:eastAsia="lv-LV"/>
                    </w:rPr>
                    <w:t>ES tiesību akta vienība netiek pārņemta/ ieviesta.</w:t>
                  </w:r>
                </w:p>
                <w:p w14:paraId="28D7C73C" w14:textId="04873DA6" w:rsidR="007170DA" w:rsidRPr="00622939" w:rsidRDefault="00622939" w:rsidP="00622939">
                  <w:pPr>
                    <w:spacing w:line="214" w:lineRule="atLeast"/>
                    <w:jc w:val="both"/>
                    <w:rPr>
                      <w:rFonts w:ascii="Calibri" w:eastAsia="Times New Roman" w:hAnsi="Calibri" w:cs="Times New Roman"/>
                      <w:color w:val="000000" w:themeColor="text1"/>
                      <w:szCs w:val="24"/>
                      <w:lang w:eastAsia="lv-LV"/>
                    </w:rPr>
                  </w:pPr>
                  <w:r w:rsidRPr="00622939">
                    <w:rPr>
                      <w:rFonts w:eastAsia="Times New Roman" w:cs="Times New Roman"/>
                      <w:color w:val="000000" w:themeColor="text1"/>
                      <w:spacing w:val="-4"/>
                      <w:szCs w:val="24"/>
                      <w:lang w:eastAsia="lv-LV"/>
                    </w:rPr>
                    <w:lastRenderedPageBreak/>
                    <w:t>Direktīvas 2014/55/ES 2.panta 4.punktā minētais termins netiek lietots normatīvajos aktos</w:t>
                  </w:r>
                  <w:r w:rsidR="007170DA" w:rsidRPr="00622939">
                    <w:rPr>
                      <w:rFonts w:eastAsia="Times New Roman" w:cs="Times New Roman"/>
                      <w:color w:val="000000" w:themeColor="text1"/>
                      <w:spacing w:val="-4"/>
                      <w:szCs w:val="24"/>
                      <w:lang w:eastAsia="lv-LV"/>
                    </w:rPr>
                    <w:t>.</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7903172B" w14:textId="702658EE"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lastRenderedPageBreak/>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176A3B74"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1CC31"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4864CCA8"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2.panta 5.punkts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E0C31A1"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4D8DD36" w14:textId="77777777" w:rsidR="007170DA" w:rsidRPr="00622939" w:rsidRDefault="007170DA" w:rsidP="00622939">
                  <w:pPr>
                    <w:spacing w:line="214" w:lineRule="atLeast"/>
                    <w:jc w:val="both"/>
                    <w:rPr>
                      <w:rFonts w:ascii="Calibri" w:eastAsia="Times New Roman" w:hAnsi="Calibri" w:cs="Times New Roman"/>
                      <w:color w:val="000000" w:themeColor="text1"/>
                      <w:szCs w:val="24"/>
                      <w:lang w:eastAsia="lv-LV"/>
                    </w:rPr>
                  </w:pPr>
                  <w:r w:rsidRPr="00622939">
                    <w:rPr>
                      <w:rFonts w:eastAsia="Times New Roman" w:cs="Times New Roman"/>
                      <w:color w:val="000000" w:themeColor="text1"/>
                      <w:spacing w:val="-4"/>
                      <w:szCs w:val="24"/>
                      <w:lang w:eastAsia="lv-LV"/>
                    </w:rPr>
                    <w:t>ES tiesību akta vienība netiek pārņemta/ ieviesta.</w:t>
                  </w:r>
                </w:p>
                <w:p w14:paraId="5EAB0D6C" w14:textId="76C0E078" w:rsidR="007170DA" w:rsidRPr="00622939" w:rsidRDefault="00622939" w:rsidP="00622939">
                  <w:pPr>
                    <w:spacing w:line="214" w:lineRule="atLeast"/>
                    <w:jc w:val="both"/>
                    <w:rPr>
                      <w:rFonts w:ascii="Calibri" w:eastAsia="Times New Roman" w:hAnsi="Calibri" w:cs="Times New Roman"/>
                      <w:color w:val="000000" w:themeColor="text1"/>
                      <w:szCs w:val="24"/>
                      <w:lang w:eastAsia="lv-LV"/>
                    </w:rPr>
                  </w:pPr>
                  <w:r w:rsidRPr="00622939">
                    <w:rPr>
                      <w:rFonts w:eastAsia="Times New Roman" w:cs="Times New Roman"/>
                      <w:color w:val="000000" w:themeColor="text1"/>
                      <w:spacing w:val="-4"/>
                      <w:szCs w:val="24"/>
                      <w:lang w:eastAsia="lv-LV"/>
                    </w:rPr>
                    <w:t>Direktīvas 2014/55/ES 2.panta 5.punktā minētais termins netiek lietots normatīvajos aktos.</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632ED9E6" w14:textId="6DD5599A"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007170DA" w:rsidRPr="007170DA">
                    <w:rPr>
                      <w:rFonts w:eastAsia="Times New Roman" w:cs="Times New Roman"/>
                      <w:color w:val="000000"/>
                      <w:spacing w:val="-4"/>
                      <w:szCs w:val="24"/>
                      <w:lang w:eastAsia="lv-LV"/>
                    </w:rPr>
                    <w:t xml:space="preserve"> stingrākas prasības neparedz</w:t>
                  </w:r>
                </w:p>
              </w:tc>
            </w:tr>
            <w:tr w:rsidR="007170DA" w:rsidRPr="007170DA" w14:paraId="3CA2C383"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ECE70"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61777E05"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2.panta 6.punkts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02A7E74"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Minētais termins ir definēts Publisko iepirkumu likuma 1.panta 19.punktā.</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941EC8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tiek pārņemta/ ieviesta.</w:t>
                  </w:r>
                </w:p>
                <w:p w14:paraId="311CB0D8"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 </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34B91D38" w14:textId="044C8621"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 xml:space="preserve">Noteikumu projekts </w:t>
                  </w:r>
                  <w:r w:rsidR="007170DA" w:rsidRPr="007170DA">
                    <w:rPr>
                      <w:rFonts w:eastAsia="Times New Roman" w:cs="Times New Roman"/>
                      <w:color w:val="000000"/>
                      <w:spacing w:val="-4"/>
                      <w:szCs w:val="24"/>
                      <w:lang w:eastAsia="lv-LV"/>
                    </w:rPr>
                    <w:t>stingrākas prasības neparedz</w:t>
                  </w:r>
                </w:p>
              </w:tc>
            </w:tr>
            <w:tr w:rsidR="007170DA" w:rsidRPr="007170DA" w14:paraId="2BCEBFF6"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BC978"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4B334E15"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2.panta 7.punkts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A475F23"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Minētais termins ir definēts Publisko iepirkumu likuma 1.panta 19.punktā.</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F197D94"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tiek pārņemta/ ieviesta.</w:t>
                  </w:r>
                </w:p>
                <w:p w14:paraId="3FF39BF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 </w:t>
                  </w:r>
                </w:p>
                <w:p w14:paraId="7FB4113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 </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3A06A402" w14:textId="61E91C80"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007170DA" w:rsidRPr="007170DA">
                    <w:rPr>
                      <w:rFonts w:eastAsia="Times New Roman" w:cs="Times New Roman"/>
                      <w:color w:val="000000"/>
                      <w:spacing w:val="-4"/>
                      <w:szCs w:val="24"/>
                      <w:lang w:eastAsia="lv-LV"/>
                    </w:rPr>
                    <w:t xml:space="preserve"> stingrākas prasības neparedz</w:t>
                  </w:r>
                </w:p>
              </w:tc>
            </w:tr>
            <w:tr w:rsidR="007170DA" w:rsidRPr="007170DA" w14:paraId="5B60DCC3"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9E853"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35A7150A"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2.panta 8.punkts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5DEDDD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Minētais termins ir definēts Publisko iepirkumu likuma 1.panta 4.punktā.</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1F1B708"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tiek pārņemta/ ieviesta.</w:t>
                  </w:r>
                </w:p>
                <w:p w14:paraId="210788A6"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 </w:t>
                  </w:r>
                </w:p>
                <w:p w14:paraId="3911FA82"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 </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01C41B88" w14:textId="13370682"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 xml:space="preserve">Noteikumu projekts </w:t>
                  </w:r>
                  <w:r w:rsidR="007170DA" w:rsidRPr="007170DA">
                    <w:rPr>
                      <w:rFonts w:eastAsia="Times New Roman" w:cs="Times New Roman"/>
                      <w:color w:val="000000"/>
                      <w:spacing w:val="-4"/>
                      <w:szCs w:val="24"/>
                      <w:lang w:eastAsia="lv-LV"/>
                    </w:rPr>
                    <w:t>stingrākas prasības neparedz</w:t>
                  </w:r>
                </w:p>
              </w:tc>
            </w:tr>
            <w:tr w:rsidR="007170DA" w:rsidRPr="007170DA" w14:paraId="5A06AD9A"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CB55B"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2E021310"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2.panta 9.punkts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0A21EB6"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Minētais termins ir definēts Sabiedrisko pakalpojumu sniedzēju iepirkumu likuma 1.panta 27.punktā.</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680F40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w:t>
                  </w:r>
                </w:p>
                <w:p w14:paraId="1C1F5896"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 </w:t>
                  </w:r>
                </w:p>
                <w:p w14:paraId="79963F5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 </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1409E0ED" w14:textId="10C1A914"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 xml:space="preserve">Noteikumu projekts </w:t>
                  </w:r>
                  <w:r w:rsidR="007170DA" w:rsidRPr="007170DA">
                    <w:rPr>
                      <w:rFonts w:eastAsia="Times New Roman" w:cs="Times New Roman"/>
                      <w:color w:val="000000"/>
                      <w:spacing w:val="-4"/>
                      <w:szCs w:val="24"/>
                      <w:lang w:eastAsia="lv-LV"/>
                    </w:rPr>
                    <w:t>stingrākas prasības neparedz</w:t>
                  </w:r>
                </w:p>
              </w:tc>
            </w:tr>
            <w:tr w:rsidR="007170DA" w:rsidRPr="007170DA" w14:paraId="6B5FC6CA"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48806"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4D3ECE0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2.panta 10.punkts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D73B225"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5A862515"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w:t>
                  </w:r>
                </w:p>
                <w:p w14:paraId="67498958" w14:textId="203BE404" w:rsidR="007170DA" w:rsidRPr="007170DA" w:rsidRDefault="00663F70" w:rsidP="00663F70">
                  <w:pPr>
                    <w:spacing w:line="214" w:lineRule="atLeast"/>
                    <w:jc w:val="both"/>
                    <w:rPr>
                      <w:rFonts w:ascii="Calibri" w:eastAsia="Times New Roman" w:hAnsi="Calibri" w:cs="Times New Roman"/>
                      <w:szCs w:val="24"/>
                      <w:lang w:eastAsia="lv-LV"/>
                    </w:rPr>
                  </w:pPr>
                  <w:r>
                    <w:rPr>
                      <w:rFonts w:eastAsia="Times New Roman" w:cs="Times New Roman"/>
                      <w:color w:val="000000" w:themeColor="text1"/>
                      <w:spacing w:val="-4"/>
                      <w:szCs w:val="24"/>
                      <w:lang w:eastAsia="lv-LV"/>
                    </w:rPr>
                    <w:t>M</w:t>
                  </w:r>
                  <w:r w:rsidR="007170DA" w:rsidRPr="007170DA">
                    <w:rPr>
                      <w:rFonts w:eastAsia="Times New Roman" w:cs="Times New Roman"/>
                      <w:spacing w:val="-4"/>
                      <w:szCs w:val="24"/>
                      <w:lang w:eastAsia="lv-LV"/>
                    </w:rPr>
                    <w:t>inētais jēdziens ir definēts Regulas Nr.1025/2012 2.panta 1.punkta a.apakšpunktā.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0B26D255" w14:textId="0CA4359F"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stingrākas prasības neparedz</w:t>
                  </w:r>
                </w:p>
              </w:tc>
            </w:tr>
            <w:tr w:rsidR="007170DA" w:rsidRPr="007170DA" w14:paraId="1FF6AD1C"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5AE71"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545A3143"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2.panta 11.punkts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320B72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AA1B73F" w14:textId="64478AAE"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w:t>
                  </w:r>
                </w:p>
                <w:p w14:paraId="48FFB1B8" w14:textId="172677D3" w:rsidR="007170DA" w:rsidRPr="007170DA" w:rsidRDefault="00663F70" w:rsidP="00663F70">
                  <w:pPr>
                    <w:spacing w:line="214" w:lineRule="atLeast"/>
                    <w:jc w:val="both"/>
                    <w:rPr>
                      <w:rFonts w:ascii="Calibri" w:eastAsia="Times New Roman" w:hAnsi="Calibri" w:cs="Times New Roman"/>
                      <w:szCs w:val="24"/>
                      <w:lang w:eastAsia="lv-LV"/>
                    </w:rPr>
                  </w:pPr>
                  <w:r>
                    <w:rPr>
                      <w:rFonts w:eastAsia="Times New Roman" w:cs="Times New Roman"/>
                      <w:spacing w:val="-4"/>
                      <w:szCs w:val="24"/>
                      <w:lang w:eastAsia="lv-LV"/>
                    </w:rPr>
                    <w:t>M</w:t>
                  </w:r>
                  <w:r w:rsidR="007170DA" w:rsidRPr="007170DA">
                    <w:rPr>
                      <w:rFonts w:eastAsia="Times New Roman" w:cs="Times New Roman"/>
                      <w:spacing w:val="-4"/>
                      <w:szCs w:val="24"/>
                      <w:lang w:eastAsia="lv-LV"/>
                    </w:rPr>
                    <w:t>inētais jēdziens ir definēts Regulas Nr.1025/2012 2.panta 1.punkta b.apakšpunktā.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1451C4C6" w14:textId="5C9955E4"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22967132"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EC779"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lastRenderedPageBreak/>
                    <w:t>Direktīvas 2014/55/ES</w:t>
                  </w:r>
                </w:p>
                <w:p w14:paraId="555BC218"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3.panta 1.punkts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C31F207"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31ED22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w:t>
                  </w:r>
                  <w:r w:rsidRPr="007170DA">
                    <w:rPr>
                      <w:rFonts w:eastAsia="Times New Roman" w:cs="Times New Roman"/>
                      <w:spacing w:val="-4"/>
                      <w:szCs w:val="24"/>
                      <w:lang w:eastAsia="lv-LV"/>
                    </w:rPr>
                    <w:t>, jo pantā iekļautais regulējums attiecas uz Eiropas standartizācijas organizāciju.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30720E2C" w14:textId="4A262A85"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6BF865AE"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B5078"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00816263"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3.panta 2.punkts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EA80D8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01D1D7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w:t>
                  </w:r>
                  <w:r w:rsidRPr="007170DA">
                    <w:rPr>
                      <w:rFonts w:eastAsia="Times New Roman" w:cs="Times New Roman"/>
                      <w:spacing w:val="-4"/>
                      <w:szCs w:val="24"/>
                      <w:lang w:eastAsia="lv-LV"/>
                    </w:rPr>
                    <w:t>, jo pantā iekļautais regulējums attiecas uz Eiropas standartizācijas organizāciju.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48011110" w14:textId="7FE01BDF"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38CB3184"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AB3FA"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3361C05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4.panta 1.punkts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81DAF3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5D88FE0"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r w:rsidRPr="007170DA">
                    <w:rPr>
                      <w:rFonts w:eastAsia="Times New Roman" w:cs="Times New Roman"/>
                      <w:spacing w:val="-4"/>
                      <w:szCs w:val="24"/>
                      <w:lang w:eastAsia="lv-LV"/>
                    </w:rPr>
                    <w:t> jo pantā iekļautais regulējums attiecas uz Eiropas Komisiju un dalībvalsts saziņu.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5014609C" w14:textId="0D2B73EC"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338AD06E"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0C16F"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66375D8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4.panta 2.punkts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50D112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158466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r w:rsidRPr="007170DA">
                    <w:rPr>
                      <w:rFonts w:eastAsia="Times New Roman" w:cs="Times New Roman"/>
                      <w:spacing w:val="-4"/>
                      <w:szCs w:val="24"/>
                      <w:lang w:eastAsia="lv-LV"/>
                    </w:rPr>
                    <w:t> jo pantā iekļautais regulējums attiecas uz Eiropas Komisiju.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0291EF02" w14:textId="5EAB3085"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3559789E"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4A140"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6F6AE85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4.panta 3.punkts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3608DB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5A2ADC7C"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r w:rsidRPr="007170DA">
                    <w:rPr>
                      <w:rFonts w:eastAsia="Times New Roman" w:cs="Times New Roman"/>
                      <w:spacing w:val="-4"/>
                      <w:szCs w:val="24"/>
                      <w:lang w:eastAsia="lv-LV"/>
                    </w:rPr>
                    <w:t> jo pantā iekļautais regulējums attiecas uz Eiropas Komisiju.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395963E1" w14:textId="11B686A7"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2D0E6AF3"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66EDB"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447522FC"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4.panta 4.punkts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CCBF25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71DCB4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r w:rsidRPr="007170DA">
                    <w:rPr>
                      <w:rFonts w:eastAsia="Times New Roman" w:cs="Times New Roman"/>
                      <w:spacing w:val="-4"/>
                      <w:szCs w:val="24"/>
                      <w:lang w:eastAsia="lv-LV"/>
                    </w:rPr>
                    <w:t> jo pantā iekļautais regulējums attiecas uz Eiropas Komisiju.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6D0D29ED" w14:textId="547FBC3B"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07C8949B" w14:textId="77777777" w:rsidTr="00896892">
              <w:trPr>
                <w:trHeight w:val="815"/>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71954"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1D29BDE0"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5.panta 1.punkts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5660CCB"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705C075"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r w:rsidRPr="007170DA">
                    <w:rPr>
                      <w:rFonts w:eastAsia="Times New Roman" w:cs="Times New Roman"/>
                      <w:spacing w:val="-4"/>
                      <w:szCs w:val="24"/>
                      <w:lang w:eastAsia="lv-LV"/>
                    </w:rPr>
                    <w:t> jo pantā iekļautais regulējums attiecas uz Eiropas Komisiju.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52B513E2" w14:textId="66ADEFA8"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187E0508" w14:textId="77777777" w:rsidTr="00896892">
              <w:trPr>
                <w:trHeight w:val="815"/>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6A208"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34F9A712"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5.panta 2.punkts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88B302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EC46253"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r w:rsidRPr="007170DA">
                    <w:rPr>
                      <w:rFonts w:eastAsia="Times New Roman" w:cs="Times New Roman"/>
                      <w:spacing w:val="-4"/>
                      <w:szCs w:val="24"/>
                      <w:lang w:eastAsia="lv-LV"/>
                    </w:rPr>
                    <w:t> jo pantā iekļautais regulējums attiecas uz Eiropas Komisiju.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0EFCEF89" w14:textId="4478AF99"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01354F4E" w14:textId="77777777" w:rsidTr="00896892">
              <w:trPr>
                <w:trHeight w:val="815"/>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989E9"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3593C877"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5.panta 3.punkts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7E5ECB"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80731E3"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r w:rsidRPr="007170DA">
                    <w:rPr>
                      <w:rFonts w:eastAsia="Times New Roman" w:cs="Times New Roman"/>
                      <w:spacing w:val="-4"/>
                      <w:szCs w:val="24"/>
                      <w:lang w:eastAsia="lv-LV"/>
                    </w:rPr>
                    <w:t> jo pantā iekļautais regulējums attiecas uz Eiropas Komisiju.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7711CEBE" w14:textId="3D06D827"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5412DBC5" w14:textId="77777777" w:rsidTr="00896892">
              <w:trPr>
                <w:trHeight w:val="815"/>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B14B2"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7530159C"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5.panta 4.punkts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0B9FD4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A37737A"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r w:rsidRPr="007170DA">
                    <w:rPr>
                      <w:rFonts w:eastAsia="Times New Roman" w:cs="Times New Roman"/>
                      <w:spacing w:val="-4"/>
                      <w:szCs w:val="24"/>
                      <w:lang w:eastAsia="lv-LV"/>
                    </w:rPr>
                    <w:t> jo pantā iekļautais regulējums attiecas uz Eiropas Komisiju.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0C55D681" w14:textId="1F271A32"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330CA0AE"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AA892"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lastRenderedPageBreak/>
                    <w:t>Direktīvas 2014/55/ES</w:t>
                  </w:r>
                </w:p>
                <w:p w14:paraId="7285E44A"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a.apakšpunkts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593CEEA" w14:textId="392F53A4"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275AD5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5788B821" w14:textId="050AD8BE"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007170DA" w:rsidRPr="007170DA">
                    <w:rPr>
                      <w:rFonts w:eastAsia="Times New Roman" w:cs="Times New Roman"/>
                      <w:color w:val="000000"/>
                      <w:spacing w:val="-4"/>
                      <w:szCs w:val="24"/>
                      <w:lang w:eastAsia="lv-LV"/>
                    </w:rPr>
                    <w:t xml:space="preserve"> stingrākas prasības neparedz</w:t>
                  </w:r>
                </w:p>
              </w:tc>
            </w:tr>
            <w:tr w:rsidR="007170DA" w:rsidRPr="007170DA" w14:paraId="35B05633"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A9472"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067D131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b.apakšpunkts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75352EC" w14:textId="2CE87990"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2A0E63A"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11AD0548" w14:textId="0770F8CE"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2FCAFE67"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A34BA"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48E7C176"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c.apakšpunkts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DF5AB06" w14:textId="696F5220" w:rsidR="00B4472A" w:rsidRPr="00B4472A" w:rsidRDefault="00896892" w:rsidP="003343F3">
                  <w:pPr>
                    <w:spacing w:line="214" w:lineRule="atLeast"/>
                    <w:rPr>
                      <w:rFonts w:eastAsia="Times New Roman" w:cs="Times New Roman"/>
                      <w:spacing w:val="-4"/>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54AEF93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579CA74C" w14:textId="0153A804"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2D1E2F0F"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DC2FA"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198E8F8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d.apakšpunkts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D262822" w14:textId="17A4F889"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BDE6943"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6E78D8B3" w14:textId="3C52E9E0"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007170DA" w:rsidRPr="007170DA">
                    <w:rPr>
                      <w:rFonts w:eastAsia="Times New Roman" w:cs="Times New Roman"/>
                      <w:color w:val="000000"/>
                      <w:spacing w:val="-4"/>
                      <w:szCs w:val="24"/>
                      <w:lang w:eastAsia="lv-LV"/>
                    </w:rPr>
                    <w:t xml:space="preserve"> stingrākas prasības neparedz</w:t>
                  </w:r>
                </w:p>
              </w:tc>
            </w:tr>
            <w:tr w:rsidR="007170DA" w:rsidRPr="007170DA" w14:paraId="0BBF34D4"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76E3C"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7A0018C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e.apakšpunkts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0C4862D" w14:textId="1E808443"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E5C698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7A4A3424" w14:textId="7FD7E6F8"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266801F1"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89F23"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415A644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f.apakšpunkts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3C611FF" w14:textId="5A6AF42C"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0AD366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300E0F26" w14:textId="42805A57"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23A6A968"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60920"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7F1F4BEB"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g.apakšpunkts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EB0809C" w14:textId="3F2262D3"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442E5D3"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15777A97" w14:textId="61080B11"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7BF114DB"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DACE8"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4BBDB73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h.apakšpunkts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82BDC21" w14:textId="3DC583C1"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55A8BB93"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4530CB39" w14:textId="340F0C59"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7F2A1FF8"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1AC6F"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6ABA1CE0"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i.apakšpunkts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0F2BF61" w14:textId="3E75E72F"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BA4A555"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76679773" w14:textId="6C6C10A0"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53AFD376"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2E7FD"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0E195D6A"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j.apakšpunkts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E2169C5" w14:textId="75DFB5F3"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2E3A898"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52C7BD23" w14:textId="5A1A3723"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1D35C3FA"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371DA"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1B50375A"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lastRenderedPageBreak/>
                    <w:t>6.panta k.apakšpunkts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F68373B" w14:textId="7F1D4740"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lastRenderedPageBreak/>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C1BD3D7"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229A86E5" w14:textId="459CF70B"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06C850B4"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38466"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32AC1DEB"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l.apakšpunkts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004A0E2" w14:textId="50D82E85"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C9CAFC8"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42104F8B" w14:textId="7439F3EE"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021F3465"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AD25B"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4DCCCEA0"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6.panta m.apakšpunkts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51FA3AC" w14:textId="38550F88" w:rsidR="007170DA" w:rsidRPr="007170DA" w:rsidRDefault="00896892" w:rsidP="003343F3">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2</w:t>
                  </w:r>
                  <w:r w:rsidR="007170DA" w:rsidRPr="00E01332">
                    <w:rPr>
                      <w:rFonts w:eastAsia="Times New Roman" w:cs="Times New Roman"/>
                      <w:spacing w:val="-4"/>
                      <w:szCs w:val="24"/>
                      <w:lang w:eastAsia="lv-LV"/>
                    </w:rPr>
                    <w:t>.punkts</w:t>
                  </w:r>
                  <w:r w:rsidR="007170DA" w:rsidRPr="007170DA">
                    <w:rPr>
                      <w:rFonts w:eastAsia="Times New Roman" w:cs="Times New Roman"/>
                      <w:spacing w:val="-4"/>
                      <w:szCs w:val="24"/>
                      <w:lang w:eastAsia="lv-LV"/>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9D6C543"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6F5A9BFD" w14:textId="5124CF02"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574D6D89"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0BA0F"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0229C75C"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7.pants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7D1BE89" w14:textId="063B2FD8" w:rsidR="007170DA" w:rsidRPr="007170DA" w:rsidRDefault="00896892" w:rsidP="001D2557">
                  <w:pPr>
                    <w:spacing w:line="214" w:lineRule="atLeast"/>
                    <w:rPr>
                      <w:rFonts w:ascii="Calibri" w:eastAsia="Times New Roman" w:hAnsi="Calibri" w:cs="Times New Roman"/>
                      <w:szCs w:val="24"/>
                      <w:lang w:eastAsia="lv-LV"/>
                    </w:rPr>
                  </w:pPr>
                  <w:r>
                    <w:rPr>
                      <w:rFonts w:eastAsia="Times New Roman" w:cs="Times New Roman"/>
                      <w:spacing w:val="-4"/>
                      <w:szCs w:val="24"/>
                      <w:lang w:eastAsia="lv-LV"/>
                    </w:rPr>
                    <w:t xml:space="preserve">Noteikumu projekta </w:t>
                  </w:r>
                  <w:r w:rsidR="003343F3">
                    <w:rPr>
                      <w:rFonts w:eastAsia="Times New Roman" w:cs="Times New Roman"/>
                      <w:spacing w:val="-4"/>
                      <w:szCs w:val="24"/>
                      <w:lang w:eastAsia="lv-LV"/>
                    </w:rPr>
                    <w:t>3</w:t>
                  </w:r>
                  <w:r w:rsidR="007170DA" w:rsidRPr="00E01332">
                    <w:rPr>
                      <w:rFonts w:eastAsia="Times New Roman" w:cs="Times New Roman"/>
                      <w:spacing w:val="-4"/>
                      <w:szCs w:val="24"/>
                      <w:lang w:eastAsia="lv-LV"/>
                    </w:rPr>
                    <w:t>.</w:t>
                  </w:r>
                  <w:r w:rsidR="001D2557">
                    <w:rPr>
                      <w:rFonts w:eastAsia="Times New Roman" w:cs="Times New Roman"/>
                      <w:spacing w:val="-4"/>
                      <w:szCs w:val="24"/>
                      <w:lang w:eastAsia="lv-LV"/>
                    </w:rPr>
                    <w:t xml:space="preserve"> un 4.</w:t>
                  </w:r>
                  <w:r w:rsidR="007170DA" w:rsidRPr="00E01332">
                    <w:rPr>
                      <w:rFonts w:eastAsia="Times New Roman" w:cs="Times New Roman"/>
                      <w:spacing w:val="-4"/>
                      <w:szCs w:val="24"/>
                      <w:lang w:eastAsia="lv-LV"/>
                    </w:rPr>
                    <w:t>punkts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4875B63"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37C9E470" w14:textId="192731BA" w:rsidR="00896892" w:rsidRPr="00896892" w:rsidRDefault="00896892" w:rsidP="00896892">
                  <w:pPr>
                    <w:spacing w:line="214" w:lineRule="atLeast"/>
                    <w:jc w:val="both"/>
                    <w:rPr>
                      <w:rFonts w:ascii="Calibri" w:eastAsia="Times New Roman" w:hAnsi="Calibri" w:cs="Times New Roman"/>
                      <w:sz w:val="22"/>
                      <w:lang w:eastAsia="lv-LV"/>
                    </w:rPr>
                  </w:pPr>
                </w:p>
              </w:tc>
            </w:tr>
            <w:tr w:rsidR="007170DA" w:rsidRPr="007170DA" w14:paraId="79F07736"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45040"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506FFA3C"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8.panta 1.punts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2DFA4F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8C96BE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 jo panta regulējums nosaka Direktīvas piemērošanas tvērumu.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323D6FA2" w14:textId="41E9802A"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374DA4AD"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0049A"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191A38E6"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8.panta 2.punkts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E0580C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542A5F75"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 jo panta regulējums nosaka Direktīvas piemērošanas tvērumu.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789CED6F" w14:textId="08466010"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2E37AD43"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8A1E4"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38B3434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8.panta 3.punkts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02A0BF5"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819A32C"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 jo panta regulējums nosaka Direktīvas piemērošanas tvērumu.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0A95C1C7" w14:textId="769461CE"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4138E849"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632B2"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28FE9F22"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9.pants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B2BB33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6882DD5"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 jo panta regulējums nosaka Direktīvas piemērošanas tvērumu.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11533C31" w14:textId="7E561A59"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0902B980"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1B8D4"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3F34131C"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10.panta 1.punkts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BCDE3C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4A90604"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r w:rsidRPr="007170DA">
                    <w:rPr>
                      <w:rFonts w:eastAsia="Times New Roman" w:cs="Times New Roman"/>
                      <w:spacing w:val="-4"/>
                      <w:szCs w:val="24"/>
                      <w:lang w:eastAsia="lv-LV"/>
                    </w:rPr>
                    <w:t> jo pantā iekļautais regulējums attiecas uz Eiropas Komisiju.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5358996C" w14:textId="1D9366DA"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66FBE86D"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9E6D8"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4893213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10.panta 2.punkts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F6F14C6"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37CD42E"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w:t>
                  </w:r>
                  <w:r w:rsidRPr="007170DA">
                    <w:rPr>
                      <w:rFonts w:eastAsia="Times New Roman" w:cs="Times New Roman"/>
                      <w:spacing w:val="-4"/>
                      <w:szCs w:val="24"/>
                      <w:lang w:eastAsia="lv-LV"/>
                    </w:rPr>
                    <w:t> jo pantā iekļautais regulējums attiecas uz Eiropas Komisiju.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16E4EA44" w14:textId="3CB1CFE7"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4ED9ACC9"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33397"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lastRenderedPageBreak/>
                    <w:t>Direktīvas 2014/55/ES</w:t>
                  </w:r>
                </w:p>
                <w:p w14:paraId="69108080"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11.panta 1.punkts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91EA5B6" w14:textId="2A3665AB" w:rsidR="007170DA" w:rsidRPr="007170DA" w:rsidRDefault="007170DA" w:rsidP="00B33365">
                  <w:pPr>
                    <w:spacing w:line="214" w:lineRule="atLeast"/>
                    <w:jc w:val="both"/>
                    <w:rPr>
                      <w:rFonts w:ascii="Calibri" w:eastAsia="Times New Roman" w:hAnsi="Calibri" w:cs="Times New Roman"/>
                      <w:szCs w:val="24"/>
                      <w:lang w:eastAsia="lv-LV"/>
                    </w:rPr>
                  </w:pPr>
                  <w:r w:rsidRPr="00E01332">
                    <w:rPr>
                      <w:rFonts w:eastAsia="Times New Roman" w:cs="Times New Roman"/>
                      <w:spacing w:val="-4"/>
                      <w:szCs w:val="24"/>
                      <w:lang w:eastAsia="lv-LV"/>
                    </w:rPr>
                    <w:t>Transponēts ar Publisko iepirkumu likumu</w:t>
                  </w:r>
                  <w:r w:rsidR="00B33365">
                    <w:rPr>
                      <w:rFonts w:eastAsia="Times New Roman" w:cs="Times New Roman"/>
                      <w:spacing w:val="-4"/>
                      <w:szCs w:val="24"/>
                      <w:lang w:eastAsia="lv-LV"/>
                    </w:rPr>
                    <w:t>, Sabiedrisko pakalpojumu sniedzēju iepirkumu likumu, Aizsardzības un drošības jomas iepirkumu likumu un Publiskās un privātās partnerības likumu</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7C81094"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0130F954" w14:textId="68ABB5DB"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5362BAE9"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41C5E"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0FC66760"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11.panta 2.punkts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9789056" w14:textId="4766E118" w:rsidR="007170DA" w:rsidRPr="007170DA" w:rsidRDefault="00B33365" w:rsidP="00B33365">
                  <w:pPr>
                    <w:spacing w:line="214" w:lineRule="atLeast"/>
                    <w:jc w:val="both"/>
                    <w:rPr>
                      <w:rFonts w:ascii="Calibri" w:eastAsia="Times New Roman" w:hAnsi="Calibri" w:cs="Times New Roman"/>
                      <w:szCs w:val="24"/>
                      <w:lang w:eastAsia="lv-LV"/>
                    </w:rPr>
                  </w:pPr>
                  <w:r w:rsidRPr="00E01332">
                    <w:rPr>
                      <w:rFonts w:eastAsia="Times New Roman" w:cs="Times New Roman"/>
                      <w:spacing w:val="-4"/>
                      <w:szCs w:val="24"/>
                      <w:lang w:eastAsia="lv-LV"/>
                    </w:rPr>
                    <w:t>Transponēts ar Publisko iepirkumu likumu</w:t>
                  </w:r>
                  <w:r>
                    <w:rPr>
                      <w:rFonts w:eastAsia="Times New Roman" w:cs="Times New Roman"/>
                      <w:spacing w:val="-4"/>
                      <w:szCs w:val="24"/>
                      <w:lang w:eastAsia="lv-LV"/>
                    </w:rPr>
                    <w:t>, Sabiedrisko pakalpojumu sniedzēju iepirkumu likumu, Aizsardzības un drošības jomas iepirkumu likumu un Publiskās un privātās partnerības likumu</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1461181"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tiek pārņemta/ ieviesta pilnībā</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681A48AB" w14:textId="20C001F9"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3AD8ACB4"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41E03"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0DA960FA"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11.panta 3.punkts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5FA129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55A8E8E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tiek pārņemta/ ieviesta pilnībā</w:t>
                  </w:r>
                </w:p>
                <w:p w14:paraId="4BFCA86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Minētā norma nosaka dalībvalsts pienākumu ziņot Komisijai ar kādiem normatīvajiem aktiem tiek transponēta Direktīva.</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36D59598" w14:textId="57A68397"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r w:rsidR="007170DA" w:rsidRPr="007170DA" w14:paraId="21E4248F" w14:textId="77777777" w:rsidTr="00896892">
              <w:trPr>
                <w:trHeight w:val="815"/>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1E822"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25664FFB"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12.pants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1171AC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4E6C741B"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 jo </w:t>
                  </w:r>
                  <w:r w:rsidRPr="007170DA">
                    <w:rPr>
                      <w:rFonts w:eastAsia="Times New Roman" w:cs="Times New Roman"/>
                      <w:spacing w:val="-4"/>
                      <w:szCs w:val="24"/>
                      <w:lang w:eastAsia="lv-LV"/>
                    </w:rPr>
                    <w:t>pantā iekļautais regulējums attiecas uz Eiropas Komisiju.</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31AF01C8" w14:textId="7BC6B561"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007170DA" w:rsidRPr="007170DA">
                    <w:rPr>
                      <w:rFonts w:eastAsia="Times New Roman" w:cs="Times New Roman"/>
                      <w:color w:val="000000"/>
                      <w:spacing w:val="-4"/>
                      <w:szCs w:val="24"/>
                      <w:lang w:eastAsia="lv-LV"/>
                    </w:rPr>
                    <w:t xml:space="preserve"> stingrākas prasības neparedz</w:t>
                  </w:r>
                </w:p>
              </w:tc>
            </w:tr>
            <w:tr w:rsidR="007170DA" w:rsidRPr="007170DA" w14:paraId="0D82C90F"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E5056"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485B3FB1"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13.pants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FA7368D"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CE4A37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ES tiesību akta vienība netiek pārņemta/ ieviesta pilnībā, jo pantā iekļautais regulējums nav jātransponē nacionālajos tiesību aktos.</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6A605AA8" w14:textId="3AD0E448"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t>Noteikumu projekts</w:t>
                  </w:r>
                  <w:r w:rsidR="007170DA" w:rsidRPr="007170DA">
                    <w:rPr>
                      <w:rFonts w:eastAsia="Times New Roman" w:cs="Times New Roman"/>
                      <w:color w:val="000000"/>
                      <w:spacing w:val="-4"/>
                      <w:szCs w:val="24"/>
                      <w:lang w:eastAsia="lv-LV"/>
                    </w:rPr>
                    <w:t xml:space="preserve"> stingrākas prasības neparedz</w:t>
                  </w:r>
                </w:p>
              </w:tc>
            </w:tr>
            <w:tr w:rsidR="007170DA" w:rsidRPr="007170DA" w14:paraId="2A45BD23" w14:textId="77777777" w:rsidTr="00896892">
              <w:trPr>
                <w:trHeight w:val="83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2B6D7" w14:textId="77777777" w:rsidR="00896892" w:rsidRDefault="00896892" w:rsidP="00896892">
                  <w:pPr>
                    <w:spacing w:after="0" w:line="214" w:lineRule="atLeast"/>
                    <w:rPr>
                      <w:rFonts w:eastAsia="Times New Roman" w:cs="Times New Roman"/>
                      <w:spacing w:val="-4"/>
                      <w:szCs w:val="24"/>
                      <w:lang w:eastAsia="lv-LV"/>
                    </w:rPr>
                  </w:pPr>
                  <w:r>
                    <w:rPr>
                      <w:rFonts w:eastAsia="Times New Roman" w:cs="Times New Roman"/>
                      <w:spacing w:val="-4"/>
                      <w:szCs w:val="24"/>
                      <w:lang w:eastAsia="lv-LV"/>
                    </w:rPr>
                    <w:t>Direktīvas 2014/55/ES</w:t>
                  </w:r>
                </w:p>
                <w:p w14:paraId="6D67F8BF"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14.pants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8BEAF59"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spacing w:val="-4"/>
                      <w:szCs w:val="24"/>
                      <w:lang w:eastAsia="lv-LV"/>
                    </w:rPr>
                    <w:t>Nav jāpārņem</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5659BBD4" w14:textId="77777777" w:rsidR="007170DA" w:rsidRPr="007170DA" w:rsidRDefault="007170DA" w:rsidP="007170DA">
                  <w:pPr>
                    <w:spacing w:line="214" w:lineRule="atLeast"/>
                    <w:rPr>
                      <w:rFonts w:ascii="Calibri" w:eastAsia="Times New Roman" w:hAnsi="Calibri" w:cs="Times New Roman"/>
                      <w:szCs w:val="24"/>
                      <w:lang w:eastAsia="lv-LV"/>
                    </w:rPr>
                  </w:pPr>
                  <w:r w:rsidRPr="007170DA">
                    <w:rPr>
                      <w:rFonts w:eastAsia="Times New Roman" w:cs="Times New Roman"/>
                      <w:color w:val="000000"/>
                      <w:spacing w:val="-4"/>
                      <w:szCs w:val="24"/>
                      <w:lang w:eastAsia="lv-LV"/>
                    </w:rPr>
                    <w:t xml:space="preserve">ES tiesību akta vienība netiek pārņemta/ ieviesta pilnībā, jo pantā iekļautais regulējums </w:t>
                  </w:r>
                  <w:r w:rsidRPr="007170DA">
                    <w:rPr>
                      <w:rFonts w:eastAsia="Times New Roman" w:cs="Times New Roman"/>
                      <w:color w:val="000000"/>
                      <w:spacing w:val="-4"/>
                      <w:szCs w:val="24"/>
                      <w:lang w:eastAsia="lv-LV"/>
                    </w:rPr>
                    <w:lastRenderedPageBreak/>
                    <w:t>nav jātransponē nacionālajos tiesību aktos.</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4B878D54" w14:textId="4A9C8FFC" w:rsidR="007170DA" w:rsidRPr="007170DA" w:rsidRDefault="003765F2" w:rsidP="007170DA">
                  <w:pPr>
                    <w:spacing w:line="214" w:lineRule="atLeast"/>
                    <w:rPr>
                      <w:rFonts w:ascii="Calibri" w:eastAsia="Times New Roman" w:hAnsi="Calibri" w:cs="Times New Roman"/>
                      <w:szCs w:val="24"/>
                      <w:lang w:eastAsia="lv-LV"/>
                    </w:rPr>
                  </w:pPr>
                  <w:r>
                    <w:rPr>
                      <w:rFonts w:eastAsia="Times New Roman" w:cs="Times New Roman"/>
                      <w:color w:val="000000"/>
                      <w:spacing w:val="-4"/>
                      <w:szCs w:val="24"/>
                      <w:lang w:eastAsia="lv-LV"/>
                    </w:rPr>
                    <w:lastRenderedPageBreak/>
                    <w:t>Noteikumu projekts</w:t>
                  </w:r>
                  <w:r w:rsidRPr="007170DA">
                    <w:rPr>
                      <w:rFonts w:eastAsia="Times New Roman" w:cs="Times New Roman"/>
                      <w:color w:val="000000"/>
                      <w:spacing w:val="-4"/>
                      <w:szCs w:val="24"/>
                      <w:lang w:eastAsia="lv-LV"/>
                    </w:rPr>
                    <w:t xml:space="preserve"> </w:t>
                  </w:r>
                  <w:r w:rsidR="007170DA" w:rsidRPr="007170DA">
                    <w:rPr>
                      <w:rFonts w:eastAsia="Times New Roman" w:cs="Times New Roman"/>
                      <w:color w:val="000000"/>
                      <w:spacing w:val="-4"/>
                      <w:szCs w:val="24"/>
                      <w:lang w:eastAsia="lv-LV"/>
                    </w:rPr>
                    <w:t>stingrākas prasības neparedz</w:t>
                  </w:r>
                </w:p>
              </w:tc>
            </w:tr>
          </w:tbl>
          <w:p w14:paraId="5075B796" w14:textId="77777777" w:rsidR="007170DA" w:rsidRPr="007170DA" w:rsidRDefault="007170DA" w:rsidP="007170DA">
            <w:pPr>
              <w:spacing w:after="0" w:line="240" w:lineRule="auto"/>
              <w:rPr>
                <w:rFonts w:eastAsia="Times New Roman" w:cs="Times New Roman"/>
                <w:vanish/>
                <w:szCs w:val="24"/>
                <w:lang w:eastAsia="lv-LV"/>
              </w:rPr>
            </w:pPr>
          </w:p>
          <w:tbl>
            <w:tblPr>
              <w:tblW w:w="9072" w:type="dxa"/>
              <w:shd w:val="clear" w:color="auto" w:fill="FFFFFF"/>
              <w:tblCellMar>
                <w:left w:w="0" w:type="dxa"/>
                <w:right w:w="0" w:type="dxa"/>
              </w:tblCellMar>
              <w:tblLook w:val="04A0" w:firstRow="1" w:lastRow="0" w:firstColumn="1" w:lastColumn="0" w:noHBand="0" w:noVBand="1"/>
            </w:tblPr>
            <w:tblGrid>
              <w:gridCol w:w="4007"/>
              <w:gridCol w:w="5065"/>
            </w:tblGrid>
            <w:tr w:rsidR="007170DA" w:rsidRPr="007170DA" w14:paraId="61154867" w14:textId="77777777">
              <w:tc>
                <w:tcPr>
                  <w:tcW w:w="9072" w:type="dxa"/>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F10E775" w14:textId="77777777" w:rsidR="007170DA" w:rsidRPr="007170DA" w:rsidRDefault="007170DA" w:rsidP="007170DA">
                  <w:pPr>
                    <w:spacing w:after="0" w:line="240" w:lineRule="auto"/>
                    <w:jc w:val="both"/>
                    <w:rPr>
                      <w:rFonts w:ascii="Calibri" w:eastAsia="Times New Roman" w:hAnsi="Calibri" w:cs="Times New Roman"/>
                      <w:szCs w:val="24"/>
                      <w:lang w:eastAsia="lv-LV"/>
                    </w:rPr>
                  </w:pPr>
                  <w:r w:rsidRPr="007170DA">
                    <w:rPr>
                      <w:rFonts w:eastAsia="Times New Roman" w:cs="Times New Roman"/>
                      <w:spacing w:val="-4"/>
                      <w:szCs w:val="24"/>
                      <w:lang w:eastAsia="lv-LV"/>
                    </w:rPr>
                    <w:t>Kā ir izmantota ES tiesību aktā paredzētā rīcības brīvība dalībvalstij pārņemt vai ieviest noteiktas ES tiesību akta normas? Kādēļ?</w:t>
                  </w:r>
                </w:p>
              </w:tc>
              <w:tc>
                <w:tcPr>
                  <w:tcW w:w="16201"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568C57E8"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spacing w:val="-4"/>
                      <w:szCs w:val="24"/>
                      <w:lang w:eastAsia="lv-LV"/>
                    </w:rPr>
                    <w:t>Skatīt aprakstu anotācijas I sadaļas 2.punktā</w:t>
                  </w:r>
                </w:p>
              </w:tc>
            </w:tr>
            <w:tr w:rsidR="007170DA" w:rsidRPr="007170DA" w14:paraId="79947A91" w14:textId="77777777">
              <w:tc>
                <w:tcPr>
                  <w:tcW w:w="11092"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887918E" w14:textId="77777777" w:rsidR="007170DA" w:rsidRPr="007170DA" w:rsidRDefault="007170DA" w:rsidP="007170DA">
                  <w:pPr>
                    <w:spacing w:after="0" w:line="240" w:lineRule="auto"/>
                    <w:jc w:val="both"/>
                    <w:rPr>
                      <w:rFonts w:ascii="Calibri" w:eastAsia="Times New Roman" w:hAnsi="Calibri" w:cs="Times New Roman"/>
                      <w:szCs w:val="24"/>
                      <w:lang w:eastAsia="lv-LV"/>
                    </w:rPr>
                  </w:pPr>
                  <w:r w:rsidRPr="007170DA">
                    <w:rPr>
                      <w:rFonts w:eastAsia="Times New Roman" w:cs="Times New Roman"/>
                      <w:spacing w:val="-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6201"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3E7AAE8"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spacing w:val="-4"/>
                      <w:szCs w:val="24"/>
                      <w:lang w:eastAsia="lv-LV"/>
                    </w:rPr>
                    <w:t>Projekts šo jomu neskar</w:t>
                  </w:r>
                </w:p>
              </w:tc>
            </w:tr>
            <w:tr w:rsidR="007170DA" w:rsidRPr="007170DA" w14:paraId="5AF5CBA7" w14:textId="77777777">
              <w:tc>
                <w:tcPr>
                  <w:tcW w:w="11092"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502F0948"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spacing w:val="-4"/>
                      <w:szCs w:val="24"/>
                      <w:lang w:eastAsia="lv-LV"/>
                    </w:rPr>
                    <w:t>Cita informācija</w:t>
                  </w:r>
                </w:p>
              </w:tc>
              <w:tc>
                <w:tcPr>
                  <w:tcW w:w="16201"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783EBB2" w14:textId="77777777" w:rsidR="007170DA" w:rsidRPr="007170DA" w:rsidRDefault="007170DA" w:rsidP="007170DA">
                  <w:pPr>
                    <w:spacing w:after="0" w:line="240" w:lineRule="auto"/>
                    <w:rPr>
                      <w:rFonts w:ascii="Calibri" w:eastAsia="Times New Roman" w:hAnsi="Calibri" w:cs="Times New Roman"/>
                      <w:szCs w:val="24"/>
                      <w:lang w:eastAsia="lv-LV"/>
                    </w:rPr>
                  </w:pPr>
                  <w:r w:rsidRPr="007170DA">
                    <w:rPr>
                      <w:rFonts w:eastAsia="Times New Roman" w:cs="Times New Roman"/>
                      <w:spacing w:val="-4"/>
                      <w:szCs w:val="24"/>
                      <w:lang w:eastAsia="lv-LV"/>
                    </w:rPr>
                    <w:t>Nav</w:t>
                  </w:r>
                </w:p>
              </w:tc>
            </w:tr>
            <w:tr w:rsidR="007170DA" w:rsidRPr="007170DA" w14:paraId="6EB047E1" w14:textId="77777777">
              <w:tc>
                <w:tcPr>
                  <w:tcW w:w="21600"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292A428" w14:textId="77777777" w:rsidR="007170DA" w:rsidRPr="007170DA" w:rsidRDefault="007170DA" w:rsidP="007170DA">
                  <w:pPr>
                    <w:spacing w:after="0" w:line="240" w:lineRule="auto"/>
                    <w:jc w:val="center"/>
                    <w:rPr>
                      <w:rFonts w:ascii="Calibri" w:eastAsia="Times New Roman" w:hAnsi="Calibri" w:cs="Times New Roman"/>
                      <w:szCs w:val="24"/>
                      <w:lang w:eastAsia="lv-LV"/>
                    </w:rPr>
                  </w:pPr>
                  <w:r w:rsidRPr="007170DA">
                    <w:rPr>
                      <w:rFonts w:eastAsia="Times New Roman" w:cs="Times New Roman"/>
                      <w:b/>
                      <w:bCs/>
                      <w:spacing w:val="-4"/>
                      <w:szCs w:val="24"/>
                      <w:lang w:eastAsia="lv-LV"/>
                    </w:rPr>
                    <w:t>2. tabula</w:t>
                  </w:r>
                  <w:r w:rsidRPr="007170DA">
                    <w:rPr>
                      <w:rFonts w:eastAsia="Times New Roman" w:cs="Times New Roman"/>
                      <w:b/>
                      <w:bCs/>
                      <w:spacing w:val="-4"/>
                      <w:szCs w:val="24"/>
                      <w:lang w:eastAsia="lv-LV"/>
                    </w:rPr>
                    <w:br/>
                    <w:t>Ar tiesību akta projektu izpildītās vai uzņemtās saistības, kas izriet no starptautiskajiem tiesību aktiem vai starptautiskas institūcijas vai organizācijas dokumentiem.</w:t>
                  </w:r>
                  <w:r w:rsidRPr="007170DA">
                    <w:rPr>
                      <w:rFonts w:eastAsia="Times New Roman" w:cs="Times New Roman"/>
                      <w:b/>
                      <w:bCs/>
                      <w:spacing w:val="-4"/>
                      <w:szCs w:val="24"/>
                      <w:lang w:eastAsia="lv-LV"/>
                    </w:rPr>
                    <w:br/>
                    <w:t>Pasākumi šo saistību izpildei</w:t>
                  </w:r>
                </w:p>
              </w:tc>
            </w:tr>
            <w:tr w:rsidR="007170DA" w:rsidRPr="007170DA" w14:paraId="6C4955C9" w14:textId="77777777">
              <w:tc>
                <w:tcPr>
                  <w:tcW w:w="21600"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BC26929" w14:textId="77777777" w:rsidR="007170DA" w:rsidRPr="007170DA" w:rsidRDefault="007170DA" w:rsidP="007170DA">
                  <w:pPr>
                    <w:spacing w:after="0" w:line="240" w:lineRule="auto"/>
                    <w:jc w:val="center"/>
                    <w:rPr>
                      <w:rFonts w:ascii="Calibri" w:eastAsia="Times New Roman" w:hAnsi="Calibri" w:cs="Times New Roman"/>
                      <w:szCs w:val="24"/>
                      <w:lang w:eastAsia="lv-LV"/>
                    </w:rPr>
                  </w:pPr>
                  <w:r w:rsidRPr="007170DA">
                    <w:rPr>
                      <w:rFonts w:eastAsia="Times New Roman" w:cs="Times New Roman"/>
                      <w:color w:val="000000"/>
                      <w:spacing w:val="-4"/>
                      <w:szCs w:val="24"/>
                      <w:lang w:eastAsia="lv-LV"/>
                    </w:rPr>
                    <w:t>Projekts šo jomu neskar.</w:t>
                  </w:r>
                </w:p>
              </w:tc>
            </w:tr>
          </w:tbl>
          <w:p w14:paraId="546CDEA7" w14:textId="77777777" w:rsidR="007170DA" w:rsidRPr="007170DA" w:rsidRDefault="007170DA" w:rsidP="007170DA">
            <w:pPr>
              <w:spacing w:after="0" w:line="240" w:lineRule="auto"/>
              <w:rPr>
                <w:rFonts w:eastAsia="Times New Roman" w:cs="Times New Roman"/>
                <w:szCs w:val="24"/>
                <w:lang w:eastAsia="lv-LV"/>
              </w:rPr>
            </w:pPr>
          </w:p>
        </w:tc>
      </w:tr>
    </w:tbl>
    <w:p w14:paraId="50DF868A" w14:textId="21E0D6CC" w:rsidR="003D0897" w:rsidRPr="00E01332" w:rsidRDefault="003D0897" w:rsidP="000D5B9E">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5C6202" w:rsidRPr="00E01332" w14:paraId="393D08AA" w14:textId="77777777" w:rsidTr="005D1710">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AD06EF2" w14:textId="77777777" w:rsidR="005C6202" w:rsidRPr="00E01332" w:rsidRDefault="005C6202" w:rsidP="005D1710">
            <w:pPr>
              <w:spacing w:before="100" w:beforeAutospacing="1" w:after="100" w:afterAutospacing="1" w:line="293" w:lineRule="atLeast"/>
              <w:jc w:val="center"/>
              <w:rPr>
                <w:rFonts w:eastAsia="Times New Roman" w:cs="Times New Roman"/>
                <w:b/>
                <w:bCs/>
                <w:szCs w:val="24"/>
                <w:lang w:eastAsia="lv-LV"/>
              </w:rPr>
            </w:pPr>
            <w:r w:rsidRPr="00E01332">
              <w:rPr>
                <w:rFonts w:eastAsia="Times New Roman" w:cs="Times New Roman"/>
                <w:b/>
                <w:bCs/>
                <w:szCs w:val="24"/>
                <w:lang w:eastAsia="lv-LV"/>
              </w:rPr>
              <w:t>VI. Sabiedrības līdzdalība un komunikācijas aktivitātes</w:t>
            </w:r>
          </w:p>
        </w:tc>
      </w:tr>
      <w:tr w:rsidR="005C6202" w:rsidRPr="00E01332" w14:paraId="2F603D44" w14:textId="77777777" w:rsidTr="005C6202">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582464F" w14:textId="77777777" w:rsidR="005C6202" w:rsidRPr="00E01332" w:rsidRDefault="005C6202" w:rsidP="005D1710">
            <w:pPr>
              <w:spacing w:after="60" w:line="240" w:lineRule="auto"/>
              <w:jc w:val="center"/>
              <w:rPr>
                <w:rFonts w:eastAsia="Times New Roman" w:cs="Times New Roman"/>
                <w:szCs w:val="24"/>
                <w:lang w:eastAsia="lv-LV"/>
              </w:rPr>
            </w:pPr>
            <w:r w:rsidRPr="00E01332">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21D03BC3" w14:textId="77777777" w:rsidR="005C6202" w:rsidRPr="00E01332" w:rsidRDefault="005C6202" w:rsidP="00B33365">
            <w:pPr>
              <w:spacing w:after="60" w:line="240" w:lineRule="auto"/>
              <w:jc w:val="both"/>
              <w:rPr>
                <w:rFonts w:eastAsia="Times New Roman" w:cs="Times New Roman"/>
                <w:szCs w:val="24"/>
                <w:lang w:eastAsia="lv-LV"/>
              </w:rPr>
            </w:pPr>
            <w:r w:rsidRPr="00E01332">
              <w:rPr>
                <w:rFonts w:eastAsia="Times New Roman" w:cs="Times New Roman"/>
                <w:szCs w:val="24"/>
                <w:lang w:eastAsia="lv-LV"/>
              </w:rPr>
              <w:t>Plānotās sabiedrības līdzdalības un komunikācijas aktivitātes saistībā ar projektu</w:t>
            </w:r>
          </w:p>
        </w:tc>
        <w:tc>
          <w:tcPr>
            <w:tcW w:w="3373" w:type="pct"/>
            <w:tcBorders>
              <w:top w:val="outset" w:sz="6" w:space="0" w:color="414142"/>
              <w:left w:val="outset" w:sz="6" w:space="0" w:color="414142"/>
              <w:bottom w:val="outset" w:sz="6" w:space="0" w:color="414142"/>
              <w:right w:val="outset" w:sz="6" w:space="0" w:color="414142"/>
            </w:tcBorders>
            <w:hideMark/>
          </w:tcPr>
          <w:p w14:paraId="236904C0" w14:textId="26682C9F" w:rsidR="003759B0" w:rsidRPr="003759B0" w:rsidRDefault="003759B0" w:rsidP="003759B0">
            <w:pPr>
              <w:rPr>
                <w:rFonts w:eastAsia="Times New Roman" w:cs="Times New Roman"/>
                <w:szCs w:val="24"/>
                <w:lang w:eastAsia="lv-LV"/>
              </w:rPr>
            </w:pPr>
            <w:r w:rsidRPr="003759B0">
              <w:rPr>
                <w:rFonts w:eastAsia="Times New Roman" w:cs="Times New Roman"/>
                <w:szCs w:val="24"/>
                <w:lang w:eastAsia="lv-LV"/>
              </w:rPr>
              <w:t xml:space="preserve">Finanšu ministrijas mājaslapā sadaļā “Sabiedrības līdzdalība” ir ievietota uzziņa par </w:t>
            </w:r>
            <w:r w:rsidR="003765F2">
              <w:rPr>
                <w:rFonts w:eastAsia="Times New Roman" w:cs="Times New Roman"/>
                <w:szCs w:val="24"/>
                <w:lang w:eastAsia="lv-LV"/>
              </w:rPr>
              <w:t>noteikumu projektu</w:t>
            </w:r>
            <w:r w:rsidRPr="003759B0">
              <w:rPr>
                <w:rFonts w:eastAsia="Times New Roman" w:cs="Times New Roman"/>
                <w:szCs w:val="24"/>
                <w:lang w:eastAsia="lv-LV"/>
              </w:rPr>
              <w:t>.</w:t>
            </w:r>
          </w:p>
          <w:p w14:paraId="03069A75" w14:textId="25B4F653" w:rsidR="005C6202" w:rsidRPr="00E01332" w:rsidRDefault="005C6202" w:rsidP="00DA369E">
            <w:pPr>
              <w:spacing w:after="60" w:line="240" w:lineRule="auto"/>
              <w:jc w:val="both"/>
              <w:rPr>
                <w:rFonts w:eastAsia="Times New Roman" w:cs="Times New Roman"/>
                <w:szCs w:val="24"/>
                <w:lang w:eastAsia="lv-LV"/>
              </w:rPr>
            </w:pPr>
          </w:p>
        </w:tc>
      </w:tr>
      <w:tr w:rsidR="005C6202" w:rsidRPr="00E01332" w14:paraId="4BD67153" w14:textId="77777777" w:rsidTr="005C6202">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A1B2D7A" w14:textId="77777777" w:rsidR="005C6202" w:rsidRPr="00E01332" w:rsidRDefault="005C6202" w:rsidP="005D1710">
            <w:pPr>
              <w:spacing w:after="60" w:line="240" w:lineRule="auto"/>
              <w:jc w:val="center"/>
              <w:rPr>
                <w:rFonts w:eastAsia="Times New Roman" w:cs="Times New Roman"/>
                <w:szCs w:val="24"/>
                <w:lang w:eastAsia="lv-LV"/>
              </w:rPr>
            </w:pPr>
            <w:r w:rsidRPr="00E01332">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1FAC6EA6" w14:textId="77777777" w:rsidR="005C6202" w:rsidRPr="00E01332" w:rsidRDefault="005C6202" w:rsidP="00B33365">
            <w:pPr>
              <w:spacing w:after="60" w:line="240" w:lineRule="auto"/>
              <w:rPr>
                <w:rFonts w:eastAsia="Times New Roman" w:cs="Times New Roman"/>
                <w:szCs w:val="24"/>
                <w:lang w:eastAsia="lv-LV"/>
              </w:rPr>
            </w:pPr>
            <w:r w:rsidRPr="00E01332">
              <w:rPr>
                <w:rFonts w:eastAsia="Times New Roman" w:cs="Times New Roman"/>
                <w:szCs w:val="24"/>
                <w:lang w:eastAsia="lv-LV"/>
              </w:rPr>
              <w:t>Sabiedrības līdzdalība projekta izstrādē</w:t>
            </w:r>
          </w:p>
        </w:tc>
        <w:tc>
          <w:tcPr>
            <w:tcW w:w="3373" w:type="pct"/>
            <w:tcBorders>
              <w:top w:val="outset" w:sz="6" w:space="0" w:color="414142"/>
              <w:left w:val="outset" w:sz="6" w:space="0" w:color="414142"/>
              <w:bottom w:val="outset" w:sz="6" w:space="0" w:color="414142"/>
              <w:right w:val="outset" w:sz="6" w:space="0" w:color="414142"/>
            </w:tcBorders>
            <w:hideMark/>
          </w:tcPr>
          <w:p w14:paraId="351D9B2A" w14:textId="77777777" w:rsidR="005C6202" w:rsidRPr="00E01332" w:rsidRDefault="005C6202" w:rsidP="005D1710">
            <w:pPr>
              <w:spacing w:after="60" w:line="240" w:lineRule="auto"/>
              <w:rPr>
                <w:rFonts w:eastAsia="Times New Roman" w:cs="Times New Roman"/>
                <w:szCs w:val="24"/>
                <w:lang w:eastAsia="lv-LV"/>
              </w:rPr>
            </w:pPr>
            <w:r w:rsidRPr="00E01332">
              <w:rPr>
                <w:rFonts w:eastAsia="Times New Roman" w:cs="Times New Roman"/>
                <w:szCs w:val="24"/>
                <w:lang w:eastAsia="lv-LV"/>
              </w:rPr>
              <w:t>Projekts šo jomu neskar.</w:t>
            </w:r>
          </w:p>
        </w:tc>
      </w:tr>
      <w:tr w:rsidR="005C6202" w:rsidRPr="00E01332" w14:paraId="45800575" w14:textId="77777777" w:rsidTr="005C620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CC65989" w14:textId="77777777" w:rsidR="005C6202" w:rsidRPr="00E01332" w:rsidRDefault="005C6202" w:rsidP="005D1710">
            <w:pPr>
              <w:spacing w:after="60" w:line="240" w:lineRule="auto"/>
              <w:jc w:val="center"/>
              <w:rPr>
                <w:rFonts w:eastAsia="Times New Roman" w:cs="Times New Roman"/>
                <w:szCs w:val="24"/>
                <w:lang w:eastAsia="lv-LV"/>
              </w:rPr>
            </w:pPr>
            <w:r w:rsidRPr="00E01332">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6065DB8C" w14:textId="77777777" w:rsidR="005C6202" w:rsidRPr="00E01332" w:rsidRDefault="005C6202" w:rsidP="005D1710">
            <w:pPr>
              <w:spacing w:after="60" w:line="240" w:lineRule="auto"/>
              <w:rPr>
                <w:rFonts w:eastAsia="Times New Roman" w:cs="Times New Roman"/>
                <w:szCs w:val="24"/>
                <w:lang w:eastAsia="lv-LV"/>
              </w:rPr>
            </w:pPr>
            <w:r w:rsidRPr="00E01332">
              <w:rPr>
                <w:rFonts w:eastAsia="Times New Roman" w:cs="Times New Roman"/>
                <w:szCs w:val="24"/>
                <w:lang w:eastAsia="lv-LV"/>
              </w:rPr>
              <w:t>Sabiedrības līdzdalības rezultāti</w:t>
            </w:r>
          </w:p>
        </w:tc>
        <w:tc>
          <w:tcPr>
            <w:tcW w:w="3373" w:type="pct"/>
            <w:tcBorders>
              <w:top w:val="outset" w:sz="6" w:space="0" w:color="414142"/>
              <w:left w:val="outset" w:sz="6" w:space="0" w:color="414142"/>
              <w:bottom w:val="outset" w:sz="6" w:space="0" w:color="414142"/>
              <w:right w:val="outset" w:sz="6" w:space="0" w:color="414142"/>
            </w:tcBorders>
            <w:hideMark/>
          </w:tcPr>
          <w:p w14:paraId="3EA47096" w14:textId="77777777" w:rsidR="005C6202" w:rsidRPr="00E01332" w:rsidRDefault="005C6202" w:rsidP="005D1710">
            <w:pPr>
              <w:spacing w:after="60" w:line="240" w:lineRule="auto"/>
              <w:rPr>
                <w:rFonts w:eastAsia="Times New Roman" w:cs="Times New Roman"/>
                <w:szCs w:val="24"/>
                <w:lang w:eastAsia="lv-LV"/>
              </w:rPr>
            </w:pPr>
            <w:r w:rsidRPr="00E01332">
              <w:rPr>
                <w:rFonts w:eastAsia="Times New Roman" w:cs="Times New Roman"/>
                <w:szCs w:val="24"/>
                <w:lang w:eastAsia="lv-LV"/>
              </w:rPr>
              <w:t>Projekts šo jomu neskar.</w:t>
            </w:r>
          </w:p>
        </w:tc>
      </w:tr>
      <w:tr w:rsidR="005C6202" w:rsidRPr="00E01332" w14:paraId="7022A9A0" w14:textId="77777777" w:rsidTr="005C620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B5E209C" w14:textId="77777777" w:rsidR="005C6202" w:rsidRPr="00E01332" w:rsidRDefault="005C6202" w:rsidP="005D1710">
            <w:pPr>
              <w:spacing w:after="60" w:line="240" w:lineRule="auto"/>
              <w:jc w:val="center"/>
              <w:rPr>
                <w:rFonts w:eastAsia="Times New Roman" w:cs="Times New Roman"/>
                <w:szCs w:val="24"/>
                <w:lang w:eastAsia="lv-LV"/>
              </w:rPr>
            </w:pPr>
            <w:r w:rsidRPr="00E01332">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4515E8F9" w14:textId="77777777" w:rsidR="005C6202" w:rsidRPr="00E01332" w:rsidRDefault="005C6202" w:rsidP="005D1710">
            <w:pPr>
              <w:spacing w:after="60" w:line="240" w:lineRule="auto"/>
              <w:rPr>
                <w:rFonts w:eastAsia="Times New Roman" w:cs="Times New Roman"/>
                <w:szCs w:val="24"/>
                <w:lang w:eastAsia="lv-LV"/>
              </w:rPr>
            </w:pPr>
            <w:r w:rsidRPr="00E01332">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74976C4D" w14:textId="3BD687C0" w:rsidR="005C6202" w:rsidRPr="00E01332" w:rsidRDefault="003759B0" w:rsidP="005D1710">
            <w:pPr>
              <w:spacing w:after="60" w:line="240" w:lineRule="auto"/>
              <w:rPr>
                <w:rFonts w:eastAsia="Times New Roman" w:cs="Times New Roman"/>
                <w:szCs w:val="24"/>
                <w:lang w:eastAsia="lv-LV"/>
              </w:rPr>
            </w:pPr>
            <w:r w:rsidRPr="003759B0">
              <w:rPr>
                <w:rFonts w:eastAsia="Times New Roman" w:cs="Times New Roman"/>
                <w:szCs w:val="24"/>
                <w:lang w:eastAsia="lv-LV"/>
              </w:rPr>
              <w:t>Sabiedrība pēc normatīvā akta pieņemšanas tiks informēta ar publikāciju laikrakstā “Latvijas Vēstnesis”, kā arī tas tiks ievietots bezmaksas normatīvo aktu datu bāzē www.likumi.lv.</w:t>
            </w:r>
          </w:p>
        </w:tc>
      </w:tr>
    </w:tbl>
    <w:p w14:paraId="29A7DDB7" w14:textId="3276C00A" w:rsidR="003D0897" w:rsidRPr="00E01332" w:rsidRDefault="003D0897" w:rsidP="000D5B9E">
      <w:pPr>
        <w:shd w:val="clear" w:color="auto" w:fill="FFFFFF"/>
        <w:spacing w:after="0" w:line="240" w:lineRule="auto"/>
        <w:rPr>
          <w:rFonts w:eastAsia="Times New Roman" w:cs="Times New Roman"/>
          <w:szCs w:val="24"/>
          <w:lang w:eastAsia="lv-LV"/>
        </w:rPr>
      </w:pP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42"/>
        <w:gridCol w:w="6104"/>
      </w:tblGrid>
      <w:tr w:rsidR="000D5B9E" w:rsidRPr="00E01332" w14:paraId="350E179C" w14:textId="77777777" w:rsidTr="00F6514C">
        <w:tc>
          <w:tcPr>
            <w:tcW w:w="9072" w:type="dxa"/>
            <w:gridSpan w:val="3"/>
          </w:tcPr>
          <w:p w14:paraId="56B33BE8" w14:textId="59F88CF9" w:rsidR="000D5B9E" w:rsidRPr="00E01332" w:rsidRDefault="000D5B9E" w:rsidP="005C6202">
            <w:pPr>
              <w:spacing w:line="240" w:lineRule="auto"/>
              <w:jc w:val="center"/>
              <w:rPr>
                <w:rFonts w:eastAsia="Times New Roman" w:cs="Times New Roman"/>
                <w:b/>
                <w:szCs w:val="24"/>
              </w:rPr>
            </w:pPr>
            <w:r w:rsidRPr="00E01332">
              <w:rPr>
                <w:rFonts w:eastAsia="Times New Roman" w:cs="Times New Roman"/>
                <w:b/>
                <w:bCs/>
                <w:szCs w:val="24"/>
              </w:rPr>
              <w:t xml:space="preserve">VII. </w:t>
            </w:r>
            <w:r w:rsidRPr="00E01332">
              <w:rPr>
                <w:rFonts w:eastAsia="Times New Roman" w:cs="Times New Roman"/>
                <w:b/>
                <w:szCs w:val="24"/>
              </w:rPr>
              <w:t>Tiesību akta projekta izpildes nodrošināšana un tās ietekme uz institūcijām</w:t>
            </w:r>
          </w:p>
        </w:tc>
      </w:tr>
      <w:tr w:rsidR="000D5B9E" w:rsidRPr="00E01332" w14:paraId="536D2589" w14:textId="77777777" w:rsidTr="00F6514C">
        <w:tc>
          <w:tcPr>
            <w:tcW w:w="426" w:type="dxa"/>
          </w:tcPr>
          <w:p w14:paraId="78AC9DD3" w14:textId="01EC74BE" w:rsidR="000D5B9E" w:rsidRPr="00E01332" w:rsidRDefault="005C6202" w:rsidP="005C6202">
            <w:pPr>
              <w:spacing w:after="0" w:line="240" w:lineRule="auto"/>
              <w:jc w:val="center"/>
              <w:rPr>
                <w:rFonts w:eastAsia="Times New Roman" w:cs="Times New Roman"/>
                <w:szCs w:val="24"/>
              </w:rPr>
            </w:pPr>
            <w:r w:rsidRPr="00E01332">
              <w:rPr>
                <w:rFonts w:eastAsia="Times New Roman" w:cs="Times New Roman"/>
                <w:szCs w:val="24"/>
              </w:rPr>
              <w:t>1</w:t>
            </w:r>
            <w:r w:rsidR="000D5B9E" w:rsidRPr="00E01332">
              <w:rPr>
                <w:rFonts w:eastAsia="Times New Roman" w:cs="Times New Roman"/>
                <w:szCs w:val="24"/>
              </w:rPr>
              <w:t>.</w:t>
            </w:r>
          </w:p>
        </w:tc>
        <w:tc>
          <w:tcPr>
            <w:tcW w:w="2542" w:type="dxa"/>
          </w:tcPr>
          <w:p w14:paraId="112FA5E9" w14:textId="77777777" w:rsidR="000D5B9E" w:rsidRPr="00E01332" w:rsidRDefault="000D5B9E" w:rsidP="005C6202">
            <w:pPr>
              <w:spacing w:line="240" w:lineRule="auto"/>
              <w:rPr>
                <w:rFonts w:eastAsia="Times New Roman" w:cs="Times New Roman"/>
                <w:szCs w:val="24"/>
              </w:rPr>
            </w:pPr>
            <w:r w:rsidRPr="00E01332">
              <w:rPr>
                <w:rFonts w:eastAsia="Times New Roman" w:cs="Times New Roman"/>
                <w:szCs w:val="24"/>
              </w:rPr>
              <w:t>Projekta izpildē iesaistītās institūcijas</w:t>
            </w:r>
          </w:p>
        </w:tc>
        <w:tc>
          <w:tcPr>
            <w:tcW w:w="6104" w:type="dxa"/>
          </w:tcPr>
          <w:p w14:paraId="6BFC91AA" w14:textId="1777F273" w:rsidR="000D5B9E" w:rsidRPr="00E01332" w:rsidRDefault="000A1FBF" w:rsidP="00F627EA">
            <w:pPr>
              <w:spacing w:line="240" w:lineRule="auto"/>
              <w:ind w:right="148"/>
              <w:jc w:val="both"/>
              <w:rPr>
                <w:rFonts w:eastAsia="Times New Roman" w:cs="Times New Roman"/>
                <w:szCs w:val="24"/>
              </w:rPr>
            </w:pPr>
            <w:r>
              <w:rPr>
                <w:color w:val="000000"/>
                <w:shd w:val="clear" w:color="auto" w:fill="FFFFFF"/>
              </w:rPr>
              <w:t>Publiskās per</w:t>
            </w:r>
            <w:r w:rsidRPr="003765F2">
              <w:rPr>
                <w:rFonts w:cs="Times New Roman"/>
                <w:color w:val="000000"/>
                <w:szCs w:val="24"/>
                <w:shd w:val="clear" w:color="auto" w:fill="FFFFFF"/>
              </w:rPr>
              <w:t xml:space="preserve">sonas </w:t>
            </w:r>
            <w:r>
              <w:rPr>
                <w:rFonts w:cs="Times New Roman"/>
                <w:color w:val="000000"/>
                <w:szCs w:val="24"/>
                <w:shd w:val="clear" w:color="auto" w:fill="FFFFFF"/>
              </w:rPr>
              <w:t xml:space="preserve">un </w:t>
            </w:r>
            <w:r w:rsidRPr="003765F2">
              <w:t>to kapitālsabiedrības un sabiedrisko pakalpojumu sniedzēji Sabiedrisko pakalpojumu sniedzēju iepirkumu likuma izpratnē.</w:t>
            </w:r>
            <w:r w:rsidRPr="003765F2">
              <w:rPr>
                <w:rFonts w:cs="Times New Roman"/>
                <w:color w:val="000000"/>
                <w:szCs w:val="24"/>
                <w:shd w:val="clear" w:color="auto" w:fill="FFFFFF"/>
              </w:rPr>
              <w:t xml:space="preserve"> Juridiskas </w:t>
            </w:r>
            <w:r>
              <w:rPr>
                <w:color w:val="000000"/>
                <w:shd w:val="clear" w:color="auto" w:fill="FFFFFF"/>
              </w:rPr>
              <w:t>un fiziskas personas, kas izlems rēķinus iesniegt elektroniskā veidā.</w:t>
            </w:r>
          </w:p>
        </w:tc>
      </w:tr>
      <w:tr w:rsidR="000D5B9E" w:rsidRPr="00E01332" w14:paraId="24677356" w14:textId="77777777" w:rsidTr="00F6514C">
        <w:tc>
          <w:tcPr>
            <w:tcW w:w="426" w:type="dxa"/>
          </w:tcPr>
          <w:p w14:paraId="1D45DF80" w14:textId="77777777" w:rsidR="000D5B9E" w:rsidRPr="00E01332" w:rsidRDefault="000D5B9E" w:rsidP="005C6202">
            <w:pPr>
              <w:spacing w:after="0" w:line="240" w:lineRule="auto"/>
              <w:jc w:val="center"/>
              <w:rPr>
                <w:szCs w:val="24"/>
              </w:rPr>
            </w:pPr>
            <w:r w:rsidRPr="00E01332">
              <w:rPr>
                <w:szCs w:val="24"/>
              </w:rPr>
              <w:t>2.</w:t>
            </w:r>
          </w:p>
        </w:tc>
        <w:tc>
          <w:tcPr>
            <w:tcW w:w="2542" w:type="dxa"/>
          </w:tcPr>
          <w:p w14:paraId="1C9BE61A" w14:textId="77777777" w:rsidR="000D5B9E" w:rsidRPr="00E01332" w:rsidRDefault="000D5B9E" w:rsidP="000A1FBF">
            <w:pPr>
              <w:spacing w:after="0" w:line="240" w:lineRule="auto"/>
              <w:jc w:val="both"/>
              <w:rPr>
                <w:szCs w:val="24"/>
              </w:rPr>
            </w:pPr>
            <w:r w:rsidRPr="00E01332">
              <w:rPr>
                <w:szCs w:val="24"/>
              </w:rPr>
              <w:t>Projekta izpildes ietekme uz pārvaldes funkcijām un institucionālo struktūru.</w:t>
            </w:r>
          </w:p>
          <w:p w14:paraId="23D73A8E" w14:textId="77777777" w:rsidR="000D5B9E" w:rsidRPr="00E01332" w:rsidRDefault="000D5B9E" w:rsidP="000A1FBF">
            <w:pPr>
              <w:spacing w:after="0" w:line="240" w:lineRule="auto"/>
              <w:jc w:val="both"/>
              <w:rPr>
                <w:szCs w:val="24"/>
              </w:rPr>
            </w:pPr>
            <w:r w:rsidRPr="00E01332">
              <w:rPr>
                <w:szCs w:val="24"/>
              </w:rPr>
              <w:t xml:space="preserve">Jaunu institūciju izveide, esošo institūciju likvidācija vai reorganizācija, to ietekme </w:t>
            </w:r>
            <w:r w:rsidRPr="00E01332">
              <w:rPr>
                <w:szCs w:val="24"/>
              </w:rPr>
              <w:lastRenderedPageBreak/>
              <w:t>uz institūcijas cilvēkresursiem.</w:t>
            </w:r>
          </w:p>
        </w:tc>
        <w:tc>
          <w:tcPr>
            <w:tcW w:w="6104" w:type="dxa"/>
          </w:tcPr>
          <w:p w14:paraId="53A2B786" w14:textId="242E8D6D" w:rsidR="000D5B9E" w:rsidRPr="00E01332" w:rsidRDefault="003759B0" w:rsidP="005C6202">
            <w:pPr>
              <w:spacing w:after="0" w:line="240" w:lineRule="auto"/>
              <w:ind w:right="57"/>
              <w:jc w:val="both"/>
              <w:rPr>
                <w:szCs w:val="24"/>
              </w:rPr>
            </w:pPr>
            <w:r w:rsidRPr="003759B0">
              <w:rPr>
                <w:szCs w:val="24"/>
              </w:rPr>
              <w:lastRenderedPageBreak/>
              <w:t>Jaunas institūcijas un darba vietas institūcijās netiek veidotas.</w:t>
            </w:r>
          </w:p>
        </w:tc>
      </w:tr>
      <w:tr w:rsidR="000D5B9E" w:rsidRPr="00E01332" w14:paraId="43A42C9E" w14:textId="77777777" w:rsidTr="00F6514C">
        <w:tc>
          <w:tcPr>
            <w:tcW w:w="426" w:type="dxa"/>
          </w:tcPr>
          <w:p w14:paraId="2FC0740C" w14:textId="77777777" w:rsidR="000D5B9E" w:rsidRPr="00E01332" w:rsidRDefault="000D5B9E" w:rsidP="005C6202">
            <w:pPr>
              <w:spacing w:after="0" w:line="240" w:lineRule="auto"/>
              <w:jc w:val="center"/>
              <w:rPr>
                <w:rFonts w:eastAsia="Times New Roman" w:cs="Times New Roman"/>
                <w:szCs w:val="24"/>
              </w:rPr>
            </w:pPr>
            <w:r w:rsidRPr="00E01332">
              <w:rPr>
                <w:rFonts w:eastAsia="Times New Roman" w:cs="Times New Roman"/>
                <w:szCs w:val="24"/>
              </w:rPr>
              <w:t>3.</w:t>
            </w:r>
          </w:p>
        </w:tc>
        <w:tc>
          <w:tcPr>
            <w:tcW w:w="2542" w:type="dxa"/>
          </w:tcPr>
          <w:p w14:paraId="0530C6FB" w14:textId="77777777" w:rsidR="000D5B9E" w:rsidRPr="00E01332" w:rsidRDefault="000D5B9E" w:rsidP="000D5B9E">
            <w:pPr>
              <w:spacing w:line="240" w:lineRule="auto"/>
              <w:ind w:left="150" w:right="170"/>
              <w:rPr>
                <w:rFonts w:eastAsia="Times New Roman" w:cs="Times New Roman"/>
                <w:szCs w:val="24"/>
              </w:rPr>
            </w:pPr>
            <w:r w:rsidRPr="00E01332">
              <w:rPr>
                <w:rFonts w:eastAsia="Times New Roman" w:cs="Times New Roman"/>
                <w:szCs w:val="24"/>
              </w:rPr>
              <w:t>Cita informācija</w:t>
            </w:r>
          </w:p>
        </w:tc>
        <w:tc>
          <w:tcPr>
            <w:tcW w:w="6104" w:type="dxa"/>
          </w:tcPr>
          <w:p w14:paraId="3B4E3DC3" w14:textId="77777777" w:rsidR="000D5B9E" w:rsidRPr="00E01332" w:rsidRDefault="000D5B9E" w:rsidP="000D5B9E">
            <w:pPr>
              <w:spacing w:line="240" w:lineRule="auto"/>
              <w:ind w:right="148"/>
              <w:jc w:val="both"/>
              <w:rPr>
                <w:rFonts w:eastAsia="Times New Roman" w:cs="Times New Roman"/>
                <w:szCs w:val="24"/>
              </w:rPr>
            </w:pPr>
            <w:r w:rsidRPr="00E01332">
              <w:rPr>
                <w:rFonts w:eastAsia="Times New Roman" w:cs="Times New Roman"/>
                <w:szCs w:val="24"/>
              </w:rPr>
              <w:t>Nav.</w:t>
            </w:r>
          </w:p>
        </w:tc>
      </w:tr>
    </w:tbl>
    <w:p w14:paraId="095FBA79" w14:textId="77777777" w:rsidR="00E4159D" w:rsidRPr="00E01332" w:rsidRDefault="00E4159D" w:rsidP="005040F9">
      <w:pPr>
        <w:shd w:val="clear" w:color="auto" w:fill="FFFFFF"/>
        <w:spacing w:after="0" w:line="240" w:lineRule="auto"/>
        <w:rPr>
          <w:rFonts w:eastAsia="Times New Roman" w:cs="Times New Roman"/>
          <w:szCs w:val="24"/>
          <w:lang w:eastAsia="lv-LV"/>
        </w:rPr>
      </w:pPr>
    </w:p>
    <w:p w14:paraId="2B73609C" w14:textId="4D1644FA" w:rsidR="003D0897" w:rsidRPr="00E01332" w:rsidRDefault="003D0897" w:rsidP="0037321C">
      <w:pPr>
        <w:spacing w:after="0" w:line="240" w:lineRule="auto"/>
        <w:rPr>
          <w:rFonts w:cs="Times New Roman"/>
          <w:szCs w:val="24"/>
        </w:rPr>
      </w:pPr>
    </w:p>
    <w:p w14:paraId="77AF1B51" w14:textId="77777777" w:rsidR="00A46C53" w:rsidRPr="00A46C53" w:rsidRDefault="00A46C53" w:rsidP="002A0D46">
      <w:pPr>
        <w:spacing w:after="0" w:line="240" w:lineRule="auto"/>
        <w:rPr>
          <w:rFonts w:cs="Times New Roman"/>
          <w:color w:val="000000" w:themeColor="text1"/>
          <w:szCs w:val="24"/>
        </w:rPr>
      </w:pPr>
    </w:p>
    <w:p w14:paraId="77E23826" w14:textId="074794D8" w:rsidR="00297019" w:rsidRDefault="002A0D46" w:rsidP="00A46C53">
      <w:pPr>
        <w:tabs>
          <w:tab w:val="left" w:pos="6237"/>
        </w:tabs>
        <w:spacing w:after="0" w:line="240" w:lineRule="auto"/>
        <w:rPr>
          <w:rFonts w:cs="Times New Roman"/>
          <w:color w:val="000000" w:themeColor="text1"/>
          <w:szCs w:val="24"/>
        </w:rPr>
      </w:pPr>
      <w:r w:rsidRPr="00A46C53">
        <w:rPr>
          <w:rFonts w:cs="Times New Roman"/>
          <w:color w:val="000000" w:themeColor="text1"/>
          <w:szCs w:val="24"/>
        </w:rPr>
        <w:t>Finanšu ministr</w:t>
      </w:r>
      <w:r w:rsidR="00297019">
        <w:rPr>
          <w:rFonts w:cs="Times New Roman"/>
          <w:color w:val="000000" w:themeColor="text1"/>
          <w:szCs w:val="24"/>
        </w:rPr>
        <w:t>a vietā –</w:t>
      </w:r>
    </w:p>
    <w:p w14:paraId="43F0A16F" w14:textId="56F3DCA1" w:rsidR="00894C55" w:rsidRDefault="00297019" w:rsidP="00A46C53">
      <w:pPr>
        <w:tabs>
          <w:tab w:val="left" w:pos="6237"/>
        </w:tabs>
        <w:spacing w:after="0" w:line="240" w:lineRule="auto"/>
        <w:rPr>
          <w:rFonts w:cs="Times New Roman"/>
          <w:color w:val="000000" w:themeColor="text1"/>
          <w:szCs w:val="24"/>
        </w:rPr>
      </w:pPr>
      <w:r>
        <w:rPr>
          <w:rFonts w:cs="Times New Roman"/>
          <w:color w:val="000000" w:themeColor="text1"/>
          <w:szCs w:val="24"/>
        </w:rPr>
        <w:t>Ministru prezidents</w:t>
      </w:r>
      <w:r w:rsidR="002A0D46" w:rsidRPr="00A46C53">
        <w:rPr>
          <w:rFonts w:cs="Times New Roman"/>
          <w:color w:val="000000" w:themeColor="text1"/>
          <w:szCs w:val="24"/>
        </w:rPr>
        <w:tab/>
      </w:r>
      <w:r w:rsidR="002A0D46" w:rsidRPr="00A46C53">
        <w:rPr>
          <w:rFonts w:cs="Times New Roman"/>
          <w:color w:val="000000" w:themeColor="text1"/>
          <w:szCs w:val="24"/>
        </w:rPr>
        <w:tab/>
      </w:r>
      <w:r w:rsidR="00B33365" w:rsidRPr="00A46C53">
        <w:rPr>
          <w:rFonts w:cs="Times New Roman"/>
          <w:color w:val="000000" w:themeColor="text1"/>
          <w:szCs w:val="24"/>
        </w:rPr>
        <w:tab/>
      </w:r>
      <w:r w:rsidR="00A46C53" w:rsidRPr="00A46C53">
        <w:rPr>
          <w:rFonts w:cs="Times New Roman"/>
          <w:color w:val="000000" w:themeColor="text1"/>
          <w:szCs w:val="24"/>
        </w:rPr>
        <w:tab/>
      </w:r>
      <w:r>
        <w:rPr>
          <w:rFonts w:cs="Times New Roman"/>
          <w:color w:val="000000" w:themeColor="text1"/>
          <w:szCs w:val="24"/>
        </w:rPr>
        <w:t>A.K.Kariņš</w:t>
      </w:r>
    </w:p>
    <w:p w14:paraId="02D77D1B" w14:textId="7ECD7CD4" w:rsidR="0007114C" w:rsidRDefault="0007114C" w:rsidP="00A46C53">
      <w:pPr>
        <w:tabs>
          <w:tab w:val="left" w:pos="6237"/>
        </w:tabs>
        <w:spacing w:after="0" w:line="240" w:lineRule="auto"/>
        <w:rPr>
          <w:rFonts w:cs="Times New Roman"/>
          <w:color w:val="000000" w:themeColor="text1"/>
          <w:szCs w:val="24"/>
        </w:rPr>
      </w:pPr>
    </w:p>
    <w:p w14:paraId="2C3AC54F" w14:textId="5C65C786" w:rsidR="0007114C" w:rsidRDefault="0007114C" w:rsidP="00A46C53">
      <w:pPr>
        <w:tabs>
          <w:tab w:val="left" w:pos="6237"/>
        </w:tabs>
        <w:spacing w:after="0" w:line="240" w:lineRule="auto"/>
        <w:rPr>
          <w:rFonts w:cs="Times New Roman"/>
          <w:color w:val="000000" w:themeColor="text1"/>
          <w:szCs w:val="24"/>
        </w:rPr>
      </w:pPr>
    </w:p>
    <w:p w14:paraId="47A4419C" w14:textId="23675800" w:rsidR="0007114C" w:rsidRDefault="0007114C" w:rsidP="00A46C53">
      <w:pPr>
        <w:tabs>
          <w:tab w:val="left" w:pos="6237"/>
        </w:tabs>
        <w:spacing w:after="0" w:line="240" w:lineRule="auto"/>
        <w:rPr>
          <w:rFonts w:cs="Times New Roman"/>
          <w:color w:val="000000" w:themeColor="text1"/>
          <w:szCs w:val="24"/>
        </w:rPr>
      </w:pPr>
    </w:p>
    <w:p w14:paraId="4EA7AEB2" w14:textId="77777777" w:rsidR="00297019" w:rsidRDefault="00297019" w:rsidP="00A46C53">
      <w:pPr>
        <w:tabs>
          <w:tab w:val="left" w:pos="6237"/>
        </w:tabs>
        <w:spacing w:after="0" w:line="240" w:lineRule="auto"/>
        <w:rPr>
          <w:rFonts w:cs="Times New Roman"/>
          <w:color w:val="000000" w:themeColor="text1"/>
          <w:szCs w:val="24"/>
        </w:rPr>
      </w:pPr>
    </w:p>
    <w:p w14:paraId="478920F9" w14:textId="7B93ABC0" w:rsidR="0007114C" w:rsidRDefault="0007114C" w:rsidP="00A46C53">
      <w:pPr>
        <w:tabs>
          <w:tab w:val="left" w:pos="6237"/>
        </w:tabs>
        <w:spacing w:after="0" w:line="240" w:lineRule="auto"/>
        <w:rPr>
          <w:rFonts w:cs="Times New Roman"/>
          <w:color w:val="000000" w:themeColor="text1"/>
          <w:szCs w:val="24"/>
        </w:rPr>
      </w:pPr>
    </w:p>
    <w:p w14:paraId="28A3497E" w14:textId="5785151F" w:rsidR="0007114C" w:rsidRPr="0007114C" w:rsidRDefault="0007114C" w:rsidP="0007114C">
      <w:pPr>
        <w:tabs>
          <w:tab w:val="left" w:pos="6237"/>
        </w:tabs>
        <w:spacing w:after="0" w:line="240" w:lineRule="auto"/>
        <w:rPr>
          <w:rFonts w:cs="Times New Roman"/>
          <w:color w:val="000000" w:themeColor="text1"/>
          <w:sz w:val="20"/>
          <w:szCs w:val="24"/>
        </w:rPr>
      </w:pPr>
      <w:r w:rsidRPr="0007114C">
        <w:rPr>
          <w:rFonts w:cs="Times New Roman"/>
          <w:color w:val="000000" w:themeColor="text1"/>
          <w:sz w:val="20"/>
          <w:szCs w:val="24"/>
        </w:rPr>
        <w:t>Matulis</w:t>
      </w:r>
      <w:r>
        <w:rPr>
          <w:rFonts w:cs="Times New Roman"/>
          <w:color w:val="000000" w:themeColor="text1"/>
          <w:sz w:val="20"/>
          <w:szCs w:val="24"/>
        </w:rPr>
        <w:t>, 67095457</w:t>
      </w:r>
    </w:p>
    <w:p w14:paraId="279F7D41" w14:textId="2B34DF29" w:rsidR="0007114C" w:rsidRPr="0007114C" w:rsidRDefault="0007114C" w:rsidP="00A46C53">
      <w:pPr>
        <w:tabs>
          <w:tab w:val="left" w:pos="6237"/>
        </w:tabs>
        <w:spacing w:after="0" w:line="240" w:lineRule="auto"/>
        <w:rPr>
          <w:sz w:val="20"/>
          <w:szCs w:val="24"/>
        </w:rPr>
      </w:pPr>
      <w:r w:rsidRPr="0007114C">
        <w:rPr>
          <w:rFonts w:cs="Times New Roman"/>
          <w:color w:val="000000" w:themeColor="text1"/>
          <w:sz w:val="20"/>
          <w:szCs w:val="24"/>
        </w:rPr>
        <w:t>Edgars.matulis@fm.gov.lv</w:t>
      </w:r>
    </w:p>
    <w:sectPr w:rsidR="0007114C" w:rsidRPr="0007114C" w:rsidSect="005722BE">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D89E" w14:textId="77777777" w:rsidR="00771BCA" w:rsidRDefault="00771BCA" w:rsidP="00894C55">
      <w:pPr>
        <w:spacing w:after="0" w:line="240" w:lineRule="auto"/>
      </w:pPr>
      <w:r>
        <w:separator/>
      </w:r>
    </w:p>
  </w:endnote>
  <w:endnote w:type="continuationSeparator" w:id="0">
    <w:p w14:paraId="6C852BDB" w14:textId="77777777" w:rsidR="00771BCA" w:rsidRDefault="00771BC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6874" w14:textId="7C3FB678" w:rsidR="001549E6" w:rsidRPr="007D4993" w:rsidRDefault="001549E6" w:rsidP="007D4993">
    <w:pPr>
      <w:pStyle w:val="Footer"/>
    </w:pPr>
    <w:r w:rsidRPr="007D4993">
      <w:rPr>
        <w:rFonts w:cs="Times New Roman"/>
        <w:sz w:val="20"/>
        <w:szCs w:val="20"/>
      </w:rPr>
      <w:t>FManot_</w:t>
    </w:r>
    <w:r>
      <w:rPr>
        <w:rFonts w:cs="Times New Roman"/>
        <w:sz w:val="20"/>
        <w:szCs w:val="20"/>
      </w:rPr>
      <w:t>1101</w:t>
    </w:r>
    <w:r w:rsidRPr="007D4993">
      <w:rPr>
        <w:rFonts w:cs="Times New Roman"/>
        <w:sz w:val="20"/>
        <w:szCs w:val="20"/>
      </w:rPr>
      <w:t>1</w:t>
    </w:r>
    <w:r>
      <w:rPr>
        <w:rFonts w:cs="Times New Roman"/>
        <w:sz w:val="20"/>
        <w:szCs w:val="20"/>
      </w:rPr>
      <w:t>9</w:t>
    </w:r>
    <w:r w:rsidRPr="007D4993">
      <w:rPr>
        <w:rFonts w:cs="Times New Roman"/>
        <w:sz w:val="20"/>
        <w:szCs w:val="20"/>
      </w:rPr>
      <w:t>_</w:t>
    </w:r>
    <w:r>
      <w:rPr>
        <w:rFonts w:cs="Times New Roman"/>
        <w:sz w:val="20"/>
        <w:szCs w:val="20"/>
      </w:rPr>
      <w:t>erekini</w:t>
    </w:r>
    <w:r w:rsidRPr="00D64C04">
      <w:rPr>
        <w:rFonts w:cs="Times New Roman"/>
        <w:sz w:val="20"/>
        <w:szCs w:val="20"/>
      </w:rPr>
      <w:t>.113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5C5D" w14:textId="19051139" w:rsidR="001549E6" w:rsidRPr="000A1FBF" w:rsidRDefault="001549E6" w:rsidP="000A1FBF">
    <w:pPr>
      <w:pStyle w:val="Footer"/>
    </w:pPr>
    <w:r w:rsidRPr="007D4993">
      <w:rPr>
        <w:rFonts w:cs="Times New Roman"/>
        <w:sz w:val="20"/>
        <w:szCs w:val="20"/>
      </w:rPr>
      <w:t>FManot_</w:t>
    </w:r>
    <w:r>
      <w:rPr>
        <w:rFonts w:cs="Times New Roman"/>
        <w:sz w:val="20"/>
        <w:szCs w:val="20"/>
      </w:rPr>
      <w:t>1101</w:t>
    </w:r>
    <w:r w:rsidRPr="007D4993">
      <w:rPr>
        <w:rFonts w:cs="Times New Roman"/>
        <w:sz w:val="20"/>
        <w:szCs w:val="20"/>
      </w:rPr>
      <w:t>1</w:t>
    </w:r>
    <w:r>
      <w:rPr>
        <w:rFonts w:cs="Times New Roman"/>
        <w:sz w:val="20"/>
        <w:szCs w:val="20"/>
      </w:rPr>
      <w:t>9</w:t>
    </w:r>
    <w:r w:rsidRPr="007D4993">
      <w:rPr>
        <w:rFonts w:cs="Times New Roman"/>
        <w:sz w:val="20"/>
        <w:szCs w:val="20"/>
      </w:rPr>
      <w:t>_</w:t>
    </w:r>
    <w:r>
      <w:rPr>
        <w:rFonts w:cs="Times New Roman"/>
        <w:sz w:val="20"/>
        <w:szCs w:val="20"/>
      </w:rPr>
      <w:t>erekini</w:t>
    </w:r>
    <w:r w:rsidRPr="00D64C04">
      <w:rPr>
        <w:rFonts w:cs="Times New Roman"/>
        <w:sz w:val="20"/>
        <w:szCs w:val="20"/>
      </w:rPr>
      <w:t>.113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4B03" w14:textId="77777777" w:rsidR="00771BCA" w:rsidRDefault="00771BCA" w:rsidP="00894C55">
      <w:pPr>
        <w:spacing w:after="0" w:line="240" w:lineRule="auto"/>
      </w:pPr>
      <w:r>
        <w:separator/>
      </w:r>
    </w:p>
  </w:footnote>
  <w:footnote w:type="continuationSeparator" w:id="0">
    <w:p w14:paraId="08A0D8E2" w14:textId="77777777" w:rsidR="00771BCA" w:rsidRDefault="00771BCA" w:rsidP="00894C55">
      <w:pPr>
        <w:spacing w:after="0" w:line="240" w:lineRule="auto"/>
      </w:pPr>
      <w:r>
        <w:continuationSeparator/>
      </w:r>
    </w:p>
  </w:footnote>
  <w:footnote w:id="1">
    <w:p w14:paraId="3F4C1F9A" w14:textId="2FFC7CDF" w:rsidR="001549E6" w:rsidRDefault="001549E6" w:rsidP="00BD2A07">
      <w:pPr>
        <w:pStyle w:val="FootnoteText"/>
      </w:pPr>
      <w:r>
        <w:rPr>
          <w:rStyle w:val="FootnoteReference"/>
        </w:rPr>
        <w:footnoteRef/>
      </w:r>
      <w:r>
        <w:t xml:space="preserve"> Sk. </w:t>
      </w:r>
      <w:r w:rsidRPr="00254467">
        <w:t>https://peppol.eu/what-is-peppol/peppol-country-profiles/</w:t>
      </w:r>
    </w:p>
  </w:footnote>
  <w:footnote w:id="2">
    <w:p w14:paraId="2117ADEA" w14:textId="64A218F0" w:rsidR="001549E6" w:rsidRPr="00C711F3" w:rsidRDefault="001549E6" w:rsidP="00C711F3">
      <w:pPr>
        <w:spacing w:after="0" w:line="240" w:lineRule="auto"/>
        <w:ind w:right="57"/>
        <w:jc w:val="both"/>
        <w:rPr>
          <w:sz w:val="20"/>
          <w:szCs w:val="20"/>
        </w:rPr>
      </w:pPr>
      <w:r>
        <w:rPr>
          <w:rStyle w:val="FootnoteReference"/>
        </w:rPr>
        <w:footnoteRef/>
      </w:r>
      <w:r>
        <w:t xml:space="preserve"> </w:t>
      </w:r>
      <w:r w:rsidRPr="00C711F3">
        <w:rPr>
          <w:sz w:val="20"/>
          <w:szCs w:val="20"/>
        </w:rPr>
        <w:t>Publisko iepirkumu likuma ietvaros noslēgtie līgumi 2018.gadā ar ārvalstīs reģistrētiem vai pastāvīgi dzīvojošiem piegādātājiem sastāda 2,0%</w:t>
      </w:r>
      <w:r>
        <w:rPr>
          <w:sz w:val="20"/>
          <w:szCs w:val="20"/>
        </w:rPr>
        <w:t xml:space="preserve"> no kopējā līgumu skaita, bet Latvijā</w:t>
      </w:r>
      <w:r w:rsidRPr="00C711F3">
        <w:rPr>
          <w:sz w:val="20"/>
          <w:szCs w:val="20"/>
        </w:rPr>
        <w:t xml:space="preserve"> reģistrētiem vai pastāvīgi dzīvojošiem piegādātājiem sastāda 98,0% no visiem līgumiem</w:t>
      </w:r>
      <w:r>
        <w:rPr>
          <w:sz w:val="20"/>
          <w:szCs w:val="20"/>
        </w:rPr>
        <w:t>.</w:t>
      </w:r>
      <w:r w:rsidRPr="00C711F3">
        <w:rPr>
          <w:sz w:val="20"/>
          <w:szCs w:val="20"/>
        </w:rPr>
        <w:t xml:space="preserve"> </w:t>
      </w:r>
    </w:p>
    <w:p w14:paraId="2477BC48" w14:textId="71486CCF" w:rsidR="001549E6" w:rsidRPr="00C711F3" w:rsidRDefault="001549E6" w:rsidP="00C711F3">
      <w:pPr>
        <w:spacing w:after="0" w:line="240" w:lineRule="auto"/>
        <w:ind w:right="57"/>
        <w:jc w:val="both"/>
        <w:rPr>
          <w:sz w:val="20"/>
          <w:szCs w:val="20"/>
        </w:rPr>
      </w:pPr>
      <w:r w:rsidRPr="00C711F3">
        <w:rPr>
          <w:sz w:val="20"/>
          <w:szCs w:val="20"/>
        </w:rPr>
        <w:t>Sabiedrisko pakalpojumu sniedzēju iepirkumu likuma ietvaros noslēgtie līgumi 2018.gadā ar ārvalstīs reģistrētiem vai pastāvīgi dzīvojošiem piegādātājiem sastāda 21,4%</w:t>
      </w:r>
      <w:r>
        <w:rPr>
          <w:sz w:val="20"/>
          <w:szCs w:val="20"/>
        </w:rPr>
        <w:t xml:space="preserve"> no kopējā līgumu skaita, bet Latvijā</w:t>
      </w:r>
      <w:r w:rsidRPr="00C711F3">
        <w:rPr>
          <w:sz w:val="20"/>
          <w:szCs w:val="20"/>
        </w:rPr>
        <w:t xml:space="preserve"> reģistrētiem vai pastāvīgi dzīvojošiem piegādātājiem sastāda 78,6% no visiem līgumiem</w:t>
      </w:r>
      <w:r>
        <w:rPr>
          <w:sz w:val="20"/>
          <w:szCs w:val="20"/>
        </w:rPr>
        <w:t>.</w:t>
      </w:r>
    </w:p>
    <w:p w14:paraId="207EDA91" w14:textId="5D0FC086" w:rsidR="001549E6" w:rsidRPr="00C711F3" w:rsidRDefault="001549E6" w:rsidP="002E536E">
      <w:pPr>
        <w:spacing w:after="0" w:line="240" w:lineRule="auto"/>
        <w:ind w:right="57"/>
        <w:jc w:val="both"/>
        <w:rPr>
          <w:sz w:val="20"/>
          <w:szCs w:val="20"/>
        </w:rPr>
      </w:pPr>
      <w:r w:rsidRPr="00C711F3">
        <w:rPr>
          <w:sz w:val="20"/>
          <w:szCs w:val="20"/>
        </w:rPr>
        <w:t>Aizsardzības un drošības jomas iepirkumu likuma ietvaros noslēgtie līgumi 2018.gadā ar ārvalstīs reģistrētiem vai pastāvīgi dzīvojošiem piegādātājiem sastāda 36,1%, bet Latvija reģistrētiem vai pastāvīgi dzīvojošiem piegādātājiem sastāda 63,9% no visiem līgumiem</w:t>
      </w:r>
      <w:r>
        <w:rPr>
          <w:sz w:val="20"/>
          <w:szCs w:val="20"/>
        </w:rPr>
        <w:t>.</w:t>
      </w:r>
    </w:p>
    <w:p w14:paraId="37023ACB" w14:textId="7A7E7A9C" w:rsidR="001549E6" w:rsidRPr="00C711F3" w:rsidRDefault="001549E6" w:rsidP="002E536E">
      <w:pPr>
        <w:pStyle w:val="FootnoteText"/>
      </w:pPr>
      <w:r w:rsidRPr="00C711F3">
        <w:t>Publiskās un privātās partnerības likuma ietvaros 2018. gadā nav noslēgts neviens līgums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14:paraId="72C6BD15" w14:textId="0AB6C9A3" w:rsidR="001549E6" w:rsidRPr="00C25B49" w:rsidRDefault="001549E6">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D937EB">
          <w:rPr>
            <w:rFonts w:cs="Times New Roman"/>
            <w:noProof/>
            <w:szCs w:val="20"/>
          </w:rPr>
          <w:t>4</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636F9"/>
    <w:multiLevelType w:val="hybridMultilevel"/>
    <w:tmpl w:val="C5C22D68"/>
    <w:lvl w:ilvl="0" w:tplc="4F46A81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6" w15:restartNumberingAfterBreak="0">
    <w:nsid w:val="25B66795"/>
    <w:multiLevelType w:val="multilevel"/>
    <w:tmpl w:val="3C36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B511F"/>
    <w:multiLevelType w:val="multilevel"/>
    <w:tmpl w:val="8EB4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574472"/>
    <w:multiLevelType w:val="hybridMultilevel"/>
    <w:tmpl w:val="255E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13124E"/>
    <w:multiLevelType w:val="hybridMultilevel"/>
    <w:tmpl w:val="4D809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8"/>
  </w:num>
  <w:num w:numId="3">
    <w:abstractNumId w:val="21"/>
  </w:num>
  <w:num w:numId="4">
    <w:abstractNumId w:val="12"/>
  </w:num>
  <w:num w:numId="5">
    <w:abstractNumId w:val="10"/>
  </w:num>
  <w:num w:numId="6">
    <w:abstractNumId w:val="9"/>
  </w:num>
  <w:num w:numId="7">
    <w:abstractNumId w:val="3"/>
  </w:num>
  <w:num w:numId="8">
    <w:abstractNumId w:val="4"/>
  </w:num>
  <w:num w:numId="9">
    <w:abstractNumId w:val="2"/>
  </w:num>
  <w:num w:numId="10">
    <w:abstractNumId w:val="11"/>
  </w:num>
  <w:num w:numId="11">
    <w:abstractNumId w:val="5"/>
  </w:num>
  <w:num w:numId="12">
    <w:abstractNumId w:val="19"/>
  </w:num>
  <w:num w:numId="13">
    <w:abstractNumId w:val="17"/>
  </w:num>
  <w:num w:numId="14">
    <w:abstractNumId w:val="15"/>
  </w:num>
  <w:num w:numId="15">
    <w:abstractNumId w:val="14"/>
  </w:num>
  <w:num w:numId="16">
    <w:abstractNumId w:val="13"/>
  </w:num>
  <w:num w:numId="17">
    <w:abstractNumId w:val="16"/>
  </w:num>
  <w:num w:numId="18">
    <w:abstractNumId w:val="8"/>
  </w:num>
  <w:num w:numId="19">
    <w:abstractNumId w:val="6"/>
    <w:lvlOverride w:ilvl="0">
      <w:startOverride w:val="1"/>
    </w:lvlOverride>
  </w:num>
  <w:num w:numId="20">
    <w:abstractNumId w:val="20"/>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DF9"/>
    <w:rsid w:val="00013E02"/>
    <w:rsid w:val="00015F1A"/>
    <w:rsid w:val="00020892"/>
    <w:rsid w:val="000209C5"/>
    <w:rsid w:val="00021B8F"/>
    <w:rsid w:val="00023071"/>
    <w:rsid w:val="0003455C"/>
    <w:rsid w:val="00034DF1"/>
    <w:rsid w:val="00036F03"/>
    <w:rsid w:val="00051490"/>
    <w:rsid w:val="0005429D"/>
    <w:rsid w:val="00056B3E"/>
    <w:rsid w:val="000605BF"/>
    <w:rsid w:val="0007114C"/>
    <w:rsid w:val="000728C9"/>
    <w:rsid w:val="0008034A"/>
    <w:rsid w:val="00081149"/>
    <w:rsid w:val="00085C25"/>
    <w:rsid w:val="00087ECD"/>
    <w:rsid w:val="00092BE5"/>
    <w:rsid w:val="000947FB"/>
    <w:rsid w:val="000A034A"/>
    <w:rsid w:val="000A1FBF"/>
    <w:rsid w:val="000B7320"/>
    <w:rsid w:val="000C1F2F"/>
    <w:rsid w:val="000C260F"/>
    <w:rsid w:val="000C3995"/>
    <w:rsid w:val="000D19F0"/>
    <w:rsid w:val="000D270C"/>
    <w:rsid w:val="000D37CD"/>
    <w:rsid w:val="000D5B9E"/>
    <w:rsid w:val="000D7D8A"/>
    <w:rsid w:val="000E0E92"/>
    <w:rsid w:val="000E693C"/>
    <w:rsid w:val="000F35E0"/>
    <w:rsid w:val="000F3EE1"/>
    <w:rsid w:val="0010129B"/>
    <w:rsid w:val="0010134C"/>
    <w:rsid w:val="00102A07"/>
    <w:rsid w:val="001065B1"/>
    <w:rsid w:val="00112468"/>
    <w:rsid w:val="00114F6A"/>
    <w:rsid w:val="0012070F"/>
    <w:rsid w:val="00122E58"/>
    <w:rsid w:val="001243CC"/>
    <w:rsid w:val="00126192"/>
    <w:rsid w:val="001403CB"/>
    <w:rsid w:val="001472DE"/>
    <w:rsid w:val="00152248"/>
    <w:rsid w:val="00153672"/>
    <w:rsid w:val="001540F6"/>
    <w:rsid w:val="001549E6"/>
    <w:rsid w:val="00163869"/>
    <w:rsid w:val="00166980"/>
    <w:rsid w:val="001719F0"/>
    <w:rsid w:val="00172580"/>
    <w:rsid w:val="00180714"/>
    <w:rsid w:val="001935D8"/>
    <w:rsid w:val="00193FCD"/>
    <w:rsid w:val="00195BDD"/>
    <w:rsid w:val="00196A30"/>
    <w:rsid w:val="00196B62"/>
    <w:rsid w:val="001B1416"/>
    <w:rsid w:val="001B2A91"/>
    <w:rsid w:val="001B2F3F"/>
    <w:rsid w:val="001B342A"/>
    <w:rsid w:val="001B5372"/>
    <w:rsid w:val="001C21CF"/>
    <w:rsid w:val="001C5371"/>
    <w:rsid w:val="001D2557"/>
    <w:rsid w:val="001D562B"/>
    <w:rsid w:val="001D6CD0"/>
    <w:rsid w:val="001E3E77"/>
    <w:rsid w:val="001E4A7B"/>
    <w:rsid w:val="001E4DAF"/>
    <w:rsid w:val="001F50C2"/>
    <w:rsid w:val="0020231B"/>
    <w:rsid w:val="00215FBB"/>
    <w:rsid w:val="002164BF"/>
    <w:rsid w:val="00225644"/>
    <w:rsid w:val="002265BB"/>
    <w:rsid w:val="002265EF"/>
    <w:rsid w:val="00234BA1"/>
    <w:rsid w:val="002356F2"/>
    <w:rsid w:val="002415D0"/>
    <w:rsid w:val="00242175"/>
    <w:rsid w:val="00243426"/>
    <w:rsid w:val="00254467"/>
    <w:rsid w:val="00254763"/>
    <w:rsid w:val="00256A3D"/>
    <w:rsid w:val="00261BAA"/>
    <w:rsid w:val="00287BF0"/>
    <w:rsid w:val="002910CE"/>
    <w:rsid w:val="00292205"/>
    <w:rsid w:val="0029452F"/>
    <w:rsid w:val="00295197"/>
    <w:rsid w:val="00297019"/>
    <w:rsid w:val="002A0D46"/>
    <w:rsid w:val="002A74ED"/>
    <w:rsid w:val="002B7F53"/>
    <w:rsid w:val="002C1332"/>
    <w:rsid w:val="002C38A3"/>
    <w:rsid w:val="002C5F82"/>
    <w:rsid w:val="002D7218"/>
    <w:rsid w:val="002E0A25"/>
    <w:rsid w:val="002E536E"/>
    <w:rsid w:val="002F6777"/>
    <w:rsid w:val="003054C7"/>
    <w:rsid w:val="0030553A"/>
    <w:rsid w:val="003138A4"/>
    <w:rsid w:val="00315810"/>
    <w:rsid w:val="003343F3"/>
    <w:rsid w:val="003365A1"/>
    <w:rsid w:val="00352FBB"/>
    <w:rsid w:val="003543FC"/>
    <w:rsid w:val="0036230C"/>
    <w:rsid w:val="00362658"/>
    <w:rsid w:val="00363497"/>
    <w:rsid w:val="00370040"/>
    <w:rsid w:val="0037321C"/>
    <w:rsid w:val="00374F52"/>
    <w:rsid w:val="003759B0"/>
    <w:rsid w:val="003765F2"/>
    <w:rsid w:val="00382F3F"/>
    <w:rsid w:val="00384514"/>
    <w:rsid w:val="00385251"/>
    <w:rsid w:val="00390205"/>
    <w:rsid w:val="003A1F77"/>
    <w:rsid w:val="003A3717"/>
    <w:rsid w:val="003A54D3"/>
    <w:rsid w:val="003A65B0"/>
    <w:rsid w:val="003B0BC3"/>
    <w:rsid w:val="003B0BF9"/>
    <w:rsid w:val="003B4273"/>
    <w:rsid w:val="003B6CA4"/>
    <w:rsid w:val="003C0604"/>
    <w:rsid w:val="003C163D"/>
    <w:rsid w:val="003C77A8"/>
    <w:rsid w:val="003D0897"/>
    <w:rsid w:val="003D4991"/>
    <w:rsid w:val="003D536A"/>
    <w:rsid w:val="003D7B12"/>
    <w:rsid w:val="003E0791"/>
    <w:rsid w:val="003E1BCB"/>
    <w:rsid w:val="003E5838"/>
    <w:rsid w:val="003E7823"/>
    <w:rsid w:val="003F28AC"/>
    <w:rsid w:val="003F5D5F"/>
    <w:rsid w:val="00411D6D"/>
    <w:rsid w:val="00413FCF"/>
    <w:rsid w:val="00416AAE"/>
    <w:rsid w:val="00417D67"/>
    <w:rsid w:val="00423185"/>
    <w:rsid w:val="004404B0"/>
    <w:rsid w:val="004454FE"/>
    <w:rsid w:val="004521BF"/>
    <w:rsid w:val="00453B68"/>
    <w:rsid w:val="00461D56"/>
    <w:rsid w:val="0046226C"/>
    <w:rsid w:val="0046243F"/>
    <w:rsid w:val="0046758F"/>
    <w:rsid w:val="00471F27"/>
    <w:rsid w:val="004808E8"/>
    <w:rsid w:val="0049616E"/>
    <w:rsid w:val="00497D0C"/>
    <w:rsid w:val="004B122A"/>
    <w:rsid w:val="004B5C84"/>
    <w:rsid w:val="004C4640"/>
    <w:rsid w:val="004C7A0B"/>
    <w:rsid w:val="004D0581"/>
    <w:rsid w:val="004D07A0"/>
    <w:rsid w:val="004D404E"/>
    <w:rsid w:val="004D5A61"/>
    <w:rsid w:val="004D77D8"/>
    <w:rsid w:val="004F32A8"/>
    <w:rsid w:val="0050178F"/>
    <w:rsid w:val="005040F9"/>
    <w:rsid w:val="00510076"/>
    <w:rsid w:val="00522CEB"/>
    <w:rsid w:val="005332C0"/>
    <w:rsid w:val="00546BF0"/>
    <w:rsid w:val="0055371F"/>
    <w:rsid w:val="00555183"/>
    <w:rsid w:val="00561EEC"/>
    <w:rsid w:val="005717B0"/>
    <w:rsid w:val="005722BE"/>
    <w:rsid w:val="0058464C"/>
    <w:rsid w:val="00586D46"/>
    <w:rsid w:val="00587369"/>
    <w:rsid w:val="00597600"/>
    <w:rsid w:val="005A2FCD"/>
    <w:rsid w:val="005B0BC3"/>
    <w:rsid w:val="005B1BEE"/>
    <w:rsid w:val="005B2E49"/>
    <w:rsid w:val="005B3EB5"/>
    <w:rsid w:val="005B4504"/>
    <w:rsid w:val="005C26FB"/>
    <w:rsid w:val="005C6202"/>
    <w:rsid w:val="005D1710"/>
    <w:rsid w:val="005E4E1F"/>
    <w:rsid w:val="005E55FC"/>
    <w:rsid w:val="005F492D"/>
    <w:rsid w:val="005F6E0E"/>
    <w:rsid w:val="00607B5B"/>
    <w:rsid w:val="0061579F"/>
    <w:rsid w:val="00622939"/>
    <w:rsid w:val="0063538C"/>
    <w:rsid w:val="006408E9"/>
    <w:rsid w:val="00647AA7"/>
    <w:rsid w:val="006623E5"/>
    <w:rsid w:val="00663F70"/>
    <w:rsid w:val="006649AC"/>
    <w:rsid w:val="00666289"/>
    <w:rsid w:val="006753D1"/>
    <w:rsid w:val="00675B51"/>
    <w:rsid w:val="00683418"/>
    <w:rsid w:val="00684C2C"/>
    <w:rsid w:val="006964BB"/>
    <w:rsid w:val="006A1A24"/>
    <w:rsid w:val="006A576B"/>
    <w:rsid w:val="006B2DA0"/>
    <w:rsid w:val="006C27DE"/>
    <w:rsid w:val="006C3700"/>
    <w:rsid w:val="006C4AF7"/>
    <w:rsid w:val="006E1081"/>
    <w:rsid w:val="006E1937"/>
    <w:rsid w:val="006E4F02"/>
    <w:rsid w:val="006F1C09"/>
    <w:rsid w:val="006F605C"/>
    <w:rsid w:val="00701D57"/>
    <w:rsid w:val="0070766F"/>
    <w:rsid w:val="007170DA"/>
    <w:rsid w:val="00720585"/>
    <w:rsid w:val="007302A9"/>
    <w:rsid w:val="00734C42"/>
    <w:rsid w:val="00735333"/>
    <w:rsid w:val="007366B3"/>
    <w:rsid w:val="007375F4"/>
    <w:rsid w:val="00740FD1"/>
    <w:rsid w:val="0074295F"/>
    <w:rsid w:val="00746937"/>
    <w:rsid w:val="007536C7"/>
    <w:rsid w:val="00764D2B"/>
    <w:rsid w:val="00765D04"/>
    <w:rsid w:val="00766469"/>
    <w:rsid w:val="00771BCA"/>
    <w:rsid w:val="00771D58"/>
    <w:rsid w:val="00773AF6"/>
    <w:rsid w:val="00781EEA"/>
    <w:rsid w:val="007969DB"/>
    <w:rsid w:val="007978C5"/>
    <w:rsid w:val="007A1F67"/>
    <w:rsid w:val="007A1F7C"/>
    <w:rsid w:val="007A504F"/>
    <w:rsid w:val="007A56AA"/>
    <w:rsid w:val="007B0873"/>
    <w:rsid w:val="007B37A1"/>
    <w:rsid w:val="007B59EE"/>
    <w:rsid w:val="007C00B5"/>
    <w:rsid w:val="007C43FA"/>
    <w:rsid w:val="007C4791"/>
    <w:rsid w:val="007D4993"/>
    <w:rsid w:val="007E5564"/>
    <w:rsid w:val="007F0131"/>
    <w:rsid w:val="007F0C8F"/>
    <w:rsid w:val="007F4714"/>
    <w:rsid w:val="007F4FF0"/>
    <w:rsid w:val="00801F5F"/>
    <w:rsid w:val="008050C4"/>
    <w:rsid w:val="00816C11"/>
    <w:rsid w:val="008205EB"/>
    <w:rsid w:val="00834422"/>
    <w:rsid w:val="00835205"/>
    <w:rsid w:val="00841A03"/>
    <w:rsid w:val="00846C6E"/>
    <w:rsid w:val="00852BDA"/>
    <w:rsid w:val="00857C1C"/>
    <w:rsid w:val="00862CE1"/>
    <w:rsid w:val="00872FDD"/>
    <w:rsid w:val="00883431"/>
    <w:rsid w:val="00894B88"/>
    <w:rsid w:val="00894C55"/>
    <w:rsid w:val="00896892"/>
    <w:rsid w:val="008A3B82"/>
    <w:rsid w:val="008A76A8"/>
    <w:rsid w:val="008B7D12"/>
    <w:rsid w:val="008C2EF4"/>
    <w:rsid w:val="008C52E6"/>
    <w:rsid w:val="008C72C9"/>
    <w:rsid w:val="008F0642"/>
    <w:rsid w:val="008F1B2C"/>
    <w:rsid w:val="008F22E8"/>
    <w:rsid w:val="00904475"/>
    <w:rsid w:val="00905F02"/>
    <w:rsid w:val="00915523"/>
    <w:rsid w:val="00916681"/>
    <w:rsid w:val="009170F5"/>
    <w:rsid w:val="009247E5"/>
    <w:rsid w:val="00930B3D"/>
    <w:rsid w:val="00945A81"/>
    <w:rsid w:val="00947282"/>
    <w:rsid w:val="00947F9B"/>
    <w:rsid w:val="009557AA"/>
    <w:rsid w:val="00962BBD"/>
    <w:rsid w:val="009663BF"/>
    <w:rsid w:val="00970718"/>
    <w:rsid w:val="009752C9"/>
    <w:rsid w:val="00975820"/>
    <w:rsid w:val="00982DF3"/>
    <w:rsid w:val="009846E0"/>
    <w:rsid w:val="009914ED"/>
    <w:rsid w:val="009A08D5"/>
    <w:rsid w:val="009A13B9"/>
    <w:rsid w:val="009A359D"/>
    <w:rsid w:val="009B3E10"/>
    <w:rsid w:val="009C2FCA"/>
    <w:rsid w:val="009E4CB9"/>
    <w:rsid w:val="009F4318"/>
    <w:rsid w:val="009F637D"/>
    <w:rsid w:val="00A1182E"/>
    <w:rsid w:val="00A12865"/>
    <w:rsid w:val="00A12B0A"/>
    <w:rsid w:val="00A13023"/>
    <w:rsid w:val="00A159ED"/>
    <w:rsid w:val="00A1647C"/>
    <w:rsid w:val="00A169A0"/>
    <w:rsid w:val="00A227D6"/>
    <w:rsid w:val="00A250B4"/>
    <w:rsid w:val="00A3752A"/>
    <w:rsid w:val="00A41725"/>
    <w:rsid w:val="00A445D8"/>
    <w:rsid w:val="00A4626A"/>
    <w:rsid w:val="00A46C53"/>
    <w:rsid w:val="00A47898"/>
    <w:rsid w:val="00A47D0B"/>
    <w:rsid w:val="00A534F9"/>
    <w:rsid w:val="00A541D2"/>
    <w:rsid w:val="00A6091A"/>
    <w:rsid w:val="00A667B9"/>
    <w:rsid w:val="00A702D8"/>
    <w:rsid w:val="00A71E42"/>
    <w:rsid w:val="00A71F63"/>
    <w:rsid w:val="00A74B1F"/>
    <w:rsid w:val="00A777C6"/>
    <w:rsid w:val="00A8324B"/>
    <w:rsid w:val="00A83A26"/>
    <w:rsid w:val="00A9044F"/>
    <w:rsid w:val="00A962B9"/>
    <w:rsid w:val="00AA2FE3"/>
    <w:rsid w:val="00AA5EB1"/>
    <w:rsid w:val="00AB48EE"/>
    <w:rsid w:val="00AC51BE"/>
    <w:rsid w:val="00AD1092"/>
    <w:rsid w:val="00AD23B1"/>
    <w:rsid w:val="00AE1E71"/>
    <w:rsid w:val="00AE4677"/>
    <w:rsid w:val="00AE5567"/>
    <w:rsid w:val="00AE77CB"/>
    <w:rsid w:val="00AF5FF0"/>
    <w:rsid w:val="00AF7372"/>
    <w:rsid w:val="00B03C4F"/>
    <w:rsid w:val="00B06918"/>
    <w:rsid w:val="00B2165C"/>
    <w:rsid w:val="00B303EA"/>
    <w:rsid w:val="00B3149D"/>
    <w:rsid w:val="00B33170"/>
    <w:rsid w:val="00B33365"/>
    <w:rsid w:val="00B34AC4"/>
    <w:rsid w:val="00B4136A"/>
    <w:rsid w:val="00B41DEB"/>
    <w:rsid w:val="00B42E37"/>
    <w:rsid w:val="00B4472A"/>
    <w:rsid w:val="00B474EE"/>
    <w:rsid w:val="00B535FD"/>
    <w:rsid w:val="00B53991"/>
    <w:rsid w:val="00B5510B"/>
    <w:rsid w:val="00B552AE"/>
    <w:rsid w:val="00B62D4D"/>
    <w:rsid w:val="00B7426B"/>
    <w:rsid w:val="00B82FB9"/>
    <w:rsid w:val="00B9091A"/>
    <w:rsid w:val="00B95092"/>
    <w:rsid w:val="00B95803"/>
    <w:rsid w:val="00BB2492"/>
    <w:rsid w:val="00BC05A5"/>
    <w:rsid w:val="00BC17BE"/>
    <w:rsid w:val="00BC2B19"/>
    <w:rsid w:val="00BC2C33"/>
    <w:rsid w:val="00BD1430"/>
    <w:rsid w:val="00BD2A07"/>
    <w:rsid w:val="00BD4425"/>
    <w:rsid w:val="00BD541B"/>
    <w:rsid w:val="00BD73A5"/>
    <w:rsid w:val="00BE029D"/>
    <w:rsid w:val="00BE72E9"/>
    <w:rsid w:val="00BF0659"/>
    <w:rsid w:val="00BF185D"/>
    <w:rsid w:val="00BF3311"/>
    <w:rsid w:val="00BF6D33"/>
    <w:rsid w:val="00C02D13"/>
    <w:rsid w:val="00C04CF9"/>
    <w:rsid w:val="00C07164"/>
    <w:rsid w:val="00C147A5"/>
    <w:rsid w:val="00C23E68"/>
    <w:rsid w:val="00C25B49"/>
    <w:rsid w:val="00C25F70"/>
    <w:rsid w:val="00C421FE"/>
    <w:rsid w:val="00C43F97"/>
    <w:rsid w:val="00C533DC"/>
    <w:rsid w:val="00C65498"/>
    <w:rsid w:val="00C711F3"/>
    <w:rsid w:val="00C72FF1"/>
    <w:rsid w:val="00C80902"/>
    <w:rsid w:val="00CA2BB0"/>
    <w:rsid w:val="00CA4934"/>
    <w:rsid w:val="00CA5570"/>
    <w:rsid w:val="00CB289E"/>
    <w:rsid w:val="00CB6B61"/>
    <w:rsid w:val="00CC74CF"/>
    <w:rsid w:val="00CD18AD"/>
    <w:rsid w:val="00CD1B36"/>
    <w:rsid w:val="00CD3CA4"/>
    <w:rsid w:val="00CD6713"/>
    <w:rsid w:val="00CE3A35"/>
    <w:rsid w:val="00CE5657"/>
    <w:rsid w:val="00CF36E8"/>
    <w:rsid w:val="00D30A09"/>
    <w:rsid w:val="00D349DB"/>
    <w:rsid w:val="00D3793A"/>
    <w:rsid w:val="00D47956"/>
    <w:rsid w:val="00D51F38"/>
    <w:rsid w:val="00D53E28"/>
    <w:rsid w:val="00D63701"/>
    <w:rsid w:val="00D648A4"/>
    <w:rsid w:val="00D64C04"/>
    <w:rsid w:val="00D66836"/>
    <w:rsid w:val="00D84039"/>
    <w:rsid w:val="00D86E43"/>
    <w:rsid w:val="00D924D8"/>
    <w:rsid w:val="00D92DCB"/>
    <w:rsid w:val="00D937EB"/>
    <w:rsid w:val="00DA369E"/>
    <w:rsid w:val="00DA65EB"/>
    <w:rsid w:val="00DB716C"/>
    <w:rsid w:val="00DC2646"/>
    <w:rsid w:val="00DC4B8A"/>
    <w:rsid w:val="00DC648A"/>
    <w:rsid w:val="00DE02B0"/>
    <w:rsid w:val="00DE1E4E"/>
    <w:rsid w:val="00DF2DDB"/>
    <w:rsid w:val="00E01332"/>
    <w:rsid w:val="00E07422"/>
    <w:rsid w:val="00E12365"/>
    <w:rsid w:val="00E17A5B"/>
    <w:rsid w:val="00E2772F"/>
    <w:rsid w:val="00E31C8F"/>
    <w:rsid w:val="00E36CC4"/>
    <w:rsid w:val="00E4159D"/>
    <w:rsid w:val="00E45BCC"/>
    <w:rsid w:val="00E52E75"/>
    <w:rsid w:val="00E80142"/>
    <w:rsid w:val="00E82F38"/>
    <w:rsid w:val="00E90C01"/>
    <w:rsid w:val="00E942CB"/>
    <w:rsid w:val="00EA1C77"/>
    <w:rsid w:val="00EA486E"/>
    <w:rsid w:val="00EA4F76"/>
    <w:rsid w:val="00EA539F"/>
    <w:rsid w:val="00EB0933"/>
    <w:rsid w:val="00EB2E8A"/>
    <w:rsid w:val="00EC0486"/>
    <w:rsid w:val="00EC1C19"/>
    <w:rsid w:val="00ED4359"/>
    <w:rsid w:val="00ED6589"/>
    <w:rsid w:val="00ED7274"/>
    <w:rsid w:val="00EE1027"/>
    <w:rsid w:val="00EE3928"/>
    <w:rsid w:val="00EE401B"/>
    <w:rsid w:val="00EF097B"/>
    <w:rsid w:val="00EF404A"/>
    <w:rsid w:val="00EF5E1A"/>
    <w:rsid w:val="00F02781"/>
    <w:rsid w:val="00F06625"/>
    <w:rsid w:val="00F12BB4"/>
    <w:rsid w:val="00F14E9A"/>
    <w:rsid w:val="00F255ED"/>
    <w:rsid w:val="00F27A69"/>
    <w:rsid w:val="00F310D7"/>
    <w:rsid w:val="00F32503"/>
    <w:rsid w:val="00F4266A"/>
    <w:rsid w:val="00F50240"/>
    <w:rsid w:val="00F524BF"/>
    <w:rsid w:val="00F53A41"/>
    <w:rsid w:val="00F57B0C"/>
    <w:rsid w:val="00F61F4F"/>
    <w:rsid w:val="00F627EA"/>
    <w:rsid w:val="00F63DAE"/>
    <w:rsid w:val="00F6514C"/>
    <w:rsid w:val="00F81963"/>
    <w:rsid w:val="00F8756C"/>
    <w:rsid w:val="00F93BED"/>
    <w:rsid w:val="00FC054D"/>
    <w:rsid w:val="00FC05FA"/>
    <w:rsid w:val="00FC6598"/>
    <w:rsid w:val="00FC6ABD"/>
    <w:rsid w:val="00FE1A8E"/>
    <w:rsid w:val="00FF037E"/>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46D60"/>
  <w15:docId w15:val="{9DCA2563-09C6-4115-B45A-A0A7E579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892"/>
  </w:style>
  <w:style w:type="paragraph" w:styleId="Heading1">
    <w:name w:val="heading 1"/>
    <w:basedOn w:val="Normal"/>
    <w:next w:val="Normal"/>
    <w:link w:val="Heading1Char"/>
    <w:uiPriority w:val="9"/>
    <w:qFormat/>
    <w:rsid w:val="00FC6A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6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321C"/>
    <w:pPr>
      <w:keepNext/>
      <w:keepLines/>
      <w:widowControl w:val="0"/>
      <w:spacing w:before="40" w:after="0" w:line="276" w:lineRule="auto"/>
      <w:outlineLvl w:val="2"/>
    </w:pPr>
    <w:rPr>
      <w:rFonts w:asciiTheme="majorHAnsi" w:eastAsiaTheme="majorEastAsia" w:hAnsiTheme="majorHAnsi"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37321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7321C"/>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37321C"/>
    <w:pPr>
      <w:spacing w:before="100" w:beforeAutospacing="1" w:after="100" w:afterAutospacing="1" w:line="240" w:lineRule="auto"/>
    </w:pPr>
    <w:rPr>
      <w:rFonts w:eastAsia="Times New Roman" w:cs="Times New Roman"/>
      <w:szCs w:val="24"/>
      <w:lang w:val="en-US"/>
    </w:rPr>
  </w:style>
  <w:style w:type="paragraph" w:customStyle="1" w:styleId="naiskr">
    <w:name w:val="naiskr"/>
    <w:basedOn w:val="Normal"/>
    <w:rsid w:val="0037321C"/>
    <w:pPr>
      <w:spacing w:before="75" w:after="75" w:line="240" w:lineRule="auto"/>
    </w:pPr>
    <w:rPr>
      <w:rFonts w:eastAsia="Times New Roman" w:cs="Times New Roman"/>
      <w:szCs w:val="24"/>
      <w:lang w:eastAsia="lv-LV"/>
    </w:rPr>
  </w:style>
  <w:style w:type="character" w:styleId="CommentReference">
    <w:name w:val="annotation reference"/>
    <w:basedOn w:val="DefaultParagraphFont"/>
    <w:uiPriority w:val="99"/>
    <w:unhideWhenUsed/>
    <w:rsid w:val="0037321C"/>
    <w:rPr>
      <w:sz w:val="16"/>
      <w:szCs w:val="16"/>
    </w:rPr>
  </w:style>
  <w:style w:type="paragraph" w:styleId="CommentText">
    <w:name w:val="annotation text"/>
    <w:basedOn w:val="Normal"/>
    <w:link w:val="CommentTextChar"/>
    <w:uiPriority w:val="99"/>
    <w:unhideWhenUsed/>
    <w:rsid w:val="0037321C"/>
    <w:pPr>
      <w:spacing w:after="0" w:line="240" w:lineRule="auto"/>
    </w:pPr>
    <w:rPr>
      <w:sz w:val="20"/>
      <w:szCs w:val="20"/>
    </w:rPr>
  </w:style>
  <w:style w:type="character" w:customStyle="1" w:styleId="CommentTextChar">
    <w:name w:val="Comment Text Char"/>
    <w:basedOn w:val="DefaultParagraphFont"/>
    <w:link w:val="CommentText"/>
    <w:uiPriority w:val="99"/>
    <w:rsid w:val="0037321C"/>
    <w:rPr>
      <w:rFonts w:ascii="Times New Roman" w:hAnsi="Times New Roman"/>
      <w:sz w:val="20"/>
      <w:szCs w:val="20"/>
    </w:rPr>
  </w:style>
  <w:style w:type="paragraph" w:customStyle="1" w:styleId="CM11">
    <w:name w:val="CM1+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1">
    <w:name w:val="CM3+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1">
    <w:name w:val="CM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4">
    <w:name w:val="CM4"/>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naisf">
    <w:name w:val="naisf"/>
    <w:basedOn w:val="Normal"/>
    <w:rsid w:val="0037321C"/>
    <w:pPr>
      <w:spacing w:before="100" w:beforeAutospacing="1" w:after="100" w:afterAutospacing="1" w:line="240" w:lineRule="auto"/>
    </w:pPr>
    <w:rPr>
      <w:rFonts w:eastAsia="Times New Roman" w:cs="Times New Roman"/>
      <w:szCs w:val="24"/>
      <w:lang w:eastAsia="lv-LV"/>
    </w:rPr>
  </w:style>
  <w:style w:type="character" w:styleId="Emphasis">
    <w:name w:val="Emphasis"/>
    <w:basedOn w:val="DefaultParagraphFont"/>
    <w:uiPriority w:val="20"/>
    <w:qFormat/>
    <w:rsid w:val="0037321C"/>
    <w:rPr>
      <w:b/>
      <w:bCs/>
      <w:i w:val="0"/>
      <w:iCs w:val="0"/>
    </w:rPr>
  </w:style>
  <w:style w:type="character" w:customStyle="1" w:styleId="st1">
    <w:name w:val="st1"/>
    <w:basedOn w:val="DefaultParagraphFont"/>
    <w:rsid w:val="0037321C"/>
  </w:style>
  <w:style w:type="character" w:customStyle="1" w:styleId="spelle">
    <w:name w:val="spelle"/>
    <w:basedOn w:val="DefaultParagraphFont"/>
    <w:rsid w:val="0037321C"/>
  </w:style>
  <w:style w:type="paragraph" w:styleId="CommentSubject">
    <w:name w:val="annotation subject"/>
    <w:basedOn w:val="CommentText"/>
    <w:next w:val="CommentText"/>
    <w:link w:val="CommentSubjectChar"/>
    <w:uiPriority w:val="99"/>
    <w:semiHidden/>
    <w:unhideWhenUsed/>
    <w:rsid w:val="0037321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7321C"/>
    <w:rPr>
      <w:rFonts w:ascii="Times New Roman" w:hAnsi="Times New Roman"/>
      <w:b/>
      <w:bCs/>
      <w:sz w:val="20"/>
      <w:szCs w:val="20"/>
    </w:rPr>
  </w:style>
  <w:style w:type="paragraph" w:customStyle="1" w:styleId="naisnod">
    <w:name w:val="naisnod"/>
    <w:basedOn w:val="Normal"/>
    <w:rsid w:val="00E4159D"/>
    <w:pPr>
      <w:spacing w:before="150" w:after="150" w:line="240" w:lineRule="auto"/>
      <w:jc w:val="center"/>
    </w:pPr>
    <w:rPr>
      <w:rFonts w:eastAsia="Calibri" w:cs="Times New Roman"/>
      <w:b/>
      <w:bCs/>
      <w:szCs w:val="24"/>
      <w:lang w:eastAsia="lv-LV"/>
    </w:rPr>
  </w:style>
  <w:style w:type="paragraph" w:styleId="NoSpacing">
    <w:name w:val="No Spacing"/>
    <w:uiPriority w:val="1"/>
    <w:qFormat/>
    <w:rsid w:val="00034DF1"/>
    <w:pPr>
      <w:spacing w:after="0" w:line="240" w:lineRule="auto"/>
    </w:pPr>
    <w:rPr>
      <w:lang w:val="en-US"/>
    </w:rPr>
  </w:style>
  <w:style w:type="character" w:customStyle="1" w:styleId="Heading1Char">
    <w:name w:val="Heading 1 Char"/>
    <w:basedOn w:val="DefaultParagraphFont"/>
    <w:link w:val="Heading1"/>
    <w:uiPriority w:val="9"/>
    <w:rsid w:val="00FC6ABD"/>
    <w:rPr>
      <w:rFonts w:asciiTheme="majorHAnsi" w:eastAsiaTheme="majorEastAsia" w:hAnsiTheme="majorHAnsi" w:cstheme="majorBidi"/>
      <w:color w:val="2E74B5" w:themeColor="accent1" w:themeShade="BF"/>
      <w:sz w:val="32"/>
      <w:szCs w:val="32"/>
    </w:rPr>
  </w:style>
  <w:style w:type="paragraph" w:customStyle="1" w:styleId="naisc">
    <w:name w:val="naisc"/>
    <w:basedOn w:val="Normal"/>
    <w:rsid w:val="00CA2BB0"/>
    <w:pPr>
      <w:spacing w:before="75" w:after="75" w:line="240" w:lineRule="auto"/>
      <w:jc w:val="center"/>
    </w:pPr>
    <w:rPr>
      <w:rFonts w:eastAsia="Times New Roman" w:cs="Times New Roman"/>
      <w:szCs w:val="24"/>
      <w:lang w:eastAsia="lv-LV"/>
    </w:rPr>
  </w:style>
  <w:style w:type="paragraph" w:styleId="NormalWeb">
    <w:name w:val="Normal (Web)"/>
    <w:basedOn w:val="Normal"/>
    <w:uiPriority w:val="99"/>
    <w:semiHidden/>
    <w:unhideWhenUsed/>
    <w:rsid w:val="008F0642"/>
    <w:pPr>
      <w:spacing w:before="100" w:beforeAutospacing="1" w:after="100" w:afterAutospacing="1" w:line="240" w:lineRule="auto"/>
    </w:pPr>
    <w:rPr>
      <w:rFonts w:eastAsia="Times New Roman" w:cs="Times New Roman"/>
      <w:szCs w:val="24"/>
      <w:lang w:val="en-US"/>
    </w:rPr>
  </w:style>
  <w:style w:type="paragraph" w:styleId="FootnoteText">
    <w:name w:val="footnote text"/>
    <w:basedOn w:val="Normal"/>
    <w:link w:val="FootnoteTextChar"/>
    <w:uiPriority w:val="99"/>
    <w:semiHidden/>
    <w:unhideWhenUsed/>
    <w:rsid w:val="00254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467"/>
    <w:rPr>
      <w:sz w:val="20"/>
      <w:szCs w:val="20"/>
    </w:rPr>
  </w:style>
  <w:style w:type="character" w:styleId="FootnoteReference">
    <w:name w:val="footnote reference"/>
    <w:basedOn w:val="DefaultParagraphFont"/>
    <w:uiPriority w:val="99"/>
    <w:semiHidden/>
    <w:unhideWhenUsed/>
    <w:rsid w:val="00254467"/>
    <w:rPr>
      <w:vertAlign w:val="superscript"/>
    </w:rPr>
  </w:style>
  <w:style w:type="character" w:customStyle="1" w:styleId="UnresolvedMention1">
    <w:name w:val="Unresolved Mention1"/>
    <w:basedOn w:val="DefaultParagraphFont"/>
    <w:uiPriority w:val="99"/>
    <w:semiHidden/>
    <w:unhideWhenUsed/>
    <w:rsid w:val="00BD1430"/>
    <w:rPr>
      <w:color w:val="605E5C"/>
      <w:shd w:val="clear" w:color="auto" w:fill="E1DFDD"/>
    </w:rPr>
  </w:style>
  <w:style w:type="character" w:customStyle="1" w:styleId="Heading2Char">
    <w:name w:val="Heading 2 Char"/>
    <w:basedOn w:val="DefaultParagraphFont"/>
    <w:link w:val="Heading2"/>
    <w:uiPriority w:val="9"/>
    <w:semiHidden/>
    <w:rsid w:val="00586D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7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685">
      <w:bodyDiv w:val="1"/>
      <w:marLeft w:val="0"/>
      <w:marRight w:val="0"/>
      <w:marTop w:val="0"/>
      <w:marBottom w:val="0"/>
      <w:divBdr>
        <w:top w:val="none" w:sz="0" w:space="0" w:color="auto"/>
        <w:left w:val="none" w:sz="0" w:space="0" w:color="auto"/>
        <w:bottom w:val="none" w:sz="0" w:space="0" w:color="auto"/>
        <w:right w:val="none" w:sz="0" w:space="0" w:color="auto"/>
      </w:divBdr>
    </w:div>
    <w:div w:id="12851940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795583">
      <w:bodyDiv w:val="1"/>
      <w:marLeft w:val="0"/>
      <w:marRight w:val="0"/>
      <w:marTop w:val="0"/>
      <w:marBottom w:val="0"/>
      <w:divBdr>
        <w:top w:val="none" w:sz="0" w:space="0" w:color="auto"/>
        <w:left w:val="none" w:sz="0" w:space="0" w:color="auto"/>
        <w:bottom w:val="none" w:sz="0" w:space="0" w:color="auto"/>
        <w:right w:val="none" w:sz="0" w:space="0" w:color="auto"/>
      </w:divBdr>
    </w:div>
    <w:div w:id="220363458">
      <w:bodyDiv w:val="1"/>
      <w:marLeft w:val="0"/>
      <w:marRight w:val="0"/>
      <w:marTop w:val="0"/>
      <w:marBottom w:val="0"/>
      <w:divBdr>
        <w:top w:val="none" w:sz="0" w:space="0" w:color="auto"/>
        <w:left w:val="none" w:sz="0" w:space="0" w:color="auto"/>
        <w:bottom w:val="none" w:sz="0" w:space="0" w:color="auto"/>
        <w:right w:val="none" w:sz="0" w:space="0" w:color="auto"/>
      </w:divBdr>
    </w:div>
    <w:div w:id="243994507">
      <w:bodyDiv w:val="1"/>
      <w:marLeft w:val="0"/>
      <w:marRight w:val="0"/>
      <w:marTop w:val="0"/>
      <w:marBottom w:val="0"/>
      <w:divBdr>
        <w:top w:val="none" w:sz="0" w:space="0" w:color="auto"/>
        <w:left w:val="none" w:sz="0" w:space="0" w:color="auto"/>
        <w:bottom w:val="none" w:sz="0" w:space="0" w:color="auto"/>
        <w:right w:val="none" w:sz="0" w:space="0" w:color="auto"/>
      </w:divBdr>
    </w:div>
    <w:div w:id="259801093">
      <w:bodyDiv w:val="1"/>
      <w:marLeft w:val="0"/>
      <w:marRight w:val="0"/>
      <w:marTop w:val="0"/>
      <w:marBottom w:val="0"/>
      <w:divBdr>
        <w:top w:val="none" w:sz="0" w:space="0" w:color="auto"/>
        <w:left w:val="none" w:sz="0" w:space="0" w:color="auto"/>
        <w:bottom w:val="none" w:sz="0" w:space="0" w:color="auto"/>
        <w:right w:val="none" w:sz="0" w:space="0" w:color="auto"/>
      </w:divBdr>
    </w:div>
    <w:div w:id="379522821">
      <w:bodyDiv w:val="1"/>
      <w:marLeft w:val="0"/>
      <w:marRight w:val="0"/>
      <w:marTop w:val="0"/>
      <w:marBottom w:val="0"/>
      <w:divBdr>
        <w:top w:val="none" w:sz="0" w:space="0" w:color="auto"/>
        <w:left w:val="none" w:sz="0" w:space="0" w:color="auto"/>
        <w:bottom w:val="none" w:sz="0" w:space="0" w:color="auto"/>
        <w:right w:val="none" w:sz="0" w:space="0" w:color="auto"/>
      </w:divBdr>
    </w:div>
    <w:div w:id="406651194">
      <w:bodyDiv w:val="1"/>
      <w:marLeft w:val="0"/>
      <w:marRight w:val="0"/>
      <w:marTop w:val="0"/>
      <w:marBottom w:val="0"/>
      <w:divBdr>
        <w:top w:val="none" w:sz="0" w:space="0" w:color="auto"/>
        <w:left w:val="none" w:sz="0" w:space="0" w:color="auto"/>
        <w:bottom w:val="none" w:sz="0" w:space="0" w:color="auto"/>
        <w:right w:val="none" w:sz="0" w:space="0" w:color="auto"/>
      </w:divBdr>
    </w:div>
    <w:div w:id="428046952">
      <w:bodyDiv w:val="1"/>
      <w:marLeft w:val="0"/>
      <w:marRight w:val="0"/>
      <w:marTop w:val="0"/>
      <w:marBottom w:val="0"/>
      <w:divBdr>
        <w:top w:val="none" w:sz="0" w:space="0" w:color="auto"/>
        <w:left w:val="none" w:sz="0" w:space="0" w:color="auto"/>
        <w:bottom w:val="none" w:sz="0" w:space="0" w:color="auto"/>
        <w:right w:val="none" w:sz="0" w:space="0" w:color="auto"/>
      </w:divBdr>
    </w:div>
    <w:div w:id="477572508">
      <w:bodyDiv w:val="1"/>
      <w:marLeft w:val="0"/>
      <w:marRight w:val="0"/>
      <w:marTop w:val="0"/>
      <w:marBottom w:val="0"/>
      <w:divBdr>
        <w:top w:val="none" w:sz="0" w:space="0" w:color="auto"/>
        <w:left w:val="none" w:sz="0" w:space="0" w:color="auto"/>
        <w:bottom w:val="none" w:sz="0" w:space="0" w:color="auto"/>
        <w:right w:val="none" w:sz="0" w:space="0" w:color="auto"/>
      </w:divBdr>
    </w:div>
    <w:div w:id="509636723">
      <w:bodyDiv w:val="1"/>
      <w:marLeft w:val="0"/>
      <w:marRight w:val="0"/>
      <w:marTop w:val="0"/>
      <w:marBottom w:val="0"/>
      <w:divBdr>
        <w:top w:val="none" w:sz="0" w:space="0" w:color="auto"/>
        <w:left w:val="none" w:sz="0" w:space="0" w:color="auto"/>
        <w:bottom w:val="none" w:sz="0" w:space="0" w:color="auto"/>
        <w:right w:val="none" w:sz="0" w:space="0" w:color="auto"/>
      </w:divBdr>
    </w:div>
    <w:div w:id="612440278">
      <w:bodyDiv w:val="1"/>
      <w:marLeft w:val="0"/>
      <w:marRight w:val="0"/>
      <w:marTop w:val="0"/>
      <w:marBottom w:val="0"/>
      <w:divBdr>
        <w:top w:val="none" w:sz="0" w:space="0" w:color="auto"/>
        <w:left w:val="none" w:sz="0" w:space="0" w:color="auto"/>
        <w:bottom w:val="none" w:sz="0" w:space="0" w:color="auto"/>
        <w:right w:val="none" w:sz="0" w:space="0" w:color="auto"/>
      </w:divBdr>
    </w:div>
    <w:div w:id="656690913">
      <w:bodyDiv w:val="1"/>
      <w:marLeft w:val="0"/>
      <w:marRight w:val="0"/>
      <w:marTop w:val="0"/>
      <w:marBottom w:val="0"/>
      <w:divBdr>
        <w:top w:val="none" w:sz="0" w:space="0" w:color="auto"/>
        <w:left w:val="none" w:sz="0" w:space="0" w:color="auto"/>
        <w:bottom w:val="none" w:sz="0" w:space="0" w:color="auto"/>
        <w:right w:val="none" w:sz="0" w:space="0" w:color="auto"/>
      </w:divBdr>
    </w:div>
    <w:div w:id="777871227">
      <w:bodyDiv w:val="1"/>
      <w:marLeft w:val="0"/>
      <w:marRight w:val="0"/>
      <w:marTop w:val="0"/>
      <w:marBottom w:val="0"/>
      <w:divBdr>
        <w:top w:val="none" w:sz="0" w:space="0" w:color="auto"/>
        <w:left w:val="none" w:sz="0" w:space="0" w:color="auto"/>
        <w:bottom w:val="none" w:sz="0" w:space="0" w:color="auto"/>
        <w:right w:val="none" w:sz="0" w:space="0" w:color="auto"/>
      </w:divBdr>
    </w:div>
    <w:div w:id="797334904">
      <w:bodyDiv w:val="1"/>
      <w:marLeft w:val="0"/>
      <w:marRight w:val="0"/>
      <w:marTop w:val="0"/>
      <w:marBottom w:val="0"/>
      <w:divBdr>
        <w:top w:val="none" w:sz="0" w:space="0" w:color="auto"/>
        <w:left w:val="none" w:sz="0" w:space="0" w:color="auto"/>
        <w:bottom w:val="none" w:sz="0" w:space="0" w:color="auto"/>
        <w:right w:val="none" w:sz="0" w:space="0" w:color="auto"/>
      </w:divBdr>
    </w:div>
    <w:div w:id="883180016">
      <w:bodyDiv w:val="1"/>
      <w:marLeft w:val="0"/>
      <w:marRight w:val="0"/>
      <w:marTop w:val="0"/>
      <w:marBottom w:val="0"/>
      <w:divBdr>
        <w:top w:val="none" w:sz="0" w:space="0" w:color="auto"/>
        <w:left w:val="none" w:sz="0" w:space="0" w:color="auto"/>
        <w:bottom w:val="none" w:sz="0" w:space="0" w:color="auto"/>
        <w:right w:val="none" w:sz="0" w:space="0" w:color="auto"/>
      </w:divBdr>
    </w:div>
    <w:div w:id="981540973">
      <w:bodyDiv w:val="1"/>
      <w:marLeft w:val="0"/>
      <w:marRight w:val="0"/>
      <w:marTop w:val="0"/>
      <w:marBottom w:val="0"/>
      <w:divBdr>
        <w:top w:val="none" w:sz="0" w:space="0" w:color="auto"/>
        <w:left w:val="none" w:sz="0" w:space="0" w:color="auto"/>
        <w:bottom w:val="none" w:sz="0" w:space="0" w:color="auto"/>
        <w:right w:val="none" w:sz="0" w:space="0" w:color="auto"/>
      </w:divBdr>
    </w:div>
    <w:div w:id="1007948710">
      <w:bodyDiv w:val="1"/>
      <w:marLeft w:val="0"/>
      <w:marRight w:val="0"/>
      <w:marTop w:val="0"/>
      <w:marBottom w:val="0"/>
      <w:divBdr>
        <w:top w:val="none" w:sz="0" w:space="0" w:color="auto"/>
        <w:left w:val="none" w:sz="0" w:space="0" w:color="auto"/>
        <w:bottom w:val="none" w:sz="0" w:space="0" w:color="auto"/>
        <w:right w:val="none" w:sz="0" w:space="0" w:color="auto"/>
      </w:divBdr>
    </w:div>
    <w:div w:id="1068965676">
      <w:bodyDiv w:val="1"/>
      <w:marLeft w:val="0"/>
      <w:marRight w:val="0"/>
      <w:marTop w:val="0"/>
      <w:marBottom w:val="0"/>
      <w:divBdr>
        <w:top w:val="none" w:sz="0" w:space="0" w:color="auto"/>
        <w:left w:val="none" w:sz="0" w:space="0" w:color="auto"/>
        <w:bottom w:val="none" w:sz="0" w:space="0" w:color="auto"/>
        <w:right w:val="none" w:sz="0" w:space="0" w:color="auto"/>
      </w:divBdr>
    </w:div>
    <w:div w:id="1084375259">
      <w:bodyDiv w:val="1"/>
      <w:marLeft w:val="0"/>
      <w:marRight w:val="0"/>
      <w:marTop w:val="0"/>
      <w:marBottom w:val="0"/>
      <w:divBdr>
        <w:top w:val="none" w:sz="0" w:space="0" w:color="auto"/>
        <w:left w:val="none" w:sz="0" w:space="0" w:color="auto"/>
        <w:bottom w:val="none" w:sz="0" w:space="0" w:color="auto"/>
        <w:right w:val="none" w:sz="0" w:space="0" w:color="auto"/>
      </w:divBdr>
    </w:div>
    <w:div w:id="1348555860">
      <w:bodyDiv w:val="1"/>
      <w:marLeft w:val="0"/>
      <w:marRight w:val="0"/>
      <w:marTop w:val="0"/>
      <w:marBottom w:val="0"/>
      <w:divBdr>
        <w:top w:val="none" w:sz="0" w:space="0" w:color="auto"/>
        <w:left w:val="none" w:sz="0" w:space="0" w:color="auto"/>
        <w:bottom w:val="none" w:sz="0" w:space="0" w:color="auto"/>
        <w:right w:val="none" w:sz="0" w:space="0" w:color="auto"/>
      </w:divBdr>
    </w:div>
    <w:div w:id="1394043165">
      <w:bodyDiv w:val="1"/>
      <w:marLeft w:val="0"/>
      <w:marRight w:val="0"/>
      <w:marTop w:val="0"/>
      <w:marBottom w:val="0"/>
      <w:divBdr>
        <w:top w:val="none" w:sz="0" w:space="0" w:color="auto"/>
        <w:left w:val="none" w:sz="0" w:space="0" w:color="auto"/>
        <w:bottom w:val="none" w:sz="0" w:space="0" w:color="auto"/>
        <w:right w:val="none" w:sz="0" w:space="0" w:color="auto"/>
      </w:divBdr>
    </w:div>
    <w:div w:id="1586650337">
      <w:bodyDiv w:val="1"/>
      <w:marLeft w:val="0"/>
      <w:marRight w:val="0"/>
      <w:marTop w:val="0"/>
      <w:marBottom w:val="0"/>
      <w:divBdr>
        <w:top w:val="none" w:sz="0" w:space="0" w:color="auto"/>
        <w:left w:val="none" w:sz="0" w:space="0" w:color="auto"/>
        <w:bottom w:val="none" w:sz="0" w:space="0" w:color="auto"/>
        <w:right w:val="none" w:sz="0" w:space="0" w:color="auto"/>
      </w:divBdr>
    </w:div>
    <w:div w:id="1624536160">
      <w:bodyDiv w:val="1"/>
      <w:marLeft w:val="0"/>
      <w:marRight w:val="0"/>
      <w:marTop w:val="0"/>
      <w:marBottom w:val="0"/>
      <w:divBdr>
        <w:top w:val="none" w:sz="0" w:space="0" w:color="auto"/>
        <w:left w:val="none" w:sz="0" w:space="0" w:color="auto"/>
        <w:bottom w:val="none" w:sz="0" w:space="0" w:color="auto"/>
        <w:right w:val="none" w:sz="0" w:space="0" w:color="auto"/>
      </w:divBdr>
      <w:divsChild>
        <w:div w:id="1549762234">
          <w:marLeft w:val="0"/>
          <w:marRight w:val="0"/>
          <w:marTop w:val="0"/>
          <w:marBottom w:val="0"/>
          <w:divBdr>
            <w:top w:val="none" w:sz="0" w:space="0" w:color="auto"/>
            <w:left w:val="none" w:sz="0" w:space="0" w:color="auto"/>
            <w:bottom w:val="none" w:sz="0" w:space="0" w:color="auto"/>
            <w:right w:val="none" w:sz="0" w:space="0" w:color="auto"/>
          </w:divBdr>
          <w:divsChild>
            <w:div w:id="2081249392">
              <w:marLeft w:val="0"/>
              <w:marRight w:val="0"/>
              <w:marTop w:val="0"/>
              <w:marBottom w:val="0"/>
              <w:divBdr>
                <w:top w:val="none" w:sz="0" w:space="0" w:color="auto"/>
                <w:left w:val="none" w:sz="0" w:space="0" w:color="auto"/>
                <w:bottom w:val="none" w:sz="0" w:space="0" w:color="auto"/>
                <w:right w:val="none" w:sz="0" w:space="0" w:color="auto"/>
              </w:divBdr>
              <w:divsChild>
                <w:div w:id="5989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7795">
      <w:bodyDiv w:val="1"/>
      <w:marLeft w:val="0"/>
      <w:marRight w:val="0"/>
      <w:marTop w:val="0"/>
      <w:marBottom w:val="0"/>
      <w:divBdr>
        <w:top w:val="none" w:sz="0" w:space="0" w:color="auto"/>
        <w:left w:val="none" w:sz="0" w:space="0" w:color="auto"/>
        <w:bottom w:val="none" w:sz="0" w:space="0" w:color="auto"/>
        <w:right w:val="none" w:sz="0" w:space="0" w:color="auto"/>
      </w:divBdr>
    </w:div>
    <w:div w:id="1733503895">
      <w:bodyDiv w:val="1"/>
      <w:marLeft w:val="0"/>
      <w:marRight w:val="0"/>
      <w:marTop w:val="0"/>
      <w:marBottom w:val="0"/>
      <w:divBdr>
        <w:top w:val="none" w:sz="0" w:space="0" w:color="auto"/>
        <w:left w:val="none" w:sz="0" w:space="0" w:color="auto"/>
        <w:bottom w:val="none" w:sz="0" w:space="0" w:color="auto"/>
        <w:right w:val="none" w:sz="0" w:space="0" w:color="auto"/>
      </w:divBdr>
    </w:div>
    <w:div w:id="1744645896">
      <w:bodyDiv w:val="1"/>
      <w:marLeft w:val="0"/>
      <w:marRight w:val="0"/>
      <w:marTop w:val="0"/>
      <w:marBottom w:val="0"/>
      <w:divBdr>
        <w:top w:val="none" w:sz="0" w:space="0" w:color="auto"/>
        <w:left w:val="none" w:sz="0" w:space="0" w:color="auto"/>
        <w:bottom w:val="none" w:sz="0" w:space="0" w:color="auto"/>
        <w:right w:val="none" w:sz="0" w:space="0" w:color="auto"/>
      </w:divBdr>
    </w:div>
    <w:div w:id="20927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ppol.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vs.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I.Lipovska</Vad_x012b_t_x0101_js>
    <Kategorija xmlns="2e5bb04e-596e-45bd-9003-43ca78b1ba16">Anotācija</Kategorija>
    <TAP xmlns="49b0bb89-35b3-4114-9b1c-a376ef2ba045">16</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57E8-6B40-4502-9DA2-1BE7A37D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D4428-494B-460C-BF5B-35FC152676CA}">
  <ds:schemaRefs>
    <ds:schemaRef ds:uri="http://schemas.microsoft.com/sharepoint/v3/contenttype/forms"/>
  </ds:schemaRefs>
</ds:datastoreItem>
</file>

<file path=customXml/itemProps3.xml><?xml version="1.0" encoding="utf-8"?>
<ds:datastoreItem xmlns:ds="http://schemas.openxmlformats.org/officeDocument/2006/customXml" ds:itemID="{BF70AF6A-144B-4CB8-A49C-906F9D5E8C0B}">
  <ds:schemaRefs>
    <ds:schemaRef ds:uri="http://schemas.microsoft.com/office/2006/metadata/propertie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942676A4-0210-47A5-8185-9A0861E6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30182</Words>
  <Characters>17205</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MK noteikumu projekta “Piemērojamais elektroniskā rēķina standarts un tā pamatelementu izmantošanas specifikācija un aprites kārtība” sākotnējās ietekmes novērtējuma ziņojums (anotācija)</vt:lpstr>
    </vt:vector>
  </TitlesOfParts>
  <Company>Finanšu ministrija</Company>
  <LinksUpToDate>false</LinksUpToDate>
  <CharactersWithSpaces>47293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“Piemērojamais elektroniskā rēķina standarts un tā pamatelementu izmantošanas specifikācija un aprites kārtība” sākotnējās ietekmes novērtējuma ziņojums (anotācija)</dc:title>
  <dc:subject>Anotācija</dc:subject>
  <dc:creator>Edgars Matulis</dc:creator>
  <dc:description>67095457, Edgars.Matulis@fm.gov.lv</dc:description>
  <cp:lastModifiedBy>Edgars Matulis</cp:lastModifiedBy>
  <cp:revision>14</cp:revision>
  <cp:lastPrinted>2019-03-18T13:04:00Z</cp:lastPrinted>
  <dcterms:created xsi:type="dcterms:W3CDTF">2019-03-19T12:36:00Z</dcterms:created>
  <dcterms:modified xsi:type="dcterms:W3CDTF">2019-04-09T05:32:00Z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