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47B54" w14:textId="77777777" w:rsidR="00644001" w:rsidRPr="00C302E3" w:rsidRDefault="00644001" w:rsidP="00644001">
      <w:pPr>
        <w:jc w:val="right"/>
        <w:rPr>
          <w:i/>
          <w:sz w:val="28"/>
          <w:szCs w:val="28"/>
        </w:rPr>
      </w:pPr>
      <w:r w:rsidRPr="00C302E3">
        <w:rPr>
          <w:i/>
          <w:sz w:val="28"/>
          <w:szCs w:val="28"/>
        </w:rPr>
        <w:t>Projekts</w:t>
      </w:r>
    </w:p>
    <w:p w14:paraId="054C0A3B" w14:textId="77777777" w:rsidR="00644001" w:rsidRPr="00C302E3" w:rsidRDefault="00644001" w:rsidP="00644001">
      <w:pPr>
        <w:pStyle w:val="Heading2"/>
        <w:rPr>
          <w:lang w:val="lv-LV"/>
        </w:rPr>
      </w:pPr>
    </w:p>
    <w:p w14:paraId="51311C33" w14:textId="77777777" w:rsidR="00644001" w:rsidRPr="00C302E3" w:rsidRDefault="00644001" w:rsidP="00644001">
      <w:pPr>
        <w:pStyle w:val="Heading2"/>
        <w:rPr>
          <w:sz w:val="28"/>
          <w:szCs w:val="28"/>
          <w:lang w:val="lv-LV"/>
        </w:rPr>
      </w:pPr>
      <w:r w:rsidRPr="00C302E3">
        <w:rPr>
          <w:sz w:val="28"/>
          <w:szCs w:val="28"/>
          <w:lang w:val="lv-LV"/>
        </w:rPr>
        <w:t xml:space="preserve">LATVIJAS REPUBLIKAS MINISTRU KABINETA </w:t>
      </w:r>
    </w:p>
    <w:p w14:paraId="6413B527" w14:textId="77777777" w:rsidR="00644001" w:rsidRPr="00C302E3" w:rsidRDefault="00644001" w:rsidP="00644001">
      <w:pPr>
        <w:pStyle w:val="Heading2"/>
        <w:rPr>
          <w:sz w:val="28"/>
          <w:szCs w:val="28"/>
          <w:lang w:val="lv-LV"/>
        </w:rPr>
      </w:pPr>
      <w:r w:rsidRPr="00C302E3">
        <w:rPr>
          <w:sz w:val="28"/>
          <w:szCs w:val="28"/>
          <w:lang w:val="lv-LV"/>
        </w:rPr>
        <w:t>SĒDES PROTOKOLLĒMUMS</w:t>
      </w:r>
    </w:p>
    <w:p w14:paraId="63199732" w14:textId="77777777" w:rsidR="00644001" w:rsidRPr="00C302E3" w:rsidRDefault="00644001" w:rsidP="00644001"/>
    <w:p w14:paraId="67CA46EF" w14:textId="77777777" w:rsidR="00644001" w:rsidRPr="00C302E3" w:rsidRDefault="00644001" w:rsidP="00644001">
      <w:pPr>
        <w:rPr>
          <w:sz w:val="28"/>
          <w:szCs w:val="28"/>
        </w:rPr>
      </w:pPr>
    </w:p>
    <w:tbl>
      <w:tblPr>
        <w:tblW w:w="0" w:type="auto"/>
        <w:tblInd w:w="250" w:type="dxa"/>
        <w:tblLayout w:type="fixed"/>
        <w:tblLook w:val="0000" w:firstRow="0" w:lastRow="0" w:firstColumn="0" w:lastColumn="0" w:noHBand="0" w:noVBand="0"/>
      </w:tblPr>
      <w:tblGrid>
        <w:gridCol w:w="3458"/>
        <w:gridCol w:w="720"/>
        <w:gridCol w:w="642"/>
        <w:gridCol w:w="3318"/>
        <w:gridCol w:w="642"/>
      </w:tblGrid>
      <w:tr w:rsidR="00C302E3" w:rsidRPr="00C302E3" w14:paraId="12AD21AC" w14:textId="77777777" w:rsidTr="00D93EE8">
        <w:trPr>
          <w:cantSplit/>
        </w:trPr>
        <w:tc>
          <w:tcPr>
            <w:tcW w:w="3458" w:type="dxa"/>
          </w:tcPr>
          <w:p w14:paraId="56101CA2" w14:textId="77777777" w:rsidR="00644001" w:rsidRPr="00C302E3" w:rsidRDefault="00644001" w:rsidP="00D93EE8">
            <w:pPr>
              <w:rPr>
                <w:sz w:val="28"/>
                <w:szCs w:val="28"/>
              </w:rPr>
            </w:pPr>
            <w:r w:rsidRPr="00C302E3">
              <w:rPr>
                <w:sz w:val="28"/>
                <w:szCs w:val="28"/>
              </w:rPr>
              <w:t>Rīgā</w:t>
            </w:r>
          </w:p>
        </w:tc>
        <w:tc>
          <w:tcPr>
            <w:tcW w:w="1362" w:type="dxa"/>
            <w:gridSpan w:val="2"/>
          </w:tcPr>
          <w:p w14:paraId="43275C93" w14:textId="77777777" w:rsidR="00644001" w:rsidRPr="00C302E3" w:rsidRDefault="00644001" w:rsidP="00D93EE8">
            <w:pPr>
              <w:rPr>
                <w:sz w:val="28"/>
                <w:szCs w:val="28"/>
              </w:rPr>
            </w:pPr>
            <w:r w:rsidRPr="00C302E3">
              <w:rPr>
                <w:sz w:val="28"/>
                <w:szCs w:val="28"/>
              </w:rPr>
              <w:t>Nr.</w:t>
            </w:r>
          </w:p>
        </w:tc>
        <w:tc>
          <w:tcPr>
            <w:tcW w:w="3960" w:type="dxa"/>
            <w:gridSpan w:val="2"/>
          </w:tcPr>
          <w:p w14:paraId="5817588E" w14:textId="035BA43A" w:rsidR="00644001" w:rsidRPr="00C302E3" w:rsidRDefault="00644001" w:rsidP="00644001">
            <w:pPr>
              <w:jc w:val="right"/>
              <w:rPr>
                <w:sz w:val="28"/>
                <w:szCs w:val="28"/>
              </w:rPr>
            </w:pPr>
            <w:r w:rsidRPr="00C302E3">
              <w:rPr>
                <w:sz w:val="28"/>
                <w:szCs w:val="28"/>
              </w:rPr>
              <w:t>2019.</w:t>
            </w:r>
            <w:r w:rsidR="00C773F1" w:rsidRPr="00C302E3">
              <w:rPr>
                <w:sz w:val="28"/>
                <w:szCs w:val="28"/>
              </w:rPr>
              <w:t xml:space="preserve"> </w:t>
            </w:r>
            <w:r w:rsidRPr="00C302E3">
              <w:rPr>
                <w:sz w:val="28"/>
                <w:szCs w:val="28"/>
              </w:rPr>
              <w:t>gada</w:t>
            </w:r>
            <w:r w:rsidR="00405787" w:rsidRPr="00C302E3">
              <w:rPr>
                <w:sz w:val="28"/>
                <w:szCs w:val="28"/>
              </w:rPr>
              <w:t xml:space="preserve"> ___.______</w:t>
            </w:r>
            <w:r w:rsidRPr="00C302E3">
              <w:rPr>
                <w:sz w:val="28"/>
                <w:szCs w:val="28"/>
              </w:rPr>
              <w:t xml:space="preserve"> </w:t>
            </w:r>
          </w:p>
        </w:tc>
      </w:tr>
      <w:tr w:rsidR="00C302E3" w:rsidRPr="00C302E3" w14:paraId="7A1D7646" w14:textId="77777777" w:rsidTr="00D93EE8">
        <w:trPr>
          <w:gridAfter w:val="1"/>
          <w:wAfter w:w="642" w:type="dxa"/>
          <w:cantSplit/>
        </w:trPr>
        <w:tc>
          <w:tcPr>
            <w:tcW w:w="3458" w:type="dxa"/>
          </w:tcPr>
          <w:p w14:paraId="16F16E0C" w14:textId="77777777" w:rsidR="00644001" w:rsidRPr="00C302E3" w:rsidRDefault="00644001" w:rsidP="00D93EE8">
            <w:pPr>
              <w:rPr>
                <w:sz w:val="28"/>
                <w:szCs w:val="28"/>
              </w:rPr>
            </w:pPr>
          </w:p>
        </w:tc>
        <w:tc>
          <w:tcPr>
            <w:tcW w:w="720" w:type="dxa"/>
          </w:tcPr>
          <w:p w14:paraId="47177C6E" w14:textId="77777777" w:rsidR="00644001" w:rsidRPr="00C302E3" w:rsidRDefault="00644001" w:rsidP="00D93EE8">
            <w:pPr>
              <w:rPr>
                <w:sz w:val="28"/>
                <w:szCs w:val="28"/>
              </w:rPr>
            </w:pPr>
          </w:p>
        </w:tc>
        <w:tc>
          <w:tcPr>
            <w:tcW w:w="3960" w:type="dxa"/>
            <w:gridSpan w:val="2"/>
          </w:tcPr>
          <w:p w14:paraId="6B0D5908" w14:textId="77777777" w:rsidR="00644001" w:rsidRPr="00C302E3" w:rsidRDefault="00644001" w:rsidP="00D93EE8">
            <w:pPr>
              <w:jc w:val="right"/>
              <w:rPr>
                <w:sz w:val="28"/>
                <w:szCs w:val="28"/>
              </w:rPr>
            </w:pPr>
          </w:p>
        </w:tc>
      </w:tr>
    </w:tbl>
    <w:p w14:paraId="574F4AB2" w14:textId="77777777" w:rsidR="00644001" w:rsidRPr="00C302E3" w:rsidRDefault="00644001" w:rsidP="00644001">
      <w:pPr>
        <w:jc w:val="center"/>
        <w:rPr>
          <w:b/>
          <w:sz w:val="28"/>
          <w:szCs w:val="28"/>
        </w:rPr>
      </w:pPr>
      <w:r w:rsidRPr="00C302E3">
        <w:rPr>
          <w:b/>
          <w:sz w:val="28"/>
          <w:szCs w:val="28"/>
        </w:rPr>
        <w:t>.§</w:t>
      </w:r>
    </w:p>
    <w:p w14:paraId="17F184D4" w14:textId="77777777" w:rsidR="00644001" w:rsidRPr="00C302E3" w:rsidRDefault="00644001" w:rsidP="00644001">
      <w:pPr>
        <w:jc w:val="center"/>
        <w:rPr>
          <w:b/>
          <w:sz w:val="28"/>
          <w:szCs w:val="28"/>
        </w:rPr>
      </w:pPr>
    </w:p>
    <w:p w14:paraId="27817DA7" w14:textId="03785C0D" w:rsidR="007F2630" w:rsidRPr="00C302E3" w:rsidRDefault="00C302E3" w:rsidP="00644001">
      <w:pPr>
        <w:jc w:val="center"/>
        <w:rPr>
          <w:b/>
          <w:bCs/>
          <w:sz w:val="28"/>
          <w:szCs w:val="28"/>
        </w:rPr>
      </w:pPr>
      <w:r w:rsidRPr="00C302E3">
        <w:rPr>
          <w:b/>
          <w:bCs/>
          <w:sz w:val="28"/>
          <w:szCs w:val="28"/>
        </w:rPr>
        <w:t>Noteikumu projekts “</w:t>
      </w:r>
      <w:r w:rsidRPr="00C302E3">
        <w:rPr>
          <w:b/>
          <w:sz w:val="28"/>
          <w:szCs w:val="28"/>
        </w:rPr>
        <w:t>Piemērojamais elektroniskā rēķina standarts un tā pamatelementu izmantošanas specifikācija un aprites kārtība</w:t>
      </w:r>
      <w:r w:rsidRPr="00C302E3">
        <w:rPr>
          <w:b/>
          <w:bCs/>
          <w:sz w:val="28"/>
          <w:szCs w:val="28"/>
        </w:rPr>
        <w:t>”</w:t>
      </w:r>
    </w:p>
    <w:p w14:paraId="2DBE31D5" w14:textId="77777777" w:rsidR="00644001" w:rsidRPr="00C302E3" w:rsidRDefault="00644001" w:rsidP="00644001">
      <w:pPr>
        <w:jc w:val="center"/>
        <w:rPr>
          <w:b/>
          <w:sz w:val="28"/>
          <w:szCs w:val="28"/>
        </w:rPr>
      </w:pPr>
      <w:r w:rsidRPr="00C302E3">
        <w:rPr>
          <w:b/>
          <w:sz w:val="28"/>
          <w:szCs w:val="28"/>
        </w:rPr>
        <w:t>____________________________________________________</w:t>
      </w:r>
    </w:p>
    <w:p w14:paraId="748A7AC3" w14:textId="77777777" w:rsidR="00644001" w:rsidRPr="00C302E3" w:rsidRDefault="00644001" w:rsidP="00644001">
      <w:pPr>
        <w:pStyle w:val="BodyText"/>
        <w:rPr>
          <w:sz w:val="28"/>
          <w:szCs w:val="28"/>
          <w:lang w:val="lv-LV"/>
        </w:rPr>
      </w:pPr>
      <w:r w:rsidRPr="00C302E3">
        <w:rPr>
          <w:sz w:val="28"/>
          <w:szCs w:val="28"/>
          <w:lang w:val="lv-LV"/>
        </w:rPr>
        <w:t>(...)</w:t>
      </w:r>
    </w:p>
    <w:p w14:paraId="7AFAA72C" w14:textId="3D4163F4" w:rsidR="00644001" w:rsidRPr="00C302E3" w:rsidRDefault="00644001" w:rsidP="00644001">
      <w:pPr>
        <w:rPr>
          <w:sz w:val="26"/>
          <w:szCs w:val="26"/>
          <w:lang w:val="en-GB"/>
        </w:rPr>
      </w:pPr>
    </w:p>
    <w:p w14:paraId="7815EDC7" w14:textId="77777777" w:rsidR="00C302E3" w:rsidRPr="00C302E3" w:rsidRDefault="00C302E3" w:rsidP="00C302E3">
      <w:pPr>
        <w:ind w:firstLine="720"/>
        <w:jc w:val="both"/>
        <w:rPr>
          <w:sz w:val="26"/>
          <w:szCs w:val="26"/>
          <w:lang w:eastAsia="lv-LV"/>
        </w:rPr>
      </w:pPr>
      <w:r w:rsidRPr="00C302E3">
        <w:rPr>
          <w:sz w:val="26"/>
          <w:szCs w:val="26"/>
          <w:lang w:eastAsia="lv-LV"/>
        </w:rPr>
        <w:t>1. Pieņemt iesniegto noteikumu projektu.</w:t>
      </w:r>
    </w:p>
    <w:p w14:paraId="76096A6E" w14:textId="786FF436" w:rsidR="00C302E3" w:rsidRPr="00C302E3" w:rsidRDefault="00C302E3" w:rsidP="00C302E3">
      <w:pPr>
        <w:ind w:firstLine="720"/>
        <w:jc w:val="both"/>
        <w:rPr>
          <w:sz w:val="26"/>
          <w:szCs w:val="26"/>
          <w:lang w:eastAsia="lv-LV"/>
        </w:rPr>
      </w:pPr>
      <w:r w:rsidRPr="00C302E3">
        <w:rPr>
          <w:sz w:val="26"/>
          <w:szCs w:val="26"/>
          <w:lang w:eastAsia="lv-LV"/>
        </w:rPr>
        <w:t xml:space="preserve">    Valsts kancelejai sagatavot noteikumu projektu parakstīšanai.</w:t>
      </w:r>
    </w:p>
    <w:p w14:paraId="7C1B7C51" w14:textId="457D2CEE" w:rsidR="00C302E3" w:rsidRPr="00C302E3" w:rsidRDefault="00C302E3" w:rsidP="00C302E3">
      <w:pPr>
        <w:ind w:firstLine="720"/>
        <w:jc w:val="both"/>
        <w:rPr>
          <w:sz w:val="26"/>
          <w:szCs w:val="26"/>
          <w:lang w:eastAsia="lv-LV"/>
        </w:rPr>
      </w:pPr>
    </w:p>
    <w:p w14:paraId="5A9C1F3D" w14:textId="7FA98956" w:rsidR="00C302E3" w:rsidRPr="00C302E3" w:rsidRDefault="00C302E3" w:rsidP="00C302E3">
      <w:pPr>
        <w:ind w:firstLine="720"/>
        <w:jc w:val="both"/>
        <w:rPr>
          <w:sz w:val="26"/>
          <w:szCs w:val="26"/>
        </w:rPr>
      </w:pPr>
      <w:r w:rsidRPr="00C302E3">
        <w:rPr>
          <w:sz w:val="26"/>
          <w:szCs w:val="26"/>
          <w:lang w:eastAsia="lv-LV"/>
        </w:rPr>
        <w:t>2. </w:t>
      </w:r>
      <w:r w:rsidR="005E73A4" w:rsidRPr="00C302E3">
        <w:rPr>
          <w:sz w:val="26"/>
          <w:szCs w:val="26"/>
        </w:rPr>
        <w:t xml:space="preserve">Pieņemt zināšanai, ka Finanšu ministrija, ievērojot Standartizācijas likuma 13.panta otro daļu un 14.panta otro un trešo daļu, nodrošinās </w:t>
      </w:r>
      <w:r w:rsidR="005E73A4" w:rsidRPr="00C302E3">
        <w:rPr>
          <w:bCs/>
          <w:sz w:val="26"/>
          <w:szCs w:val="26"/>
        </w:rPr>
        <w:t>Latvijas Nacionālās standartizācijas institūcijas “Latvijas standarts”</w:t>
      </w:r>
      <w:r w:rsidR="00D134AC" w:rsidRPr="00C302E3">
        <w:rPr>
          <w:bCs/>
          <w:sz w:val="26"/>
          <w:szCs w:val="26"/>
        </w:rPr>
        <w:t xml:space="preserve"> Latvijas nacionālā standarta statusā</w:t>
      </w:r>
      <w:r w:rsidR="005E73A4" w:rsidRPr="00C302E3">
        <w:rPr>
          <w:bCs/>
          <w:sz w:val="26"/>
          <w:szCs w:val="26"/>
        </w:rPr>
        <w:t xml:space="preserve"> adaptētā </w:t>
      </w:r>
      <w:r w:rsidR="005E73A4" w:rsidRPr="00C302E3">
        <w:rPr>
          <w:sz w:val="26"/>
          <w:szCs w:val="26"/>
        </w:rPr>
        <w:t>elektronisko rēķinu standarta LVS EN 16931-1:2017 “Elektroniskie rēķini. 1.daļa. Elektronisko rēķinu pamatelementu semantisko datu modelis” un tehniskās specifikācijas LVS CEN/TS 16931-2:2017 “Elektroniskie rēķini. 2.daļa: Standartam EN 16931-1 atbilstošo sintakšu saraksts”</w:t>
      </w:r>
      <w:r w:rsidR="005E73A4" w:rsidRPr="00C302E3">
        <w:rPr>
          <w:rFonts w:ascii="Calibri" w:eastAsiaTheme="minorHAnsi" w:hAnsi="Calibri"/>
          <w:sz w:val="26"/>
          <w:szCs w:val="26"/>
        </w:rPr>
        <w:t xml:space="preserve"> </w:t>
      </w:r>
      <w:r w:rsidR="005E73A4" w:rsidRPr="00C302E3">
        <w:rPr>
          <w:sz w:val="26"/>
          <w:szCs w:val="26"/>
        </w:rPr>
        <w:t xml:space="preserve">tulkošanu valsts valodā par tās budžeta līdzekļiem līdz </w:t>
      </w:r>
      <w:r w:rsidR="003317FC" w:rsidRPr="00C302E3">
        <w:rPr>
          <w:sz w:val="26"/>
          <w:szCs w:val="26"/>
        </w:rPr>
        <w:t>2019.gada 30.</w:t>
      </w:r>
      <w:r w:rsidR="005D29A2" w:rsidRPr="00C302E3">
        <w:rPr>
          <w:sz w:val="26"/>
          <w:szCs w:val="26"/>
        </w:rPr>
        <w:t>jūnijam</w:t>
      </w:r>
      <w:r w:rsidR="003317FC" w:rsidRPr="00C302E3">
        <w:rPr>
          <w:sz w:val="26"/>
          <w:szCs w:val="26"/>
        </w:rPr>
        <w:t>.</w:t>
      </w:r>
    </w:p>
    <w:p w14:paraId="2606B03D" w14:textId="77777777" w:rsidR="00C302E3" w:rsidRPr="00C302E3" w:rsidRDefault="00C302E3" w:rsidP="00C302E3">
      <w:pPr>
        <w:ind w:firstLine="720"/>
        <w:jc w:val="both"/>
        <w:rPr>
          <w:sz w:val="26"/>
          <w:szCs w:val="26"/>
          <w:lang w:eastAsia="lv-LV"/>
        </w:rPr>
      </w:pPr>
    </w:p>
    <w:p w14:paraId="5005D0BA" w14:textId="69A3E1B5" w:rsidR="00C302E3" w:rsidRPr="00C302E3" w:rsidRDefault="00C302E3" w:rsidP="00C302E3">
      <w:pPr>
        <w:ind w:firstLine="720"/>
        <w:jc w:val="both"/>
        <w:rPr>
          <w:sz w:val="26"/>
          <w:szCs w:val="26"/>
        </w:rPr>
      </w:pPr>
      <w:r w:rsidRPr="00C302E3">
        <w:rPr>
          <w:sz w:val="26"/>
          <w:szCs w:val="26"/>
          <w:lang w:eastAsia="lv-LV"/>
        </w:rPr>
        <w:t>3. </w:t>
      </w:r>
      <w:r w:rsidR="00BB0FA7" w:rsidRPr="00C302E3">
        <w:rPr>
          <w:sz w:val="26"/>
          <w:szCs w:val="26"/>
        </w:rPr>
        <w:t>Vides aizsardzības un reģionālās attīstības ministrijai (Valsts reģionālās attīstības aģentūrai), īstenojot Eiropas infrastruktūras savienošanas instrumenta (Connecting Europe Facility) līdzfinansēto projektu “Eiropas elektroniskais rēķins” (e-Invoices CEF Project), sadarbībā ar Finanšu ministriju sagatavot un atbilstoši kompetencei noteiktā kārtībā iesniegt Ministru kabinetā nepieciešamos grozījumus normatīvajos aktos, nosakot, ka tiešās pārvaldes iestādes elektronisko rēķinu saņemšanai izmanto tikai projekta ietvaros radītos elektronisko rēķinu piegādes risinā</w:t>
      </w:r>
      <w:r w:rsidRPr="00C302E3">
        <w:rPr>
          <w:sz w:val="26"/>
          <w:szCs w:val="26"/>
        </w:rPr>
        <w:t>jumus.</w:t>
      </w:r>
    </w:p>
    <w:p w14:paraId="4F16DCE1" w14:textId="77777777" w:rsidR="00C302E3" w:rsidRPr="00C302E3" w:rsidRDefault="00C302E3" w:rsidP="00C302E3">
      <w:pPr>
        <w:ind w:firstLine="720"/>
        <w:jc w:val="both"/>
        <w:rPr>
          <w:sz w:val="26"/>
          <w:szCs w:val="26"/>
        </w:rPr>
      </w:pPr>
    </w:p>
    <w:p w14:paraId="4A79C3C0" w14:textId="3F9CBADA" w:rsidR="00205775" w:rsidRPr="00205775" w:rsidRDefault="00205775" w:rsidP="00205775">
      <w:pPr>
        <w:ind w:firstLine="720"/>
        <w:jc w:val="both"/>
        <w:rPr>
          <w:sz w:val="26"/>
          <w:szCs w:val="26"/>
        </w:rPr>
      </w:pPr>
      <w:r>
        <w:rPr>
          <w:sz w:val="26"/>
          <w:szCs w:val="26"/>
        </w:rPr>
        <w:t xml:space="preserve">4. </w:t>
      </w:r>
      <w:r w:rsidRPr="00205775">
        <w:rPr>
          <w:sz w:val="26"/>
          <w:szCs w:val="26"/>
        </w:rPr>
        <w:t>Jautājumu par papildus nepieciešamā finansējuma piešķiršanu Valsts reģionālās attīstības aģentūrai indikatīvi 60 000 euro katru gadu (kā maksu PEPPOL (Pan European Public Procurement On-Line) par sniegto pakalpojumu) izskatīt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ievērojot valsts budžeta finansiālās iespējas.</w:t>
      </w:r>
    </w:p>
    <w:p w14:paraId="6E87797B" w14:textId="5C1E4D97" w:rsidR="000564E1" w:rsidRDefault="00205775" w:rsidP="00205775">
      <w:pPr>
        <w:ind w:firstLine="720"/>
        <w:jc w:val="both"/>
        <w:rPr>
          <w:sz w:val="26"/>
          <w:szCs w:val="26"/>
        </w:rPr>
      </w:pPr>
      <w:r>
        <w:rPr>
          <w:sz w:val="26"/>
          <w:szCs w:val="26"/>
        </w:rPr>
        <w:lastRenderedPageBreak/>
        <w:t xml:space="preserve">5. </w:t>
      </w:r>
      <w:r w:rsidRPr="00205775">
        <w:rPr>
          <w:sz w:val="26"/>
          <w:szCs w:val="26"/>
        </w:rPr>
        <w:t>Lai nodrošinātu finansējumu Valsts reģionālās attīstības aģentūrai 2020.gadā  indikatīvi 73 129 euro (divām amata vietām par sistēmas ieviešanu) un uzturēšanai posmā no 2021.gada 1.janvāra indikatīvi 67 575 euro (divām amata vietām par sistēmas uzturēšanu), kas ir nepieciešams papildus Eiropas infrastruktūras savienošanas instrumenta (Connecting Europe Facility) līdzfinansētā projekta “Eiropas elektroniskais rēķins” (e-Invoices CEF Project) īstenošanai paredzētajam finansējumam, V</w:t>
      </w:r>
      <w:r w:rsidR="009F39EF">
        <w:rPr>
          <w:sz w:val="26"/>
          <w:szCs w:val="26"/>
        </w:rPr>
        <w:t xml:space="preserve">ides aizsardzības un reģionālās attīstības ministrijai </w:t>
      </w:r>
      <w:r w:rsidRPr="00205775">
        <w:rPr>
          <w:sz w:val="26"/>
          <w:szCs w:val="26"/>
        </w:rPr>
        <w:t>sagatavot un noteiktā kārtībā iesniegt izskatīšanai Ministru kabineta sēdē priekšlikumus finansējuma un amata vietu pārdalei.</w:t>
      </w:r>
    </w:p>
    <w:p w14:paraId="13C792BE" w14:textId="77777777" w:rsidR="00205775" w:rsidRPr="00C302E3" w:rsidRDefault="00205775" w:rsidP="00C302E3">
      <w:pPr>
        <w:ind w:firstLine="720"/>
        <w:jc w:val="both"/>
        <w:rPr>
          <w:bCs/>
          <w:sz w:val="26"/>
          <w:szCs w:val="26"/>
        </w:rPr>
      </w:pPr>
    </w:p>
    <w:p w14:paraId="485ADF49" w14:textId="006788EE" w:rsidR="00C302E3" w:rsidRPr="00C302E3" w:rsidRDefault="00205775" w:rsidP="00C302E3">
      <w:pPr>
        <w:ind w:firstLine="720"/>
        <w:jc w:val="both"/>
        <w:rPr>
          <w:sz w:val="26"/>
          <w:szCs w:val="26"/>
        </w:rPr>
      </w:pPr>
      <w:r>
        <w:rPr>
          <w:sz w:val="26"/>
          <w:szCs w:val="26"/>
          <w:lang w:eastAsia="lv-LV"/>
        </w:rPr>
        <w:t>6</w:t>
      </w:r>
      <w:r w:rsidR="00C302E3" w:rsidRPr="00C302E3">
        <w:rPr>
          <w:sz w:val="26"/>
          <w:szCs w:val="26"/>
          <w:lang w:eastAsia="lv-LV"/>
        </w:rPr>
        <w:t>. </w:t>
      </w:r>
      <w:r w:rsidR="003317FC" w:rsidRPr="00C302E3">
        <w:rPr>
          <w:sz w:val="26"/>
          <w:szCs w:val="26"/>
        </w:rPr>
        <w:t>Finanšu ministrijai (Valsts ieņēmumu di</w:t>
      </w:r>
      <w:r w:rsidR="00474D1E">
        <w:rPr>
          <w:sz w:val="26"/>
          <w:szCs w:val="26"/>
        </w:rPr>
        <w:t>enestam) izvērtēt un līdz 2019.gada 1.</w:t>
      </w:r>
      <w:r w:rsidR="003317FC" w:rsidRPr="00C302E3">
        <w:rPr>
          <w:sz w:val="26"/>
          <w:szCs w:val="26"/>
        </w:rPr>
        <w:t>oktobrim informēt Ministru kabinetu par informācijas sistēmu pielāgošanu elektronisko rēķinu saņemšanai un apstrādei nodokļu administrēšanas vajadzībām.</w:t>
      </w:r>
    </w:p>
    <w:p w14:paraId="79F070E5" w14:textId="77777777" w:rsidR="00C302E3" w:rsidRPr="00C302E3" w:rsidRDefault="00C302E3" w:rsidP="00C302E3">
      <w:pPr>
        <w:ind w:firstLine="720"/>
        <w:jc w:val="both"/>
        <w:rPr>
          <w:sz w:val="26"/>
          <w:szCs w:val="26"/>
          <w:lang w:eastAsia="lv-LV"/>
        </w:rPr>
      </w:pPr>
    </w:p>
    <w:p w14:paraId="21263687" w14:textId="5F4E9EE4" w:rsidR="00F42A29" w:rsidRPr="00C302E3" w:rsidRDefault="00205775" w:rsidP="00C302E3">
      <w:pPr>
        <w:ind w:firstLine="720"/>
        <w:jc w:val="both"/>
        <w:rPr>
          <w:sz w:val="26"/>
          <w:szCs w:val="26"/>
          <w:lang w:eastAsia="lv-LV"/>
        </w:rPr>
      </w:pPr>
      <w:r>
        <w:rPr>
          <w:sz w:val="26"/>
          <w:szCs w:val="26"/>
          <w:lang w:eastAsia="lv-LV"/>
        </w:rPr>
        <w:t>7</w:t>
      </w:r>
      <w:r w:rsidR="00C302E3" w:rsidRPr="00C302E3">
        <w:rPr>
          <w:sz w:val="26"/>
          <w:szCs w:val="26"/>
          <w:lang w:eastAsia="lv-LV"/>
        </w:rPr>
        <w:t>. </w:t>
      </w:r>
      <w:r w:rsidR="003317FC" w:rsidRPr="00C302E3">
        <w:rPr>
          <w:sz w:val="26"/>
          <w:szCs w:val="26"/>
        </w:rPr>
        <w:t xml:space="preserve">Finanšu ministrijai izstrādāt un līdz 2019.gada 1.oktobrim noteiktā kārtībā iesniegt izskatīšanai Ministru kabinetā attiecīgu tiesību akta projektu, lai noteiktu, ka turpmāk Latvijā pastāvīgi dzīvojošas fiziskas personas un Latvijā reģistrētas juridiskas personas elektroniskos rēķinus sagatavo atbilstoši </w:t>
      </w:r>
      <w:r w:rsidR="00F42A29" w:rsidRPr="00C302E3">
        <w:rPr>
          <w:sz w:val="26"/>
          <w:szCs w:val="26"/>
        </w:rPr>
        <w:t>tehniskajā specifikācijā LVS CEN/TS 16931-2:2017 “Elektroniskie rēķini. 2.daļa: Standartam EN 16931-1 atbilstošo sintakšu saraksts” noteiktajai ISO/IEC 19845 (UBL 2.1) sintaksei.</w:t>
      </w:r>
    </w:p>
    <w:p w14:paraId="6F612DC5" w14:textId="4D48C66C" w:rsidR="003317FC" w:rsidRPr="00C302E3" w:rsidRDefault="003317FC" w:rsidP="00C302E3">
      <w:pPr>
        <w:ind w:left="360"/>
        <w:rPr>
          <w:sz w:val="26"/>
          <w:szCs w:val="26"/>
        </w:rPr>
      </w:pPr>
    </w:p>
    <w:p w14:paraId="7BF0FE30" w14:textId="79F4C09B" w:rsidR="00A205EB" w:rsidRDefault="00A205EB" w:rsidP="00C302E3">
      <w:pPr>
        <w:ind w:left="360"/>
        <w:rPr>
          <w:sz w:val="26"/>
          <w:szCs w:val="26"/>
        </w:rPr>
      </w:pPr>
    </w:p>
    <w:p w14:paraId="3D8DFEB5" w14:textId="77777777" w:rsidR="00205775" w:rsidRPr="00C302E3" w:rsidRDefault="00205775" w:rsidP="00C302E3">
      <w:pPr>
        <w:ind w:left="360"/>
        <w:rPr>
          <w:sz w:val="26"/>
          <w:szCs w:val="26"/>
        </w:rPr>
      </w:pPr>
    </w:p>
    <w:p w14:paraId="434DBF25" w14:textId="77777777" w:rsidR="00A205EB" w:rsidRPr="00C302E3" w:rsidRDefault="00A205EB" w:rsidP="00C302E3">
      <w:pPr>
        <w:ind w:left="360"/>
        <w:rPr>
          <w:sz w:val="26"/>
          <w:szCs w:val="26"/>
        </w:rPr>
      </w:pPr>
    </w:p>
    <w:p w14:paraId="70BCC972" w14:textId="3BC8179C" w:rsidR="00E833DC" w:rsidRPr="00C302E3" w:rsidRDefault="00E833DC" w:rsidP="00C302E3">
      <w:pPr>
        <w:jc w:val="both"/>
        <w:rPr>
          <w:sz w:val="26"/>
          <w:szCs w:val="26"/>
        </w:rPr>
      </w:pPr>
      <w:r w:rsidRPr="00C302E3">
        <w:rPr>
          <w:sz w:val="26"/>
          <w:szCs w:val="26"/>
        </w:rPr>
        <w:t>Ministru prezidents</w:t>
      </w:r>
      <w:r w:rsidRPr="00C302E3">
        <w:rPr>
          <w:sz w:val="26"/>
          <w:szCs w:val="26"/>
        </w:rPr>
        <w:tab/>
      </w:r>
      <w:r w:rsidRPr="00C302E3">
        <w:rPr>
          <w:sz w:val="26"/>
          <w:szCs w:val="26"/>
        </w:rPr>
        <w:tab/>
      </w:r>
      <w:r w:rsidRPr="00C302E3">
        <w:rPr>
          <w:sz w:val="26"/>
          <w:szCs w:val="26"/>
        </w:rPr>
        <w:tab/>
      </w:r>
      <w:r w:rsidRPr="00C302E3">
        <w:rPr>
          <w:sz w:val="26"/>
          <w:szCs w:val="26"/>
        </w:rPr>
        <w:tab/>
      </w:r>
      <w:r w:rsidRPr="00C302E3">
        <w:rPr>
          <w:sz w:val="26"/>
          <w:szCs w:val="26"/>
        </w:rPr>
        <w:tab/>
      </w:r>
      <w:r w:rsidRPr="00C302E3">
        <w:rPr>
          <w:sz w:val="26"/>
          <w:szCs w:val="26"/>
        </w:rPr>
        <w:tab/>
        <w:t xml:space="preserve">       </w:t>
      </w:r>
      <w:r w:rsidRPr="00C302E3">
        <w:rPr>
          <w:sz w:val="26"/>
          <w:szCs w:val="26"/>
        </w:rPr>
        <w:tab/>
        <w:t xml:space="preserve">   </w:t>
      </w:r>
      <w:hyperlink r:id="rId11" w:history="1">
        <w:r w:rsidR="007940EF" w:rsidRPr="00C302E3">
          <w:rPr>
            <w:bCs/>
            <w:sz w:val="26"/>
            <w:szCs w:val="26"/>
            <w:shd w:val="clear" w:color="auto" w:fill="FFFFFF"/>
          </w:rPr>
          <w:t xml:space="preserve">  </w:t>
        </w:r>
        <w:r w:rsidR="00304DCE" w:rsidRPr="00C302E3">
          <w:rPr>
            <w:bCs/>
            <w:sz w:val="26"/>
            <w:szCs w:val="26"/>
            <w:shd w:val="clear" w:color="auto" w:fill="FFFFFF"/>
          </w:rPr>
          <w:t>Arturs</w:t>
        </w:r>
        <w:r w:rsidRPr="00C302E3">
          <w:rPr>
            <w:bCs/>
            <w:sz w:val="26"/>
            <w:szCs w:val="26"/>
            <w:shd w:val="clear" w:color="auto" w:fill="FFFFFF"/>
          </w:rPr>
          <w:t xml:space="preserve"> Krišjānis Kariņš</w:t>
        </w:r>
      </w:hyperlink>
    </w:p>
    <w:p w14:paraId="1C9BB077" w14:textId="5AF63ED3" w:rsidR="00A205EB" w:rsidRDefault="00A205EB" w:rsidP="00C302E3">
      <w:pPr>
        <w:rPr>
          <w:sz w:val="26"/>
          <w:szCs w:val="26"/>
        </w:rPr>
      </w:pPr>
    </w:p>
    <w:p w14:paraId="33D50E27" w14:textId="1B501E71" w:rsidR="00205775" w:rsidRDefault="00205775" w:rsidP="00C302E3">
      <w:pPr>
        <w:rPr>
          <w:sz w:val="26"/>
          <w:szCs w:val="26"/>
        </w:rPr>
      </w:pPr>
    </w:p>
    <w:p w14:paraId="6BAC99AF" w14:textId="77777777" w:rsidR="00205775" w:rsidRPr="00C302E3" w:rsidRDefault="00205775" w:rsidP="00C302E3">
      <w:pPr>
        <w:rPr>
          <w:sz w:val="26"/>
          <w:szCs w:val="26"/>
        </w:rPr>
      </w:pPr>
    </w:p>
    <w:p w14:paraId="513DC3AB" w14:textId="0463B374" w:rsidR="00652BB8" w:rsidRPr="00C302E3" w:rsidRDefault="00652BB8" w:rsidP="00C302E3">
      <w:pPr>
        <w:jc w:val="both"/>
        <w:rPr>
          <w:sz w:val="26"/>
          <w:szCs w:val="26"/>
        </w:rPr>
      </w:pPr>
      <w:r w:rsidRPr="00C302E3">
        <w:rPr>
          <w:sz w:val="26"/>
          <w:szCs w:val="26"/>
        </w:rPr>
        <w:t xml:space="preserve">Valsts kancelejas direktors </w:t>
      </w:r>
      <w:r w:rsidRPr="00C302E3">
        <w:rPr>
          <w:sz w:val="26"/>
          <w:szCs w:val="26"/>
        </w:rPr>
        <w:tab/>
      </w:r>
      <w:r w:rsidRPr="00C302E3">
        <w:rPr>
          <w:sz w:val="26"/>
          <w:szCs w:val="26"/>
        </w:rPr>
        <w:tab/>
      </w:r>
      <w:r w:rsidRPr="00C302E3">
        <w:rPr>
          <w:sz w:val="26"/>
          <w:szCs w:val="26"/>
        </w:rPr>
        <w:tab/>
      </w:r>
      <w:r w:rsidRPr="00C302E3">
        <w:rPr>
          <w:sz w:val="26"/>
          <w:szCs w:val="26"/>
        </w:rPr>
        <w:tab/>
      </w:r>
      <w:r w:rsidRPr="00C302E3">
        <w:rPr>
          <w:sz w:val="26"/>
          <w:szCs w:val="26"/>
        </w:rPr>
        <w:tab/>
      </w:r>
      <w:r w:rsidRPr="00C302E3">
        <w:rPr>
          <w:sz w:val="26"/>
          <w:szCs w:val="26"/>
        </w:rPr>
        <w:tab/>
      </w:r>
      <w:r w:rsidR="00DE1364" w:rsidRPr="00C302E3">
        <w:rPr>
          <w:sz w:val="26"/>
          <w:szCs w:val="26"/>
        </w:rPr>
        <w:t xml:space="preserve">        </w:t>
      </w:r>
      <w:r w:rsidRPr="00C302E3">
        <w:rPr>
          <w:sz w:val="26"/>
          <w:szCs w:val="26"/>
        </w:rPr>
        <w:t xml:space="preserve">      </w:t>
      </w:r>
      <w:r w:rsidR="00DE1364" w:rsidRPr="00C302E3">
        <w:rPr>
          <w:sz w:val="26"/>
          <w:szCs w:val="26"/>
        </w:rPr>
        <w:t xml:space="preserve">  Jānis </w:t>
      </w:r>
      <w:r w:rsidRPr="00C302E3">
        <w:rPr>
          <w:sz w:val="26"/>
          <w:szCs w:val="26"/>
        </w:rPr>
        <w:t>Citskovskis</w:t>
      </w:r>
    </w:p>
    <w:p w14:paraId="4AC1E7FA" w14:textId="19E1A7C4" w:rsidR="00A205EB" w:rsidRDefault="00A205EB" w:rsidP="00C302E3">
      <w:pPr>
        <w:rPr>
          <w:sz w:val="26"/>
          <w:szCs w:val="26"/>
        </w:rPr>
      </w:pPr>
    </w:p>
    <w:p w14:paraId="00EDC82C" w14:textId="6327C7D9" w:rsidR="00205775" w:rsidRDefault="00205775" w:rsidP="00C302E3">
      <w:pPr>
        <w:rPr>
          <w:sz w:val="26"/>
          <w:szCs w:val="26"/>
        </w:rPr>
      </w:pPr>
    </w:p>
    <w:p w14:paraId="082ABFA1" w14:textId="77777777" w:rsidR="00205775" w:rsidRPr="00C302E3" w:rsidRDefault="00205775" w:rsidP="00C302E3">
      <w:pPr>
        <w:rPr>
          <w:sz w:val="26"/>
          <w:szCs w:val="26"/>
        </w:rPr>
      </w:pPr>
    </w:p>
    <w:p w14:paraId="5CB5CA23" w14:textId="77777777" w:rsidR="000E2EAB" w:rsidRDefault="00DE1364" w:rsidP="00C302E3">
      <w:pPr>
        <w:jc w:val="both"/>
        <w:rPr>
          <w:sz w:val="26"/>
          <w:szCs w:val="26"/>
        </w:rPr>
      </w:pPr>
      <w:r w:rsidRPr="00C302E3">
        <w:rPr>
          <w:sz w:val="26"/>
          <w:szCs w:val="26"/>
        </w:rPr>
        <w:t>Iesniedzējs:</w:t>
      </w:r>
      <w:r w:rsidR="008E5200" w:rsidRPr="00C302E3">
        <w:rPr>
          <w:sz w:val="26"/>
          <w:szCs w:val="26"/>
        </w:rPr>
        <w:t xml:space="preserve"> </w:t>
      </w:r>
      <w:r w:rsidRPr="00C302E3">
        <w:rPr>
          <w:sz w:val="26"/>
          <w:szCs w:val="26"/>
        </w:rPr>
        <w:t>f</w:t>
      </w:r>
      <w:r w:rsidR="00304DCE" w:rsidRPr="00C302E3">
        <w:rPr>
          <w:sz w:val="26"/>
          <w:szCs w:val="26"/>
        </w:rPr>
        <w:t>inan</w:t>
      </w:r>
      <w:r w:rsidR="00C302E3">
        <w:rPr>
          <w:sz w:val="26"/>
          <w:szCs w:val="26"/>
        </w:rPr>
        <w:t>šu ministr</w:t>
      </w:r>
      <w:r w:rsidR="000E2EAB">
        <w:rPr>
          <w:sz w:val="26"/>
          <w:szCs w:val="26"/>
        </w:rPr>
        <w:t>a vietā-</w:t>
      </w:r>
    </w:p>
    <w:p w14:paraId="3C7F393C" w14:textId="2300AAB4" w:rsidR="00644001" w:rsidRPr="00C302E3" w:rsidRDefault="000E2EAB" w:rsidP="00C302E3">
      <w:pPr>
        <w:jc w:val="both"/>
        <w:rPr>
          <w:sz w:val="26"/>
          <w:szCs w:val="26"/>
        </w:rPr>
      </w:pPr>
      <w:r>
        <w:rPr>
          <w:sz w:val="26"/>
          <w:szCs w:val="26"/>
        </w:rPr>
        <w:t>Ministru prezidents</w:t>
      </w:r>
      <w:r w:rsidR="00C302E3">
        <w:rPr>
          <w:sz w:val="26"/>
          <w:szCs w:val="26"/>
        </w:rPr>
        <w:tab/>
      </w:r>
      <w:r w:rsidR="00C302E3">
        <w:rPr>
          <w:sz w:val="26"/>
          <w:szCs w:val="26"/>
        </w:rPr>
        <w:tab/>
      </w:r>
      <w:r w:rsidR="00C302E3">
        <w:rPr>
          <w:sz w:val="26"/>
          <w:szCs w:val="26"/>
        </w:rPr>
        <w:tab/>
      </w:r>
      <w:r>
        <w:rPr>
          <w:sz w:val="26"/>
          <w:szCs w:val="26"/>
        </w:rPr>
        <w:tab/>
      </w:r>
      <w:r>
        <w:rPr>
          <w:sz w:val="26"/>
          <w:szCs w:val="26"/>
        </w:rPr>
        <w:tab/>
      </w:r>
      <w:r w:rsidR="00B851FB">
        <w:rPr>
          <w:sz w:val="26"/>
          <w:szCs w:val="26"/>
        </w:rPr>
        <w:tab/>
      </w:r>
      <w:r w:rsidR="00B851FB">
        <w:rPr>
          <w:sz w:val="26"/>
          <w:szCs w:val="26"/>
        </w:rPr>
        <w:tab/>
      </w:r>
      <w:r w:rsidR="00B851FB">
        <w:rPr>
          <w:sz w:val="26"/>
          <w:szCs w:val="26"/>
        </w:rPr>
        <w:tab/>
      </w:r>
      <w:r w:rsidR="00B851FB">
        <w:rPr>
          <w:sz w:val="26"/>
          <w:szCs w:val="26"/>
        </w:rPr>
        <w:tab/>
        <w:t xml:space="preserve">   </w:t>
      </w:r>
      <w:bookmarkStart w:id="0" w:name="_GoBack"/>
      <w:bookmarkEnd w:id="0"/>
      <w:r>
        <w:rPr>
          <w:sz w:val="26"/>
          <w:szCs w:val="26"/>
        </w:rPr>
        <w:t>A.K.Kar</w:t>
      </w:r>
      <w:r w:rsidR="00B851FB">
        <w:rPr>
          <w:sz w:val="26"/>
          <w:szCs w:val="26"/>
        </w:rPr>
        <w:t>i</w:t>
      </w:r>
      <w:r>
        <w:rPr>
          <w:sz w:val="26"/>
          <w:szCs w:val="26"/>
        </w:rPr>
        <w:t>ņš</w:t>
      </w:r>
    </w:p>
    <w:sectPr w:rsidR="00644001" w:rsidRPr="00C302E3" w:rsidSect="003A5137">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809D0" w14:textId="77777777" w:rsidR="00B40E08" w:rsidRDefault="00B40E08" w:rsidP="00B94910">
      <w:r>
        <w:separator/>
      </w:r>
    </w:p>
  </w:endnote>
  <w:endnote w:type="continuationSeparator" w:id="0">
    <w:p w14:paraId="6E1E4ED7" w14:textId="77777777" w:rsidR="00B40E08" w:rsidRDefault="00B40E08" w:rsidP="00B9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459961"/>
      <w:docPartObj>
        <w:docPartGallery w:val="Page Numbers (Bottom of Page)"/>
        <w:docPartUnique/>
      </w:docPartObj>
    </w:sdtPr>
    <w:sdtEndPr>
      <w:rPr>
        <w:noProof/>
      </w:rPr>
    </w:sdtEndPr>
    <w:sdtContent>
      <w:p w14:paraId="7016E711" w14:textId="2F46EF10" w:rsidR="003A5137" w:rsidRDefault="003A5137" w:rsidP="000564E1">
        <w:pPr>
          <w:pStyle w:val="Footer"/>
        </w:pPr>
        <w:r w:rsidRPr="003A5137">
          <w:rPr>
            <w:sz w:val="20"/>
          </w:rPr>
          <w:t>FMprot_110119_erekini.113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055C" w14:textId="5AB24B58" w:rsidR="003A5137" w:rsidRPr="003A5137" w:rsidRDefault="003A5137">
    <w:pPr>
      <w:pStyle w:val="Footer"/>
      <w:rPr>
        <w:sz w:val="20"/>
      </w:rPr>
    </w:pPr>
    <w:r w:rsidRPr="003A5137">
      <w:rPr>
        <w:sz w:val="20"/>
      </w:rPr>
      <w:t>FMprot_110119_erekini.113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7721" w14:textId="77777777" w:rsidR="00B40E08" w:rsidRDefault="00B40E08" w:rsidP="00B94910">
      <w:r>
        <w:separator/>
      </w:r>
    </w:p>
  </w:footnote>
  <w:footnote w:type="continuationSeparator" w:id="0">
    <w:p w14:paraId="12EF223D" w14:textId="77777777" w:rsidR="00B40E08" w:rsidRDefault="00B40E08" w:rsidP="00B9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735696"/>
      <w:docPartObj>
        <w:docPartGallery w:val="Page Numbers (Top of Page)"/>
        <w:docPartUnique/>
      </w:docPartObj>
    </w:sdtPr>
    <w:sdtEndPr>
      <w:rPr>
        <w:noProof/>
      </w:rPr>
    </w:sdtEndPr>
    <w:sdtContent>
      <w:p w14:paraId="67653FD8" w14:textId="4BD58C05" w:rsidR="000564E1" w:rsidRDefault="000564E1" w:rsidP="000564E1">
        <w:pPr>
          <w:pStyle w:val="Header"/>
          <w:jc w:val="center"/>
        </w:pPr>
        <w:r>
          <w:fldChar w:fldCharType="begin"/>
        </w:r>
        <w:r>
          <w:instrText xml:space="preserve"> PAGE   \* MERGEFORMAT </w:instrText>
        </w:r>
        <w:r>
          <w:fldChar w:fldCharType="separate"/>
        </w:r>
        <w:r w:rsidR="00B851FB">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6F9"/>
    <w:multiLevelType w:val="hybridMultilevel"/>
    <w:tmpl w:val="C5C22D68"/>
    <w:lvl w:ilvl="0" w:tplc="4F46A81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5B511F"/>
    <w:multiLevelType w:val="multilevel"/>
    <w:tmpl w:val="8EB42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7C3553"/>
    <w:multiLevelType w:val="hybridMultilevel"/>
    <w:tmpl w:val="76122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12449"/>
    <w:multiLevelType w:val="hybridMultilevel"/>
    <w:tmpl w:val="C5C22D68"/>
    <w:lvl w:ilvl="0" w:tplc="4F46A81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BC66C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01"/>
    <w:rsid w:val="000564E1"/>
    <w:rsid w:val="000B2014"/>
    <w:rsid w:val="000E2EAB"/>
    <w:rsid w:val="001A1247"/>
    <w:rsid w:val="00205775"/>
    <w:rsid w:val="00271D77"/>
    <w:rsid w:val="002B2C05"/>
    <w:rsid w:val="002C1A88"/>
    <w:rsid w:val="002D1594"/>
    <w:rsid w:val="00304DCE"/>
    <w:rsid w:val="003141E5"/>
    <w:rsid w:val="00316EE0"/>
    <w:rsid w:val="0032282F"/>
    <w:rsid w:val="003317FC"/>
    <w:rsid w:val="0035731B"/>
    <w:rsid w:val="00393A63"/>
    <w:rsid w:val="003A5137"/>
    <w:rsid w:val="003C5585"/>
    <w:rsid w:val="003E04DE"/>
    <w:rsid w:val="00404288"/>
    <w:rsid w:val="00405787"/>
    <w:rsid w:val="00405F5B"/>
    <w:rsid w:val="00435CAD"/>
    <w:rsid w:val="00437B24"/>
    <w:rsid w:val="00474D1E"/>
    <w:rsid w:val="004C33B8"/>
    <w:rsid w:val="004D3461"/>
    <w:rsid w:val="0050756D"/>
    <w:rsid w:val="005648B5"/>
    <w:rsid w:val="005664BC"/>
    <w:rsid w:val="005711C7"/>
    <w:rsid w:val="005D29A2"/>
    <w:rsid w:val="005E73A4"/>
    <w:rsid w:val="005E7A28"/>
    <w:rsid w:val="005E7C1C"/>
    <w:rsid w:val="006177E4"/>
    <w:rsid w:val="00644001"/>
    <w:rsid w:val="00652BB8"/>
    <w:rsid w:val="006962D1"/>
    <w:rsid w:val="006B3ECC"/>
    <w:rsid w:val="006B6E39"/>
    <w:rsid w:val="006F67D8"/>
    <w:rsid w:val="00714ABE"/>
    <w:rsid w:val="00784B52"/>
    <w:rsid w:val="007940EF"/>
    <w:rsid w:val="007D7AD4"/>
    <w:rsid w:val="007F2630"/>
    <w:rsid w:val="008274CF"/>
    <w:rsid w:val="00843DCD"/>
    <w:rsid w:val="00845776"/>
    <w:rsid w:val="00850743"/>
    <w:rsid w:val="00881A58"/>
    <w:rsid w:val="008B2455"/>
    <w:rsid w:val="008B731B"/>
    <w:rsid w:val="008B7DF8"/>
    <w:rsid w:val="008E5200"/>
    <w:rsid w:val="009500E5"/>
    <w:rsid w:val="009F0CA6"/>
    <w:rsid w:val="009F39EF"/>
    <w:rsid w:val="00A205EB"/>
    <w:rsid w:val="00A5076A"/>
    <w:rsid w:val="00AE5C99"/>
    <w:rsid w:val="00B075DC"/>
    <w:rsid w:val="00B40E08"/>
    <w:rsid w:val="00B45E64"/>
    <w:rsid w:val="00B851FB"/>
    <w:rsid w:val="00B94910"/>
    <w:rsid w:val="00BB0FA7"/>
    <w:rsid w:val="00BB1E86"/>
    <w:rsid w:val="00BC3968"/>
    <w:rsid w:val="00C225CE"/>
    <w:rsid w:val="00C27206"/>
    <w:rsid w:val="00C302E3"/>
    <w:rsid w:val="00C40BDF"/>
    <w:rsid w:val="00C40FE6"/>
    <w:rsid w:val="00C51F79"/>
    <w:rsid w:val="00C773F1"/>
    <w:rsid w:val="00C85492"/>
    <w:rsid w:val="00CA1A3D"/>
    <w:rsid w:val="00CA407B"/>
    <w:rsid w:val="00CB0D35"/>
    <w:rsid w:val="00CC1C35"/>
    <w:rsid w:val="00CE785D"/>
    <w:rsid w:val="00D108EF"/>
    <w:rsid w:val="00D134AC"/>
    <w:rsid w:val="00D76BF5"/>
    <w:rsid w:val="00DC2DB9"/>
    <w:rsid w:val="00DC4250"/>
    <w:rsid w:val="00DE1364"/>
    <w:rsid w:val="00DE33A6"/>
    <w:rsid w:val="00E2447A"/>
    <w:rsid w:val="00E732E4"/>
    <w:rsid w:val="00E833DC"/>
    <w:rsid w:val="00F15351"/>
    <w:rsid w:val="00F42A29"/>
    <w:rsid w:val="00F6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2718"/>
  <w15:chartTrackingRefBased/>
  <w15:docId w15:val="{D759B9F6-C01E-454E-BF34-88080286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001"/>
    <w:rPr>
      <w:rFonts w:ascii="Times New Roman" w:eastAsia="Times New Roman" w:hAnsi="Times New Roman" w:cs="Times New Roman"/>
      <w:sz w:val="24"/>
      <w:szCs w:val="24"/>
      <w:lang w:val="lv-LV"/>
    </w:rPr>
  </w:style>
  <w:style w:type="paragraph" w:styleId="Heading2">
    <w:name w:val="heading 2"/>
    <w:basedOn w:val="Normal"/>
    <w:next w:val="Normal"/>
    <w:link w:val="Heading2Char"/>
    <w:qFormat/>
    <w:rsid w:val="00644001"/>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4001"/>
    <w:rPr>
      <w:rFonts w:ascii="Times New Roman" w:eastAsia="Times New Roman" w:hAnsi="Times New Roman" w:cs="Times New Roman"/>
      <w:b/>
      <w:bCs/>
      <w:sz w:val="24"/>
      <w:szCs w:val="24"/>
    </w:rPr>
  </w:style>
  <w:style w:type="paragraph" w:styleId="BodyText">
    <w:name w:val="Body Text"/>
    <w:basedOn w:val="Normal"/>
    <w:link w:val="BodyTextChar"/>
    <w:rsid w:val="00644001"/>
    <w:pPr>
      <w:jc w:val="center"/>
    </w:pPr>
    <w:rPr>
      <w:lang w:val="en-US"/>
    </w:rPr>
  </w:style>
  <w:style w:type="character" w:customStyle="1" w:styleId="BodyTextChar">
    <w:name w:val="Body Text Char"/>
    <w:basedOn w:val="DefaultParagraphFont"/>
    <w:link w:val="BodyText"/>
    <w:rsid w:val="00644001"/>
    <w:rPr>
      <w:rFonts w:ascii="Times New Roman" w:eastAsia="Times New Roman" w:hAnsi="Times New Roman" w:cs="Times New Roman"/>
      <w:sz w:val="24"/>
      <w:szCs w:val="24"/>
    </w:rPr>
  </w:style>
  <w:style w:type="character" w:styleId="Emphasis">
    <w:name w:val="Emphasis"/>
    <w:basedOn w:val="DefaultParagraphFont"/>
    <w:uiPriority w:val="20"/>
    <w:qFormat/>
    <w:rsid w:val="002D1594"/>
    <w:rPr>
      <w:i/>
      <w:iCs/>
    </w:rPr>
  </w:style>
  <w:style w:type="paragraph" w:styleId="ListParagraph">
    <w:name w:val="List Paragraph"/>
    <w:basedOn w:val="Normal"/>
    <w:uiPriority w:val="34"/>
    <w:qFormat/>
    <w:rsid w:val="00E732E4"/>
    <w:pPr>
      <w:ind w:left="720"/>
      <w:contextualSpacing/>
    </w:pPr>
  </w:style>
  <w:style w:type="paragraph" w:styleId="BalloonText">
    <w:name w:val="Balloon Text"/>
    <w:basedOn w:val="Normal"/>
    <w:link w:val="BalloonTextChar"/>
    <w:uiPriority w:val="99"/>
    <w:semiHidden/>
    <w:unhideWhenUsed/>
    <w:rsid w:val="00E73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E4"/>
    <w:rPr>
      <w:rFonts w:ascii="Segoe UI" w:eastAsia="Times New Roman" w:hAnsi="Segoe UI" w:cs="Segoe UI"/>
      <w:sz w:val="18"/>
      <w:szCs w:val="18"/>
      <w:lang w:val="lv-LV"/>
    </w:rPr>
  </w:style>
  <w:style w:type="character" w:styleId="CommentReference">
    <w:name w:val="annotation reference"/>
    <w:basedOn w:val="DefaultParagraphFont"/>
    <w:uiPriority w:val="99"/>
    <w:semiHidden/>
    <w:unhideWhenUsed/>
    <w:rsid w:val="006B6E39"/>
    <w:rPr>
      <w:sz w:val="16"/>
      <w:szCs w:val="16"/>
    </w:rPr>
  </w:style>
  <w:style w:type="paragraph" w:styleId="CommentText">
    <w:name w:val="annotation text"/>
    <w:basedOn w:val="Normal"/>
    <w:link w:val="CommentTextChar"/>
    <w:uiPriority w:val="99"/>
    <w:semiHidden/>
    <w:unhideWhenUsed/>
    <w:rsid w:val="006B6E39"/>
    <w:rPr>
      <w:sz w:val="20"/>
      <w:szCs w:val="20"/>
    </w:rPr>
  </w:style>
  <w:style w:type="character" w:customStyle="1" w:styleId="CommentTextChar">
    <w:name w:val="Comment Text Char"/>
    <w:basedOn w:val="DefaultParagraphFont"/>
    <w:link w:val="CommentText"/>
    <w:uiPriority w:val="99"/>
    <w:semiHidden/>
    <w:rsid w:val="006B6E39"/>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B6E39"/>
    <w:rPr>
      <w:b/>
      <w:bCs/>
    </w:rPr>
  </w:style>
  <w:style w:type="character" w:customStyle="1" w:styleId="CommentSubjectChar">
    <w:name w:val="Comment Subject Char"/>
    <w:basedOn w:val="CommentTextChar"/>
    <w:link w:val="CommentSubject"/>
    <w:uiPriority w:val="99"/>
    <w:semiHidden/>
    <w:rsid w:val="006B6E39"/>
    <w:rPr>
      <w:rFonts w:ascii="Times New Roman" w:eastAsia="Times New Roman" w:hAnsi="Times New Roman" w:cs="Times New Roman"/>
      <w:b/>
      <w:bCs/>
      <w:sz w:val="20"/>
      <w:szCs w:val="20"/>
      <w:lang w:val="lv-LV"/>
    </w:rPr>
  </w:style>
  <w:style w:type="paragraph" w:styleId="Header">
    <w:name w:val="header"/>
    <w:basedOn w:val="Normal"/>
    <w:link w:val="HeaderChar"/>
    <w:uiPriority w:val="99"/>
    <w:unhideWhenUsed/>
    <w:rsid w:val="00B94910"/>
    <w:pPr>
      <w:tabs>
        <w:tab w:val="center" w:pos="4153"/>
        <w:tab w:val="right" w:pos="8306"/>
      </w:tabs>
    </w:pPr>
  </w:style>
  <w:style w:type="character" w:customStyle="1" w:styleId="HeaderChar">
    <w:name w:val="Header Char"/>
    <w:basedOn w:val="DefaultParagraphFont"/>
    <w:link w:val="Header"/>
    <w:uiPriority w:val="99"/>
    <w:rsid w:val="00B94910"/>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B94910"/>
    <w:pPr>
      <w:tabs>
        <w:tab w:val="center" w:pos="4153"/>
        <w:tab w:val="right" w:pos="8306"/>
      </w:tabs>
    </w:pPr>
  </w:style>
  <w:style w:type="character" w:customStyle="1" w:styleId="FooterChar">
    <w:name w:val="Footer Char"/>
    <w:basedOn w:val="DefaultParagraphFont"/>
    <w:link w:val="Footer"/>
    <w:uiPriority w:val="99"/>
    <w:rsid w:val="00B94910"/>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4900">
      <w:bodyDiv w:val="1"/>
      <w:marLeft w:val="0"/>
      <w:marRight w:val="0"/>
      <w:marTop w:val="0"/>
      <w:marBottom w:val="0"/>
      <w:divBdr>
        <w:top w:val="none" w:sz="0" w:space="0" w:color="auto"/>
        <w:left w:val="none" w:sz="0" w:space="0" w:color="auto"/>
        <w:bottom w:val="none" w:sz="0" w:space="0" w:color="auto"/>
        <w:right w:val="none" w:sz="0" w:space="0" w:color="auto"/>
      </w:divBdr>
    </w:div>
    <w:div w:id="933366993">
      <w:bodyDiv w:val="1"/>
      <w:marLeft w:val="0"/>
      <w:marRight w:val="0"/>
      <w:marTop w:val="0"/>
      <w:marBottom w:val="0"/>
      <w:divBdr>
        <w:top w:val="none" w:sz="0" w:space="0" w:color="auto"/>
        <w:left w:val="none" w:sz="0" w:space="0" w:color="auto"/>
        <w:bottom w:val="none" w:sz="0" w:space="0" w:color="auto"/>
        <w:right w:val="none" w:sz="0" w:space="0" w:color="auto"/>
      </w:divBdr>
    </w:div>
    <w:div w:id="1428621931">
      <w:bodyDiv w:val="1"/>
      <w:marLeft w:val="0"/>
      <w:marRight w:val="0"/>
      <w:marTop w:val="0"/>
      <w:marBottom w:val="0"/>
      <w:divBdr>
        <w:top w:val="none" w:sz="0" w:space="0" w:color="auto"/>
        <w:left w:val="none" w:sz="0" w:space="0" w:color="auto"/>
        <w:bottom w:val="none" w:sz="0" w:space="0" w:color="auto"/>
        <w:right w:val="none" w:sz="0" w:space="0" w:color="auto"/>
      </w:divBdr>
    </w:div>
    <w:div w:id="1752120507">
      <w:bodyDiv w:val="1"/>
      <w:marLeft w:val="0"/>
      <w:marRight w:val="0"/>
      <w:marTop w:val="0"/>
      <w:marBottom w:val="0"/>
      <w:divBdr>
        <w:top w:val="none" w:sz="0" w:space="0" w:color="auto"/>
        <w:left w:val="none" w:sz="0" w:space="0" w:color="auto"/>
        <w:bottom w:val="none" w:sz="0" w:space="0" w:color="auto"/>
        <w:right w:val="none" w:sz="0" w:space="0" w:color="auto"/>
      </w:divBdr>
    </w:div>
    <w:div w:id="1778671420">
      <w:bodyDiv w:val="1"/>
      <w:marLeft w:val="0"/>
      <w:marRight w:val="0"/>
      <w:marTop w:val="0"/>
      <w:marBottom w:val="0"/>
      <w:divBdr>
        <w:top w:val="none" w:sz="0" w:space="0" w:color="auto"/>
        <w:left w:val="none" w:sz="0" w:space="0" w:color="auto"/>
        <w:bottom w:val="none" w:sz="0" w:space="0" w:color="auto"/>
        <w:right w:val="none" w:sz="0" w:space="0" w:color="auto"/>
      </w:divBdr>
    </w:div>
    <w:div w:id="17844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lv/amatpersonas/arturs-krisjanis-kari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I.Lipovska</Vad_x012b_t_x0101_js>
    <TAP xmlns="49b0bb89-35b3-4114-9b1c-a376ef2ba045">16</TAP>
    <Kategorija xmlns="2e5bb04e-596e-45bd-9003-43ca78b1ba16">MK protokollēmuma 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7448-D636-4D30-983B-E29C4EA9132D}">
  <ds:schemaRefs>
    <ds:schemaRef ds:uri="http://schemas.microsoft.com/sharepoint/v3/contenttype/forms"/>
  </ds:schemaRefs>
</ds:datastoreItem>
</file>

<file path=customXml/itemProps2.xml><?xml version="1.0" encoding="utf-8"?>
<ds:datastoreItem xmlns:ds="http://schemas.openxmlformats.org/officeDocument/2006/customXml" ds:itemID="{89F7DB3B-1DB5-45FC-9634-120AC3E9DB2C}">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D07A76BF-4CC4-4CFC-B5FD-11BE6C83B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A320E-CC68-45CB-ADC3-A6A11BBA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2450</Words>
  <Characters>1397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MK sēdes protokollēmuma projekts "Par piemērojamo elektroniskā rēķina standartu un tā pamatelementu izmantošanas specifikāciju un aprites kārtība"</vt:lpstr>
    </vt:vector>
  </TitlesOfParts>
  <Company>Finanšu Ministrija</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protokollēmuma projekts "Par piemērojamo elektroniskā rēķina standartu un tā pamatelementu izmantošanas specifikāciju un aprites kārtība"</dc:title>
  <dc:subject>Protokollēmums</dc:subject>
  <dc:creator>Edgars Matulis</dc:creator>
  <cp:keywords/>
  <dc:description>Edgars.Matulis@fm.gov.lv_x000d_
67095457</dc:description>
  <cp:lastModifiedBy>Edgars Matulis</cp:lastModifiedBy>
  <cp:revision>29</cp:revision>
  <cp:lastPrinted>2019-04-08T11:30:00Z</cp:lastPrinted>
  <dcterms:created xsi:type="dcterms:W3CDTF">2019-03-07T20:13:00Z</dcterms:created>
  <dcterms:modified xsi:type="dcterms:W3CDTF">2019-04-09T05:40:00Z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