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A35D" w14:textId="4DEDEFFF" w:rsidR="00A24354" w:rsidRPr="00A24354" w:rsidRDefault="00A24354" w:rsidP="00A24354">
      <w:pPr>
        <w:ind w:right="-625"/>
        <w:jc w:val="center"/>
        <w:rPr>
          <w:rFonts w:eastAsia="Calibri"/>
          <w:b/>
          <w:sz w:val="28"/>
          <w:szCs w:val="28"/>
          <w:lang w:eastAsia="en-US"/>
        </w:rPr>
      </w:pPr>
      <w:r w:rsidRPr="00A24354">
        <w:rPr>
          <w:rFonts w:eastAsia="Calibri"/>
          <w:b/>
          <w:sz w:val="28"/>
          <w:szCs w:val="28"/>
          <w:lang w:eastAsia="en-US"/>
        </w:rPr>
        <w:t>Ministru kabineta noteikumu „Grozījumi Ministru kabineta 2010.gada 27.jūlija noteikumos Nr. 704 „</w:t>
      </w:r>
      <w:r w:rsidRPr="00A24354">
        <w:rPr>
          <w:rFonts w:eastAsia="Calibri"/>
          <w:b/>
          <w:bCs/>
          <w:sz w:val="28"/>
          <w:szCs w:val="28"/>
          <w:lang w:eastAsia="en-US"/>
        </w:rPr>
        <w:t xml:space="preserve">Noteikumi par </w:t>
      </w:r>
      <w:proofErr w:type="spellStart"/>
      <w:r w:rsidRPr="00A24354">
        <w:rPr>
          <w:rFonts w:eastAsia="Calibri"/>
          <w:b/>
          <w:bCs/>
          <w:sz w:val="28"/>
          <w:szCs w:val="28"/>
          <w:lang w:eastAsia="en-US"/>
        </w:rPr>
        <w:t>robežšķērsošanas</w:t>
      </w:r>
      <w:proofErr w:type="spellEnd"/>
      <w:r w:rsidRPr="00A24354">
        <w:rPr>
          <w:rFonts w:eastAsia="Calibri"/>
          <w:b/>
          <w:bCs/>
          <w:sz w:val="28"/>
          <w:szCs w:val="28"/>
          <w:lang w:eastAsia="en-US"/>
        </w:rPr>
        <w:t xml:space="preserve"> vietām un tajās veicamajām pārbaudēm”</w:t>
      </w:r>
      <w:r w:rsidRPr="00A24354">
        <w:rPr>
          <w:rFonts w:eastAsia="Calibri"/>
          <w:b/>
          <w:sz w:val="28"/>
          <w:szCs w:val="28"/>
          <w:lang w:eastAsia="en-US"/>
        </w:rPr>
        <w:t xml:space="preserve">” </w:t>
      </w:r>
      <w:r w:rsidR="00B30B2E">
        <w:rPr>
          <w:rFonts w:eastAsia="Calibri"/>
          <w:b/>
          <w:sz w:val="28"/>
          <w:szCs w:val="28"/>
          <w:lang w:eastAsia="en-US"/>
        </w:rPr>
        <w:t xml:space="preserve">projekta </w:t>
      </w:r>
      <w:r w:rsidRPr="00A24354">
        <w:rPr>
          <w:rFonts w:eastAsia="Calibri"/>
          <w:b/>
          <w:sz w:val="28"/>
          <w:szCs w:val="28"/>
          <w:lang w:eastAsia="en-US"/>
        </w:rPr>
        <w:t xml:space="preserve">sākotnējās ietekmes novērtējuma </w:t>
      </w:r>
      <w:smartTag w:uri="schemas-tilde-lv/tildestengine" w:element="veidnes">
        <w:smartTagPr>
          <w:attr w:name="id" w:val="-1"/>
          <w:attr w:name="baseform" w:val="ziņojums"/>
          <w:attr w:name="text" w:val="ziņojums"/>
        </w:smartTagPr>
        <w:r w:rsidRPr="00A24354">
          <w:rPr>
            <w:rFonts w:eastAsia="Calibri"/>
            <w:b/>
            <w:sz w:val="28"/>
            <w:szCs w:val="28"/>
            <w:lang w:eastAsia="en-US"/>
          </w:rPr>
          <w:t>ziņojums</w:t>
        </w:r>
      </w:smartTag>
      <w:r w:rsidRPr="00A24354">
        <w:rPr>
          <w:rFonts w:eastAsia="Calibri"/>
          <w:b/>
          <w:sz w:val="28"/>
          <w:szCs w:val="28"/>
          <w:lang w:eastAsia="en-US"/>
        </w:rPr>
        <w:t xml:space="preserve"> (anotācija)</w:t>
      </w:r>
    </w:p>
    <w:p w14:paraId="1328DA71" w14:textId="77777777" w:rsidR="003A10F7" w:rsidRPr="00A871FB" w:rsidRDefault="003A10F7" w:rsidP="003A10F7">
      <w:pPr>
        <w:shd w:val="clear" w:color="auto" w:fill="FFFFFF"/>
        <w:spacing w:before="130" w:line="260" w:lineRule="exact"/>
        <w:jc w:val="both"/>
        <w:rPr>
          <w:b/>
          <w:bC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14"/>
        <w:gridCol w:w="5345"/>
      </w:tblGrid>
      <w:tr w:rsidR="003A10F7" w:rsidRPr="00A871FB" w14:paraId="37715422" w14:textId="77777777" w:rsidTr="00950018">
        <w:trPr>
          <w:cantSplit/>
        </w:trPr>
        <w:tc>
          <w:tcPr>
            <w:tcW w:w="8359" w:type="dxa"/>
            <w:gridSpan w:val="2"/>
            <w:shd w:val="clear" w:color="auto" w:fill="FFFFFF"/>
            <w:vAlign w:val="center"/>
            <w:hideMark/>
          </w:tcPr>
          <w:p w14:paraId="2150E516" w14:textId="77777777" w:rsidR="003A10F7" w:rsidRPr="00A871FB" w:rsidRDefault="003A10F7" w:rsidP="002E47AB">
            <w:pPr>
              <w:jc w:val="center"/>
              <w:rPr>
                <w:b/>
                <w:iCs/>
                <w:lang w:eastAsia="en-US"/>
              </w:rPr>
            </w:pPr>
            <w:r w:rsidRPr="00A871FB">
              <w:rPr>
                <w:b/>
                <w:iCs/>
                <w:lang w:eastAsia="en-US"/>
              </w:rPr>
              <w:t>Tiesību akta projekta anotācijas kopsavilkums</w:t>
            </w:r>
          </w:p>
        </w:tc>
      </w:tr>
      <w:tr w:rsidR="003A10F7" w:rsidRPr="00A871FB" w14:paraId="0E0E0E77" w14:textId="77777777" w:rsidTr="00950018">
        <w:trPr>
          <w:cantSplit/>
        </w:trPr>
        <w:tc>
          <w:tcPr>
            <w:tcW w:w="3014" w:type="dxa"/>
            <w:shd w:val="clear" w:color="auto" w:fill="FFFFFF"/>
            <w:hideMark/>
          </w:tcPr>
          <w:p w14:paraId="11B57FB6" w14:textId="77777777" w:rsidR="003A10F7" w:rsidRPr="00A871FB" w:rsidRDefault="003A10F7" w:rsidP="002E47AB">
            <w:pPr>
              <w:rPr>
                <w:iCs/>
                <w:lang w:eastAsia="en-US"/>
              </w:rPr>
            </w:pPr>
            <w:r w:rsidRPr="00A871FB">
              <w:rPr>
                <w:iCs/>
                <w:lang w:eastAsia="en-US"/>
              </w:rPr>
              <w:t>Mērķis, risinājums un projekta spēkā stāšanās laiks (500 zīmes bez atstarpēm)</w:t>
            </w:r>
          </w:p>
        </w:tc>
        <w:tc>
          <w:tcPr>
            <w:tcW w:w="5345" w:type="dxa"/>
            <w:shd w:val="clear" w:color="auto" w:fill="FFFFFF"/>
            <w:hideMark/>
          </w:tcPr>
          <w:p w14:paraId="7AF1170C" w14:textId="77777777" w:rsidR="003A10F7" w:rsidRPr="00A871FB" w:rsidRDefault="003A10F7" w:rsidP="002E47AB">
            <w:pPr>
              <w:rPr>
                <w:i/>
                <w:iCs/>
                <w:lang w:eastAsia="en-US"/>
              </w:rPr>
            </w:pPr>
            <w:r w:rsidRPr="00A871FB">
              <w:rPr>
                <w:i/>
                <w:iCs/>
                <w:lang w:eastAsia="en-US"/>
              </w:rPr>
              <w:t>Nav attiecināms</w:t>
            </w:r>
            <w:r w:rsidR="009B19DA" w:rsidRPr="00A871FB">
              <w:rPr>
                <w:i/>
                <w:iCs/>
                <w:lang w:eastAsia="en-US"/>
              </w:rPr>
              <w:t>.</w:t>
            </w:r>
          </w:p>
        </w:tc>
      </w:tr>
    </w:tbl>
    <w:p w14:paraId="4C4D9C4F" w14:textId="77777777" w:rsidR="00BD5588" w:rsidRPr="00A871FB" w:rsidRDefault="00BD5588" w:rsidP="007F5A97">
      <w:pPr>
        <w:pStyle w:val="Title"/>
        <w:spacing w:before="130" w:line="260" w:lineRule="exact"/>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535"/>
        <w:gridCol w:w="5325"/>
      </w:tblGrid>
      <w:tr w:rsidR="00BD5588" w:rsidRPr="00A871FB" w14:paraId="362F8D7D" w14:textId="77777777" w:rsidTr="00A871FB">
        <w:tc>
          <w:tcPr>
            <w:tcW w:w="5000" w:type="pct"/>
            <w:gridSpan w:val="3"/>
            <w:vAlign w:val="center"/>
            <w:hideMark/>
          </w:tcPr>
          <w:p w14:paraId="2D0430C0" w14:textId="718285A8" w:rsidR="00BD5588" w:rsidRPr="00A871FB" w:rsidRDefault="00BD5588" w:rsidP="00500E03">
            <w:pPr>
              <w:jc w:val="center"/>
              <w:rPr>
                <w:b/>
                <w:bCs/>
              </w:rPr>
            </w:pPr>
            <w:r w:rsidRPr="00A871FB">
              <w:rPr>
                <w:b/>
                <w:bCs/>
              </w:rPr>
              <w:t>I. Tiesību akta projekta izstrādes nepieciešamība</w:t>
            </w:r>
          </w:p>
        </w:tc>
      </w:tr>
      <w:tr w:rsidR="00BD5588" w:rsidRPr="00A871FB" w14:paraId="7DCB9320" w14:textId="77777777" w:rsidTr="00A871FB">
        <w:tc>
          <w:tcPr>
            <w:tcW w:w="308" w:type="pct"/>
            <w:hideMark/>
          </w:tcPr>
          <w:p w14:paraId="5953B6A5" w14:textId="77777777" w:rsidR="00BD5588" w:rsidRPr="00A871FB" w:rsidRDefault="00BD5588" w:rsidP="009E0502">
            <w:pPr>
              <w:jc w:val="center"/>
            </w:pPr>
            <w:r w:rsidRPr="00A871FB">
              <w:t>1.</w:t>
            </w:r>
          </w:p>
        </w:tc>
        <w:tc>
          <w:tcPr>
            <w:tcW w:w="1513" w:type="pct"/>
          </w:tcPr>
          <w:p w14:paraId="053D0A97" w14:textId="39DAA57D" w:rsidR="00500E03" w:rsidRPr="00A871FB" w:rsidRDefault="00497DAD" w:rsidP="00500E03">
            <w:r>
              <w:t>Pamatojums</w:t>
            </w:r>
          </w:p>
          <w:p w14:paraId="5793999D" w14:textId="77777777" w:rsidR="00500E03" w:rsidRPr="00A871FB" w:rsidRDefault="00500E03" w:rsidP="00500E03"/>
          <w:p w14:paraId="33D074F9" w14:textId="613262C9" w:rsidR="00BD5588" w:rsidRPr="00A871FB" w:rsidRDefault="00BD5588" w:rsidP="00500E03"/>
        </w:tc>
        <w:tc>
          <w:tcPr>
            <w:tcW w:w="3179" w:type="pct"/>
          </w:tcPr>
          <w:p w14:paraId="1185749B" w14:textId="77777777" w:rsidR="00C06CA8" w:rsidRDefault="00C06CA8" w:rsidP="00C06CA8">
            <w:pPr>
              <w:numPr>
                <w:ilvl w:val="0"/>
                <w:numId w:val="4"/>
              </w:numPr>
              <w:ind w:left="59" w:firstLine="425"/>
              <w:contextualSpacing/>
              <w:jc w:val="both"/>
              <w:rPr>
                <w:rFonts w:eastAsia="Calibri"/>
                <w:bCs/>
                <w:szCs w:val="22"/>
                <w:lang w:eastAsia="en-US"/>
              </w:rPr>
            </w:pPr>
            <w:proofErr w:type="spellStart"/>
            <w:r w:rsidRPr="00C06CA8">
              <w:rPr>
                <w:rFonts w:eastAsia="Calibri"/>
                <w:bCs/>
                <w:szCs w:val="22"/>
                <w:lang w:eastAsia="en-US"/>
              </w:rPr>
              <w:t>Iekšlietu</w:t>
            </w:r>
            <w:proofErr w:type="spellEnd"/>
            <w:r w:rsidRPr="00C06CA8">
              <w:rPr>
                <w:rFonts w:eastAsia="Calibri"/>
                <w:bCs/>
                <w:szCs w:val="22"/>
                <w:lang w:eastAsia="en-US"/>
              </w:rPr>
              <w:t xml:space="preserve"> ministrijas iniciatīva; </w:t>
            </w:r>
          </w:p>
          <w:p w14:paraId="49027191" w14:textId="47D726B0" w:rsidR="00BD5588" w:rsidRPr="00C06CA8" w:rsidRDefault="00C06CA8" w:rsidP="00C06CA8">
            <w:pPr>
              <w:numPr>
                <w:ilvl w:val="0"/>
                <w:numId w:val="4"/>
              </w:numPr>
              <w:ind w:left="59" w:firstLine="425"/>
              <w:contextualSpacing/>
              <w:jc w:val="both"/>
              <w:rPr>
                <w:rFonts w:eastAsia="Calibri"/>
                <w:bCs/>
                <w:szCs w:val="22"/>
                <w:lang w:eastAsia="en-US"/>
              </w:rPr>
            </w:pPr>
            <w:r w:rsidRPr="00C06CA8">
              <w:rPr>
                <w:rFonts w:eastAsia="Calibri"/>
                <w:bCs/>
                <w:szCs w:val="22"/>
                <w:lang w:eastAsia="en-US"/>
              </w:rPr>
              <w:t>Ar Ministru kabineta 2017. gada 24. novembra rīkojumu Nr. 701 „Par valsts pārvaldes reformu plānu 2020” apstiprinātā</w:t>
            </w:r>
            <w:r w:rsidRPr="00C06CA8">
              <w:rPr>
                <w:rFonts w:eastAsia="Calibri"/>
                <w:lang w:eastAsia="en-US"/>
              </w:rPr>
              <w:t xml:space="preserve"> </w:t>
            </w:r>
            <w:r w:rsidRPr="00C06CA8">
              <w:rPr>
                <w:rFonts w:eastAsia="Calibri"/>
                <w:bCs/>
                <w:szCs w:val="22"/>
                <w:lang w:eastAsia="en-US"/>
              </w:rPr>
              <w:t>Valsts pārvaldes reformu plāna 2020 ietvaros veicamās reorganizācijas Valsts robežsardzes struktūrvienībās.</w:t>
            </w:r>
          </w:p>
        </w:tc>
      </w:tr>
      <w:tr w:rsidR="00DE0F72" w:rsidRPr="00A871FB" w14:paraId="3E76B563" w14:textId="77777777" w:rsidTr="00A871FB">
        <w:tc>
          <w:tcPr>
            <w:tcW w:w="308" w:type="pct"/>
          </w:tcPr>
          <w:p w14:paraId="67A5A28E" w14:textId="55D6DC3F" w:rsidR="00A871FB" w:rsidRDefault="00DE0F72" w:rsidP="00DE0F72">
            <w:pPr>
              <w:jc w:val="center"/>
            </w:pPr>
            <w:r w:rsidRPr="00A871FB">
              <w:t>2.</w:t>
            </w:r>
          </w:p>
          <w:p w14:paraId="39933E76" w14:textId="77777777" w:rsidR="00A871FB" w:rsidRPr="00A871FB" w:rsidRDefault="00A871FB" w:rsidP="00A871FB"/>
          <w:p w14:paraId="2A637552" w14:textId="77777777" w:rsidR="00A871FB" w:rsidRPr="00A871FB" w:rsidRDefault="00A871FB" w:rsidP="00A871FB"/>
          <w:p w14:paraId="2EA5C986" w14:textId="77777777" w:rsidR="00A871FB" w:rsidRPr="00A871FB" w:rsidRDefault="00A871FB" w:rsidP="00A871FB"/>
          <w:p w14:paraId="54B91579" w14:textId="77777777" w:rsidR="00A871FB" w:rsidRPr="00A871FB" w:rsidRDefault="00A871FB" w:rsidP="00A871FB"/>
          <w:p w14:paraId="2ECC3B26" w14:textId="5B799D8B" w:rsidR="00A871FB" w:rsidRDefault="00A871FB" w:rsidP="00A871FB"/>
          <w:p w14:paraId="639DCE7C" w14:textId="586E79CF" w:rsidR="00B74734" w:rsidRDefault="00B74734" w:rsidP="00A871FB"/>
          <w:p w14:paraId="6EFE4EC9" w14:textId="77777777" w:rsidR="00B74734" w:rsidRPr="00B74734" w:rsidRDefault="00B74734" w:rsidP="00B74734"/>
          <w:p w14:paraId="77E2BA25" w14:textId="77777777" w:rsidR="00B74734" w:rsidRPr="00B74734" w:rsidRDefault="00B74734" w:rsidP="00B74734"/>
          <w:p w14:paraId="77D7E2EE" w14:textId="77777777" w:rsidR="00B74734" w:rsidRPr="00B74734" w:rsidRDefault="00B74734" w:rsidP="00B74734"/>
          <w:p w14:paraId="4BB2B35E" w14:textId="77777777" w:rsidR="00B74734" w:rsidRPr="00B74734" w:rsidRDefault="00B74734" w:rsidP="00B74734"/>
          <w:p w14:paraId="5CB1C7AD" w14:textId="77777777" w:rsidR="00B74734" w:rsidRPr="00B74734" w:rsidRDefault="00B74734" w:rsidP="00B74734"/>
          <w:p w14:paraId="3E239071" w14:textId="77777777" w:rsidR="00B74734" w:rsidRPr="00B74734" w:rsidRDefault="00B74734" w:rsidP="00B74734"/>
          <w:p w14:paraId="59D8EC6D" w14:textId="77777777" w:rsidR="00B74734" w:rsidRPr="00B74734" w:rsidRDefault="00B74734" w:rsidP="00B74734"/>
          <w:p w14:paraId="0E75C26A" w14:textId="77777777" w:rsidR="00B74734" w:rsidRPr="00B74734" w:rsidRDefault="00B74734" w:rsidP="00B74734"/>
          <w:p w14:paraId="3E4D6698" w14:textId="77777777" w:rsidR="00B74734" w:rsidRPr="00B74734" w:rsidRDefault="00B74734" w:rsidP="00B74734"/>
          <w:p w14:paraId="6A4FE03D" w14:textId="77777777" w:rsidR="00B74734" w:rsidRPr="00B74734" w:rsidRDefault="00B74734" w:rsidP="00B74734"/>
          <w:p w14:paraId="4B3BC4FA" w14:textId="77777777" w:rsidR="00B74734" w:rsidRPr="00B74734" w:rsidRDefault="00B74734" w:rsidP="00B74734"/>
          <w:p w14:paraId="613BE115" w14:textId="77777777" w:rsidR="00B74734" w:rsidRPr="00B74734" w:rsidRDefault="00B74734" w:rsidP="00B74734"/>
          <w:p w14:paraId="3FA36E54" w14:textId="77777777" w:rsidR="00B74734" w:rsidRPr="00B74734" w:rsidRDefault="00B74734" w:rsidP="00B74734"/>
          <w:p w14:paraId="6D5CAD43" w14:textId="77777777" w:rsidR="00B74734" w:rsidRPr="00B74734" w:rsidRDefault="00B74734" w:rsidP="00B74734"/>
          <w:p w14:paraId="359F551D" w14:textId="77777777" w:rsidR="00B74734" w:rsidRPr="00B74734" w:rsidRDefault="00B74734" w:rsidP="00B74734"/>
          <w:p w14:paraId="2143D6BD" w14:textId="3C91031E" w:rsidR="00B74734" w:rsidRDefault="00B74734" w:rsidP="00B74734"/>
          <w:p w14:paraId="0895A07B" w14:textId="77777777" w:rsidR="00B74734" w:rsidRPr="00B74734" w:rsidRDefault="00B74734" w:rsidP="00B74734"/>
          <w:p w14:paraId="2231579D" w14:textId="6F3A3100" w:rsidR="00B74734" w:rsidRDefault="00B74734" w:rsidP="00B74734"/>
          <w:p w14:paraId="2676AE2F" w14:textId="77777777" w:rsidR="00DE0F72" w:rsidRPr="00B74734" w:rsidRDefault="00DE0F72" w:rsidP="00B74734"/>
        </w:tc>
        <w:tc>
          <w:tcPr>
            <w:tcW w:w="1513" w:type="pct"/>
          </w:tcPr>
          <w:p w14:paraId="585A0B3C" w14:textId="48A34D5D" w:rsidR="00500E03" w:rsidRPr="00A871FB" w:rsidRDefault="00DE0F72" w:rsidP="00DE0F72">
            <w:r w:rsidRPr="00A871FB">
              <w:t>Pašreizējā situācija un problēmas, kuru risināšanai tiesību akta projekts izstrādāts, tiesiskā regulējuma mērķis un būtība</w:t>
            </w:r>
          </w:p>
          <w:p w14:paraId="26D4609E" w14:textId="77777777" w:rsidR="00500E03" w:rsidRPr="00A871FB" w:rsidRDefault="00500E03" w:rsidP="00500E03"/>
          <w:p w14:paraId="4A74A74C" w14:textId="77777777" w:rsidR="00500E03" w:rsidRPr="00A871FB" w:rsidRDefault="00500E03" w:rsidP="00500E03"/>
          <w:p w14:paraId="3BED3DA7" w14:textId="77777777" w:rsidR="00500E03" w:rsidRPr="00A871FB" w:rsidRDefault="00500E03" w:rsidP="00500E03"/>
          <w:p w14:paraId="5682AB9E" w14:textId="77777777" w:rsidR="00500E03" w:rsidRPr="00A871FB" w:rsidRDefault="00500E03" w:rsidP="00500E03"/>
          <w:p w14:paraId="60839E11" w14:textId="77777777" w:rsidR="00500E03" w:rsidRPr="00A871FB" w:rsidRDefault="00500E03" w:rsidP="00500E03"/>
          <w:p w14:paraId="115E5DBE" w14:textId="77777777" w:rsidR="00500E03" w:rsidRPr="00A871FB" w:rsidRDefault="00500E03" w:rsidP="00500E03"/>
          <w:p w14:paraId="49E39890" w14:textId="77777777" w:rsidR="00500E03" w:rsidRPr="00A871FB" w:rsidRDefault="00500E03" w:rsidP="00500E03"/>
          <w:p w14:paraId="35C6E8F2" w14:textId="6C3F0D06" w:rsidR="00DE0F72" w:rsidRPr="00A871FB" w:rsidRDefault="00DE0F72" w:rsidP="00500E03"/>
        </w:tc>
        <w:tc>
          <w:tcPr>
            <w:tcW w:w="3179" w:type="pct"/>
          </w:tcPr>
          <w:p w14:paraId="77605AB9" w14:textId="77777777" w:rsidR="005C5C8B" w:rsidRPr="005C5C8B" w:rsidRDefault="005C5C8B" w:rsidP="005C5C8B">
            <w:pPr>
              <w:ind w:left="36" w:firstLine="531"/>
              <w:jc w:val="both"/>
              <w:rPr>
                <w:rFonts w:eastAsia="Calibri"/>
                <w:b/>
                <w:bCs/>
                <w:lang w:eastAsia="en-US"/>
              </w:rPr>
            </w:pPr>
            <w:r w:rsidRPr="005C5C8B">
              <w:rPr>
                <w:rFonts w:eastAsia="Calibri"/>
                <w:lang w:eastAsia="en-US"/>
              </w:rPr>
              <w:t>2010.gada 27.jūlija Ministru kabineta noteikumu Nr. 704 „</w:t>
            </w:r>
            <w:r w:rsidRPr="005C5C8B">
              <w:rPr>
                <w:rFonts w:eastAsia="Calibri"/>
                <w:bCs/>
                <w:lang w:eastAsia="en-US"/>
              </w:rPr>
              <w:t xml:space="preserve">Noteikumi par </w:t>
            </w:r>
            <w:proofErr w:type="spellStart"/>
            <w:r w:rsidRPr="005C5C8B">
              <w:rPr>
                <w:rFonts w:eastAsia="Calibri"/>
                <w:bCs/>
                <w:lang w:eastAsia="en-US"/>
              </w:rPr>
              <w:t>robežšķērsošanas</w:t>
            </w:r>
            <w:proofErr w:type="spellEnd"/>
            <w:r w:rsidRPr="005C5C8B">
              <w:rPr>
                <w:rFonts w:eastAsia="Calibri"/>
                <w:bCs/>
                <w:lang w:eastAsia="en-US"/>
              </w:rPr>
              <w:t xml:space="preserve"> vietām un tajās veicamajām pārbaudēm”</w:t>
            </w:r>
            <w:r w:rsidRPr="005C5C8B">
              <w:rPr>
                <w:rFonts w:eastAsia="Calibri"/>
                <w:lang w:eastAsia="en-US"/>
              </w:rPr>
              <w:t xml:space="preserve"> (turpmāk – Noteikumi) 1.pielikuma 12., 15. un 24.punktā noteikts, ka Mērsraga, Pāvilostas un Skultes </w:t>
            </w:r>
            <w:proofErr w:type="spellStart"/>
            <w:r w:rsidRPr="005C5C8B">
              <w:rPr>
                <w:rFonts w:eastAsia="Calibri"/>
                <w:lang w:eastAsia="en-US"/>
              </w:rPr>
              <w:t>robežšķērsošanas</w:t>
            </w:r>
            <w:proofErr w:type="spellEnd"/>
            <w:r w:rsidRPr="005C5C8B">
              <w:rPr>
                <w:rFonts w:eastAsia="Calibri"/>
                <w:lang w:eastAsia="en-US"/>
              </w:rPr>
              <w:t xml:space="preserve"> vietu darba laiks ir visu diennakti. </w:t>
            </w:r>
          </w:p>
          <w:p w14:paraId="46855348" w14:textId="77777777" w:rsidR="005C5C8B" w:rsidRPr="005C5C8B" w:rsidRDefault="005C5C8B" w:rsidP="005C5C8B">
            <w:pPr>
              <w:ind w:left="36" w:firstLine="531"/>
              <w:jc w:val="both"/>
              <w:rPr>
                <w:rFonts w:eastAsia="Calibri"/>
                <w:lang w:eastAsia="en-US"/>
              </w:rPr>
            </w:pPr>
            <w:r w:rsidRPr="005C5C8B">
              <w:rPr>
                <w:rFonts w:eastAsia="Calibri"/>
                <w:lang w:eastAsia="en-US"/>
              </w:rPr>
              <w:t xml:space="preserve">Lai nodrošinātu ar Ministru kabineta 2017. gada 24. novembra rīkojumu Nr. 701 „Par valsts pārvaldes reformu plānu 2020” apstiprinātā Valsts pārvaldes reformu plāna 2020 un </w:t>
            </w:r>
            <w:proofErr w:type="spellStart"/>
            <w:r w:rsidRPr="005C5C8B">
              <w:rPr>
                <w:rFonts w:eastAsia="Calibri"/>
                <w:lang w:eastAsia="en-US"/>
              </w:rPr>
              <w:t>Iekšlietu</w:t>
            </w:r>
            <w:proofErr w:type="spellEnd"/>
            <w:r w:rsidRPr="005C5C8B">
              <w:rPr>
                <w:rFonts w:eastAsia="Calibri"/>
                <w:lang w:eastAsia="en-US"/>
              </w:rPr>
              <w:t xml:space="preserve"> ministrijas 2017. gada 21. decembra rīkojuma Nr. 1 – 12/2967 ”Par Valsts pārvaldes reformu plāna 2020 pasākumu īstenošanu” izpildi, Valsts robežsardzē tika veikts funkcionālais </w:t>
            </w:r>
            <w:proofErr w:type="spellStart"/>
            <w:r w:rsidRPr="005C5C8B">
              <w:rPr>
                <w:rFonts w:eastAsia="Calibri"/>
                <w:lang w:eastAsia="en-US"/>
              </w:rPr>
              <w:t>izvērtējums</w:t>
            </w:r>
            <w:proofErr w:type="spellEnd"/>
            <w:r w:rsidRPr="005C5C8B">
              <w:rPr>
                <w:rFonts w:eastAsia="Calibri"/>
                <w:lang w:eastAsia="en-US"/>
              </w:rPr>
              <w:t>, kura ietvaros tika veikta visaptveroša Valsts robežsardzes struktūrvienību funkciju analīze</w:t>
            </w:r>
            <w:r w:rsidRPr="005C5C8B">
              <w:rPr>
                <w:rFonts w:eastAsia="Calibri"/>
                <w:i/>
                <w:lang w:eastAsia="en-US"/>
              </w:rPr>
              <w:t xml:space="preserve"> </w:t>
            </w:r>
            <w:r w:rsidRPr="005C5C8B">
              <w:rPr>
                <w:rFonts w:eastAsia="Calibri"/>
                <w:lang w:eastAsia="en-US"/>
              </w:rPr>
              <w:t xml:space="preserve">ar mērķi uzlabot Valsts robežsardzes funkcionalitāti un konstatēt iespējas īstenot strukturālās pārmaiņas,  izveidojot racionālu un efektīvu  valsts pārvaldes iestādi. Veicot </w:t>
            </w:r>
            <w:proofErr w:type="spellStart"/>
            <w:r w:rsidRPr="005C5C8B">
              <w:rPr>
                <w:rFonts w:eastAsia="Calibri"/>
                <w:lang w:eastAsia="en-US"/>
              </w:rPr>
              <w:t>izvērtējumu</w:t>
            </w:r>
            <w:proofErr w:type="spellEnd"/>
            <w:r w:rsidRPr="005C5C8B">
              <w:rPr>
                <w:rFonts w:eastAsia="Calibri"/>
                <w:lang w:eastAsia="en-US"/>
              </w:rPr>
              <w:t xml:space="preserve">, tika apkopoti statistikas dati par </w:t>
            </w:r>
            <w:proofErr w:type="spellStart"/>
            <w:r w:rsidRPr="005C5C8B">
              <w:rPr>
                <w:rFonts w:eastAsia="Calibri"/>
                <w:lang w:eastAsia="en-US"/>
              </w:rPr>
              <w:t>robežšķērsošanas</w:t>
            </w:r>
            <w:proofErr w:type="spellEnd"/>
            <w:r w:rsidRPr="005C5C8B">
              <w:rPr>
                <w:rFonts w:eastAsia="Calibri"/>
                <w:lang w:eastAsia="en-US"/>
              </w:rPr>
              <w:t xml:space="preserve"> vietās veiktajām pārbaudēm, ārējo robežu šķērsojošām personām un kuģošanas līdzekļiem.</w:t>
            </w:r>
          </w:p>
          <w:p w14:paraId="03D8D68A" w14:textId="77777777" w:rsidR="005C5C8B" w:rsidRPr="005C5C8B" w:rsidRDefault="005C5C8B" w:rsidP="005C5C8B">
            <w:pPr>
              <w:ind w:left="36" w:firstLine="531"/>
              <w:jc w:val="both"/>
              <w:rPr>
                <w:rFonts w:eastAsia="Calibri"/>
                <w:lang w:eastAsia="en-US"/>
              </w:rPr>
            </w:pPr>
            <w:r w:rsidRPr="005C5C8B">
              <w:rPr>
                <w:rFonts w:eastAsia="Calibri"/>
                <w:lang w:eastAsia="en-US"/>
              </w:rPr>
              <w:t xml:space="preserve">Izvērtējot </w:t>
            </w:r>
            <w:proofErr w:type="spellStart"/>
            <w:r w:rsidRPr="005C5C8B">
              <w:rPr>
                <w:rFonts w:eastAsia="Calibri"/>
                <w:lang w:eastAsia="en-US"/>
              </w:rPr>
              <w:t>robežšķērsojošo</w:t>
            </w:r>
            <w:proofErr w:type="spellEnd"/>
            <w:r w:rsidRPr="005C5C8B">
              <w:rPr>
                <w:rFonts w:eastAsia="Calibri"/>
                <w:lang w:eastAsia="en-US"/>
              </w:rPr>
              <w:t xml:space="preserve"> personu un kuģošanas līdzekļu plūsmas intensitāti Mērsraga, Pāvilostas un Skultes </w:t>
            </w:r>
            <w:proofErr w:type="spellStart"/>
            <w:r w:rsidRPr="005C5C8B">
              <w:rPr>
                <w:rFonts w:eastAsia="Calibri"/>
                <w:lang w:eastAsia="en-US"/>
              </w:rPr>
              <w:t>robežšķērsošanas</w:t>
            </w:r>
            <w:proofErr w:type="spellEnd"/>
            <w:r w:rsidRPr="005C5C8B">
              <w:rPr>
                <w:rFonts w:eastAsia="Calibri"/>
                <w:lang w:eastAsia="en-US"/>
              </w:rPr>
              <w:t xml:space="preserve"> vietās tika pieņemts lēmums likvidēt Valsts robežsardzes Ventspils pārvaldes Kurzemes I kategorijas dienesta Mērsraga un Pāvilostas I kategorijas nodaļas, kuras attiecīgi veic </w:t>
            </w:r>
            <w:proofErr w:type="spellStart"/>
            <w:r w:rsidRPr="005C5C8B">
              <w:rPr>
                <w:rFonts w:eastAsia="Calibri"/>
                <w:lang w:eastAsia="en-US"/>
              </w:rPr>
              <w:t>robežpārbaudes</w:t>
            </w:r>
            <w:proofErr w:type="spellEnd"/>
            <w:r w:rsidRPr="005C5C8B">
              <w:rPr>
                <w:rFonts w:eastAsia="Calibri"/>
                <w:lang w:eastAsia="en-US"/>
              </w:rPr>
              <w:t xml:space="preserve"> Mērsraga un  Pāvilostas </w:t>
            </w:r>
            <w:proofErr w:type="spellStart"/>
            <w:r w:rsidRPr="005C5C8B">
              <w:rPr>
                <w:rFonts w:eastAsia="Calibri"/>
                <w:lang w:eastAsia="en-US"/>
              </w:rPr>
              <w:t>robežšķērsošanas</w:t>
            </w:r>
            <w:proofErr w:type="spellEnd"/>
            <w:r w:rsidRPr="005C5C8B">
              <w:rPr>
                <w:rFonts w:eastAsia="Calibri"/>
                <w:lang w:eastAsia="en-US"/>
              </w:rPr>
              <w:t xml:space="preserve"> vietās, uzdodot nodrošināt </w:t>
            </w:r>
            <w:proofErr w:type="spellStart"/>
            <w:r w:rsidRPr="005C5C8B">
              <w:rPr>
                <w:rFonts w:eastAsia="Calibri"/>
                <w:lang w:eastAsia="en-US"/>
              </w:rPr>
              <w:t>robežpārbaudes</w:t>
            </w:r>
            <w:proofErr w:type="spellEnd"/>
            <w:r w:rsidRPr="005C5C8B">
              <w:rPr>
                <w:rFonts w:eastAsia="Calibri"/>
                <w:lang w:eastAsia="en-US"/>
              </w:rPr>
              <w:t xml:space="preserve"> funkcijas citām Valsts robežsardzes struktūrvienībām. Savukārt attiecībā uz Valsts robežsardzes Rīgas pārvaldes Skultes I kategorijas </w:t>
            </w:r>
            <w:r w:rsidRPr="005C5C8B">
              <w:rPr>
                <w:rFonts w:eastAsia="Calibri"/>
                <w:lang w:eastAsia="en-US"/>
              </w:rPr>
              <w:lastRenderedPageBreak/>
              <w:t xml:space="preserve">nodaļu, kura veic </w:t>
            </w:r>
            <w:proofErr w:type="spellStart"/>
            <w:r w:rsidRPr="005C5C8B">
              <w:rPr>
                <w:rFonts w:eastAsia="Calibri"/>
                <w:lang w:eastAsia="en-US"/>
              </w:rPr>
              <w:t>robežpārbaudes</w:t>
            </w:r>
            <w:proofErr w:type="spellEnd"/>
            <w:r w:rsidRPr="005C5C8B">
              <w:rPr>
                <w:rFonts w:eastAsia="Calibri"/>
                <w:lang w:eastAsia="en-US"/>
              </w:rPr>
              <w:t xml:space="preserve"> Skultes </w:t>
            </w:r>
            <w:proofErr w:type="spellStart"/>
            <w:r w:rsidRPr="005C5C8B">
              <w:rPr>
                <w:rFonts w:eastAsia="Calibri"/>
                <w:lang w:eastAsia="en-US"/>
              </w:rPr>
              <w:t>robežšķērsošanas</w:t>
            </w:r>
            <w:proofErr w:type="spellEnd"/>
            <w:r w:rsidRPr="005C5C8B">
              <w:rPr>
                <w:rFonts w:eastAsia="Calibri"/>
                <w:lang w:eastAsia="en-US"/>
              </w:rPr>
              <w:t xml:space="preserve"> vietā, tika pieņemts lēmums saglabāt to, kā atsevišķu Valsts robežsardzes struktūrvienību, bet </w:t>
            </w:r>
            <w:proofErr w:type="spellStart"/>
            <w:r w:rsidRPr="005C5C8B">
              <w:rPr>
                <w:rFonts w:eastAsia="Calibri"/>
                <w:lang w:eastAsia="en-US"/>
              </w:rPr>
              <w:t>robežpārbaudes</w:t>
            </w:r>
            <w:proofErr w:type="spellEnd"/>
            <w:r w:rsidRPr="005C5C8B">
              <w:rPr>
                <w:rFonts w:eastAsia="Calibri"/>
                <w:lang w:eastAsia="en-US"/>
              </w:rPr>
              <w:t xml:space="preserve"> nodrošināt tikai pēc informācijas saņemšanas un </w:t>
            </w:r>
            <w:proofErr w:type="spellStart"/>
            <w:r w:rsidRPr="005C5C8B">
              <w:rPr>
                <w:rFonts w:eastAsia="Calibri"/>
                <w:lang w:eastAsia="en-US"/>
              </w:rPr>
              <w:t>robežpārbaudes</w:t>
            </w:r>
            <w:proofErr w:type="spellEnd"/>
            <w:r w:rsidRPr="005C5C8B">
              <w:rPr>
                <w:rFonts w:eastAsia="Calibri"/>
                <w:lang w:eastAsia="en-US"/>
              </w:rPr>
              <w:t xml:space="preserve"> laika saskaņošanas. Minētās Valsts robežsardzes struktūrvienību reformas nodrošinās pamatfunkciju izpildes nepārtrauktību, kā arī papildus personāla novirzīšanu ārējās robežas apsardzības nodrošināšanai uz Latvijas Republikas austrumu robežas, ievērojot esošā personāla nepietiekamību. </w:t>
            </w:r>
          </w:p>
          <w:p w14:paraId="116DDAFC" w14:textId="30AB1665" w:rsidR="00DE0F72" w:rsidRPr="00A871FB" w:rsidRDefault="005C5C8B" w:rsidP="005C5C8B">
            <w:pPr>
              <w:ind w:firstLine="720"/>
              <w:jc w:val="both"/>
              <w:rPr>
                <w:bCs/>
              </w:rPr>
            </w:pPr>
            <w:r w:rsidRPr="005C5C8B">
              <w:rPr>
                <w:rFonts w:eastAsia="Calibri"/>
                <w:bCs/>
                <w:szCs w:val="22"/>
                <w:lang w:eastAsia="en-US"/>
              </w:rPr>
              <w:t xml:space="preserve">Eiropas Parlamenta un Padomes regulas (ES) 2016/399 (2016. gada 9. marts) par Savienības Kodeksu par noteikumiem, kas reglamentē personu pārvietošanos pār robežām (Šengenas Robežu kodekss) 5.panta 1.punktā ir minēts, ka ārējās robežas var šķērsot tikai </w:t>
            </w:r>
            <w:proofErr w:type="spellStart"/>
            <w:r w:rsidRPr="005C5C8B">
              <w:rPr>
                <w:rFonts w:eastAsia="Calibri"/>
                <w:bCs/>
                <w:szCs w:val="22"/>
                <w:lang w:eastAsia="en-US"/>
              </w:rPr>
              <w:t>robežšķērsošanas</w:t>
            </w:r>
            <w:proofErr w:type="spellEnd"/>
            <w:r w:rsidRPr="005C5C8B">
              <w:rPr>
                <w:rFonts w:eastAsia="Calibri"/>
                <w:bCs/>
                <w:szCs w:val="22"/>
                <w:lang w:eastAsia="en-US"/>
              </w:rPr>
              <w:t xml:space="preserve"> vietās un noteiktā darbalaikā. Savukārt  2012.gada 15.maija Ministru kabineta noteikumi Nr.339 „Noteikumi par ostu formalitātēm” nosaka kārtību, kādā notiek ar kuģa ienākšanu ostā un iziešanu no tās saistīto formalitāšu kārtošana un pasažieru kuģu pasažieru reģistrācija. </w:t>
            </w:r>
            <w:r w:rsidRPr="005C5C8B">
              <w:rPr>
                <w:rFonts w:eastAsia="Calibri"/>
                <w:bCs/>
                <w:lang w:eastAsia="en-US"/>
              </w:rPr>
              <w:t xml:space="preserve">Latvijas Republikas valsts robežas likuma 22.panta septītā daļa iekļauj sevī nosacījumu, ka </w:t>
            </w:r>
            <w:proofErr w:type="spellStart"/>
            <w:r w:rsidRPr="005C5C8B">
              <w:rPr>
                <w:rFonts w:eastAsia="Calibri"/>
                <w:bCs/>
                <w:lang w:eastAsia="en-US"/>
              </w:rPr>
              <w:t>robežšķērsošanas</w:t>
            </w:r>
            <w:proofErr w:type="spellEnd"/>
            <w:r w:rsidRPr="005C5C8B">
              <w:rPr>
                <w:rFonts w:eastAsia="Calibri"/>
                <w:bCs/>
                <w:lang w:eastAsia="en-US"/>
              </w:rPr>
              <w:t xml:space="preserve"> vietas, kurās veic </w:t>
            </w:r>
            <w:proofErr w:type="spellStart"/>
            <w:r w:rsidRPr="005C5C8B">
              <w:rPr>
                <w:rFonts w:eastAsia="Calibri"/>
                <w:bCs/>
                <w:lang w:eastAsia="en-US"/>
              </w:rPr>
              <w:t>robežpārbaudi</w:t>
            </w:r>
            <w:proofErr w:type="spellEnd"/>
            <w:r w:rsidRPr="005C5C8B">
              <w:rPr>
                <w:rFonts w:eastAsia="Calibri"/>
                <w:bCs/>
                <w:lang w:eastAsia="en-US"/>
              </w:rPr>
              <w:t xml:space="preserve"> un </w:t>
            </w:r>
            <w:proofErr w:type="spellStart"/>
            <w:r w:rsidRPr="005C5C8B">
              <w:rPr>
                <w:rFonts w:eastAsia="Calibri"/>
                <w:bCs/>
                <w:lang w:eastAsia="en-US"/>
              </w:rPr>
              <w:t>radiometrisko</w:t>
            </w:r>
            <w:proofErr w:type="spellEnd"/>
            <w:r w:rsidRPr="005C5C8B">
              <w:rPr>
                <w:rFonts w:eastAsia="Calibri"/>
                <w:bCs/>
                <w:lang w:eastAsia="en-US"/>
              </w:rPr>
              <w:t xml:space="preserve"> kontroli, kā arī šo pārbaužu veikšanas laiku nosaka Ministru kabinets. </w:t>
            </w:r>
            <w:r w:rsidRPr="005C5C8B">
              <w:rPr>
                <w:rFonts w:eastAsia="Calibri"/>
                <w:lang w:eastAsia="en-US"/>
              </w:rPr>
              <w:t xml:space="preserve">Pamatojoties uz minēto, Ministru kabineta noteikumu projekta mērķis ir  precizēt Noteikumus, un noteikt, ka Mērsraga, Pāvilostas un Skultes </w:t>
            </w:r>
            <w:proofErr w:type="spellStart"/>
            <w:r w:rsidRPr="005C5C8B">
              <w:rPr>
                <w:rFonts w:eastAsia="Calibri"/>
                <w:lang w:eastAsia="en-US"/>
              </w:rPr>
              <w:t>robežšķērsošanas</w:t>
            </w:r>
            <w:proofErr w:type="spellEnd"/>
            <w:r w:rsidRPr="005C5C8B">
              <w:rPr>
                <w:rFonts w:eastAsia="Calibri"/>
                <w:lang w:eastAsia="en-US"/>
              </w:rPr>
              <w:t xml:space="preserve"> vietās </w:t>
            </w:r>
            <w:proofErr w:type="spellStart"/>
            <w:r w:rsidRPr="005C5C8B">
              <w:rPr>
                <w:rFonts w:eastAsia="Calibri"/>
                <w:lang w:eastAsia="en-US"/>
              </w:rPr>
              <w:t>robežpārbaude</w:t>
            </w:r>
            <w:proofErr w:type="spellEnd"/>
            <w:r w:rsidRPr="005C5C8B">
              <w:rPr>
                <w:rFonts w:eastAsia="Calibri"/>
                <w:lang w:eastAsia="en-US"/>
              </w:rPr>
              <w:t xml:space="preserve"> un </w:t>
            </w:r>
            <w:proofErr w:type="spellStart"/>
            <w:r w:rsidRPr="005C5C8B">
              <w:rPr>
                <w:rFonts w:eastAsia="Calibri"/>
                <w:lang w:eastAsia="en-US"/>
              </w:rPr>
              <w:t>radiometriskā</w:t>
            </w:r>
            <w:proofErr w:type="spellEnd"/>
            <w:r w:rsidRPr="005C5C8B">
              <w:rPr>
                <w:rFonts w:eastAsia="Calibri"/>
                <w:lang w:eastAsia="en-US"/>
              </w:rPr>
              <w:t xml:space="preserve"> kontrole tiek veikta visu diennakti, pie nosacījuma, ka pēc saņemtās informācijas no kuģošanas komercsabiedrības, kuģa īpašnieka, kapteiņa, to pilnvarota kuģa aģenta vai, ja tas ir atpūtas kuģis, no jahtkluba, kurā attiecīgais kuģis piestāj, tiek saskaņots </w:t>
            </w:r>
            <w:proofErr w:type="spellStart"/>
            <w:r w:rsidRPr="005C5C8B">
              <w:rPr>
                <w:rFonts w:eastAsia="Calibri"/>
                <w:lang w:eastAsia="en-US"/>
              </w:rPr>
              <w:t>robežpārbaudes</w:t>
            </w:r>
            <w:proofErr w:type="spellEnd"/>
            <w:r w:rsidRPr="005C5C8B">
              <w:rPr>
                <w:rFonts w:eastAsia="Calibri"/>
                <w:lang w:eastAsia="en-US"/>
              </w:rPr>
              <w:t xml:space="preserve"> laiks.</w:t>
            </w:r>
          </w:p>
        </w:tc>
        <w:bookmarkStart w:id="0" w:name="_GoBack"/>
        <w:bookmarkEnd w:id="0"/>
      </w:tr>
      <w:tr w:rsidR="00DE0F72" w:rsidRPr="00A871FB" w14:paraId="18205378" w14:textId="77777777" w:rsidTr="00A871FB">
        <w:tc>
          <w:tcPr>
            <w:tcW w:w="308" w:type="pct"/>
            <w:hideMark/>
          </w:tcPr>
          <w:p w14:paraId="2EC3DF91" w14:textId="77777777" w:rsidR="00DE0F72" w:rsidRPr="00A871FB" w:rsidRDefault="00DE0F72" w:rsidP="00DE0F72">
            <w:pPr>
              <w:jc w:val="center"/>
            </w:pPr>
            <w:r w:rsidRPr="00A871FB">
              <w:lastRenderedPageBreak/>
              <w:t>3.</w:t>
            </w:r>
          </w:p>
        </w:tc>
        <w:tc>
          <w:tcPr>
            <w:tcW w:w="1513" w:type="pct"/>
            <w:hideMark/>
          </w:tcPr>
          <w:p w14:paraId="2B6490B3" w14:textId="77777777" w:rsidR="00DE0F72" w:rsidRPr="00A871FB" w:rsidRDefault="00DE0F72" w:rsidP="00DE0F72">
            <w:r w:rsidRPr="00A871FB">
              <w:t>Projekta izstrādē iesaistītās institūcijas un publiskas personas kapitālsabiedrības</w:t>
            </w:r>
          </w:p>
        </w:tc>
        <w:tc>
          <w:tcPr>
            <w:tcW w:w="3179" w:type="pct"/>
            <w:hideMark/>
          </w:tcPr>
          <w:p w14:paraId="4C0FE065" w14:textId="6A8B139A" w:rsidR="00DE0F72" w:rsidRPr="00A871FB" w:rsidRDefault="009848B2" w:rsidP="00DE0F72">
            <w:r w:rsidRPr="009848B2">
              <w:rPr>
                <w:rFonts w:eastAsia="Calibri"/>
                <w:szCs w:val="22"/>
                <w:lang w:eastAsia="en-US"/>
              </w:rPr>
              <w:t>Valsts robežsardze.</w:t>
            </w:r>
          </w:p>
        </w:tc>
      </w:tr>
      <w:tr w:rsidR="00DE0F72" w:rsidRPr="00A871FB" w14:paraId="4AF4C615" w14:textId="77777777" w:rsidTr="00A871FB">
        <w:tc>
          <w:tcPr>
            <w:tcW w:w="308" w:type="pct"/>
            <w:hideMark/>
          </w:tcPr>
          <w:p w14:paraId="2B2ECEBA" w14:textId="77777777" w:rsidR="00DE0F72" w:rsidRPr="00A871FB" w:rsidRDefault="00DE0F72" w:rsidP="00DE0F72">
            <w:pPr>
              <w:jc w:val="center"/>
            </w:pPr>
            <w:r w:rsidRPr="00A871FB">
              <w:t>4.</w:t>
            </w:r>
          </w:p>
        </w:tc>
        <w:tc>
          <w:tcPr>
            <w:tcW w:w="1513" w:type="pct"/>
            <w:hideMark/>
          </w:tcPr>
          <w:p w14:paraId="3DBD8EE3" w14:textId="77777777" w:rsidR="00DE0F72" w:rsidRPr="00A871FB" w:rsidRDefault="00DE0F72" w:rsidP="00DE0F72">
            <w:r w:rsidRPr="00A871FB">
              <w:t>Cita informācija</w:t>
            </w:r>
          </w:p>
        </w:tc>
        <w:tc>
          <w:tcPr>
            <w:tcW w:w="3179" w:type="pct"/>
            <w:hideMark/>
          </w:tcPr>
          <w:p w14:paraId="2C1F61B9" w14:textId="77777777" w:rsidR="00DE0F72" w:rsidRPr="00A871FB" w:rsidRDefault="00DE0F72" w:rsidP="00DE0F72">
            <w:pPr>
              <w:rPr>
                <w:i/>
              </w:rPr>
            </w:pPr>
            <w:r w:rsidRPr="00A871FB">
              <w:rPr>
                <w:i/>
              </w:rPr>
              <w:t>Nav.</w:t>
            </w:r>
          </w:p>
        </w:tc>
      </w:tr>
    </w:tbl>
    <w:p w14:paraId="2B5FDF3C" w14:textId="77777777" w:rsidR="00BD5588" w:rsidRPr="00A871FB"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A871FB" w14:paraId="62BD00DD" w14:textId="77777777" w:rsidTr="000F7C3F">
        <w:tc>
          <w:tcPr>
            <w:tcW w:w="5000" w:type="pct"/>
            <w:gridSpan w:val="3"/>
            <w:vAlign w:val="center"/>
            <w:hideMark/>
          </w:tcPr>
          <w:p w14:paraId="1803BED7" w14:textId="77777777" w:rsidR="00BD5588" w:rsidRPr="00A871FB" w:rsidRDefault="00BD5588" w:rsidP="009E0502">
            <w:pPr>
              <w:jc w:val="center"/>
              <w:rPr>
                <w:b/>
                <w:bCs/>
              </w:rPr>
            </w:pPr>
            <w:r w:rsidRPr="00A871FB">
              <w:rPr>
                <w:b/>
                <w:bCs/>
              </w:rPr>
              <w:t>II. Tiesību akta projekta ietekme uz sabiedrību, tautsaimniecības attīstību un administratīvo slogu</w:t>
            </w:r>
          </w:p>
        </w:tc>
      </w:tr>
      <w:tr w:rsidR="00AB28E9" w:rsidRPr="00A871FB" w14:paraId="7F141B9D" w14:textId="77777777" w:rsidTr="000F7C3F">
        <w:tc>
          <w:tcPr>
            <w:tcW w:w="311" w:type="pct"/>
            <w:hideMark/>
          </w:tcPr>
          <w:p w14:paraId="07D7186C" w14:textId="77777777" w:rsidR="00AB28E9" w:rsidRPr="00A871FB" w:rsidRDefault="00AB28E9" w:rsidP="00AB28E9">
            <w:pPr>
              <w:jc w:val="center"/>
            </w:pPr>
            <w:r w:rsidRPr="00A871FB">
              <w:t>1.</w:t>
            </w:r>
          </w:p>
        </w:tc>
        <w:tc>
          <w:tcPr>
            <w:tcW w:w="1479" w:type="pct"/>
            <w:hideMark/>
          </w:tcPr>
          <w:p w14:paraId="61D09D8E" w14:textId="77777777" w:rsidR="00AB28E9" w:rsidRPr="00A871FB" w:rsidRDefault="00AB28E9" w:rsidP="00AB28E9">
            <w:r w:rsidRPr="00A871FB">
              <w:t xml:space="preserve">Sabiedrības </w:t>
            </w:r>
            <w:proofErr w:type="spellStart"/>
            <w:r w:rsidRPr="00A871FB">
              <w:t>mērķgrupas</w:t>
            </w:r>
            <w:proofErr w:type="spellEnd"/>
            <w:r w:rsidRPr="00A871FB">
              <w:t>, kuras tiesiskais regulējums ietekmē vai varētu ietekmēt</w:t>
            </w:r>
          </w:p>
        </w:tc>
        <w:tc>
          <w:tcPr>
            <w:tcW w:w="3210" w:type="pct"/>
          </w:tcPr>
          <w:p w14:paraId="5E4AED4D" w14:textId="77777777" w:rsidR="00004DDD" w:rsidRPr="00004DDD" w:rsidRDefault="00004DDD" w:rsidP="00004DDD">
            <w:pPr>
              <w:jc w:val="both"/>
              <w:rPr>
                <w:rFonts w:eastAsia="Calibri"/>
                <w:szCs w:val="22"/>
                <w:lang w:eastAsia="en-US"/>
              </w:rPr>
            </w:pPr>
            <w:r w:rsidRPr="00004DDD">
              <w:rPr>
                <w:rFonts w:eastAsia="Calibri"/>
              </w:rPr>
              <w:t>Kuģošanas komercsabiedrības, kuģu īpašnieki, kuģu kapteiņi, to pilnvaroti kuģa aģenti, jahtklubu pārstāvji.</w:t>
            </w:r>
          </w:p>
          <w:p w14:paraId="1B3944E1" w14:textId="6431A972" w:rsidR="00AB28E9" w:rsidRPr="00A871FB" w:rsidRDefault="00AB28E9" w:rsidP="00BC47CE"/>
        </w:tc>
      </w:tr>
      <w:tr w:rsidR="00AB28E9" w:rsidRPr="00A871FB" w14:paraId="41155DAC" w14:textId="77777777" w:rsidTr="000F7C3F">
        <w:tc>
          <w:tcPr>
            <w:tcW w:w="311" w:type="pct"/>
            <w:hideMark/>
          </w:tcPr>
          <w:p w14:paraId="417458DC" w14:textId="77777777" w:rsidR="00AB28E9" w:rsidRPr="00A871FB" w:rsidRDefault="00AB28E9" w:rsidP="00AB28E9">
            <w:pPr>
              <w:jc w:val="center"/>
            </w:pPr>
            <w:r w:rsidRPr="00A871FB">
              <w:t>2.</w:t>
            </w:r>
          </w:p>
        </w:tc>
        <w:tc>
          <w:tcPr>
            <w:tcW w:w="1479" w:type="pct"/>
            <w:hideMark/>
          </w:tcPr>
          <w:p w14:paraId="2781CF75" w14:textId="77777777" w:rsidR="00AB28E9" w:rsidRPr="00A871FB" w:rsidRDefault="00AB28E9" w:rsidP="00AB28E9">
            <w:r w:rsidRPr="00A871FB">
              <w:t xml:space="preserve">Tiesiskā regulējuma ietekme uz </w:t>
            </w:r>
            <w:r w:rsidRPr="00A871FB">
              <w:lastRenderedPageBreak/>
              <w:t>tautsaimniecību un administratīvo slogu</w:t>
            </w:r>
          </w:p>
        </w:tc>
        <w:tc>
          <w:tcPr>
            <w:tcW w:w="3210" w:type="pct"/>
          </w:tcPr>
          <w:p w14:paraId="3A0085AF" w14:textId="49944BA8" w:rsidR="00AB28E9" w:rsidRPr="008C0FC1" w:rsidRDefault="008C0FC1" w:rsidP="00BC47CE">
            <w:pPr>
              <w:jc w:val="both"/>
              <w:rPr>
                <w:i/>
              </w:rPr>
            </w:pPr>
            <w:r>
              <w:rPr>
                <w:rFonts w:eastAsia="Calibri"/>
                <w:i/>
                <w:lang w:eastAsia="en-US"/>
              </w:rPr>
              <w:lastRenderedPageBreak/>
              <w:t>Noteikumu p</w:t>
            </w:r>
            <w:r w:rsidR="008164C8" w:rsidRPr="008C0FC1">
              <w:rPr>
                <w:rFonts w:eastAsia="Calibri"/>
                <w:i/>
                <w:lang w:eastAsia="en-US"/>
              </w:rPr>
              <w:t>rojekts šo jomu neskar.</w:t>
            </w:r>
          </w:p>
        </w:tc>
      </w:tr>
      <w:tr w:rsidR="00AB28E9" w:rsidRPr="00A871FB" w14:paraId="3BE917F9" w14:textId="77777777" w:rsidTr="000F7C3F">
        <w:tc>
          <w:tcPr>
            <w:tcW w:w="311" w:type="pct"/>
            <w:hideMark/>
          </w:tcPr>
          <w:p w14:paraId="6BB753D1" w14:textId="77777777" w:rsidR="00AB28E9" w:rsidRPr="00A871FB" w:rsidRDefault="00AB28E9" w:rsidP="00AB28E9">
            <w:pPr>
              <w:jc w:val="center"/>
            </w:pPr>
            <w:r w:rsidRPr="00A871FB">
              <w:lastRenderedPageBreak/>
              <w:t>3.</w:t>
            </w:r>
          </w:p>
        </w:tc>
        <w:tc>
          <w:tcPr>
            <w:tcW w:w="1479" w:type="pct"/>
            <w:hideMark/>
          </w:tcPr>
          <w:p w14:paraId="73176BF0" w14:textId="77777777" w:rsidR="00AB28E9" w:rsidRPr="00A871FB" w:rsidRDefault="00AB28E9" w:rsidP="00AB28E9">
            <w:r w:rsidRPr="00A871FB">
              <w:t>Administratīvo izmaksu monetārs novērtējums</w:t>
            </w:r>
          </w:p>
        </w:tc>
        <w:tc>
          <w:tcPr>
            <w:tcW w:w="3210" w:type="pct"/>
          </w:tcPr>
          <w:p w14:paraId="6494CF7F" w14:textId="7D778F64" w:rsidR="00AB28E9" w:rsidRPr="008C0FC1" w:rsidRDefault="008C0FC1" w:rsidP="008164C8">
            <w:pPr>
              <w:jc w:val="both"/>
              <w:rPr>
                <w:i/>
              </w:rPr>
            </w:pPr>
            <w:r>
              <w:rPr>
                <w:i/>
              </w:rPr>
              <w:t>Noteikumu p</w:t>
            </w:r>
            <w:r w:rsidR="008164C8" w:rsidRPr="008C0FC1">
              <w:rPr>
                <w:i/>
              </w:rPr>
              <w:t>rojekts šo jomu neskar.</w:t>
            </w:r>
          </w:p>
        </w:tc>
      </w:tr>
      <w:tr w:rsidR="00AB28E9" w:rsidRPr="00857342" w14:paraId="66738B6E" w14:textId="77777777" w:rsidTr="000F7C3F">
        <w:tc>
          <w:tcPr>
            <w:tcW w:w="311" w:type="pct"/>
            <w:hideMark/>
          </w:tcPr>
          <w:p w14:paraId="78498751" w14:textId="77777777" w:rsidR="00AB28E9" w:rsidRPr="00A871FB" w:rsidRDefault="00AB28E9" w:rsidP="00AB28E9">
            <w:pPr>
              <w:jc w:val="center"/>
            </w:pPr>
            <w:r w:rsidRPr="00A871FB">
              <w:t>4.</w:t>
            </w:r>
          </w:p>
        </w:tc>
        <w:tc>
          <w:tcPr>
            <w:tcW w:w="1479" w:type="pct"/>
            <w:hideMark/>
          </w:tcPr>
          <w:p w14:paraId="37D922CA" w14:textId="77777777" w:rsidR="00AB28E9" w:rsidRPr="00A871FB" w:rsidRDefault="00AB28E9" w:rsidP="00AB28E9">
            <w:r w:rsidRPr="00A871FB">
              <w:t>Atbilstības izmaksu monetārs novērtējums</w:t>
            </w:r>
          </w:p>
        </w:tc>
        <w:tc>
          <w:tcPr>
            <w:tcW w:w="3210" w:type="pct"/>
          </w:tcPr>
          <w:p w14:paraId="20187CAC" w14:textId="0D44BA52" w:rsidR="00AB28E9" w:rsidRPr="008C0FC1" w:rsidRDefault="008C0FC1" w:rsidP="00BC47CE">
            <w:pPr>
              <w:jc w:val="both"/>
              <w:rPr>
                <w:i/>
              </w:rPr>
            </w:pPr>
            <w:r w:rsidRPr="008C0FC1">
              <w:rPr>
                <w:rFonts w:eastAsia="Calibri"/>
                <w:i/>
              </w:rPr>
              <w:t>Noteikumu projekts šo jomu neskar.</w:t>
            </w:r>
          </w:p>
        </w:tc>
      </w:tr>
      <w:tr w:rsidR="00AB28E9" w:rsidRPr="00A871FB" w14:paraId="6D2DD036" w14:textId="77777777" w:rsidTr="000F7C3F">
        <w:tc>
          <w:tcPr>
            <w:tcW w:w="311" w:type="pct"/>
            <w:hideMark/>
          </w:tcPr>
          <w:p w14:paraId="79B8D698" w14:textId="77777777" w:rsidR="00AB28E9" w:rsidRPr="00A871FB" w:rsidRDefault="00AB28E9" w:rsidP="00AB28E9">
            <w:pPr>
              <w:jc w:val="center"/>
            </w:pPr>
            <w:r w:rsidRPr="00A871FB">
              <w:t>5.</w:t>
            </w:r>
          </w:p>
        </w:tc>
        <w:tc>
          <w:tcPr>
            <w:tcW w:w="1479" w:type="pct"/>
            <w:hideMark/>
          </w:tcPr>
          <w:p w14:paraId="430D8B0A" w14:textId="77777777" w:rsidR="00AB28E9" w:rsidRPr="00A871FB" w:rsidRDefault="00AB28E9" w:rsidP="00AB28E9">
            <w:r w:rsidRPr="00A871FB">
              <w:t>Cita informācija</w:t>
            </w:r>
          </w:p>
        </w:tc>
        <w:tc>
          <w:tcPr>
            <w:tcW w:w="3210" w:type="pct"/>
          </w:tcPr>
          <w:p w14:paraId="799BE85A" w14:textId="77777777" w:rsidR="00AB28E9" w:rsidRPr="00A871FB" w:rsidRDefault="00AB28E9" w:rsidP="00AB28E9">
            <w:pPr>
              <w:rPr>
                <w:i/>
              </w:rPr>
            </w:pPr>
            <w:r w:rsidRPr="00A871FB">
              <w:rPr>
                <w:i/>
              </w:rPr>
              <w:t>Nav</w:t>
            </w:r>
            <w:r w:rsidR="009B19DA" w:rsidRPr="00A871FB">
              <w:rPr>
                <w:i/>
              </w:rPr>
              <w:t>.</w:t>
            </w:r>
          </w:p>
        </w:tc>
      </w:tr>
    </w:tbl>
    <w:p w14:paraId="119989DA" w14:textId="77777777" w:rsidR="00BD5588" w:rsidRPr="00A871FB"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AC6695" w:rsidRPr="00A871FB" w14:paraId="1A0AC65D" w14:textId="77777777" w:rsidTr="002E47AB">
        <w:trPr>
          <w:cantSplit/>
        </w:trPr>
        <w:tc>
          <w:tcPr>
            <w:tcW w:w="8299" w:type="dxa"/>
            <w:shd w:val="clear" w:color="auto" w:fill="auto"/>
            <w:vAlign w:val="center"/>
            <w:hideMark/>
          </w:tcPr>
          <w:p w14:paraId="4A4A28C4" w14:textId="77777777" w:rsidR="00AC6695" w:rsidRPr="00A871FB" w:rsidRDefault="00AC6695" w:rsidP="002E47AB">
            <w:pPr>
              <w:jc w:val="center"/>
              <w:rPr>
                <w:b/>
                <w:bCs/>
                <w:lang w:eastAsia="en-US"/>
              </w:rPr>
            </w:pPr>
            <w:r w:rsidRPr="00A871FB">
              <w:rPr>
                <w:b/>
                <w:bCs/>
                <w:lang w:eastAsia="en-US"/>
              </w:rPr>
              <w:t>III. Tiesību akta projekta ietekme uz valsts budžetu un pašvaldību budžetiem</w:t>
            </w:r>
          </w:p>
        </w:tc>
      </w:tr>
      <w:tr w:rsidR="00AC6695" w:rsidRPr="00A871FB" w14:paraId="0C879BC0" w14:textId="77777777" w:rsidTr="002E47AB">
        <w:trPr>
          <w:cantSplit/>
        </w:trPr>
        <w:tc>
          <w:tcPr>
            <w:tcW w:w="8299" w:type="dxa"/>
            <w:shd w:val="clear" w:color="auto" w:fill="auto"/>
            <w:vAlign w:val="center"/>
          </w:tcPr>
          <w:p w14:paraId="2A68AB7D" w14:textId="77777777" w:rsidR="00AC6695" w:rsidRPr="00A871FB" w:rsidRDefault="00AC6695" w:rsidP="002E47AB">
            <w:pPr>
              <w:jc w:val="center"/>
              <w:rPr>
                <w:b/>
                <w:bCs/>
                <w:lang w:eastAsia="en-US"/>
              </w:rPr>
            </w:pPr>
            <w:r w:rsidRPr="00A871FB">
              <w:rPr>
                <w:bCs/>
                <w:i/>
                <w:lang w:eastAsia="en-US"/>
              </w:rPr>
              <w:t>Noteikumu projekts šo jomu neskar</w:t>
            </w:r>
            <w:r w:rsidR="009B19DA" w:rsidRPr="00A871FB">
              <w:rPr>
                <w:bCs/>
                <w:i/>
                <w:lang w:eastAsia="en-US"/>
              </w:rPr>
              <w:t>.</w:t>
            </w:r>
          </w:p>
        </w:tc>
      </w:tr>
      <w:tr w:rsidR="00AC6695" w:rsidRPr="00A871FB" w14:paraId="3C4310E1" w14:textId="77777777" w:rsidTr="002E47AB">
        <w:trPr>
          <w:cantSplit/>
        </w:trPr>
        <w:tc>
          <w:tcPr>
            <w:tcW w:w="8299" w:type="dxa"/>
            <w:shd w:val="clear" w:color="auto" w:fill="auto"/>
            <w:vAlign w:val="center"/>
          </w:tcPr>
          <w:p w14:paraId="496ED736" w14:textId="77777777" w:rsidR="00AC6695" w:rsidRPr="00A871FB" w:rsidRDefault="00AC6695" w:rsidP="002E47AB">
            <w:pPr>
              <w:jc w:val="center"/>
              <w:rPr>
                <w:b/>
                <w:bCs/>
                <w:lang w:eastAsia="en-US"/>
              </w:rPr>
            </w:pPr>
          </w:p>
        </w:tc>
      </w:tr>
      <w:tr w:rsidR="00AC6695" w:rsidRPr="00A871FB" w14:paraId="25311D4A" w14:textId="77777777" w:rsidTr="002E47AB">
        <w:tblPrEx>
          <w:tblCellMar>
            <w:top w:w="30" w:type="dxa"/>
            <w:left w:w="30" w:type="dxa"/>
            <w:bottom w:w="30" w:type="dxa"/>
            <w:right w:w="30" w:type="dxa"/>
          </w:tblCellMar>
        </w:tblPrEx>
        <w:trPr>
          <w:cantSplit/>
        </w:trPr>
        <w:tc>
          <w:tcPr>
            <w:tcW w:w="8299" w:type="dxa"/>
            <w:vAlign w:val="center"/>
            <w:hideMark/>
          </w:tcPr>
          <w:p w14:paraId="73EB4E8B" w14:textId="77777777" w:rsidR="00AC6695" w:rsidRPr="00A871FB" w:rsidRDefault="00AC6695" w:rsidP="002E47AB">
            <w:pPr>
              <w:jc w:val="center"/>
              <w:rPr>
                <w:b/>
                <w:bCs/>
              </w:rPr>
            </w:pPr>
            <w:r w:rsidRPr="00A871FB">
              <w:rPr>
                <w:b/>
                <w:bCs/>
              </w:rPr>
              <w:t>IV. Tiesību akta projekta ietekme uz spēkā esošo tiesību normu sistēmu</w:t>
            </w:r>
          </w:p>
        </w:tc>
      </w:tr>
      <w:tr w:rsidR="003915BC" w:rsidRPr="00A871FB" w14:paraId="1B0F98C9" w14:textId="77777777" w:rsidTr="003915BC">
        <w:tblPrEx>
          <w:tblCellMar>
            <w:top w:w="30" w:type="dxa"/>
            <w:left w:w="30" w:type="dxa"/>
            <w:bottom w:w="30" w:type="dxa"/>
            <w:right w:w="30" w:type="dxa"/>
          </w:tblCellMar>
        </w:tblPrEx>
        <w:trPr>
          <w:cantSplit/>
          <w:trHeight w:val="389"/>
        </w:trPr>
        <w:tc>
          <w:tcPr>
            <w:tcW w:w="8299" w:type="dxa"/>
            <w:hideMark/>
          </w:tcPr>
          <w:p w14:paraId="40ABD4CD" w14:textId="642B1D4A" w:rsidR="003915BC" w:rsidRPr="00A871FB" w:rsidRDefault="003915BC" w:rsidP="003915BC">
            <w:pPr>
              <w:jc w:val="center"/>
            </w:pPr>
            <w:r w:rsidRPr="00A871FB">
              <w:rPr>
                <w:bCs/>
                <w:i/>
                <w:lang w:eastAsia="en-US"/>
              </w:rPr>
              <w:t>Noteikumu projekts šo jomu neskar.</w:t>
            </w:r>
          </w:p>
        </w:tc>
      </w:tr>
    </w:tbl>
    <w:p w14:paraId="46BF956D" w14:textId="77777777" w:rsidR="00AC6695" w:rsidRPr="00A871FB" w:rsidRDefault="00AC6695" w:rsidP="00AC6695">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AC6695" w:rsidRPr="00A871FB" w14:paraId="73AE3861" w14:textId="77777777" w:rsidTr="002E47AB">
        <w:trPr>
          <w:cantSplit/>
        </w:trPr>
        <w:tc>
          <w:tcPr>
            <w:tcW w:w="5000" w:type="pct"/>
            <w:vAlign w:val="center"/>
            <w:hideMark/>
          </w:tcPr>
          <w:p w14:paraId="3ED45ADA" w14:textId="77777777" w:rsidR="00AC6695" w:rsidRPr="00A871FB" w:rsidRDefault="00AC6695" w:rsidP="002E47AB">
            <w:pPr>
              <w:jc w:val="center"/>
              <w:rPr>
                <w:b/>
                <w:bCs/>
              </w:rPr>
            </w:pPr>
            <w:r w:rsidRPr="00A871FB">
              <w:rPr>
                <w:b/>
                <w:bCs/>
              </w:rPr>
              <w:t>V. Tiesību akta projekta atbilstība Latvijas Republikas starptautiskajām saistībām</w:t>
            </w:r>
          </w:p>
        </w:tc>
      </w:tr>
      <w:tr w:rsidR="00AC6695" w:rsidRPr="00A871FB" w14:paraId="45E9D9F9" w14:textId="77777777" w:rsidTr="002E47AB">
        <w:trPr>
          <w:cantSplit/>
        </w:trPr>
        <w:tc>
          <w:tcPr>
            <w:tcW w:w="5000" w:type="pct"/>
            <w:vAlign w:val="center"/>
          </w:tcPr>
          <w:p w14:paraId="7DB5E39C" w14:textId="77777777" w:rsidR="00AC6695" w:rsidRPr="00A871FB" w:rsidRDefault="00AC6695" w:rsidP="002E47AB">
            <w:pPr>
              <w:jc w:val="center"/>
              <w:rPr>
                <w:b/>
                <w:bCs/>
                <w:lang w:eastAsia="en-US"/>
              </w:rPr>
            </w:pPr>
            <w:r w:rsidRPr="00A871FB">
              <w:rPr>
                <w:bCs/>
                <w:i/>
                <w:lang w:eastAsia="en-US"/>
              </w:rPr>
              <w:t>Noteikumu projekts šo jomu neskar</w:t>
            </w:r>
            <w:r w:rsidR="009B19DA" w:rsidRPr="00A871FB">
              <w:rPr>
                <w:bCs/>
                <w:i/>
                <w:lang w:eastAsia="en-US"/>
              </w:rPr>
              <w:t>.</w:t>
            </w:r>
          </w:p>
        </w:tc>
      </w:tr>
    </w:tbl>
    <w:p w14:paraId="375BFA80" w14:textId="77777777" w:rsidR="00AC6695" w:rsidRPr="00A871FB" w:rsidRDefault="00AC6695" w:rsidP="00AC6695">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AC6695" w:rsidRPr="00A871FB" w14:paraId="1CA4A28C" w14:textId="77777777" w:rsidTr="002E47AB">
        <w:trPr>
          <w:cantSplit/>
        </w:trPr>
        <w:tc>
          <w:tcPr>
            <w:tcW w:w="5000" w:type="pct"/>
            <w:gridSpan w:val="3"/>
            <w:vAlign w:val="center"/>
            <w:hideMark/>
          </w:tcPr>
          <w:p w14:paraId="5EA5E08E" w14:textId="77777777" w:rsidR="00AC6695" w:rsidRPr="00A871FB" w:rsidRDefault="00AC6695" w:rsidP="002E47AB">
            <w:pPr>
              <w:jc w:val="center"/>
              <w:rPr>
                <w:b/>
                <w:bCs/>
              </w:rPr>
            </w:pPr>
            <w:r w:rsidRPr="00A871FB">
              <w:rPr>
                <w:b/>
                <w:bCs/>
              </w:rPr>
              <w:t>VI. Sabiedrības līdzdalība un komunikācijas aktivitātes</w:t>
            </w:r>
          </w:p>
        </w:tc>
      </w:tr>
      <w:tr w:rsidR="00D433E2" w:rsidRPr="00A871FB" w14:paraId="408B8CA7" w14:textId="77777777" w:rsidTr="002E47AB">
        <w:trPr>
          <w:cantSplit/>
        </w:trPr>
        <w:tc>
          <w:tcPr>
            <w:tcW w:w="311" w:type="pct"/>
            <w:hideMark/>
          </w:tcPr>
          <w:p w14:paraId="72FC8B1B" w14:textId="77777777" w:rsidR="00D433E2" w:rsidRPr="00A871FB" w:rsidRDefault="00D433E2" w:rsidP="00D433E2">
            <w:pPr>
              <w:jc w:val="center"/>
            </w:pPr>
            <w:r w:rsidRPr="00A871FB">
              <w:t>1.</w:t>
            </w:r>
          </w:p>
        </w:tc>
        <w:tc>
          <w:tcPr>
            <w:tcW w:w="1479" w:type="pct"/>
            <w:hideMark/>
          </w:tcPr>
          <w:p w14:paraId="5D717821" w14:textId="77777777" w:rsidR="00D433E2" w:rsidRPr="00A871FB" w:rsidRDefault="00D433E2" w:rsidP="00D433E2">
            <w:r w:rsidRPr="00A871FB">
              <w:t>Plānotās sabiedrības līdzdalības un komunikācijas aktivitātes saistībā ar projektu</w:t>
            </w:r>
          </w:p>
        </w:tc>
        <w:tc>
          <w:tcPr>
            <w:tcW w:w="3210" w:type="pct"/>
          </w:tcPr>
          <w:p w14:paraId="651A646D" w14:textId="68AB169A" w:rsidR="00D433E2" w:rsidRPr="00A871FB" w:rsidRDefault="00E96346" w:rsidP="007C08F8">
            <w:r>
              <w:rPr>
                <w:rFonts w:eastAsia="Calibri"/>
                <w:lang w:eastAsia="en-US"/>
              </w:rPr>
              <w:t>Sabiedrības līdzdalība tika</w:t>
            </w:r>
            <w:r w:rsidR="00AD4D31" w:rsidRPr="00AD4D31">
              <w:rPr>
                <w:rFonts w:eastAsia="Calibri"/>
                <w:lang w:eastAsia="en-US"/>
              </w:rPr>
              <w:t xml:space="preserve"> nodrošināta saskaņā ar Ministru kabineta 2009. gada 25. augusta noteikumiem Nr. 970 “Sabiedrības līdzdalības kārtība attīstības plānošanas procesā”, sagatavojot un publicējot paziņojumu par līdzdalības procesu.</w:t>
            </w:r>
          </w:p>
        </w:tc>
      </w:tr>
      <w:tr w:rsidR="00D433E2" w:rsidRPr="00A871FB" w14:paraId="49642786" w14:textId="77777777" w:rsidTr="007F7CDF">
        <w:trPr>
          <w:cantSplit/>
          <w:trHeight w:val="1437"/>
        </w:trPr>
        <w:tc>
          <w:tcPr>
            <w:tcW w:w="311" w:type="pct"/>
            <w:hideMark/>
          </w:tcPr>
          <w:p w14:paraId="449FC174" w14:textId="77777777" w:rsidR="00D433E2" w:rsidRPr="00A871FB" w:rsidRDefault="00D433E2" w:rsidP="00D433E2">
            <w:pPr>
              <w:jc w:val="center"/>
            </w:pPr>
            <w:r w:rsidRPr="00A871FB">
              <w:t>2.</w:t>
            </w:r>
          </w:p>
        </w:tc>
        <w:tc>
          <w:tcPr>
            <w:tcW w:w="1479" w:type="pct"/>
            <w:hideMark/>
          </w:tcPr>
          <w:p w14:paraId="3FCD505D" w14:textId="77777777" w:rsidR="00D433E2" w:rsidRPr="00A871FB" w:rsidRDefault="00D433E2" w:rsidP="00D433E2">
            <w:r w:rsidRPr="00A871FB">
              <w:t>Sabiedrības līdzdalība projekta izstrādē</w:t>
            </w:r>
          </w:p>
        </w:tc>
        <w:tc>
          <w:tcPr>
            <w:tcW w:w="3210" w:type="pct"/>
          </w:tcPr>
          <w:p w14:paraId="4290D5BA" w14:textId="536C9B9A" w:rsidR="00D433E2" w:rsidRPr="00A871FB" w:rsidRDefault="00F1427C" w:rsidP="00D433E2">
            <w:r w:rsidRPr="00F1427C">
              <w:rPr>
                <w:rFonts w:eastAsia="Calibri"/>
              </w:rPr>
              <w:t xml:space="preserve">Ministru kabineta noteikumu projekts </w:t>
            </w:r>
            <w:r w:rsidR="00BF27A1">
              <w:rPr>
                <w:rFonts w:eastAsia="Calibri"/>
              </w:rPr>
              <w:t>2019.gada 19.martā tika</w:t>
            </w:r>
            <w:r w:rsidRPr="00F1427C">
              <w:rPr>
                <w:rFonts w:eastAsia="Calibri"/>
                <w:b/>
                <w:i/>
              </w:rPr>
              <w:t xml:space="preserve"> </w:t>
            </w:r>
            <w:r w:rsidRPr="00F1427C">
              <w:rPr>
                <w:rFonts w:eastAsia="Calibri"/>
              </w:rPr>
              <w:t xml:space="preserve">ievietots </w:t>
            </w:r>
            <w:proofErr w:type="spellStart"/>
            <w:r w:rsidRPr="00F1427C">
              <w:rPr>
                <w:rFonts w:eastAsia="Calibri"/>
              </w:rPr>
              <w:t>Iekšlietu</w:t>
            </w:r>
            <w:proofErr w:type="spellEnd"/>
            <w:r w:rsidRPr="00F1427C">
              <w:rPr>
                <w:rFonts w:eastAsia="Calibri"/>
              </w:rPr>
              <w:t xml:space="preserve"> ministrijas mājas lapā </w:t>
            </w:r>
            <w:r w:rsidR="00BF27A1">
              <w:rPr>
                <w:rFonts w:eastAsia="Calibri"/>
              </w:rPr>
              <w:t xml:space="preserve">sadaļā „Sabiedrības līdzdalība”, ar norādi </w:t>
            </w:r>
            <w:r w:rsidR="009D3E0C">
              <w:rPr>
                <w:rFonts w:eastAsia="Calibri"/>
              </w:rPr>
              <w:t xml:space="preserve">viedokli, iebildumus un priekšlikumus lūgums iesniegt līdz </w:t>
            </w:r>
            <w:r w:rsidR="007F7CDF">
              <w:rPr>
                <w:rFonts w:eastAsia="Calibri"/>
              </w:rPr>
              <w:t>2019.gada 30.martam.</w:t>
            </w:r>
          </w:p>
        </w:tc>
      </w:tr>
      <w:tr w:rsidR="00AC6695" w:rsidRPr="00A871FB" w14:paraId="334156FF" w14:textId="77777777" w:rsidTr="002E47AB">
        <w:trPr>
          <w:cantSplit/>
        </w:trPr>
        <w:tc>
          <w:tcPr>
            <w:tcW w:w="311" w:type="pct"/>
            <w:hideMark/>
          </w:tcPr>
          <w:p w14:paraId="224D0930" w14:textId="77777777" w:rsidR="00AC6695" w:rsidRPr="00A871FB" w:rsidRDefault="00AC6695" w:rsidP="002E47AB">
            <w:pPr>
              <w:jc w:val="center"/>
            </w:pPr>
            <w:r w:rsidRPr="00A871FB">
              <w:t>3.</w:t>
            </w:r>
          </w:p>
        </w:tc>
        <w:tc>
          <w:tcPr>
            <w:tcW w:w="1479" w:type="pct"/>
            <w:hideMark/>
          </w:tcPr>
          <w:p w14:paraId="0066312F" w14:textId="77777777" w:rsidR="00AC6695" w:rsidRPr="00A871FB" w:rsidRDefault="00AC6695" w:rsidP="002E47AB">
            <w:r w:rsidRPr="00A871FB">
              <w:t>Sabiedrības līdzdalības rezultāti</w:t>
            </w:r>
          </w:p>
        </w:tc>
        <w:tc>
          <w:tcPr>
            <w:tcW w:w="3210" w:type="pct"/>
          </w:tcPr>
          <w:p w14:paraId="6B799B22" w14:textId="3D028EA4" w:rsidR="00D908B0" w:rsidRPr="00A871FB" w:rsidRDefault="00A17A8D" w:rsidP="00D908B0">
            <w:r>
              <w:rPr>
                <w:rFonts w:eastAsia="Calibri"/>
              </w:rPr>
              <w:t xml:space="preserve">Iebildumi un priekšlikumi par </w:t>
            </w:r>
            <w:r w:rsidRPr="00A17A8D">
              <w:rPr>
                <w:rFonts w:eastAsia="Calibri"/>
              </w:rPr>
              <w:t>Ministru kabineta noteikumu</w:t>
            </w:r>
            <w:r>
              <w:rPr>
                <w:rFonts w:eastAsia="Calibri"/>
              </w:rPr>
              <w:t xml:space="preserve"> projektu līdz 2019.gada 30.martam netika saņemti. </w:t>
            </w:r>
          </w:p>
        </w:tc>
      </w:tr>
      <w:tr w:rsidR="00AC6695" w:rsidRPr="00A871FB" w14:paraId="12863604" w14:textId="77777777" w:rsidTr="002E47AB">
        <w:trPr>
          <w:cantSplit/>
        </w:trPr>
        <w:tc>
          <w:tcPr>
            <w:tcW w:w="311" w:type="pct"/>
            <w:hideMark/>
          </w:tcPr>
          <w:p w14:paraId="6CB34F39" w14:textId="77777777" w:rsidR="00AC6695" w:rsidRPr="00A871FB" w:rsidRDefault="00AC6695" w:rsidP="002E47AB">
            <w:pPr>
              <w:jc w:val="center"/>
            </w:pPr>
            <w:r w:rsidRPr="00A871FB">
              <w:t>4.</w:t>
            </w:r>
          </w:p>
        </w:tc>
        <w:tc>
          <w:tcPr>
            <w:tcW w:w="1479" w:type="pct"/>
            <w:hideMark/>
          </w:tcPr>
          <w:p w14:paraId="35F32EB3" w14:textId="77777777" w:rsidR="00AC6695" w:rsidRPr="00A871FB" w:rsidRDefault="00AC6695" w:rsidP="002E47AB">
            <w:r w:rsidRPr="00A871FB">
              <w:t>Cita informācija</w:t>
            </w:r>
          </w:p>
        </w:tc>
        <w:tc>
          <w:tcPr>
            <w:tcW w:w="3210" w:type="pct"/>
          </w:tcPr>
          <w:p w14:paraId="4D535F92" w14:textId="77777777" w:rsidR="00AC6695" w:rsidRPr="00A871FB" w:rsidRDefault="00AC6695" w:rsidP="002E47AB">
            <w:pPr>
              <w:rPr>
                <w:i/>
              </w:rPr>
            </w:pPr>
            <w:r w:rsidRPr="00A871FB">
              <w:rPr>
                <w:i/>
              </w:rPr>
              <w:t>Nav</w:t>
            </w:r>
            <w:r w:rsidR="009B19DA" w:rsidRPr="00A871FB">
              <w:rPr>
                <w:i/>
              </w:rPr>
              <w:t>.</w:t>
            </w:r>
          </w:p>
        </w:tc>
      </w:tr>
    </w:tbl>
    <w:p w14:paraId="454A53B4" w14:textId="1EC265D3" w:rsidR="00BD5588" w:rsidRDefault="00BD5588" w:rsidP="00DE0F72">
      <w:pPr>
        <w:pStyle w:val="Title"/>
        <w:spacing w:before="130" w:line="260" w:lineRule="exact"/>
        <w:jc w:val="both"/>
        <w:rPr>
          <w:sz w:val="24"/>
          <w:szCs w:val="24"/>
        </w:rPr>
      </w:pPr>
    </w:p>
    <w:p w14:paraId="480A79B4" w14:textId="77777777" w:rsidR="007471BE" w:rsidRPr="00A871FB" w:rsidRDefault="007471BE" w:rsidP="00DE0F72">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A871FB" w14:paraId="03981301" w14:textId="77777777" w:rsidTr="009E0502">
        <w:trPr>
          <w:cantSplit/>
        </w:trPr>
        <w:tc>
          <w:tcPr>
            <w:tcW w:w="5000" w:type="pct"/>
            <w:gridSpan w:val="3"/>
            <w:vAlign w:val="center"/>
            <w:hideMark/>
          </w:tcPr>
          <w:p w14:paraId="17110922" w14:textId="77D443F4" w:rsidR="00BD5588" w:rsidRPr="00A871FB" w:rsidRDefault="00BD5588" w:rsidP="009E0502">
            <w:pPr>
              <w:jc w:val="center"/>
              <w:rPr>
                <w:b/>
                <w:bCs/>
              </w:rPr>
            </w:pPr>
            <w:r w:rsidRPr="00A871FB">
              <w:br w:type="page"/>
            </w:r>
            <w:r w:rsidRPr="00A871FB">
              <w:rPr>
                <w:b/>
                <w:bCs/>
              </w:rPr>
              <w:t>VII. Tiesību akta projekta izpildes nodrošināšana un tās ietekme uz institūcijām</w:t>
            </w:r>
          </w:p>
        </w:tc>
      </w:tr>
      <w:tr w:rsidR="0029553A" w:rsidRPr="00A871FB" w14:paraId="7EA3404D" w14:textId="77777777" w:rsidTr="0029553A">
        <w:trPr>
          <w:cantSplit/>
        </w:trPr>
        <w:tc>
          <w:tcPr>
            <w:tcW w:w="311" w:type="pct"/>
            <w:hideMark/>
          </w:tcPr>
          <w:p w14:paraId="7C1DC2EF" w14:textId="77777777" w:rsidR="0029553A" w:rsidRPr="00A871FB" w:rsidRDefault="0029553A" w:rsidP="0029553A">
            <w:pPr>
              <w:jc w:val="center"/>
            </w:pPr>
            <w:r w:rsidRPr="00A871FB">
              <w:t>1.</w:t>
            </w:r>
          </w:p>
        </w:tc>
        <w:tc>
          <w:tcPr>
            <w:tcW w:w="1479" w:type="pct"/>
            <w:hideMark/>
          </w:tcPr>
          <w:p w14:paraId="1CCC4629" w14:textId="77777777" w:rsidR="0029553A" w:rsidRPr="00A871FB" w:rsidRDefault="0029553A" w:rsidP="0029553A">
            <w:r w:rsidRPr="00A871FB">
              <w:t>Projekta izpildē iesaistītās institūcijas</w:t>
            </w:r>
          </w:p>
        </w:tc>
        <w:tc>
          <w:tcPr>
            <w:tcW w:w="3210" w:type="pct"/>
          </w:tcPr>
          <w:p w14:paraId="396F51D6" w14:textId="2BC51F64" w:rsidR="0029553A" w:rsidRPr="00A871FB" w:rsidRDefault="00362A7B" w:rsidP="0029553A">
            <w:r w:rsidRPr="00362A7B">
              <w:rPr>
                <w:rFonts w:eastAsia="Calibri"/>
                <w:szCs w:val="22"/>
                <w:lang w:eastAsia="en-US"/>
              </w:rPr>
              <w:t>Valsts robežsardze.</w:t>
            </w:r>
          </w:p>
        </w:tc>
      </w:tr>
      <w:tr w:rsidR="0029553A" w:rsidRPr="00A871FB" w14:paraId="0A6FD393" w14:textId="77777777" w:rsidTr="0029553A">
        <w:trPr>
          <w:cantSplit/>
        </w:trPr>
        <w:tc>
          <w:tcPr>
            <w:tcW w:w="311" w:type="pct"/>
            <w:hideMark/>
          </w:tcPr>
          <w:p w14:paraId="57E6C7B4" w14:textId="77777777" w:rsidR="0029553A" w:rsidRPr="00A871FB" w:rsidRDefault="0029553A" w:rsidP="0029553A">
            <w:pPr>
              <w:jc w:val="center"/>
            </w:pPr>
            <w:r w:rsidRPr="00A871FB">
              <w:lastRenderedPageBreak/>
              <w:t>2.</w:t>
            </w:r>
          </w:p>
        </w:tc>
        <w:tc>
          <w:tcPr>
            <w:tcW w:w="1479" w:type="pct"/>
            <w:hideMark/>
          </w:tcPr>
          <w:p w14:paraId="4B881670" w14:textId="77777777" w:rsidR="0029553A" w:rsidRPr="00A871FB" w:rsidRDefault="0029553A" w:rsidP="0029553A">
            <w:r w:rsidRPr="00A871FB">
              <w:t>Projekta izpildes ietekme uz pārvaldes funkcijām un institucionālo struktūru.</w:t>
            </w:r>
            <w:r w:rsidRPr="00A871FB">
              <w:br/>
              <w:t>Jaunu institūciju izveide, esošu institūciju likvidācija vai reorganizācija, to ietekme uz institūcijas cilvēkresursiem</w:t>
            </w:r>
          </w:p>
        </w:tc>
        <w:tc>
          <w:tcPr>
            <w:tcW w:w="3210" w:type="pct"/>
          </w:tcPr>
          <w:p w14:paraId="16F9F4AE" w14:textId="77777777" w:rsidR="00D320CB" w:rsidRPr="00D320CB" w:rsidRDefault="00D320CB" w:rsidP="00D320CB">
            <w:pPr>
              <w:snapToGrid w:val="0"/>
              <w:jc w:val="both"/>
              <w:rPr>
                <w:rFonts w:eastAsia="Calibri"/>
                <w:lang w:eastAsia="en-US"/>
              </w:rPr>
            </w:pPr>
            <w:r w:rsidRPr="00D320CB">
              <w:rPr>
                <w:rFonts w:eastAsia="Calibri"/>
                <w:lang w:eastAsia="en-US"/>
              </w:rPr>
              <w:t>Projekts nesašaurina un nepaplašina Valsts robežsardzes funkcijas un uzdevumus, kā arī neietekmē pieejamos cilvēkresursus.</w:t>
            </w:r>
          </w:p>
          <w:p w14:paraId="3ED19C8E" w14:textId="0E2C7448" w:rsidR="0029553A" w:rsidRPr="00A871FB" w:rsidRDefault="00D320CB" w:rsidP="00D320CB">
            <w:pPr>
              <w:jc w:val="both"/>
            </w:pPr>
            <w:r w:rsidRPr="00D320CB">
              <w:rPr>
                <w:rFonts w:eastAsia="Calibri"/>
              </w:rPr>
              <w:t>Projekta īstenošana tiks veikta esošo cilvēkresursu ietvaros. Saistībā ar projekta izpildi nebūs nepieciešams veidot jaunas institūcijas vai likvidēt vai reorganizēt esošās.</w:t>
            </w:r>
          </w:p>
        </w:tc>
      </w:tr>
      <w:tr w:rsidR="0029553A" w:rsidRPr="00A871FB" w14:paraId="5CE9BBD0" w14:textId="77777777" w:rsidTr="0029553A">
        <w:trPr>
          <w:cantSplit/>
        </w:trPr>
        <w:tc>
          <w:tcPr>
            <w:tcW w:w="311" w:type="pct"/>
            <w:hideMark/>
          </w:tcPr>
          <w:p w14:paraId="7F1455A9" w14:textId="77777777" w:rsidR="0029553A" w:rsidRPr="00A871FB" w:rsidRDefault="0029553A" w:rsidP="0029553A">
            <w:pPr>
              <w:jc w:val="center"/>
            </w:pPr>
            <w:r w:rsidRPr="00A871FB">
              <w:t>3.</w:t>
            </w:r>
          </w:p>
        </w:tc>
        <w:tc>
          <w:tcPr>
            <w:tcW w:w="1479" w:type="pct"/>
            <w:hideMark/>
          </w:tcPr>
          <w:p w14:paraId="4A273B7D" w14:textId="77777777" w:rsidR="0029553A" w:rsidRPr="00A871FB" w:rsidRDefault="0029553A" w:rsidP="0029553A">
            <w:r w:rsidRPr="00A871FB">
              <w:t>Cita informācija</w:t>
            </w:r>
          </w:p>
        </w:tc>
        <w:tc>
          <w:tcPr>
            <w:tcW w:w="3210" w:type="pct"/>
          </w:tcPr>
          <w:p w14:paraId="5E22176E" w14:textId="77777777" w:rsidR="0029553A" w:rsidRPr="00A871FB" w:rsidRDefault="0029553A" w:rsidP="0029553A">
            <w:pPr>
              <w:rPr>
                <w:i/>
              </w:rPr>
            </w:pPr>
            <w:r w:rsidRPr="00A871FB">
              <w:rPr>
                <w:i/>
              </w:rPr>
              <w:t>Nav</w:t>
            </w:r>
            <w:r w:rsidR="009B19DA" w:rsidRPr="00A871FB">
              <w:rPr>
                <w:i/>
              </w:rPr>
              <w:t>.</w:t>
            </w:r>
          </w:p>
        </w:tc>
      </w:tr>
    </w:tbl>
    <w:p w14:paraId="0DD70723" w14:textId="77777777" w:rsidR="00E44472" w:rsidRPr="00A871FB" w:rsidRDefault="00E44472"/>
    <w:p w14:paraId="0D3984C3" w14:textId="77777777" w:rsidR="00AC6695" w:rsidRPr="00A871FB" w:rsidRDefault="00AC6695" w:rsidP="00AC6695">
      <w:pPr>
        <w:tabs>
          <w:tab w:val="right" w:pos="9074"/>
        </w:tabs>
        <w:ind w:left="-709"/>
      </w:pPr>
      <w:r w:rsidRPr="00A871FB">
        <w:t xml:space="preserve">    </w:t>
      </w:r>
    </w:p>
    <w:p w14:paraId="0030D1BA" w14:textId="77777777" w:rsidR="003915BC" w:rsidRDefault="003915BC" w:rsidP="003915BC">
      <w:pPr>
        <w:tabs>
          <w:tab w:val="left" w:pos="6237"/>
        </w:tabs>
        <w:jc w:val="both"/>
        <w:rPr>
          <w:sz w:val="28"/>
          <w:szCs w:val="28"/>
          <w:lang w:val="de-DE"/>
        </w:rPr>
      </w:pPr>
    </w:p>
    <w:p w14:paraId="6BEA72C8" w14:textId="6AB496DF" w:rsidR="003915BC" w:rsidRPr="00F808B3" w:rsidRDefault="003915BC" w:rsidP="003915BC">
      <w:pPr>
        <w:tabs>
          <w:tab w:val="left" w:pos="6237"/>
        </w:tabs>
        <w:jc w:val="both"/>
        <w:rPr>
          <w:sz w:val="28"/>
          <w:szCs w:val="28"/>
        </w:rPr>
      </w:pPr>
      <w:proofErr w:type="spellStart"/>
      <w:r w:rsidRPr="00F808B3">
        <w:rPr>
          <w:sz w:val="28"/>
          <w:szCs w:val="28"/>
        </w:rPr>
        <w:t>Iekšlietu</w:t>
      </w:r>
      <w:proofErr w:type="spellEnd"/>
      <w:r w:rsidRPr="00F808B3">
        <w:rPr>
          <w:sz w:val="28"/>
          <w:szCs w:val="28"/>
        </w:rPr>
        <w:t xml:space="preserve"> ministrs                                        </w:t>
      </w:r>
      <w:r>
        <w:rPr>
          <w:sz w:val="28"/>
          <w:szCs w:val="28"/>
        </w:rPr>
        <w:t xml:space="preserve">                        </w:t>
      </w:r>
      <w:proofErr w:type="spellStart"/>
      <w:r w:rsidR="00FB7601">
        <w:rPr>
          <w:sz w:val="28"/>
          <w:szCs w:val="28"/>
        </w:rPr>
        <w:t>S.</w:t>
      </w:r>
      <w:r w:rsidR="00441010" w:rsidRPr="00441010">
        <w:rPr>
          <w:sz w:val="28"/>
          <w:szCs w:val="28"/>
        </w:rPr>
        <w:t>Ģirģens</w:t>
      </w:r>
      <w:proofErr w:type="spellEnd"/>
    </w:p>
    <w:p w14:paraId="1C4254ED" w14:textId="77777777" w:rsidR="003915BC" w:rsidRPr="00F808B3" w:rsidRDefault="003915BC" w:rsidP="003915BC">
      <w:pPr>
        <w:jc w:val="both"/>
        <w:rPr>
          <w:sz w:val="28"/>
          <w:szCs w:val="28"/>
        </w:rPr>
      </w:pPr>
    </w:p>
    <w:p w14:paraId="37C0CA1C" w14:textId="77777777" w:rsidR="003915BC" w:rsidRPr="00F808B3" w:rsidRDefault="003915BC" w:rsidP="003915BC">
      <w:pPr>
        <w:jc w:val="both"/>
        <w:rPr>
          <w:sz w:val="28"/>
          <w:szCs w:val="28"/>
        </w:rPr>
      </w:pPr>
    </w:p>
    <w:p w14:paraId="7A166EFB" w14:textId="01C714C5" w:rsidR="003915BC" w:rsidRPr="00AE12E8" w:rsidRDefault="003915BC" w:rsidP="003915BC">
      <w:pPr>
        <w:tabs>
          <w:tab w:val="left" w:pos="6237"/>
        </w:tabs>
        <w:jc w:val="both"/>
        <w:rPr>
          <w:sz w:val="28"/>
          <w:szCs w:val="28"/>
        </w:rPr>
      </w:pPr>
      <w:proofErr w:type="spellStart"/>
      <w:r w:rsidRPr="00AE12E8">
        <w:rPr>
          <w:sz w:val="28"/>
          <w:szCs w:val="28"/>
        </w:rPr>
        <w:t>Iekšlietu</w:t>
      </w:r>
      <w:proofErr w:type="spellEnd"/>
      <w:r w:rsidRPr="00AE12E8">
        <w:rPr>
          <w:sz w:val="28"/>
          <w:szCs w:val="28"/>
        </w:rPr>
        <w:t xml:space="preserve"> ministrijas valsts sekretārs                                 </w:t>
      </w:r>
      <w:r w:rsidR="00397157">
        <w:rPr>
          <w:sz w:val="28"/>
          <w:szCs w:val="28"/>
        </w:rPr>
        <w:t xml:space="preserve"> </w:t>
      </w:r>
      <w:proofErr w:type="spellStart"/>
      <w:r w:rsidR="00397157">
        <w:rPr>
          <w:sz w:val="28"/>
          <w:szCs w:val="28"/>
        </w:rPr>
        <w:t>D.</w:t>
      </w:r>
      <w:r w:rsidRPr="00AE12E8">
        <w:rPr>
          <w:sz w:val="28"/>
          <w:szCs w:val="28"/>
        </w:rPr>
        <w:t>Trofimovs</w:t>
      </w:r>
      <w:proofErr w:type="spellEnd"/>
    </w:p>
    <w:p w14:paraId="49AC9915" w14:textId="77777777" w:rsidR="003915BC" w:rsidRPr="00AE12E8" w:rsidRDefault="003915BC" w:rsidP="003915BC">
      <w:pPr>
        <w:tabs>
          <w:tab w:val="left" w:pos="6237"/>
        </w:tabs>
        <w:jc w:val="both"/>
        <w:rPr>
          <w:sz w:val="28"/>
          <w:szCs w:val="28"/>
        </w:rPr>
      </w:pPr>
    </w:p>
    <w:p w14:paraId="7D7984E1" w14:textId="77777777" w:rsidR="003915BC" w:rsidRPr="00F808B3" w:rsidRDefault="003915BC" w:rsidP="003915BC">
      <w:pPr>
        <w:tabs>
          <w:tab w:val="left" w:pos="6237"/>
        </w:tabs>
        <w:jc w:val="both"/>
        <w:rPr>
          <w:sz w:val="28"/>
          <w:szCs w:val="28"/>
        </w:rPr>
      </w:pPr>
    </w:p>
    <w:p w14:paraId="3E23B53D" w14:textId="77777777" w:rsidR="003915BC" w:rsidRDefault="003915BC" w:rsidP="003915BC">
      <w:pPr>
        <w:jc w:val="both"/>
        <w:rPr>
          <w:sz w:val="20"/>
          <w:szCs w:val="20"/>
        </w:rPr>
      </w:pPr>
    </w:p>
    <w:p w14:paraId="7AECB94D" w14:textId="77777777" w:rsidR="003915BC" w:rsidRDefault="003915BC" w:rsidP="003915BC">
      <w:pPr>
        <w:jc w:val="both"/>
        <w:rPr>
          <w:sz w:val="20"/>
          <w:szCs w:val="20"/>
        </w:rPr>
      </w:pPr>
    </w:p>
    <w:p w14:paraId="668DBE80" w14:textId="77777777" w:rsidR="003915BC" w:rsidRDefault="003915BC" w:rsidP="003915BC">
      <w:pPr>
        <w:jc w:val="both"/>
        <w:rPr>
          <w:sz w:val="20"/>
          <w:szCs w:val="20"/>
        </w:rPr>
      </w:pPr>
    </w:p>
    <w:p w14:paraId="66D21455" w14:textId="77777777" w:rsidR="003915BC" w:rsidRDefault="003915BC" w:rsidP="003915BC">
      <w:pPr>
        <w:jc w:val="both"/>
        <w:rPr>
          <w:sz w:val="20"/>
          <w:szCs w:val="20"/>
        </w:rPr>
      </w:pPr>
    </w:p>
    <w:p w14:paraId="2462E6EF" w14:textId="77777777" w:rsidR="003915BC" w:rsidRDefault="003915BC" w:rsidP="003915BC">
      <w:pPr>
        <w:jc w:val="both"/>
        <w:rPr>
          <w:sz w:val="20"/>
          <w:szCs w:val="20"/>
        </w:rPr>
      </w:pPr>
    </w:p>
    <w:p w14:paraId="01422171" w14:textId="77777777" w:rsidR="003915BC" w:rsidRDefault="003915BC" w:rsidP="003915BC">
      <w:pPr>
        <w:jc w:val="both"/>
        <w:rPr>
          <w:sz w:val="20"/>
          <w:szCs w:val="20"/>
        </w:rPr>
      </w:pPr>
    </w:p>
    <w:p w14:paraId="61098B85" w14:textId="77777777" w:rsidR="003915BC" w:rsidRDefault="003915BC" w:rsidP="003915BC">
      <w:pPr>
        <w:jc w:val="both"/>
        <w:rPr>
          <w:sz w:val="20"/>
          <w:szCs w:val="20"/>
        </w:rPr>
      </w:pPr>
    </w:p>
    <w:p w14:paraId="463A523F" w14:textId="77777777" w:rsidR="003915BC" w:rsidRDefault="003915BC" w:rsidP="003915BC">
      <w:pPr>
        <w:jc w:val="both"/>
        <w:rPr>
          <w:sz w:val="20"/>
          <w:szCs w:val="20"/>
        </w:rPr>
      </w:pPr>
    </w:p>
    <w:p w14:paraId="39FCE1C9" w14:textId="77777777" w:rsidR="003915BC" w:rsidRDefault="003915BC" w:rsidP="003915BC">
      <w:pPr>
        <w:jc w:val="both"/>
        <w:rPr>
          <w:sz w:val="20"/>
          <w:szCs w:val="20"/>
        </w:rPr>
      </w:pPr>
    </w:p>
    <w:p w14:paraId="356EB0D7" w14:textId="77777777" w:rsidR="003915BC" w:rsidRDefault="003915BC" w:rsidP="003915BC">
      <w:pPr>
        <w:jc w:val="both"/>
        <w:rPr>
          <w:sz w:val="20"/>
          <w:szCs w:val="20"/>
        </w:rPr>
      </w:pPr>
    </w:p>
    <w:p w14:paraId="7282F341" w14:textId="77777777" w:rsidR="003915BC" w:rsidRDefault="003915BC" w:rsidP="003915BC">
      <w:pPr>
        <w:jc w:val="both"/>
        <w:rPr>
          <w:sz w:val="20"/>
          <w:szCs w:val="20"/>
        </w:rPr>
      </w:pPr>
    </w:p>
    <w:p w14:paraId="24BB0BF0" w14:textId="77777777" w:rsidR="003915BC" w:rsidRDefault="003915BC" w:rsidP="003915BC">
      <w:pPr>
        <w:jc w:val="both"/>
        <w:rPr>
          <w:sz w:val="20"/>
          <w:szCs w:val="20"/>
        </w:rPr>
      </w:pPr>
    </w:p>
    <w:p w14:paraId="36C5AB76" w14:textId="77777777" w:rsidR="003915BC" w:rsidRDefault="003915BC" w:rsidP="003915BC">
      <w:pPr>
        <w:jc w:val="both"/>
        <w:rPr>
          <w:sz w:val="20"/>
          <w:szCs w:val="20"/>
        </w:rPr>
      </w:pPr>
    </w:p>
    <w:p w14:paraId="584FAD53" w14:textId="77777777" w:rsidR="003915BC" w:rsidRDefault="003915BC" w:rsidP="003915BC">
      <w:pPr>
        <w:jc w:val="both"/>
        <w:rPr>
          <w:sz w:val="20"/>
          <w:szCs w:val="20"/>
        </w:rPr>
      </w:pPr>
    </w:p>
    <w:p w14:paraId="03B932BB" w14:textId="77777777" w:rsidR="003915BC" w:rsidRDefault="003915BC" w:rsidP="003915BC">
      <w:pPr>
        <w:jc w:val="both"/>
        <w:rPr>
          <w:sz w:val="20"/>
          <w:szCs w:val="20"/>
        </w:rPr>
      </w:pPr>
    </w:p>
    <w:p w14:paraId="72DBE0C9" w14:textId="77777777" w:rsidR="003915BC" w:rsidRDefault="003915BC" w:rsidP="003915BC">
      <w:pPr>
        <w:jc w:val="both"/>
        <w:rPr>
          <w:sz w:val="20"/>
          <w:szCs w:val="20"/>
        </w:rPr>
      </w:pPr>
    </w:p>
    <w:p w14:paraId="784B6957" w14:textId="77777777" w:rsidR="003915BC" w:rsidRDefault="003915BC" w:rsidP="003915BC">
      <w:pPr>
        <w:jc w:val="both"/>
        <w:rPr>
          <w:sz w:val="20"/>
          <w:szCs w:val="20"/>
        </w:rPr>
      </w:pPr>
    </w:p>
    <w:p w14:paraId="00152539" w14:textId="77777777" w:rsidR="003915BC" w:rsidRDefault="003915BC" w:rsidP="003915BC">
      <w:pPr>
        <w:jc w:val="both"/>
        <w:rPr>
          <w:sz w:val="20"/>
          <w:szCs w:val="20"/>
        </w:rPr>
      </w:pPr>
    </w:p>
    <w:p w14:paraId="46419D80" w14:textId="77777777" w:rsidR="003915BC" w:rsidRDefault="003915BC" w:rsidP="003915BC">
      <w:pPr>
        <w:jc w:val="both"/>
        <w:rPr>
          <w:sz w:val="20"/>
          <w:szCs w:val="20"/>
        </w:rPr>
      </w:pPr>
    </w:p>
    <w:p w14:paraId="4EF0CBA7" w14:textId="77777777" w:rsidR="00D24172" w:rsidRDefault="00DB3A4A" w:rsidP="003915BC">
      <w:pPr>
        <w:jc w:val="both"/>
        <w:rPr>
          <w:sz w:val="20"/>
          <w:szCs w:val="20"/>
        </w:rPr>
      </w:pPr>
      <w:r>
        <w:rPr>
          <w:sz w:val="20"/>
          <w:szCs w:val="20"/>
        </w:rPr>
        <w:t>Kozlovska, 67913457</w:t>
      </w:r>
    </w:p>
    <w:p w14:paraId="73E43B37" w14:textId="4F2A97B7" w:rsidR="003915BC" w:rsidRPr="007428BC" w:rsidRDefault="00D24172" w:rsidP="003915BC">
      <w:pPr>
        <w:jc w:val="both"/>
        <w:rPr>
          <w:sz w:val="20"/>
          <w:szCs w:val="20"/>
        </w:rPr>
      </w:pPr>
      <w:r>
        <w:rPr>
          <w:sz w:val="20"/>
          <w:szCs w:val="20"/>
        </w:rPr>
        <w:t>i</w:t>
      </w:r>
      <w:r w:rsidR="00DB3A4A">
        <w:rPr>
          <w:sz w:val="20"/>
          <w:szCs w:val="20"/>
        </w:rPr>
        <w:t>lze.kozlovska@rs</w:t>
      </w:r>
      <w:r w:rsidR="003915BC">
        <w:rPr>
          <w:sz w:val="20"/>
          <w:szCs w:val="20"/>
        </w:rPr>
        <w:t>.gov.lv</w:t>
      </w:r>
    </w:p>
    <w:p w14:paraId="72A6E568" w14:textId="77777777" w:rsidR="000B0D3B" w:rsidRPr="00A871FB" w:rsidRDefault="000B0D3B" w:rsidP="00AC6695">
      <w:pPr>
        <w:tabs>
          <w:tab w:val="right" w:pos="9074"/>
        </w:tabs>
        <w:ind w:left="-709"/>
      </w:pPr>
    </w:p>
    <w:p w14:paraId="07BBCC4F" w14:textId="77777777" w:rsidR="000B0D3B" w:rsidRPr="00A871FB" w:rsidRDefault="000B0D3B" w:rsidP="00AC6695">
      <w:pPr>
        <w:tabs>
          <w:tab w:val="right" w:pos="9074"/>
        </w:tabs>
        <w:ind w:left="-709"/>
      </w:pPr>
    </w:p>
    <w:sectPr w:rsidR="000B0D3B" w:rsidRPr="00A871FB" w:rsidSect="00D320CB">
      <w:footerReference w:type="default" r:id="rId8"/>
      <w:pgSz w:w="11906" w:h="16838"/>
      <w:pgMar w:top="851" w:right="1800" w:bottom="993" w:left="1800" w:header="708" w:footer="6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F952" w14:textId="77777777" w:rsidR="00401A17" w:rsidRDefault="00401A17" w:rsidP="003A10F7">
      <w:r>
        <w:separator/>
      </w:r>
    </w:p>
  </w:endnote>
  <w:endnote w:type="continuationSeparator" w:id="0">
    <w:p w14:paraId="03639F3F" w14:textId="77777777" w:rsidR="00401A17" w:rsidRDefault="00401A17"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419271"/>
      <w:docPartObj>
        <w:docPartGallery w:val="Page Numbers (Bottom of Page)"/>
        <w:docPartUnique/>
      </w:docPartObj>
    </w:sdtPr>
    <w:sdtEndPr>
      <w:rPr>
        <w:rFonts w:ascii="Cambria" w:hAnsi="Cambria"/>
        <w:noProof/>
        <w:sz w:val="19"/>
        <w:szCs w:val="19"/>
      </w:rPr>
    </w:sdtEndPr>
    <w:sdtContent>
      <w:p w14:paraId="55B94904" w14:textId="77777777" w:rsidR="00500E03" w:rsidRDefault="00500E03">
        <w:pPr>
          <w:pStyle w:val="Footer"/>
          <w:jc w:val="right"/>
        </w:pPr>
      </w:p>
      <w:p w14:paraId="62F3DA96" w14:textId="6E0DE3C9" w:rsidR="00500E03" w:rsidRPr="00A24354" w:rsidRDefault="00500E03">
        <w:pPr>
          <w:pStyle w:val="Footer"/>
          <w:jc w:val="right"/>
          <w:rPr>
            <w:rFonts w:ascii="Cambria" w:hAnsi="Cambria"/>
            <w:sz w:val="19"/>
            <w:szCs w:val="19"/>
          </w:rPr>
        </w:pPr>
        <w:r w:rsidRPr="00A24354">
          <w:rPr>
            <w:rFonts w:ascii="Cambria" w:hAnsi="Cambria"/>
            <w:sz w:val="19"/>
            <w:szCs w:val="19"/>
          </w:rPr>
          <w:fldChar w:fldCharType="begin"/>
        </w:r>
        <w:r w:rsidRPr="00A24354">
          <w:rPr>
            <w:rFonts w:ascii="Cambria" w:hAnsi="Cambria"/>
            <w:sz w:val="19"/>
            <w:szCs w:val="19"/>
          </w:rPr>
          <w:instrText xml:space="preserve"> PAGE   \* MERGEFORMAT </w:instrText>
        </w:r>
        <w:r w:rsidRPr="00A24354">
          <w:rPr>
            <w:rFonts w:ascii="Cambria" w:hAnsi="Cambria"/>
            <w:sz w:val="19"/>
            <w:szCs w:val="19"/>
          </w:rPr>
          <w:fldChar w:fldCharType="separate"/>
        </w:r>
        <w:r w:rsidR="0047071F">
          <w:rPr>
            <w:rFonts w:ascii="Cambria" w:hAnsi="Cambria"/>
            <w:noProof/>
            <w:sz w:val="19"/>
            <w:szCs w:val="19"/>
          </w:rPr>
          <w:t>2</w:t>
        </w:r>
        <w:r w:rsidRPr="00A24354">
          <w:rPr>
            <w:rFonts w:ascii="Cambria" w:hAnsi="Cambria"/>
            <w:noProof/>
            <w:sz w:val="19"/>
            <w:szCs w:val="19"/>
          </w:rPr>
          <w:fldChar w:fldCharType="end"/>
        </w:r>
      </w:p>
    </w:sdtContent>
  </w:sdt>
  <w:p w14:paraId="0DB6FB1C" w14:textId="075F18A4" w:rsidR="003A10F7" w:rsidRDefault="00B74734">
    <w:pPr>
      <w:pStyle w:val="Footer"/>
    </w:pPr>
    <w:r w:rsidRPr="00A52A91">
      <w:rPr>
        <w:sz w:val="20"/>
        <w:szCs w:val="20"/>
      </w:rPr>
      <w:t>IEMAnot_</w:t>
    </w:r>
    <w:r w:rsidR="0047071F">
      <w:rPr>
        <w:sz w:val="20"/>
        <w:szCs w:val="20"/>
      </w:rPr>
      <w:t>0</w:t>
    </w:r>
    <w:r w:rsidR="00441010">
      <w:rPr>
        <w:sz w:val="20"/>
        <w:szCs w:val="20"/>
      </w:rPr>
      <w:t>3</w:t>
    </w:r>
    <w:r w:rsidRPr="00A52A91">
      <w:rPr>
        <w:sz w:val="20"/>
        <w:szCs w:val="20"/>
      </w:rPr>
      <w:t>0</w:t>
    </w:r>
    <w:r w:rsidR="0047071F">
      <w:rPr>
        <w:sz w:val="20"/>
        <w:szCs w:val="20"/>
      </w:rPr>
      <w:t>4</w:t>
    </w:r>
    <w:r w:rsidR="009464D3">
      <w:rPr>
        <w:sz w:val="20"/>
        <w:szCs w:val="20"/>
      </w:rPr>
      <w:t>19_groz_MK704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1BEC" w14:textId="77777777" w:rsidR="00401A17" w:rsidRDefault="00401A17" w:rsidP="003A10F7">
      <w:r>
        <w:separator/>
      </w:r>
    </w:p>
  </w:footnote>
  <w:footnote w:type="continuationSeparator" w:id="0">
    <w:p w14:paraId="46E6EE30" w14:textId="77777777" w:rsidR="00401A17" w:rsidRDefault="00401A17" w:rsidP="003A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084"/>
    <w:multiLevelType w:val="hybridMultilevel"/>
    <w:tmpl w:val="6A0A5CC2"/>
    <w:lvl w:ilvl="0" w:tplc="37C872EC">
      <w:start w:val="201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770688"/>
    <w:multiLevelType w:val="multilevel"/>
    <w:tmpl w:val="AF7EF9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9300A7"/>
    <w:multiLevelType w:val="hybridMultilevel"/>
    <w:tmpl w:val="4DFC5504"/>
    <w:lvl w:ilvl="0" w:tplc="EEF255D6">
      <w:start w:val="1"/>
      <w:numFmt w:val="decimal"/>
      <w:lvlText w:val="%1."/>
      <w:lvlJc w:val="left"/>
      <w:pPr>
        <w:ind w:left="419" w:hanging="360"/>
      </w:pPr>
      <w:rPr>
        <w:rFonts w:hint="default"/>
        <w:b w:val="0"/>
        <w:i w:val="0"/>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4DDD"/>
    <w:rsid w:val="00064184"/>
    <w:rsid w:val="00070F7E"/>
    <w:rsid w:val="00096E53"/>
    <w:rsid w:val="000B0D3B"/>
    <w:rsid w:val="000B556A"/>
    <w:rsid w:val="000C5E89"/>
    <w:rsid w:val="000F7C3F"/>
    <w:rsid w:val="001043F3"/>
    <w:rsid w:val="001047F7"/>
    <w:rsid w:val="00187387"/>
    <w:rsid w:val="001D4B69"/>
    <w:rsid w:val="00231647"/>
    <w:rsid w:val="0029553A"/>
    <w:rsid w:val="002A552D"/>
    <w:rsid w:val="00362A7B"/>
    <w:rsid w:val="0036797B"/>
    <w:rsid w:val="003915BC"/>
    <w:rsid w:val="00397157"/>
    <w:rsid w:val="003A10F7"/>
    <w:rsid w:val="00401A17"/>
    <w:rsid w:val="00441010"/>
    <w:rsid w:val="00443980"/>
    <w:rsid w:val="0047071F"/>
    <w:rsid w:val="004963A5"/>
    <w:rsid w:val="00497DAD"/>
    <w:rsid w:val="004C6598"/>
    <w:rsid w:val="00500E03"/>
    <w:rsid w:val="00522D01"/>
    <w:rsid w:val="00545E39"/>
    <w:rsid w:val="00577270"/>
    <w:rsid w:val="00591B9F"/>
    <w:rsid w:val="005C5C8B"/>
    <w:rsid w:val="00612E3C"/>
    <w:rsid w:val="00627BB7"/>
    <w:rsid w:val="006C141B"/>
    <w:rsid w:val="006E2A97"/>
    <w:rsid w:val="007471BE"/>
    <w:rsid w:val="00766595"/>
    <w:rsid w:val="00791E29"/>
    <w:rsid w:val="007A4EE6"/>
    <w:rsid w:val="007C08F8"/>
    <w:rsid w:val="007D318A"/>
    <w:rsid w:val="007E4261"/>
    <w:rsid w:val="007F2F6C"/>
    <w:rsid w:val="007F5A97"/>
    <w:rsid w:val="007F7CDF"/>
    <w:rsid w:val="008164C8"/>
    <w:rsid w:val="00857342"/>
    <w:rsid w:val="0087615B"/>
    <w:rsid w:val="008943C6"/>
    <w:rsid w:val="008C0FC1"/>
    <w:rsid w:val="008C4465"/>
    <w:rsid w:val="008D71B2"/>
    <w:rsid w:val="008F0A77"/>
    <w:rsid w:val="009464D3"/>
    <w:rsid w:val="009464EF"/>
    <w:rsid w:val="00950018"/>
    <w:rsid w:val="00973404"/>
    <w:rsid w:val="009848B2"/>
    <w:rsid w:val="009B19DA"/>
    <w:rsid w:val="009B5155"/>
    <w:rsid w:val="009C5E39"/>
    <w:rsid w:val="009C677A"/>
    <w:rsid w:val="009D3E0C"/>
    <w:rsid w:val="00A17A8D"/>
    <w:rsid w:val="00A24354"/>
    <w:rsid w:val="00A7317E"/>
    <w:rsid w:val="00A80EE1"/>
    <w:rsid w:val="00A871FB"/>
    <w:rsid w:val="00A92199"/>
    <w:rsid w:val="00AB28E9"/>
    <w:rsid w:val="00AC6695"/>
    <w:rsid w:val="00AD4D31"/>
    <w:rsid w:val="00AE0E1B"/>
    <w:rsid w:val="00AF7E4B"/>
    <w:rsid w:val="00B30B2E"/>
    <w:rsid w:val="00B347FB"/>
    <w:rsid w:val="00B74734"/>
    <w:rsid w:val="00B94112"/>
    <w:rsid w:val="00BA5100"/>
    <w:rsid w:val="00BC2F4C"/>
    <w:rsid w:val="00BC47CE"/>
    <w:rsid w:val="00BD5588"/>
    <w:rsid w:val="00BF27A1"/>
    <w:rsid w:val="00C05F18"/>
    <w:rsid w:val="00C06CA8"/>
    <w:rsid w:val="00C151E2"/>
    <w:rsid w:val="00C26163"/>
    <w:rsid w:val="00CD4D55"/>
    <w:rsid w:val="00CE020E"/>
    <w:rsid w:val="00CF6A1F"/>
    <w:rsid w:val="00D24172"/>
    <w:rsid w:val="00D320CB"/>
    <w:rsid w:val="00D433E2"/>
    <w:rsid w:val="00D85177"/>
    <w:rsid w:val="00D908B0"/>
    <w:rsid w:val="00D93A3F"/>
    <w:rsid w:val="00DB3A4A"/>
    <w:rsid w:val="00DD3914"/>
    <w:rsid w:val="00DE0F72"/>
    <w:rsid w:val="00E44472"/>
    <w:rsid w:val="00E96346"/>
    <w:rsid w:val="00EC7056"/>
    <w:rsid w:val="00ED505F"/>
    <w:rsid w:val="00F12203"/>
    <w:rsid w:val="00F1427C"/>
    <w:rsid w:val="00F21F9D"/>
    <w:rsid w:val="00F25010"/>
    <w:rsid w:val="00F76F1A"/>
    <w:rsid w:val="00F7723C"/>
    <w:rsid w:val="00F876ED"/>
    <w:rsid w:val="00FB7601"/>
    <w:rsid w:val="00FE4194"/>
    <w:rsid w:val="00FE65DC"/>
    <w:rsid w:val="00FF6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8F0378"/>
  <w15:docId w15:val="{448FA869-77CC-4547-90A2-BD17605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Header">
    <w:name w:val="header"/>
    <w:basedOn w:val="Normal"/>
    <w:link w:val="HeaderChar"/>
    <w:uiPriority w:val="99"/>
    <w:unhideWhenUsed/>
    <w:rsid w:val="003A10F7"/>
    <w:pPr>
      <w:tabs>
        <w:tab w:val="center" w:pos="4153"/>
        <w:tab w:val="right" w:pos="8306"/>
      </w:tabs>
    </w:pPr>
  </w:style>
  <w:style w:type="character" w:customStyle="1" w:styleId="HeaderChar">
    <w:name w:val="Header Char"/>
    <w:basedOn w:val="DefaultParagraphFont"/>
    <w:link w:val="Header"/>
    <w:uiPriority w:val="99"/>
    <w:rsid w:val="003A10F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10F7"/>
    <w:pPr>
      <w:tabs>
        <w:tab w:val="center" w:pos="4153"/>
        <w:tab w:val="right" w:pos="8306"/>
      </w:tabs>
    </w:pPr>
  </w:style>
  <w:style w:type="character" w:customStyle="1" w:styleId="FooterChar">
    <w:name w:val="Footer Char"/>
    <w:basedOn w:val="DefaultParagraphFont"/>
    <w:link w:val="Footer"/>
    <w:uiPriority w:val="99"/>
    <w:rsid w:val="003A10F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B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96E53"/>
    <w:rPr>
      <w:sz w:val="16"/>
      <w:szCs w:val="16"/>
    </w:rPr>
  </w:style>
  <w:style w:type="paragraph" w:styleId="CommentText">
    <w:name w:val="annotation text"/>
    <w:basedOn w:val="Normal"/>
    <w:link w:val="CommentTextChar"/>
    <w:uiPriority w:val="99"/>
    <w:semiHidden/>
    <w:unhideWhenUsed/>
    <w:rsid w:val="00096E53"/>
    <w:rPr>
      <w:sz w:val="20"/>
      <w:szCs w:val="20"/>
    </w:rPr>
  </w:style>
  <w:style w:type="character" w:customStyle="1" w:styleId="CommentTextChar">
    <w:name w:val="Comment Text Char"/>
    <w:basedOn w:val="DefaultParagraphFont"/>
    <w:link w:val="CommentText"/>
    <w:uiPriority w:val="99"/>
    <w:semiHidden/>
    <w:rsid w:val="00096E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6E53"/>
    <w:rPr>
      <w:b/>
      <w:bCs/>
    </w:rPr>
  </w:style>
  <w:style w:type="character" w:customStyle="1" w:styleId="CommentSubjectChar">
    <w:name w:val="Comment Subject Char"/>
    <w:basedOn w:val="CommentTextChar"/>
    <w:link w:val="CommentSubject"/>
    <w:uiPriority w:val="99"/>
    <w:semiHidden/>
    <w:rsid w:val="00096E5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F7C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8598-F634-4908-B614-7858DF27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4500</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not.projekts</dc:title>
  <dc:creator>&lt;Ilze.Kozlovska@rs.gov.lv&gt;</dc:creator>
  <cp:lastModifiedBy>Ilze Kozlovska</cp:lastModifiedBy>
  <cp:revision>67</cp:revision>
  <cp:lastPrinted>2018-08-23T07:34:00Z</cp:lastPrinted>
  <dcterms:created xsi:type="dcterms:W3CDTF">2019-03-18T14:43:00Z</dcterms:created>
  <dcterms:modified xsi:type="dcterms:W3CDTF">2019-04-03T06:46:00Z</dcterms:modified>
</cp:coreProperties>
</file>