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3B39" w14:textId="77777777" w:rsidR="00A171C7" w:rsidRPr="00122B5D" w:rsidRDefault="00BD794E" w:rsidP="00A171C7">
      <w:pPr>
        <w:tabs>
          <w:tab w:val="left" w:pos="6663"/>
        </w:tabs>
      </w:pPr>
      <w:bookmarkStart w:id="0" w:name="_GoBack"/>
      <w:bookmarkEnd w:id="0"/>
      <w:r w:rsidRPr="00122B5D">
        <w:t xml:space="preserve"> </w:t>
      </w:r>
    </w:p>
    <w:p w14:paraId="0354C158" w14:textId="77777777" w:rsidR="00A171C7" w:rsidRPr="00122B5D" w:rsidRDefault="001250C2" w:rsidP="00A171C7">
      <w:pPr>
        <w:tabs>
          <w:tab w:val="left" w:pos="6663"/>
        </w:tabs>
      </w:pPr>
      <w:r w:rsidRPr="00122B5D">
        <w:t>2019</w:t>
      </w:r>
      <w:r w:rsidR="00A171C7" w:rsidRPr="00122B5D">
        <w:t>.</w:t>
      </w:r>
      <w:r w:rsidR="0045287B" w:rsidRPr="00122B5D">
        <w:t> </w:t>
      </w:r>
      <w:r w:rsidR="00A171C7" w:rsidRPr="00122B5D">
        <w:t xml:space="preserve">gada            </w:t>
      </w:r>
      <w:r w:rsidR="00A171C7" w:rsidRPr="00122B5D">
        <w:tab/>
        <w:t>Noteikumi Nr.</w:t>
      </w:r>
    </w:p>
    <w:p w14:paraId="6589F2F5" w14:textId="77777777" w:rsidR="00A171C7" w:rsidRPr="00122B5D" w:rsidRDefault="00A171C7" w:rsidP="00A171C7">
      <w:pPr>
        <w:tabs>
          <w:tab w:val="left" w:pos="6663"/>
        </w:tabs>
      </w:pPr>
      <w:r w:rsidRPr="00122B5D">
        <w:t>Rīgā</w:t>
      </w:r>
      <w:r w:rsidRPr="00122B5D">
        <w:tab/>
        <w:t>(prot. Nr.               .§)</w:t>
      </w:r>
    </w:p>
    <w:p w14:paraId="783A7E5D" w14:textId="77777777" w:rsidR="00852042" w:rsidRPr="00122B5D" w:rsidRDefault="00852042" w:rsidP="002B5E82">
      <w:pPr>
        <w:pStyle w:val="naislab"/>
        <w:spacing w:before="0" w:after="0"/>
        <w:jc w:val="left"/>
      </w:pPr>
    </w:p>
    <w:p w14:paraId="770EB310" w14:textId="77777777" w:rsidR="008C5649" w:rsidRPr="00122B5D" w:rsidRDefault="00A171C7" w:rsidP="00F105FE">
      <w:pPr>
        <w:jc w:val="center"/>
        <w:rPr>
          <w:b/>
        </w:rPr>
      </w:pPr>
      <w:r w:rsidRPr="00122B5D">
        <w:rPr>
          <w:b/>
        </w:rPr>
        <w:t xml:space="preserve">Ministru kabineta noteikumu projekta </w:t>
      </w:r>
      <w:r w:rsidR="006F11AC" w:rsidRPr="00122B5D">
        <w:t>"</w:t>
      </w:r>
      <w:r w:rsidR="00381418" w:rsidRPr="00122B5D">
        <w:rPr>
          <w:b/>
          <w:bCs/>
        </w:rPr>
        <w:t xml:space="preserve">Grozījumi </w:t>
      </w:r>
      <w:r w:rsidR="00F105FE" w:rsidRPr="00122B5D">
        <w:rPr>
          <w:b/>
          <w:bCs/>
        </w:rPr>
        <w:t>Ministru kabineta 2016</w:t>
      </w:r>
      <w:r w:rsidR="00381418" w:rsidRPr="00122B5D">
        <w:rPr>
          <w:b/>
          <w:bCs/>
        </w:rPr>
        <w:t>.</w:t>
      </w:r>
      <w:r w:rsidR="0045287B" w:rsidRPr="00122B5D">
        <w:rPr>
          <w:b/>
          <w:bCs/>
        </w:rPr>
        <w:t> </w:t>
      </w:r>
      <w:r w:rsidR="00381418" w:rsidRPr="00122B5D">
        <w:rPr>
          <w:b/>
          <w:bCs/>
        </w:rPr>
        <w:t>gada 19.</w:t>
      </w:r>
      <w:r w:rsidR="0045287B" w:rsidRPr="00122B5D">
        <w:rPr>
          <w:b/>
          <w:bCs/>
        </w:rPr>
        <w:t> </w:t>
      </w:r>
      <w:r w:rsidR="00381418" w:rsidRPr="00122B5D">
        <w:rPr>
          <w:b/>
          <w:bCs/>
        </w:rPr>
        <w:t>janvāra noteikumos Nr.</w:t>
      </w:r>
      <w:r w:rsidR="0045287B" w:rsidRPr="00122B5D">
        <w:rPr>
          <w:b/>
          <w:bCs/>
        </w:rPr>
        <w:t> </w:t>
      </w:r>
      <w:r w:rsidR="00381418" w:rsidRPr="00122B5D">
        <w:rPr>
          <w:b/>
          <w:bCs/>
        </w:rPr>
        <w:t xml:space="preserve">50 </w:t>
      </w:r>
      <w:r w:rsidR="006F11AC" w:rsidRPr="00122B5D">
        <w:t>"</w:t>
      </w:r>
      <w:r w:rsidR="00381418" w:rsidRPr="00122B5D">
        <w:rPr>
          <w:b/>
          <w:bCs/>
        </w:rPr>
        <w:t>Darbības programmas "Iz</w:t>
      </w:r>
      <w:r w:rsidR="008351CF" w:rsidRPr="00122B5D">
        <w:rPr>
          <w:b/>
          <w:bCs/>
        </w:rPr>
        <w:t>augsme un nodarbinātība" 1.1.1. </w:t>
      </w:r>
      <w:r w:rsidR="00381418" w:rsidRPr="00122B5D">
        <w:rPr>
          <w:b/>
          <w:bCs/>
        </w:rPr>
        <w:t>specifiskā atbalsta mērķa "Palielināt Latvijas zinātnisko institūciju pētniecisko un inovatīvo kapacitāti un spēju piesaistīt ārējo finansējumu, ieguldot cilvēkresur</w:t>
      </w:r>
      <w:r w:rsidR="008351CF" w:rsidRPr="00122B5D">
        <w:rPr>
          <w:b/>
          <w:bCs/>
        </w:rPr>
        <w:t>sos un infrastruktūrā" 1.1.1.2. </w:t>
      </w:r>
      <w:r w:rsidR="00381418" w:rsidRPr="00122B5D">
        <w:rPr>
          <w:b/>
          <w:bCs/>
        </w:rPr>
        <w:t>pasākuma "Pēcdoktorantūras pētniecības atbalsts" īstenošanas noteikumi</w:t>
      </w:r>
      <w:r w:rsidR="00127711" w:rsidRPr="00122B5D">
        <w:t>"</w:t>
      </w:r>
      <w:r w:rsidR="006F11AC" w:rsidRPr="00122B5D">
        <w:t xml:space="preserve"> </w:t>
      </w:r>
      <w:r w:rsidR="00852042" w:rsidRPr="00122B5D">
        <w:rPr>
          <w:b/>
        </w:rPr>
        <w:t>sākotnējā</w:t>
      </w:r>
      <w:r w:rsidR="002D3306" w:rsidRPr="00122B5D">
        <w:rPr>
          <w:b/>
        </w:rPr>
        <w:t>s</w:t>
      </w:r>
      <w:r w:rsidR="00852042" w:rsidRPr="00122B5D">
        <w:rPr>
          <w:b/>
        </w:rPr>
        <w:t xml:space="preserve"> ietekmes novērtējuma ziņojums (anotācija)</w:t>
      </w:r>
    </w:p>
    <w:p w14:paraId="09F861A1" w14:textId="77777777" w:rsidR="00FC1683" w:rsidRPr="00122B5D" w:rsidRDefault="00FC1683" w:rsidP="00F105F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289"/>
      </w:tblGrid>
      <w:tr w:rsidR="0071230D" w:rsidRPr="00122B5D" w14:paraId="028E1982" w14:textId="77777777" w:rsidTr="00475136">
        <w:tc>
          <w:tcPr>
            <w:tcW w:w="9072" w:type="dxa"/>
            <w:gridSpan w:val="2"/>
            <w:shd w:val="clear" w:color="auto" w:fill="auto"/>
          </w:tcPr>
          <w:p w14:paraId="18C617DC" w14:textId="77777777" w:rsidR="0071230D" w:rsidRPr="00122B5D" w:rsidRDefault="0071230D" w:rsidP="00F04DA6">
            <w:pPr>
              <w:spacing w:before="100" w:beforeAutospacing="1" w:after="100" w:afterAutospacing="1" w:line="293" w:lineRule="atLeast"/>
              <w:jc w:val="center"/>
              <w:rPr>
                <w:b/>
              </w:rPr>
            </w:pPr>
            <w:r w:rsidRPr="00122B5D">
              <w:rPr>
                <w:b/>
                <w:bCs/>
              </w:rPr>
              <w:t>Tiesību akta projekta anotācijas kopsavilkums</w:t>
            </w:r>
          </w:p>
        </w:tc>
      </w:tr>
      <w:tr w:rsidR="00FC1683" w:rsidRPr="00122B5D" w14:paraId="0843915E" w14:textId="77777777" w:rsidTr="00475136">
        <w:tc>
          <w:tcPr>
            <w:tcW w:w="2694" w:type="dxa"/>
            <w:shd w:val="clear" w:color="auto" w:fill="auto"/>
          </w:tcPr>
          <w:p w14:paraId="207547C0" w14:textId="77777777" w:rsidR="00FC1683" w:rsidRPr="00122B5D" w:rsidRDefault="0071230D" w:rsidP="00F04DA6">
            <w:pPr>
              <w:jc w:val="both"/>
              <w:rPr>
                <w:b/>
              </w:rPr>
            </w:pPr>
            <w:r w:rsidRPr="00122B5D">
              <w:t>Mērķis, risinājums un projekta spēkā stāšanās laiks (500 zīmes bez atstarpēm)</w:t>
            </w:r>
          </w:p>
        </w:tc>
        <w:tc>
          <w:tcPr>
            <w:tcW w:w="6378" w:type="dxa"/>
            <w:shd w:val="clear" w:color="auto" w:fill="auto"/>
          </w:tcPr>
          <w:p w14:paraId="4E4E5B15" w14:textId="26637C93" w:rsidR="006F7C69" w:rsidRPr="00122B5D" w:rsidRDefault="00776389" w:rsidP="00776389">
            <w:pPr>
              <w:jc w:val="both"/>
            </w:pPr>
            <w:r w:rsidRPr="00122B5D">
              <w:t xml:space="preserve">Ministru kabineta noteikumu projekts (turpmāk – noteikumu projekts) </w:t>
            </w:r>
            <w:r w:rsidR="006F7C69" w:rsidRPr="00122B5D">
              <w:t>sagatavots ar mērķi pilnveidot darbības programmas</w:t>
            </w:r>
            <w:r w:rsidR="00341C4A" w:rsidRPr="00122B5D">
              <w:t>"</w:t>
            </w:r>
            <w:r w:rsidR="00341C4A" w:rsidRPr="00122B5D" w:rsidDel="00341C4A">
              <w:t xml:space="preserve"> </w:t>
            </w:r>
            <w:r w:rsidR="006F7C69" w:rsidRPr="00122B5D">
              <w:t>Izaugsme un nodarbinātība</w:t>
            </w:r>
            <w:r w:rsidR="00341C4A" w:rsidRPr="00122B5D">
              <w:t>"</w:t>
            </w:r>
            <w:r w:rsidR="00554D5C" w:rsidRPr="00122B5D">
              <w:t xml:space="preserve"> 1.1.1. specifiskā atbalsta mērķa </w:t>
            </w:r>
            <w:r w:rsidR="006F7C69" w:rsidRPr="00122B5D">
              <w:t xml:space="preserve">1.1.1.2. pasākuma </w:t>
            </w:r>
            <w:r w:rsidR="00341C4A" w:rsidRPr="00122B5D">
              <w:t>"</w:t>
            </w:r>
            <w:r w:rsidR="006F7C69" w:rsidRPr="00122B5D">
              <w:t>Pēcdoktorantūras pētniecības atbalsts</w:t>
            </w:r>
            <w:r w:rsidR="00341C4A" w:rsidRPr="00122B5D">
              <w:t>"</w:t>
            </w:r>
            <w:r w:rsidR="006F7C69" w:rsidRPr="00122B5D">
              <w:t xml:space="preserve"> ietvaros </w:t>
            </w:r>
            <w:r w:rsidRPr="00122B5D">
              <w:t>noteiktos</w:t>
            </w:r>
            <w:r w:rsidR="006F7C69" w:rsidRPr="00122B5D">
              <w:t xml:space="preserve"> ieviešanas nosacījumus</w:t>
            </w:r>
            <w:r w:rsidRPr="00122B5D">
              <w:t xml:space="preserve"> zinātniskajām institūcijām un komersantiem, kas sadarbībā ar pēcdoktorantiem var iesniegt un īstenot pētniecības pieteikumus</w:t>
            </w:r>
            <w:r w:rsidR="00E426A1" w:rsidRPr="00122B5D">
              <w:t>.</w:t>
            </w:r>
          </w:p>
          <w:p w14:paraId="2F09064D" w14:textId="77777777" w:rsidR="00FC1683" w:rsidRPr="00122B5D" w:rsidRDefault="00F340F0" w:rsidP="00776389">
            <w:pPr>
              <w:jc w:val="both"/>
              <w:rPr>
                <w:b/>
              </w:rPr>
            </w:pPr>
            <w:r w:rsidRPr="00122B5D">
              <w:t>N</w:t>
            </w:r>
            <w:r w:rsidR="006F7C69" w:rsidRPr="00122B5D">
              <w:t>oteikumu projekts stāsies spēkā Oficiālo publikāciju un tiesiskās informācijas likumā noteiktajā kārtībā.</w:t>
            </w:r>
          </w:p>
        </w:tc>
      </w:tr>
    </w:tbl>
    <w:p w14:paraId="232C6B03" w14:textId="77777777" w:rsidR="00B77663" w:rsidRPr="00122B5D" w:rsidRDefault="00B77663" w:rsidP="00E870E3">
      <w:pPr>
        <w:rPr>
          <w:b/>
        </w:rPr>
      </w:pPr>
    </w:p>
    <w:tbl>
      <w:tblPr>
        <w:tblW w:w="489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4"/>
        <w:gridCol w:w="1289"/>
        <w:gridCol w:w="7342"/>
      </w:tblGrid>
      <w:tr w:rsidR="006E32DE" w:rsidRPr="00122B5D" w14:paraId="240FB373" w14:textId="77777777" w:rsidTr="006A4F4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121DD7" w14:textId="77777777" w:rsidR="00B77663" w:rsidRPr="00122B5D" w:rsidRDefault="00B77663" w:rsidP="00224B09">
            <w:pPr>
              <w:spacing w:before="100" w:beforeAutospacing="1" w:after="100" w:afterAutospacing="1" w:line="293" w:lineRule="atLeast"/>
              <w:jc w:val="center"/>
              <w:rPr>
                <w:b/>
                <w:bCs/>
              </w:rPr>
            </w:pPr>
            <w:r w:rsidRPr="00122B5D">
              <w:rPr>
                <w:b/>
                <w:bCs/>
              </w:rPr>
              <w:t>I. Tiesību akta projekta izstrādes nepieciešamība</w:t>
            </w:r>
          </w:p>
        </w:tc>
      </w:tr>
      <w:tr w:rsidR="006E32DE" w:rsidRPr="00122B5D" w14:paraId="3237F392" w14:textId="77777777" w:rsidTr="006A4F4F">
        <w:trPr>
          <w:trHeight w:val="405"/>
        </w:trPr>
        <w:tc>
          <w:tcPr>
            <w:tcW w:w="318" w:type="pct"/>
            <w:tcBorders>
              <w:top w:val="outset" w:sz="6" w:space="0" w:color="414142"/>
              <w:left w:val="outset" w:sz="6" w:space="0" w:color="414142"/>
              <w:bottom w:val="outset" w:sz="6" w:space="0" w:color="414142"/>
              <w:right w:val="outset" w:sz="6" w:space="0" w:color="414142"/>
            </w:tcBorders>
            <w:hideMark/>
          </w:tcPr>
          <w:p w14:paraId="0963FD73" w14:textId="77777777" w:rsidR="00B77663" w:rsidRPr="00122B5D" w:rsidRDefault="00B77663" w:rsidP="00224B09">
            <w:pPr>
              <w:spacing w:before="100" w:beforeAutospacing="1" w:after="100" w:afterAutospacing="1" w:line="293" w:lineRule="atLeast"/>
              <w:jc w:val="center"/>
            </w:pPr>
            <w:r w:rsidRPr="00122B5D">
              <w:t>1.</w:t>
            </w:r>
          </w:p>
        </w:tc>
        <w:tc>
          <w:tcPr>
            <w:tcW w:w="1190" w:type="pct"/>
            <w:tcBorders>
              <w:top w:val="outset" w:sz="6" w:space="0" w:color="414142"/>
              <w:left w:val="outset" w:sz="6" w:space="0" w:color="414142"/>
              <w:bottom w:val="outset" w:sz="6" w:space="0" w:color="414142"/>
              <w:right w:val="outset" w:sz="6" w:space="0" w:color="414142"/>
            </w:tcBorders>
            <w:hideMark/>
          </w:tcPr>
          <w:p w14:paraId="5BFEE0DE" w14:textId="77777777" w:rsidR="00127711" w:rsidRPr="00122B5D" w:rsidRDefault="00B77663" w:rsidP="00127711">
            <w:r w:rsidRPr="00122B5D">
              <w:t>Pamatojums</w:t>
            </w:r>
          </w:p>
          <w:p w14:paraId="5C059869" w14:textId="77777777" w:rsidR="00B77663" w:rsidRPr="00122B5D" w:rsidRDefault="00B77663" w:rsidP="00127711">
            <w:pPr>
              <w:jc w:val="center"/>
            </w:pPr>
          </w:p>
        </w:tc>
        <w:tc>
          <w:tcPr>
            <w:tcW w:w="3492" w:type="pct"/>
            <w:tcBorders>
              <w:top w:val="outset" w:sz="6" w:space="0" w:color="414142"/>
              <w:left w:val="outset" w:sz="6" w:space="0" w:color="414142"/>
              <w:bottom w:val="outset" w:sz="6" w:space="0" w:color="414142"/>
              <w:right w:val="outset" w:sz="6" w:space="0" w:color="414142"/>
            </w:tcBorders>
            <w:hideMark/>
          </w:tcPr>
          <w:p w14:paraId="5DB4E655" w14:textId="3393F754" w:rsidR="001C5A77" w:rsidRPr="00122B5D" w:rsidRDefault="00C92EB8" w:rsidP="006E0149">
            <w:pPr>
              <w:spacing w:before="10"/>
              <w:ind w:left="112" w:right="113"/>
              <w:jc w:val="both"/>
            </w:pPr>
            <w:r w:rsidRPr="00122B5D">
              <w:t>N</w:t>
            </w:r>
            <w:r w:rsidR="006E1817" w:rsidRPr="00122B5D">
              <w:t xml:space="preserve">oteikumu projekts </w:t>
            </w:r>
            <w:r w:rsidR="001C5A77" w:rsidRPr="00122B5D">
              <w:t>sagatavots saskaņā ar:</w:t>
            </w:r>
          </w:p>
          <w:p w14:paraId="7FF5442F" w14:textId="77777777" w:rsidR="001C5A77" w:rsidRPr="00122B5D" w:rsidRDefault="001C5A77" w:rsidP="00121342">
            <w:pPr>
              <w:numPr>
                <w:ilvl w:val="0"/>
                <w:numId w:val="1"/>
              </w:numPr>
              <w:spacing w:before="10"/>
              <w:ind w:right="113"/>
              <w:jc w:val="both"/>
            </w:pPr>
            <w:r w:rsidRPr="00122B5D">
              <w:t xml:space="preserve">Eiropas Savienības struktūrfondu un Kohēzijas fonda </w:t>
            </w:r>
            <w:r w:rsidR="006E32DE" w:rsidRPr="00122B5D">
              <w:t>2014. – </w:t>
            </w:r>
            <w:r w:rsidRPr="00122B5D">
              <w:t>2020.</w:t>
            </w:r>
            <w:r w:rsidR="006E32DE" w:rsidRPr="00122B5D">
              <w:t> </w:t>
            </w:r>
            <w:r w:rsidRPr="00122B5D">
              <w:t>gada plānošanas perioda vadības likuma 20. panta 6. un 13. punktu;</w:t>
            </w:r>
          </w:p>
          <w:p w14:paraId="7F45C232" w14:textId="77777777" w:rsidR="001C5A77" w:rsidRPr="00122B5D" w:rsidRDefault="001C5A77" w:rsidP="006E1817">
            <w:pPr>
              <w:numPr>
                <w:ilvl w:val="0"/>
                <w:numId w:val="1"/>
              </w:numPr>
              <w:spacing w:before="10"/>
              <w:ind w:right="113"/>
              <w:jc w:val="both"/>
            </w:pPr>
            <w:r w:rsidRPr="00122B5D">
              <w:t>informatīvajā ziņojumā "Darbības programmas "Izaugsme un nodarbinātība" 1.1.1.</w:t>
            </w:r>
            <w:r w:rsidR="008351CF" w:rsidRPr="00122B5D">
              <w:t> </w:t>
            </w:r>
            <w:r w:rsidRPr="00122B5D">
              <w:t>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rsidR="001C2D9F" w:rsidRPr="00122B5D">
              <w:t xml:space="preserve"> </w:t>
            </w:r>
            <w:r w:rsidRPr="00122B5D">
              <w:t>sniegtajiem priekšlikumiem, lai sekmētu 1.1.1.</w:t>
            </w:r>
            <w:r w:rsidR="006E32DE" w:rsidRPr="00122B5D">
              <w:t> </w:t>
            </w:r>
            <w:r w:rsidRPr="00122B5D">
              <w:t>specifiskā atbalsta mērķa "Palielināt Latvijas zinātnisko institūciju pētniecisko un inovatīvo kapacitāti un spēju piesaistīt ārējo finansējumu, ieguldot cilvēkresursos un infrastruktūrā" kopīgo un specifisko iznākuma rādītāju izpildi un Latvijas Viedās specializācijas stratēģijas (turpmāk – RIS3) mērķu sasniegšanu.</w:t>
            </w:r>
          </w:p>
        </w:tc>
      </w:tr>
      <w:tr w:rsidR="006E32DE" w:rsidRPr="00122B5D" w14:paraId="411933EB" w14:textId="77777777" w:rsidTr="00EB6568">
        <w:tblPrEx>
          <w:tblCellMar>
            <w:left w:w="108" w:type="dxa"/>
            <w:right w:w="108" w:type="dxa"/>
          </w:tblCellMar>
        </w:tblPrEx>
        <w:trPr>
          <w:trHeight w:val="288"/>
        </w:trPr>
        <w:tc>
          <w:tcPr>
            <w:tcW w:w="318" w:type="pct"/>
            <w:tcBorders>
              <w:top w:val="outset" w:sz="6" w:space="0" w:color="414142"/>
              <w:left w:val="outset" w:sz="6" w:space="0" w:color="414142"/>
              <w:bottom w:val="outset" w:sz="6" w:space="0" w:color="414142"/>
              <w:right w:val="outset" w:sz="6" w:space="0" w:color="414142"/>
            </w:tcBorders>
            <w:hideMark/>
          </w:tcPr>
          <w:p w14:paraId="2788082D" w14:textId="77777777" w:rsidR="00B77663" w:rsidRPr="00122B5D" w:rsidRDefault="00B77663" w:rsidP="00224B09">
            <w:pPr>
              <w:spacing w:before="100" w:beforeAutospacing="1" w:after="100" w:afterAutospacing="1" w:line="293" w:lineRule="atLeast"/>
              <w:jc w:val="center"/>
            </w:pPr>
            <w:r w:rsidRPr="00122B5D">
              <w:t>2.</w:t>
            </w:r>
          </w:p>
        </w:tc>
        <w:tc>
          <w:tcPr>
            <w:tcW w:w="1190" w:type="pct"/>
            <w:tcBorders>
              <w:top w:val="outset" w:sz="6" w:space="0" w:color="414142"/>
              <w:left w:val="outset" w:sz="6" w:space="0" w:color="414142"/>
              <w:bottom w:val="outset" w:sz="6" w:space="0" w:color="414142"/>
              <w:right w:val="outset" w:sz="6" w:space="0" w:color="414142"/>
            </w:tcBorders>
            <w:hideMark/>
          </w:tcPr>
          <w:p w14:paraId="28AE5B8C" w14:textId="77777777" w:rsidR="00B77663" w:rsidRPr="00122B5D" w:rsidRDefault="00B77663" w:rsidP="00371A71">
            <w:r w:rsidRPr="00122B5D">
              <w:t xml:space="preserve">Pašreizējā situācija un problēmas, kuru risināšanai tiesību akta projekts izstrādāts, </w:t>
            </w:r>
            <w:r w:rsidRPr="00122B5D">
              <w:lastRenderedPageBreak/>
              <w:t>tiesiskā regulējuma mērķis un būtība</w:t>
            </w:r>
          </w:p>
        </w:tc>
        <w:tc>
          <w:tcPr>
            <w:tcW w:w="3492" w:type="pct"/>
            <w:tcBorders>
              <w:top w:val="outset" w:sz="6" w:space="0" w:color="414142"/>
              <w:left w:val="outset" w:sz="6" w:space="0" w:color="414142"/>
              <w:bottom w:val="outset" w:sz="6" w:space="0" w:color="414142"/>
              <w:right w:val="outset" w:sz="6" w:space="0" w:color="414142"/>
            </w:tcBorders>
            <w:hideMark/>
          </w:tcPr>
          <w:p w14:paraId="43FAE25A" w14:textId="77777777" w:rsidR="00A2468C" w:rsidRPr="00122B5D" w:rsidRDefault="00A01B2A" w:rsidP="00230DEB">
            <w:pPr>
              <w:spacing w:line="252" w:lineRule="auto"/>
              <w:ind w:left="104" w:right="102"/>
              <w:jc w:val="both"/>
            </w:pPr>
            <w:r w:rsidRPr="00122B5D">
              <w:lastRenderedPageBreak/>
              <w:t>Ministru kabineta 2016. gad</w:t>
            </w:r>
            <w:r w:rsidR="006B6796" w:rsidRPr="00122B5D">
              <w:t>a 19. janvāra noteikumi Nr. 50 "Darbības programmas "Izaugsme un nodarbinātība"</w:t>
            </w:r>
            <w:r w:rsidRPr="00122B5D">
              <w:t xml:space="preserve"> 1.</w:t>
            </w:r>
            <w:r w:rsidR="008351CF" w:rsidRPr="00122B5D">
              <w:t>1.1. </w:t>
            </w:r>
            <w:r w:rsidR="006B6796" w:rsidRPr="00122B5D">
              <w:t>specifiskā atbalsta mērķa "</w:t>
            </w:r>
            <w:r w:rsidRPr="00122B5D">
              <w:t>Palielināt Latvijas zinātnisko institūciju pētniecisko un inovatīvo kapacitāti un spēju piesaistīt ārējo finansējumu, ieguldot c</w:t>
            </w:r>
            <w:r w:rsidR="006B6796" w:rsidRPr="00122B5D">
              <w:t>ilvēkresursos un infrastruktūrā"</w:t>
            </w:r>
            <w:r w:rsidR="008351CF" w:rsidRPr="00122B5D">
              <w:t xml:space="preserve"> 1.1.1.2. </w:t>
            </w:r>
            <w:r w:rsidR="006B6796" w:rsidRPr="00122B5D">
              <w:t>pasākuma "</w:t>
            </w:r>
            <w:r w:rsidRPr="00122B5D">
              <w:t>Pēcdok</w:t>
            </w:r>
            <w:r w:rsidR="006B6796" w:rsidRPr="00122B5D">
              <w:t>torantūras pētniecības atbalsts"</w:t>
            </w:r>
            <w:r w:rsidRPr="00122B5D">
              <w:t xml:space="preserve"> īst</w:t>
            </w:r>
            <w:r w:rsidR="006B6796" w:rsidRPr="00122B5D">
              <w:t>enošanas noteikumi"</w:t>
            </w:r>
            <w:r w:rsidRPr="00122B5D">
              <w:t xml:space="preserve"> (turpmāk –</w:t>
            </w:r>
            <w:r w:rsidR="00B040C9" w:rsidRPr="00122B5D">
              <w:t xml:space="preserve"> </w:t>
            </w:r>
            <w:r w:rsidRPr="00122B5D">
              <w:t>noteikumi Nr. 50) nosaka kārtību, kādā t</w:t>
            </w:r>
            <w:r w:rsidR="008351CF" w:rsidRPr="00122B5D">
              <w:t xml:space="preserve">iek </w:t>
            </w:r>
            <w:r w:rsidR="00A56011" w:rsidRPr="00122B5D">
              <w:t xml:space="preserve">īstenots </w:t>
            </w:r>
            <w:r w:rsidR="008351CF" w:rsidRPr="00122B5D">
              <w:t>1.1.1.2. </w:t>
            </w:r>
            <w:r w:rsidR="006B6796" w:rsidRPr="00122B5D">
              <w:t>pasākuma "</w:t>
            </w:r>
            <w:r w:rsidRPr="00122B5D">
              <w:t>Pēcdok</w:t>
            </w:r>
            <w:r w:rsidR="006B6796" w:rsidRPr="00122B5D">
              <w:t>torantūras pētniecības atbalsts"</w:t>
            </w:r>
            <w:r w:rsidRPr="00122B5D">
              <w:t xml:space="preserve"> (turpmāk – 1.1.1.2. pasākums) </w:t>
            </w:r>
            <w:r w:rsidR="00684E98" w:rsidRPr="00122B5D">
              <w:t xml:space="preserve">Valsts izglītības attīstības aģentūras (turpmāk – aģentūra) projekts, kā arī Zinātnisko </w:t>
            </w:r>
            <w:r w:rsidR="00684E98" w:rsidRPr="00122B5D">
              <w:lastRenderedPageBreak/>
              <w:t>institūciju reģistrā reģistrētu zinātnisko institūciju un Uzņēmumu reģistrā reģistrētu komersantu sadarbībā ar pēcdoktorantu īstenotie pētniecības pieteikumi.</w:t>
            </w:r>
          </w:p>
          <w:p w14:paraId="0ACA5E08" w14:textId="77777777" w:rsidR="001976F9" w:rsidRPr="00122B5D" w:rsidRDefault="00292A6C" w:rsidP="00230DEB">
            <w:pPr>
              <w:spacing w:line="252" w:lineRule="auto"/>
              <w:ind w:left="104" w:right="102"/>
              <w:jc w:val="both"/>
            </w:pPr>
            <w:r w:rsidRPr="00122B5D">
              <w:t>Lai nodrošinātu 1.1.1.2. pasākuma sekmīgu ieviešanu un veicinātu Eiropas Savienības</w:t>
            </w:r>
            <w:r w:rsidR="002775D9" w:rsidRPr="00122B5D">
              <w:t xml:space="preserve"> </w:t>
            </w:r>
            <w:r w:rsidRPr="00122B5D">
              <w:t>struktūrfondu (</w:t>
            </w:r>
            <w:r w:rsidR="002775D9" w:rsidRPr="00122B5D">
              <w:t xml:space="preserve">turpmāk – ES </w:t>
            </w:r>
            <w:r w:rsidRPr="00122B5D">
              <w:t>fondi) finansējuma apguvi, noteikumos Nr. 50 nepieciešams veikt grozījumus.</w:t>
            </w:r>
            <w:r w:rsidR="00F340F0" w:rsidRPr="00122B5D">
              <w:t xml:space="preserve"> </w:t>
            </w:r>
          </w:p>
          <w:p w14:paraId="10860963" w14:textId="77777777" w:rsidR="00EF43EE" w:rsidRPr="00122B5D" w:rsidRDefault="00550858" w:rsidP="00230DEB">
            <w:pPr>
              <w:numPr>
                <w:ilvl w:val="0"/>
                <w:numId w:val="3"/>
              </w:numPr>
              <w:tabs>
                <w:tab w:val="left" w:pos="397"/>
              </w:tabs>
              <w:spacing w:before="120" w:line="252" w:lineRule="auto"/>
              <w:ind w:left="113" w:right="102" w:firstLine="0"/>
              <w:jc w:val="both"/>
            </w:pPr>
            <w:r w:rsidRPr="00122B5D">
              <w:t>Saskaņ</w:t>
            </w:r>
            <w:r w:rsidR="007D49FA" w:rsidRPr="00122B5D">
              <w:t xml:space="preserve">ā ar </w:t>
            </w:r>
            <w:r w:rsidR="004E677A" w:rsidRPr="00122B5D">
              <w:t xml:space="preserve">spēkā esošajiem </w:t>
            </w:r>
            <w:r w:rsidR="007D49FA" w:rsidRPr="00122B5D">
              <w:t>noteikumiem</w:t>
            </w:r>
            <w:r w:rsidRPr="00122B5D">
              <w:t xml:space="preserve"> Nr. 50, atklāta konkursa ietvaros pētniecības pieteikumus var iesniegt jebkurā zinātņu jomā strādājoša zinātniskā institūcija un komersants, nodarbinot pilna laika pētniecībā Latvijas vai ārvalstu jauno zinātnieku,</w:t>
            </w:r>
            <w:r w:rsidR="007D49FA" w:rsidRPr="00122B5D">
              <w:t xml:space="preserve"> </w:t>
            </w:r>
            <w:r w:rsidR="004E677A" w:rsidRPr="00122B5D">
              <w:t>kurš</w:t>
            </w:r>
            <w:r w:rsidR="007D49FA" w:rsidRPr="00122B5D">
              <w:t xml:space="preserve"> </w:t>
            </w:r>
            <w:r w:rsidRPr="00122B5D">
              <w:t>doktora grādu</w:t>
            </w:r>
            <w:r w:rsidR="007D49FA" w:rsidRPr="00122B5D">
              <w:t xml:space="preserve"> ir</w:t>
            </w:r>
            <w:r w:rsidRPr="00122B5D">
              <w:t xml:space="preserve"> ieguvis ne agrāk kā piecus gadus pirms pētniecības pieteikuma iesniegšanas termiņa.</w:t>
            </w:r>
            <w:r w:rsidR="008D3F7A" w:rsidRPr="00122B5D">
              <w:t xml:space="preserve"> </w:t>
            </w:r>
            <w:r w:rsidR="00FC7A6F" w:rsidRPr="00122B5D">
              <w:t xml:space="preserve">Saskaņā ar </w:t>
            </w:r>
            <w:r w:rsidR="008D3F7A" w:rsidRPr="00122B5D">
              <w:t>1.1.1.2. pasākuma</w:t>
            </w:r>
            <w:r w:rsidR="00FC7A6F" w:rsidRPr="00122B5D">
              <w:t xml:space="preserve"> mērķi,</w:t>
            </w:r>
            <w:r w:rsidR="008D3F7A" w:rsidRPr="00122B5D">
              <w:t xml:space="preserve"> investīcijas paredzētas </w:t>
            </w:r>
            <w:r w:rsidR="008D3F7A" w:rsidRPr="00122B5D">
              <w:rPr>
                <w:sz w:val="22"/>
                <w:szCs w:val="22"/>
                <w:lang w:eastAsia="zh-TW"/>
              </w:rPr>
              <w:t xml:space="preserve">jaunā </w:t>
            </w:r>
            <w:r w:rsidR="008D3F7A" w:rsidRPr="00122B5D">
              <w:t xml:space="preserve">zinātnieka </w:t>
            </w:r>
            <w:r w:rsidR="00FC7A6F" w:rsidRPr="00122B5D">
              <w:t>pētniecības kompetenču pilnveidei un zinātniskās kapacitātes palielināšanai, nodrošinot jaunu zinātnisko grupu līderu attīstību</w:t>
            </w:r>
            <w:r w:rsidR="0069688A" w:rsidRPr="00122B5D">
              <w:t>, lai pēc pētniecības pieteikuma īstenošanas, sekmētu karjeras izaugsmes iesp</w:t>
            </w:r>
            <w:r w:rsidR="00EF43EE" w:rsidRPr="00122B5D">
              <w:t xml:space="preserve">ējas un </w:t>
            </w:r>
            <w:r w:rsidR="0069688A" w:rsidRPr="00122B5D">
              <w:t xml:space="preserve">savas pētniecības tēmas </w:t>
            </w:r>
            <w:r w:rsidR="00EF43EE" w:rsidRPr="00122B5D">
              <w:t>komandas veidošanu</w:t>
            </w:r>
            <w:r w:rsidR="00FC7A6F" w:rsidRPr="00122B5D">
              <w:t>.</w:t>
            </w:r>
            <w:r w:rsidR="00EF43EE" w:rsidRPr="00122B5D">
              <w:t xml:space="preserve"> </w:t>
            </w:r>
          </w:p>
          <w:p w14:paraId="0122E273" w14:textId="7A66A4FD" w:rsidR="00E426A1" w:rsidRPr="00122B5D" w:rsidRDefault="005473A5" w:rsidP="00230DEB">
            <w:pPr>
              <w:tabs>
                <w:tab w:val="left" w:pos="397"/>
              </w:tabs>
              <w:spacing w:line="252" w:lineRule="auto"/>
              <w:ind w:left="113" w:right="102"/>
              <w:jc w:val="both"/>
            </w:pPr>
            <w:r w:rsidRPr="00122B5D">
              <w:t>P</w:t>
            </w:r>
            <w:r w:rsidR="007D49FA" w:rsidRPr="00122B5D">
              <w:t>ētniecības pieteikumu pirm</w:t>
            </w:r>
            <w:r w:rsidRPr="00122B5D">
              <w:t xml:space="preserve">ās un </w:t>
            </w:r>
            <w:r w:rsidR="007D49FA" w:rsidRPr="00122B5D">
              <w:t xml:space="preserve">otrās atlases kārtas </w:t>
            </w:r>
            <w:r w:rsidR="007E53CD" w:rsidRPr="00122B5D">
              <w:t xml:space="preserve">konkursu </w:t>
            </w:r>
            <w:r w:rsidRPr="00122B5D">
              <w:t>ietvaros</w:t>
            </w:r>
            <w:r w:rsidR="007E53CD" w:rsidRPr="00122B5D">
              <w:t xml:space="preserve"> </w:t>
            </w:r>
            <w:r w:rsidR="007D49FA" w:rsidRPr="00122B5D">
              <w:t xml:space="preserve">kopumā </w:t>
            </w:r>
            <w:r w:rsidRPr="00122B5D">
              <w:t xml:space="preserve">tika </w:t>
            </w:r>
            <w:r w:rsidR="000549D1" w:rsidRPr="00122B5D">
              <w:t>saņemti</w:t>
            </w:r>
            <w:r w:rsidRPr="00122B5D">
              <w:t xml:space="preserve"> </w:t>
            </w:r>
            <w:r w:rsidR="007D49FA" w:rsidRPr="00122B5D">
              <w:t xml:space="preserve">386 </w:t>
            </w:r>
            <w:r w:rsidR="000549D1" w:rsidRPr="00122B5D">
              <w:t xml:space="preserve">pēcdoktorantu </w:t>
            </w:r>
            <w:r w:rsidR="007D49FA" w:rsidRPr="00122B5D">
              <w:t>pētniec</w:t>
            </w:r>
            <w:r w:rsidRPr="00122B5D">
              <w:t>ības pieteikumu iesniegumi</w:t>
            </w:r>
            <w:r w:rsidR="004E677A" w:rsidRPr="00122B5D">
              <w:t>.</w:t>
            </w:r>
            <w:r w:rsidR="00325E5F" w:rsidRPr="00122B5D">
              <w:t xml:space="preserve"> V</w:t>
            </w:r>
            <w:r w:rsidR="004E677A" w:rsidRPr="00122B5D">
              <w:t>ērtēšanas procesā nepieciešamo punktu skaitu</w:t>
            </w:r>
            <w:r w:rsidRPr="00122B5D">
              <w:t>, lai kvalificētos pētniecības pieteikuma īstenošanai,</w:t>
            </w:r>
            <w:r w:rsidR="004E677A" w:rsidRPr="00122B5D">
              <w:t xml:space="preserve"> saņēmuši 62 % jeb 240 pētniec</w:t>
            </w:r>
            <w:r w:rsidR="00325E5F" w:rsidRPr="00122B5D">
              <w:t>ības pieteikumi,</w:t>
            </w:r>
            <w:r w:rsidR="000549D1" w:rsidRPr="00122B5D">
              <w:t xml:space="preserve"> no kuriem 18 pētniecības pieteikumi tika noraidīti attiecīgās atlases kārtas ierobežotā finansējuma dē</w:t>
            </w:r>
            <w:r w:rsidR="009A2DAE" w:rsidRPr="00122B5D">
              <w:t>ļ, 5 pētniecības pieteikumi neizpildīja</w:t>
            </w:r>
            <w:r w:rsidR="00C92EB8" w:rsidRPr="00122B5D">
              <w:t xml:space="preserve"> aģentūras</w:t>
            </w:r>
            <w:r w:rsidR="009A2DAE" w:rsidRPr="00122B5D">
              <w:t xml:space="preserve"> lēmumā</w:t>
            </w:r>
            <w:r w:rsidR="00C92EB8" w:rsidRPr="00122B5D">
              <w:t xml:space="preserve"> par pētniecības pieteikumu apstiprināšanu ar nosacījumiem</w:t>
            </w:r>
            <w:r w:rsidR="009A2DAE" w:rsidRPr="00122B5D">
              <w:t xml:space="preserve"> noteiktos nosacījumus, savukārt 20 pētniecības pieteikumi atteicās no </w:t>
            </w:r>
            <w:r w:rsidR="00A56011" w:rsidRPr="00122B5D">
              <w:t xml:space="preserve">pētniecības pieteikuma </w:t>
            </w:r>
            <w:r w:rsidR="009A2DAE" w:rsidRPr="00122B5D">
              <w:t>īstenošanas.</w:t>
            </w:r>
            <w:r w:rsidR="000549D1" w:rsidRPr="00122B5D">
              <w:t xml:space="preserve"> </w:t>
            </w:r>
          </w:p>
          <w:p w14:paraId="32561432" w14:textId="6A4585EA" w:rsidR="009A2DAE" w:rsidRPr="00122B5D" w:rsidRDefault="00B92060" w:rsidP="00230DEB">
            <w:pPr>
              <w:tabs>
                <w:tab w:val="left" w:pos="397"/>
              </w:tabs>
              <w:spacing w:line="252" w:lineRule="auto"/>
              <w:ind w:left="113" w:right="102"/>
              <w:jc w:val="both"/>
            </w:pPr>
            <w:r w:rsidRPr="00122B5D">
              <w:t xml:space="preserve">Tostarp, pirmās atlases kārtas ietvaros, </w:t>
            </w:r>
            <w:r w:rsidR="008B6C69" w:rsidRPr="00122B5D">
              <w:t xml:space="preserve">no </w:t>
            </w:r>
            <w:r w:rsidRPr="00122B5D">
              <w:t>1 </w:t>
            </w:r>
            <w:r w:rsidR="008B6C69" w:rsidRPr="00122B5D">
              <w:t>530 jauniem</w:t>
            </w:r>
            <w:r w:rsidRPr="00122B5D">
              <w:t xml:space="preserve"> zinātnieki</w:t>
            </w:r>
            <w:r w:rsidR="008B6C69" w:rsidRPr="00122B5D">
              <w:t>em</w:t>
            </w:r>
            <w:r w:rsidRPr="00122B5D">
              <w:t>, kas</w:t>
            </w:r>
            <w:r w:rsidR="008B6C69" w:rsidRPr="00122B5D">
              <w:t xml:space="preserve"> atbilda pēcdoktoranta statusam</w:t>
            </w:r>
            <w:r w:rsidRPr="00122B5D">
              <w:t xml:space="preserve"> </w:t>
            </w:r>
            <w:r w:rsidR="008B6C69" w:rsidRPr="00122B5D">
              <w:t>(doktora grāds iegūts</w:t>
            </w:r>
            <w:r w:rsidRPr="00122B5D">
              <w:t xml:space="preserve"> laika posmā no 2010./2011. līdz 2015./2016. akadēmiskajam gadam</w:t>
            </w:r>
            <w:r w:rsidR="008B6C69" w:rsidRPr="00122B5D">
              <w:t>)</w:t>
            </w:r>
            <w:r w:rsidRPr="00122B5D">
              <w:t>, pētniecības pieteikumus iesni</w:t>
            </w:r>
            <w:r w:rsidR="008B6C69" w:rsidRPr="00122B5D">
              <w:t>edza tikai 16 procenti, t.i. 235</w:t>
            </w:r>
            <w:r w:rsidRPr="00122B5D">
              <w:t xml:space="preserve"> </w:t>
            </w:r>
            <w:r w:rsidR="008B6C69" w:rsidRPr="00122B5D">
              <w:t xml:space="preserve">Latvijas </w:t>
            </w:r>
            <w:r w:rsidRPr="00122B5D">
              <w:t>jaunie zinātnieki</w:t>
            </w:r>
            <w:r w:rsidR="008B6C69" w:rsidRPr="00122B5D">
              <w:t>, savukārt otrās atlases kārtas ietvaros pētniecības pieteikumus iesniedza 109 jeb 7,5 procenti no attiecīgajā laika periodā</w:t>
            </w:r>
            <w:r w:rsidR="00E426A1" w:rsidRPr="00122B5D">
              <w:t xml:space="preserve"> (no 2012.</w:t>
            </w:r>
            <w:r w:rsidR="00ED1AE1" w:rsidRPr="00122B5D">
              <w:t xml:space="preserve">/2013. līdz 2017./2018. akadēmiskajam gadam) </w:t>
            </w:r>
            <w:r w:rsidR="008B6C69" w:rsidRPr="00122B5D">
              <w:t xml:space="preserve">Latvijā doktora grādu ieguvušo jauno zinātnieku. No minētā </w:t>
            </w:r>
            <w:r w:rsidR="00A56011" w:rsidRPr="00122B5D">
              <w:t>secināms</w:t>
            </w:r>
            <w:r w:rsidR="008B6C69" w:rsidRPr="00122B5D">
              <w:t>, ka pētniecības pieteikumu pirmās un otrās atlases kārtas ietvaros starp pēcdoktorantiem un virs kvalitātes sliekšņa novērtētajiem pētniecības pieteikumiem ir bijusi salīdzinoši neliela konkurence par pētījuma īstenošanai nepieciešamā finansējuma piešķiršanu.</w:t>
            </w:r>
          </w:p>
          <w:p w14:paraId="2B518168" w14:textId="082F44D8" w:rsidR="005473A5" w:rsidRPr="00122B5D" w:rsidRDefault="000549D1" w:rsidP="00230DEB">
            <w:pPr>
              <w:tabs>
                <w:tab w:val="left" w:pos="397"/>
              </w:tabs>
              <w:spacing w:line="252" w:lineRule="auto"/>
              <w:ind w:left="113" w:right="102"/>
              <w:jc w:val="both"/>
            </w:pPr>
            <w:r w:rsidRPr="00122B5D">
              <w:t>Savukārt, v</w:t>
            </w:r>
            <w:r w:rsidR="005473A5" w:rsidRPr="00122B5D">
              <w:t>ērtējot doktora grādu ieguvu</w:t>
            </w:r>
            <w:r w:rsidR="008538DF" w:rsidRPr="00122B5D">
              <w:t>šo skaitu</w:t>
            </w:r>
            <w:r w:rsidR="00822931" w:rsidRPr="00122B5D">
              <w:rPr>
                <w:rStyle w:val="FootnoteReference"/>
              </w:rPr>
              <w:footnoteReference w:id="1"/>
            </w:r>
            <w:r w:rsidR="008538DF" w:rsidRPr="00122B5D">
              <w:t>,</w:t>
            </w:r>
            <w:r w:rsidR="005473A5" w:rsidRPr="00122B5D">
              <w:t xml:space="preserve"> kas pie noteikumu Nr. 50 2.9. apakšpunkta </w:t>
            </w:r>
            <w:r w:rsidR="008538DF" w:rsidRPr="00122B5D">
              <w:t xml:space="preserve">spēkā esošajiem </w:t>
            </w:r>
            <w:r w:rsidR="005473A5" w:rsidRPr="00122B5D">
              <w:t>nosacījumiem kvalificētos p</w:t>
            </w:r>
            <w:r w:rsidR="008538DF" w:rsidRPr="00122B5D">
              <w:t>ēcdoktoranta statusam</w:t>
            </w:r>
            <w:r w:rsidRPr="00122B5D">
              <w:t xml:space="preserve"> un varētu iesniegt pētniecības pieteikumu iesniegumu</w:t>
            </w:r>
            <w:r w:rsidR="0069688A" w:rsidRPr="00122B5D">
              <w:t>s</w:t>
            </w:r>
            <w:r w:rsidRPr="00122B5D">
              <w:t xml:space="preserve"> </w:t>
            </w:r>
            <w:r w:rsidR="005473A5" w:rsidRPr="00122B5D">
              <w:t xml:space="preserve">trešās </w:t>
            </w:r>
            <w:r w:rsidR="00935943" w:rsidRPr="00122B5D">
              <w:t>un nākamo atlases kārtu</w:t>
            </w:r>
            <w:r w:rsidR="005473A5" w:rsidRPr="00122B5D">
              <w:t xml:space="preserve"> ietvaros</w:t>
            </w:r>
            <w:r w:rsidRPr="00122B5D">
              <w:t>, redzams, ka</w:t>
            </w:r>
            <w:r w:rsidR="005473A5" w:rsidRPr="00122B5D">
              <w:t xml:space="preserve"> iespējamais pretendentu loks salīdzinājumā ar </w:t>
            </w:r>
            <w:r w:rsidR="00A56011" w:rsidRPr="00122B5D">
              <w:t xml:space="preserve">pirmo </w:t>
            </w:r>
            <w:r w:rsidR="005473A5" w:rsidRPr="00122B5D">
              <w:t>atlases kārtu ir samazinājies</w:t>
            </w:r>
            <w:r w:rsidR="008538DF" w:rsidRPr="00122B5D">
              <w:t xml:space="preserve"> par 14 procentiem</w:t>
            </w:r>
            <w:r w:rsidR="00B92060" w:rsidRPr="00122B5D">
              <w:t xml:space="preserve">, savukārt </w:t>
            </w:r>
            <w:r w:rsidR="009B284B" w:rsidRPr="00122B5D">
              <w:t>trešās atlases kārtas ietvaros pētniecības pieteikumus varēs iesniegt</w:t>
            </w:r>
            <w:r w:rsidRPr="00122B5D">
              <w:t xml:space="preserve"> vairs tikai</w:t>
            </w:r>
            <w:r w:rsidR="009B284B" w:rsidRPr="00122B5D">
              <w:t xml:space="preserve"> 1</w:t>
            </w:r>
            <w:r w:rsidR="009A2DAE" w:rsidRPr="00122B5D">
              <w:t> </w:t>
            </w:r>
            <w:r w:rsidR="009B284B" w:rsidRPr="00122B5D">
              <w:t xml:space="preserve">315 zinātnieki, kas </w:t>
            </w:r>
            <w:r w:rsidR="009B284B" w:rsidRPr="00122B5D">
              <w:lastRenderedPageBreak/>
              <w:t>doktora grādu ir ieguvuši laika posmā no 2013./2014. </w:t>
            </w:r>
            <w:r w:rsidR="00E426A1" w:rsidRPr="00122B5D">
              <w:t>līdz 2018./2019. akadēmiskajam</w:t>
            </w:r>
            <w:r w:rsidR="009B284B" w:rsidRPr="00122B5D">
              <w:t xml:space="preserve"> ga</w:t>
            </w:r>
            <w:r w:rsidRPr="00122B5D">
              <w:t>da</w:t>
            </w:r>
            <w:r w:rsidR="00E426A1" w:rsidRPr="00122B5D">
              <w:t>m</w:t>
            </w:r>
            <w:r w:rsidRPr="00122B5D">
              <w:t>.</w:t>
            </w:r>
          </w:p>
          <w:p w14:paraId="70DE3D72" w14:textId="77777777" w:rsidR="005473A5" w:rsidRPr="00122B5D" w:rsidRDefault="005473A5" w:rsidP="00230DEB">
            <w:pPr>
              <w:tabs>
                <w:tab w:val="left" w:pos="397"/>
              </w:tabs>
              <w:spacing w:line="252" w:lineRule="auto"/>
              <w:ind w:left="113" w:right="102"/>
              <w:jc w:val="both"/>
            </w:pPr>
          </w:p>
          <w:p w14:paraId="18E82BA0" w14:textId="0FA34854" w:rsidR="005473A5" w:rsidRPr="00122B5D" w:rsidRDefault="00974369" w:rsidP="00230DEB">
            <w:pPr>
              <w:tabs>
                <w:tab w:val="left" w:pos="397"/>
              </w:tabs>
              <w:spacing w:line="252" w:lineRule="auto"/>
              <w:ind w:left="113" w:right="102"/>
              <w:jc w:val="both"/>
            </w:pPr>
            <w:r>
              <w:rPr>
                <w:noProof/>
                <w:lang w:val="en-US" w:eastAsia="en-US"/>
              </w:rPr>
              <w:drawing>
                <wp:inline distT="0" distB="0" distL="0" distR="0" wp14:anchorId="70522E60" wp14:editId="5B89A682">
                  <wp:extent cx="4418330" cy="2438400"/>
                  <wp:effectExtent l="0" t="0" r="127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DE55E5" w14:textId="77777777" w:rsidR="005473A5" w:rsidRPr="00122B5D" w:rsidRDefault="005473A5" w:rsidP="00230DEB">
            <w:pPr>
              <w:tabs>
                <w:tab w:val="left" w:pos="397"/>
              </w:tabs>
              <w:spacing w:line="252" w:lineRule="auto"/>
              <w:ind w:right="102"/>
              <w:jc w:val="both"/>
            </w:pPr>
          </w:p>
          <w:p w14:paraId="7591F194" w14:textId="77777777" w:rsidR="00935943" w:rsidRPr="00D26556" w:rsidRDefault="00A56011" w:rsidP="00230DEB">
            <w:pPr>
              <w:tabs>
                <w:tab w:val="left" w:pos="397"/>
              </w:tabs>
              <w:spacing w:line="252" w:lineRule="auto"/>
              <w:ind w:left="43" w:right="102"/>
              <w:jc w:val="both"/>
            </w:pPr>
            <w:r w:rsidRPr="00122B5D">
              <w:t xml:space="preserve">Ņemot vērā </w:t>
            </w:r>
            <w:r w:rsidR="0069688A" w:rsidRPr="00122B5D">
              <w:t>iepriekš minētos faktus</w:t>
            </w:r>
            <w:r w:rsidR="006F5D0D" w:rsidRPr="00122B5D">
              <w:t xml:space="preserve">, kā arī, </w:t>
            </w:r>
            <w:r w:rsidR="008D3F7A" w:rsidRPr="00122B5D">
              <w:t>l</w:t>
            </w:r>
            <w:r w:rsidR="00FA2245" w:rsidRPr="00122B5D">
              <w:t xml:space="preserve">ai stimulētu </w:t>
            </w:r>
            <w:r w:rsidR="00935943" w:rsidRPr="00122B5D">
              <w:t xml:space="preserve">tostarp </w:t>
            </w:r>
            <w:r w:rsidR="0069688A" w:rsidRPr="00122B5D">
              <w:t xml:space="preserve">konkurētspējīgāko </w:t>
            </w:r>
            <w:r w:rsidR="00935943" w:rsidRPr="00122B5D">
              <w:t>jauno zinātnieku, kas doktora grādu ieguvuši pirms 10 gadiem, pētniecības, līderības un vadības prasmju pilnveidi, kas nepieciešama</w:t>
            </w:r>
            <w:r w:rsidR="00FA2245" w:rsidRPr="00122B5D">
              <w:t xml:space="preserve"> </w:t>
            </w:r>
            <w:r w:rsidR="00935943" w:rsidRPr="00122B5D">
              <w:t>darbam savas pētniecības tēmas komandas veidošanā</w:t>
            </w:r>
            <w:r w:rsidR="00FA2245" w:rsidRPr="00122B5D">
              <w:t>,</w:t>
            </w:r>
            <w:r w:rsidR="00367191" w:rsidRPr="00122B5D">
              <w:t xml:space="preserve"> tostarp veicinātu cilvēkresursu atjaunotni un kvalificētu speciālistu, kas </w:t>
            </w:r>
            <w:r w:rsidR="00367191" w:rsidRPr="00544D98">
              <w:t>nodarbināti zinātnē un pētniecībā, skaita pieaugumu,</w:t>
            </w:r>
            <w:r w:rsidR="00FA2245" w:rsidRPr="00544D98">
              <w:t xml:space="preserve"> </w:t>
            </w:r>
            <w:r w:rsidR="008D3F7A" w:rsidRPr="00544D98">
              <w:t>nepiecieš</w:t>
            </w:r>
            <w:r w:rsidR="0002723D" w:rsidRPr="00544D98">
              <w:t>ams veikt precizējumus noteikumos</w:t>
            </w:r>
            <w:r w:rsidR="008D3F7A" w:rsidRPr="00544D98">
              <w:t xml:space="preserve"> Nr. 50, paredzot, ka</w:t>
            </w:r>
            <w:r w:rsidR="00FA2245" w:rsidRPr="00544D98">
              <w:t xml:space="preserve"> </w:t>
            </w:r>
            <w:r w:rsidR="00935943" w:rsidRPr="00544D98">
              <w:t xml:space="preserve">trešajā un nākamajās </w:t>
            </w:r>
            <w:r w:rsidR="00935943" w:rsidRPr="00D26556">
              <w:t>atlases kārtās pētniecības pieteikumus var iesniegt pēcdoktoranti, kas doktora grādu ieguvuši</w:t>
            </w:r>
            <w:r w:rsidR="00FA2245" w:rsidRPr="00D26556">
              <w:t xml:space="preserve"> ne agrāk kā </w:t>
            </w:r>
            <w:r w:rsidR="008D3F7A" w:rsidRPr="00D26556">
              <w:t>10</w:t>
            </w:r>
            <w:r w:rsidR="00FA2245" w:rsidRPr="00D26556">
              <w:t xml:space="preserve"> gadus pirms pētniecības pieteikuma iesniegšanas</w:t>
            </w:r>
            <w:r w:rsidR="008D3F7A" w:rsidRPr="00D26556">
              <w:t>.</w:t>
            </w:r>
            <w:r w:rsidR="0069688A" w:rsidRPr="00D26556">
              <w:t xml:space="preserve"> </w:t>
            </w:r>
          </w:p>
          <w:p w14:paraId="661EF07F" w14:textId="0190E61A" w:rsidR="00661E40" w:rsidRPr="00D26556" w:rsidRDefault="00935943" w:rsidP="00230DEB">
            <w:pPr>
              <w:tabs>
                <w:tab w:val="left" w:pos="397"/>
              </w:tabs>
              <w:spacing w:line="252" w:lineRule="auto"/>
              <w:ind w:left="43" w:right="102"/>
              <w:jc w:val="both"/>
            </w:pPr>
            <w:r w:rsidRPr="00D26556">
              <w:t xml:space="preserve">Rosināto </w:t>
            </w:r>
            <w:r w:rsidR="00904139" w:rsidRPr="00D26556">
              <w:t>grozījumu rezultātā,</w:t>
            </w:r>
            <w:r w:rsidR="006474EF" w:rsidRPr="00D26556">
              <w:t xml:space="preserve"> </w:t>
            </w:r>
            <w:r w:rsidR="00904139" w:rsidRPr="00D26556">
              <w:t>iespējamo pretendentu loks</w:t>
            </w:r>
            <w:r w:rsidR="00A56011" w:rsidRPr="00D26556">
              <w:t xml:space="preserve"> </w:t>
            </w:r>
            <w:r w:rsidR="008F6FB3" w:rsidRPr="00D26556">
              <w:t xml:space="preserve">trešajā kārtā </w:t>
            </w:r>
            <w:r w:rsidR="00A56011" w:rsidRPr="00D26556">
              <w:t>palielinātos</w:t>
            </w:r>
            <w:r w:rsidR="00904139" w:rsidRPr="00D26556">
              <w:t xml:space="preserve"> par </w:t>
            </w:r>
            <w:r w:rsidR="00B92060" w:rsidRPr="00D26556">
              <w:t>43 procentiem</w:t>
            </w:r>
            <w:r w:rsidR="006474EF" w:rsidRPr="00D26556">
              <w:t xml:space="preserve">, </w:t>
            </w:r>
            <w:r w:rsidRPr="00D26556">
              <w:t xml:space="preserve">tādējādi </w:t>
            </w:r>
            <w:r w:rsidR="00196ACC" w:rsidRPr="00D26556">
              <w:t xml:space="preserve">veicinot lielāku </w:t>
            </w:r>
            <w:r w:rsidR="00D0172E" w:rsidRPr="00D26556">
              <w:t>pēcdoktorantu</w:t>
            </w:r>
            <w:r w:rsidR="00904139" w:rsidRPr="00D26556">
              <w:t xml:space="preserve"> </w:t>
            </w:r>
            <w:r w:rsidR="00196ACC" w:rsidRPr="00D26556">
              <w:t xml:space="preserve">savstarpējo konkurenci </w:t>
            </w:r>
            <w:r w:rsidR="004C2AF8" w:rsidRPr="00D26556">
              <w:t>par</w:t>
            </w:r>
            <w:r w:rsidR="00904139" w:rsidRPr="00D26556">
              <w:t xml:space="preserve"> </w:t>
            </w:r>
            <w:r w:rsidR="004C2AF8" w:rsidRPr="00D26556">
              <w:t>konkurētspējīgāko</w:t>
            </w:r>
            <w:r w:rsidR="00D0172E" w:rsidRPr="00D26556">
              <w:t xml:space="preserve"> un</w:t>
            </w:r>
            <w:r w:rsidR="00904139" w:rsidRPr="00D26556">
              <w:t xml:space="preserve"> </w:t>
            </w:r>
            <w:r w:rsidR="008D0E24" w:rsidRPr="00D26556">
              <w:t xml:space="preserve">zinātniski </w:t>
            </w:r>
            <w:r w:rsidR="00D0172E" w:rsidRPr="00D26556">
              <w:t>kvalitatīv</w:t>
            </w:r>
            <w:r w:rsidR="004C2AF8" w:rsidRPr="00D26556">
              <w:t>āko pētniecības pieteikumu īstenošanu</w:t>
            </w:r>
            <w:r w:rsidR="008D0E24" w:rsidRPr="00D26556">
              <w:t>.</w:t>
            </w:r>
          </w:p>
          <w:p w14:paraId="762F3910" w14:textId="029609FD" w:rsidR="00163E9F" w:rsidRPr="00D26556" w:rsidRDefault="00CF6AFD" w:rsidP="00230DEB">
            <w:pPr>
              <w:numPr>
                <w:ilvl w:val="0"/>
                <w:numId w:val="3"/>
              </w:numPr>
              <w:tabs>
                <w:tab w:val="left" w:pos="327"/>
              </w:tabs>
              <w:spacing w:before="120" w:line="252" w:lineRule="auto"/>
              <w:ind w:left="45" w:right="102" w:firstLine="0"/>
              <w:jc w:val="both"/>
            </w:pPr>
            <w:r w:rsidRPr="00D26556">
              <w:t>Spēkā esošo noteikumu Nr. 50</w:t>
            </w:r>
            <w:r w:rsidR="00163E9F" w:rsidRPr="00D26556">
              <w:t xml:space="preserve"> </w:t>
            </w:r>
            <w:r w:rsidRPr="00D26556">
              <w:t xml:space="preserve">6.1.1.1. un 6.1.2.1. apakšpunktā iznākuma rādītāja nosaukums minēts kā "atbalstītajās vienībās izveidoto jaunu pētnieku amata vietu skaits pilna darba laika ekvivalenta izteiksmē". </w:t>
            </w:r>
            <w:r w:rsidR="00F54E9E" w:rsidRPr="00D26556">
              <w:t>A</w:t>
            </w:r>
            <w:r w:rsidRPr="00D26556">
              <w:t xml:space="preserve">tbilstoši Eiropas Parlamenta un Padomes Regulas (ES) Nr. 1301/2013 (2013. gada 17. decembris) par Eiropas Reģionālās attīstības fondu un īpašiem noteikumiem attiecībā uz mērķi "Investīcijas izaugsmei un nodarbinātībai" un ar ko atceļ Regulu (EK) Nr. 1080/2006 </w:t>
            </w:r>
            <w:r w:rsidR="00F07D73" w:rsidRPr="00D26556">
              <w:t xml:space="preserve">(turpmāk – Regula Nr. 1301/2013) </w:t>
            </w:r>
            <w:r w:rsidRPr="00D26556">
              <w:t>1. pielikumā "ERAF atbalsta kopējie iznākuma rādītāji mērķim "Investīcijas izaugsmei un nodarbinātībai" (6. pants)"</w:t>
            </w:r>
            <w:r w:rsidRPr="00D26556">
              <w:rPr>
                <w:vertAlign w:val="superscript"/>
              </w:rPr>
              <w:footnoteReference w:id="2"/>
            </w:r>
            <w:r w:rsidRPr="00D26556">
              <w:t xml:space="preserve"> noteiktajai E</w:t>
            </w:r>
            <w:r w:rsidR="00544D98" w:rsidRPr="00D26556">
              <w:t xml:space="preserve">iropas </w:t>
            </w:r>
            <w:r w:rsidRPr="00D26556">
              <w:t>K</w:t>
            </w:r>
            <w:r w:rsidR="00544D98" w:rsidRPr="00D26556">
              <w:t>omisijas (turpmāk – EK)</w:t>
            </w:r>
            <w:r w:rsidRPr="00D26556">
              <w:t xml:space="preserve"> kopējā iznākuma rādītāja i.1.1.1.bk (CO24) definīcijai, iznākuma rādītāja nosaukums ir "Jaunu pētnieku skaits atbalstītajās vienībās"</w:t>
            </w:r>
            <w:r w:rsidR="00F07D73" w:rsidRPr="00D26556">
              <w:t xml:space="preserve">. </w:t>
            </w:r>
          </w:p>
          <w:p w14:paraId="383E0D25" w14:textId="1B302278" w:rsidR="00544D98" w:rsidRPr="00D26556" w:rsidRDefault="00163E9F" w:rsidP="00230DEB">
            <w:pPr>
              <w:tabs>
                <w:tab w:val="left" w:pos="327"/>
              </w:tabs>
              <w:spacing w:line="252" w:lineRule="auto"/>
              <w:ind w:left="45" w:right="102"/>
              <w:jc w:val="both"/>
            </w:pPr>
            <w:r w:rsidRPr="00D26556">
              <w:t>Savukārt, n</w:t>
            </w:r>
            <w:r w:rsidR="00544D98" w:rsidRPr="00D26556">
              <w:t xml:space="preserve">oteikumu Nr. 50 6.1.1.4. un 6.1.2.4. apakšpunktā iznākuma rādītāja nosaukums minēts kā "piesaistītās privātās investīcijas pētniecības pieteikumu īstenošanai", </w:t>
            </w:r>
            <w:r w:rsidRPr="00D26556">
              <w:t xml:space="preserve">kamēr </w:t>
            </w:r>
            <w:r w:rsidR="00544D98" w:rsidRPr="00D26556">
              <w:t xml:space="preserve">darbības programmā  "Izaugsme un nodarbinātība" iznākuma rādītāja i.1.1.1.f nosaukums ir </w:t>
            </w:r>
            <w:r w:rsidR="00544D98" w:rsidRPr="00D26556">
              <w:lastRenderedPageBreak/>
              <w:t>"privātās investīcijas, kas papildina valsts atbalstu inovācijām vai pētniecības un izstrādes projektiem".</w:t>
            </w:r>
          </w:p>
          <w:p w14:paraId="113F3B5D" w14:textId="489866DF" w:rsidR="003F639F" w:rsidRPr="00D26556" w:rsidRDefault="00163E9F" w:rsidP="00230DEB">
            <w:pPr>
              <w:tabs>
                <w:tab w:val="left" w:pos="414"/>
              </w:tabs>
              <w:spacing w:line="252" w:lineRule="auto"/>
              <w:ind w:right="102"/>
              <w:jc w:val="both"/>
            </w:pPr>
            <w:r w:rsidRPr="00D26556">
              <w:t xml:space="preserve">Ievērojot minēto, lai nodrošinātu noteikumu Nr. 50 6. punktā iekļauto iznākuma rādītāju nosaukumu atbilstību gan Regulā Nr. 1301/2013 definētajam EK kopējā iznākuma rādītāja i.1.1.1.bk (CO24) nosaukumam, gan darbības programmā "Izaugsme un nodarbinātība", tostarp 1.1.1. specifiskā atbalsta mērķa "Palielināt Latvijas zinātnisko institūciju pētniecisko un inovatīvo kapacitāti un spēju piesaistīt ārējo finansējumu, ieguldot cilvēkresursos un infrastruktūrā" rādītāju pasē noteiktajam, nepieciešams veikt grozījumu noteikumu Nr. 50 6.1.1.1. un 6.1.2.1. apakšpunktā, izsakot iznākuma rādītāja nosaukumu </w:t>
            </w:r>
            <w:r w:rsidR="00744034" w:rsidRPr="00D26556">
              <w:t xml:space="preserve">kā </w:t>
            </w:r>
            <w:r w:rsidRPr="00D26556">
              <w:t xml:space="preserve">"Jaunu pētnieku skaits atbalstītajās vienībās (pilnas slodzes ekvivalents)", </w:t>
            </w:r>
            <w:r w:rsidR="00744034" w:rsidRPr="00D26556">
              <w:t>kā arī</w:t>
            </w:r>
            <w:r w:rsidRPr="00D26556">
              <w:t xml:space="preserve"> </w:t>
            </w:r>
            <w:r w:rsidR="00544D98" w:rsidRPr="00D26556">
              <w:t>6.1.1.4. un 6.1.2.4. apakšpunktā</w:t>
            </w:r>
            <w:r w:rsidRPr="00D26556">
              <w:t xml:space="preserve"> noteikto </w:t>
            </w:r>
            <w:r w:rsidR="00544D98" w:rsidRPr="00D26556">
              <w:t>rādītāja nosaukumu</w:t>
            </w:r>
            <w:r w:rsidRPr="00D26556">
              <w:t xml:space="preserve"> izsakot</w:t>
            </w:r>
            <w:r w:rsidR="00544D98" w:rsidRPr="00D26556">
              <w:t xml:space="preserve"> </w:t>
            </w:r>
            <w:r w:rsidRPr="00D26556">
              <w:t>kā</w:t>
            </w:r>
            <w:r w:rsidR="00544D98" w:rsidRPr="00D26556">
              <w:t xml:space="preserve"> "privātās investīcijas, kas papildina valsts atbalstu inovācijām vai pētniecības un izstrādes projektiem".</w:t>
            </w:r>
          </w:p>
          <w:p w14:paraId="0B41E3D4" w14:textId="19AF4238" w:rsidR="007E2F6B" w:rsidRPr="00D26556" w:rsidRDefault="00AD7F8B" w:rsidP="00230DEB">
            <w:pPr>
              <w:tabs>
                <w:tab w:val="left" w:pos="414"/>
              </w:tabs>
              <w:spacing w:before="120" w:line="252" w:lineRule="auto"/>
              <w:ind w:right="102"/>
              <w:jc w:val="both"/>
            </w:pPr>
            <w:r w:rsidRPr="00D26556">
              <w:t>3</w:t>
            </w:r>
            <w:r w:rsidR="00EF4BF7" w:rsidRPr="00D26556">
              <w:t xml:space="preserve">. </w:t>
            </w:r>
            <w:r w:rsidR="00FD072F" w:rsidRPr="00D26556">
              <w:t xml:space="preserve">Spēkā esošais noteikumu Nr. 50 </w:t>
            </w:r>
            <w:r w:rsidR="007A4FE1" w:rsidRPr="00D26556">
              <w:t>9. punkt</w:t>
            </w:r>
            <w:r w:rsidR="00387C1A" w:rsidRPr="00D26556">
              <w:t xml:space="preserve">s </w:t>
            </w:r>
            <w:r w:rsidR="0002587B" w:rsidRPr="00D26556">
              <w:t xml:space="preserve">paredz, ka </w:t>
            </w:r>
            <w:r w:rsidR="002F6DBF" w:rsidRPr="00D26556">
              <w:t>1.1.1.2. pasākuma kopēj</w:t>
            </w:r>
            <w:r w:rsidR="007A4FE1" w:rsidRPr="00D26556">
              <w:t>o</w:t>
            </w:r>
            <w:r w:rsidR="002F6DBF" w:rsidRPr="00D26556">
              <w:t xml:space="preserve"> attiecinām</w:t>
            </w:r>
            <w:r w:rsidR="007A4FE1" w:rsidRPr="00D26556">
              <w:t xml:space="preserve">o </w:t>
            </w:r>
            <w:r w:rsidR="002F6DBF" w:rsidRPr="00D26556">
              <w:t>finansējum</w:t>
            </w:r>
            <w:r w:rsidR="007A4FE1" w:rsidRPr="00D26556">
              <w:t>u</w:t>
            </w:r>
            <w:r w:rsidR="002F6DBF" w:rsidRPr="00D26556">
              <w:t xml:space="preserve"> </w:t>
            </w:r>
            <w:r w:rsidR="007A4FE1" w:rsidRPr="00D26556">
              <w:t>veido</w:t>
            </w:r>
            <w:r w:rsidR="002F6DBF" w:rsidRPr="00D26556">
              <w:t xml:space="preserve"> </w:t>
            </w:r>
            <w:r w:rsidR="0002587B" w:rsidRPr="00D26556">
              <w:t xml:space="preserve">šādi finansēšanas avoti: </w:t>
            </w:r>
            <w:r w:rsidR="002F6DBF" w:rsidRPr="00D26556">
              <w:t>E</w:t>
            </w:r>
            <w:r w:rsidR="007A4FE1" w:rsidRPr="00D26556">
              <w:t>iropas Reģionālās attīstības fonda</w:t>
            </w:r>
            <w:r w:rsidR="002F6DBF" w:rsidRPr="00D26556">
              <w:t xml:space="preserve"> </w:t>
            </w:r>
            <w:r w:rsidR="00DD116F" w:rsidRPr="00D26556">
              <w:t xml:space="preserve">(turpmāk – ERAF) </w:t>
            </w:r>
            <w:r w:rsidR="002F6DBF" w:rsidRPr="00D26556">
              <w:t>finansējums, valsts bud</w:t>
            </w:r>
            <w:r w:rsidR="00FC55D1" w:rsidRPr="00D26556">
              <w:t>žeta finansējums</w:t>
            </w:r>
            <w:r w:rsidR="002F6DBF" w:rsidRPr="00D26556">
              <w:t xml:space="preserve"> un privātais līdzfinans</w:t>
            </w:r>
            <w:r w:rsidR="0002587B" w:rsidRPr="00D26556">
              <w:t>ējums</w:t>
            </w:r>
            <w:r w:rsidR="008E557A" w:rsidRPr="00D26556">
              <w:t>, neparedzot finansēšanu no citiem publiskajiem finanšu resursiem</w:t>
            </w:r>
            <w:r w:rsidR="00FC55D1" w:rsidRPr="00D26556">
              <w:t xml:space="preserve">. </w:t>
            </w:r>
            <w:r w:rsidR="00043752" w:rsidRPr="00D26556">
              <w:t>Tikmēr noteikumu Nr. 50 42. punkts paredz, ka pētniecības pieteikumu iesniedzēji ar saimniecisku darbību nesaistītu pētniecības pieteikuma īstenošanai nepieciešamo līdzfinansējumu 15 % a</w:t>
            </w:r>
            <w:r w:rsidR="00505433" w:rsidRPr="00D26556">
              <w:t xml:space="preserve">pmērā var nodrošināt no </w:t>
            </w:r>
            <w:r w:rsidR="00043752" w:rsidRPr="00D26556">
              <w:t>valsts bud</w:t>
            </w:r>
            <w:r w:rsidR="00505433" w:rsidRPr="00D26556">
              <w:t xml:space="preserve">žeta finansējuma 10 % apmērā un </w:t>
            </w:r>
            <w:r w:rsidR="00043752" w:rsidRPr="00D26556">
              <w:t>5 % apmērā no citiem pētniecības pieteikumu iesniedzēju rīcībā esošiem finanšu resursiem, tai skaitā līdzek</w:t>
            </w:r>
            <w:r w:rsidR="00CE4915" w:rsidRPr="00D26556">
              <w:t>ļiem</w:t>
            </w:r>
            <w:r w:rsidR="00043752" w:rsidRPr="00D26556">
              <w:t xml:space="preserve"> no savas saimnieciskās darbības, kredītresursiem, ieguldījumiem natūrā vai citiem finanšu resursiem</w:t>
            </w:r>
            <w:r w:rsidR="00505433" w:rsidRPr="00D26556">
              <w:t xml:space="preserve">. </w:t>
            </w:r>
            <w:r w:rsidR="000C0161" w:rsidRPr="00D26556">
              <w:t>Attiecīgi</w:t>
            </w:r>
            <w:r w:rsidR="00043752" w:rsidRPr="00D26556">
              <w:t xml:space="preserve">, </w:t>
            </w:r>
            <w:r w:rsidR="00340456" w:rsidRPr="00D26556">
              <w:t xml:space="preserve">pētniecības pieteikumu iesniedzējs </w:t>
            </w:r>
            <w:r w:rsidR="00043752" w:rsidRPr="00D26556">
              <w:t>ar saimniecisko darbību nesaistīta pētniecības pieteikuma līdzfinansējuma nodrošināšanai</w:t>
            </w:r>
            <w:r w:rsidR="00797287" w:rsidRPr="00D26556">
              <w:t xml:space="preserve"> </w:t>
            </w:r>
            <w:r w:rsidR="00043752" w:rsidRPr="00D26556">
              <w:t>5 </w:t>
            </w:r>
            <w:r w:rsidR="00651727" w:rsidRPr="00D26556">
              <w:t>procentu</w:t>
            </w:r>
            <w:r w:rsidR="00043752" w:rsidRPr="00D26556">
              <w:t xml:space="preserve"> apmērā</w:t>
            </w:r>
            <w:r w:rsidR="00801FB5" w:rsidRPr="00D26556">
              <w:t xml:space="preserve"> no kopējām pētniecības pieteikuma attiecināmajām izmaksām</w:t>
            </w:r>
            <w:r w:rsidR="00043752" w:rsidRPr="00D26556">
              <w:t>,</w:t>
            </w:r>
            <w:r w:rsidR="00797287" w:rsidRPr="00D26556">
              <w:t xml:space="preserve"> saskaņā ar noteikumu Nr. 50 42.2. apakšpunktu,</w:t>
            </w:r>
            <w:r w:rsidR="00043752" w:rsidRPr="00D26556">
              <w:t xml:space="preserve"> </w:t>
            </w:r>
            <w:r w:rsidR="00797287" w:rsidRPr="00D26556">
              <w:t xml:space="preserve">var nodrošināt no to rīcībā esošiem finanšu līdzekļiem, </w:t>
            </w:r>
            <w:r w:rsidR="00043752" w:rsidRPr="00D26556">
              <w:t xml:space="preserve">tostarp var piesaistīt zinātnes bāzes finansējumu, </w:t>
            </w:r>
            <w:r w:rsidR="00801FB5" w:rsidRPr="00D26556">
              <w:t>ko valsts zinātniskajai institūcijai piešķir saskaņā ar normatīvajiem aktiem par kār</w:t>
            </w:r>
            <w:r w:rsidR="001D4011" w:rsidRPr="00D26556">
              <w:t>t</w:t>
            </w:r>
            <w:r w:rsidR="00801FB5" w:rsidRPr="00D26556">
              <w:t xml:space="preserve">ību, kādā </w:t>
            </w:r>
            <w:r w:rsidR="00183BFE" w:rsidRPr="00D26556">
              <w:t>aprēķina un piešķir valsts budžeta līdzekļus valsts zinātniskajām institūcijām to pamatdarbības īstenošanai</w:t>
            </w:r>
            <w:r w:rsidR="00183BFE" w:rsidRPr="00D26556">
              <w:rPr>
                <w:rStyle w:val="FootnoteReference"/>
              </w:rPr>
              <w:footnoteReference w:id="3"/>
            </w:r>
            <w:r w:rsidR="00AA653D" w:rsidRPr="00D26556">
              <w:t>. Minēto publisko finansējumu nevar uzskatīt par privāto līdzfinansējumu, tajā pat laikā tas nav tiešais valsts budžeta līdzfinansējums, kā to paredz noteikumu Nr. 50 42.1. </w:t>
            </w:r>
            <w:r w:rsidR="00196ACC" w:rsidRPr="00D26556">
              <w:t>apakš</w:t>
            </w:r>
            <w:r w:rsidR="00AA653D" w:rsidRPr="00D26556">
              <w:t>punkts.</w:t>
            </w:r>
          </w:p>
          <w:p w14:paraId="79CE001F" w14:textId="77777777" w:rsidR="00505433" w:rsidRPr="00D26556" w:rsidRDefault="007A4FE1" w:rsidP="00230DEB">
            <w:pPr>
              <w:tabs>
                <w:tab w:val="left" w:pos="327"/>
              </w:tabs>
              <w:spacing w:line="252" w:lineRule="auto"/>
              <w:ind w:left="45" w:right="102"/>
              <w:jc w:val="both"/>
            </w:pPr>
            <w:r w:rsidRPr="00D26556">
              <w:t>Ņemot vērā minēto, lai</w:t>
            </w:r>
            <w:r w:rsidR="00995C24" w:rsidRPr="00D26556">
              <w:t xml:space="preserve"> nodrošinātu noteikumu Nr. 50 </w:t>
            </w:r>
            <w:r w:rsidR="00415D1D" w:rsidRPr="00D26556">
              <w:t xml:space="preserve">ietverto </w:t>
            </w:r>
            <w:r w:rsidR="00995C24" w:rsidRPr="00D26556">
              <w:t xml:space="preserve">normu </w:t>
            </w:r>
            <w:r w:rsidR="006E0A73" w:rsidRPr="00D26556">
              <w:t xml:space="preserve">vieglāku uztveramību un </w:t>
            </w:r>
            <w:r w:rsidR="00995C24" w:rsidRPr="00D26556">
              <w:t>savstarpēju atbilstību</w:t>
            </w:r>
            <w:r w:rsidR="00A11BF8" w:rsidRPr="00D26556">
              <w:t xml:space="preserve">, </w:t>
            </w:r>
            <w:r w:rsidRPr="00D26556">
              <w:t>noteikumu projekts paredz precizēt noteikumu Nr. 50</w:t>
            </w:r>
            <w:r w:rsidR="00505433" w:rsidRPr="00D26556">
              <w:t>:</w:t>
            </w:r>
          </w:p>
          <w:p w14:paraId="6EE7A9BB" w14:textId="77777777" w:rsidR="00505433" w:rsidRPr="00D26556" w:rsidRDefault="007A4FE1" w:rsidP="00230DEB">
            <w:pPr>
              <w:numPr>
                <w:ilvl w:val="0"/>
                <w:numId w:val="7"/>
              </w:numPr>
              <w:spacing w:line="252" w:lineRule="auto"/>
              <w:ind w:right="102"/>
              <w:jc w:val="both"/>
            </w:pPr>
            <w:r w:rsidRPr="00D26556">
              <w:t>9. punkt</w:t>
            </w:r>
            <w:r w:rsidR="00DD116F" w:rsidRPr="00D26556">
              <w:t xml:space="preserve">u, nosakot, ka 1.1.1.2. pasākuma kopējo attiecināmo finansējumu veido ERAF finansējums, valsts budžets un nacionālais privātais līdzfinansējums. </w:t>
            </w:r>
            <w:r w:rsidR="004544F6" w:rsidRPr="00D26556">
              <w:t xml:space="preserve">Šajā gadījumā nacionālais privātais līdzfinansējums ietver sevī gan institūciju piesaistīto </w:t>
            </w:r>
            <w:r w:rsidR="004544F6" w:rsidRPr="00D26556">
              <w:lastRenderedPageBreak/>
              <w:t>privāto līdzfinansējumu</w:t>
            </w:r>
            <w:r w:rsidR="004544F6" w:rsidRPr="00D26556">
              <w:rPr>
                <w:rStyle w:val="FootnoteReference"/>
              </w:rPr>
              <w:footnoteReference w:id="4"/>
            </w:r>
            <w:r w:rsidR="004544F6" w:rsidRPr="00D26556">
              <w:t>, gan ar saimniecisko darbību nesaistītu pētniecības pieteikumu iesniedzēju piesaistīto publisko līdzfinansējumu, piemēram, zinātnes bāzes finansēju</w:t>
            </w:r>
            <w:r w:rsidR="00505433" w:rsidRPr="00D26556">
              <w:t>mu;</w:t>
            </w:r>
          </w:p>
          <w:p w14:paraId="38B46A41" w14:textId="77777777" w:rsidR="00053DDE" w:rsidRPr="00D26556" w:rsidRDefault="00505433" w:rsidP="00230DEB">
            <w:pPr>
              <w:numPr>
                <w:ilvl w:val="0"/>
                <w:numId w:val="7"/>
              </w:numPr>
              <w:spacing w:line="252" w:lineRule="auto"/>
              <w:ind w:right="102"/>
              <w:jc w:val="both"/>
            </w:pPr>
            <w:r w:rsidRPr="00D26556">
              <w:t xml:space="preserve">42.2. apakšpunktu, papildinot, </w:t>
            </w:r>
            <w:r w:rsidR="00F32331" w:rsidRPr="00D26556">
              <w:t>ka ar saimniecisko darbību nesaistītu pētniecības pieteikumu līdzfinansējumu tostarp var piesaistīt no zinātnisko institūciju rīcībā esošā zinātnes bāzes finansējuma, ko piešķir saskaņā ar normatīvajiem aktiem par kārtību, kādā paredzami valsts budžeta līdzekļi valsts zinātniskās institūcijas pamatdarbību īstenošanai</w:t>
            </w:r>
            <w:r w:rsidR="00053DDE" w:rsidRPr="00D26556">
              <w:t>;</w:t>
            </w:r>
          </w:p>
          <w:p w14:paraId="48677088" w14:textId="262B0021" w:rsidR="00773D81" w:rsidRPr="00D26556" w:rsidRDefault="00053DDE" w:rsidP="00230DEB">
            <w:pPr>
              <w:numPr>
                <w:ilvl w:val="0"/>
                <w:numId w:val="7"/>
              </w:numPr>
              <w:spacing w:line="252" w:lineRule="auto"/>
              <w:ind w:right="102"/>
              <w:jc w:val="both"/>
            </w:pPr>
            <w:r w:rsidRPr="00D26556">
              <w:t>46. punktu, viennozīm</w:t>
            </w:r>
            <w:r w:rsidR="007A57CB" w:rsidRPr="00D26556">
              <w:t>īgi nosakot, ka</w:t>
            </w:r>
            <w:r w:rsidRPr="00D26556">
              <w:t xml:space="preserve"> </w:t>
            </w:r>
            <w:r w:rsidR="007A57CB" w:rsidRPr="00D26556">
              <w:t xml:space="preserve">1.1.1.2. pasākuma ietvaros </w:t>
            </w:r>
            <w:r w:rsidRPr="00D26556">
              <w:t>ar saimniecisko darbību saist</w:t>
            </w:r>
            <w:r w:rsidR="007A57CB" w:rsidRPr="00D26556">
              <w:t>ītu</w:t>
            </w:r>
            <w:r w:rsidRPr="00D26556">
              <w:t xml:space="preserve"> pētniecības pieteikumu </w:t>
            </w:r>
            <w:r w:rsidR="007A57CB" w:rsidRPr="00D26556">
              <w:t>īstenotāju atbilstoši noteikumu Nr. 50 46. punktam piesaistītais līdzfinansējums ir privātais līdzfinansējums.</w:t>
            </w:r>
          </w:p>
          <w:p w14:paraId="60903D68" w14:textId="160B9535" w:rsidR="00811E2E" w:rsidRPr="00D26556" w:rsidRDefault="00995C24" w:rsidP="00230DEB">
            <w:pPr>
              <w:spacing w:line="252" w:lineRule="auto"/>
              <w:ind w:left="112" w:right="102"/>
              <w:jc w:val="both"/>
            </w:pPr>
            <w:r w:rsidRPr="00D26556">
              <w:t>Tādējādi, aģentūra kā ERAF projekta Nr.1.1.1.2/16/I/001 “Atbalsts pēcdoktorantūras pētniecības īstenošanai” finansējuma saņēmējs n</w:t>
            </w:r>
            <w:r w:rsidR="00DD116F" w:rsidRPr="00D26556">
              <w:t>acion</w:t>
            </w:r>
            <w:r w:rsidRPr="00D26556">
              <w:t>ālā</w:t>
            </w:r>
            <w:r w:rsidR="00DD116F" w:rsidRPr="00D26556">
              <w:t xml:space="preserve"> priv</w:t>
            </w:r>
            <w:r w:rsidRPr="00D26556">
              <w:t>ātā</w:t>
            </w:r>
            <w:r w:rsidR="00DD116F" w:rsidRPr="00D26556">
              <w:t xml:space="preserve"> līdzfinans</w:t>
            </w:r>
            <w:r w:rsidRPr="00D26556">
              <w:t>ējuma</w:t>
            </w:r>
            <w:r w:rsidR="00A55BF9" w:rsidRPr="00D26556">
              <w:t xml:space="preserve"> ietvaros</w:t>
            </w:r>
            <w:r w:rsidR="00DD116F" w:rsidRPr="00D26556">
              <w:t xml:space="preserve"> ietver</w:t>
            </w:r>
            <w:r w:rsidR="006731E5" w:rsidRPr="00D26556">
              <w:t>tu</w:t>
            </w:r>
            <w:r w:rsidR="00DD116F" w:rsidRPr="00D26556">
              <w:t xml:space="preserve"> gan pētniecības pieteikumu iesniedzēju atbilstoši noteikumu Nr. 50 42.2. apakšpunktam piesaistīto nepieciešamo līdzfinansējumu no citiem ar saimniecisko darbību nesaistītu pētniecības pieteikumu iesniedzēju rīcībā esošiem līdzekļiem, tostarp </w:t>
            </w:r>
            <w:r w:rsidR="005B2589" w:rsidRPr="00D26556">
              <w:t>publiskā finansējuma (piemēram</w:t>
            </w:r>
            <w:r w:rsidR="00CA0748" w:rsidRPr="00D26556">
              <w:t xml:space="preserve">, </w:t>
            </w:r>
            <w:r w:rsidR="00DD116F" w:rsidRPr="00D26556">
              <w:t>zinātnes bāzes finans</w:t>
            </w:r>
            <w:r w:rsidR="00A55BF9" w:rsidRPr="00D26556">
              <w:t>ējuma</w:t>
            </w:r>
            <w:r w:rsidR="00CA0748" w:rsidRPr="00D26556">
              <w:t>)</w:t>
            </w:r>
            <w:r w:rsidR="00A55BF9" w:rsidRPr="00D26556">
              <w:t>, kā arī ar saimniecisko darbību saistītu pētniecības pieteikumu iesniedzēju</w:t>
            </w:r>
            <w:r w:rsidRPr="00D26556">
              <w:t xml:space="preserve"> atbilstoši šo noteikumu Nr. 50 46. punktā</w:t>
            </w:r>
            <w:r w:rsidR="00A55BF9" w:rsidRPr="00D26556">
              <w:t xml:space="preserve"> </w:t>
            </w:r>
            <w:r w:rsidRPr="00D26556">
              <w:t xml:space="preserve">noteiktajam </w:t>
            </w:r>
            <w:r w:rsidR="00A55BF9" w:rsidRPr="00D26556">
              <w:t>piesaistīto privāto līdzfinansējumu</w:t>
            </w:r>
            <w:r w:rsidR="006731E5" w:rsidRPr="00D26556">
              <w:t>.</w:t>
            </w:r>
          </w:p>
          <w:p w14:paraId="2B0E2A5B" w14:textId="74D49CEA" w:rsidR="00D9787A" w:rsidRPr="00D26556" w:rsidRDefault="00AD7F8B" w:rsidP="00230DEB">
            <w:pPr>
              <w:tabs>
                <w:tab w:val="left" w:pos="367"/>
              </w:tabs>
              <w:spacing w:before="120" w:line="252" w:lineRule="auto"/>
              <w:ind w:left="113" w:right="102"/>
              <w:jc w:val="both"/>
              <w:rPr>
                <w:rFonts w:ascii="Calibri" w:eastAsia="MS Gothic" w:hAnsi="Calibri"/>
                <w:sz w:val="22"/>
                <w:szCs w:val="22"/>
              </w:rPr>
            </w:pPr>
            <w:r w:rsidRPr="00D26556">
              <w:t>4.</w:t>
            </w:r>
            <w:r w:rsidR="008133B3" w:rsidRPr="00D26556">
              <w:t>N</w:t>
            </w:r>
            <w:r w:rsidR="008B1D44" w:rsidRPr="00D26556">
              <w:t>oteikumu</w:t>
            </w:r>
            <w:r w:rsidR="00D50811" w:rsidRPr="00D26556">
              <w:t xml:space="preserve"> Nr. 50</w:t>
            </w:r>
            <w:r w:rsidR="008133B3" w:rsidRPr="00D26556">
              <w:t xml:space="preserve"> 18. punktā noteikts</w:t>
            </w:r>
            <w:r w:rsidR="008B1D44" w:rsidRPr="00D26556">
              <w:t xml:space="preserve">, ka </w:t>
            </w:r>
            <w:r w:rsidR="00260FB6" w:rsidRPr="00D26556">
              <w:t>aģentūra</w:t>
            </w:r>
            <w:r w:rsidR="00D9787A" w:rsidRPr="00D26556">
              <w:t>,</w:t>
            </w:r>
            <w:r w:rsidR="008B1D44" w:rsidRPr="00D26556">
              <w:t xml:space="preserve"> organizē</w:t>
            </w:r>
            <w:r w:rsidR="00292431" w:rsidRPr="00D26556">
              <w:t>jot</w:t>
            </w:r>
            <w:r w:rsidR="008B1D44" w:rsidRPr="00D26556">
              <w:t xml:space="preserve"> pētniecības pieteikumu vērtēšanu, zinātniskās kvalitātes novērtē</w:t>
            </w:r>
            <w:r w:rsidR="00292431" w:rsidRPr="00D26556">
              <w:t>šanai piesaista</w:t>
            </w:r>
            <w:r w:rsidR="008B1D44" w:rsidRPr="00D26556">
              <w:t xml:space="preserve"> </w:t>
            </w:r>
            <w:r w:rsidR="00596289" w:rsidRPr="00D26556">
              <w:t>Eiropas Komisijas</w:t>
            </w:r>
            <w:r w:rsidR="00C04A0D" w:rsidRPr="00D26556">
              <w:t xml:space="preserve"> </w:t>
            </w:r>
            <w:r w:rsidR="00596289" w:rsidRPr="00D26556">
              <w:t xml:space="preserve">(turpmāk – EK) </w:t>
            </w:r>
            <w:r w:rsidR="008B1D44" w:rsidRPr="00D26556">
              <w:t>ekspertu datubāzē iekļautos ekspertus.</w:t>
            </w:r>
            <w:r w:rsidR="00292431" w:rsidRPr="00D26556">
              <w:t xml:space="preserve"> </w:t>
            </w:r>
          </w:p>
          <w:p w14:paraId="597BA3C6" w14:textId="77777777" w:rsidR="00D50811" w:rsidRPr="00D26556" w:rsidRDefault="00D9787A" w:rsidP="00230DEB">
            <w:pPr>
              <w:tabs>
                <w:tab w:val="left" w:pos="367"/>
              </w:tabs>
              <w:spacing w:line="252" w:lineRule="auto"/>
              <w:ind w:left="113" w:right="102"/>
              <w:jc w:val="both"/>
            </w:pPr>
            <w:r w:rsidRPr="00D26556">
              <w:t xml:space="preserve">Aģentūra, </w:t>
            </w:r>
            <w:r w:rsidR="00EF646F" w:rsidRPr="00D26556">
              <w:t xml:space="preserve">2018. gada </w:t>
            </w:r>
            <w:r w:rsidR="00A83D9E" w:rsidRPr="00D26556">
              <w:t>pirmajā pusgadā</w:t>
            </w:r>
            <w:r w:rsidR="00EF646F" w:rsidRPr="00D26556">
              <w:t>,</w:t>
            </w:r>
            <w:r w:rsidR="007A2B20" w:rsidRPr="00D26556">
              <w:t xml:space="preserve"> </w:t>
            </w:r>
            <w:r w:rsidR="00EF646F" w:rsidRPr="00D26556">
              <w:t>organizējot p</w:t>
            </w:r>
            <w:r w:rsidR="00292431" w:rsidRPr="00D26556">
              <w:t>ētniecības pieteikumu otrās atlases kārtas ietvaros</w:t>
            </w:r>
            <w:r w:rsidR="00EF646F" w:rsidRPr="00D26556">
              <w:t xml:space="preserve"> </w:t>
            </w:r>
            <w:r w:rsidR="00292431" w:rsidRPr="00D26556">
              <w:t>iesniegto pētniecības pieteikumu zinātniskās kvalitātes vērtē</w:t>
            </w:r>
            <w:r w:rsidR="00CE57C5" w:rsidRPr="00D26556">
              <w:t xml:space="preserve">šanas procesu, konstatēja </w:t>
            </w:r>
            <w:r w:rsidR="00C04A0D" w:rsidRPr="00D26556">
              <w:t>EK</w:t>
            </w:r>
            <w:r w:rsidR="00292431" w:rsidRPr="00D26556">
              <w:t xml:space="preserve"> ekspertu datubāzes </w:t>
            </w:r>
            <w:r w:rsidR="00CE57C5" w:rsidRPr="00D26556">
              <w:t>pieejamības traucējumus, kas ietekmē</w:t>
            </w:r>
            <w:r w:rsidR="007A2B20" w:rsidRPr="00D26556">
              <w:t>ja</w:t>
            </w:r>
            <w:r w:rsidR="00A83D9E" w:rsidRPr="00D26556">
              <w:t xml:space="preserve"> pētniecības pieteikumu atlases procesu</w:t>
            </w:r>
            <w:r w:rsidR="007A2B20" w:rsidRPr="00D26556">
              <w:t>,</w:t>
            </w:r>
            <w:r w:rsidR="00CE57C5" w:rsidRPr="00D26556">
              <w:t xml:space="preserve"> radot nobīdes </w:t>
            </w:r>
            <w:r w:rsidR="00A83D9E" w:rsidRPr="00D26556">
              <w:t>sākotnēji plānotajā laika grafikā</w:t>
            </w:r>
            <w:r w:rsidR="00CE57C5" w:rsidRPr="00D26556">
              <w:t xml:space="preserve">. </w:t>
            </w:r>
            <w:r w:rsidR="00D50811" w:rsidRPr="00D26556">
              <w:t xml:space="preserve">Tostarp ar līdzīgu problēmu saistībā ar </w:t>
            </w:r>
            <w:r w:rsidR="00C04A0D" w:rsidRPr="00D26556">
              <w:t xml:space="preserve">EK </w:t>
            </w:r>
            <w:r w:rsidR="00D50811" w:rsidRPr="00D26556">
              <w:t xml:space="preserve">ekspertu datubāzes darbības pārrāvumu ir saskārusies arī Centrālā finanšu un līgumu aģentūra organizējot citu </w:t>
            </w:r>
            <w:r w:rsidR="00C04A0D" w:rsidRPr="00D26556">
              <w:t>ES fondu</w:t>
            </w:r>
            <w:r w:rsidR="00D50811" w:rsidRPr="00D26556">
              <w:t xml:space="preserve"> specifisko atbalsta mērķu un pasākumu</w:t>
            </w:r>
            <w:r w:rsidR="00AB324C" w:rsidRPr="00D26556">
              <w:t xml:space="preserve">, </w:t>
            </w:r>
            <w:r w:rsidRPr="00D26556">
              <w:t>to</w:t>
            </w:r>
            <w:r w:rsidR="009E0489" w:rsidRPr="00D26556">
              <w:t>s</w:t>
            </w:r>
            <w:r w:rsidRPr="00D26556">
              <w:t>tarp</w:t>
            </w:r>
            <w:r w:rsidR="00AB324C" w:rsidRPr="00D26556">
              <w:t xml:space="preserve"> 1.1.1.1. pasākuma „Praktiskas ievirzes pētījumi”</w:t>
            </w:r>
            <w:r w:rsidR="00D50811" w:rsidRPr="00D26556">
              <w:t xml:space="preserve"> ietvaros iesniegto projektu iesniegumu vērtēšanu.</w:t>
            </w:r>
          </w:p>
          <w:p w14:paraId="7746BE0A" w14:textId="6A74ECAB" w:rsidR="00AD64DE" w:rsidRPr="00D26556" w:rsidRDefault="00AB324C" w:rsidP="00230DEB">
            <w:pPr>
              <w:tabs>
                <w:tab w:val="left" w:pos="396"/>
              </w:tabs>
              <w:spacing w:line="252" w:lineRule="auto"/>
              <w:ind w:left="104" w:right="102"/>
              <w:jc w:val="both"/>
            </w:pPr>
            <w:r w:rsidRPr="00D26556">
              <w:t>L</w:t>
            </w:r>
            <w:r w:rsidR="002B1EAF" w:rsidRPr="00D26556">
              <w:t xml:space="preserve">ai </w:t>
            </w:r>
            <w:r w:rsidR="005D788B" w:rsidRPr="00D26556">
              <w:t>nodrošinātu nepārtrauktu un savlaicīgu pētniecības pieteikumu zinātniskās kvalitātes izvērtēšanas procesu,</w:t>
            </w:r>
            <w:r w:rsidR="00EF646F" w:rsidRPr="00D26556">
              <w:t xml:space="preserve"> </w:t>
            </w:r>
            <w:r w:rsidR="00D50811" w:rsidRPr="00D26556">
              <w:t xml:space="preserve">nepieciešams papildināt </w:t>
            </w:r>
            <w:r w:rsidR="00EF646F" w:rsidRPr="00D26556">
              <w:t>noteikumu Nr. 50 18. punktu</w:t>
            </w:r>
            <w:r w:rsidR="001B2A27" w:rsidRPr="00D26556">
              <w:t xml:space="preserve"> un 19.1. apakšpunktu</w:t>
            </w:r>
            <w:r w:rsidR="00EF646F" w:rsidRPr="00D26556">
              <w:t xml:space="preserve">, paredzot, ka </w:t>
            </w:r>
            <w:r w:rsidR="00260FB6" w:rsidRPr="00D26556">
              <w:t>aģentūra</w:t>
            </w:r>
            <w:r w:rsidR="00EF646F" w:rsidRPr="00D26556">
              <w:t xml:space="preserve"> pētniecības pieteikumu novērtēšanai var piesaistīt </w:t>
            </w:r>
            <w:r w:rsidR="001D4110" w:rsidRPr="00D26556">
              <w:t xml:space="preserve">līdzvērtīgā ārvalstu zinātnisko </w:t>
            </w:r>
            <w:r w:rsidR="00EF646F" w:rsidRPr="00D26556">
              <w:t>eksper</w:t>
            </w:r>
            <w:r w:rsidR="00534FC2" w:rsidRPr="00D26556">
              <w:t xml:space="preserve">tu datubāzē iekļautus ekspertus, kas atbilst visiem </w:t>
            </w:r>
            <w:r w:rsidR="00985113" w:rsidRPr="00D26556">
              <w:t>noteikumu Nr. 50 18.</w:t>
            </w:r>
            <w:r w:rsidR="00985113" w:rsidRPr="00D26556" w:rsidDel="00985113">
              <w:t xml:space="preserve"> </w:t>
            </w:r>
            <w:r w:rsidR="00985113" w:rsidRPr="00D26556">
              <w:t xml:space="preserve">punktā </w:t>
            </w:r>
            <w:r w:rsidR="00534FC2" w:rsidRPr="00D26556">
              <w:t>ārvalstu ekspertu atlasei noteiktajiem kritērijiem.</w:t>
            </w:r>
          </w:p>
          <w:p w14:paraId="6FF5810A" w14:textId="282D4E0C" w:rsidR="00DA620A" w:rsidRPr="00D26556" w:rsidRDefault="004D380A" w:rsidP="00230DEB">
            <w:pPr>
              <w:numPr>
                <w:ilvl w:val="0"/>
                <w:numId w:val="18"/>
              </w:numPr>
              <w:tabs>
                <w:tab w:val="left" w:pos="185"/>
                <w:tab w:val="left" w:pos="371"/>
                <w:tab w:val="left" w:pos="543"/>
              </w:tabs>
              <w:spacing w:before="120" w:line="252" w:lineRule="auto"/>
              <w:ind w:left="43" w:right="102" w:firstLine="0"/>
              <w:jc w:val="both"/>
            </w:pPr>
            <w:r w:rsidRPr="00D26556">
              <w:lastRenderedPageBreak/>
              <w:t>Saskaņā ar spēkā esošo noteikumu Nr. 50 19. punktu, aģentūra</w:t>
            </w:r>
            <w:r w:rsidR="00E55A46" w:rsidRPr="00D26556">
              <w:t>i</w:t>
            </w:r>
            <w:r w:rsidRPr="00D26556">
              <w:t xml:space="preserve"> </w:t>
            </w:r>
            <w:r w:rsidR="00E55A46" w:rsidRPr="00D26556">
              <w:t>jā</w:t>
            </w:r>
            <w:r w:rsidRPr="00D26556">
              <w:t>nodrošina pētniecības pieteikumu vidusposma rezultātu zinātniskās kvalitātes</w:t>
            </w:r>
            <w:r w:rsidR="00E55A46" w:rsidRPr="00D26556">
              <w:t xml:space="preserve"> izvērtējuma</w:t>
            </w:r>
            <w:r w:rsidR="003A51D3" w:rsidRPr="00D26556">
              <w:rPr>
                <w:rStyle w:val="FootnoteReference"/>
              </w:rPr>
              <w:footnoteReference w:id="5"/>
            </w:r>
            <w:r w:rsidR="00E55A46" w:rsidRPr="00D26556">
              <w:t xml:space="preserve"> organizēšana, piesaistot ārvalstu ekspertus</w:t>
            </w:r>
            <w:r w:rsidRPr="00D26556">
              <w:t xml:space="preserve">, lai </w:t>
            </w:r>
            <w:r w:rsidR="00E55A46" w:rsidRPr="00D26556">
              <w:t>pētniecības pieteikuma īstenošanas vidusposmā iegūtu saturisko novērtējumu par pēcdoktoranta īstenoto pētījumu un rekomendācijas, kas nepieciešamības gadījumā pamatotu izmaiņas un grozījumus pētniec</w:t>
            </w:r>
            <w:r w:rsidR="003E09A8" w:rsidRPr="00D26556">
              <w:t>ības pieteikumā plānoto</w:t>
            </w:r>
            <w:r w:rsidR="00E55A46" w:rsidRPr="00D26556">
              <w:t xml:space="preserve"> darbību un aktivitāšu plānā, </w:t>
            </w:r>
            <w:r w:rsidR="003A51D3" w:rsidRPr="00D26556">
              <w:t>tādējādi sekmējot plānoto rezultātu sasniegšanu</w:t>
            </w:r>
            <w:r w:rsidR="00E55A46" w:rsidRPr="00D26556">
              <w:t xml:space="preserve">. </w:t>
            </w:r>
          </w:p>
          <w:p w14:paraId="38643CC4" w14:textId="77777777" w:rsidR="00365AFC" w:rsidRPr="00D26556" w:rsidRDefault="006C574D" w:rsidP="00230DEB">
            <w:pPr>
              <w:tabs>
                <w:tab w:val="left" w:pos="112"/>
                <w:tab w:val="left" w:pos="417"/>
              </w:tabs>
              <w:spacing w:line="252" w:lineRule="auto"/>
              <w:ind w:right="102"/>
              <w:jc w:val="both"/>
            </w:pPr>
            <w:r w:rsidRPr="00D26556">
              <w:t>P</w:t>
            </w:r>
            <w:r w:rsidR="00365AFC" w:rsidRPr="00D26556">
              <w:t>ētniecības pieteikumu vidusposma rezultātu zinātniskās kvalitātes izvērtē</w:t>
            </w:r>
            <w:r w:rsidRPr="00D26556">
              <w:t>šanas process paredz</w:t>
            </w:r>
            <w:r w:rsidR="00365AFC" w:rsidRPr="00D26556">
              <w:t>,</w:t>
            </w:r>
            <w:r w:rsidRPr="00D26556">
              <w:t xml:space="preserve"> ka</w:t>
            </w:r>
            <w:r w:rsidR="00365AFC" w:rsidRPr="00D26556">
              <w:t>:</w:t>
            </w:r>
          </w:p>
          <w:p w14:paraId="787C06D6" w14:textId="77777777" w:rsidR="00365AFC" w:rsidRPr="00D26556" w:rsidRDefault="006C574D" w:rsidP="00230DEB">
            <w:pPr>
              <w:numPr>
                <w:ilvl w:val="0"/>
                <w:numId w:val="9"/>
              </w:numPr>
              <w:tabs>
                <w:tab w:val="left" w:pos="417"/>
              </w:tabs>
              <w:spacing w:line="252" w:lineRule="auto"/>
              <w:ind w:right="102"/>
              <w:jc w:val="both"/>
            </w:pPr>
            <w:r w:rsidRPr="00D26556">
              <w:t xml:space="preserve">aģentūra veic </w:t>
            </w:r>
            <w:r w:rsidR="00365AFC" w:rsidRPr="00D26556">
              <w:t xml:space="preserve">pētniecības pieteikumu iesniegtās vidusposma rezultātu zinātniskās kvalitātes ziņojuma </w:t>
            </w:r>
            <w:r w:rsidRPr="00D26556">
              <w:t xml:space="preserve">dokumentācijas </w:t>
            </w:r>
            <w:r w:rsidR="00365AFC" w:rsidRPr="00D26556">
              <w:t>administrat</w:t>
            </w:r>
            <w:r w:rsidRPr="00D26556">
              <w:t>īvo</w:t>
            </w:r>
            <w:r w:rsidR="00365AFC" w:rsidRPr="00D26556">
              <w:t xml:space="preserve"> un atbilstības vērtē</w:t>
            </w:r>
            <w:r w:rsidRPr="00D26556">
              <w:t>šanu</w:t>
            </w:r>
            <w:r w:rsidR="00365AFC" w:rsidRPr="00D26556">
              <w:t xml:space="preserve">, </w:t>
            </w:r>
            <w:r w:rsidRPr="00D26556">
              <w:t xml:space="preserve">lai </w:t>
            </w:r>
            <w:r w:rsidR="00802BB3" w:rsidRPr="00D26556">
              <w:t>pārbaudītu</w:t>
            </w:r>
            <w:r w:rsidR="00365AFC" w:rsidRPr="00D26556">
              <w:t>, vai pētniecības pieteikumu īstenotāji ir iesnieguši kvalitatīvi aizpildītu ziņojumu;</w:t>
            </w:r>
          </w:p>
          <w:p w14:paraId="491F4590" w14:textId="77777777" w:rsidR="00F66929" w:rsidRPr="00D26556" w:rsidRDefault="006C574D" w:rsidP="00230DEB">
            <w:pPr>
              <w:numPr>
                <w:ilvl w:val="0"/>
                <w:numId w:val="9"/>
              </w:numPr>
              <w:tabs>
                <w:tab w:val="left" w:pos="417"/>
              </w:tabs>
              <w:spacing w:line="252" w:lineRule="auto"/>
              <w:ind w:right="102"/>
              <w:jc w:val="both"/>
            </w:pPr>
            <w:r w:rsidRPr="00D26556">
              <w:t xml:space="preserve">aģentūra nodrošina </w:t>
            </w:r>
            <w:r w:rsidR="00F66929" w:rsidRPr="00D26556">
              <w:t>EK ekspertu datubāzē iekļautu</w:t>
            </w:r>
            <w:r w:rsidRPr="00D26556">
              <w:t xml:space="preserve"> ekspertu atlasi </w:t>
            </w:r>
            <w:r w:rsidR="00F66929" w:rsidRPr="00D26556">
              <w:t>un līgumu slēg</w:t>
            </w:r>
            <w:r w:rsidRPr="00D26556">
              <w:t>šanu</w:t>
            </w:r>
            <w:r w:rsidR="00F66929" w:rsidRPr="00D26556">
              <w:t xml:space="preserve"> par vidusposma rezultātu zinātniskās kvalitātes izvērtēšanu;</w:t>
            </w:r>
          </w:p>
          <w:p w14:paraId="4FBC8F09" w14:textId="77777777" w:rsidR="00F66929" w:rsidRPr="00D26556" w:rsidRDefault="00F66929" w:rsidP="00230DEB">
            <w:pPr>
              <w:numPr>
                <w:ilvl w:val="0"/>
                <w:numId w:val="9"/>
              </w:numPr>
              <w:tabs>
                <w:tab w:val="left" w:pos="417"/>
              </w:tabs>
              <w:spacing w:line="252" w:lineRule="auto"/>
              <w:ind w:right="102"/>
              <w:jc w:val="both"/>
            </w:pPr>
            <w:r w:rsidRPr="00D26556">
              <w:t xml:space="preserve">EK eksperti </w:t>
            </w:r>
            <w:r w:rsidR="00802BB3" w:rsidRPr="00D26556">
              <w:t xml:space="preserve">izvērtē </w:t>
            </w:r>
            <w:r w:rsidRPr="00D26556">
              <w:t>individuāl</w:t>
            </w:r>
            <w:r w:rsidR="006C574D" w:rsidRPr="00D26556">
              <w:t>o pētniecības pieteikuma vidusposma rezultātu zinātnisk</w:t>
            </w:r>
            <w:r w:rsidR="00802BB3" w:rsidRPr="00D26556">
              <w:t>o</w:t>
            </w:r>
            <w:r w:rsidR="006C574D" w:rsidRPr="00D26556">
              <w:t xml:space="preserve"> kvalitāt</w:t>
            </w:r>
            <w:r w:rsidR="00802BB3" w:rsidRPr="00D26556">
              <w:t>i</w:t>
            </w:r>
            <w:r w:rsidRPr="00D26556">
              <w:t xml:space="preserve"> un </w:t>
            </w:r>
            <w:r w:rsidR="006C574D" w:rsidRPr="00D26556">
              <w:t xml:space="preserve">sagatavo </w:t>
            </w:r>
            <w:r w:rsidRPr="00D26556">
              <w:t>konsolidēt</w:t>
            </w:r>
            <w:r w:rsidR="006C574D" w:rsidRPr="00D26556">
              <w:t>o</w:t>
            </w:r>
            <w:r w:rsidRPr="00D26556">
              <w:t xml:space="preserve"> vērt</w:t>
            </w:r>
            <w:r w:rsidR="006C574D" w:rsidRPr="00D26556">
              <w:t>ējumu;</w:t>
            </w:r>
          </w:p>
          <w:p w14:paraId="0FC8316D" w14:textId="77777777" w:rsidR="0026197B" w:rsidRPr="00D26556" w:rsidRDefault="001B745B" w:rsidP="00230DEB">
            <w:pPr>
              <w:numPr>
                <w:ilvl w:val="0"/>
                <w:numId w:val="9"/>
              </w:numPr>
              <w:tabs>
                <w:tab w:val="left" w:pos="417"/>
              </w:tabs>
              <w:spacing w:line="252" w:lineRule="auto"/>
              <w:ind w:right="102"/>
              <w:jc w:val="both"/>
            </w:pPr>
            <w:r w:rsidRPr="00D26556">
              <w:t>a</w:t>
            </w:r>
            <w:r w:rsidR="006C574D" w:rsidRPr="00D26556">
              <w:t xml:space="preserve">ģentūra </w:t>
            </w:r>
            <w:r w:rsidR="00802BB3" w:rsidRPr="00D26556">
              <w:t>saskaņo</w:t>
            </w:r>
            <w:r w:rsidR="006C574D" w:rsidRPr="00D26556">
              <w:t xml:space="preserve"> </w:t>
            </w:r>
            <w:r w:rsidR="00F66929" w:rsidRPr="00D26556">
              <w:t>EK ekspertu konsolidēt</w:t>
            </w:r>
            <w:r w:rsidR="00802BB3" w:rsidRPr="00D26556">
              <w:t>o</w:t>
            </w:r>
            <w:r w:rsidR="00F66929" w:rsidRPr="00D26556">
              <w:t xml:space="preserve"> vērtējum</w:t>
            </w:r>
            <w:r w:rsidR="00802BB3" w:rsidRPr="00D26556">
              <w:t>u</w:t>
            </w:r>
            <w:r w:rsidR="00F66929" w:rsidRPr="00D26556">
              <w:t xml:space="preserve"> ar pē</w:t>
            </w:r>
            <w:r w:rsidR="00D9787A" w:rsidRPr="00D26556">
              <w:t>tniecības pieteikumu</w:t>
            </w:r>
            <w:r w:rsidR="00AB6CD1" w:rsidRPr="00D26556">
              <w:t xml:space="preserve"> īstenotājiem</w:t>
            </w:r>
            <w:r w:rsidR="00F66929" w:rsidRPr="00D26556">
              <w:t xml:space="preserve"> </w:t>
            </w:r>
            <w:r w:rsidR="00AB6CD1" w:rsidRPr="00D26556">
              <w:t>un Izglītības un zinātnes ministriju kā atbildīgo iestādi,</w:t>
            </w:r>
            <w:r w:rsidR="00D9787A" w:rsidRPr="00D26556">
              <w:t xml:space="preserve"> nepieciešamības gadījumā sagatavojot </w:t>
            </w:r>
            <w:r w:rsidR="00AB6CD1" w:rsidRPr="00D26556">
              <w:t>līguma par pētniecības pieteikumu īstenošanu groz</w:t>
            </w:r>
            <w:r w:rsidR="00D9787A" w:rsidRPr="00D26556">
              <w:t>ījumus</w:t>
            </w:r>
            <w:r w:rsidR="00AB6CD1" w:rsidRPr="00D26556">
              <w:t>.</w:t>
            </w:r>
          </w:p>
          <w:p w14:paraId="0E1CDE52" w14:textId="77777777" w:rsidR="0026197B" w:rsidRPr="00D26556" w:rsidRDefault="001B745B" w:rsidP="00230DEB">
            <w:pPr>
              <w:tabs>
                <w:tab w:val="left" w:pos="112"/>
              </w:tabs>
              <w:spacing w:line="252" w:lineRule="auto"/>
              <w:ind w:left="112" w:right="102"/>
              <w:jc w:val="both"/>
            </w:pPr>
            <w:r w:rsidRPr="00D26556">
              <w:t>Līdzšinēj</w:t>
            </w:r>
            <w:r w:rsidR="00DA620A" w:rsidRPr="00D26556">
              <w:t>ā</w:t>
            </w:r>
            <w:r w:rsidRPr="00D26556">
              <w:t xml:space="preserve"> </w:t>
            </w:r>
            <w:r w:rsidR="00DA620A" w:rsidRPr="00D26556">
              <w:t>1.1.1.2. pasākuma</w:t>
            </w:r>
            <w:r w:rsidRPr="00D26556">
              <w:t xml:space="preserve"> pētniecības pieteikumu vidusposma rezultātu kvalitātes izvērtēšanas</w:t>
            </w:r>
            <w:r w:rsidR="00802BB3" w:rsidRPr="00D26556">
              <w:t xml:space="preserve"> pieredze</w:t>
            </w:r>
            <w:r w:rsidRPr="00D26556">
              <w:t xml:space="preserve"> </w:t>
            </w:r>
            <w:r w:rsidR="00802BB3" w:rsidRPr="00D26556">
              <w:t>liecina</w:t>
            </w:r>
            <w:r w:rsidR="00DA620A" w:rsidRPr="00D26556">
              <w:t xml:space="preserve">, ka no </w:t>
            </w:r>
            <w:r w:rsidR="00103AD0" w:rsidRPr="00D26556">
              <w:t>pētniecības pieteikuma īstenotāj</w:t>
            </w:r>
            <w:r w:rsidR="00D9787A" w:rsidRPr="00D26556">
              <w:t>u</w:t>
            </w:r>
            <w:r w:rsidR="00103AD0" w:rsidRPr="00D26556">
              <w:t xml:space="preserve"> </w:t>
            </w:r>
            <w:r w:rsidR="00DA620A" w:rsidRPr="00D26556">
              <w:t xml:space="preserve">vidusposma </w:t>
            </w:r>
            <w:r w:rsidR="003A51D3" w:rsidRPr="00D26556">
              <w:t xml:space="preserve">izvērtējumam nepieciešamās </w:t>
            </w:r>
            <w:r w:rsidR="00DA620A" w:rsidRPr="00D26556">
              <w:t xml:space="preserve">dokumentācijas iesniegšanas līdz </w:t>
            </w:r>
            <w:r w:rsidR="00D9787A" w:rsidRPr="00D26556">
              <w:t>EK</w:t>
            </w:r>
            <w:r w:rsidR="00103AD0" w:rsidRPr="00D26556">
              <w:t xml:space="preserve"> ekspertu konsolidētā </w:t>
            </w:r>
            <w:r w:rsidR="00DA620A" w:rsidRPr="00D26556">
              <w:t xml:space="preserve">vērtējuma saskaņošanai vidēji paiet </w:t>
            </w:r>
            <w:r w:rsidRPr="00D26556">
              <w:t>divi mēneši</w:t>
            </w:r>
            <w:r w:rsidR="0026197B" w:rsidRPr="00D26556">
              <w:t>.</w:t>
            </w:r>
          </w:p>
          <w:p w14:paraId="6EED23A7" w14:textId="77777777" w:rsidR="00143E3E" w:rsidRDefault="005B5C5C" w:rsidP="00230DEB">
            <w:pPr>
              <w:tabs>
                <w:tab w:val="left" w:pos="417"/>
              </w:tabs>
              <w:spacing w:line="252" w:lineRule="auto"/>
              <w:ind w:left="112" w:right="102"/>
              <w:jc w:val="both"/>
            </w:pPr>
            <w:r w:rsidRPr="00D26556">
              <w:t>1.1.1.2. pasākuma pirmās un otrās atlases kārtas ietvaros, pēcdoktoranti lielākoties ir paredzējuši, ka pētniec</w:t>
            </w:r>
            <w:r w:rsidR="00A300FD" w:rsidRPr="00D26556">
              <w:t>ības pieteikumus</w:t>
            </w:r>
            <w:r w:rsidR="00456159" w:rsidRPr="00D26556">
              <w:t xml:space="preserve"> </w:t>
            </w:r>
            <w:r w:rsidR="00A300FD" w:rsidRPr="00D26556">
              <w:t>īstenos</w:t>
            </w:r>
            <w:r w:rsidRPr="00D26556">
              <w:t xml:space="preserve"> 36 mēnešus, kas saskaņā ar noteikumu Nr. 50 31. punktu ir maksimālais</w:t>
            </w:r>
            <w:r w:rsidR="003E09A8" w:rsidRPr="00D26556">
              <w:t xml:space="preserve"> iespējamais</w:t>
            </w:r>
            <w:r w:rsidRPr="00D26556">
              <w:t xml:space="preserve"> pētniecības pieteikuma īstenošanas termiņš. </w:t>
            </w:r>
            <w:r w:rsidR="003A51D3" w:rsidRPr="00D26556">
              <w:t xml:space="preserve">Attiecīgi, šajos gadījumos </w:t>
            </w:r>
            <w:r w:rsidR="005C044A" w:rsidRPr="00D26556">
              <w:t>v</w:t>
            </w:r>
            <w:r w:rsidR="00E55A46" w:rsidRPr="00D26556">
              <w:t xml:space="preserve">idusposma rezultātu zinātniskās kvalitātes vērtējums </w:t>
            </w:r>
            <w:r w:rsidR="005C044A" w:rsidRPr="00D26556">
              <w:t xml:space="preserve">pārsvarā </w:t>
            </w:r>
            <w:r w:rsidR="00E55A46" w:rsidRPr="00D26556">
              <w:t xml:space="preserve">tiek veikts </w:t>
            </w:r>
            <w:r w:rsidR="005C044A" w:rsidRPr="00D26556">
              <w:t>pētniecības pieteikumu</w:t>
            </w:r>
            <w:r w:rsidR="003E09A8" w:rsidRPr="00D26556">
              <w:t xml:space="preserve"> </w:t>
            </w:r>
            <w:r w:rsidR="005C044A" w:rsidRPr="00D26556">
              <w:t>15</w:t>
            </w:r>
            <w:r w:rsidR="00985113" w:rsidRPr="00D26556">
              <w:t>.</w:t>
            </w:r>
            <w:r w:rsidR="005C044A" w:rsidRPr="00D26556">
              <w:t> </w:t>
            </w:r>
            <w:r w:rsidR="00985113" w:rsidRPr="00D26556">
              <w:t>–</w:t>
            </w:r>
            <w:r w:rsidR="005C044A" w:rsidRPr="00D26556">
              <w:t> 20</w:t>
            </w:r>
            <w:r w:rsidR="00985113" w:rsidRPr="00D26556">
              <w:t>.</w:t>
            </w:r>
            <w:r w:rsidR="003E09A8" w:rsidRPr="00D26556">
              <w:t xml:space="preserve"> </w:t>
            </w:r>
            <w:r w:rsidR="005C044A" w:rsidRPr="00D26556">
              <w:t>īstenošanas mēnesī</w:t>
            </w:r>
            <w:r w:rsidR="003E09A8" w:rsidRPr="00D26556">
              <w:t>.</w:t>
            </w:r>
            <w:r w:rsidR="006C574D" w:rsidRPr="00D26556">
              <w:t xml:space="preserve"> </w:t>
            </w:r>
          </w:p>
          <w:p w14:paraId="347D10AB" w14:textId="70766B6E" w:rsidR="00AA7765" w:rsidRDefault="006C574D" w:rsidP="00230DEB">
            <w:pPr>
              <w:tabs>
                <w:tab w:val="left" w:pos="417"/>
              </w:tabs>
              <w:spacing w:line="252" w:lineRule="auto"/>
              <w:ind w:left="112" w:right="102"/>
              <w:jc w:val="both"/>
            </w:pPr>
            <w:r w:rsidRPr="00D26556">
              <w:t xml:space="preserve">Tomēr, </w:t>
            </w:r>
            <w:r w:rsidR="00365AFC" w:rsidRPr="00D26556">
              <w:t>1.1.1.2. pasākuma otrās atlases kārtas ietvaros ir ar saimniecisko darbību saistīts pētniec</w:t>
            </w:r>
            <w:r w:rsidRPr="00D26556">
              <w:t>ības pieteikums, kura</w:t>
            </w:r>
            <w:r w:rsidR="00DB09CA" w:rsidRPr="00D26556">
              <w:t xml:space="preserve"> īstenošanas ilgums</w:t>
            </w:r>
            <w:r w:rsidR="00365AFC" w:rsidRPr="00D26556">
              <w:t xml:space="preserve"> plānots mazāks par 12 mēnešiem</w:t>
            </w:r>
            <w:r w:rsidR="00143E3E">
              <w:t>, kas kopsakarā ar iepriekš minēto var radīt situāciju, ka</w:t>
            </w:r>
            <w:r w:rsidR="00143E3E" w:rsidRPr="008E626F">
              <w:t xml:space="preserve"> </w:t>
            </w:r>
            <w:r w:rsidR="00143E3E">
              <w:t>pēcdoktorantam</w:t>
            </w:r>
            <w:r w:rsidR="00143E3E" w:rsidRPr="008E626F">
              <w:t xml:space="preserve"> ir </w:t>
            </w:r>
            <w:r w:rsidR="00143E3E">
              <w:t>jāuzsāk</w:t>
            </w:r>
            <w:r w:rsidR="00143E3E" w:rsidRPr="008E626F">
              <w:t xml:space="preserve"> </w:t>
            </w:r>
            <w:r w:rsidR="00143E3E">
              <w:t xml:space="preserve">pētniecības pieteikuma </w:t>
            </w:r>
            <w:r w:rsidR="00143E3E" w:rsidRPr="008E626F">
              <w:t xml:space="preserve">vidusposma rezultātu zinātniskās kvalitātes </w:t>
            </w:r>
            <w:r w:rsidR="00143E3E">
              <w:t>atskaišu gatavošana</w:t>
            </w:r>
            <w:r w:rsidR="00143E3E" w:rsidRPr="008E626F">
              <w:t xml:space="preserve"> vien pāris mēnešu</w:t>
            </w:r>
            <w:r w:rsidR="00143E3E">
              <w:t>s</w:t>
            </w:r>
            <w:r w:rsidR="00143E3E" w:rsidRPr="008E626F">
              <w:t xml:space="preserve"> pēc </w:t>
            </w:r>
            <w:r w:rsidR="00143E3E">
              <w:t>pētniecības pieteikuma īstenošanas uzsākšanas</w:t>
            </w:r>
            <w:r w:rsidR="00143E3E" w:rsidRPr="008E626F">
              <w:t>,</w:t>
            </w:r>
            <w:r w:rsidR="00143E3E">
              <w:t xml:space="preserve"> kā arī var radīt situāciju,</w:t>
            </w:r>
            <w:r w:rsidR="00143E3E" w:rsidRPr="008E626F">
              <w:t xml:space="preserve"> ka </w:t>
            </w:r>
            <w:r w:rsidR="00143E3E">
              <w:t xml:space="preserve">vidusposma rezultātu </w:t>
            </w:r>
            <w:r w:rsidR="00143E3E" w:rsidRPr="008E626F">
              <w:t>zinātniskās kvalitātes izvērtē</w:t>
            </w:r>
            <w:r w:rsidR="00143E3E">
              <w:t>jumu pēcdoktorants saņem</w:t>
            </w:r>
            <w:r w:rsidR="00143E3E" w:rsidRPr="008E626F">
              <w:t xml:space="preserve"> brīdī, kad jau ir uzsākta gala </w:t>
            </w:r>
            <w:r w:rsidR="00143E3E">
              <w:t xml:space="preserve">rezultātu </w:t>
            </w:r>
            <w:r w:rsidR="00143E3E" w:rsidRPr="008E626F">
              <w:lastRenderedPageBreak/>
              <w:t xml:space="preserve">zinātniskās kvalitātes izvērtējuma atskaišu sagatavošana un </w:t>
            </w:r>
            <w:r w:rsidR="00143E3E">
              <w:t xml:space="preserve">līdz ar to vidusposma izvērtējumā </w:t>
            </w:r>
            <w:r w:rsidR="00143E3E" w:rsidRPr="008E626F">
              <w:t xml:space="preserve">izteikto </w:t>
            </w:r>
            <w:r w:rsidR="00143E3E">
              <w:t>ieteikumu</w:t>
            </w:r>
            <w:r w:rsidR="00143E3E" w:rsidRPr="008E626F">
              <w:t xml:space="preserve"> ieviešana </w:t>
            </w:r>
            <w:r w:rsidR="00143E3E">
              <w:t xml:space="preserve">pētniecības pieteikuma </w:t>
            </w:r>
            <w:r w:rsidR="00143E3E" w:rsidRPr="008E626F">
              <w:t>īstenošanā</w:t>
            </w:r>
            <w:r w:rsidR="00143E3E" w:rsidRPr="00446908">
              <w:t xml:space="preserve"> </w:t>
            </w:r>
            <w:r w:rsidR="00143E3E">
              <w:t xml:space="preserve">nav </w:t>
            </w:r>
            <w:r w:rsidR="00143E3E" w:rsidRPr="00446908">
              <w:t>iespējam</w:t>
            </w:r>
            <w:r w:rsidR="00143E3E">
              <w:t>a</w:t>
            </w:r>
            <w:r w:rsidR="00143E3E" w:rsidRPr="008E626F">
              <w:t>.</w:t>
            </w:r>
            <w:r w:rsidR="00143E3E">
              <w:t xml:space="preserve"> </w:t>
            </w:r>
          </w:p>
          <w:p w14:paraId="1AB32C20" w14:textId="42FDBBBF" w:rsidR="00143E3E" w:rsidRDefault="00AA7765" w:rsidP="00230DEB">
            <w:pPr>
              <w:tabs>
                <w:tab w:val="left" w:pos="417"/>
              </w:tabs>
              <w:spacing w:line="252" w:lineRule="auto"/>
              <w:ind w:left="112" w:right="102"/>
              <w:jc w:val="both"/>
            </w:pPr>
            <w:r w:rsidRPr="00AA7765">
              <w:t>Aģentūra</w:t>
            </w:r>
            <w:r w:rsidR="0084065F">
              <w:t>, v</w:t>
            </w:r>
            <w:r>
              <w:t>eicot</w:t>
            </w:r>
            <w:r w:rsidR="0084065F">
              <w:t xml:space="preserve"> 1.1.1.2. pasākuma ietvaros īstenoto</w:t>
            </w:r>
            <w:r>
              <w:t xml:space="preserve"> pētniec</w:t>
            </w:r>
            <w:r w:rsidR="0084065F">
              <w:t>ības pieteikumu</w:t>
            </w:r>
            <w:r>
              <w:t xml:space="preserve"> uzraudzību,</w:t>
            </w:r>
            <w:r w:rsidRPr="00AA7765">
              <w:t xml:space="preserve"> </w:t>
            </w:r>
            <w:r w:rsidR="00D20D94">
              <w:t xml:space="preserve">regulāri (reizi ceturksnī) </w:t>
            </w:r>
            <w:r w:rsidRPr="00AA7765">
              <w:t xml:space="preserve">pie pētniecības pieteikuma īstenotāja maksājumu pieprasījuma pamatojošās dokumentācijas pārbaudes, tostarp monitorē plānoto darbību un rezultātu kvantitatīvo izpildes progresu. </w:t>
            </w:r>
            <w:r w:rsidR="00D20D94">
              <w:t>Kā rezultātā</w:t>
            </w:r>
            <w:r>
              <w:t>,</w:t>
            </w:r>
            <w:r w:rsidRPr="00AA7765">
              <w:t xml:space="preserve"> aģentūra </w:t>
            </w:r>
            <w:r>
              <w:t xml:space="preserve">jau </w:t>
            </w:r>
            <w:r w:rsidRPr="00AA7765">
              <w:t xml:space="preserve">savlaicīgi varēs konstatēt plānoto rezultātu nesasniegšanas risku un </w:t>
            </w:r>
            <w:r w:rsidR="0088309A" w:rsidRPr="0088309A">
              <w:t>preventīvi </w:t>
            </w:r>
            <w:r w:rsidRPr="00AA7765">
              <w:t>veikt nepieciešamos pasākumus, lai pētniecības pie</w:t>
            </w:r>
            <w:r w:rsidR="00D20D94">
              <w:t>teikuma, kura īstenošanas ilgums plānots mazāks par 12 mēnešiem, īstenotājs novērstu konstatētos riskus un mazinātu</w:t>
            </w:r>
            <w:r w:rsidR="0088309A" w:rsidRPr="0088309A">
              <w:t> risku</w:t>
            </w:r>
            <w:r w:rsidR="00D20D94">
              <w:t xml:space="preserve"> iestāšanās varbūtību. </w:t>
            </w:r>
          </w:p>
          <w:p w14:paraId="7DFB8EB7" w14:textId="0A04607D" w:rsidR="00F918EE" w:rsidRPr="00D26556" w:rsidRDefault="00E42CB2" w:rsidP="00230DEB">
            <w:pPr>
              <w:tabs>
                <w:tab w:val="left" w:pos="417"/>
                <w:tab w:val="left" w:pos="457"/>
              </w:tabs>
              <w:spacing w:line="252" w:lineRule="auto"/>
              <w:ind w:left="113" w:right="102"/>
              <w:jc w:val="both"/>
            </w:pPr>
            <w:r>
              <w:t>Ievērojot minēto un, l</w:t>
            </w:r>
            <w:r w:rsidR="00DB09CA" w:rsidRPr="00D26556">
              <w:t>ai</w:t>
            </w:r>
            <w:r w:rsidR="002515AB" w:rsidRPr="00D26556">
              <w:t xml:space="preserve"> </w:t>
            </w:r>
            <w:r w:rsidR="002E0C45" w:rsidRPr="00D26556">
              <w:t xml:space="preserve">saglabātu uzraudzības procesa būtību un lietderību, </w:t>
            </w:r>
            <w:r w:rsidR="002515AB" w:rsidRPr="00D26556">
              <w:t>mazinātu administratīvo slogu,</w:t>
            </w:r>
            <w:r w:rsidR="002E0C45" w:rsidRPr="00D26556">
              <w:rPr>
                <w:lang w:eastAsia="en-US"/>
              </w:rPr>
              <w:t xml:space="preserve"> </w:t>
            </w:r>
            <w:r w:rsidR="002E0C45" w:rsidRPr="00D26556">
              <w:t xml:space="preserve">un neradītu situāciju, ka </w:t>
            </w:r>
            <w:r w:rsidR="00760E8A" w:rsidRPr="00D26556">
              <w:t>pētniecības pieteikuma īstenotājam</w:t>
            </w:r>
            <w:r w:rsidR="002E0C45" w:rsidRPr="00D26556">
              <w:t xml:space="preserve"> ir jāsāk gatavot projektu vidusposma rezultātu zinātniskās kvalitātes atskaites vien pāris mēnešus pēc </w:t>
            </w:r>
            <w:r w:rsidR="00760E8A" w:rsidRPr="00D26556">
              <w:t xml:space="preserve">pētniecības pieteikuma </w:t>
            </w:r>
            <w:r w:rsidR="002E0C45" w:rsidRPr="00D26556">
              <w:t>īstenošanas uzsākšanas,</w:t>
            </w:r>
            <w:r w:rsidR="001B745B" w:rsidRPr="00D26556">
              <w:t xml:space="preserve"> </w:t>
            </w:r>
            <w:r w:rsidR="00E55A46" w:rsidRPr="00D26556">
              <w:t xml:space="preserve">nepieciešams </w:t>
            </w:r>
            <w:r w:rsidR="003E09A8" w:rsidRPr="00D26556">
              <w:t xml:space="preserve">papildināt </w:t>
            </w:r>
            <w:r w:rsidR="00E55A46" w:rsidRPr="00D26556">
              <w:t>noteikumu</w:t>
            </w:r>
            <w:r w:rsidR="003E09A8" w:rsidRPr="00D26556">
              <w:t>s</w:t>
            </w:r>
            <w:r w:rsidR="00E55A46" w:rsidRPr="00D26556">
              <w:t xml:space="preserve"> Nr. 50</w:t>
            </w:r>
            <w:r w:rsidR="00DB09CA" w:rsidRPr="00D26556">
              <w:t>,</w:t>
            </w:r>
            <w:r w:rsidR="00E55A46" w:rsidRPr="00D26556">
              <w:t xml:space="preserve"> paredzot, ka </w:t>
            </w:r>
            <w:r w:rsidR="001B745B" w:rsidRPr="00D26556">
              <w:t>p</w:t>
            </w:r>
            <w:r w:rsidR="003E09A8" w:rsidRPr="00D26556">
              <w:t xml:space="preserve">ētniecības pieteikumiem, kuru īstenošanas periods </w:t>
            </w:r>
            <w:r w:rsidR="006E1817" w:rsidRPr="00D26556">
              <w:t xml:space="preserve">nepārsniedz </w:t>
            </w:r>
            <w:r w:rsidR="003E09A8" w:rsidRPr="00D26556">
              <w:t>12 mēneš</w:t>
            </w:r>
            <w:r w:rsidR="006E1817" w:rsidRPr="00D26556">
              <w:t>us,</w:t>
            </w:r>
            <w:r w:rsidR="003E09A8" w:rsidRPr="00D26556">
              <w:t xml:space="preserve"> netiek veikts vidusposma rezultātu zinātniskās kvalitātes izvērtējums. </w:t>
            </w:r>
            <w:r w:rsidR="001B745B" w:rsidRPr="00D26556">
              <w:t>G</w:t>
            </w:r>
            <w:r w:rsidR="003E09A8" w:rsidRPr="00D26556">
              <w:t xml:space="preserve">ala rezultātu zinātniskās kvalitātes izvērtējums </w:t>
            </w:r>
            <w:r w:rsidR="001B745B" w:rsidRPr="00D26556">
              <w:t xml:space="preserve">tiek veiks </w:t>
            </w:r>
            <w:r w:rsidR="00D9787A" w:rsidRPr="00D26556">
              <w:t xml:space="preserve">visiem </w:t>
            </w:r>
            <w:r w:rsidR="001B745B" w:rsidRPr="00D26556">
              <w:t>pētniec</w:t>
            </w:r>
            <w:r w:rsidR="00D9787A" w:rsidRPr="00D26556">
              <w:t>ības pieteikumiem</w:t>
            </w:r>
            <w:r w:rsidR="00932E50" w:rsidRPr="00D26556">
              <w:t>,</w:t>
            </w:r>
            <w:r w:rsidR="00D9787A" w:rsidRPr="00D26556">
              <w:t xml:space="preserve"> to</w:t>
            </w:r>
            <w:r w:rsidR="001B745B" w:rsidRPr="00D26556">
              <w:t xml:space="preserve"> </w:t>
            </w:r>
            <w:r w:rsidR="00A300FD" w:rsidRPr="00D26556">
              <w:t xml:space="preserve">īstenošanas </w:t>
            </w:r>
            <w:r w:rsidR="001B745B" w:rsidRPr="00D26556">
              <w:t xml:space="preserve">noslēgumā, atbilstoši </w:t>
            </w:r>
            <w:r w:rsidR="003E09A8" w:rsidRPr="00D26556">
              <w:t>noteikumu Nr. 50 1</w:t>
            </w:r>
            <w:r w:rsidR="001B745B" w:rsidRPr="00D26556">
              <w:t>9.1., 19.2. un 19.4. apakšpunktā noteiktajiem nosacījumiem</w:t>
            </w:r>
            <w:r w:rsidR="003E09A8" w:rsidRPr="00D26556">
              <w:t>.</w:t>
            </w:r>
          </w:p>
          <w:p w14:paraId="646FB846" w14:textId="77777777" w:rsidR="00407844" w:rsidRPr="00D26556" w:rsidRDefault="00313416" w:rsidP="00230DEB">
            <w:pPr>
              <w:numPr>
                <w:ilvl w:val="0"/>
                <w:numId w:val="18"/>
              </w:numPr>
              <w:tabs>
                <w:tab w:val="left" w:pos="457"/>
              </w:tabs>
              <w:spacing w:before="120" w:line="252" w:lineRule="auto"/>
              <w:ind w:left="43" w:right="102" w:firstLine="0"/>
              <w:jc w:val="both"/>
            </w:pPr>
            <w:r w:rsidRPr="00D26556">
              <w:t>Spēkā esošo noteikumu Nr. 50 25.3. </w:t>
            </w:r>
            <w:r w:rsidR="00836C95" w:rsidRPr="00D26556">
              <w:t>un 26.3. </w:t>
            </w:r>
            <w:r w:rsidRPr="00D26556">
              <w:t>apakšpunkts paredz, ka pētniecības pieteikumu iesniedzējiem</w:t>
            </w:r>
            <w:r w:rsidR="001E6D3C" w:rsidRPr="00D26556">
              <w:t xml:space="preserve"> pētniecības pieteikumam pielikumā </w:t>
            </w:r>
            <w:r w:rsidR="00157051" w:rsidRPr="00D26556">
              <w:t xml:space="preserve">kā obligātais pielikums </w:t>
            </w:r>
            <w:r w:rsidR="001E6D3C" w:rsidRPr="00D26556">
              <w:t xml:space="preserve">jāpievieno komersantu vai komersantu koleģiālas institūcijas atzinums par pētniecības pieteikuma ietvaros plānotā pētījuma nozīmību attiecīgās zinātnes vai tautsaimniecības nozarē, vai komersanta attīstībai. </w:t>
            </w:r>
            <w:r w:rsidR="00726BF8" w:rsidRPr="00D26556">
              <w:t>Šāds atzinums pētniecības pieteikumam nav jāpievieno,</w:t>
            </w:r>
            <w:r w:rsidR="00157051" w:rsidRPr="00D26556">
              <w:t xml:space="preserve"> </w:t>
            </w:r>
            <w:r w:rsidR="00726BF8" w:rsidRPr="00D26556">
              <w:t xml:space="preserve">ja: </w:t>
            </w:r>
          </w:p>
          <w:p w14:paraId="2CFD43CD" w14:textId="77777777" w:rsidR="00407844" w:rsidRPr="00D26556" w:rsidRDefault="00726BF8" w:rsidP="00230DEB">
            <w:pPr>
              <w:tabs>
                <w:tab w:val="left" w:pos="457"/>
              </w:tabs>
              <w:spacing w:line="252" w:lineRule="auto"/>
              <w:ind w:left="43" w:right="102"/>
              <w:jc w:val="both"/>
            </w:pPr>
            <w:r w:rsidRPr="00D26556">
              <w:t xml:space="preserve">1) pētniecības pieteikumu iesniedz komersants, kas pētniecības pieteikumā sniedz pamatojumu pētījuma nozīmībai, </w:t>
            </w:r>
          </w:p>
          <w:p w14:paraId="0B1ED84E" w14:textId="77777777" w:rsidR="00FD293C" w:rsidRPr="00D26556" w:rsidRDefault="00726BF8" w:rsidP="00230DEB">
            <w:pPr>
              <w:tabs>
                <w:tab w:val="left" w:pos="457"/>
              </w:tabs>
              <w:spacing w:line="252" w:lineRule="auto"/>
              <w:ind w:left="43" w:right="102"/>
              <w:jc w:val="both"/>
            </w:pPr>
            <w:r w:rsidRPr="00D26556">
              <w:t>2) pētniecības pieteikuma ietvaros tiek īstenots fundamentālais pētījums.</w:t>
            </w:r>
          </w:p>
          <w:p w14:paraId="578EB8BD" w14:textId="77777777" w:rsidR="00E64168" w:rsidRPr="00D26556" w:rsidRDefault="00726BF8" w:rsidP="00230DEB">
            <w:pPr>
              <w:spacing w:line="252" w:lineRule="auto"/>
              <w:ind w:left="43" w:right="102"/>
              <w:jc w:val="both"/>
            </w:pPr>
            <w:r w:rsidRPr="00D26556">
              <w:t>Analizējot p</w:t>
            </w:r>
            <w:r w:rsidR="00A87484" w:rsidRPr="00D26556">
              <w:t>ētniecības pieteikumu pirm</w:t>
            </w:r>
            <w:r w:rsidR="00D8455E" w:rsidRPr="00D26556">
              <w:t>aj</w:t>
            </w:r>
            <w:r w:rsidR="00A87484" w:rsidRPr="00D26556">
              <w:t>ā</w:t>
            </w:r>
            <w:r w:rsidR="00157051" w:rsidRPr="00D26556">
              <w:t xml:space="preserve"> un otr</w:t>
            </w:r>
            <w:r w:rsidR="00D8455E" w:rsidRPr="00D26556">
              <w:t>aj</w:t>
            </w:r>
            <w:r w:rsidR="00157051" w:rsidRPr="00D26556">
              <w:t>ā</w:t>
            </w:r>
            <w:r w:rsidR="00A87484" w:rsidRPr="00D26556">
              <w:t xml:space="preserve"> atlases kārt</w:t>
            </w:r>
            <w:r w:rsidR="00D8455E" w:rsidRPr="00D26556">
              <w:t>ā</w:t>
            </w:r>
            <w:r w:rsidR="00A87484" w:rsidRPr="00D26556">
              <w:t xml:space="preserve"> gūt</w:t>
            </w:r>
            <w:r w:rsidRPr="00D26556">
              <w:t>o</w:t>
            </w:r>
            <w:r w:rsidR="00A87484" w:rsidRPr="00D26556">
              <w:t xml:space="preserve"> </w:t>
            </w:r>
            <w:r w:rsidR="00BF1BE3" w:rsidRPr="00D26556">
              <w:t>p</w:t>
            </w:r>
            <w:r w:rsidRPr="00D26556">
              <w:t>ieredzi, secin</w:t>
            </w:r>
            <w:r w:rsidR="00F86D24" w:rsidRPr="00D26556">
              <w:t>āt</w:t>
            </w:r>
            <w:r w:rsidRPr="00D26556">
              <w:t>s</w:t>
            </w:r>
            <w:r w:rsidR="00A87484" w:rsidRPr="00D26556">
              <w:t>, ka Latvijā reģistrēta</w:t>
            </w:r>
            <w:r w:rsidR="00BF1BE3" w:rsidRPr="00D26556">
              <w:t xml:space="preserve"> </w:t>
            </w:r>
            <w:r w:rsidR="00A87484" w:rsidRPr="00D26556">
              <w:t xml:space="preserve">komersanta vai komersantu koleģiālas institūcijas </w:t>
            </w:r>
            <w:r w:rsidR="00BF1BE3" w:rsidRPr="00D26556">
              <w:t>atzinumam par</w:t>
            </w:r>
            <w:r w:rsidR="00A87484" w:rsidRPr="00D26556">
              <w:t xml:space="preserve"> pētniecības pieteikuma ietvaros veicamā</w:t>
            </w:r>
            <w:r w:rsidR="00BF1BE3" w:rsidRPr="00D26556">
              <w:t xml:space="preserve"> pētījuma nozīmību tautsaimniecības nozar</w:t>
            </w:r>
            <w:r w:rsidR="005B2589" w:rsidRPr="00D26556">
              <w:t xml:space="preserve">es vai komersanta attīstībai vairāk ir </w:t>
            </w:r>
            <w:r w:rsidR="00BF1BE3" w:rsidRPr="00D26556">
              <w:t>formāls raksturs</w:t>
            </w:r>
            <w:r w:rsidR="005B2589" w:rsidRPr="00D26556">
              <w:t>,</w:t>
            </w:r>
            <w:r w:rsidR="00BF1BE3" w:rsidRPr="00D26556">
              <w:t xml:space="preserve"> </w:t>
            </w:r>
            <w:r w:rsidR="00D8455E" w:rsidRPr="00D26556">
              <w:t xml:space="preserve">turklāt pētniecības pieteikuma sociālekonomisko ietekmi vērtē </w:t>
            </w:r>
            <w:r w:rsidR="00405BED" w:rsidRPr="00D26556">
              <w:t xml:space="preserve">ārvalstu </w:t>
            </w:r>
            <w:r w:rsidR="00D8455E" w:rsidRPr="00D26556">
              <w:t>eksperts</w:t>
            </w:r>
            <w:r w:rsidR="00BF1BE3" w:rsidRPr="00D26556">
              <w:t>.</w:t>
            </w:r>
            <w:r w:rsidR="00E64168" w:rsidRPr="00D26556">
              <w:t xml:space="preserve"> </w:t>
            </w:r>
          </w:p>
          <w:p w14:paraId="113D7699" w14:textId="1952040D" w:rsidR="00F918EE" w:rsidRPr="00D26556" w:rsidRDefault="00A87484" w:rsidP="00230DEB">
            <w:pPr>
              <w:spacing w:line="252" w:lineRule="auto"/>
              <w:ind w:left="43" w:right="102"/>
              <w:jc w:val="both"/>
            </w:pPr>
            <w:r w:rsidRPr="00D26556">
              <w:t>Ievērojot minēto, kā arī, mazinot administratīvo slogu pētniecības pieteikumu iesniedzējiem</w:t>
            </w:r>
            <w:r w:rsidR="00DF1CE9" w:rsidRPr="00D26556">
              <w:t xml:space="preserve"> trešajā un turpmākajās pētniecības pieteikumu atlases kārtās</w:t>
            </w:r>
            <w:r w:rsidRPr="00D26556">
              <w:t xml:space="preserve">, noteikumu projekts paredz svītrot </w:t>
            </w:r>
            <w:r w:rsidR="00726BF8" w:rsidRPr="00D26556">
              <w:t xml:space="preserve">obligāto nosacījumu pētniecības pieteikumam </w:t>
            </w:r>
            <w:r w:rsidR="00407844" w:rsidRPr="00D26556">
              <w:t xml:space="preserve">pielikumā </w:t>
            </w:r>
            <w:r w:rsidR="00726BF8" w:rsidRPr="00D26556">
              <w:t>pievienot komersanta vai komersantu koleģiālas institūcijas atzinumu.</w:t>
            </w:r>
            <w:r w:rsidR="00EC0D4C" w:rsidRPr="00D26556">
              <w:t xml:space="preserve"> Cita starpā, minētā </w:t>
            </w:r>
            <w:r w:rsidR="005D0C63" w:rsidRPr="00D26556">
              <w:t>nosacījuma</w:t>
            </w:r>
            <w:r w:rsidR="00EC0D4C" w:rsidRPr="00D26556">
              <w:t xml:space="preserve"> </w:t>
            </w:r>
            <w:r w:rsidR="00DE304C" w:rsidRPr="00D26556">
              <w:t>atcelšana</w:t>
            </w:r>
            <w:r w:rsidR="00EC0D4C" w:rsidRPr="00D26556">
              <w:t>, neliedz pētniecības pieteikuma iesniedz</w:t>
            </w:r>
            <w:r w:rsidR="00407844" w:rsidRPr="00D26556">
              <w:t xml:space="preserve">ējiem, ja tie </w:t>
            </w:r>
            <w:r w:rsidR="00B43A32" w:rsidRPr="00D26556">
              <w:t>uzskata par nepieciešamu, pētniecības pieteikumam pielikumā pievienot</w:t>
            </w:r>
            <w:r w:rsidR="00DE304C" w:rsidRPr="00D26556">
              <w:t xml:space="preserve"> </w:t>
            </w:r>
            <w:r w:rsidR="006D11BC" w:rsidRPr="00D26556">
              <w:t>komersanta vai komersantu koleģiālas institūcijas</w:t>
            </w:r>
            <w:r w:rsidR="00DE304C" w:rsidRPr="00D26556">
              <w:t xml:space="preserve"> atzinumu par </w:t>
            </w:r>
            <w:r w:rsidR="004A4A8D" w:rsidRPr="00D26556">
              <w:t xml:space="preserve">pēcdoktoranta veiktā </w:t>
            </w:r>
            <w:r w:rsidR="00DE304C" w:rsidRPr="00D26556">
              <w:t xml:space="preserve">pētījuma nozīmību </w:t>
            </w:r>
            <w:r w:rsidR="004329D0" w:rsidRPr="00D26556">
              <w:t xml:space="preserve">zinātnes vai </w:t>
            </w:r>
            <w:r w:rsidR="00DE304C" w:rsidRPr="00D26556">
              <w:t>tautsaimniecības nozares</w:t>
            </w:r>
            <w:r w:rsidR="004329D0" w:rsidRPr="00D26556">
              <w:t>,</w:t>
            </w:r>
            <w:r w:rsidR="00DE304C" w:rsidRPr="00D26556">
              <w:t xml:space="preserve"> vai komersanta attīstībai</w:t>
            </w:r>
            <w:r w:rsidR="00B43A32" w:rsidRPr="00D26556">
              <w:t>.</w:t>
            </w:r>
          </w:p>
          <w:p w14:paraId="54532C22" w14:textId="1B94C4A1" w:rsidR="00452134" w:rsidRPr="00D26556" w:rsidRDefault="00452134" w:rsidP="00230DEB">
            <w:pPr>
              <w:numPr>
                <w:ilvl w:val="0"/>
                <w:numId w:val="18"/>
              </w:numPr>
              <w:tabs>
                <w:tab w:val="left" w:pos="396"/>
              </w:tabs>
              <w:spacing w:before="120" w:line="252" w:lineRule="auto"/>
              <w:ind w:left="43" w:right="102" w:firstLine="0"/>
              <w:jc w:val="both"/>
            </w:pPr>
            <w:r w:rsidRPr="00D26556">
              <w:lastRenderedPageBreak/>
              <w:t xml:space="preserve">Analizējot, 1.1.1.2. pasākuma pētniecības pieteikumu </w:t>
            </w:r>
            <w:r w:rsidR="005D0C63" w:rsidRPr="00D26556">
              <w:t>pirmās</w:t>
            </w:r>
            <w:r w:rsidR="00F918EE" w:rsidRPr="00D26556">
              <w:t xml:space="preserve"> </w:t>
            </w:r>
            <w:r w:rsidRPr="00D26556">
              <w:t xml:space="preserve">atlases kārtas un </w:t>
            </w:r>
            <w:r w:rsidR="005D0C63" w:rsidRPr="00D26556">
              <w:t>otrās</w:t>
            </w:r>
            <w:r w:rsidRPr="00D26556">
              <w:t xml:space="preserve"> atlases kārtas apstiprināto pētniecības pieteikumu līgumu slēgšanas procesu, </w:t>
            </w:r>
            <w:r w:rsidR="00022640" w:rsidRPr="00D26556">
              <w:t>aģentūra guvusi pārliecību</w:t>
            </w:r>
            <w:r w:rsidRPr="00D26556">
              <w:t>, ka zinātniskās instit</w:t>
            </w:r>
            <w:r w:rsidR="00022640" w:rsidRPr="00D26556">
              <w:t>ūcijas nesteidzas noslēgt līgumus</w:t>
            </w:r>
            <w:r w:rsidRPr="00D26556">
              <w:t xml:space="preserve"> par pētniecības pieteikumu īstenošanas uzsākšanu, jo vispirms:</w:t>
            </w:r>
          </w:p>
          <w:p w14:paraId="0B2273CD" w14:textId="3885074B" w:rsidR="00A72B7A" w:rsidRPr="00D26556" w:rsidRDefault="00452134" w:rsidP="00230DEB">
            <w:pPr>
              <w:numPr>
                <w:ilvl w:val="0"/>
                <w:numId w:val="9"/>
              </w:numPr>
              <w:spacing w:line="252" w:lineRule="auto"/>
              <w:ind w:left="468" w:right="102" w:hanging="283"/>
              <w:jc w:val="both"/>
            </w:pPr>
            <w:r w:rsidRPr="00D26556">
              <w:t>veic nepieciešamās darbības pēcdoktoranta jaunas amata vietas izveidei;</w:t>
            </w:r>
          </w:p>
          <w:p w14:paraId="53ECA50F" w14:textId="62758FBA" w:rsidR="00A72B7A" w:rsidRPr="00D26556" w:rsidRDefault="00452134" w:rsidP="00230DEB">
            <w:pPr>
              <w:numPr>
                <w:ilvl w:val="0"/>
                <w:numId w:val="9"/>
              </w:numPr>
              <w:spacing w:line="252" w:lineRule="auto"/>
              <w:ind w:left="468" w:right="102" w:hanging="283"/>
              <w:jc w:val="both"/>
            </w:pPr>
            <w:r w:rsidRPr="00D26556">
              <w:t xml:space="preserve">veic nepieciešamās darbības, lai nodrošinātu nepārtrauktu citu projektu īstenošanu vai darba pienākumu nodrošināšanu, gadījumā, ja pēcdoktorants pirms pētniecības pieteikuma apstiprināšanas ir strādājis, piemēram, 1.1.1.1. pasākuma „Praktiskas ievirzes pētījumi” projektā vai augstākās izglītības institūcijā kā akadēmiskais personāls, </w:t>
            </w:r>
            <w:r w:rsidR="00D8455E" w:rsidRPr="00D26556">
              <w:t>pasniedzot</w:t>
            </w:r>
            <w:r w:rsidRPr="00D26556">
              <w:t xml:space="preserve"> lekcij</w:t>
            </w:r>
            <w:r w:rsidR="00D8455E" w:rsidRPr="00D26556">
              <w:t>as</w:t>
            </w:r>
            <w:r w:rsidRPr="00D26556">
              <w:t>;</w:t>
            </w:r>
          </w:p>
          <w:p w14:paraId="32926DFF" w14:textId="77777777" w:rsidR="00A56935" w:rsidRPr="00D26556" w:rsidRDefault="00452134" w:rsidP="00230DEB">
            <w:pPr>
              <w:numPr>
                <w:ilvl w:val="0"/>
                <w:numId w:val="9"/>
              </w:numPr>
              <w:spacing w:line="252" w:lineRule="auto"/>
              <w:ind w:left="468" w:right="102" w:hanging="283"/>
              <w:jc w:val="both"/>
            </w:pPr>
            <w:r w:rsidRPr="00D26556">
              <w:t>aicina pēcdoktorantu izņemt neizmantoto ikgadējo atvaļinājumu līdz pētniecības pieteikuma īstenošanas uzsākšanai.</w:t>
            </w:r>
          </w:p>
          <w:p w14:paraId="6E110087" w14:textId="674F08D2" w:rsidR="00856BAD" w:rsidRPr="00D26556" w:rsidRDefault="00A56935" w:rsidP="00230DEB">
            <w:pPr>
              <w:spacing w:line="252" w:lineRule="auto"/>
              <w:ind w:left="43" w:right="102"/>
              <w:jc w:val="both"/>
            </w:pPr>
            <w:r w:rsidRPr="00D26556">
              <w:t>Pētniecības pieteikumu pirmās atlases kārtas ietvaros</w:t>
            </w:r>
            <w:r w:rsidRPr="00D26556">
              <w:rPr>
                <w:rStyle w:val="FootnoteReference"/>
              </w:rPr>
              <w:footnoteReference w:id="6"/>
            </w:r>
            <w:r w:rsidRPr="00D26556">
              <w:t xml:space="preserve"> līdz šim brīdim no zinātnisko institūciju puses nav noslēgti trīs līgumi par pētniecības pieteikumu īstenošanu, savukārt </w:t>
            </w:r>
            <w:r w:rsidR="00AB3D70" w:rsidRPr="00D26556">
              <w:t>otrajā</w:t>
            </w:r>
            <w:r w:rsidR="00914034" w:rsidRPr="00D26556">
              <w:t xml:space="preserve"> atlases kārtā šobrīd ir aktīvs līgumu slēgšanas process un noslēgti </w:t>
            </w:r>
            <w:r w:rsidR="002515AB" w:rsidRPr="00D26556">
              <w:t xml:space="preserve">50 </w:t>
            </w:r>
            <w:r w:rsidR="00914034" w:rsidRPr="00D26556">
              <w:t>no 63 finansēšanai virzītajiem pētniecības pieteikumiem.</w:t>
            </w:r>
            <w:r w:rsidR="00A72B7A" w:rsidRPr="00D26556">
              <w:t xml:space="preserve"> </w:t>
            </w:r>
            <w:r w:rsidR="00452134" w:rsidRPr="00D26556">
              <w:t xml:space="preserve">Ievērojot minēto, kā arī, lai sekmētu 1.1.1.2. pasākuma finanšu progresu un iznākuma rādītāju izpildi, vienlaikus respektējot pēcdoktorantu, zinātnisko institūciju un komersantu uzņemtās līgumsaistības pirms pētniecības pieteikumu apstiprināšanas, nepieciešams papildināt noteikumus Nr. 50 ar </w:t>
            </w:r>
            <w:r w:rsidR="00BF432D">
              <w:t>31</w:t>
            </w:r>
            <w:r w:rsidR="00452134" w:rsidRPr="00D26556">
              <w:t>.</w:t>
            </w:r>
            <w:r w:rsidR="00452134" w:rsidRPr="00D26556">
              <w:rPr>
                <w:vertAlign w:val="superscript"/>
              </w:rPr>
              <w:t>1</w:t>
            </w:r>
            <w:r w:rsidR="00452134" w:rsidRPr="00D26556">
              <w:t xml:space="preserve"> punktu, kas paredz, ka trešajā un turpmākajās atlases kārtās, pētniecības pieteikuma iesniedzējs pētniecības pieteikuma īstenošanu uzsāk ne vēlāk kā sešu mēnešu laikā pēc lēmuma par pētniecības pieteikuma iesnieguma </w:t>
            </w:r>
            <w:r w:rsidR="00AB3D70" w:rsidRPr="00D26556">
              <w:t>apstiprināšanu pieņemšanas</w:t>
            </w:r>
            <w:r w:rsidR="00452134" w:rsidRPr="00D26556">
              <w:t>.</w:t>
            </w:r>
            <w:r w:rsidR="00A85B4B" w:rsidRPr="00D26556">
              <w:t xml:space="preserve"> </w:t>
            </w:r>
          </w:p>
          <w:p w14:paraId="7D4770D1" w14:textId="77777777" w:rsidR="0009369B" w:rsidRPr="00D26556" w:rsidRDefault="001E7957" w:rsidP="00230DEB">
            <w:pPr>
              <w:numPr>
                <w:ilvl w:val="0"/>
                <w:numId w:val="18"/>
              </w:numPr>
              <w:tabs>
                <w:tab w:val="left" w:pos="396"/>
              </w:tabs>
              <w:spacing w:before="120" w:line="252" w:lineRule="auto"/>
              <w:ind w:left="113" w:right="102" w:firstLine="0"/>
              <w:jc w:val="both"/>
            </w:pPr>
            <w:r w:rsidRPr="00D26556">
              <w:t>Saskaņā ar</w:t>
            </w:r>
            <w:r w:rsidR="009A252D" w:rsidRPr="00D26556">
              <w:t xml:space="preserve"> spēkā esošo</w:t>
            </w:r>
            <w:r w:rsidRPr="00D26556">
              <w:t xml:space="preserve"> noteikumu Nr. 50 33. punktu, pēcdoktorants pētniecības pieteikuma ietvaros var pilnveidot savas pētniecības </w:t>
            </w:r>
            <w:r w:rsidR="009100F4" w:rsidRPr="00D26556">
              <w:t xml:space="preserve">kompetences: </w:t>
            </w:r>
            <w:r w:rsidRPr="00D26556">
              <w:t>īstenojot fundame</w:t>
            </w:r>
            <w:r w:rsidR="009100F4" w:rsidRPr="00D26556">
              <w:t xml:space="preserve">ntālo vai rūpniecisko pētījumu, </w:t>
            </w:r>
            <w:r w:rsidRPr="00D26556">
              <w:t>veicot tehnoloģiju tiesību aizsardzību uz pētījuma izstrādes laikā rad</w:t>
            </w:r>
            <w:r w:rsidR="009100F4" w:rsidRPr="00D26556">
              <w:t xml:space="preserve">īto rūpnieciskā īpašuma objektu un </w:t>
            </w:r>
            <w:r w:rsidRPr="00D26556">
              <w:t>piedaloties mācīb</w:t>
            </w:r>
            <w:r w:rsidR="009A252D" w:rsidRPr="00D26556">
              <w:t>ā</w:t>
            </w:r>
            <w:r w:rsidRPr="00D26556">
              <w:t xml:space="preserve">s, </w:t>
            </w:r>
            <w:r w:rsidR="009A252D" w:rsidRPr="00D26556">
              <w:t xml:space="preserve">starptautiskajā </w:t>
            </w:r>
            <w:r w:rsidRPr="00D26556">
              <w:t>mobili</w:t>
            </w:r>
            <w:r w:rsidR="00665A01" w:rsidRPr="00D26556">
              <w:t>tātē un tīkloša</w:t>
            </w:r>
            <w:r w:rsidR="009100F4" w:rsidRPr="00D26556">
              <w:t>nās aktivitātēs. Tomēr, s</w:t>
            </w:r>
            <w:r w:rsidR="00CD585C" w:rsidRPr="00D26556">
              <w:t>askaņā ar Zinātniskās darbības likumu,</w:t>
            </w:r>
            <w:r w:rsidR="004E5808" w:rsidRPr="00D26556">
              <w:t xml:space="preserve"> jebkuram zinātniekam </w:t>
            </w:r>
            <w:r w:rsidR="003D303B" w:rsidRPr="00D26556">
              <w:t xml:space="preserve">ir jāveic ne </w:t>
            </w:r>
            <w:r w:rsidR="007324E8" w:rsidRPr="00D26556">
              <w:t>tikai</w:t>
            </w:r>
            <w:r w:rsidR="00CD585C" w:rsidRPr="00D26556">
              <w:t xml:space="preserve"> </w:t>
            </w:r>
            <w:r w:rsidR="003D303B" w:rsidRPr="00D26556">
              <w:t>pētījumi</w:t>
            </w:r>
            <w:r w:rsidR="00CD585C" w:rsidRPr="00D26556">
              <w:t xml:space="preserve">, bet arī </w:t>
            </w:r>
            <w:r w:rsidR="003D303B" w:rsidRPr="00D26556">
              <w:t>jāpie</w:t>
            </w:r>
            <w:r w:rsidR="004E5808" w:rsidRPr="00D26556">
              <w:t>dal</w:t>
            </w:r>
            <w:r w:rsidR="003D303B" w:rsidRPr="00D26556">
              <w:t>ās</w:t>
            </w:r>
            <w:r w:rsidR="004E5808" w:rsidRPr="00D26556">
              <w:t xml:space="preserve"> jauno</w:t>
            </w:r>
            <w:r w:rsidR="00CD585C" w:rsidRPr="00D26556">
              <w:t xml:space="preserve"> </w:t>
            </w:r>
            <w:r w:rsidR="004E5808" w:rsidRPr="00D26556">
              <w:t>speciālistu un zinātnieku sagatavošanā</w:t>
            </w:r>
            <w:r w:rsidR="00C07C2E" w:rsidRPr="00D26556">
              <w:t>,</w:t>
            </w:r>
            <w:r w:rsidR="002D53B0" w:rsidRPr="00D26556">
              <w:t xml:space="preserve"> kā arī</w:t>
            </w:r>
            <w:r w:rsidR="00C07C2E" w:rsidRPr="00D26556">
              <w:t xml:space="preserve"> </w:t>
            </w:r>
            <w:r w:rsidR="003D303B" w:rsidRPr="00D26556">
              <w:t xml:space="preserve">jānodrošina </w:t>
            </w:r>
            <w:r w:rsidR="004E5808" w:rsidRPr="00D26556">
              <w:t>komunikācija ar sabiedrību</w:t>
            </w:r>
            <w:r w:rsidR="00C07C2E" w:rsidRPr="00D26556">
              <w:t xml:space="preserve"> par savu zinātnisko pētījumu rezultātiem</w:t>
            </w:r>
            <w:r w:rsidR="004E5808" w:rsidRPr="00D26556">
              <w:t xml:space="preserve"> un zinātnes sasniegumu popularizēšanu.</w:t>
            </w:r>
          </w:p>
          <w:p w14:paraId="38C00041" w14:textId="77777777" w:rsidR="009100F4" w:rsidRPr="00D26556" w:rsidRDefault="00D8455E" w:rsidP="00230DEB">
            <w:pPr>
              <w:tabs>
                <w:tab w:val="left" w:pos="396"/>
              </w:tabs>
              <w:spacing w:before="160" w:line="252" w:lineRule="auto"/>
              <w:ind w:left="113" w:right="102"/>
              <w:jc w:val="both"/>
            </w:pPr>
            <w:r w:rsidRPr="00D26556">
              <w:t>S</w:t>
            </w:r>
            <w:r w:rsidR="002D53B0" w:rsidRPr="00D26556">
              <w:t>pēkā esoš</w:t>
            </w:r>
            <w:r w:rsidRPr="00D26556">
              <w:t>o</w:t>
            </w:r>
            <w:r w:rsidR="002D53B0" w:rsidRPr="00D26556">
              <w:t xml:space="preserve"> noteikum</w:t>
            </w:r>
            <w:r w:rsidRPr="00D26556">
              <w:t>u</w:t>
            </w:r>
            <w:r w:rsidR="002D53B0" w:rsidRPr="00D26556">
              <w:t xml:space="preserve"> Nr. 50</w:t>
            </w:r>
            <w:r w:rsidRPr="00D26556">
              <w:t xml:space="preserve"> redakcija viennozīmīgi neparedz iespēju pēcdoktorantam </w:t>
            </w:r>
            <w:r w:rsidR="002D53B0" w:rsidRPr="00D26556">
              <w:t>pētniecības pieteikuma īstenošanas laikā veikt Zinātniskās darbības likumā noteiktos pienākum</w:t>
            </w:r>
            <w:r w:rsidR="00AB3D70" w:rsidRPr="00D26556">
              <w:t>u</w:t>
            </w:r>
            <w:r w:rsidR="002D53B0" w:rsidRPr="00D26556">
              <w:t xml:space="preserve">s attiecībā uz dalību jauno speciālistu un topošo zinātnieku sagatavošanā, jo pilna darba laika izteiksmē jāveic darbs pie </w:t>
            </w:r>
            <w:r w:rsidR="009100F4" w:rsidRPr="00D26556">
              <w:t>pētījuma īstenošanas pētniecības pieteikuma ietvaros</w:t>
            </w:r>
            <w:r w:rsidR="002D53B0" w:rsidRPr="00D26556">
              <w:t>.</w:t>
            </w:r>
          </w:p>
          <w:p w14:paraId="55557620" w14:textId="27BAB8F8" w:rsidR="009A1B4A" w:rsidRPr="00D26556" w:rsidRDefault="003D303B" w:rsidP="00230DEB">
            <w:pPr>
              <w:tabs>
                <w:tab w:val="left" w:pos="396"/>
              </w:tabs>
              <w:spacing w:line="252" w:lineRule="auto"/>
              <w:ind w:left="113" w:right="102"/>
              <w:jc w:val="both"/>
            </w:pPr>
            <w:r w:rsidRPr="00D26556">
              <w:lastRenderedPageBreak/>
              <w:t xml:space="preserve">Ievērojot minēto, </w:t>
            </w:r>
            <w:r w:rsidR="007C31F4">
              <w:t xml:space="preserve">lai </w:t>
            </w:r>
            <w:r w:rsidR="003C560B">
              <w:t>veicinātu</w:t>
            </w:r>
            <w:r w:rsidR="007C31F4">
              <w:t xml:space="preserve"> mērķtiecīgu pasākumu īstenošanu </w:t>
            </w:r>
            <w:r w:rsidR="00605044">
              <w:t xml:space="preserve">pēcdoktorantu </w:t>
            </w:r>
            <w:r w:rsidR="007C31F4">
              <w:t>pētniecības tēmas un pētījuma virziena komandas veidošanai</w:t>
            </w:r>
            <w:r w:rsidR="003C560B">
              <w:t xml:space="preserve">, </w:t>
            </w:r>
            <w:r w:rsidR="00AE06C0" w:rsidRPr="00D26556">
              <w:t>kā arī</w:t>
            </w:r>
            <w:r w:rsidR="003C560B">
              <w:t xml:space="preserve"> tostarp</w:t>
            </w:r>
            <w:r w:rsidR="00AE06C0" w:rsidRPr="00D26556">
              <w:t xml:space="preserve"> </w:t>
            </w:r>
            <w:r w:rsidR="003C560B">
              <w:t xml:space="preserve">sekmētu </w:t>
            </w:r>
            <w:r w:rsidR="00023804" w:rsidRPr="00D26556">
              <w:t xml:space="preserve">augstākās </w:t>
            </w:r>
            <w:r w:rsidR="00AE06C0" w:rsidRPr="00D26556">
              <w:t xml:space="preserve">izglītības politikas mērķa, t.i. pētniecībā balstītas </w:t>
            </w:r>
            <w:bookmarkStart w:id="1" w:name="_MailEndCompose"/>
            <w:r w:rsidR="00FC075B" w:rsidRPr="00D26556">
              <w:t>augstākās izglītības,</w:t>
            </w:r>
            <w:r w:rsidR="007C31F4">
              <w:t xml:space="preserve"> attīstību</w:t>
            </w:r>
            <w:r w:rsidR="001901EA">
              <w:t>,</w:t>
            </w:r>
            <w:bookmarkEnd w:id="1"/>
            <w:r w:rsidR="00023804" w:rsidRPr="00D26556">
              <w:t xml:space="preserve"> </w:t>
            </w:r>
            <w:r w:rsidR="00533132" w:rsidRPr="00D26556">
              <w:t>nepieciešams papildināt noteikumu</w:t>
            </w:r>
            <w:r w:rsidR="005143BF" w:rsidRPr="00D26556">
              <w:t>s</w:t>
            </w:r>
            <w:r w:rsidR="00533132" w:rsidRPr="00D26556">
              <w:t xml:space="preserve"> Nr. 50 </w:t>
            </w:r>
            <w:r w:rsidR="005143BF" w:rsidRPr="00D26556">
              <w:t xml:space="preserve">ar </w:t>
            </w:r>
            <w:r w:rsidR="00533132" w:rsidRPr="00D26556">
              <w:t>33.</w:t>
            </w:r>
            <w:r w:rsidR="00E26916" w:rsidRPr="00D26556">
              <w:t>5.</w:t>
            </w:r>
            <w:r w:rsidR="00533132" w:rsidRPr="00D26556">
              <w:t> </w:t>
            </w:r>
            <w:r w:rsidR="00E26916" w:rsidRPr="00D26556">
              <w:t>apakšpunktu</w:t>
            </w:r>
            <w:r w:rsidR="00533132" w:rsidRPr="00D26556">
              <w:t xml:space="preserve">, </w:t>
            </w:r>
            <w:r w:rsidR="005331A3" w:rsidRPr="00D26556">
              <w:t xml:space="preserve">viennozīmīgi </w:t>
            </w:r>
            <w:r w:rsidR="00AE06C0" w:rsidRPr="00D26556">
              <w:t>paredz</w:t>
            </w:r>
            <w:r w:rsidR="00533132" w:rsidRPr="00D26556">
              <w:t>ot iespēju</w:t>
            </w:r>
            <w:r w:rsidR="00AE06C0" w:rsidRPr="00D26556">
              <w:t xml:space="preserve"> </w:t>
            </w:r>
            <w:r w:rsidR="00023804" w:rsidRPr="00D26556">
              <w:t>pēcdoktorantiem,</w:t>
            </w:r>
            <w:r w:rsidR="00AE06C0" w:rsidRPr="00D26556">
              <w:t xml:space="preserve"> </w:t>
            </w:r>
            <w:r w:rsidR="00563EC6" w:rsidRPr="00D26556">
              <w:t>pētniecības pieteikuma īstenošanas laikā</w:t>
            </w:r>
            <w:r w:rsidR="00AE06C0" w:rsidRPr="00D26556">
              <w:t xml:space="preserve"> pilnveidot </w:t>
            </w:r>
            <w:r w:rsidR="003C560B">
              <w:t xml:space="preserve">tai skaitā </w:t>
            </w:r>
            <w:r w:rsidR="00AE06C0" w:rsidRPr="00D26556">
              <w:t>kompetences, kas nepieciešamas</w:t>
            </w:r>
            <w:r w:rsidR="002325D7" w:rsidRPr="00D26556">
              <w:t xml:space="preserve"> </w:t>
            </w:r>
            <w:r w:rsidR="003C560B" w:rsidRPr="00D26556">
              <w:t>jauno speciālistu u</w:t>
            </w:r>
            <w:r w:rsidR="003C560B">
              <w:t>n topošo zinātnieku sagatavošanai</w:t>
            </w:r>
            <w:r w:rsidR="00E26916" w:rsidRPr="00D26556">
              <w:t>,</w:t>
            </w:r>
            <w:r w:rsidR="005143BF" w:rsidRPr="00D26556">
              <w:t xml:space="preserve"> t.i. vadīt un recenzēt bakalaura, maģistra un doktora darbus vai piedalīties noslēgumu darbu komisijās</w:t>
            </w:r>
            <w:r w:rsidR="001901EA">
              <w:t>.</w:t>
            </w:r>
            <w:r w:rsidR="00E26916" w:rsidRPr="00D26556">
              <w:t xml:space="preserve"> </w:t>
            </w:r>
            <w:r w:rsidR="001901EA">
              <w:t>Rosināto grozījumu rezultātā</w:t>
            </w:r>
            <w:r w:rsidR="005143BF" w:rsidRPr="00D26556">
              <w:t>,</w:t>
            </w:r>
            <w:r w:rsidR="003C560B">
              <w:t xml:space="preserve"> tiktu sniegts ieguldījums 1.1.1.2. pasākuma mērķa sasniegšanā,</w:t>
            </w:r>
            <w:r w:rsidR="005143BF" w:rsidRPr="00D26556">
              <w:t xml:space="preserve"> </w:t>
            </w:r>
            <w:r w:rsidR="00E26916" w:rsidRPr="00D26556">
              <w:t xml:space="preserve">sekmējot </w:t>
            </w:r>
            <w:r w:rsidR="003C560B">
              <w:t xml:space="preserve">ne tikai pēcdoktoranta kompetenču un prasmju pilnveidi un </w:t>
            </w:r>
            <w:r w:rsidR="00E26916" w:rsidRPr="00D26556">
              <w:t>akadēmiskās karjeras attīstības iespējas zinātniskajās institūcijās</w:t>
            </w:r>
            <w:r w:rsidR="001901EA">
              <w:t xml:space="preserve"> un</w:t>
            </w:r>
            <w:r w:rsidR="00E26916" w:rsidRPr="00D26556">
              <w:t xml:space="preserve"> augstākās izglītības institūcijās, </w:t>
            </w:r>
            <w:r w:rsidR="003C560B">
              <w:t>bet</w:t>
            </w:r>
            <w:r w:rsidR="00E26916" w:rsidRPr="00D26556">
              <w:t xml:space="preserve"> arī pētniecības pieteikuma ietvaros gūtā pieredze un zināšanas tiktu nodotas topošajiem speciālistiem</w:t>
            </w:r>
            <w:r w:rsidR="009A1B4A">
              <w:t>. Pēcdoktoranti, daloties savās pieredzē un zināšanās ar topošajiem speciālistiem, vienlaikus var motivēt</w:t>
            </w:r>
            <w:r w:rsidR="00605044">
              <w:t xml:space="preserve"> studējošos savu </w:t>
            </w:r>
            <w:r w:rsidR="00605044" w:rsidRPr="00605044">
              <w:t>profesionālo karjeru saistīt ar zinātnisko darbību</w:t>
            </w:r>
            <w:r w:rsidR="00605044">
              <w:t xml:space="preserve"> </w:t>
            </w:r>
            <w:r w:rsidR="009A1B4A">
              <w:t xml:space="preserve">attiecīgajā pētniecības tēmā, virzienā vai jomā </w:t>
            </w:r>
            <w:r w:rsidR="00605044">
              <w:t>zinātniskajās institūcijās, augstākās izglītības institūcijās vai privātajā sektor</w:t>
            </w:r>
            <w:r w:rsidR="009A1B4A">
              <w:t xml:space="preserve">ā. </w:t>
            </w:r>
            <w:r w:rsidR="009A1B4A" w:rsidRPr="009A1B4A">
              <w:t>Tādējādi, pētniecības pieteikumu īstenošana tostarp sniegtu ieguldījumu pētniecības kapacitātes stiprin</w:t>
            </w:r>
            <w:r w:rsidR="009A1B4A">
              <w:t>āšanā</w:t>
            </w:r>
            <w:r w:rsidR="009A1B4A" w:rsidRPr="009A1B4A">
              <w:t>, cilvēkresursu atjaunotnē un kvalificētu speciālistu skaita pieaugumā.</w:t>
            </w:r>
          </w:p>
          <w:p w14:paraId="1CECFE43" w14:textId="402FC729" w:rsidR="005143BF" w:rsidRPr="00D26556" w:rsidRDefault="00D74FBC" w:rsidP="00230DEB">
            <w:pPr>
              <w:tabs>
                <w:tab w:val="left" w:pos="396"/>
              </w:tabs>
              <w:spacing w:line="252" w:lineRule="auto"/>
              <w:ind w:left="113" w:right="102"/>
              <w:jc w:val="both"/>
            </w:pPr>
            <w:r w:rsidRPr="00D26556">
              <w:t>P</w:t>
            </w:r>
            <w:r w:rsidR="009770DD" w:rsidRPr="00D26556">
              <w:t>ētniecības pieteikumā</w:t>
            </w:r>
            <w:r w:rsidRPr="00D26556">
              <w:t>, pēcdoktoranta pilnas slodzes ietvaros,</w:t>
            </w:r>
            <w:r w:rsidR="009770DD" w:rsidRPr="00D26556">
              <w:t xml:space="preserve"> kā viena no atbalstāmajām darbībām </w:t>
            </w:r>
            <w:r w:rsidRPr="00D26556">
              <w:t xml:space="preserve">varēs </w:t>
            </w:r>
            <w:r w:rsidR="009770DD" w:rsidRPr="00D26556">
              <w:t xml:space="preserve">būt </w:t>
            </w:r>
            <w:r w:rsidR="007C31F4">
              <w:t>bakalaura, maģistru un doktoru darbu vadīšana, recenzēšana un dalība noslēguma darbu komisijās</w:t>
            </w:r>
            <w:r w:rsidR="009770DD" w:rsidRPr="00D26556">
              <w:t xml:space="preserve">. </w:t>
            </w:r>
            <w:r w:rsidR="00E26916" w:rsidRPr="00D26556">
              <w:t xml:space="preserve">Par </w:t>
            </w:r>
            <w:r w:rsidR="007C31F4">
              <w:t>minēto darbību</w:t>
            </w:r>
            <w:r w:rsidR="00E26916" w:rsidRPr="00D26556">
              <w:t xml:space="preserve"> veikšanu pēcdoktoranta pilnas slodzes ietvaros, pēcdoktorants nesaņem atlīdzību no </w:t>
            </w:r>
            <w:r w:rsidRPr="00D26556">
              <w:t xml:space="preserve">citiem </w:t>
            </w:r>
            <w:r w:rsidR="00E26916" w:rsidRPr="00D26556">
              <w:t>institūcijas rīcībā esošiem finanšu resursiem.</w:t>
            </w:r>
          </w:p>
          <w:p w14:paraId="4AE30CF5" w14:textId="77777777" w:rsidR="005143BF" w:rsidRPr="00D26556" w:rsidRDefault="005143BF" w:rsidP="00230DEB">
            <w:pPr>
              <w:tabs>
                <w:tab w:val="left" w:pos="396"/>
              </w:tabs>
              <w:spacing w:before="160" w:line="252" w:lineRule="auto"/>
              <w:ind w:left="113" w:right="102"/>
              <w:jc w:val="both"/>
            </w:pPr>
            <w:r w:rsidRPr="00D26556">
              <w:t xml:space="preserve">Aģentūra, vērtējot 1.1.1.2. pasākuma pētniecības pieteikumu </w:t>
            </w:r>
            <w:r w:rsidR="00EB4CCB" w:rsidRPr="00D26556">
              <w:t>pirmās</w:t>
            </w:r>
            <w:r w:rsidRPr="00D26556">
              <w:t xml:space="preserve"> un otrās atlases kārtas ietvaros iesniegtos pēcdoktorantu pētniecības pieteikumus, guvusi pārliecību, ka daudziem pēcdoktorantiem</w:t>
            </w:r>
            <w:r w:rsidR="00EB4CCB" w:rsidRPr="00D26556">
              <w:t xml:space="preserve"> šī ir</w:t>
            </w:r>
            <w:r w:rsidRPr="00D26556">
              <w:t xml:space="preserve"> bijusi pirmā patstāvīgā pieredze projektu iesniegumu izstrādē un sagatavošanā. Šāda pārliecība tika gūta, balstoties uz pētniecības pieteikumos norādīto informāciju, piemēram, par pētniecība pieteikumā plānoto darbību atbilstību pētniecības darbībām, par pētniecības pieteikuma atbilstību fundamentālai vai rūpnieciskajai pētniecības kategorijai</w:t>
            </w:r>
            <w:r w:rsidR="00EB4CCB" w:rsidRPr="00D26556">
              <w:t xml:space="preserve"> u.c</w:t>
            </w:r>
            <w:r w:rsidRPr="00D26556">
              <w:t xml:space="preserve">. </w:t>
            </w:r>
          </w:p>
          <w:p w14:paraId="0374EAD3" w14:textId="77777777" w:rsidR="005143BF" w:rsidRPr="00D26556" w:rsidRDefault="00EB4CCB" w:rsidP="00230DEB">
            <w:pPr>
              <w:tabs>
                <w:tab w:val="left" w:pos="396"/>
              </w:tabs>
              <w:spacing w:line="252" w:lineRule="auto"/>
              <w:ind w:left="113" w:right="102"/>
              <w:jc w:val="both"/>
            </w:pPr>
            <w:r w:rsidRPr="00D26556">
              <w:t>Ievērojot minēto</w:t>
            </w:r>
            <w:r w:rsidR="005143BF" w:rsidRPr="00D26556">
              <w:t xml:space="preserve">, lai vecinātu un pilnveidotu pēcdoktorantu projektu iesniegumu sagatavošanas </w:t>
            </w:r>
            <w:r w:rsidRPr="00D26556">
              <w:t>kompetences</w:t>
            </w:r>
            <w:r w:rsidR="005143BF" w:rsidRPr="00D26556">
              <w:t>, nepieciešams papildināt noteikumu</w:t>
            </w:r>
            <w:r w:rsidRPr="00D26556">
              <w:t>s</w:t>
            </w:r>
            <w:r w:rsidR="005143BF" w:rsidRPr="00D26556">
              <w:t xml:space="preserve"> Nr. 50 ar 33.6. apakšpunktu, paredzot, ka pētniecības pieteikuma ietvaros pēcdoktorants var izstrādāt pētniecības vai inovācijas projektu iesniegumus iesniegšanai Latvijas un starptautisko projektu konkursos, piemēram, Valsts pētījumu programmā, Fundamentālo un lietišķo pētījumu programmā, ES pētniecības un inovācijas pamatprogrammā “Apvārsnis 2020” vai nākamā 2021. - 2027. gada plānošanas perioda pamatprogrammā „Apvārsnis Eiropa”. </w:t>
            </w:r>
          </w:p>
          <w:p w14:paraId="37614FA2" w14:textId="77777777" w:rsidR="00434AA9" w:rsidRPr="00D26556" w:rsidRDefault="005143BF" w:rsidP="00230DEB">
            <w:pPr>
              <w:tabs>
                <w:tab w:val="left" w:pos="396"/>
              </w:tabs>
              <w:spacing w:line="252" w:lineRule="auto"/>
              <w:ind w:left="113" w:right="102"/>
              <w:jc w:val="both"/>
            </w:pPr>
            <w:r w:rsidRPr="00D26556">
              <w:t xml:space="preserve">Tādējādi, 1.1.1.2. pasākuma investīciju rezultātā, tiktu uzlabota un pilnveidota pēcdoktorantu projektu iesniegumu sagatavošanas kapacitāte, sekmēta konkurētspējīgu un kvalitatīvu projektu iesniegumu </w:t>
            </w:r>
            <w:r w:rsidRPr="00D26556">
              <w:lastRenderedPageBreak/>
              <w:t xml:space="preserve">izstrāde un </w:t>
            </w:r>
            <w:r w:rsidR="00EB4CCB" w:rsidRPr="00D26556">
              <w:t xml:space="preserve">papildu </w:t>
            </w:r>
            <w:r w:rsidRPr="00D26556">
              <w:t>finansējuma piesaiste</w:t>
            </w:r>
            <w:r w:rsidR="00EB4CCB" w:rsidRPr="00D26556">
              <w:t xml:space="preserve"> zinātniskajai darbībai</w:t>
            </w:r>
            <w:r w:rsidRPr="00D26556">
              <w:t>, kas savukārt nodrošinātu pēcdoktoranta pētījuma ilgtspēju, pēctecību un savas komandas veidošanu pētījuma tēmā vai virzienā.</w:t>
            </w:r>
          </w:p>
          <w:p w14:paraId="0F2E4396" w14:textId="77777777" w:rsidR="00A72B7A" w:rsidRPr="00D26556" w:rsidRDefault="00523695" w:rsidP="00230DEB">
            <w:pPr>
              <w:tabs>
                <w:tab w:val="left" w:pos="396"/>
              </w:tabs>
              <w:spacing w:before="160" w:line="252" w:lineRule="auto"/>
              <w:ind w:left="113" w:right="102"/>
              <w:jc w:val="both"/>
            </w:pPr>
            <w:r w:rsidRPr="00D26556">
              <w:t>N</w:t>
            </w:r>
            <w:r w:rsidR="0046725E" w:rsidRPr="00D26556">
              <w:t>oteikumu Nr. 50 33. punktu</w:t>
            </w:r>
            <w:r w:rsidRPr="00D26556">
              <w:t xml:space="preserve"> tostarp</w:t>
            </w:r>
            <w:r w:rsidR="0046725E" w:rsidRPr="00D26556">
              <w:rPr>
                <w:color w:val="000000"/>
              </w:rPr>
              <w:t xml:space="preserve"> nepieciešams papildināt</w:t>
            </w:r>
            <w:r w:rsidR="005143BF" w:rsidRPr="00D26556">
              <w:rPr>
                <w:color w:val="000000"/>
              </w:rPr>
              <w:t xml:space="preserve"> ar 33.7. apakšpunktu</w:t>
            </w:r>
            <w:r w:rsidR="0046725E" w:rsidRPr="00D26556">
              <w:rPr>
                <w:color w:val="000000"/>
              </w:rPr>
              <w:t>, paredzot, ka p</w:t>
            </w:r>
            <w:r w:rsidR="0046725E" w:rsidRPr="00D26556">
              <w:t xml:space="preserve">ētniecības pieteikuma ietvaros ir atbalstāma sabiedrības informēšana par pētniecības pieteikuma ietvaros veikto pēcdoktoranta pētījumu, tā norises gaitu un zinātniskajiem rezultātiem, kas nav saistīti ar intelektuālā īpašuma tiesībām. Tādējādi, pētniecības pieteikuma īstenošanas laikā tiks sekmēta pēcdoktoranta komunikācijas kompetenču un prasmju attīstība un veicināta sabiedrības iesaiste pētniecības pieteikuma norisē. Pēcdoktorantu komunikācijas kompetenču un prasmju attīstība ir svarīga, lai vienkāršā, saprotamā un atraktīvā veidā popularizētu </w:t>
            </w:r>
            <w:r w:rsidR="00CB6455" w:rsidRPr="00D26556">
              <w:t>zinātnes</w:t>
            </w:r>
            <w:r w:rsidR="0046725E" w:rsidRPr="00D26556">
              <w:t xml:space="preserve"> sasniegumus. </w:t>
            </w:r>
            <w:r w:rsidR="00CB6455" w:rsidRPr="00D26556">
              <w:t>Pozitīva komunikācija ar sabiedrību, veicina ne tikai sabiedrības izpratni un informētību par zinātnes iespējām un nozīmi katra indivīda dzīvē, Latvijas ekonomikas attīstībā, tai skaitā RIS3 mērķu sasniegšanā, bet arī veido zinātnieka profesijas prestižu un atpazīstamību, tādējādi rosinot jauniešu interesi par zinātni un karjeru zinātnē.</w:t>
            </w:r>
          </w:p>
          <w:p w14:paraId="66ED15E9" w14:textId="52D331A9" w:rsidR="00B45DC2" w:rsidRPr="00D26556" w:rsidRDefault="002F3BE3" w:rsidP="00230DEB">
            <w:pPr>
              <w:tabs>
                <w:tab w:val="left" w:pos="185"/>
                <w:tab w:val="left" w:pos="468"/>
              </w:tabs>
              <w:spacing w:before="120" w:line="252" w:lineRule="auto"/>
              <w:ind w:left="113" w:right="102"/>
              <w:jc w:val="both"/>
            </w:pPr>
            <w:r w:rsidRPr="00D26556">
              <w:t>Pētniecības pieteikuma īstenotājs (zinātniskā institūcija vai komersants) un pēcdoktorants</w:t>
            </w:r>
            <w:r w:rsidR="00DF75CC" w:rsidRPr="00D26556">
              <w:t xml:space="preserve"> </w:t>
            </w:r>
            <w:r w:rsidR="00655EE0" w:rsidRPr="00D26556">
              <w:t>ir</w:t>
            </w:r>
            <w:r w:rsidR="009D6B3F" w:rsidRPr="00D26556">
              <w:t xml:space="preserve"> </w:t>
            </w:r>
            <w:r w:rsidR="00DF75CC" w:rsidRPr="00D26556">
              <w:t>atbildīgi</w:t>
            </w:r>
            <w:r w:rsidR="00655EE0" w:rsidRPr="00D26556">
              <w:t xml:space="preserve"> par pētniecības pieteikuma ietvaros plānoto darbību </w:t>
            </w:r>
            <w:r w:rsidR="00BB2E33" w:rsidRPr="00D26556">
              <w:t>kvalitatīvu un laika grafikam atbilstoš</w:t>
            </w:r>
            <w:r w:rsidR="005331A3" w:rsidRPr="00D26556">
              <w:t>u</w:t>
            </w:r>
            <w:r w:rsidR="00BB2E33" w:rsidRPr="00D26556">
              <w:t xml:space="preserve"> </w:t>
            </w:r>
            <w:r w:rsidR="00655EE0" w:rsidRPr="00D26556">
              <w:t>īstenošanu un</w:t>
            </w:r>
            <w:r w:rsidR="009D6B3F" w:rsidRPr="00D26556">
              <w:t xml:space="preserve"> rezultātu sasniegšanu, </w:t>
            </w:r>
            <w:r w:rsidR="00655EE0" w:rsidRPr="00D26556">
              <w:t>ko pēc būtības pētniecības pieteikuma vidusposmā un noslēgumā</w:t>
            </w:r>
            <w:r w:rsidR="009D6B3F" w:rsidRPr="00D26556">
              <w:t xml:space="preserve"> izvērtēs</w:t>
            </w:r>
            <w:r w:rsidR="00655EE0" w:rsidRPr="00D26556">
              <w:t xml:space="preserve"> EK eksperts.</w:t>
            </w:r>
            <w:r w:rsidR="006A768F" w:rsidRPr="00D26556">
              <w:t xml:space="preserve"> </w:t>
            </w:r>
          </w:p>
          <w:p w14:paraId="46A88209" w14:textId="30F03A35" w:rsidR="00123C58" w:rsidRPr="00D26556" w:rsidRDefault="001821AD" w:rsidP="00230DEB">
            <w:pPr>
              <w:numPr>
                <w:ilvl w:val="0"/>
                <w:numId w:val="18"/>
              </w:numPr>
              <w:tabs>
                <w:tab w:val="left" w:pos="185"/>
                <w:tab w:val="left" w:pos="468"/>
              </w:tabs>
              <w:spacing w:before="160" w:line="252" w:lineRule="auto"/>
              <w:ind w:left="113" w:right="102" w:firstLine="0"/>
              <w:jc w:val="both"/>
            </w:pPr>
            <w:r w:rsidRPr="00D26556">
              <w:t xml:space="preserve">Lai </w:t>
            </w:r>
            <w:r w:rsidR="00327BAC" w:rsidRPr="00D26556">
              <w:t>harmonizētu 1.1.1.2. </w:t>
            </w:r>
            <w:r w:rsidR="009F09E7" w:rsidRPr="00D26556">
              <w:t xml:space="preserve">pasākuma ieviešanas </w:t>
            </w:r>
            <w:r w:rsidR="00327BAC" w:rsidRPr="00D26556">
              <w:t>normas</w:t>
            </w:r>
            <w:r w:rsidR="007E7678" w:rsidRPr="00D26556">
              <w:t xml:space="preserve">, </w:t>
            </w:r>
            <w:r w:rsidR="009F09E7" w:rsidRPr="00D26556">
              <w:t>nodrošinātu vienotu pieeju 1.1.1. SAM ietvaros īstenotajos pasākum</w:t>
            </w:r>
            <w:r w:rsidR="00A602EC" w:rsidRPr="00D26556">
              <w:t>os</w:t>
            </w:r>
            <w:r w:rsidR="007E7678" w:rsidRPr="00D26556">
              <w:t xml:space="preserve"> attiecībā uz ar saimniecisko darbību saistītu pētniecības pieteikumu īstenošanu</w:t>
            </w:r>
            <w:r w:rsidR="009F09E7" w:rsidRPr="00D26556">
              <w:t xml:space="preserve">, tostarp </w:t>
            </w:r>
            <w:r w:rsidR="00327BAC" w:rsidRPr="00D26556">
              <w:t xml:space="preserve">sekmētu iznākuma rādītāju </w:t>
            </w:r>
            <w:r w:rsidR="009F09E7" w:rsidRPr="00D26556">
              <w:t>vērtības sasniegšanu</w:t>
            </w:r>
            <w:r w:rsidR="00327BAC" w:rsidRPr="00D26556">
              <w:t>, noteikumu projektā</w:t>
            </w:r>
            <w:r w:rsidRPr="00D26556">
              <w:t xml:space="preserve"> </w:t>
            </w:r>
            <w:r w:rsidR="00327BAC" w:rsidRPr="00D26556">
              <w:t>rosinātas</w:t>
            </w:r>
            <w:r w:rsidRPr="00D26556">
              <w:t xml:space="preserve"> </w:t>
            </w:r>
            <w:r w:rsidR="00327BAC" w:rsidRPr="00D26556">
              <w:t xml:space="preserve">izmaiņas 1.1.1.2. pasākuma pēcdoktorantūras pētniecības pieteikuma trešās </w:t>
            </w:r>
            <w:r w:rsidRPr="00D26556">
              <w:t>un turpmāko atlases kārtu īstenošanā</w:t>
            </w:r>
            <w:r w:rsidR="00327BAC" w:rsidRPr="00D26556">
              <w:t xml:space="preserve">, paredzot, ka </w:t>
            </w:r>
            <w:r w:rsidR="00734BB7" w:rsidRPr="00D26556">
              <w:t>komersantiem, kas atbilst lielā komersanta definīcijai, ar saimniecisko darbību saistītu pētniecības pieteikumu ietvaros darb</w:t>
            </w:r>
            <w:r w:rsidR="00694014" w:rsidRPr="00D26556">
              <w:t>ības ir attiecināmas no brīža, kad noslēgts līgums ar aģentūru par pētniecības pieteikuma īstenošanu</w:t>
            </w:r>
            <w:r w:rsidR="00FA2E79" w:rsidRPr="00D26556">
              <w:t xml:space="preserve">, ja pētniecības pieteikuma iesniedzējs atbilstoši </w:t>
            </w:r>
            <w:r w:rsidR="00B45DC2" w:rsidRPr="00D26556">
              <w:t>Komisijas 2014. gada 17. jūnija Regulas (ES) Nr.</w:t>
            </w:r>
            <w:hyperlink r:id="rId9" w:tgtFrame="_blank" w:history="1">
              <w:r w:rsidR="00B45DC2" w:rsidRPr="00D26556">
                <w:t>651/2014</w:t>
              </w:r>
            </w:hyperlink>
            <w:r w:rsidR="00B45DC2" w:rsidRPr="00D26556">
              <w:t>, ar ko noteiktas atbalsta kategorijas atzīst par saderīgām ar iekšējo tirgu, piemērojot Līguma 107. un 108. pantu (Eiropas Savienības Oficiālais Vēstnesis, 2014. gada 26. jūnijs, Nr. L 187) (turpmāk – Komisijas regula Nr. </w:t>
            </w:r>
            <w:hyperlink r:id="rId10" w:tgtFrame="_blank" w:history="1">
              <w:r w:rsidR="00B45DC2" w:rsidRPr="00D26556">
                <w:t>651/2014</w:t>
              </w:r>
            </w:hyperlink>
            <w:r w:rsidR="00B45DC2" w:rsidRPr="00D26556">
              <w:t>)</w:t>
            </w:r>
            <w:r w:rsidR="00FA2E79" w:rsidRPr="00D26556">
              <w:t xml:space="preserve"> </w:t>
            </w:r>
            <w:r w:rsidR="00B45DC2" w:rsidRPr="00D26556">
              <w:t xml:space="preserve">6. panta 2. punktam, </w:t>
            </w:r>
            <w:r w:rsidR="00FA2E79" w:rsidRPr="00D26556">
              <w:t>ir iesniedzis rakstisku atbalsta pieteikumus pirms sākas darbi</w:t>
            </w:r>
          </w:p>
          <w:p w14:paraId="10D048DC" w14:textId="4991792C" w:rsidR="00B83BB5" w:rsidRPr="00D26556" w:rsidRDefault="00B83BB5" w:rsidP="00230DEB">
            <w:pPr>
              <w:tabs>
                <w:tab w:val="left" w:pos="185"/>
                <w:tab w:val="left" w:pos="468"/>
              </w:tabs>
              <w:spacing w:line="252" w:lineRule="auto"/>
              <w:ind w:left="113" w:right="102"/>
              <w:jc w:val="both"/>
            </w:pPr>
            <w:r w:rsidRPr="00D26556">
              <w:t xml:space="preserve">Ja trešajā un turpmākajās 1.1.1.2.pasākuma pētniecības pieteikumu atlases kārtās </w:t>
            </w:r>
            <w:r w:rsidR="007E7678" w:rsidRPr="00D26556">
              <w:t xml:space="preserve">ar saimniecisko darbību saistītā </w:t>
            </w:r>
            <w:r w:rsidRPr="00D26556">
              <w:t>pētniecības pieteikum</w:t>
            </w:r>
            <w:r w:rsidR="007E7678" w:rsidRPr="00D26556">
              <w:t xml:space="preserve">ā plānotās attiecināmās darbības </w:t>
            </w:r>
            <w:r w:rsidRPr="00D26556">
              <w:t xml:space="preserve">uzsāk pēc </w:t>
            </w:r>
            <w:r w:rsidR="007E7678" w:rsidRPr="00D26556">
              <w:t>pieteikuma iesniegšanas aģentūrā</w:t>
            </w:r>
            <w:r w:rsidRPr="00D26556">
              <w:t>, tad pētniecības pieteikuma iesniedzējs uzņemas risku segt visas radušās izmaksas no saviem līdzekļiem, ja pētniecības pieteikums netiks apstiprināts.</w:t>
            </w:r>
          </w:p>
          <w:p w14:paraId="772B141B" w14:textId="1B414F19" w:rsidR="00C82D81" w:rsidRPr="00D26556" w:rsidRDefault="00C82D81" w:rsidP="00230DEB">
            <w:pPr>
              <w:numPr>
                <w:ilvl w:val="0"/>
                <w:numId w:val="18"/>
              </w:numPr>
              <w:tabs>
                <w:tab w:val="left" w:pos="185"/>
                <w:tab w:val="left" w:pos="468"/>
              </w:tabs>
              <w:spacing w:before="120" w:line="252" w:lineRule="auto"/>
              <w:ind w:left="113" w:right="102" w:firstLine="0"/>
              <w:jc w:val="both"/>
            </w:pPr>
            <w:r w:rsidRPr="00D26556">
              <w:t>Noteikumu Nr. 50 42. punkt</w:t>
            </w:r>
            <w:r w:rsidR="00744034" w:rsidRPr="00D26556">
              <w:t>ā</w:t>
            </w:r>
            <w:r w:rsidRPr="00D26556">
              <w:t xml:space="preserve"> no</w:t>
            </w:r>
            <w:r w:rsidR="00744034" w:rsidRPr="00D26556">
              <w:t>teikts</w:t>
            </w:r>
            <w:r w:rsidRPr="00D26556">
              <w:t xml:space="preserve">, ka pētniecības organizācija ar saimniecisku darbību nesaistīta projekta īstenošanai nodrošina nacionālo </w:t>
            </w:r>
            <w:r w:rsidRPr="00D26556">
              <w:lastRenderedPageBreak/>
              <w:t>līdzfinansējumu 15 procentu apmērā no pētniecības pieteikuma kopējām attiecināmajām izmaksām. Tostarp noteikumu Nr. 50 42.2.</w:t>
            </w:r>
            <w:r w:rsidR="00A72B7A" w:rsidRPr="00D26556">
              <w:t> </w:t>
            </w:r>
            <w:r w:rsidRPr="00D26556">
              <w:t xml:space="preserve">apakšpunktā noteikts, ka minēto nacionālo līdzfinansējumu var veidot ieguldījumi natūrā, tiem nepārsniedzot 5 procentus no pētniecības pieteikuma kopējām attiecināmajām izmaksām. Vienlaikus spēkā esošajos noteikumos Nr. 50 nav noteikts, vai procentuālais ierobežojums ieguldījumiem natūrā piemērojams tikai pētniecības pieteikuma vērtēšanas brīdī vai visā pētniecības pieteikuma īstenošanas periodā. Tādējādi nav skaidri definēta rīcība gadījumos, ja pētniecības pieteikuma īstenošanas laikā samazinās pētniecības pieteikuma kopējais attiecināmais finansējums izmaksu pozīcijās, kas nav saistītas ar ieguldījumiem natūrā, kā rezultātā palielinās ieguldījumu natūrā kopējais procentuālais apmērs, lai arī ieguldījumi natūrā absolūtos skaitļos nav mainījušies. </w:t>
            </w:r>
            <w:r w:rsidR="00DB4668" w:rsidRPr="00D26556">
              <w:t>K</w:t>
            </w:r>
            <w:r w:rsidRPr="00D26556">
              <w:t>opējais pētniecības pieteikumu attiecināmo izmaksu samazinājums var rasties gadījumos, kad ir radies izmaksu ietaupījums, bet pētniecības pieteikumā paredzētie mērķi un rādītāji tiek sasniegti vai konstatētas neatbilstoši veiktas izmaksas.</w:t>
            </w:r>
          </w:p>
          <w:p w14:paraId="3CD382E3" w14:textId="58AE0722" w:rsidR="00530B6B" w:rsidRPr="00D26556" w:rsidRDefault="00C82D81" w:rsidP="00230DEB">
            <w:pPr>
              <w:tabs>
                <w:tab w:val="left" w:pos="185"/>
                <w:tab w:val="left" w:pos="468"/>
              </w:tabs>
              <w:spacing w:line="252" w:lineRule="auto"/>
              <w:ind w:left="113" w:right="102"/>
              <w:jc w:val="both"/>
            </w:pPr>
            <w:r w:rsidRPr="00D26556">
              <w:t>Lai attiecībā uz ieguldījumiem natūrā nodrošinātu pētniecības pieteikumu īstenošanu sākotnēji plānotajā kapacitātē un finansējuma apmērā, tostarp nepieprasot palielināt pētniecības pieteikuma īstenošanai plānoto kopējo nacionālā līdzfinansējuma apmēru, noteikumu projekts paredz precizēt noteikumu Nr. 50 42.2. apakšpunktu un papildināt ar 42.2.1.</w:t>
            </w:r>
            <w:r w:rsidR="00F918EE" w:rsidRPr="00D26556">
              <w:t xml:space="preserve"> un </w:t>
            </w:r>
            <w:r w:rsidRPr="00D26556">
              <w:t>42.2.2.</w:t>
            </w:r>
            <w:r w:rsidR="00F918EE" w:rsidRPr="00D26556">
              <w:t> </w:t>
            </w:r>
            <w:r w:rsidRPr="00D26556">
              <w:t>apakšpunktiem, nosakot konkrētus gadījumus, kad ieguldījumiem natūrā pieļaujams pārsniegt sākotnēji plānoto</w:t>
            </w:r>
            <w:r w:rsidR="00A72B7A" w:rsidRPr="00D26556">
              <w:t xml:space="preserve"> 5 </w:t>
            </w:r>
            <w:r w:rsidRPr="00D26556">
              <w:t xml:space="preserve">procentu apmēru, vienlaikus nepārsniedzot sākotnēji plānoto ieguldījumu natūrā vērtību absolūtos skaitļos. </w:t>
            </w:r>
          </w:p>
          <w:p w14:paraId="121DDC15" w14:textId="77777777" w:rsidR="0034418E" w:rsidRPr="00D26556" w:rsidRDefault="00034826" w:rsidP="00230DEB">
            <w:pPr>
              <w:numPr>
                <w:ilvl w:val="0"/>
                <w:numId w:val="18"/>
              </w:numPr>
              <w:tabs>
                <w:tab w:val="left" w:pos="396"/>
              </w:tabs>
              <w:spacing w:before="120" w:line="252" w:lineRule="auto"/>
              <w:ind w:left="43" w:right="102" w:firstLine="0"/>
              <w:jc w:val="both"/>
            </w:pPr>
            <w:r w:rsidRPr="00D26556">
              <w:t>Saskaņā ar noteikumu Nr. 50 48.1. apakšpunktu, a</w:t>
            </w:r>
            <w:r w:rsidR="00BE4BE2" w:rsidRPr="00D26556">
              <w:t xml:space="preserve">tlīdzības izmaksas pēcdoktorantam par pētniecības pieteikumā plānoto darbību un aktivitāšu īstenošanu mēnesī nepārsniedz 2 731 </w:t>
            </w:r>
            <w:r w:rsidR="00BE4BE2" w:rsidRPr="00D26556">
              <w:rPr>
                <w:i/>
              </w:rPr>
              <w:t>euro</w:t>
            </w:r>
            <w:r w:rsidR="000C383B" w:rsidRPr="00D26556">
              <w:t xml:space="preserve">, </w:t>
            </w:r>
            <w:r w:rsidR="00430D17" w:rsidRPr="00D26556">
              <w:t>tai skaitā</w:t>
            </w:r>
            <w:r w:rsidR="00BE4BE2" w:rsidRPr="00D26556">
              <w:t xml:space="preserve"> valsts sociālās apdrošināšanas obligātās iemaksas un citas sociāl</w:t>
            </w:r>
            <w:r w:rsidRPr="00D26556">
              <w:t>ās garantijas, kuras noteiktas normatīvajos aktos da</w:t>
            </w:r>
            <w:r w:rsidR="000C383B" w:rsidRPr="00D26556">
              <w:t xml:space="preserve">rba tiesību un atlīdzības jomā. </w:t>
            </w:r>
            <w:r w:rsidR="003F4139" w:rsidRPr="00D26556">
              <w:t xml:space="preserve">Pētniecības pieteikumu īstenošanas laikā, </w:t>
            </w:r>
            <w:r w:rsidR="00306680" w:rsidRPr="00D26556">
              <w:t xml:space="preserve">zinātniskās </w:t>
            </w:r>
            <w:r w:rsidR="003F4139" w:rsidRPr="00D26556">
              <w:t xml:space="preserve">institūcijas ir </w:t>
            </w:r>
            <w:r w:rsidR="005C2B04" w:rsidRPr="00D26556">
              <w:t>konstatējušas, ka gadījumos, ja</w:t>
            </w:r>
            <w:r w:rsidR="003F4139" w:rsidRPr="00D26556">
              <w:t xml:space="preserve"> pēcdoktorantam noteikts maksimālais </w:t>
            </w:r>
            <w:r w:rsidR="00306680" w:rsidRPr="00D26556">
              <w:t>atlīdzības</w:t>
            </w:r>
            <w:r w:rsidR="003F4139" w:rsidRPr="00D26556">
              <w:t xml:space="preserve"> apm</w:t>
            </w:r>
            <w:r w:rsidR="00306680" w:rsidRPr="00D26556">
              <w:t>ērs, atsevišķu</w:t>
            </w:r>
            <w:r w:rsidR="00430D17" w:rsidRPr="00D26556">
              <w:t xml:space="preserve"> </w:t>
            </w:r>
            <w:r w:rsidR="00306680" w:rsidRPr="00D26556">
              <w:t>mēnešu</w:t>
            </w:r>
            <w:r w:rsidR="00430D17" w:rsidRPr="00D26556">
              <w:t xml:space="preserve"> ietvaros aprēķinātais un pēcdoktorantam izmaksātais </w:t>
            </w:r>
            <w:r w:rsidR="00306680" w:rsidRPr="00D26556">
              <w:t>atlīdzības</w:t>
            </w:r>
            <w:r w:rsidR="005B79DC" w:rsidRPr="00D26556">
              <w:t xml:space="preserve"> apmērs var būt lielāks</w:t>
            </w:r>
            <w:r w:rsidR="00BE21D1" w:rsidRPr="00D26556">
              <w:t xml:space="preserve"> </w:t>
            </w:r>
            <w:r w:rsidR="00430D17" w:rsidRPr="00D26556">
              <w:t>vai mazāks kā noteikumu Nr. 50 48.1. apakšpunktā noteiktās viena mēneša izmaksas.</w:t>
            </w:r>
            <w:r w:rsidR="005B79DC" w:rsidRPr="00D26556">
              <w:t xml:space="preserve"> </w:t>
            </w:r>
            <w:r w:rsidR="00430D17" w:rsidRPr="00D26556">
              <w:t xml:space="preserve">Tas saistīts </w:t>
            </w:r>
            <w:r w:rsidR="005B79DC" w:rsidRPr="00D26556">
              <w:t>ar darba tiesisko attiecību regulējošajos normatīvajos aktos noteikto vidējās izpeļņas aprēķināšanas kārt</w:t>
            </w:r>
            <w:r w:rsidR="00BE21D1" w:rsidRPr="00D26556">
              <w:t xml:space="preserve">ību. Piemēram, 2018. gada oktobrī bija 23 darba dienas, savukārt 2018. gada decembrī – 17 darba dienas. Attiecīgi, pēcdoktorantam aprēķinātā un izmaksātā vidējā izpeļņa par ikgadējo apmaksāto atvaļinājumu mēnesī, kurā darba dienu skaits ir lielāks, var pārsniegt noteikumu Nr. 50 48.1. apakšpunktā noteiktās izmaksas 2 731 </w:t>
            </w:r>
            <w:r w:rsidR="00BE21D1" w:rsidRPr="00D26556">
              <w:rPr>
                <w:i/>
              </w:rPr>
              <w:t>euro</w:t>
            </w:r>
            <w:r w:rsidR="00BE21D1" w:rsidRPr="00D26556">
              <w:t xml:space="preserve"> un var veidoties pārmaksa. Savukārt mēnesī, kad pēcdoktorantam ir bijusi pārejoša darbnespēja vai atvaļinājums bez darba samaksas saglabāšanas, pēcdoktorantam aprēķinātais un izmaksātais atlīdzības apmērs ir mazāks.</w:t>
            </w:r>
          </w:p>
          <w:p w14:paraId="2392D7C9" w14:textId="536CF390" w:rsidR="00C856BD" w:rsidRPr="00D26556" w:rsidRDefault="007E64E9" w:rsidP="00230DEB">
            <w:pPr>
              <w:tabs>
                <w:tab w:val="left" w:pos="396"/>
              </w:tabs>
              <w:spacing w:line="252" w:lineRule="auto"/>
              <w:ind w:left="43" w:right="102"/>
              <w:jc w:val="both"/>
            </w:pPr>
            <w:r w:rsidRPr="00D26556">
              <w:t>Ievērojot minēto,</w:t>
            </w:r>
            <w:r w:rsidR="005B79DC" w:rsidRPr="00D26556">
              <w:t xml:space="preserve"> </w:t>
            </w:r>
            <w:r w:rsidRPr="00D26556">
              <w:t xml:space="preserve">nepieciešams veikt grozījumus noteikumu Nr. 50 48.1. apakšpunktā, paredzot, ka pēcdoktoranta </w:t>
            </w:r>
            <w:r w:rsidR="007E5326" w:rsidRPr="00D26556">
              <w:t>vidējās maksimālās mēneša</w:t>
            </w:r>
            <w:r w:rsidRPr="00D26556">
              <w:t xml:space="preserve"> izmaksas ir 2 731 </w:t>
            </w:r>
            <w:r w:rsidRPr="00D26556">
              <w:rPr>
                <w:i/>
              </w:rPr>
              <w:t>euro</w:t>
            </w:r>
            <w:r w:rsidR="00306680" w:rsidRPr="00D26556">
              <w:rPr>
                <w:i/>
              </w:rPr>
              <w:t>,</w:t>
            </w:r>
            <w:r w:rsidR="00306680" w:rsidRPr="00D26556">
              <w:t xml:space="preserve"> tai skaitā valsts sociālās apdrošināšanas </w:t>
            </w:r>
            <w:r w:rsidR="00306680" w:rsidRPr="00D26556">
              <w:lastRenderedPageBreak/>
              <w:t>obligātās iemaksas un citas sociālās garantijas, kuras noteiktas normatīvajos aktos darba tiesību un atlīdzības jomā, bet gada ietvaros tā</w:t>
            </w:r>
            <w:r w:rsidRPr="00D26556">
              <w:t xml:space="preserve">s nepārsniedz 32 772 </w:t>
            </w:r>
            <w:r w:rsidRPr="00D26556">
              <w:rPr>
                <w:i/>
              </w:rPr>
              <w:t>euro</w:t>
            </w:r>
            <w:r w:rsidRPr="00D26556">
              <w:t>.</w:t>
            </w:r>
            <w:r w:rsidR="00C856BD" w:rsidRPr="00D26556">
              <w:t xml:space="preserve"> </w:t>
            </w:r>
          </w:p>
          <w:p w14:paraId="33B5652C" w14:textId="77777777" w:rsidR="00434AA9" w:rsidRPr="00D26556" w:rsidRDefault="00BB2E33" w:rsidP="00230DEB">
            <w:pPr>
              <w:numPr>
                <w:ilvl w:val="0"/>
                <w:numId w:val="18"/>
              </w:numPr>
              <w:tabs>
                <w:tab w:val="left" w:pos="396"/>
              </w:tabs>
              <w:spacing w:before="240" w:line="252" w:lineRule="auto"/>
              <w:ind w:left="43" w:right="102" w:firstLine="0"/>
              <w:jc w:val="both"/>
            </w:pPr>
            <w:r w:rsidRPr="00D26556">
              <w:t>Spēkā eso</w:t>
            </w:r>
            <w:r w:rsidR="00BF345A" w:rsidRPr="00D26556">
              <w:t>šais</w:t>
            </w:r>
            <w:r w:rsidRPr="00D26556">
              <w:t xml:space="preserve"> </w:t>
            </w:r>
            <w:r w:rsidR="00BF345A" w:rsidRPr="00D26556">
              <w:t xml:space="preserve">noteikumu Nr. 50 </w:t>
            </w:r>
            <w:r w:rsidR="00D2493A" w:rsidRPr="00D26556">
              <w:t>25</w:t>
            </w:r>
            <w:r w:rsidR="00BF345A" w:rsidRPr="00D26556">
              <w:t>.</w:t>
            </w:r>
            <w:r w:rsidR="00D2493A" w:rsidRPr="00D26556">
              <w:t>4</w:t>
            </w:r>
            <w:r w:rsidR="00BF345A" w:rsidRPr="00D26556">
              <w:t>. </w:t>
            </w:r>
            <w:r w:rsidR="004B3E7B" w:rsidRPr="00D26556">
              <w:t>apakš</w:t>
            </w:r>
            <w:r w:rsidR="00BF345A" w:rsidRPr="00D26556">
              <w:t>punkts paredz, ka pēcdoktorants pētniecības pieteikuma īstenošanai, tiek piesaistīts uz pilnu darba laiku. Ievērojot minēto</w:t>
            </w:r>
            <w:r w:rsidR="004B3E7B" w:rsidRPr="00D26556">
              <w:t xml:space="preserve"> un</w:t>
            </w:r>
            <w:r w:rsidR="00BF345A" w:rsidRPr="00D26556">
              <w:t>, lai nodrošinātu saprātīgu pēcdoktoranta kopējo noslodzi, tādējādi sekmējot kvalitatīvu pētniecības pieteikuma īstenošanu, kā arī ārpus pētniecības pieteikuma īstenošanas veicamos pienākumus</w:t>
            </w:r>
            <w:r w:rsidR="004B3E7B" w:rsidRPr="00D26556">
              <w:t>, noteikumu Nr. 50 59. punktā tika noteikts, ka pēcdoktorants ārpus pētniecības pieteikuma īstenošanas var tikt nodarbināts citā darba vietā vai amatā, pilna darba laika ekvivalenta izteiksmē nepārsniedzot 0,2. Ņemot vērā, ka spēkā esošais regulējums par ārpus pētniecības pieteikuma īstenošanas nodarbinātību atsevišķos gadījumos var ierobežot jauno zinātnieku līdzšinējo profesionālo darbību, kā arī</w:t>
            </w:r>
            <w:r w:rsidR="005331A3" w:rsidRPr="00D26556">
              <w:t>,</w:t>
            </w:r>
            <w:r w:rsidR="004B3E7B" w:rsidRPr="00D26556">
              <w:t xml:space="preserve"> ņ</w:t>
            </w:r>
            <w:r w:rsidR="009F5E76" w:rsidRPr="00D26556">
              <w:t>emot vērā noteikumu projekta plānotos groz</w:t>
            </w:r>
            <w:r w:rsidR="004B3E7B" w:rsidRPr="00D26556">
              <w:t>ījumus noteikumu Nr. 50 33. punktā, kas paredz papildināt atbalstāmo darbību loku, ko</w:t>
            </w:r>
            <w:r w:rsidR="009F5E76" w:rsidRPr="00D26556">
              <w:t xml:space="preserve"> pēcdoktorants pētniecības pieteikuma pilnas slodzes ietvaros turpmāk var</w:t>
            </w:r>
            <w:r w:rsidR="004B3E7B" w:rsidRPr="00D26556">
              <w:t>ēs veikt</w:t>
            </w:r>
            <w:r w:rsidR="00BF345A" w:rsidRPr="00D26556">
              <w:t xml:space="preserve">, lai </w:t>
            </w:r>
            <w:r w:rsidR="00434AA9" w:rsidRPr="00D26556">
              <w:t>n</w:t>
            </w:r>
            <w:r w:rsidR="00BF345A" w:rsidRPr="00D26556">
              <w:t>esašaurinātu normatīvajos aktos, kas regulē darba tiesiskās attiecības</w:t>
            </w:r>
            <w:r w:rsidR="002B14B1" w:rsidRPr="00D26556">
              <w:t xml:space="preserve">, noteiktās tiesības, </w:t>
            </w:r>
            <w:r w:rsidR="00434AA9" w:rsidRPr="00D26556">
              <w:t>rosinām svītrot noteikumu Nr. 50 59.</w:t>
            </w:r>
            <w:r w:rsidR="00BF345A" w:rsidRPr="00D26556">
              <w:t> punktu</w:t>
            </w:r>
            <w:r w:rsidR="00434AA9" w:rsidRPr="00D26556">
              <w:t>.</w:t>
            </w:r>
          </w:p>
          <w:p w14:paraId="21B05707" w14:textId="665D09AA" w:rsidR="00856BAD" w:rsidRPr="00D26556" w:rsidRDefault="002B14B1" w:rsidP="00230DEB">
            <w:pPr>
              <w:tabs>
                <w:tab w:val="left" w:pos="396"/>
              </w:tabs>
              <w:spacing w:line="252" w:lineRule="auto"/>
              <w:ind w:left="43" w:right="102"/>
              <w:jc w:val="both"/>
            </w:pPr>
            <w:r w:rsidRPr="00D26556">
              <w:t>Pēcdoktoranta pētniecības pieteikuma ietvaros veiktā pētījuma zinātnisko kvalitāti, sasniegtos rezultātus un to atbilstību plānotajam grafikam pēc būtības pētniecības pieteikuma vidusposmā un noslēgumā izvērtēs EK eksperts.</w:t>
            </w:r>
            <w:r w:rsidR="00160CE1" w:rsidRPr="00D26556">
              <w:t xml:space="preserve"> Savukārt, aģentūra, saskaņā ar noteikumu Nr. 50 19.4. apakšpunktu, balstoties uz EK ekspertu pētniecības pieteikuma gala rezultātu zinātniskās kvalitātes izvērtējumu un pētniecības pieteikuma plānoto rezultātu sasniegšanas līmeni, varēs pieņem lēmumu par izmaksātā finansējuma atgūšanu atbilstoši līgumā par pētniecības pieteikumu īstenošanu noteiktajam.</w:t>
            </w:r>
          </w:p>
          <w:p w14:paraId="234621C5" w14:textId="77777777" w:rsidR="00E618CD" w:rsidRPr="00D26556" w:rsidRDefault="00E618CD" w:rsidP="00230DEB">
            <w:pPr>
              <w:tabs>
                <w:tab w:val="left" w:pos="396"/>
              </w:tabs>
              <w:spacing w:line="252" w:lineRule="auto"/>
              <w:ind w:left="43" w:right="102"/>
              <w:jc w:val="both"/>
            </w:pPr>
          </w:p>
          <w:p w14:paraId="51865AE8" w14:textId="33842748" w:rsidR="00694014" w:rsidRPr="00D26556" w:rsidRDefault="00E618CD" w:rsidP="00230DEB">
            <w:pPr>
              <w:numPr>
                <w:ilvl w:val="0"/>
                <w:numId w:val="18"/>
              </w:numPr>
              <w:tabs>
                <w:tab w:val="left" w:pos="108"/>
              </w:tabs>
              <w:spacing w:line="252" w:lineRule="auto"/>
              <w:ind w:left="43" w:right="102" w:firstLine="0"/>
              <w:jc w:val="both"/>
            </w:pPr>
            <w:r w:rsidRPr="00D26556">
              <w:t>Spēkā esošie noteikumi Nr. 50 šobrīd viennozīmīgi nenosaka atbalsta piešķiršanas brīdi pētniecības pieteikumiem, kuriem atbalsts tiek piešķirts saskaņā ar Komisijas regula Nr. </w:t>
            </w:r>
            <w:hyperlink r:id="rId11" w:tgtFrame="_blank" w:history="1">
              <w:r w:rsidRPr="00D26556">
                <w:t>651/2014</w:t>
              </w:r>
            </w:hyperlink>
            <w:r w:rsidRPr="00D26556">
              <w:t xml:space="preserve">. </w:t>
            </w:r>
            <w:r w:rsidR="00694014" w:rsidRPr="00D26556">
              <w:t>Ņemot vērā Finanšu ministrijas sniegto skaidrojumu, ka atbalsta piešķiršanas brīža identificēšana ir būtisks priekšnosacījums korektai interpretācijai par datumu, kurā tiktu uzskatīts, ka atbalsts saskaņā ar Komisijas Regulu (ES) Nr.651/2014, ticis piešķirts tā saņēmējam,  noteikumi Nr. 50 papildināti ar 79.</w:t>
            </w:r>
            <w:r w:rsidR="00694014" w:rsidRPr="00D26556">
              <w:rPr>
                <w:vertAlign w:val="superscript"/>
              </w:rPr>
              <w:t>1</w:t>
            </w:r>
            <w:r w:rsidR="00694014" w:rsidRPr="00D26556">
              <w:t xml:space="preserve"> punktu, kas paredz, ka atbalsta, piešķiršanas brīdis ir diena, kad finansējuma saņēmējs ir noslēdzis līgumu ar saimniecisko darbību saistīta pētniecības pieteikuma iesniedzēju par pētniecības pieteikuma īstenošanu. </w:t>
            </w:r>
          </w:p>
          <w:p w14:paraId="2FB5BBBA" w14:textId="77777777" w:rsidR="00434AA9" w:rsidRPr="00D26556" w:rsidRDefault="00434AA9" w:rsidP="00230DEB">
            <w:pPr>
              <w:spacing w:line="252" w:lineRule="auto"/>
              <w:ind w:right="102"/>
              <w:jc w:val="both"/>
            </w:pPr>
          </w:p>
          <w:p w14:paraId="69EFA94E" w14:textId="77777777" w:rsidR="00806AC6" w:rsidRPr="00D26556" w:rsidRDefault="00923C0B" w:rsidP="00230DEB">
            <w:pPr>
              <w:spacing w:line="252" w:lineRule="auto"/>
              <w:ind w:left="104" w:right="102"/>
              <w:jc w:val="both"/>
            </w:pPr>
            <w:r w:rsidRPr="00D26556">
              <w:t xml:space="preserve">Ņemot vērā iepriekš minēto, MK noteikumu projekts nosaka šādus grozījumus </w:t>
            </w:r>
            <w:r w:rsidR="00B040C9" w:rsidRPr="00D26556">
              <w:t>n</w:t>
            </w:r>
            <w:r w:rsidRPr="00D26556">
              <w:t xml:space="preserve">oteikumos </w:t>
            </w:r>
            <w:r w:rsidR="00806AC6" w:rsidRPr="00D26556">
              <w:t>N</w:t>
            </w:r>
            <w:r w:rsidRPr="00D26556">
              <w:t>r. 50</w:t>
            </w:r>
            <w:r w:rsidR="00806AC6" w:rsidRPr="00D26556">
              <w:t>:</w:t>
            </w:r>
          </w:p>
          <w:p w14:paraId="18E21561" w14:textId="2B03AC33" w:rsidR="006524E2" w:rsidRPr="00D26556" w:rsidRDefault="00300D0C" w:rsidP="00230DEB">
            <w:pPr>
              <w:numPr>
                <w:ilvl w:val="0"/>
                <w:numId w:val="2"/>
              </w:numPr>
              <w:spacing w:line="252" w:lineRule="auto"/>
              <w:ind w:right="102"/>
              <w:jc w:val="both"/>
            </w:pPr>
            <w:r w:rsidRPr="00D26556">
              <w:t>papildināt noteikumu Nr. 50 2.9.</w:t>
            </w:r>
            <w:r w:rsidR="006A768F" w:rsidRPr="00D26556">
              <w:t> </w:t>
            </w:r>
            <w:r w:rsidRPr="00D26556">
              <w:t>apakšpunkt</w:t>
            </w:r>
            <w:r w:rsidR="007D4EA3" w:rsidRPr="00D26556">
              <w:t>a ievaddaļu</w:t>
            </w:r>
            <w:r w:rsidRPr="00D26556">
              <w:t>, paredz</w:t>
            </w:r>
            <w:r w:rsidR="008527A5" w:rsidRPr="00D26556">
              <w:t>ot</w:t>
            </w:r>
            <w:r w:rsidRPr="00D26556">
              <w:t>, ka trešajā un turpmākajās atlases kārtās, pēcdoktoranta statusam atbilst jaunie zinātnieki, kas doktora grādu ir ieguvuši ne agrāk kā desmit gadus pirms pētniecības pieteikuma iesniegšanas termiņa</w:t>
            </w:r>
            <w:r w:rsidR="00AB6388" w:rsidRPr="00D26556">
              <w:t>. Grozījumiem minēt</w:t>
            </w:r>
            <w:r w:rsidR="001B03AA" w:rsidRPr="00D26556">
              <w:t>aj</w:t>
            </w:r>
            <w:r w:rsidR="00AB6388" w:rsidRPr="00D26556">
              <w:t xml:space="preserve">ā punktā nav ietekmes uz pētniecības </w:t>
            </w:r>
            <w:r w:rsidR="00AB6388" w:rsidRPr="00D26556">
              <w:lastRenderedPageBreak/>
              <w:t>pieteikuma iesniedzējiem, kas pieteikumus ir iesnieguši pirmajā un otrajā pētniecības pieteikumu atlases kārtā, bet būs saistoši nāk</w:t>
            </w:r>
            <w:r w:rsidR="001B03AA" w:rsidRPr="00D26556">
              <w:t>amaj</w:t>
            </w:r>
            <w:r w:rsidR="006A768F" w:rsidRPr="00D26556">
              <w:t>ām 1.1.1.2. </w:t>
            </w:r>
            <w:r w:rsidR="00AB6388" w:rsidRPr="00D26556">
              <w:t>pasākuma ietvaros paredzēt</w:t>
            </w:r>
            <w:r w:rsidR="001B03AA" w:rsidRPr="00D26556">
              <w:t>aj</w:t>
            </w:r>
            <w:r w:rsidR="00AB6388" w:rsidRPr="00D26556">
              <w:t>ām pētniecības pieteikumu atlases kārtām</w:t>
            </w:r>
            <w:r w:rsidRPr="00D26556">
              <w:t>;</w:t>
            </w:r>
          </w:p>
          <w:p w14:paraId="537E6BB8" w14:textId="46F1F1AD" w:rsidR="00A85B4B" w:rsidRPr="00D26556" w:rsidRDefault="00042411" w:rsidP="00230DEB">
            <w:pPr>
              <w:numPr>
                <w:ilvl w:val="0"/>
                <w:numId w:val="2"/>
              </w:numPr>
              <w:spacing w:line="252" w:lineRule="auto"/>
              <w:ind w:right="102"/>
              <w:jc w:val="both"/>
            </w:pPr>
            <w:r w:rsidRPr="00D26556">
              <w:t>precizēt</w:t>
            </w:r>
            <w:r w:rsidR="00C7519E" w:rsidRPr="00D26556">
              <w:t xml:space="preserve"> noteikumu Nr. 50 6.1.1.1. un </w:t>
            </w:r>
            <w:r w:rsidRPr="00D26556">
              <w:t xml:space="preserve">6.1.2.1. apakšpunktu, </w:t>
            </w:r>
            <w:r w:rsidR="00C7519E" w:rsidRPr="00D26556">
              <w:t>paredzot,</w:t>
            </w:r>
            <w:r w:rsidRPr="00D26556">
              <w:t xml:space="preserve"> ka iznākuma rādītāja nosaukums ir "Jaunu pētnieku skaits atbalstītajās vienībās (pilnas slodzes ekvivalents)"</w:t>
            </w:r>
            <w:r w:rsidR="00C7519E" w:rsidRPr="00D26556">
              <w:t xml:space="preserve"> un noteikumu Nr. 50</w:t>
            </w:r>
            <w:r w:rsidRPr="00D26556">
              <w:t xml:space="preserve"> 6.1.1.4. un 6.1.2.4. apakšpunktu, nosakot</w:t>
            </w:r>
            <w:r w:rsidR="00C7519E" w:rsidRPr="00D26556">
              <w:t>,</w:t>
            </w:r>
            <w:r w:rsidRPr="00D26556">
              <w:t xml:space="preserve"> ka iznākuma rādītāja nosaukums ir "privātās investīcijas, kas papildina valsts atbalstu inovācijām vai pētniecības un izstrādes projektiem"</w:t>
            </w:r>
            <w:r w:rsidR="00A85B4B" w:rsidRPr="00D26556">
              <w:t xml:space="preserve">. </w:t>
            </w:r>
            <w:r w:rsidR="006524E2" w:rsidRPr="00D26556">
              <w:t>Grozījumiem minētā punktā nav tiešas ietekmes uz pētniecības pieteikuma iesniedzējiem, bet r</w:t>
            </w:r>
            <w:r w:rsidR="00A85B4B" w:rsidRPr="00D26556">
              <w:t>osināto grozījumu rezultātā, aģentūrai būs nepieciešams veikt grozījumus aģentūras īstenotajā projektā Nr. 1.1.1.2/16/I/001 “Atbalsts pēcdoktorantūras pētniecības īstenošanai”, precizējot iznākuma rādītāj</w:t>
            </w:r>
            <w:r w:rsidR="00403F17" w:rsidRPr="00D26556">
              <w:t>u</w:t>
            </w:r>
            <w:r w:rsidR="00A85B4B" w:rsidRPr="00D26556">
              <w:t xml:space="preserve"> nosaukumus</w:t>
            </w:r>
            <w:r w:rsidR="00C7519E" w:rsidRPr="00D26556">
              <w:t>;</w:t>
            </w:r>
          </w:p>
          <w:p w14:paraId="582E26ED" w14:textId="4AD148D2" w:rsidR="00A85B4B" w:rsidRPr="00D26556" w:rsidRDefault="0096618D" w:rsidP="00230DEB">
            <w:pPr>
              <w:numPr>
                <w:ilvl w:val="0"/>
                <w:numId w:val="2"/>
              </w:numPr>
              <w:spacing w:line="252" w:lineRule="auto"/>
              <w:ind w:right="102"/>
              <w:jc w:val="both"/>
            </w:pPr>
            <w:r w:rsidRPr="00D26556">
              <w:t>precizēt noteikumu Nr. 50 9. un 9.</w:t>
            </w:r>
            <w:r w:rsidRPr="00D26556">
              <w:rPr>
                <w:vertAlign w:val="superscript"/>
              </w:rPr>
              <w:t>1</w:t>
            </w:r>
            <w:r w:rsidRPr="00D26556">
              <w:t> punktu, paredzot, ka pētniecības pieteikumu īstenošanai nepieciešamo līdzfinansējumu var nodrošināt no cita nacionālā privātā līdzfinansējuma</w:t>
            </w:r>
            <w:r w:rsidR="00A85B4B" w:rsidRPr="00D26556">
              <w:t xml:space="preserve">. </w:t>
            </w:r>
            <w:r w:rsidR="006524E2" w:rsidRPr="00D26556">
              <w:t>Grozījumiem minēt</w:t>
            </w:r>
            <w:r w:rsidR="001B03AA" w:rsidRPr="00D26556">
              <w:t>aj</w:t>
            </w:r>
            <w:r w:rsidR="006524E2" w:rsidRPr="00D26556">
              <w:t>ā punktā nav tiešas ietekmes uz pētniecības pieteikuma iesniedzējiem, bet r</w:t>
            </w:r>
            <w:r w:rsidR="00A85B4B" w:rsidRPr="00D26556">
              <w:t>osināto grozījumu rezultātā, aģentūrai būs nepieciešams veikt grozījumus aģentūras īstenotajā projektā Nr. 1.1.1.2/16/I/001 “Atbalsts pēcdoktorantūras pētniecības īstenošanai”, precizējot projekta finanšu avotus</w:t>
            </w:r>
            <w:r w:rsidRPr="00D26556">
              <w:t>; </w:t>
            </w:r>
          </w:p>
          <w:p w14:paraId="058C5017" w14:textId="2CF6B450" w:rsidR="00C04A0D" w:rsidRPr="00D26556" w:rsidRDefault="00C04A0D" w:rsidP="00230DEB">
            <w:pPr>
              <w:numPr>
                <w:ilvl w:val="0"/>
                <w:numId w:val="2"/>
              </w:numPr>
              <w:spacing w:line="252" w:lineRule="auto"/>
              <w:ind w:right="102"/>
              <w:jc w:val="both"/>
            </w:pPr>
            <w:r w:rsidRPr="00D26556">
              <w:t>papildin</w:t>
            </w:r>
            <w:r w:rsidR="00F80E9A" w:rsidRPr="00D26556">
              <w:t>āt noteikumu Nr. 50 18.</w:t>
            </w:r>
            <w:r w:rsidR="00923105" w:rsidRPr="00D26556">
              <w:t> punktu</w:t>
            </w:r>
            <w:r w:rsidR="00F80E9A" w:rsidRPr="00D26556">
              <w:t xml:space="preserve"> un 19.</w:t>
            </w:r>
            <w:r w:rsidR="00923105" w:rsidRPr="00D26556">
              <w:t>1. apakš</w:t>
            </w:r>
            <w:r w:rsidR="00F80E9A" w:rsidRPr="00D26556">
              <w:t>punktu</w:t>
            </w:r>
            <w:r w:rsidRPr="00D26556">
              <w:t xml:space="preserve">, paredzot, ka aģentūra organizējot pētniecības pieteikumu zinātniskās kvalitātes, pētniecības pieteikumu vidusposma un gala rezultātu zinātniskās kvalitātes izvērtēšanai var piesaistīt EK ekspertus, kas iekļauti EK ekspertu datubāzē vai citā starptautiskā ekspertu </w:t>
            </w:r>
            <w:r w:rsidR="00923105" w:rsidRPr="00D26556">
              <w:t>datubāzē</w:t>
            </w:r>
            <w:r w:rsidR="00A85B4B" w:rsidRPr="00D26556">
              <w:t xml:space="preserve">. Grozījumiem minētā punktā nav tiešas ietekmes uz pētniecības pieteikuma iesniedzējiem, bet </w:t>
            </w:r>
            <w:r w:rsidR="00197D96" w:rsidRPr="00D26556">
              <w:t xml:space="preserve">tie </w:t>
            </w:r>
            <w:r w:rsidR="00A85B4B" w:rsidRPr="00D26556">
              <w:t xml:space="preserve">būs saistoši </w:t>
            </w:r>
            <w:r w:rsidR="00CA30D4" w:rsidRPr="00D26556">
              <w:t>aģentūrai 1.1.1.2. pasākuma pētniecības pieteikumu sākotnējās, vidusposma un gala rezultātu zinātniskās kvalitātes novērtēšanas procesā</w:t>
            </w:r>
            <w:r w:rsidR="00923105" w:rsidRPr="00D26556">
              <w:t>;</w:t>
            </w:r>
          </w:p>
          <w:p w14:paraId="3059D01A" w14:textId="05556691" w:rsidR="00AB6388" w:rsidRPr="00D26556" w:rsidRDefault="006B6796" w:rsidP="00230DEB">
            <w:pPr>
              <w:numPr>
                <w:ilvl w:val="0"/>
                <w:numId w:val="2"/>
              </w:numPr>
              <w:spacing w:line="252" w:lineRule="auto"/>
              <w:ind w:right="102"/>
              <w:jc w:val="both"/>
            </w:pPr>
            <w:r w:rsidRPr="00D26556">
              <w:t>svītrot noteikumu Nr.</w:t>
            </w:r>
            <w:r w:rsidR="00417DC3" w:rsidRPr="00D26556">
              <w:t> </w:t>
            </w:r>
            <w:r w:rsidRPr="00D26556">
              <w:t xml:space="preserve">50 </w:t>
            </w:r>
            <w:r w:rsidR="00617A91" w:rsidRPr="00D26556">
              <w:t>25.3</w:t>
            </w:r>
            <w:r w:rsidRPr="00D26556">
              <w:t>.</w:t>
            </w:r>
            <w:r w:rsidR="004455D7" w:rsidRPr="00D26556">
              <w:t xml:space="preserve"> </w:t>
            </w:r>
            <w:r w:rsidR="00836C95" w:rsidRPr="00D26556">
              <w:t>un 26.3. </w:t>
            </w:r>
            <w:r w:rsidR="00617A91" w:rsidRPr="00D26556">
              <w:t>apakš</w:t>
            </w:r>
            <w:r w:rsidR="00D82047" w:rsidRPr="00D26556">
              <w:t>punktu,</w:t>
            </w:r>
            <w:r w:rsidR="00FE2ACC" w:rsidRPr="00D26556">
              <w:t xml:space="preserve"> </w:t>
            </w:r>
            <w:r w:rsidR="00836C95" w:rsidRPr="00D26556">
              <w:t xml:space="preserve">kā arī </w:t>
            </w:r>
            <w:r w:rsidR="00FE2ACC" w:rsidRPr="00D26556">
              <w:t xml:space="preserve">noteikumu Nr. 50 23. punktā svītrot </w:t>
            </w:r>
            <w:r w:rsidR="00415C5E" w:rsidRPr="00D26556">
              <w:t xml:space="preserve">norādīto </w:t>
            </w:r>
            <w:r w:rsidR="00FE2ACC" w:rsidRPr="00D26556">
              <w:t>atsauci uz noteikumu Nr. 50 25.3. apakšpunktu</w:t>
            </w:r>
            <w:r w:rsidR="00AB6388" w:rsidRPr="00D26556">
              <w:t xml:space="preserve">. Grozījumiem nav ietekmes uz pētniecības pieteikuma iesniedzējiem, kas pieteikumus ir iesnieguši pirmajā un otrajā pētniecības pieteikumu atlases kārtā, bet </w:t>
            </w:r>
            <w:r w:rsidR="00197D96" w:rsidRPr="00D26556">
              <w:t xml:space="preserve">grozījumi </w:t>
            </w:r>
            <w:r w:rsidR="00B37824" w:rsidRPr="00D26556">
              <w:t>būs saistoši nākošām 1.1.1.2. </w:t>
            </w:r>
            <w:r w:rsidR="00AB6388" w:rsidRPr="00D26556">
              <w:t>pasākuma ietvaros paredzētām pētniecības pieteikumu atlases kārtām</w:t>
            </w:r>
            <w:r w:rsidR="00FE2ACC" w:rsidRPr="00D26556">
              <w:t>;</w:t>
            </w:r>
          </w:p>
          <w:p w14:paraId="0ABA1A1C" w14:textId="7D8879A9" w:rsidR="00AB6388" w:rsidRPr="00D26556" w:rsidRDefault="000177B0" w:rsidP="00230DEB">
            <w:pPr>
              <w:numPr>
                <w:ilvl w:val="0"/>
                <w:numId w:val="2"/>
              </w:numPr>
              <w:spacing w:line="252" w:lineRule="auto"/>
              <w:ind w:right="102"/>
              <w:jc w:val="both"/>
            </w:pPr>
            <w:r w:rsidRPr="00D26556">
              <w:t>papild</w:t>
            </w:r>
            <w:r w:rsidR="004E73C6" w:rsidRPr="00D26556">
              <w:t>ināt noteikumu Nr. 50 33. punktu,</w:t>
            </w:r>
            <w:r w:rsidR="00142978" w:rsidRPr="00D26556">
              <w:t xml:space="preserve"> paredzot, ka pēcdoktorants pētniecības pieteikuma ietvaros var piedalīties </w:t>
            </w:r>
            <w:r w:rsidR="00E62391" w:rsidRPr="00D26556">
              <w:t xml:space="preserve">bakalaura, maģistra, </w:t>
            </w:r>
            <w:r w:rsidR="008C404D" w:rsidRPr="00D26556">
              <w:t xml:space="preserve">doktora </w:t>
            </w:r>
            <w:r w:rsidR="00142978" w:rsidRPr="00D26556">
              <w:t>darbu vadīšanā, recenzēšanā</w:t>
            </w:r>
            <w:r w:rsidR="00E62391" w:rsidRPr="00D26556">
              <w:t xml:space="preserve"> vai </w:t>
            </w:r>
            <w:r w:rsidR="008C404D" w:rsidRPr="00D26556">
              <w:t>noslēguma darbu komisijās</w:t>
            </w:r>
            <w:r w:rsidR="004E73C6" w:rsidRPr="00D26556">
              <w:t>,</w:t>
            </w:r>
            <w:r w:rsidR="002E03F1" w:rsidRPr="00D26556">
              <w:t xml:space="preserve"> </w:t>
            </w:r>
            <w:r w:rsidR="00142978" w:rsidRPr="00D26556">
              <w:t xml:space="preserve">sagatavot un iesniegt pētniecības vai inovāciju projektu iesniegumus Latvijas un starptautiskos projektu konkursos, kā arī iesaistīt un informēt sabiedrību </w:t>
            </w:r>
            <w:r w:rsidRPr="00D26556">
              <w:t>par pētniecības pieteikuma pētījuma zinātniskajiem rezultātiem</w:t>
            </w:r>
            <w:r w:rsidR="00AB6388" w:rsidRPr="00D26556">
              <w:t xml:space="preserve">. </w:t>
            </w:r>
            <w:r w:rsidR="00D54E30" w:rsidRPr="00D26556">
              <w:t xml:space="preserve">Grozījumi </w:t>
            </w:r>
            <w:r w:rsidR="00233B0E" w:rsidRPr="00D26556">
              <w:t>noteikumu Nr. 50 33. </w:t>
            </w:r>
            <w:r w:rsidR="00D54E30" w:rsidRPr="00D26556">
              <w:t>punktā no to spēkā stāšanās brīža piemēro</w:t>
            </w:r>
            <w:r w:rsidR="00197D96" w:rsidRPr="00D26556">
              <w:t>jami</w:t>
            </w:r>
            <w:r w:rsidR="002C57B2" w:rsidRPr="00D26556">
              <w:t xml:space="preserve"> </w:t>
            </w:r>
            <w:r w:rsidR="00D54E30" w:rsidRPr="00D26556">
              <w:t xml:space="preserve">visiem 1.1.1.2. pasākuma ietvaros </w:t>
            </w:r>
            <w:r w:rsidR="00F91C0F" w:rsidRPr="00D26556">
              <w:t xml:space="preserve">īstenojamajiem pētniecības pieteikumiem, tostarp </w:t>
            </w:r>
            <w:r w:rsidR="00197D96" w:rsidRPr="00D26556">
              <w:t xml:space="preserve">var tikt piemēroti </w:t>
            </w:r>
            <w:r w:rsidR="00F91C0F" w:rsidRPr="00D26556">
              <w:t xml:space="preserve">1.1.1.2. pasākuma pirmās un otrās pētniecības pieteikumu </w:t>
            </w:r>
            <w:r w:rsidR="00403F17" w:rsidRPr="00D26556">
              <w:lastRenderedPageBreak/>
              <w:t xml:space="preserve">atlases kārtas </w:t>
            </w:r>
            <w:r w:rsidR="00F91C0F" w:rsidRPr="00D26556">
              <w:t>ietvaros īstenotajiem pētniecības pieteikumiem</w:t>
            </w:r>
            <w:r w:rsidR="00230DEB">
              <w:t xml:space="preserve">. </w:t>
            </w:r>
            <w:r w:rsidR="00CC7CDE">
              <w:t>Būtiskas izmaiņas īstenošanā esošajos pētniecības pieteikumos nav paredzētas.</w:t>
            </w:r>
            <w:r w:rsidR="00CC7CDE" w:rsidRPr="00F93818">
              <w:t xml:space="preserve"> </w:t>
            </w:r>
            <w:r w:rsidR="00230DEB" w:rsidRPr="00F93818">
              <w:t>Noteikumu projektā ietvertais regulējums ir labvēlīgāks pētniecības pieteikumu</w:t>
            </w:r>
            <w:r w:rsidR="00230DEB">
              <w:t xml:space="preserve"> īstenošanā iesaistītajiem pēcdoktorantiem, jo paredz papildinošas atbalstāmās darbības kompetenču un prasmju pilnveidošanai</w:t>
            </w:r>
            <w:r w:rsidR="00F91C0F" w:rsidRPr="00D26556">
              <w:t>;</w:t>
            </w:r>
          </w:p>
          <w:p w14:paraId="054D90E7" w14:textId="72E9EAEB" w:rsidR="009F09E7" w:rsidRPr="00D26556" w:rsidRDefault="009F09E7" w:rsidP="00230DEB">
            <w:pPr>
              <w:numPr>
                <w:ilvl w:val="0"/>
                <w:numId w:val="2"/>
              </w:numPr>
              <w:spacing w:line="252" w:lineRule="auto"/>
              <w:ind w:right="102"/>
              <w:jc w:val="both"/>
            </w:pPr>
            <w:r w:rsidRPr="00D26556">
              <w:t>papildināt noteikumus Nr. 50 ar 35.3. apakšpunktu, kas paredz, ka 1.1.1.2. pasākuma trešajā un turpmākajās atlases kārtās ar saimniecisko darbību saistītu pētniecības pieteikumu ietvaros darbības ir attiecināmas no pētniecības pieteikuma iesniegšanas aģentūrā. Grozījumiem nav ietekmes uz pētniecības pieteikuma iesniedzējiem, kas pieteikumus ir iesnieguši pirmajā un otrajā pētniecības pieteikumu atlases kārtā, bet grozījumi būs saistoši nākošām 1.1.1.2. pasākuma ietvaros paredzētām pētniecības pieteikumu atlases kārtām;</w:t>
            </w:r>
          </w:p>
          <w:p w14:paraId="09D33FEB" w14:textId="0B204484" w:rsidR="00533D3B" w:rsidRPr="00D26556" w:rsidRDefault="00533D3B" w:rsidP="00230DEB">
            <w:pPr>
              <w:numPr>
                <w:ilvl w:val="0"/>
                <w:numId w:val="2"/>
              </w:numPr>
              <w:spacing w:line="252" w:lineRule="auto"/>
              <w:ind w:left="459" w:right="102" w:hanging="357"/>
              <w:jc w:val="both"/>
            </w:pPr>
            <w:r w:rsidRPr="00D26556">
              <w:t>papildināt noteikumu Nr. 50 42.2. apakšpunktu, viennozīmīgi nosakot, ka ar saimniecisko darbību nesaistītu pētniecības pieteikumu īstenošanai nepieciešamo līdzfinansējumu piecu procentu apmērā var piesaistīt no zinātniskajai institūcijai piešķirtā zinātnes bāzes finansējuma, ko piešķir saskaņā ar normatīvajiem aktiem par kārtību, kādā paredzami valsts budžeta līdzekļi valsts zinātniskās institūcijas pamatdarbību īstenošanai</w:t>
            </w:r>
            <w:r w:rsidR="000B2508" w:rsidRPr="00D26556">
              <w:t>, kā arī</w:t>
            </w:r>
            <w:r w:rsidR="000B2508" w:rsidRPr="00D26556">
              <w:rPr>
                <w:bCs/>
              </w:rPr>
              <w:t xml:space="preserve"> nosakot konkrētus gadījumus, kad ieguldījumiem natūrā pieļaujams pārsniegt </w:t>
            </w:r>
            <w:r w:rsidR="00E64168" w:rsidRPr="00D26556">
              <w:rPr>
                <w:bCs/>
              </w:rPr>
              <w:t>sākotnēji plānoto 5 </w:t>
            </w:r>
            <w:r w:rsidR="000B2508" w:rsidRPr="00D26556">
              <w:rPr>
                <w:bCs/>
              </w:rPr>
              <w:t>procentu apmēru</w:t>
            </w:r>
            <w:r w:rsidR="00F24D98" w:rsidRPr="00D26556">
              <w:rPr>
                <w:bCs/>
              </w:rPr>
              <w:t xml:space="preserve">. </w:t>
            </w:r>
            <w:r w:rsidR="00F24D98" w:rsidRPr="00D26556">
              <w:t xml:space="preserve">Grozījumi </w:t>
            </w:r>
            <w:r w:rsidR="00233B0E" w:rsidRPr="00D26556">
              <w:t>noteikumu Nr. 50 42.2. apakš</w:t>
            </w:r>
            <w:r w:rsidR="00F24D98" w:rsidRPr="00D26556">
              <w:t>punktā</w:t>
            </w:r>
            <w:r w:rsidR="00E27B6F" w:rsidRPr="00D26556">
              <w:t xml:space="preserve"> attiecībā uz ieguldījumiem natūrā</w:t>
            </w:r>
            <w:r w:rsidR="00F24D98" w:rsidRPr="00D26556">
              <w:t xml:space="preserve"> no to spēkā stāšanās brīža piemēro</w:t>
            </w:r>
            <w:r w:rsidR="00197D96" w:rsidRPr="00D26556">
              <w:t>jami</w:t>
            </w:r>
            <w:r w:rsidR="00F24D98" w:rsidRPr="00D26556">
              <w:t xml:space="preserve"> visiem 1.1.1.2. pasākuma ietvaros īstenojamajiem pētniecības pieteikumiem, tostarp </w:t>
            </w:r>
            <w:r w:rsidR="00197D96" w:rsidRPr="00D26556">
              <w:t xml:space="preserve">var tikt piemēroti </w:t>
            </w:r>
            <w:r w:rsidR="00F24D98" w:rsidRPr="00D26556">
              <w:t xml:space="preserve">1.1.1.2. pasākuma pirmās un otrās pētniecības pieteikumu </w:t>
            </w:r>
            <w:r w:rsidR="00403F17" w:rsidRPr="00D26556">
              <w:t xml:space="preserve">atlases kārtas </w:t>
            </w:r>
            <w:r w:rsidR="00F24D98" w:rsidRPr="00D26556">
              <w:t>ietvaros īstenotajiem pētniecības pieteikumiem</w:t>
            </w:r>
            <w:r w:rsidRPr="00D26556">
              <w:t>;</w:t>
            </w:r>
          </w:p>
          <w:p w14:paraId="0847BFB0" w14:textId="405ED101" w:rsidR="00C1024E" w:rsidRPr="00D26556" w:rsidRDefault="00C1024E" w:rsidP="00230DEB">
            <w:pPr>
              <w:numPr>
                <w:ilvl w:val="0"/>
                <w:numId w:val="2"/>
              </w:numPr>
              <w:spacing w:line="252" w:lineRule="auto"/>
              <w:ind w:left="459" w:right="102" w:hanging="357"/>
              <w:jc w:val="both"/>
            </w:pPr>
            <w:r w:rsidRPr="00D26556">
              <w:t xml:space="preserve">precizēt noteikumu Nr. 50 48.1. apakšpunktu, paredzot, ka pēcdoktoranta </w:t>
            </w:r>
            <w:r w:rsidR="007E5326" w:rsidRPr="00D26556">
              <w:t xml:space="preserve">vidējās maksimālās </w:t>
            </w:r>
            <w:r w:rsidRPr="00D26556">
              <w:t xml:space="preserve">mēneša izmaksas ir 2 731 </w:t>
            </w:r>
            <w:r w:rsidRPr="00D26556">
              <w:rPr>
                <w:i/>
              </w:rPr>
              <w:t>euro</w:t>
            </w:r>
            <w:r w:rsidRPr="00D26556">
              <w:t xml:space="preserve">, bet gada ietvaros tās nepārsniedz 32 772 </w:t>
            </w:r>
            <w:r w:rsidRPr="00D26556">
              <w:rPr>
                <w:i/>
              </w:rPr>
              <w:t>euro</w:t>
            </w:r>
            <w:r w:rsidRPr="00D26556">
              <w:t>, tai skaitā valsts sociālās apdrošināšanas obligātās iemaksas un citas sociālās garantijas, kuras noteiktas normatīvajos aktos darba tiesību un atlīdzības jomā</w:t>
            </w:r>
            <w:r w:rsidR="00233B0E" w:rsidRPr="00D26556">
              <w:t>;</w:t>
            </w:r>
          </w:p>
          <w:p w14:paraId="01D84A42" w14:textId="0D2703CE" w:rsidR="00042411" w:rsidRPr="00D26556" w:rsidRDefault="00617A91" w:rsidP="00AB6388">
            <w:pPr>
              <w:numPr>
                <w:ilvl w:val="0"/>
                <w:numId w:val="2"/>
              </w:numPr>
              <w:tabs>
                <w:tab w:val="left" w:pos="396"/>
              </w:tabs>
              <w:spacing w:line="252" w:lineRule="auto"/>
              <w:ind w:right="102"/>
              <w:jc w:val="both"/>
            </w:pPr>
            <w:r w:rsidRPr="00D26556">
              <w:t>svītrot noteikumu Nr. 50 59. punktu</w:t>
            </w:r>
            <w:r w:rsidR="00AB6388" w:rsidRPr="00D26556">
              <w:t>.</w:t>
            </w:r>
            <w:r w:rsidR="00233B0E" w:rsidRPr="00D26556">
              <w:t xml:space="preserve"> Grozījumi no to spēkā stāšanās brīža piemēro</w:t>
            </w:r>
            <w:r w:rsidR="00197D96" w:rsidRPr="00D26556">
              <w:t>jami</w:t>
            </w:r>
            <w:r w:rsidR="00233B0E" w:rsidRPr="00D26556">
              <w:t xml:space="preserve"> visiem 1.1.1.2. pasākuma ietvaros īstenojamajiem pētniecības pieteikumiem, tostarp </w:t>
            </w:r>
            <w:r w:rsidR="00197D96" w:rsidRPr="00D26556">
              <w:t xml:space="preserve">var tikt piemēroti </w:t>
            </w:r>
            <w:r w:rsidR="00233B0E" w:rsidRPr="00D26556">
              <w:t xml:space="preserve">1.1.1.2. pasākuma pirmās un otrās pētniecības pieteikumu </w:t>
            </w:r>
            <w:r w:rsidR="00197D96" w:rsidRPr="00D26556">
              <w:t xml:space="preserve">atlases kārtas </w:t>
            </w:r>
            <w:r w:rsidR="00233B0E" w:rsidRPr="00D26556">
              <w:t>ietvaros īstenotajiem pētniecības pieteikumiem</w:t>
            </w:r>
            <w:r w:rsidR="00810852" w:rsidRPr="00D26556">
              <w:t>;</w:t>
            </w:r>
          </w:p>
          <w:p w14:paraId="50CA3BC6" w14:textId="6DEC27FC" w:rsidR="003E1F91" w:rsidRPr="00D26556" w:rsidRDefault="00042411" w:rsidP="00D15869">
            <w:pPr>
              <w:numPr>
                <w:ilvl w:val="0"/>
                <w:numId w:val="2"/>
              </w:numPr>
              <w:spacing w:line="252" w:lineRule="auto"/>
              <w:ind w:right="102"/>
              <w:jc w:val="both"/>
            </w:pPr>
            <w:r w:rsidRPr="00D26556">
              <w:t xml:space="preserve">papildināt noteikumus Nr. 50 ar </w:t>
            </w:r>
            <w:r w:rsidR="00B37824" w:rsidRPr="00D26556">
              <w:t>69</w:t>
            </w:r>
            <w:r w:rsidRPr="00D26556">
              <w:t>.</w:t>
            </w:r>
            <w:r w:rsidRPr="00D26556">
              <w:rPr>
                <w:vertAlign w:val="superscript"/>
              </w:rPr>
              <w:t>1</w:t>
            </w:r>
            <w:r w:rsidR="009D7FCE" w:rsidRPr="00D26556">
              <w:t> </w:t>
            </w:r>
            <w:r w:rsidRPr="00D26556">
              <w:t>punktu, kas nosaka, ka pētniecības pieteikumiem, kuru īstenošanas termiņš nepārsniedz 12 mēnešus, netiek veikts vidusposma rezultātu zinātniskās kvalitātes izvērtējums</w:t>
            </w:r>
            <w:r w:rsidR="00F816AD" w:rsidRPr="00D26556">
              <w:t>.</w:t>
            </w:r>
            <w:r w:rsidR="00D15869" w:rsidRPr="00D26556">
              <w:t xml:space="preserve"> Minētie grozījumi no to spēkā stāšanās brīža piemēro</w:t>
            </w:r>
            <w:r w:rsidR="00197D96" w:rsidRPr="00D26556">
              <w:t>jami</w:t>
            </w:r>
            <w:r w:rsidR="00D15869" w:rsidRPr="00D26556">
              <w:t xml:space="preserve"> visiem 1.1.1.2. pasākuma ietvaros īstenojamajiem pētniecības pieteikumiem, tostarp </w:t>
            </w:r>
            <w:r w:rsidR="00197D96" w:rsidRPr="00D26556">
              <w:t xml:space="preserve">var tikt piemēroti </w:t>
            </w:r>
            <w:r w:rsidR="00D15869" w:rsidRPr="00D26556">
              <w:t xml:space="preserve">1.1.1.2. pasākuma otrās pētniecības pieteikumu </w:t>
            </w:r>
            <w:r w:rsidR="00197D96" w:rsidRPr="00D26556">
              <w:t xml:space="preserve">atlases kārtas </w:t>
            </w:r>
            <w:r w:rsidR="00D15869" w:rsidRPr="00D26556">
              <w:t>ietvaros īstenotajiem pētniecības pieteikumiem</w:t>
            </w:r>
            <w:r w:rsidR="00F93818">
              <w:t xml:space="preserve">. </w:t>
            </w:r>
            <w:r w:rsidR="00F93818" w:rsidRPr="00F93818">
              <w:t xml:space="preserve">Noteikumu projektā </w:t>
            </w:r>
            <w:r w:rsidR="00F93818" w:rsidRPr="00F93818">
              <w:lastRenderedPageBreak/>
              <w:t>ietvertais regulējums ir labvēlīgāks pētniecības pieteikumu</w:t>
            </w:r>
            <w:r w:rsidR="00693F55">
              <w:t xml:space="preserve">, kuru </w:t>
            </w:r>
            <w:r w:rsidR="00693F55" w:rsidRPr="00D26556">
              <w:t>īstenošanas termiņš nepārsniedz 12 mēnešus</w:t>
            </w:r>
            <w:r w:rsidR="00693F55">
              <w:t>,</w:t>
            </w:r>
            <w:r w:rsidR="00F93818" w:rsidRPr="00F93818">
              <w:t xml:space="preserve"> </w:t>
            </w:r>
            <w:r w:rsidR="00693F55">
              <w:t>īstenotājiem</w:t>
            </w:r>
            <w:r w:rsidR="000B5909" w:rsidRPr="00D26556">
              <w:t>;</w:t>
            </w:r>
          </w:p>
          <w:p w14:paraId="439187F2" w14:textId="2A08D981" w:rsidR="00694014" w:rsidRPr="00D512F1" w:rsidRDefault="00D512F1" w:rsidP="00694014">
            <w:pPr>
              <w:numPr>
                <w:ilvl w:val="0"/>
                <w:numId w:val="2"/>
              </w:numPr>
              <w:spacing w:line="252" w:lineRule="auto"/>
              <w:ind w:right="102"/>
              <w:jc w:val="both"/>
              <w:rPr>
                <w:b/>
              </w:rPr>
            </w:pPr>
            <w:r w:rsidRPr="00230DEB">
              <w:t xml:space="preserve">precizēt noteikumu Nr. 50 79. punktu un </w:t>
            </w:r>
            <w:r w:rsidR="009D7FCE" w:rsidRPr="00230DEB">
              <w:t>papildināt noteikumus Nr. 50 ar 79.</w:t>
            </w:r>
            <w:r w:rsidR="009D7FCE" w:rsidRPr="00230DEB">
              <w:rPr>
                <w:vertAlign w:val="superscript"/>
              </w:rPr>
              <w:t>1</w:t>
            </w:r>
            <w:r w:rsidR="009D7FCE" w:rsidRPr="005026CA">
              <w:t xml:space="preserve"> punktu, kas paredz, ka atbalsta, piešķiršanas brīdis ir diena, kad </w:t>
            </w:r>
            <w:r w:rsidR="005E5B4B" w:rsidRPr="005026CA">
              <w:t>finansējuma saņēmējs ir noslēdzis līgumu ar saimniecisko darbību saistīta</w:t>
            </w:r>
            <w:r w:rsidR="005E5B4B" w:rsidRPr="00D26556">
              <w:t xml:space="preserve"> pētniecības pieteikuma iesniedzēju par pētniecības pieteikuma īstenošanu</w:t>
            </w:r>
            <w:r w:rsidR="009D7FCE" w:rsidRPr="00D26556">
              <w:t>.</w:t>
            </w:r>
            <w:r w:rsidR="00694014" w:rsidRPr="00D26556">
              <w:t xml:space="preserve"> Grozījumi no to spēkā stāšanās brīža piemērojami visiem 1.1.1.2. pasākuma ietvaros īstenojamajiem ar saimniecisko darbību saistītajiem pētniecības pieteikumiem, tostarp var tikt piemēroti 1.1.1.2. pasākuma pirmās un otrās pētniecības pieteikumu atlases kārtas ietvaros īstenotajiem ar saimniecisko darbību saistītajiem pētniecības pieteikumiem.</w:t>
            </w:r>
            <w:r w:rsidR="00694014" w:rsidRPr="00F93818">
              <w:t xml:space="preserve">  </w:t>
            </w:r>
            <w:r w:rsidR="00F93818" w:rsidRPr="00F93818">
              <w:t xml:space="preserve">Rosināti grozījumi neradīs nepieciešamību veikt grozījumus </w:t>
            </w:r>
            <w:r w:rsidR="00F93818">
              <w:t xml:space="preserve">īstenošanā esošajos </w:t>
            </w:r>
            <w:r w:rsidR="00F93818" w:rsidRPr="00F93818">
              <w:t>pētniecības pieteikum</w:t>
            </w:r>
            <w:r w:rsidR="00F93818">
              <w:t>os.</w:t>
            </w:r>
          </w:p>
        </w:tc>
      </w:tr>
      <w:tr w:rsidR="006E32DE" w:rsidRPr="00122B5D" w14:paraId="518754FC" w14:textId="77777777" w:rsidTr="006A4F4F">
        <w:trPr>
          <w:trHeight w:val="465"/>
        </w:trPr>
        <w:tc>
          <w:tcPr>
            <w:tcW w:w="318" w:type="pct"/>
            <w:tcBorders>
              <w:top w:val="outset" w:sz="6" w:space="0" w:color="414142"/>
              <w:left w:val="outset" w:sz="6" w:space="0" w:color="414142"/>
              <w:bottom w:val="outset" w:sz="6" w:space="0" w:color="414142"/>
              <w:right w:val="outset" w:sz="6" w:space="0" w:color="414142"/>
            </w:tcBorders>
            <w:hideMark/>
          </w:tcPr>
          <w:p w14:paraId="7EE99283" w14:textId="05000BFF" w:rsidR="00B77663" w:rsidRPr="00122B5D" w:rsidRDefault="00B77663" w:rsidP="00224B09">
            <w:pPr>
              <w:spacing w:before="100" w:beforeAutospacing="1" w:after="100" w:afterAutospacing="1" w:line="293" w:lineRule="atLeast"/>
              <w:jc w:val="center"/>
            </w:pPr>
            <w:r w:rsidRPr="00122B5D">
              <w:lastRenderedPageBreak/>
              <w:t>3.</w:t>
            </w:r>
          </w:p>
        </w:tc>
        <w:tc>
          <w:tcPr>
            <w:tcW w:w="1190" w:type="pct"/>
            <w:tcBorders>
              <w:top w:val="outset" w:sz="6" w:space="0" w:color="414142"/>
              <w:left w:val="outset" w:sz="6" w:space="0" w:color="414142"/>
              <w:bottom w:val="outset" w:sz="6" w:space="0" w:color="414142"/>
              <w:right w:val="outset" w:sz="6" w:space="0" w:color="414142"/>
            </w:tcBorders>
            <w:hideMark/>
          </w:tcPr>
          <w:p w14:paraId="61A6AB1E" w14:textId="77777777" w:rsidR="00B77663" w:rsidRPr="00122B5D" w:rsidRDefault="00B77663" w:rsidP="00224B09">
            <w:r w:rsidRPr="00122B5D">
              <w:t>Projekta izstrādē iesaistītās institūcijas</w:t>
            </w:r>
          </w:p>
        </w:tc>
        <w:tc>
          <w:tcPr>
            <w:tcW w:w="3492" w:type="pct"/>
            <w:tcBorders>
              <w:top w:val="outset" w:sz="6" w:space="0" w:color="414142"/>
              <w:left w:val="outset" w:sz="6" w:space="0" w:color="414142"/>
              <w:bottom w:val="outset" w:sz="6" w:space="0" w:color="414142"/>
              <w:right w:val="outset" w:sz="6" w:space="0" w:color="414142"/>
            </w:tcBorders>
            <w:hideMark/>
          </w:tcPr>
          <w:p w14:paraId="51FF7DBB" w14:textId="77777777" w:rsidR="00B77663" w:rsidRPr="00122B5D" w:rsidRDefault="00B77663" w:rsidP="00D71596">
            <w:pPr>
              <w:ind w:left="113" w:right="111"/>
              <w:jc w:val="both"/>
            </w:pPr>
            <w:r w:rsidRPr="00122B5D">
              <w:t>Izglītības un zinātnes ministrija</w:t>
            </w:r>
            <w:r w:rsidR="00224B09" w:rsidRPr="00122B5D">
              <w:t>, aģentūra.</w:t>
            </w:r>
          </w:p>
        </w:tc>
      </w:tr>
      <w:tr w:rsidR="006E32DE" w:rsidRPr="00122B5D" w14:paraId="6237837E" w14:textId="77777777" w:rsidTr="006A4F4F">
        <w:tc>
          <w:tcPr>
            <w:tcW w:w="318" w:type="pct"/>
            <w:tcBorders>
              <w:top w:val="outset" w:sz="6" w:space="0" w:color="414142"/>
              <w:left w:val="outset" w:sz="6" w:space="0" w:color="414142"/>
              <w:bottom w:val="outset" w:sz="6" w:space="0" w:color="414142"/>
              <w:right w:val="outset" w:sz="6" w:space="0" w:color="414142"/>
            </w:tcBorders>
            <w:hideMark/>
          </w:tcPr>
          <w:p w14:paraId="4FD43085" w14:textId="77777777" w:rsidR="00B77663" w:rsidRPr="00122B5D" w:rsidRDefault="00B77663" w:rsidP="00224B09">
            <w:pPr>
              <w:spacing w:before="100" w:beforeAutospacing="1" w:after="100" w:afterAutospacing="1" w:line="293" w:lineRule="atLeast"/>
              <w:jc w:val="center"/>
            </w:pPr>
            <w:r w:rsidRPr="00122B5D">
              <w:t>4.</w:t>
            </w:r>
          </w:p>
        </w:tc>
        <w:tc>
          <w:tcPr>
            <w:tcW w:w="1190" w:type="pct"/>
            <w:tcBorders>
              <w:top w:val="outset" w:sz="6" w:space="0" w:color="414142"/>
              <w:left w:val="outset" w:sz="6" w:space="0" w:color="414142"/>
              <w:bottom w:val="outset" w:sz="6" w:space="0" w:color="414142"/>
              <w:right w:val="outset" w:sz="6" w:space="0" w:color="414142"/>
            </w:tcBorders>
            <w:hideMark/>
          </w:tcPr>
          <w:p w14:paraId="1A564A84" w14:textId="77777777" w:rsidR="00B77663" w:rsidRPr="00122B5D" w:rsidRDefault="00B77663" w:rsidP="00224B09">
            <w:r w:rsidRPr="00122B5D">
              <w:t>Cita informācija</w:t>
            </w:r>
          </w:p>
        </w:tc>
        <w:tc>
          <w:tcPr>
            <w:tcW w:w="3492" w:type="pct"/>
            <w:tcBorders>
              <w:top w:val="outset" w:sz="6" w:space="0" w:color="414142"/>
              <w:left w:val="outset" w:sz="6" w:space="0" w:color="414142"/>
              <w:bottom w:val="outset" w:sz="6" w:space="0" w:color="414142"/>
              <w:right w:val="outset" w:sz="6" w:space="0" w:color="414142"/>
            </w:tcBorders>
            <w:hideMark/>
          </w:tcPr>
          <w:p w14:paraId="7B756884" w14:textId="519640A8" w:rsidR="00B77663" w:rsidRPr="00D26556" w:rsidRDefault="0056639E" w:rsidP="00B37824">
            <w:pPr>
              <w:tabs>
                <w:tab w:val="left" w:pos="1134"/>
              </w:tabs>
              <w:jc w:val="both"/>
              <w:rPr>
                <w:rFonts w:ascii="Calibri" w:eastAsia="MS Gothic" w:hAnsi="Calibri"/>
                <w:sz w:val="22"/>
                <w:szCs w:val="22"/>
              </w:rPr>
            </w:pPr>
            <w:r w:rsidRPr="00D26556">
              <w:t xml:space="preserve">1.1.1.2. pasākuma trešās atlases kārtas īstenošanai plānots </w:t>
            </w:r>
            <w:r w:rsidR="007E43C1" w:rsidRPr="00D26556">
              <w:t xml:space="preserve">indikatīvi </w:t>
            </w:r>
            <w:r w:rsidRPr="00D26556">
              <w:t xml:space="preserve">novirzīt kopējo attiecināmo finansējumu 15 000 000 </w:t>
            </w:r>
            <w:r w:rsidRPr="00D26556">
              <w:rPr>
                <w:i/>
              </w:rPr>
              <w:t xml:space="preserve">euro </w:t>
            </w:r>
            <w:r w:rsidRPr="00D26556">
              <w:t>apmērā.</w:t>
            </w:r>
          </w:p>
        </w:tc>
      </w:tr>
    </w:tbl>
    <w:p w14:paraId="06BC5636" w14:textId="0B3E07F9" w:rsidR="00A97ABE" w:rsidRPr="00122B5D" w:rsidRDefault="00A97ABE" w:rsidP="008329A6">
      <w:pPr>
        <w:pStyle w:val="tvhtml"/>
        <w:shd w:val="clear" w:color="auto" w:fill="FFFFFF"/>
        <w:spacing w:before="0" w:beforeAutospacing="0" w:after="0" w:afterAutospacing="0" w:line="293" w:lineRule="atLeast"/>
      </w:pPr>
    </w:p>
    <w:tbl>
      <w:tblPr>
        <w:tblW w:w="4968"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2805"/>
        <w:gridCol w:w="5765"/>
      </w:tblGrid>
      <w:tr w:rsidR="006E32DE" w:rsidRPr="00122B5D" w14:paraId="0A062DE6" w14:textId="77777777" w:rsidTr="00D512F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441C81" w14:textId="77777777" w:rsidR="00A97ABE" w:rsidRPr="00122B5D" w:rsidRDefault="00A97ABE">
            <w:pPr>
              <w:pStyle w:val="tvhtml"/>
              <w:spacing w:line="293" w:lineRule="atLeast"/>
              <w:jc w:val="center"/>
              <w:rPr>
                <w:b/>
                <w:bCs/>
              </w:rPr>
            </w:pPr>
            <w:r w:rsidRPr="00122B5D">
              <w:rPr>
                <w:b/>
                <w:bCs/>
              </w:rPr>
              <w:t>II. Tiesību akta projekta ietekme uz sabiedrību, tautsaimniecības attīstību un administratīvo slogu</w:t>
            </w:r>
          </w:p>
        </w:tc>
      </w:tr>
      <w:tr w:rsidR="006E32DE" w:rsidRPr="00122B5D" w14:paraId="23743C36" w14:textId="77777777" w:rsidTr="00D512F1">
        <w:trPr>
          <w:trHeight w:val="465"/>
        </w:trPr>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2A1B8A67" w14:textId="77777777" w:rsidR="00A97ABE" w:rsidRPr="00122B5D" w:rsidRDefault="00A97ABE">
            <w:r w:rsidRPr="00122B5D">
              <w:t>1.</w:t>
            </w:r>
          </w:p>
        </w:tc>
        <w:tc>
          <w:tcPr>
            <w:tcW w:w="1559" w:type="pct"/>
            <w:tcBorders>
              <w:top w:val="outset" w:sz="6" w:space="0" w:color="414142"/>
              <w:left w:val="outset" w:sz="6" w:space="0" w:color="414142"/>
              <w:bottom w:val="outset" w:sz="6" w:space="0" w:color="414142"/>
              <w:right w:val="outset" w:sz="6" w:space="0" w:color="414142"/>
            </w:tcBorders>
            <w:shd w:val="clear" w:color="auto" w:fill="auto"/>
            <w:hideMark/>
          </w:tcPr>
          <w:p w14:paraId="7D996493" w14:textId="77777777" w:rsidR="00A97ABE" w:rsidRPr="00122B5D" w:rsidRDefault="00A97ABE">
            <w:r w:rsidRPr="00122B5D">
              <w:t>Sabiedrības mērķgrupas, kuras tiesiskais regulējums ietekmē vai varētu ietekmēt</w:t>
            </w:r>
          </w:p>
        </w:tc>
        <w:tc>
          <w:tcPr>
            <w:tcW w:w="3204" w:type="pct"/>
            <w:tcBorders>
              <w:top w:val="outset" w:sz="6" w:space="0" w:color="414142"/>
              <w:left w:val="outset" w:sz="6" w:space="0" w:color="414142"/>
              <w:bottom w:val="outset" w:sz="6" w:space="0" w:color="414142"/>
              <w:right w:val="outset" w:sz="6" w:space="0" w:color="414142"/>
            </w:tcBorders>
            <w:shd w:val="clear" w:color="auto" w:fill="auto"/>
            <w:hideMark/>
          </w:tcPr>
          <w:p w14:paraId="00B46430" w14:textId="77777777" w:rsidR="006E32DE" w:rsidRPr="00122B5D" w:rsidRDefault="00662B87" w:rsidP="006E1817">
            <w:pPr>
              <w:ind w:left="113" w:right="111"/>
              <w:jc w:val="both"/>
            </w:pPr>
            <w:r w:rsidRPr="00122B5D">
              <w:t>N</w:t>
            </w:r>
            <w:r w:rsidR="00A97ABE" w:rsidRPr="00122B5D">
              <w:t xml:space="preserve">oteikumu projekta mērķa grupā ir zinātniskās institūcijas, zinātnieki, zinātniskais personāls, augstākās izglītības institūcijas, </w:t>
            </w:r>
            <w:r w:rsidR="006E32DE" w:rsidRPr="00122B5D">
              <w:t>Latvijas Republikas Uzņēmumu reģistrā reģistrēti komersanti</w:t>
            </w:r>
            <w:r w:rsidRPr="00122B5D">
              <w:t>.</w:t>
            </w:r>
          </w:p>
        </w:tc>
      </w:tr>
      <w:tr w:rsidR="006E32DE" w:rsidRPr="00122B5D" w14:paraId="1A3BDE21" w14:textId="77777777" w:rsidTr="00D512F1">
        <w:trPr>
          <w:trHeight w:val="510"/>
        </w:trPr>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3D36B4FE" w14:textId="77777777" w:rsidR="00A97ABE" w:rsidRPr="00122B5D" w:rsidRDefault="00A97ABE">
            <w:r w:rsidRPr="00122B5D">
              <w:t>2.</w:t>
            </w:r>
          </w:p>
        </w:tc>
        <w:tc>
          <w:tcPr>
            <w:tcW w:w="1559" w:type="pct"/>
            <w:tcBorders>
              <w:top w:val="outset" w:sz="6" w:space="0" w:color="414142"/>
              <w:left w:val="outset" w:sz="6" w:space="0" w:color="414142"/>
              <w:bottom w:val="outset" w:sz="6" w:space="0" w:color="414142"/>
              <w:right w:val="outset" w:sz="6" w:space="0" w:color="414142"/>
            </w:tcBorders>
            <w:shd w:val="clear" w:color="auto" w:fill="auto"/>
            <w:hideMark/>
          </w:tcPr>
          <w:p w14:paraId="76CA3D4A" w14:textId="77777777" w:rsidR="00A97ABE" w:rsidRPr="00122B5D" w:rsidRDefault="00A97ABE">
            <w:r w:rsidRPr="00122B5D">
              <w:t>Tiesiskā regulējuma ietekme uz tautsaimniecību un administratīvo slogu</w:t>
            </w:r>
          </w:p>
        </w:tc>
        <w:tc>
          <w:tcPr>
            <w:tcW w:w="3204" w:type="pct"/>
            <w:tcBorders>
              <w:top w:val="outset" w:sz="6" w:space="0" w:color="414142"/>
              <w:left w:val="outset" w:sz="6" w:space="0" w:color="414142"/>
              <w:bottom w:val="outset" w:sz="6" w:space="0" w:color="414142"/>
              <w:right w:val="outset" w:sz="6" w:space="0" w:color="414142"/>
            </w:tcBorders>
            <w:shd w:val="clear" w:color="auto" w:fill="auto"/>
            <w:hideMark/>
          </w:tcPr>
          <w:p w14:paraId="479E2D47" w14:textId="77777777" w:rsidR="00A97ABE" w:rsidRPr="00122B5D" w:rsidRDefault="00662B87" w:rsidP="006E32DE">
            <w:pPr>
              <w:ind w:left="113" w:right="111"/>
              <w:jc w:val="both"/>
            </w:pPr>
            <w:r w:rsidRPr="00122B5D">
              <w:t>N</w:t>
            </w:r>
            <w:r w:rsidR="00A97ABE" w:rsidRPr="00122B5D">
              <w:t xml:space="preserve">oteikumu projekta </w:t>
            </w:r>
            <w:r w:rsidR="006E32DE" w:rsidRPr="00122B5D">
              <w:t>īstenošanas rezultāti sekmēs Nacionāla attīstības plāna</w:t>
            </w:r>
            <w:r w:rsidR="00A97ABE" w:rsidRPr="00122B5D">
              <w:t xml:space="preserve"> 182.</w:t>
            </w:r>
            <w:r w:rsidR="00E5511E" w:rsidRPr="00122B5D">
              <w:t> </w:t>
            </w:r>
            <w:r w:rsidR="00A97ABE" w:rsidRPr="00122B5D">
              <w:t>punktā definētā mērķa - Zinātnes kvalitatīva un kvantitatīva atjaunotne, t.sk. valsts zinātnisko institūtu iesaistīšana doktorantu apmācīšanā, jauno zinātnieku iesaiste pētījumos un zinātniskajā darbībā, kā arī akadēmiskā un zinātniskā personāla mobilitāte, lai veicinātu komercializējamu projektu veidošanu Latvijā.</w:t>
            </w:r>
          </w:p>
        </w:tc>
      </w:tr>
      <w:tr w:rsidR="006E32DE" w:rsidRPr="00122B5D" w14:paraId="0A9DD7DC" w14:textId="77777777" w:rsidTr="00D512F1">
        <w:trPr>
          <w:trHeight w:val="253"/>
        </w:trPr>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5C54998" w14:textId="77777777" w:rsidR="00A97ABE" w:rsidRPr="00122B5D" w:rsidRDefault="00A97ABE">
            <w:r w:rsidRPr="00122B5D">
              <w:t>3.</w:t>
            </w:r>
          </w:p>
        </w:tc>
        <w:tc>
          <w:tcPr>
            <w:tcW w:w="1559" w:type="pct"/>
            <w:tcBorders>
              <w:top w:val="outset" w:sz="6" w:space="0" w:color="414142"/>
              <w:left w:val="outset" w:sz="6" w:space="0" w:color="414142"/>
              <w:bottom w:val="outset" w:sz="6" w:space="0" w:color="414142"/>
              <w:right w:val="outset" w:sz="6" w:space="0" w:color="414142"/>
            </w:tcBorders>
            <w:shd w:val="clear" w:color="auto" w:fill="auto"/>
            <w:hideMark/>
          </w:tcPr>
          <w:p w14:paraId="7CA50922" w14:textId="77777777" w:rsidR="00A97ABE" w:rsidRPr="00122B5D" w:rsidRDefault="00A97ABE">
            <w:r w:rsidRPr="00122B5D">
              <w:t>Administratīvo izmaksu monetārs novērtējums</w:t>
            </w:r>
          </w:p>
        </w:tc>
        <w:tc>
          <w:tcPr>
            <w:tcW w:w="3204" w:type="pct"/>
            <w:tcBorders>
              <w:top w:val="outset" w:sz="6" w:space="0" w:color="414142"/>
              <w:left w:val="outset" w:sz="6" w:space="0" w:color="414142"/>
              <w:bottom w:val="outset" w:sz="6" w:space="0" w:color="414142"/>
              <w:right w:val="outset" w:sz="6" w:space="0" w:color="414142"/>
            </w:tcBorders>
            <w:shd w:val="clear" w:color="auto" w:fill="auto"/>
            <w:hideMark/>
          </w:tcPr>
          <w:p w14:paraId="625C510A" w14:textId="77777777" w:rsidR="00DE75CD" w:rsidRPr="00122B5D" w:rsidRDefault="00662B87" w:rsidP="00D71596">
            <w:pPr>
              <w:ind w:left="113" w:right="111"/>
              <w:jc w:val="both"/>
            </w:pPr>
            <w:r w:rsidRPr="00122B5D">
              <w:t>Noteikumu projektam nav ietekmes uz administratīvajām  izmaksām.</w:t>
            </w:r>
          </w:p>
        </w:tc>
      </w:tr>
      <w:tr w:rsidR="006E32DE" w:rsidRPr="00122B5D" w14:paraId="2B613417" w14:textId="77777777" w:rsidTr="00D512F1">
        <w:trPr>
          <w:trHeight w:val="345"/>
        </w:trPr>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646EC3A0" w14:textId="77777777" w:rsidR="00A97ABE" w:rsidRPr="00122B5D" w:rsidRDefault="00A97ABE">
            <w:r w:rsidRPr="00122B5D">
              <w:t>4.</w:t>
            </w:r>
          </w:p>
        </w:tc>
        <w:tc>
          <w:tcPr>
            <w:tcW w:w="1559" w:type="pct"/>
            <w:tcBorders>
              <w:top w:val="outset" w:sz="6" w:space="0" w:color="414142"/>
              <w:left w:val="outset" w:sz="6" w:space="0" w:color="414142"/>
              <w:bottom w:val="outset" w:sz="6" w:space="0" w:color="414142"/>
              <w:right w:val="outset" w:sz="6" w:space="0" w:color="414142"/>
            </w:tcBorders>
            <w:shd w:val="clear" w:color="auto" w:fill="auto"/>
            <w:hideMark/>
          </w:tcPr>
          <w:p w14:paraId="0853AD84" w14:textId="77777777" w:rsidR="00A97ABE" w:rsidRPr="00122B5D" w:rsidRDefault="00A97ABE">
            <w:r w:rsidRPr="00122B5D">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auto"/>
            <w:hideMark/>
          </w:tcPr>
          <w:p w14:paraId="0D345302" w14:textId="77777777" w:rsidR="00A97ABE" w:rsidRPr="00122B5D" w:rsidRDefault="00DE75CD" w:rsidP="00D71596">
            <w:pPr>
              <w:ind w:left="113" w:right="111"/>
              <w:jc w:val="both"/>
            </w:pPr>
            <w:r w:rsidRPr="00122B5D">
              <w:t>Nav.</w:t>
            </w:r>
          </w:p>
        </w:tc>
      </w:tr>
    </w:tbl>
    <w:p w14:paraId="4B183151" w14:textId="77777777" w:rsidR="002A11BC" w:rsidRPr="00122B5D" w:rsidRDefault="002A11BC" w:rsidP="008329A6">
      <w:pPr>
        <w:rPr>
          <w:b/>
          <w:bCs/>
        </w:rPr>
      </w:pPr>
    </w:p>
    <w:tbl>
      <w:tblPr>
        <w:tblW w:w="490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887"/>
      </w:tblGrid>
      <w:tr w:rsidR="006E32DE" w:rsidRPr="00122B5D" w14:paraId="0CD5827F" w14:textId="77777777" w:rsidTr="00F547FB">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8DDE5" w14:textId="77777777" w:rsidR="008329A6" w:rsidRPr="00122B5D" w:rsidRDefault="008329A6" w:rsidP="000907F0">
            <w:pPr>
              <w:jc w:val="center"/>
              <w:rPr>
                <w:b/>
                <w:bCs/>
              </w:rPr>
            </w:pPr>
            <w:r w:rsidRPr="00122B5D">
              <w:rPr>
                <w:b/>
                <w:bCs/>
              </w:rPr>
              <w:t>III. Tiesību akta projekta ietekme uz valsts budžetu un pašvaldību budžetiem</w:t>
            </w:r>
          </w:p>
        </w:tc>
      </w:tr>
      <w:tr w:rsidR="006E32DE" w:rsidRPr="00122B5D" w14:paraId="5D24640D" w14:textId="77777777" w:rsidTr="00F547FB">
        <w:trPr>
          <w:trHeight w:val="221"/>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5FBEF9D" w14:textId="77777777" w:rsidR="008329A6" w:rsidRPr="00122B5D" w:rsidRDefault="008329A6" w:rsidP="000907F0">
            <w:pPr>
              <w:jc w:val="center"/>
            </w:pPr>
            <w:r w:rsidRPr="00122B5D">
              <w:t>Noteikumu projekts šo jomu neskar.</w:t>
            </w:r>
          </w:p>
        </w:tc>
      </w:tr>
    </w:tbl>
    <w:p w14:paraId="581F370A" w14:textId="77777777" w:rsidR="008329A6" w:rsidRPr="00122B5D" w:rsidRDefault="008329A6" w:rsidP="008329A6">
      <w:pPr>
        <w:rPr>
          <w:b/>
          <w:bCs/>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26"/>
      </w:tblGrid>
      <w:tr w:rsidR="006E32DE" w:rsidRPr="00122B5D" w14:paraId="57438522" w14:textId="77777777" w:rsidTr="00D512F1">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F5F30" w14:textId="77777777" w:rsidR="008329A6" w:rsidRPr="00122B5D" w:rsidRDefault="008329A6" w:rsidP="008329A6">
            <w:pPr>
              <w:ind w:left="142"/>
              <w:jc w:val="center"/>
              <w:rPr>
                <w:b/>
                <w:bCs/>
              </w:rPr>
            </w:pPr>
            <w:r w:rsidRPr="00122B5D">
              <w:rPr>
                <w:b/>
              </w:rPr>
              <w:t>IV. Tiesību akta projekta ietekme uz spēkā esošo tiesību normu sistēmu</w:t>
            </w:r>
          </w:p>
        </w:tc>
      </w:tr>
      <w:tr w:rsidR="006E32DE" w:rsidRPr="00122B5D" w14:paraId="365436F6" w14:textId="77777777" w:rsidTr="00D512F1">
        <w:trPr>
          <w:trHeight w:val="295"/>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575B3E" w14:textId="77777777" w:rsidR="008329A6" w:rsidRPr="00122B5D" w:rsidRDefault="008329A6" w:rsidP="000907F0">
            <w:pPr>
              <w:jc w:val="center"/>
            </w:pPr>
            <w:r w:rsidRPr="00122B5D">
              <w:t>Noteikumu projekts šo jomu neskar.</w:t>
            </w:r>
          </w:p>
        </w:tc>
      </w:tr>
    </w:tbl>
    <w:p w14:paraId="00557E03" w14:textId="77777777" w:rsidR="00456E8E" w:rsidRPr="006A328C" w:rsidRDefault="00456E8E" w:rsidP="00456E8E">
      <w:pPr>
        <w:rPr>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456E8E" w:rsidRPr="00B37824" w14:paraId="4603C4BA" w14:textId="77777777" w:rsidTr="00A20C70">
        <w:trPr>
          <w:trHeight w:val="375"/>
        </w:trPr>
        <w:tc>
          <w:tcPr>
            <w:tcW w:w="0" w:type="auto"/>
            <w:gridSpan w:val="3"/>
            <w:vAlign w:val="center"/>
            <w:hideMark/>
          </w:tcPr>
          <w:p w14:paraId="6ACFEEA9" w14:textId="77777777" w:rsidR="00456E8E" w:rsidRPr="00B37824" w:rsidRDefault="00456E8E" w:rsidP="00A20C70">
            <w:pPr>
              <w:ind w:firstLine="300"/>
              <w:jc w:val="center"/>
              <w:rPr>
                <w:b/>
                <w:bCs/>
              </w:rPr>
            </w:pPr>
            <w:r w:rsidRPr="00B37824">
              <w:rPr>
                <w:b/>
                <w:bCs/>
              </w:rPr>
              <w:t>V. Tiesību akta projekta atbilstība Latvijas Republikas starptautiskajām saistībām</w:t>
            </w:r>
          </w:p>
        </w:tc>
      </w:tr>
      <w:tr w:rsidR="00456E8E" w:rsidRPr="00B37824" w14:paraId="718DEB8E" w14:textId="77777777" w:rsidTr="00A20C70">
        <w:tc>
          <w:tcPr>
            <w:tcW w:w="402" w:type="pct"/>
            <w:hideMark/>
          </w:tcPr>
          <w:p w14:paraId="199EFB0D" w14:textId="77777777" w:rsidR="00456E8E" w:rsidRPr="00B37824" w:rsidRDefault="00456E8E" w:rsidP="00A20C70">
            <w:r w:rsidRPr="00B37824">
              <w:lastRenderedPageBreak/>
              <w:t>1.</w:t>
            </w:r>
          </w:p>
        </w:tc>
        <w:tc>
          <w:tcPr>
            <w:tcW w:w="1082" w:type="pct"/>
            <w:hideMark/>
          </w:tcPr>
          <w:p w14:paraId="0311CF48" w14:textId="77777777" w:rsidR="00456E8E" w:rsidRPr="00B37824" w:rsidRDefault="00456E8E" w:rsidP="00A20C70">
            <w:pPr>
              <w:jc w:val="both"/>
            </w:pPr>
            <w:r w:rsidRPr="00B37824">
              <w:t>Saistības pret Eiropas Savienību</w:t>
            </w:r>
          </w:p>
        </w:tc>
        <w:tc>
          <w:tcPr>
            <w:tcW w:w="3515" w:type="pct"/>
            <w:hideMark/>
          </w:tcPr>
          <w:p w14:paraId="5D49C16A" w14:textId="499CACA7" w:rsidR="00456E8E" w:rsidRPr="00B37824" w:rsidRDefault="00456E8E" w:rsidP="00A20C70">
            <w:pPr>
              <w:spacing w:before="10"/>
              <w:ind w:right="113"/>
              <w:jc w:val="both"/>
            </w:pPr>
            <w:r w:rsidRPr="00B37824">
              <w:t>Komisijas regula Nr. 651/2014</w:t>
            </w:r>
          </w:p>
        </w:tc>
      </w:tr>
      <w:tr w:rsidR="00456E8E" w:rsidRPr="00B37824" w14:paraId="56690C25" w14:textId="77777777" w:rsidTr="00A20C70">
        <w:tc>
          <w:tcPr>
            <w:tcW w:w="402" w:type="pct"/>
            <w:hideMark/>
          </w:tcPr>
          <w:p w14:paraId="6C929494" w14:textId="77777777" w:rsidR="00456E8E" w:rsidRPr="00B37824" w:rsidRDefault="00456E8E" w:rsidP="00A20C70">
            <w:r w:rsidRPr="00B37824">
              <w:t>2.</w:t>
            </w:r>
          </w:p>
        </w:tc>
        <w:tc>
          <w:tcPr>
            <w:tcW w:w="1082" w:type="pct"/>
            <w:hideMark/>
          </w:tcPr>
          <w:p w14:paraId="4E5AE47B" w14:textId="77777777" w:rsidR="00456E8E" w:rsidRPr="00B37824" w:rsidRDefault="00456E8E" w:rsidP="00A20C70">
            <w:pPr>
              <w:jc w:val="both"/>
            </w:pPr>
            <w:r w:rsidRPr="00B37824">
              <w:t>Citas starptautiskās saistības</w:t>
            </w:r>
          </w:p>
        </w:tc>
        <w:tc>
          <w:tcPr>
            <w:tcW w:w="3515" w:type="pct"/>
            <w:hideMark/>
          </w:tcPr>
          <w:p w14:paraId="0FFC201F" w14:textId="77777777" w:rsidR="00456E8E" w:rsidRPr="00B37824" w:rsidRDefault="00456E8E" w:rsidP="00A20C70">
            <w:pPr>
              <w:jc w:val="both"/>
            </w:pPr>
            <w:r w:rsidRPr="00B37824">
              <w:t>Noteikumu projekts šo jomu neskar.</w:t>
            </w:r>
          </w:p>
        </w:tc>
      </w:tr>
      <w:tr w:rsidR="00456E8E" w:rsidRPr="00B37824" w14:paraId="4AF55091" w14:textId="77777777" w:rsidTr="00A20C70">
        <w:tc>
          <w:tcPr>
            <w:tcW w:w="402" w:type="pct"/>
            <w:hideMark/>
          </w:tcPr>
          <w:p w14:paraId="1703BAD7" w14:textId="77777777" w:rsidR="00456E8E" w:rsidRPr="00B37824" w:rsidRDefault="00456E8E" w:rsidP="00A20C70">
            <w:r w:rsidRPr="00B37824">
              <w:t>3.</w:t>
            </w:r>
          </w:p>
        </w:tc>
        <w:tc>
          <w:tcPr>
            <w:tcW w:w="1082" w:type="pct"/>
            <w:hideMark/>
          </w:tcPr>
          <w:p w14:paraId="052383F4" w14:textId="77777777" w:rsidR="00456E8E" w:rsidRPr="00B37824" w:rsidRDefault="00456E8E" w:rsidP="00A20C70">
            <w:pPr>
              <w:jc w:val="both"/>
            </w:pPr>
            <w:r w:rsidRPr="00B37824">
              <w:t>Cita informācija</w:t>
            </w:r>
          </w:p>
        </w:tc>
        <w:tc>
          <w:tcPr>
            <w:tcW w:w="3515" w:type="pct"/>
            <w:hideMark/>
          </w:tcPr>
          <w:p w14:paraId="3E89E3CF" w14:textId="77777777" w:rsidR="00456E8E" w:rsidRPr="00B37824" w:rsidRDefault="00456E8E" w:rsidP="00A20C70">
            <w:r w:rsidRPr="00B37824">
              <w:t>Nav</w:t>
            </w:r>
          </w:p>
        </w:tc>
      </w:tr>
    </w:tbl>
    <w:p w14:paraId="4020B8BF" w14:textId="77777777" w:rsidR="00456E8E" w:rsidRPr="00B37824" w:rsidRDefault="00456E8E" w:rsidP="00456E8E"/>
    <w:tbl>
      <w:tblPr>
        <w:tblW w:w="91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658"/>
        <w:gridCol w:w="2126"/>
        <w:gridCol w:w="2020"/>
        <w:gridCol w:w="2316"/>
      </w:tblGrid>
      <w:tr w:rsidR="00456E8E" w:rsidRPr="00B37824" w14:paraId="69AADAFE" w14:textId="77777777" w:rsidTr="00945C71">
        <w:tc>
          <w:tcPr>
            <w:tcW w:w="9120" w:type="dxa"/>
            <w:gridSpan w:val="4"/>
            <w:vAlign w:val="center"/>
            <w:hideMark/>
          </w:tcPr>
          <w:p w14:paraId="425C4AB5" w14:textId="77777777" w:rsidR="00456E8E" w:rsidRPr="00B37824" w:rsidRDefault="00456E8E" w:rsidP="00A20C70">
            <w:pPr>
              <w:jc w:val="center"/>
              <w:rPr>
                <w:b/>
                <w:bCs/>
              </w:rPr>
            </w:pPr>
            <w:r w:rsidRPr="00B37824">
              <w:rPr>
                <w:b/>
                <w:bCs/>
              </w:rPr>
              <w:t>1.tabula</w:t>
            </w:r>
            <w:r w:rsidRPr="00B37824">
              <w:rPr>
                <w:b/>
                <w:bCs/>
              </w:rPr>
              <w:br/>
              <w:t>Tiesību akta projekta atbilstība ES tiesību aktiem</w:t>
            </w:r>
          </w:p>
        </w:tc>
      </w:tr>
      <w:tr w:rsidR="00456E8E" w:rsidRPr="00B37824" w14:paraId="65F7C3F2" w14:textId="77777777" w:rsidTr="00945C71">
        <w:tc>
          <w:tcPr>
            <w:tcW w:w="2658" w:type="dxa"/>
            <w:vAlign w:val="center"/>
            <w:hideMark/>
          </w:tcPr>
          <w:p w14:paraId="5AA028ED" w14:textId="77777777" w:rsidR="00456E8E" w:rsidRPr="00B37824" w:rsidRDefault="00456E8E" w:rsidP="00A20C70">
            <w:pPr>
              <w:jc w:val="both"/>
            </w:pPr>
            <w:r w:rsidRPr="00B37824">
              <w:t>Attiecīgā ES tiesību akta datums, numurs un nosaukums</w:t>
            </w:r>
          </w:p>
        </w:tc>
        <w:tc>
          <w:tcPr>
            <w:tcW w:w="6462" w:type="dxa"/>
            <w:gridSpan w:val="3"/>
            <w:vAlign w:val="center"/>
            <w:hideMark/>
          </w:tcPr>
          <w:p w14:paraId="4D4EE017" w14:textId="77777777" w:rsidR="00456E8E" w:rsidRPr="00B37824" w:rsidRDefault="00456E8E" w:rsidP="00A20C70">
            <w:pPr>
              <w:spacing w:before="10"/>
              <w:ind w:right="113"/>
              <w:jc w:val="both"/>
            </w:pPr>
            <w:r w:rsidRPr="00B37824">
              <w:t>Komisijas regula Nr. 651/2014</w:t>
            </w:r>
          </w:p>
        </w:tc>
      </w:tr>
      <w:tr w:rsidR="00456E8E" w:rsidRPr="00B37824" w14:paraId="6544C46A" w14:textId="77777777" w:rsidTr="00945C71">
        <w:tc>
          <w:tcPr>
            <w:tcW w:w="2658" w:type="dxa"/>
            <w:vAlign w:val="center"/>
            <w:hideMark/>
          </w:tcPr>
          <w:p w14:paraId="6D2502D6" w14:textId="77777777" w:rsidR="00456E8E" w:rsidRPr="00B37824" w:rsidRDefault="00456E8E" w:rsidP="00A20C70">
            <w:pPr>
              <w:jc w:val="center"/>
            </w:pPr>
            <w:r w:rsidRPr="00B37824">
              <w:t>A</w:t>
            </w:r>
          </w:p>
        </w:tc>
        <w:tc>
          <w:tcPr>
            <w:tcW w:w="2126" w:type="dxa"/>
            <w:vAlign w:val="center"/>
            <w:hideMark/>
          </w:tcPr>
          <w:p w14:paraId="3FEAC979" w14:textId="77777777" w:rsidR="00456E8E" w:rsidRPr="00B37824" w:rsidRDefault="00456E8E" w:rsidP="00A20C70">
            <w:pPr>
              <w:jc w:val="center"/>
            </w:pPr>
            <w:r w:rsidRPr="00B37824">
              <w:t>B</w:t>
            </w:r>
          </w:p>
        </w:tc>
        <w:tc>
          <w:tcPr>
            <w:tcW w:w="2020" w:type="dxa"/>
            <w:vAlign w:val="center"/>
            <w:hideMark/>
          </w:tcPr>
          <w:p w14:paraId="2D3FF901" w14:textId="77777777" w:rsidR="00456E8E" w:rsidRPr="00B37824" w:rsidRDefault="00456E8E" w:rsidP="00A20C70">
            <w:pPr>
              <w:jc w:val="center"/>
            </w:pPr>
            <w:r w:rsidRPr="00B37824">
              <w:t>C</w:t>
            </w:r>
          </w:p>
        </w:tc>
        <w:tc>
          <w:tcPr>
            <w:tcW w:w="2316" w:type="dxa"/>
            <w:vAlign w:val="center"/>
            <w:hideMark/>
          </w:tcPr>
          <w:p w14:paraId="0A40713C" w14:textId="77777777" w:rsidR="00456E8E" w:rsidRPr="00B37824" w:rsidRDefault="00456E8E" w:rsidP="00A20C70">
            <w:pPr>
              <w:jc w:val="center"/>
            </w:pPr>
            <w:r w:rsidRPr="00B37824">
              <w:t>D</w:t>
            </w:r>
          </w:p>
        </w:tc>
      </w:tr>
      <w:tr w:rsidR="00456E8E" w:rsidRPr="00B37824" w14:paraId="65980B94" w14:textId="77777777" w:rsidTr="00945C71">
        <w:tc>
          <w:tcPr>
            <w:tcW w:w="2658" w:type="dxa"/>
            <w:hideMark/>
          </w:tcPr>
          <w:p w14:paraId="1A300A80" w14:textId="77777777" w:rsidR="00456E8E" w:rsidRPr="00B37824" w:rsidRDefault="00456E8E" w:rsidP="00A20C70">
            <w:pPr>
              <w:pStyle w:val="naiskr"/>
              <w:spacing w:before="0" w:after="0"/>
              <w:jc w:val="both"/>
              <w:rPr>
                <w:lang w:eastAsia="en-US"/>
              </w:rPr>
            </w:pPr>
            <w:r w:rsidRPr="00B37824">
              <w:rPr>
                <w:lang w:eastAsia="en-US"/>
              </w:rPr>
              <w:t xml:space="preserve">Attiecīgā ES tiesību akta panta numurs (uzskaitot katru tiesību akta </w:t>
            </w:r>
            <w:r w:rsidRPr="00B37824">
              <w:rPr>
                <w:lang w:eastAsia="en-US"/>
              </w:rPr>
              <w:br/>
              <w:t>vienību – pantu, daļu, punktu, apakšpunktu)</w:t>
            </w:r>
          </w:p>
        </w:tc>
        <w:tc>
          <w:tcPr>
            <w:tcW w:w="2126" w:type="dxa"/>
            <w:hideMark/>
          </w:tcPr>
          <w:p w14:paraId="400F8ADF" w14:textId="77777777" w:rsidR="00456E8E" w:rsidRPr="00B37824" w:rsidRDefault="00456E8E" w:rsidP="00A20C70">
            <w:pPr>
              <w:pStyle w:val="naiskr"/>
              <w:spacing w:before="0" w:after="0"/>
              <w:jc w:val="both"/>
              <w:rPr>
                <w:lang w:eastAsia="en-US"/>
              </w:rPr>
            </w:pPr>
            <w:r w:rsidRPr="00B37824">
              <w:rPr>
                <w:lang w:eastAsia="en-US"/>
              </w:rPr>
              <w:t>Projekta vienība, kas pārņem vai ievieš katru šīs tabulas A ailē minēto ES tiesību akta vienību</w:t>
            </w:r>
          </w:p>
        </w:tc>
        <w:tc>
          <w:tcPr>
            <w:tcW w:w="2020" w:type="dxa"/>
            <w:hideMark/>
          </w:tcPr>
          <w:p w14:paraId="2F4F5398" w14:textId="77777777" w:rsidR="00456E8E" w:rsidRPr="00B37824" w:rsidRDefault="00456E8E" w:rsidP="00A20C70">
            <w:pPr>
              <w:pStyle w:val="naiskr"/>
              <w:spacing w:before="0" w:after="0"/>
              <w:jc w:val="both"/>
              <w:rPr>
                <w:lang w:eastAsia="en-US"/>
              </w:rPr>
            </w:pPr>
            <w:r w:rsidRPr="00B37824">
              <w:rPr>
                <w:lang w:eastAsia="en-US"/>
              </w:rPr>
              <w:t>Informācija par to, vai šīs tabulas A ailē minētās ES tiesību akta vienības tiek pārņemtas vai ieviestas pilnībā vai daļēji.</w:t>
            </w:r>
          </w:p>
          <w:p w14:paraId="1146CC1B" w14:textId="77777777" w:rsidR="00456E8E" w:rsidRPr="00B37824" w:rsidRDefault="00456E8E" w:rsidP="00A20C70">
            <w:pPr>
              <w:pStyle w:val="naiskr"/>
              <w:spacing w:before="0" w:after="0"/>
              <w:jc w:val="both"/>
              <w:rPr>
                <w:lang w:eastAsia="en-US"/>
              </w:rPr>
            </w:pPr>
            <w:r w:rsidRPr="00B37824">
              <w:rPr>
                <w:lang w:eastAsia="en-US"/>
              </w:rPr>
              <w:t>Ja attiecīgā ES tiesību akta vienība tiek pārņemta vai ieviesta daļēji, – sniedz attiecīgu skaidrojumu, kā arī precīzi norāda, kad un kādā veidā ES tiesību akta vienība tiks pārņemta vai ieviesta pilnībā.</w:t>
            </w:r>
          </w:p>
          <w:p w14:paraId="6410F223" w14:textId="77777777" w:rsidR="00456E8E" w:rsidRPr="00B37824" w:rsidRDefault="00456E8E" w:rsidP="00A20C70">
            <w:pPr>
              <w:pStyle w:val="naiskr"/>
              <w:spacing w:before="0" w:after="0"/>
              <w:jc w:val="both"/>
              <w:rPr>
                <w:lang w:eastAsia="en-US"/>
              </w:rPr>
            </w:pPr>
            <w:r w:rsidRPr="00B37824">
              <w:rPr>
                <w:lang w:eastAsia="en-US"/>
              </w:rPr>
              <w:t>Norāda institūciju, kas ir atbildīga par šo saistību izpildi pilnībā</w:t>
            </w:r>
          </w:p>
        </w:tc>
        <w:tc>
          <w:tcPr>
            <w:tcW w:w="2316" w:type="dxa"/>
            <w:hideMark/>
          </w:tcPr>
          <w:p w14:paraId="792609BE" w14:textId="77777777" w:rsidR="00456E8E" w:rsidRPr="00B37824" w:rsidRDefault="00456E8E" w:rsidP="00A20C70">
            <w:pPr>
              <w:pStyle w:val="naiskr"/>
              <w:spacing w:before="0" w:after="0"/>
              <w:jc w:val="both"/>
              <w:rPr>
                <w:lang w:eastAsia="en-US"/>
              </w:rPr>
            </w:pPr>
            <w:r w:rsidRPr="00B37824">
              <w:rPr>
                <w:lang w:eastAsia="en-US"/>
              </w:rPr>
              <w:t>Informācija par to, vai šīs tabulas B ailē minētās projekta vienības paredz stingrākas prasības nekā šīs tabulas A ailē minētās ES tiesību akta vienības.</w:t>
            </w:r>
          </w:p>
          <w:p w14:paraId="4350C6D8" w14:textId="77777777" w:rsidR="00456E8E" w:rsidRPr="00B37824" w:rsidRDefault="00456E8E" w:rsidP="00A20C70">
            <w:pPr>
              <w:pStyle w:val="naiskr"/>
              <w:spacing w:before="0" w:after="0"/>
              <w:jc w:val="both"/>
              <w:rPr>
                <w:lang w:eastAsia="en-US"/>
              </w:rPr>
            </w:pPr>
            <w:r w:rsidRPr="00B37824">
              <w:rPr>
                <w:lang w:eastAsia="en-US"/>
              </w:rPr>
              <w:t>Ja projekts satur stingrākas prasības nekā attiecīgais ES tiesību akts, – norāda pamatojumu un samērīgumu.</w:t>
            </w:r>
          </w:p>
          <w:p w14:paraId="0CE91A06" w14:textId="77777777" w:rsidR="00456E8E" w:rsidRPr="00B37824" w:rsidRDefault="00456E8E" w:rsidP="00A20C70">
            <w:pPr>
              <w:pStyle w:val="naiskr"/>
              <w:spacing w:before="0" w:after="0"/>
              <w:jc w:val="both"/>
              <w:rPr>
                <w:lang w:eastAsia="en-US"/>
              </w:rPr>
            </w:pPr>
            <w:r w:rsidRPr="00B37824">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456E8E" w:rsidRPr="00B37824" w14:paraId="5F77DCA1" w14:textId="77777777" w:rsidTr="00945C71">
        <w:tc>
          <w:tcPr>
            <w:tcW w:w="2658" w:type="dxa"/>
            <w:vAlign w:val="center"/>
          </w:tcPr>
          <w:p w14:paraId="15011DD6" w14:textId="13A8B2C7" w:rsidR="00456E8E" w:rsidRPr="00B37824" w:rsidRDefault="00473606" w:rsidP="00A20C70">
            <w:pPr>
              <w:spacing w:before="10"/>
              <w:ind w:left="113" w:right="113"/>
              <w:jc w:val="both"/>
            </w:pPr>
            <w:r w:rsidRPr="00B37824">
              <w:t>Regulas Nr. </w:t>
            </w:r>
            <w:r w:rsidR="00456E8E" w:rsidRPr="00B37824">
              <w:t>651/2014 2</w:t>
            </w:r>
            <w:r w:rsidRPr="00B37824">
              <w:t>. </w:t>
            </w:r>
            <w:r w:rsidR="00456E8E" w:rsidRPr="00B37824">
              <w:t>panta 28</w:t>
            </w:r>
            <w:r w:rsidRPr="00B37824">
              <w:t>. </w:t>
            </w:r>
            <w:r w:rsidR="00456E8E" w:rsidRPr="00B37824">
              <w:t>punkts</w:t>
            </w:r>
          </w:p>
        </w:tc>
        <w:tc>
          <w:tcPr>
            <w:tcW w:w="2126" w:type="dxa"/>
            <w:vAlign w:val="center"/>
          </w:tcPr>
          <w:p w14:paraId="66E251E3" w14:textId="5B5C8BC8" w:rsidR="00456E8E" w:rsidRPr="00B37824" w:rsidRDefault="00456E8E" w:rsidP="00945C71">
            <w:pPr>
              <w:spacing w:before="10"/>
              <w:ind w:left="113" w:right="113"/>
              <w:jc w:val="both"/>
            </w:pPr>
            <w:r w:rsidRPr="00B37824">
              <w:t>Noteikumu projekta 1</w:t>
            </w:r>
            <w:r w:rsidR="00D512F1">
              <w:t>7</w:t>
            </w:r>
            <w:r w:rsidRPr="00B37824">
              <w:t>. punkts</w:t>
            </w:r>
            <w:r w:rsidR="00473606" w:rsidRPr="00B37824">
              <w:t>.</w:t>
            </w:r>
          </w:p>
        </w:tc>
        <w:tc>
          <w:tcPr>
            <w:tcW w:w="2020" w:type="dxa"/>
            <w:vAlign w:val="center"/>
          </w:tcPr>
          <w:p w14:paraId="136C65AF" w14:textId="77777777" w:rsidR="00456E8E" w:rsidRPr="00B37824" w:rsidRDefault="00456E8E" w:rsidP="00A20C70">
            <w:pPr>
              <w:spacing w:before="10"/>
              <w:ind w:left="113" w:right="113"/>
              <w:jc w:val="both"/>
            </w:pPr>
            <w:r w:rsidRPr="00B37824">
              <w:t>ieviesta pilnībā</w:t>
            </w:r>
          </w:p>
        </w:tc>
        <w:tc>
          <w:tcPr>
            <w:tcW w:w="2316" w:type="dxa"/>
            <w:vAlign w:val="center"/>
          </w:tcPr>
          <w:p w14:paraId="4085937C" w14:textId="77777777" w:rsidR="00456E8E" w:rsidRPr="00B37824" w:rsidRDefault="00456E8E" w:rsidP="00A20C70">
            <w:pPr>
              <w:spacing w:before="10"/>
              <w:ind w:left="113" w:right="113"/>
              <w:jc w:val="both"/>
            </w:pPr>
            <w:r w:rsidRPr="00B37824">
              <w:t>neparedz stingrākas prasības</w:t>
            </w:r>
          </w:p>
        </w:tc>
      </w:tr>
      <w:tr w:rsidR="00456E8E" w:rsidRPr="00B37824" w14:paraId="7E7399FD" w14:textId="77777777" w:rsidTr="00945C71">
        <w:trPr>
          <w:trHeight w:val="805"/>
        </w:trPr>
        <w:tc>
          <w:tcPr>
            <w:tcW w:w="2658" w:type="dxa"/>
            <w:vAlign w:val="center"/>
            <w:hideMark/>
          </w:tcPr>
          <w:p w14:paraId="2489E951" w14:textId="77777777" w:rsidR="00456E8E" w:rsidRPr="00B37824" w:rsidRDefault="00456E8E" w:rsidP="00A20C70">
            <w:pPr>
              <w:ind w:left="174" w:right="149"/>
              <w:jc w:val="both"/>
            </w:pPr>
            <w:r w:rsidRPr="00B37824">
              <w:t>Kā ir izmantota ES tiesību aktā paredzētā rīcības brīvība dalībvalstij pārņemt vai ieviest noteiktas ES tiesību akta normas.</w:t>
            </w:r>
          </w:p>
        </w:tc>
        <w:tc>
          <w:tcPr>
            <w:tcW w:w="6462" w:type="dxa"/>
            <w:gridSpan w:val="3"/>
            <w:hideMark/>
          </w:tcPr>
          <w:p w14:paraId="59C8911B" w14:textId="77777777" w:rsidR="00456E8E" w:rsidRPr="00B37824" w:rsidRDefault="00456E8E" w:rsidP="00A20C70">
            <w:pPr>
              <w:jc w:val="both"/>
            </w:pPr>
            <w:r w:rsidRPr="00B37824">
              <w:t>Noteikumu projekts šo jomu neskar.</w:t>
            </w:r>
          </w:p>
        </w:tc>
      </w:tr>
      <w:tr w:rsidR="00456E8E" w:rsidRPr="00B37824" w14:paraId="03097CB8" w14:textId="77777777" w:rsidTr="00945C71">
        <w:trPr>
          <w:trHeight w:val="2934"/>
        </w:trPr>
        <w:tc>
          <w:tcPr>
            <w:tcW w:w="2658" w:type="dxa"/>
            <w:vAlign w:val="center"/>
            <w:hideMark/>
          </w:tcPr>
          <w:p w14:paraId="33E76F4E" w14:textId="77777777" w:rsidR="00456E8E" w:rsidRPr="00B37824" w:rsidRDefault="00456E8E" w:rsidP="00A20C70">
            <w:pPr>
              <w:ind w:left="174" w:right="149"/>
              <w:jc w:val="both"/>
            </w:pPr>
            <w:r w:rsidRPr="00B37824">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50A5C87E" w14:textId="77777777" w:rsidR="00456E8E" w:rsidRPr="00B37824" w:rsidRDefault="00456E8E" w:rsidP="00A20C70">
            <w:pPr>
              <w:jc w:val="both"/>
            </w:pPr>
            <w:r w:rsidRPr="00B37824">
              <w:t>Noteikumu projekts šo jomu neskar.</w:t>
            </w:r>
          </w:p>
        </w:tc>
      </w:tr>
      <w:tr w:rsidR="00456E8E" w:rsidRPr="00B37824" w14:paraId="0272E09A" w14:textId="77777777" w:rsidTr="00945C71">
        <w:tc>
          <w:tcPr>
            <w:tcW w:w="2658" w:type="dxa"/>
            <w:hideMark/>
          </w:tcPr>
          <w:p w14:paraId="1E024463" w14:textId="77777777" w:rsidR="00456E8E" w:rsidRPr="00B37824" w:rsidRDefault="00456E8E" w:rsidP="00A20C70">
            <w:pPr>
              <w:jc w:val="both"/>
            </w:pPr>
            <w:r w:rsidRPr="00B37824">
              <w:t>Cita informācija</w:t>
            </w:r>
          </w:p>
        </w:tc>
        <w:tc>
          <w:tcPr>
            <w:tcW w:w="6462" w:type="dxa"/>
            <w:gridSpan w:val="3"/>
            <w:hideMark/>
          </w:tcPr>
          <w:p w14:paraId="58063D84" w14:textId="77777777" w:rsidR="00456E8E" w:rsidRPr="00B37824" w:rsidRDefault="00456E8E" w:rsidP="00A20C70">
            <w:pPr>
              <w:jc w:val="both"/>
            </w:pPr>
            <w:r w:rsidRPr="00B37824">
              <w:t xml:space="preserve">Nav. </w:t>
            </w:r>
          </w:p>
        </w:tc>
      </w:tr>
    </w:tbl>
    <w:p w14:paraId="5F6BCD1A" w14:textId="77777777" w:rsidR="002724FB" w:rsidRPr="00122B5D" w:rsidRDefault="002724FB" w:rsidP="00945C71">
      <w:pPr>
        <w:rPr>
          <w:vanish/>
        </w:rPr>
      </w:pPr>
    </w:p>
    <w:tbl>
      <w:tblPr>
        <w:tblW w:w="49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0"/>
        <w:gridCol w:w="2719"/>
        <w:gridCol w:w="5274"/>
      </w:tblGrid>
      <w:tr w:rsidR="006E32DE" w:rsidRPr="00122B5D" w14:paraId="669D1F7A" w14:textId="77777777" w:rsidTr="00945C71">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A85A4D" w14:textId="77777777" w:rsidR="0045287B" w:rsidRPr="00122B5D" w:rsidRDefault="0045287B" w:rsidP="007D1D1B">
            <w:pPr>
              <w:spacing w:before="100" w:beforeAutospacing="1" w:after="100" w:afterAutospacing="1" w:line="293" w:lineRule="atLeast"/>
              <w:jc w:val="center"/>
              <w:rPr>
                <w:b/>
                <w:bCs/>
              </w:rPr>
            </w:pPr>
            <w:r w:rsidRPr="00122B5D">
              <w:rPr>
                <w:b/>
                <w:bCs/>
              </w:rPr>
              <w:t>VI. Sabiedrības līdzdalība un komunikācijas aktivitātes</w:t>
            </w:r>
          </w:p>
        </w:tc>
      </w:tr>
      <w:tr w:rsidR="006E32DE" w:rsidRPr="00122B5D" w14:paraId="1366541D" w14:textId="77777777" w:rsidTr="00945C71">
        <w:trPr>
          <w:trHeight w:val="254"/>
          <w:jc w:val="center"/>
        </w:trPr>
        <w:tc>
          <w:tcPr>
            <w:tcW w:w="541" w:type="pct"/>
            <w:tcBorders>
              <w:top w:val="outset" w:sz="6" w:space="0" w:color="414142"/>
              <w:left w:val="outset" w:sz="6" w:space="0" w:color="414142"/>
              <w:bottom w:val="outset" w:sz="6" w:space="0" w:color="414142"/>
              <w:right w:val="outset" w:sz="6" w:space="0" w:color="414142"/>
            </w:tcBorders>
            <w:hideMark/>
          </w:tcPr>
          <w:p w14:paraId="34CD6D8D" w14:textId="77777777" w:rsidR="0045287B" w:rsidRPr="00122B5D" w:rsidRDefault="0045287B" w:rsidP="007D1D1B">
            <w:r w:rsidRPr="00122B5D">
              <w:t>1.</w:t>
            </w:r>
          </w:p>
        </w:tc>
        <w:tc>
          <w:tcPr>
            <w:tcW w:w="1517" w:type="pct"/>
            <w:tcBorders>
              <w:top w:val="outset" w:sz="6" w:space="0" w:color="414142"/>
              <w:left w:val="outset" w:sz="6" w:space="0" w:color="414142"/>
              <w:bottom w:val="outset" w:sz="6" w:space="0" w:color="414142"/>
              <w:right w:val="outset" w:sz="6" w:space="0" w:color="414142"/>
            </w:tcBorders>
            <w:hideMark/>
          </w:tcPr>
          <w:p w14:paraId="47F09915" w14:textId="77777777" w:rsidR="0045287B" w:rsidRPr="00122B5D" w:rsidRDefault="0045287B" w:rsidP="007D1D1B">
            <w:r w:rsidRPr="00122B5D">
              <w:t>Plānotās sabiedrības līdzdalības un komunikācijas aktivitātes saistībā ar projektu</w:t>
            </w:r>
          </w:p>
        </w:tc>
        <w:tc>
          <w:tcPr>
            <w:tcW w:w="2942" w:type="pct"/>
            <w:tcBorders>
              <w:top w:val="outset" w:sz="6" w:space="0" w:color="414142"/>
              <w:left w:val="outset" w:sz="6" w:space="0" w:color="414142"/>
              <w:bottom w:val="outset" w:sz="6" w:space="0" w:color="414142"/>
              <w:right w:val="outset" w:sz="6" w:space="0" w:color="414142"/>
            </w:tcBorders>
          </w:tcPr>
          <w:p w14:paraId="742D92D1" w14:textId="77777777" w:rsidR="0045287B" w:rsidRPr="00122B5D" w:rsidRDefault="0027228E" w:rsidP="00B31513">
            <w:pPr>
              <w:ind w:left="113" w:right="111"/>
              <w:jc w:val="both"/>
            </w:pPr>
            <w:r w:rsidRPr="00122B5D">
              <w:t>Sabiedrības pārstāvji varēs līdzdarboties noteikumu projekta izstrādē, sniedzot atzinumu un viedokli par noteikumu projektu</w:t>
            </w:r>
            <w:r w:rsidR="00BD05C7" w:rsidRPr="00122B5D">
              <w:t xml:space="preserve">, kas ievietots Izglītības un zinātnes ministrijas tīmekļa vietnē </w:t>
            </w:r>
            <w:hyperlink r:id="rId12" w:history="1">
              <w:r w:rsidR="00BD05C7" w:rsidRPr="00122B5D">
                <w:rPr>
                  <w:rStyle w:val="Hyperlink"/>
                </w:rPr>
                <w:t>www.izm.gov.lv</w:t>
              </w:r>
            </w:hyperlink>
            <w:r w:rsidR="00BD05C7" w:rsidRPr="00122B5D">
              <w:t xml:space="preserve"> (sadaļā </w:t>
            </w:r>
            <w:r w:rsidR="00B31513" w:rsidRPr="00122B5D">
              <w:t>ES struktūrfondi → 2014-2020 → </w:t>
            </w:r>
            <w:r w:rsidR="00BD05C7" w:rsidRPr="00122B5D">
              <w:t>Normatīvo aktu</w:t>
            </w:r>
            <w:r w:rsidR="00B31513" w:rsidRPr="00122B5D">
              <w:t xml:space="preserve"> un nosacījumu</w:t>
            </w:r>
            <w:r w:rsidR="00BD05C7" w:rsidRPr="00122B5D">
              <w:t xml:space="preserve"> projekti).</w:t>
            </w:r>
            <w:hyperlink r:id="rId13" w:history="1"/>
          </w:p>
        </w:tc>
      </w:tr>
      <w:tr w:rsidR="006E32DE" w:rsidRPr="00122B5D" w14:paraId="0D5CC83C" w14:textId="77777777" w:rsidTr="00945C71">
        <w:trPr>
          <w:trHeight w:val="330"/>
          <w:jc w:val="center"/>
        </w:trPr>
        <w:tc>
          <w:tcPr>
            <w:tcW w:w="541" w:type="pct"/>
            <w:tcBorders>
              <w:top w:val="outset" w:sz="6" w:space="0" w:color="414142"/>
              <w:left w:val="outset" w:sz="6" w:space="0" w:color="414142"/>
              <w:bottom w:val="outset" w:sz="6" w:space="0" w:color="414142"/>
              <w:right w:val="outset" w:sz="6" w:space="0" w:color="414142"/>
            </w:tcBorders>
            <w:hideMark/>
          </w:tcPr>
          <w:p w14:paraId="57B59D7F" w14:textId="77777777" w:rsidR="0045287B" w:rsidRPr="00122B5D" w:rsidRDefault="0045287B" w:rsidP="007D1D1B">
            <w:r w:rsidRPr="00122B5D">
              <w:t>2.</w:t>
            </w:r>
          </w:p>
        </w:tc>
        <w:tc>
          <w:tcPr>
            <w:tcW w:w="1517" w:type="pct"/>
            <w:tcBorders>
              <w:top w:val="outset" w:sz="6" w:space="0" w:color="414142"/>
              <w:left w:val="outset" w:sz="6" w:space="0" w:color="414142"/>
              <w:bottom w:val="outset" w:sz="6" w:space="0" w:color="414142"/>
              <w:right w:val="outset" w:sz="6" w:space="0" w:color="414142"/>
            </w:tcBorders>
            <w:hideMark/>
          </w:tcPr>
          <w:p w14:paraId="6D67FD7B" w14:textId="77777777" w:rsidR="0045287B" w:rsidRPr="00122B5D" w:rsidRDefault="0045287B" w:rsidP="007D1D1B">
            <w:r w:rsidRPr="00122B5D">
              <w:t>Sabiedrības līdzdalība projekta izstrādē</w:t>
            </w:r>
          </w:p>
        </w:tc>
        <w:tc>
          <w:tcPr>
            <w:tcW w:w="2942" w:type="pct"/>
            <w:tcBorders>
              <w:top w:val="outset" w:sz="6" w:space="0" w:color="414142"/>
              <w:left w:val="outset" w:sz="6" w:space="0" w:color="414142"/>
              <w:bottom w:val="outset" w:sz="6" w:space="0" w:color="414142"/>
              <w:right w:val="outset" w:sz="6" w:space="0" w:color="414142"/>
            </w:tcBorders>
          </w:tcPr>
          <w:p w14:paraId="49744A8C" w14:textId="19AF6001" w:rsidR="0045287B" w:rsidRPr="00D26556" w:rsidRDefault="00EA6F04" w:rsidP="00945C71">
            <w:pPr>
              <w:ind w:left="113" w:right="111"/>
              <w:jc w:val="both"/>
            </w:pPr>
            <w:r w:rsidRPr="00D26556">
              <w:t xml:space="preserve">Sabiedrības līdzdalība noteikumu projekta </w:t>
            </w:r>
            <w:r w:rsidR="004A3E61" w:rsidRPr="00D26556">
              <w:t xml:space="preserve">izstrādē </w:t>
            </w:r>
            <w:r w:rsidRPr="00D26556">
              <w:t>tik</w:t>
            </w:r>
            <w:r w:rsidR="00807B8A" w:rsidRPr="00D26556">
              <w:t>a</w:t>
            </w:r>
            <w:r w:rsidRPr="00D26556">
              <w:t xml:space="preserve"> nodrošināta</w:t>
            </w:r>
            <w:r w:rsidR="00807B8A" w:rsidRPr="00D26556">
              <w:t xml:space="preserve"> 1.1.1.2. pasākuma Uzraudzības padomes (turpmāk – padome) 2019. gada 20. februāra sēdē, kuras laikā padomes locekļiem un Valsts zinātnisko institūtu asociācijas, Latvijas Jauno zinātnieku un Latvijas Rektoru padomes pārstāvjiem tika prezentēts noteikumu projekts. Padomes locekļi un uzaicināto institūciju pārstāvji atbalstīja noteikumu projektu tālāku virzību.</w:t>
            </w:r>
          </w:p>
        </w:tc>
      </w:tr>
      <w:tr w:rsidR="006E32DE" w:rsidRPr="00122B5D" w14:paraId="5D6C582E" w14:textId="77777777" w:rsidTr="00945C71">
        <w:trPr>
          <w:trHeight w:val="465"/>
          <w:jc w:val="center"/>
        </w:trPr>
        <w:tc>
          <w:tcPr>
            <w:tcW w:w="541" w:type="pct"/>
            <w:tcBorders>
              <w:top w:val="outset" w:sz="6" w:space="0" w:color="414142"/>
              <w:left w:val="outset" w:sz="6" w:space="0" w:color="414142"/>
              <w:bottom w:val="outset" w:sz="6" w:space="0" w:color="414142"/>
              <w:right w:val="outset" w:sz="6" w:space="0" w:color="414142"/>
            </w:tcBorders>
            <w:hideMark/>
          </w:tcPr>
          <w:p w14:paraId="3B7A6470" w14:textId="77777777" w:rsidR="0045287B" w:rsidRPr="00122B5D" w:rsidRDefault="0045287B" w:rsidP="007D1D1B">
            <w:r w:rsidRPr="00122B5D">
              <w:t>3.</w:t>
            </w:r>
          </w:p>
        </w:tc>
        <w:tc>
          <w:tcPr>
            <w:tcW w:w="1517" w:type="pct"/>
            <w:tcBorders>
              <w:top w:val="outset" w:sz="6" w:space="0" w:color="414142"/>
              <w:left w:val="outset" w:sz="6" w:space="0" w:color="414142"/>
              <w:bottom w:val="outset" w:sz="6" w:space="0" w:color="414142"/>
              <w:right w:val="outset" w:sz="6" w:space="0" w:color="414142"/>
            </w:tcBorders>
            <w:hideMark/>
          </w:tcPr>
          <w:p w14:paraId="616BF0D5" w14:textId="77777777" w:rsidR="0045287B" w:rsidRPr="00122B5D" w:rsidRDefault="0045287B" w:rsidP="007D1D1B">
            <w:r w:rsidRPr="00122B5D">
              <w:t>Sabiedrības līdzdalības rezultāti</w:t>
            </w:r>
          </w:p>
        </w:tc>
        <w:tc>
          <w:tcPr>
            <w:tcW w:w="2942" w:type="pct"/>
            <w:tcBorders>
              <w:top w:val="outset" w:sz="6" w:space="0" w:color="414142"/>
              <w:left w:val="outset" w:sz="6" w:space="0" w:color="414142"/>
              <w:bottom w:val="outset" w:sz="6" w:space="0" w:color="414142"/>
              <w:right w:val="outset" w:sz="6" w:space="0" w:color="414142"/>
            </w:tcBorders>
          </w:tcPr>
          <w:p w14:paraId="0502F48C" w14:textId="4F6516C5" w:rsidR="0045287B" w:rsidRPr="00122B5D" w:rsidRDefault="00EA6F04" w:rsidP="00D64776">
            <w:pPr>
              <w:ind w:left="113" w:right="111"/>
              <w:jc w:val="both"/>
            </w:pPr>
            <w:r w:rsidRPr="00122B5D">
              <w:t>Partneru un ieinteresēto organizāciju izteiktie iebildumi un priekšlikumi analizēti un iestrādāti noteikumu projektā.</w:t>
            </w:r>
          </w:p>
        </w:tc>
      </w:tr>
      <w:tr w:rsidR="006E32DE" w:rsidRPr="00122B5D" w14:paraId="05A5BFB2" w14:textId="77777777" w:rsidTr="00945C71">
        <w:trPr>
          <w:trHeight w:val="465"/>
          <w:jc w:val="center"/>
        </w:trPr>
        <w:tc>
          <w:tcPr>
            <w:tcW w:w="541" w:type="pct"/>
            <w:tcBorders>
              <w:top w:val="outset" w:sz="6" w:space="0" w:color="414142"/>
              <w:left w:val="outset" w:sz="6" w:space="0" w:color="414142"/>
              <w:bottom w:val="outset" w:sz="6" w:space="0" w:color="414142"/>
              <w:right w:val="outset" w:sz="6" w:space="0" w:color="414142"/>
            </w:tcBorders>
            <w:hideMark/>
          </w:tcPr>
          <w:p w14:paraId="207FB4D4" w14:textId="77777777" w:rsidR="0045287B" w:rsidRPr="00122B5D" w:rsidRDefault="0045287B" w:rsidP="007D1D1B">
            <w:r w:rsidRPr="00122B5D">
              <w:t>4.</w:t>
            </w:r>
          </w:p>
        </w:tc>
        <w:tc>
          <w:tcPr>
            <w:tcW w:w="1517" w:type="pct"/>
            <w:tcBorders>
              <w:top w:val="outset" w:sz="6" w:space="0" w:color="414142"/>
              <w:left w:val="outset" w:sz="6" w:space="0" w:color="414142"/>
              <w:bottom w:val="outset" w:sz="6" w:space="0" w:color="414142"/>
              <w:right w:val="outset" w:sz="6" w:space="0" w:color="414142"/>
            </w:tcBorders>
            <w:hideMark/>
          </w:tcPr>
          <w:p w14:paraId="5E48F3DE" w14:textId="77777777" w:rsidR="0045287B" w:rsidRPr="00122B5D" w:rsidRDefault="0045287B" w:rsidP="007D1D1B">
            <w:r w:rsidRPr="00122B5D">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2FC07719" w14:textId="77777777" w:rsidR="0045287B" w:rsidRPr="00122B5D" w:rsidRDefault="0045287B" w:rsidP="00D71596">
            <w:pPr>
              <w:ind w:left="113" w:right="111"/>
              <w:jc w:val="both"/>
            </w:pPr>
            <w:r w:rsidRPr="00122B5D">
              <w:t>Nav.</w:t>
            </w:r>
          </w:p>
        </w:tc>
      </w:tr>
    </w:tbl>
    <w:p w14:paraId="42B7B953" w14:textId="77777777" w:rsidR="00EE7D7D" w:rsidRPr="00122B5D" w:rsidRDefault="00EE7D7D" w:rsidP="00983AF9">
      <w:pPr>
        <w:pStyle w:val="naisf"/>
        <w:tabs>
          <w:tab w:val="left" w:pos="5760"/>
        </w:tabs>
        <w:spacing w:before="0" w:after="0"/>
        <w:ind w:firstLine="0"/>
      </w:pPr>
    </w:p>
    <w:tbl>
      <w:tblPr>
        <w:tblW w:w="486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3"/>
        <w:gridCol w:w="2692"/>
        <w:gridCol w:w="5531"/>
      </w:tblGrid>
      <w:tr w:rsidR="006E32DE" w:rsidRPr="00122B5D" w14:paraId="41022876" w14:textId="77777777" w:rsidTr="008329A6">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D7EB2" w14:textId="77777777" w:rsidR="0045287B" w:rsidRPr="00122B5D" w:rsidRDefault="0045287B" w:rsidP="007D1D1B">
            <w:pPr>
              <w:spacing w:before="100" w:beforeAutospacing="1" w:after="100" w:afterAutospacing="1" w:line="293" w:lineRule="atLeast"/>
              <w:jc w:val="center"/>
              <w:rPr>
                <w:b/>
                <w:bCs/>
              </w:rPr>
            </w:pPr>
            <w:r w:rsidRPr="00122B5D">
              <w:rPr>
                <w:b/>
                <w:bCs/>
              </w:rPr>
              <w:t>VII. Tiesību akta projekta izpildes nodrošināšana un tās ietekme uz institūcijām</w:t>
            </w:r>
          </w:p>
        </w:tc>
      </w:tr>
      <w:tr w:rsidR="006E32DE" w:rsidRPr="00122B5D" w14:paraId="1A83B071" w14:textId="77777777" w:rsidTr="003E682F">
        <w:trPr>
          <w:trHeight w:val="420"/>
          <w:jc w:val="center"/>
        </w:trPr>
        <w:tc>
          <w:tcPr>
            <w:tcW w:w="336" w:type="pct"/>
            <w:tcBorders>
              <w:top w:val="outset" w:sz="6" w:space="0" w:color="414142"/>
              <w:left w:val="outset" w:sz="6" w:space="0" w:color="414142"/>
              <w:bottom w:val="outset" w:sz="6" w:space="0" w:color="414142"/>
              <w:right w:val="outset" w:sz="6" w:space="0" w:color="414142"/>
            </w:tcBorders>
            <w:hideMark/>
          </w:tcPr>
          <w:p w14:paraId="0AD720BF" w14:textId="77777777" w:rsidR="0045287B" w:rsidRPr="00122B5D" w:rsidRDefault="0045287B" w:rsidP="007D1D1B">
            <w:r w:rsidRPr="00122B5D">
              <w:t>1.</w:t>
            </w:r>
          </w:p>
        </w:tc>
        <w:tc>
          <w:tcPr>
            <w:tcW w:w="1527" w:type="pct"/>
            <w:tcBorders>
              <w:top w:val="outset" w:sz="6" w:space="0" w:color="414142"/>
              <w:left w:val="outset" w:sz="6" w:space="0" w:color="414142"/>
              <w:bottom w:val="outset" w:sz="6" w:space="0" w:color="414142"/>
              <w:right w:val="outset" w:sz="6" w:space="0" w:color="414142"/>
            </w:tcBorders>
            <w:hideMark/>
          </w:tcPr>
          <w:p w14:paraId="7A0FE5BF" w14:textId="77777777" w:rsidR="0045287B" w:rsidRPr="00122B5D" w:rsidRDefault="0045287B" w:rsidP="007D1D1B">
            <w:r w:rsidRPr="00122B5D">
              <w:t>Projekta izpildē iesaistītās institūcijas</w:t>
            </w:r>
          </w:p>
        </w:tc>
        <w:tc>
          <w:tcPr>
            <w:tcW w:w="3137" w:type="pct"/>
            <w:tcBorders>
              <w:top w:val="outset" w:sz="6" w:space="0" w:color="414142"/>
              <w:left w:val="outset" w:sz="6" w:space="0" w:color="414142"/>
              <w:bottom w:val="outset" w:sz="6" w:space="0" w:color="414142"/>
              <w:right w:val="outset" w:sz="6" w:space="0" w:color="414142"/>
            </w:tcBorders>
            <w:hideMark/>
          </w:tcPr>
          <w:p w14:paraId="4EEDD097" w14:textId="77777777" w:rsidR="004A3E61" w:rsidRPr="00122B5D" w:rsidRDefault="0045287B" w:rsidP="004A3E61">
            <w:pPr>
              <w:ind w:left="113" w:right="111"/>
              <w:jc w:val="both"/>
            </w:pPr>
            <w:r w:rsidRPr="00122B5D">
              <w:t>Izglītības un zinātnes ministrija</w:t>
            </w:r>
            <w:r w:rsidR="004A3E61" w:rsidRPr="00122B5D">
              <w:t xml:space="preserve"> kā atbildīgā iestāde.</w:t>
            </w:r>
          </w:p>
          <w:p w14:paraId="1468029B" w14:textId="77777777" w:rsidR="0086126C" w:rsidRPr="00122B5D" w:rsidRDefault="004A3E61" w:rsidP="004A3E61">
            <w:pPr>
              <w:ind w:left="113" w:right="111"/>
              <w:jc w:val="both"/>
            </w:pPr>
            <w:r w:rsidRPr="00122B5D">
              <w:t>A</w:t>
            </w:r>
            <w:r w:rsidR="004B5853" w:rsidRPr="00122B5D">
              <w:t>ģentūra</w:t>
            </w:r>
            <w:r w:rsidRPr="00122B5D">
              <w:t xml:space="preserve"> kā ES fondu finansējuma saņēmējs</w:t>
            </w:r>
            <w:r w:rsidR="0086126C" w:rsidRPr="00122B5D">
              <w:t>.</w:t>
            </w:r>
          </w:p>
          <w:p w14:paraId="7538AE4D" w14:textId="77777777" w:rsidR="0045287B" w:rsidRPr="00122B5D" w:rsidRDefault="0086126C" w:rsidP="007B044F">
            <w:pPr>
              <w:ind w:left="113" w:right="111"/>
              <w:jc w:val="both"/>
            </w:pPr>
            <w:r w:rsidRPr="00122B5D">
              <w:t>P</w:t>
            </w:r>
            <w:r w:rsidR="004A3E61" w:rsidRPr="00122B5D">
              <w:t xml:space="preserve">ētniecības pieteikumu iesniedzēji – </w:t>
            </w:r>
            <w:r w:rsidR="00260FB6" w:rsidRPr="00122B5D">
              <w:t xml:space="preserve">Zinātnisko institūciju reģistrā reģistrētas </w:t>
            </w:r>
            <w:r w:rsidR="004A3E61" w:rsidRPr="00122B5D">
              <w:t>zinātniskās instit</w:t>
            </w:r>
            <w:r w:rsidRPr="00122B5D">
              <w:t xml:space="preserve">ūcijas un </w:t>
            </w:r>
            <w:r w:rsidR="004A3E61" w:rsidRPr="00122B5D">
              <w:t xml:space="preserve">Latvijas Republikas Uzņēmumu reģistrā reģistrēti komersanti – kā </w:t>
            </w:r>
            <w:r w:rsidR="007B044F" w:rsidRPr="00122B5D">
              <w:t>pētniecības pieteikumu īstenotāji.</w:t>
            </w:r>
          </w:p>
        </w:tc>
      </w:tr>
      <w:tr w:rsidR="006E32DE" w:rsidRPr="00122B5D" w14:paraId="62C5BA66" w14:textId="77777777" w:rsidTr="003E682F">
        <w:trPr>
          <w:trHeight w:val="450"/>
          <w:jc w:val="center"/>
        </w:trPr>
        <w:tc>
          <w:tcPr>
            <w:tcW w:w="336" w:type="pct"/>
            <w:tcBorders>
              <w:top w:val="outset" w:sz="6" w:space="0" w:color="414142"/>
              <w:left w:val="outset" w:sz="6" w:space="0" w:color="414142"/>
              <w:bottom w:val="outset" w:sz="6" w:space="0" w:color="414142"/>
              <w:right w:val="outset" w:sz="6" w:space="0" w:color="414142"/>
            </w:tcBorders>
            <w:hideMark/>
          </w:tcPr>
          <w:p w14:paraId="4914AB41" w14:textId="77777777" w:rsidR="0045287B" w:rsidRPr="00122B5D" w:rsidRDefault="0045287B" w:rsidP="007D1D1B">
            <w:r w:rsidRPr="00122B5D">
              <w:t>2.</w:t>
            </w:r>
          </w:p>
        </w:tc>
        <w:tc>
          <w:tcPr>
            <w:tcW w:w="1527" w:type="pct"/>
            <w:tcBorders>
              <w:top w:val="outset" w:sz="6" w:space="0" w:color="414142"/>
              <w:left w:val="outset" w:sz="6" w:space="0" w:color="414142"/>
              <w:bottom w:val="outset" w:sz="6" w:space="0" w:color="414142"/>
              <w:right w:val="outset" w:sz="6" w:space="0" w:color="414142"/>
            </w:tcBorders>
            <w:hideMark/>
          </w:tcPr>
          <w:p w14:paraId="38FAAC0A" w14:textId="77777777" w:rsidR="0045287B" w:rsidRPr="00122B5D" w:rsidRDefault="0045287B" w:rsidP="007D1D1B">
            <w:r w:rsidRPr="00122B5D">
              <w:t>Projekta izpildes ietekme uz pārvaldes funkcijām un institucionālo struktūru.</w:t>
            </w:r>
          </w:p>
          <w:p w14:paraId="03A6C3CB" w14:textId="77777777" w:rsidR="0045287B" w:rsidRPr="00122B5D" w:rsidRDefault="0045287B" w:rsidP="007D1D1B">
            <w:pPr>
              <w:spacing w:before="100" w:beforeAutospacing="1" w:after="100" w:afterAutospacing="1" w:line="293" w:lineRule="atLeast"/>
            </w:pPr>
            <w:r w:rsidRPr="00122B5D">
              <w:t xml:space="preserve">Jaunu institūciju izveide, esošu institūciju likvidācija </w:t>
            </w:r>
            <w:r w:rsidRPr="00122B5D">
              <w:lastRenderedPageBreak/>
              <w:t>vai reorganizācija, to ietekme uz institūcijas cilvēkresursiem</w:t>
            </w:r>
          </w:p>
        </w:tc>
        <w:tc>
          <w:tcPr>
            <w:tcW w:w="3137" w:type="pct"/>
            <w:tcBorders>
              <w:top w:val="outset" w:sz="6" w:space="0" w:color="414142"/>
              <w:left w:val="outset" w:sz="6" w:space="0" w:color="414142"/>
              <w:bottom w:val="outset" w:sz="6" w:space="0" w:color="414142"/>
              <w:right w:val="outset" w:sz="6" w:space="0" w:color="414142"/>
            </w:tcBorders>
            <w:hideMark/>
          </w:tcPr>
          <w:p w14:paraId="2FB1F327" w14:textId="77777777" w:rsidR="0045287B" w:rsidRPr="00122B5D" w:rsidRDefault="002D6152" w:rsidP="00D71596">
            <w:pPr>
              <w:ind w:left="113" w:right="111"/>
              <w:jc w:val="both"/>
            </w:pPr>
            <w:r w:rsidRPr="00122B5D">
              <w:lastRenderedPageBreak/>
              <w:t>Netiek paplašinātas vai sašaurinātas esošo institūciju funkcijas, kā arī nav plānota jaunu institūciju izveide, esošo institūciju likvidācija vai reorganizācija.</w:t>
            </w:r>
          </w:p>
          <w:p w14:paraId="58C9DFAE" w14:textId="77777777" w:rsidR="000B2B02" w:rsidRPr="00122B5D" w:rsidRDefault="000B2B02" w:rsidP="00D71596">
            <w:pPr>
              <w:ind w:left="113" w:right="111"/>
              <w:jc w:val="both"/>
            </w:pPr>
          </w:p>
          <w:p w14:paraId="5396FF1C" w14:textId="77777777" w:rsidR="000B2B02" w:rsidRPr="00122B5D" w:rsidRDefault="000B2B02" w:rsidP="00D71596">
            <w:pPr>
              <w:ind w:left="113" w:right="111"/>
              <w:jc w:val="both"/>
            </w:pPr>
            <w:r w:rsidRPr="00122B5D">
              <w:rPr>
                <w:iCs/>
              </w:rPr>
              <w:t>Projekta izpilde nodrošināma pieejamo cilvēkresursu ietvaros.</w:t>
            </w:r>
          </w:p>
        </w:tc>
      </w:tr>
      <w:tr w:rsidR="006E32DE" w:rsidRPr="00122B5D" w14:paraId="6682453B" w14:textId="77777777" w:rsidTr="003E682F">
        <w:trPr>
          <w:trHeight w:val="390"/>
          <w:jc w:val="center"/>
        </w:trPr>
        <w:tc>
          <w:tcPr>
            <w:tcW w:w="336" w:type="pct"/>
            <w:tcBorders>
              <w:top w:val="outset" w:sz="6" w:space="0" w:color="414142"/>
              <w:left w:val="outset" w:sz="6" w:space="0" w:color="414142"/>
              <w:bottom w:val="outset" w:sz="6" w:space="0" w:color="414142"/>
              <w:right w:val="outset" w:sz="6" w:space="0" w:color="414142"/>
            </w:tcBorders>
            <w:hideMark/>
          </w:tcPr>
          <w:p w14:paraId="568CC41A" w14:textId="77777777" w:rsidR="0045287B" w:rsidRPr="00122B5D" w:rsidRDefault="0045287B" w:rsidP="007D1D1B">
            <w:r w:rsidRPr="00122B5D">
              <w:t>3.</w:t>
            </w:r>
          </w:p>
        </w:tc>
        <w:tc>
          <w:tcPr>
            <w:tcW w:w="1527" w:type="pct"/>
            <w:tcBorders>
              <w:top w:val="outset" w:sz="6" w:space="0" w:color="414142"/>
              <w:left w:val="outset" w:sz="6" w:space="0" w:color="414142"/>
              <w:bottom w:val="outset" w:sz="6" w:space="0" w:color="414142"/>
              <w:right w:val="outset" w:sz="6" w:space="0" w:color="414142"/>
            </w:tcBorders>
            <w:hideMark/>
          </w:tcPr>
          <w:p w14:paraId="714C0C9B" w14:textId="77777777" w:rsidR="0045287B" w:rsidRPr="00122B5D" w:rsidRDefault="0045287B" w:rsidP="007D1D1B">
            <w:r w:rsidRPr="00122B5D">
              <w:t>Cita informācija</w:t>
            </w:r>
          </w:p>
        </w:tc>
        <w:tc>
          <w:tcPr>
            <w:tcW w:w="3137" w:type="pct"/>
            <w:tcBorders>
              <w:top w:val="outset" w:sz="6" w:space="0" w:color="414142"/>
              <w:left w:val="outset" w:sz="6" w:space="0" w:color="414142"/>
              <w:bottom w:val="outset" w:sz="6" w:space="0" w:color="414142"/>
              <w:right w:val="outset" w:sz="6" w:space="0" w:color="414142"/>
            </w:tcBorders>
            <w:hideMark/>
          </w:tcPr>
          <w:p w14:paraId="0D8C9D7C" w14:textId="77777777" w:rsidR="0045287B" w:rsidRPr="00122B5D" w:rsidRDefault="0045287B" w:rsidP="00D71596">
            <w:pPr>
              <w:ind w:left="113" w:right="111"/>
              <w:jc w:val="both"/>
            </w:pPr>
            <w:r w:rsidRPr="00122B5D">
              <w:t>Nav.</w:t>
            </w:r>
          </w:p>
        </w:tc>
      </w:tr>
    </w:tbl>
    <w:p w14:paraId="2EA6E890" w14:textId="77777777" w:rsidR="00E14693" w:rsidRPr="00122B5D" w:rsidRDefault="00E14693" w:rsidP="0058090B">
      <w:pPr>
        <w:pStyle w:val="naislab"/>
        <w:spacing w:before="0" w:after="0"/>
        <w:ind w:firstLine="567"/>
        <w:jc w:val="both"/>
        <w:outlineLvl w:val="0"/>
      </w:pPr>
    </w:p>
    <w:p w14:paraId="5434A704" w14:textId="77777777" w:rsidR="0023642B" w:rsidRPr="00122B5D" w:rsidRDefault="0023642B" w:rsidP="0023642B">
      <w:pPr>
        <w:jc w:val="center"/>
        <w:rPr>
          <w:b/>
        </w:rPr>
      </w:pPr>
    </w:p>
    <w:p w14:paraId="02F821F8" w14:textId="77777777" w:rsidR="0045287B" w:rsidRPr="00122B5D" w:rsidRDefault="0045287B" w:rsidP="00963AF1">
      <w:pPr>
        <w:pStyle w:val="BodyTextIndent"/>
        <w:spacing w:after="0"/>
        <w:ind w:left="0"/>
        <w:jc w:val="both"/>
        <w:rPr>
          <w:rFonts w:ascii="Times New Roman" w:hAnsi="Times New Roman"/>
          <w:bCs/>
          <w:sz w:val="24"/>
          <w:szCs w:val="24"/>
          <w:lang w:val="lv-LV"/>
        </w:rPr>
      </w:pPr>
    </w:p>
    <w:p w14:paraId="043BCE96" w14:textId="77777777" w:rsidR="000B3F5F" w:rsidRPr="00122B5D" w:rsidRDefault="000B3F5F" w:rsidP="000B3F5F">
      <w:pPr>
        <w:spacing w:line="252" w:lineRule="auto"/>
        <w:ind w:left="567"/>
        <w:jc w:val="both"/>
      </w:pPr>
      <w:r w:rsidRPr="00122B5D">
        <w:t>Izglītības un zinātnes ministre</w:t>
      </w:r>
      <w:r w:rsidRPr="00122B5D">
        <w:tab/>
      </w:r>
      <w:r w:rsidRPr="00122B5D">
        <w:tab/>
      </w:r>
      <w:r w:rsidRPr="00122B5D">
        <w:tab/>
      </w:r>
      <w:r w:rsidRPr="00122B5D">
        <w:tab/>
      </w:r>
      <w:r w:rsidRPr="00122B5D">
        <w:tab/>
        <w:t>I</w:t>
      </w:r>
      <w:r w:rsidR="000B2B02" w:rsidRPr="00122B5D">
        <w:t>lga</w:t>
      </w:r>
      <w:r w:rsidRPr="00122B5D">
        <w:t> Šuplinska</w:t>
      </w:r>
    </w:p>
    <w:p w14:paraId="0570F969" w14:textId="77777777" w:rsidR="0045287B" w:rsidRPr="00122B5D" w:rsidRDefault="0045287B" w:rsidP="0045287B">
      <w:pPr>
        <w:spacing w:line="252" w:lineRule="auto"/>
        <w:jc w:val="both"/>
      </w:pPr>
    </w:p>
    <w:p w14:paraId="5A1CDBFE" w14:textId="77777777" w:rsidR="0023642B" w:rsidRPr="00122B5D" w:rsidRDefault="0023642B" w:rsidP="0045287B">
      <w:pPr>
        <w:spacing w:line="252" w:lineRule="auto"/>
        <w:jc w:val="both"/>
      </w:pPr>
    </w:p>
    <w:p w14:paraId="20308C53" w14:textId="77777777" w:rsidR="0023642B" w:rsidRPr="00122B5D" w:rsidRDefault="0023642B" w:rsidP="0045287B">
      <w:pPr>
        <w:spacing w:line="252" w:lineRule="auto"/>
        <w:jc w:val="both"/>
      </w:pPr>
    </w:p>
    <w:p w14:paraId="01841211" w14:textId="77777777" w:rsidR="0045287B" w:rsidRPr="00122B5D" w:rsidRDefault="0045287B" w:rsidP="0045287B">
      <w:pPr>
        <w:pStyle w:val="naisf"/>
        <w:spacing w:before="0" w:after="0" w:line="252" w:lineRule="auto"/>
        <w:ind w:firstLine="567"/>
      </w:pPr>
      <w:r w:rsidRPr="00122B5D">
        <w:t xml:space="preserve">Vīza: </w:t>
      </w:r>
    </w:p>
    <w:p w14:paraId="42B5B559" w14:textId="77777777" w:rsidR="0045287B" w:rsidRPr="00122B5D" w:rsidRDefault="00D04DB1" w:rsidP="0045287B">
      <w:pPr>
        <w:spacing w:line="252" w:lineRule="auto"/>
        <w:ind w:left="567"/>
        <w:jc w:val="both"/>
      </w:pPr>
      <w:r w:rsidRPr="00122B5D">
        <w:t>Valsts sekretāre</w:t>
      </w:r>
      <w:r w:rsidRPr="00122B5D">
        <w:tab/>
      </w:r>
      <w:r w:rsidRPr="00122B5D">
        <w:tab/>
      </w:r>
      <w:r w:rsidRPr="00122B5D">
        <w:tab/>
      </w:r>
      <w:r w:rsidRPr="00122B5D">
        <w:tab/>
      </w:r>
      <w:r w:rsidRPr="00122B5D">
        <w:tab/>
      </w:r>
      <w:r w:rsidR="000B3F5F" w:rsidRPr="00122B5D">
        <w:tab/>
      </w:r>
      <w:r w:rsidR="000B3F5F" w:rsidRPr="00122B5D">
        <w:tab/>
      </w:r>
      <w:r w:rsidR="0045287B" w:rsidRPr="00122B5D">
        <w:t>L</w:t>
      </w:r>
      <w:r w:rsidR="000B2B02" w:rsidRPr="00122B5D">
        <w:t>īga</w:t>
      </w:r>
      <w:r w:rsidR="0045287B" w:rsidRPr="00122B5D">
        <w:t xml:space="preserve"> Lejiņa</w:t>
      </w:r>
    </w:p>
    <w:p w14:paraId="4FFAE063" w14:textId="77777777" w:rsidR="0023642B" w:rsidRPr="00122B5D" w:rsidRDefault="0023642B" w:rsidP="00A93B2A">
      <w:pPr>
        <w:tabs>
          <w:tab w:val="left" w:pos="2091"/>
        </w:tabs>
      </w:pPr>
    </w:p>
    <w:p w14:paraId="667F1F16" w14:textId="77777777" w:rsidR="0023642B" w:rsidRPr="00122B5D" w:rsidRDefault="0023642B" w:rsidP="00A93B2A">
      <w:pPr>
        <w:tabs>
          <w:tab w:val="left" w:pos="2091"/>
        </w:tabs>
      </w:pPr>
    </w:p>
    <w:p w14:paraId="35D88920" w14:textId="77777777" w:rsidR="0023642B" w:rsidRPr="00122B5D" w:rsidRDefault="0023642B" w:rsidP="00A93B2A">
      <w:pPr>
        <w:tabs>
          <w:tab w:val="left" w:pos="2091"/>
        </w:tabs>
      </w:pPr>
    </w:p>
    <w:p w14:paraId="4F116D50" w14:textId="77777777" w:rsidR="0023642B" w:rsidRPr="00122B5D" w:rsidRDefault="0023642B" w:rsidP="00A93B2A">
      <w:pPr>
        <w:tabs>
          <w:tab w:val="left" w:pos="2091"/>
        </w:tabs>
      </w:pPr>
    </w:p>
    <w:p w14:paraId="6A9B63FC" w14:textId="77777777" w:rsidR="00F95C15" w:rsidRPr="00122B5D" w:rsidRDefault="00F95C15" w:rsidP="00F95C15">
      <w:pPr>
        <w:jc w:val="both"/>
        <w:rPr>
          <w:rFonts w:eastAsia="Calibri"/>
          <w:sz w:val="20"/>
          <w:szCs w:val="20"/>
          <w:lang w:eastAsia="en-US"/>
        </w:rPr>
      </w:pPr>
      <w:r w:rsidRPr="00122B5D">
        <w:rPr>
          <w:rFonts w:eastAsia="Calibri"/>
          <w:sz w:val="20"/>
          <w:szCs w:val="20"/>
          <w:lang w:eastAsia="en-US"/>
        </w:rPr>
        <w:t>A.</w:t>
      </w:r>
      <w:r w:rsidR="00A9783A" w:rsidRPr="00122B5D">
        <w:rPr>
          <w:rFonts w:eastAsia="Calibri"/>
          <w:sz w:val="20"/>
          <w:szCs w:val="20"/>
          <w:lang w:eastAsia="en-US"/>
        </w:rPr>
        <w:t> </w:t>
      </w:r>
      <w:r w:rsidRPr="00122B5D">
        <w:rPr>
          <w:rFonts w:eastAsia="Calibri"/>
          <w:sz w:val="20"/>
          <w:szCs w:val="20"/>
          <w:lang w:eastAsia="en-US"/>
        </w:rPr>
        <w:t>Žilinska, 67047897</w:t>
      </w:r>
    </w:p>
    <w:p w14:paraId="6657B727" w14:textId="77777777" w:rsidR="00F95C15" w:rsidRPr="00122B5D" w:rsidRDefault="00A83C48" w:rsidP="00980348">
      <w:pPr>
        <w:jc w:val="both"/>
        <w:rPr>
          <w:rFonts w:eastAsia="Calibri"/>
          <w:sz w:val="20"/>
          <w:szCs w:val="20"/>
          <w:lang w:eastAsia="en-US"/>
        </w:rPr>
      </w:pPr>
      <w:hyperlink r:id="rId14" w:history="1">
        <w:r w:rsidR="00F95C15" w:rsidRPr="00122B5D">
          <w:rPr>
            <w:rFonts w:eastAsia="Calibri"/>
            <w:sz w:val="20"/>
            <w:szCs w:val="20"/>
            <w:lang w:eastAsia="en-US"/>
          </w:rPr>
          <w:t>Antra.Zilinska@izm.gov.lv</w:t>
        </w:r>
      </w:hyperlink>
    </w:p>
    <w:sectPr w:rsidR="00F95C15" w:rsidRPr="00122B5D" w:rsidSect="008329A6">
      <w:headerReference w:type="even" r:id="rId15"/>
      <w:headerReference w:type="default" r:id="rId16"/>
      <w:footerReference w:type="defaul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8AE5" w14:textId="77777777" w:rsidR="00A83C48" w:rsidRDefault="00A83C48">
      <w:r>
        <w:separator/>
      </w:r>
    </w:p>
  </w:endnote>
  <w:endnote w:type="continuationSeparator" w:id="0">
    <w:p w14:paraId="6DEDF664" w14:textId="77777777" w:rsidR="00A83C48" w:rsidRDefault="00A8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72E5" w14:textId="71737502" w:rsidR="0051649E" w:rsidRPr="00AE5442" w:rsidRDefault="0051649E" w:rsidP="0023642B">
    <w:pPr>
      <w:jc w:val="both"/>
      <w:rPr>
        <w:sz w:val="20"/>
        <w:szCs w:val="20"/>
      </w:rPr>
    </w:pPr>
    <w:r w:rsidRPr="00AE5442">
      <w:rPr>
        <w:sz w:val="20"/>
        <w:szCs w:val="20"/>
      </w:rPr>
      <w:t>IZMAnot_</w:t>
    </w:r>
    <w:r w:rsidR="00974369">
      <w:rPr>
        <w:sz w:val="20"/>
        <w:szCs w:val="20"/>
      </w:rPr>
      <w:t>1</w:t>
    </w:r>
    <w:r w:rsidR="009F2F2F">
      <w:rPr>
        <w:sz w:val="20"/>
        <w:szCs w:val="20"/>
      </w:rPr>
      <w:t>5</w:t>
    </w:r>
    <w:r w:rsidR="00D512F1">
      <w:rPr>
        <w:sz w:val="20"/>
        <w:szCs w:val="20"/>
      </w:rPr>
      <w:t>03</w:t>
    </w:r>
    <w:r>
      <w:rPr>
        <w:sz w:val="20"/>
        <w:szCs w:val="20"/>
      </w:rPr>
      <w:t>19</w:t>
    </w:r>
    <w:r w:rsidRPr="00AE5442">
      <w:rPr>
        <w:sz w:val="20"/>
        <w:szCs w:val="20"/>
      </w:rPr>
      <w:t>_groz50</w:t>
    </w:r>
    <w:r>
      <w:rPr>
        <w:sz w:val="20"/>
        <w:szCs w:val="20"/>
      </w:rPr>
      <w:t>_1112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C419" w14:textId="06497F53" w:rsidR="0051649E" w:rsidRPr="00AE5442" w:rsidRDefault="0051649E" w:rsidP="0023642B">
    <w:pPr>
      <w:jc w:val="both"/>
      <w:rPr>
        <w:sz w:val="20"/>
        <w:szCs w:val="20"/>
      </w:rPr>
    </w:pPr>
    <w:r w:rsidRPr="00AE5442">
      <w:rPr>
        <w:sz w:val="20"/>
        <w:szCs w:val="20"/>
      </w:rPr>
      <w:t>IZMAnot_</w:t>
    </w:r>
    <w:r w:rsidR="00974369">
      <w:rPr>
        <w:sz w:val="20"/>
        <w:szCs w:val="20"/>
      </w:rPr>
      <w:t>1</w:t>
    </w:r>
    <w:r w:rsidR="009F2F2F">
      <w:rPr>
        <w:sz w:val="20"/>
        <w:szCs w:val="20"/>
      </w:rPr>
      <w:t>5</w:t>
    </w:r>
    <w:r w:rsidR="00D512F1">
      <w:rPr>
        <w:sz w:val="20"/>
        <w:szCs w:val="20"/>
      </w:rPr>
      <w:t>03</w:t>
    </w:r>
    <w:r>
      <w:rPr>
        <w:sz w:val="20"/>
        <w:szCs w:val="20"/>
      </w:rPr>
      <w:t>19</w:t>
    </w:r>
    <w:r w:rsidRPr="00AE5442">
      <w:rPr>
        <w:sz w:val="20"/>
        <w:szCs w:val="20"/>
      </w:rPr>
      <w:t>_groz50</w:t>
    </w:r>
    <w:r>
      <w:rPr>
        <w:sz w:val="20"/>
        <w:szCs w:val="20"/>
      </w:rPr>
      <w:t>_1112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80F4" w14:textId="77777777" w:rsidR="00A83C48" w:rsidRDefault="00A83C48">
      <w:r>
        <w:separator/>
      </w:r>
    </w:p>
  </w:footnote>
  <w:footnote w:type="continuationSeparator" w:id="0">
    <w:p w14:paraId="665AC1E5" w14:textId="77777777" w:rsidR="00A83C48" w:rsidRDefault="00A83C48">
      <w:r>
        <w:continuationSeparator/>
      </w:r>
    </w:p>
  </w:footnote>
  <w:footnote w:id="1">
    <w:p w14:paraId="55CAA725" w14:textId="77777777" w:rsidR="0051649E" w:rsidRDefault="0051649E">
      <w:pPr>
        <w:pStyle w:val="FootnoteText"/>
      </w:pPr>
      <w:r>
        <w:rPr>
          <w:rStyle w:val="FootnoteReference"/>
        </w:rPr>
        <w:footnoteRef/>
      </w:r>
      <w:r>
        <w:t xml:space="preserve"> PĀRSKATS par Latvijas augstāko izglītību 2017.gadā, pieejams: </w:t>
      </w:r>
      <w:hyperlink r:id="rId1" w:history="1">
        <w:r w:rsidRPr="00AB5A83">
          <w:rPr>
            <w:rStyle w:val="Hyperlink"/>
          </w:rPr>
          <w:t>http://www.izm.gov.lv/images/izglitiba_augst/Parskats-par-Latvijas-augstako-izglitibu-2017gada.pdf</w:t>
        </w:r>
      </w:hyperlink>
    </w:p>
  </w:footnote>
  <w:footnote w:id="2">
    <w:p w14:paraId="73D815DC" w14:textId="695AFDA2" w:rsidR="0051649E" w:rsidRDefault="0051649E">
      <w:pPr>
        <w:pStyle w:val="FootnoteText"/>
      </w:pPr>
      <w:r>
        <w:rPr>
          <w:rStyle w:val="FootnoteReference"/>
        </w:rPr>
        <w:footnoteRef/>
      </w:r>
      <w:r>
        <w:t xml:space="preserve"> Pieejams: </w:t>
      </w:r>
      <w:r w:rsidRPr="00CF6AFD">
        <w:t>https://eur-lex.europa.eu/legal-content/LV/TXT/PDF/?uri=CELEX:32013R1301&amp;from=LV</w:t>
      </w:r>
    </w:p>
  </w:footnote>
  <w:footnote w:id="3">
    <w:p w14:paraId="5A7B1F7D" w14:textId="77777777" w:rsidR="0051649E" w:rsidRDefault="0051649E" w:rsidP="00183BFE">
      <w:pPr>
        <w:pStyle w:val="FootnoteText"/>
        <w:jc w:val="both"/>
      </w:pPr>
      <w:r>
        <w:rPr>
          <w:rStyle w:val="FootnoteReference"/>
        </w:rPr>
        <w:footnoteRef/>
      </w:r>
      <w:r>
        <w:t xml:space="preserve"> </w:t>
      </w:r>
      <w:r w:rsidRPr="004F4C79">
        <w:t>Ministru kabineta 201</w:t>
      </w:r>
      <w:r>
        <w:t>3. gada 12. novembra noteikumi</w:t>
      </w:r>
      <w:r w:rsidRPr="004F4C79">
        <w:t xml:space="preserve"> Nr. 1316 "Kārtība, kādā aprēķina un piešķir bāzes finansējumu zinātniskajām institūcijām"</w:t>
      </w:r>
      <w:r>
        <w:t xml:space="preserve">. Pieejami: </w:t>
      </w:r>
      <w:hyperlink r:id="rId2" w:history="1">
        <w:r w:rsidRPr="002E66B0">
          <w:rPr>
            <w:rStyle w:val="Hyperlink"/>
          </w:rPr>
          <w:t>https://likumi.lv/ta/id/262508-kartiba-kada-aprekina-un-pieskir-bazes-finansejumu-zinatniskajam-institucijam</w:t>
        </w:r>
      </w:hyperlink>
    </w:p>
  </w:footnote>
  <w:footnote w:id="4">
    <w:p w14:paraId="4073F193" w14:textId="77777777" w:rsidR="0051649E" w:rsidRDefault="0051649E" w:rsidP="00A962E0">
      <w:pPr>
        <w:pStyle w:val="FootnoteText"/>
        <w:jc w:val="both"/>
      </w:pPr>
      <w:r>
        <w:rPr>
          <w:rStyle w:val="FootnoteReference"/>
        </w:rPr>
        <w:footnoteRef/>
      </w:r>
      <w:r>
        <w:t xml:space="preserve"> Privātais līdzfinansējums - </w:t>
      </w:r>
      <w:r w:rsidRPr="00A962E0">
        <w:t>pētniecības pieteikuma iesniedzēja rīcībā esoši līdzekļi vai kredītresursu līdzekļi un citi finanšu resursi, par kuriem nav saņemts nekāds publiskais atbalsts, tai skaitā nav saņemts nekāds valsts vai pašvaldību galvojums vai valsts vai pašvaldības kredīts uz atvieglojuma nosacījumiem.</w:t>
      </w:r>
    </w:p>
  </w:footnote>
  <w:footnote w:id="5">
    <w:p w14:paraId="3B077536" w14:textId="77777777" w:rsidR="0051649E" w:rsidRDefault="0051649E" w:rsidP="003A51D3">
      <w:pPr>
        <w:pStyle w:val="FootnoteText"/>
        <w:jc w:val="both"/>
      </w:pPr>
      <w:r>
        <w:rPr>
          <w:rStyle w:val="FootnoteReference"/>
        </w:rPr>
        <w:footnoteRef/>
      </w:r>
      <w:r>
        <w:t xml:space="preserve"> P</w:t>
      </w:r>
      <w:r w:rsidRPr="005C044A">
        <w:t>ētniecības pieteikuma vidusposms tiek noteikts atbilstoši pētniecības pieteikuma plānoto aktivitāšu un darbību īstenošanas laika grafikam, kā arī ievērojot plānoto starprezultātu sasniegšanas laiku pētniecības pieteikuma ietvaros.</w:t>
      </w:r>
    </w:p>
  </w:footnote>
  <w:footnote w:id="6">
    <w:p w14:paraId="2828662B" w14:textId="77777777" w:rsidR="0051649E" w:rsidRPr="00A56935" w:rsidRDefault="0051649E" w:rsidP="00A56935">
      <w:pPr>
        <w:pStyle w:val="FootnoteText"/>
        <w:jc w:val="both"/>
        <w:rPr>
          <w:sz w:val="24"/>
          <w:szCs w:val="24"/>
        </w:rPr>
      </w:pPr>
      <w:r w:rsidRPr="00A56935">
        <w:rPr>
          <w:rStyle w:val="FootnoteReference"/>
          <w:sz w:val="24"/>
          <w:szCs w:val="24"/>
        </w:rPr>
        <w:footnoteRef/>
      </w:r>
      <w:r w:rsidRPr="00A56935">
        <w:rPr>
          <w:sz w:val="24"/>
          <w:szCs w:val="24"/>
        </w:rPr>
        <w:t xml:space="preserve"> </w:t>
      </w:r>
      <w:r w:rsidRPr="00A56935">
        <w:t>Pētniecības pieteikumu 1. atlases kārta tika izsludināta 15.09.2016.</w:t>
      </w:r>
      <w:r>
        <w:t xml:space="preserve">, savukārt 2. atlases kārta tika izsludināta </w:t>
      </w:r>
      <w:r w:rsidRPr="00A56935">
        <w:t>2018. gada 5. februārī</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90DF" w14:textId="77777777" w:rsidR="0051649E" w:rsidRDefault="0051649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A7E5F" w14:textId="77777777" w:rsidR="0051649E" w:rsidRDefault="00516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46D7" w14:textId="77777777" w:rsidR="0051649E" w:rsidRDefault="0051649E">
    <w:pPr>
      <w:pStyle w:val="Header"/>
      <w:jc w:val="center"/>
    </w:pPr>
    <w:r>
      <w:fldChar w:fldCharType="begin"/>
    </w:r>
    <w:r>
      <w:instrText xml:space="preserve"> PAGE   \* MERGEFORMAT </w:instrText>
    </w:r>
    <w:r>
      <w:fldChar w:fldCharType="separate"/>
    </w:r>
    <w:r w:rsidR="002F27F9">
      <w:rPr>
        <w:noProof/>
      </w:rPr>
      <w:t>18</w:t>
    </w:r>
    <w:r>
      <w:rPr>
        <w:noProof/>
      </w:rPr>
      <w:fldChar w:fldCharType="end"/>
    </w:r>
  </w:p>
  <w:p w14:paraId="25EC7708" w14:textId="77777777" w:rsidR="0051649E" w:rsidRPr="00AE5442" w:rsidRDefault="0051649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AE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35E4A"/>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 w15:restartNumberingAfterBreak="0">
    <w:nsid w:val="09A41089"/>
    <w:multiLevelType w:val="hybridMultilevel"/>
    <w:tmpl w:val="0C9ACC18"/>
    <w:lvl w:ilvl="0" w:tplc="A030014E">
      <w:start w:val="2016"/>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2802"/>
    <w:multiLevelType w:val="hybridMultilevel"/>
    <w:tmpl w:val="A5400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E95CA5"/>
    <w:multiLevelType w:val="hybridMultilevel"/>
    <w:tmpl w:val="BE846F6E"/>
    <w:lvl w:ilvl="0" w:tplc="024A0C00">
      <w:start w:val="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1C3E1C9F"/>
    <w:multiLevelType w:val="hybridMultilevel"/>
    <w:tmpl w:val="3C3C5126"/>
    <w:lvl w:ilvl="0" w:tplc="64E889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B0A66"/>
    <w:multiLevelType w:val="hybridMultilevel"/>
    <w:tmpl w:val="31B44AE6"/>
    <w:lvl w:ilvl="0" w:tplc="04260005">
      <w:start w:val="1"/>
      <w:numFmt w:val="bullet"/>
      <w:lvlText w:val=""/>
      <w:lvlJc w:val="left"/>
      <w:pPr>
        <w:ind w:left="1069" w:hanging="360"/>
      </w:pPr>
      <w:rPr>
        <w:rFonts w:ascii="Wingdings" w:hAnsi="Wingdings"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92722"/>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8" w15:restartNumberingAfterBreak="0">
    <w:nsid w:val="272B4695"/>
    <w:multiLevelType w:val="hybridMultilevel"/>
    <w:tmpl w:val="A08C85D8"/>
    <w:lvl w:ilvl="0" w:tplc="4738B1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4498"/>
    <w:multiLevelType w:val="hybridMultilevel"/>
    <w:tmpl w:val="4510FF38"/>
    <w:lvl w:ilvl="0" w:tplc="B92C73C4">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2D43"/>
    <w:multiLevelType w:val="hybridMultilevel"/>
    <w:tmpl w:val="38B61BAE"/>
    <w:lvl w:ilvl="0" w:tplc="A030014E">
      <w:start w:val="2016"/>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8415C"/>
    <w:multiLevelType w:val="hybridMultilevel"/>
    <w:tmpl w:val="415CBF30"/>
    <w:lvl w:ilvl="0" w:tplc="B54CA06E">
      <w:start w:val="3"/>
      <w:numFmt w:val="bullet"/>
      <w:lvlText w:val="-"/>
      <w:lvlJc w:val="left"/>
      <w:pPr>
        <w:ind w:left="472" w:hanging="360"/>
      </w:pPr>
      <w:rPr>
        <w:rFonts w:ascii="Times New Roman" w:eastAsia="Times New Roman" w:hAnsi="Times New Roman" w:cs="Times New Roman"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3"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8C1030"/>
    <w:multiLevelType w:val="hybridMultilevel"/>
    <w:tmpl w:val="E390B1BC"/>
    <w:lvl w:ilvl="0" w:tplc="DB029B5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65552E13"/>
    <w:multiLevelType w:val="hybridMultilevel"/>
    <w:tmpl w:val="3C32B38C"/>
    <w:lvl w:ilvl="0" w:tplc="CA30502C">
      <w:start w:val="1"/>
      <w:numFmt w:val="decimal"/>
      <w:lvlText w:val="%1)"/>
      <w:lvlJc w:val="left"/>
      <w:pPr>
        <w:ind w:left="592" w:hanging="48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6" w15:restartNumberingAfterBreak="0">
    <w:nsid w:val="6CFC4FC5"/>
    <w:multiLevelType w:val="hybridMultilevel"/>
    <w:tmpl w:val="0BF034BE"/>
    <w:lvl w:ilvl="0" w:tplc="C2F8612E">
      <w:start w:val="1"/>
      <w:numFmt w:val="decimal"/>
      <w:lvlText w:val="%1."/>
      <w:lvlJc w:val="left"/>
      <w:pPr>
        <w:ind w:left="464" w:hanging="360"/>
      </w:pPr>
      <w:rPr>
        <w:rFonts w:ascii="Times New Roman" w:eastAsia="Times New Roman" w:hAnsi="Times New Roman" w:cs="Times New Roman"/>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7" w15:restartNumberingAfterBreak="0">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3"/>
  </w:num>
  <w:num w:numId="2">
    <w:abstractNumId w:val="16"/>
  </w:num>
  <w:num w:numId="3">
    <w:abstractNumId w:val="1"/>
  </w:num>
  <w:num w:numId="4">
    <w:abstractNumId w:val="14"/>
  </w:num>
  <w:num w:numId="5">
    <w:abstractNumId w:val="8"/>
  </w:num>
  <w:num w:numId="6">
    <w:abstractNumId w:val="4"/>
  </w:num>
  <w:num w:numId="7">
    <w:abstractNumId w:val="15"/>
  </w:num>
  <w:num w:numId="8">
    <w:abstractNumId w:val="12"/>
  </w:num>
  <w:num w:numId="9">
    <w:abstractNumId w:val="5"/>
  </w:num>
  <w:num w:numId="10">
    <w:abstractNumId w:val="10"/>
  </w:num>
  <w:num w:numId="11">
    <w:abstractNumId w:val="6"/>
  </w:num>
  <w:num w:numId="12">
    <w:abstractNumId w:val="2"/>
  </w:num>
  <w:num w:numId="13">
    <w:abstractNumId w:val="11"/>
  </w:num>
  <w:num w:numId="14">
    <w:abstractNumId w:val="7"/>
  </w:num>
  <w:num w:numId="15">
    <w:abstractNumId w:val="0"/>
  </w:num>
  <w:num w:numId="16">
    <w:abstractNumId w:val="9"/>
  </w:num>
  <w:num w:numId="17">
    <w:abstractNumId w:val="3"/>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1418"/>
    <w:rsid w:val="00001C66"/>
    <w:rsid w:val="000022F6"/>
    <w:rsid w:val="000038AF"/>
    <w:rsid w:val="00003FB1"/>
    <w:rsid w:val="00006366"/>
    <w:rsid w:val="000066AD"/>
    <w:rsid w:val="00006DD3"/>
    <w:rsid w:val="00007451"/>
    <w:rsid w:val="000114A8"/>
    <w:rsid w:val="00011D24"/>
    <w:rsid w:val="00012779"/>
    <w:rsid w:val="00013FF4"/>
    <w:rsid w:val="000158C8"/>
    <w:rsid w:val="000177B0"/>
    <w:rsid w:val="00020FE1"/>
    <w:rsid w:val="00022640"/>
    <w:rsid w:val="00022E13"/>
    <w:rsid w:val="00023804"/>
    <w:rsid w:val="00025501"/>
    <w:rsid w:val="0002587B"/>
    <w:rsid w:val="0002663B"/>
    <w:rsid w:val="0002723D"/>
    <w:rsid w:val="0002724E"/>
    <w:rsid w:val="00027923"/>
    <w:rsid w:val="000312FD"/>
    <w:rsid w:val="00031509"/>
    <w:rsid w:val="00031FE2"/>
    <w:rsid w:val="000320BB"/>
    <w:rsid w:val="00032388"/>
    <w:rsid w:val="00034695"/>
    <w:rsid w:val="00034826"/>
    <w:rsid w:val="00035CE2"/>
    <w:rsid w:val="00036FF7"/>
    <w:rsid w:val="00040D10"/>
    <w:rsid w:val="00040F93"/>
    <w:rsid w:val="00041822"/>
    <w:rsid w:val="00041E13"/>
    <w:rsid w:val="00042411"/>
    <w:rsid w:val="000426F3"/>
    <w:rsid w:val="00043752"/>
    <w:rsid w:val="000441F6"/>
    <w:rsid w:val="00045698"/>
    <w:rsid w:val="00045F76"/>
    <w:rsid w:val="00047230"/>
    <w:rsid w:val="0004781B"/>
    <w:rsid w:val="000518CC"/>
    <w:rsid w:val="00051972"/>
    <w:rsid w:val="000524BA"/>
    <w:rsid w:val="00052D71"/>
    <w:rsid w:val="00053DDE"/>
    <w:rsid w:val="0005425B"/>
    <w:rsid w:val="000549D1"/>
    <w:rsid w:val="00054FBB"/>
    <w:rsid w:val="0005553B"/>
    <w:rsid w:val="00055CA1"/>
    <w:rsid w:val="0005602A"/>
    <w:rsid w:val="00056243"/>
    <w:rsid w:val="00057691"/>
    <w:rsid w:val="000604D2"/>
    <w:rsid w:val="00060A75"/>
    <w:rsid w:val="000626F0"/>
    <w:rsid w:val="00063D81"/>
    <w:rsid w:val="00066430"/>
    <w:rsid w:val="00067913"/>
    <w:rsid w:val="00067BDE"/>
    <w:rsid w:val="00073043"/>
    <w:rsid w:val="00074684"/>
    <w:rsid w:val="00076775"/>
    <w:rsid w:val="00076CFF"/>
    <w:rsid w:val="0007766F"/>
    <w:rsid w:val="00081470"/>
    <w:rsid w:val="000819EA"/>
    <w:rsid w:val="00082310"/>
    <w:rsid w:val="0008277D"/>
    <w:rsid w:val="000832D5"/>
    <w:rsid w:val="0008497B"/>
    <w:rsid w:val="0008513F"/>
    <w:rsid w:val="000860E2"/>
    <w:rsid w:val="0008756F"/>
    <w:rsid w:val="0009005E"/>
    <w:rsid w:val="000907F0"/>
    <w:rsid w:val="00091535"/>
    <w:rsid w:val="000923B4"/>
    <w:rsid w:val="000924B3"/>
    <w:rsid w:val="0009369B"/>
    <w:rsid w:val="000941C5"/>
    <w:rsid w:val="00095A9E"/>
    <w:rsid w:val="00097034"/>
    <w:rsid w:val="000A0A3E"/>
    <w:rsid w:val="000A1EE2"/>
    <w:rsid w:val="000A1F6A"/>
    <w:rsid w:val="000A2441"/>
    <w:rsid w:val="000A2E6E"/>
    <w:rsid w:val="000A33A7"/>
    <w:rsid w:val="000A3520"/>
    <w:rsid w:val="000A4FE1"/>
    <w:rsid w:val="000A6451"/>
    <w:rsid w:val="000B064E"/>
    <w:rsid w:val="000B1D62"/>
    <w:rsid w:val="000B2508"/>
    <w:rsid w:val="000B2B02"/>
    <w:rsid w:val="000B3CF9"/>
    <w:rsid w:val="000B3F5F"/>
    <w:rsid w:val="000B51C1"/>
    <w:rsid w:val="000B5909"/>
    <w:rsid w:val="000B5AB9"/>
    <w:rsid w:val="000B69CF"/>
    <w:rsid w:val="000B6CAD"/>
    <w:rsid w:val="000B7F94"/>
    <w:rsid w:val="000C0161"/>
    <w:rsid w:val="000C383B"/>
    <w:rsid w:val="000C3D5E"/>
    <w:rsid w:val="000C64BF"/>
    <w:rsid w:val="000C70A1"/>
    <w:rsid w:val="000C790C"/>
    <w:rsid w:val="000C7C01"/>
    <w:rsid w:val="000C7C67"/>
    <w:rsid w:val="000D07DB"/>
    <w:rsid w:val="000D0D1E"/>
    <w:rsid w:val="000D3DAF"/>
    <w:rsid w:val="000D52BA"/>
    <w:rsid w:val="000D6A53"/>
    <w:rsid w:val="000D7DF7"/>
    <w:rsid w:val="000E032E"/>
    <w:rsid w:val="000E09A8"/>
    <w:rsid w:val="000E0F09"/>
    <w:rsid w:val="000E12C7"/>
    <w:rsid w:val="000E28EB"/>
    <w:rsid w:val="000E3932"/>
    <w:rsid w:val="000E4F05"/>
    <w:rsid w:val="000E58C7"/>
    <w:rsid w:val="000E5A87"/>
    <w:rsid w:val="000E5BE3"/>
    <w:rsid w:val="000E7EF4"/>
    <w:rsid w:val="000F061D"/>
    <w:rsid w:val="000F06CC"/>
    <w:rsid w:val="000F187A"/>
    <w:rsid w:val="000F30F9"/>
    <w:rsid w:val="000F4794"/>
    <w:rsid w:val="000F5F1C"/>
    <w:rsid w:val="000F6AA4"/>
    <w:rsid w:val="000F6AD0"/>
    <w:rsid w:val="000F6AFB"/>
    <w:rsid w:val="000F756C"/>
    <w:rsid w:val="001009FB"/>
    <w:rsid w:val="00100BC9"/>
    <w:rsid w:val="00100BDD"/>
    <w:rsid w:val="001011DE"/>
    <w:rsid w:val="00103AD0"/>
    <w:rsid w:val="0010507D"/>
    <w:rsid w:val="001103FA"/>
    <w:rsid w:val="001116BF"/>
    <w:rsid w:val="00113C3A"/>
    <w:rsid w:val="0011405A"/>
    <w:rsid w:val="001140A0"/>
    <w:rsid w:val="001208E2"/>
    <w:rsid w:val="00120EDC"/>
    <w:rsid w:val="00121342"/>
    <w:rsid w:val="00121565"/>
    <w:rsid w:val="00122B5D"/>
    <w:rsid w:val="00122EE3"/>
    <w:rsid w:val="00123C58"/>
    <w:rsid w:val="00123F97"/>
    <w:rsid w:val="001246D2"/>
    <w:rsid w:val="001247D7"/>
    <w:rsid w:val="00124F12"/>
    <w:rsid w:val="001250C2"/>
    <w:rsid w:val="00126AD5"/>
    <w:rsid w:val="0012721F"/>
    <w:rsid w:val="00127711"/>
    <w:rsid w:val="00131885"/>
    <w:rsid w:val="00132104"/>
    <w:rsid w:val="001349F8"/>
    <w:rsid w:val="00134F61"/>
    <w:rsid w:val="00135181"/>
    <w:rsid w:val="001361C2"/>
    <w:rsid w:val="00136BBE"/>
    <w:rsid w:val="0013795A"/>
    <w:rsid w:val="001402F0"/>
    <w:rsid w:val="00140357"/>
    <w:rsid w:val="00140468"/>
    <w:rsid w:val="00141659"/>
    <w:rsid w:val="00141800"/>
    <w:rsid w:val="001426A6"/>
    <w:rsid w:val="00142978"/>
    <w:rsid w:val="001438F0"/>
    <w:rsid w:val="00143E3E"/>
    <w:rsid w:val="00143F28"/>
    <w:rsid w:val="001447FE"/>
    <w:rsid w:val="00144B90"/>
    <w:rsid w:val="00144E3A"/>
    <w:rsid w:val="00146122"/>
    <w:rsid w:val="00146C8D"/>
    <w:rsid w:val="001501CC"/>
    <w:rsid w:val="0015060C"/>
    <w:rsid w:val="00151C12"/>
    <w:rsid w:val="001520EF"/>
    <w:rsid w:val="00152117"/>
    <w:rsid w:val="00153CA4"/>
    <w:rsid w:val="00155B33"/>
    <w:rsid w:val="00156C32"/>
    <w:rsid w:val="00157051"/>
    <w:rsid w:val="00157200"/>
    <w:rsid w:val="0016018A"/>
    <w:rsid w:val="00160197"/>
    <w:rsid w:val="00160240"/>
    <w:rsid w:val="001606DB"/>
    <w:rsid w:val="00160CE1"/>
    <w:rsid w:val="00161F0E"/>
    <w:rsid w:val="00163540"/>
    <w:rsid w:val="00163E9F"/>
    <w:rsid w:val="00165DA9"/>
    <w:rsid w:val="0016641A"/>
    <w:rsid w:val="001669CE"/>
    <w:rsid w:val="00167737"/>
    <w:rsid w:val="00167796"/>
    <w:rsid w:val="00170E2A"/>
    <w:rsid w:val="00174A78"/>
    <w:rsid w:val="0017545B"/>
    <w:rsid w:val="00176FD3"/>
    <w:rsid w:val="00177021"/>
    <w:rsid w:val="00177394"/>
    <w:rsid w:val="00180256"/>
    <w:rsid w:val="0018025B"/>
    <w:rsid w:val="00180C54"/>
    <w:rsid w:val="0018194B"/>
    <w:rsid w:val="001821AD"/>
    <w:rsid w:val="00182200"/>
    <w:rsid w:val="00182C18"/>
    <w:rsid w:val="0018389E"/>
    <w:rsid w:val="00183990"/>
    <w:rsid w:val="00183BFE"/>
    <w:rsid w:val="00183CC2"/>
    <w:rsid w:val="001848AB"/>
    <w:rsid w:val="00184B04"/>
    <w:rsid w:val="001853D5"/>
    <w:rsid w:val="001864B3"/>
    <w:rsid w:val="00187B3D"/>
    <w:rsid w:val="001900E4"/>
    <w:rsid w:val="001901EA"/>
    <w:rsid w:val="00190F88"/>
    <w:rsid w:val="00191156"/>
    <w:rsid w:val="001916B0"/>
    <w:rsid w:val="00193068"/>
    <w:rsid w:val="0019399D"/>
    <w:rsid w:val="00194AD7"/>
    <w:rsid w:val="00194EA9"/>
    <w:rsid w:val="00195163"/>
    <w:rsid w:val="001961A2"/>
    <w:rsid w:val="00196ACC"/>
    <w:rsid w:val="001976F9"/>
    <w:rsid w:val="00197D96"/>
    <w:rsid w:val="001A0D09"/>
    <w:rsid w:val="001A1095"/>
    <w:rsid w:val="001A15FB"/>
    <w:rsid w:val="001A1A4C"/>
    <w:rsid w:val="001A20A4"/>
    <w:rsid w:val="001A24CA"/>
    <w:rsid w:val="001A3A09"/>
    <w:rsid w:val="001A3CD4"/>
    <w:rsid w:val="001A4066"/>
    <w:rsid w:val="001A5660"/>
    <w:rsid w:val="001A5823"/>
    <w:rsid w:val="001A6AE4"/>
    <w:rsid w:val="001A6F40"/>
    <w:rsid w:val="001A72C3"/>
    <w:rsid w:val="001A7A57"/>
    <w:rsid w:val="001B01FD"/>
    <w:rsid w:val="001B03AA"/>
    <w:rsid w:val="001B17C4"/>
    <w:rsid w:val="001B22A5"/>
    <w:rsid w:val="001B237F"/>
    <w:rsid w:val="001B25BB"/>
    <w:rsid w:val="001B2A27"/>
    <w:rsid w:val="001B3350"/>
    <w:rsid w:val="001B49A7"/>
    <w:rsid w:val="001B4A71"/>
    <w:rsid w:val="001B4F8A"/>
    <w:rsid w:val="001B51C5"/>
    <w:rsid w:val="001B6BB3"/>
    <w:rsid w:val="001B745B"/>
    <w:rsid w:val="001C0856"/>
    <w:rsid w:val="001C0F11"/>
    <w:rsid w:val="001C2D9F"/>
    <w:rsid w:val="001C3DAF"/>
    <w:rsid w:val="001C3F5E"/>
    <w:rsid w:val="001C3FF8"/>
    <w:rsid w:val="001C5A77"/>
    <w:rsid w:val="001C75F9"/>
    <w:rsid w:val="001D0861"/>
    <w:rsid w:val="001D0F38"/>
    <w:rsid w:val="001D184B"/>
    <w:rsid w:val="001D1E01"/>
    <w:rsid w:val="001D4011"/>
    <w:rsid w:val="001D4110"/>
    <w:rsid w:val="001D4A69"/>
    <w:rsid w:val="001D5B54"/>
    <w:rsid w:val="001D6268"/>
    <w:rsid w:val="001D68A2"/>
    <w:rsid w:val="001D7EBF"/>
    <w:rsid w:val="001E01FA"/>
    <w:rsid w:val="001E1DBF"/>
    <w:rsid w:val="001E2AD1"/>
    <w:rsid w:val="001E3DAA"/>
    <w:rsid w:val="001E3E5F"/>
    <w:rsid w:val="001E456F"/>
    <w:rsid w:val="001E4639"/>
    <w:rsid w:val="001E4A7D"/>
    <w:rsid w:val="001E6D3C"/>
    <w:rsid w:val="001E739B"/>
    <w:rsid w:val="001E73B5"/>
    <w:rsid w:val="001E7957"/>
    <w:rsid w:val="001E7CF5"/>
    <w:rsid w:val="001F0152"/>
    <w:rsid w:val="001F093A"/>
    <w:rsid w:val="001F0E10"/>
    <w:rsid w:val="001F1545"/>
    <w:rsid w:val="001F17D2"/>
    <w:rsid w:val="001F31AB"/>
    <w:rsid w:val="001F4209"/>
    <w:rsid w:val="001F43A8"/>
    <w:rsid w:val="001F496C"/>
    <w:rsid w:val="001F5346"/>
    <w:rsid w:val="001F5CD6"/>
    <w:rsid w:val="001F78D1"/>
    <w:rsid w:val="00201850"/>
    <w:rsid w:val="002037DA"/>
    <w:rsid w:val="0020567A"/>
    <w:rsid w:val="00205840"/>
    <w:rsid w:val="00205C54"/>
    <w:rsid w:val="00206897"/>
    <w:rsid w:val="0020698B"/>
    <w:rsid w:val="00206D51"/>
    <w:rsid w:val="00207B82"/>
    <w:rsid w:val="00207D44"/>
    <w:rsid w:val="00211833"/>
    <w:rsid w:val="00211CF2"/>
    <w:rsid w:val="0021263D"/>
    <w:rsid w:val="002126A1"/>
    <w:rsid w:val="00213547"/>
    <w:rsid w:val="00213F0C"/>
    <w:rsid w:val="00214094"/>
    <w:rsid w:val="0021592D"/>
    <w:rsid w:val="00220EB5"/>
    <w:rsid w:val="0022146E"/>
    <w:rsid w:val="00222D76"/>
    <w:rsid w:val="00223EB1"/>
    <w:rsid w:val="0022430C"/>
    <w:rsid w:val="0022457F"/>
    <w:rsid w:val="00224B09"/>
    <w:rsid w:val="00224CD4"/>
    <w:rsid w:val="00224FAE"/>
    <w:rsid w:val="00225218"/>
    <w:rsid w:val="00225FC8"/>
    <w:rsid w:val="00226E1E"/>
    <w:rsid w:val="002275D3"/>
    <w:rsid w:val="002277B5"/>
    <w:rsid w:val="00227853"/>
    <w:rsid w:val="00230004"/>
    <w:rsid w:val="00230DEB"/>
    <w:rsid w:val="00231344"/>
    <w:rsid w:val="0023176E"/>
    <w:rsid w:val="0023185C"/>
    <w:rsid w:val="002322DE"/>
    <w:rsid w:val="0023250C"/>
    <w:rsid w:val="002325D7"/>
    <w:rsid w:val="00232B74"/>
    <w:rsid w:val="00233B0E"/>
    <w:rsid w:val="0023436E"/>
    <w:rsid w:val="002347C0"/>
    <w:rsid w:val="0023551A"/>
    <w:rsid w:val="0023642B"/>
    <w:rsid w:val="00236A29"/>
    <w:rsid w:val="00240984"/>
    <w:rsid w:val="0024098E"/>
    <w:rsid w:val="00241A6C"/>
    <w:rsid w:val="00242D2B"/>
    <w:rsid w:val="00243BBC"/>
    <w:rsid w:val="002441BF"/>
    <w:rsid w:val="00244B24"/>
    <w:rsid w:val="00244F29"/>
    <w:rsid w:val="00245350"/>
    <w:rsid w:val="00245E8D"/>
    <w:rsid w:val="002462FF"/>
    <w:rsid w:val="002476C8"/>
    <w:rsid w:val="00247B08"/>
    <w:rsid w:val="002515A8"/>
    <w:rsid w:val="002515AB"/>
    <w:rsid w:val="00253C8E"/>
    <w:rsid w:val="00256B06"/>
    <w:rsid w:val="002579E6"/>
    <w:rsid w:val="00260FB6"/>
    <w:rsid w:val="0026197B"/>
    <w:rsid w:val="00262CE5"/>
    <w:rsid w:val="00262E2B"/>
    <w:rsid w:val="00263633"/>
    <w:rsid w:val="00264928"/>
    <w:rsid w:val="002652E4"/>
    <w:rsid w:val="002658A8"/>
    <w:rsid w:val="0026672C"/>
    <w:rsid w:val="00266E68"/>
    <w:rsid w:val="002675AC"/>
    <w:rsid w:val="00270429"/>
    <w:rsid w:val="00271159"/>
    <w:rsid w:val="002713E2"/>
    <w:rsid w:val="0027228E"/>
    <w:rsid w:val="002723E9"/>
    <w:rsid w:val="002724FB"/>
    <w:rsid w:val="00274C55"/>
    <w:rsid w:val="00275417"/>
    <w:rsid w:val="0027610A"/>
    <w:rsid w:val="002773BB"/>
    <w:rsid w:val="002775D9"/>
    <w:rsid w:val="002778FA"/>
    <w:rsid w:val="00277929"/>
    <w:rsid w:val="00283B82"/>
    <w:rsid w:val="00283F65"/>
    <w:rsid w:val="002846E9"/>
    <w:rsid w:val="00284C34"/>
    <w:rsid w:val="00285D6F"/>
    <w:rsid w:val="00286E95"/>
    <w:rsid w:val="00287337"/>
    <w:rsid w:val="0029066C"/>
    <w:rsid w:val="00291827"/>
    <w:rsid w:val="00292431"/>
    <w:rsid w:val="00292999"/>
    <w:rsid w:val="00292A6C"/>
    <w:rsid w:val="00292F59"/>
    <w:rsid w:val="00297D2D"/>
    <w:rsid w:val="002A0A70"/>
    <w:rsid w:val="002A11BC"/>
    <w:rsid w:val="002A1669"/>
    <w:rsid w:val="002A1E3E"/>
    <w:rsid w:val="002A2F95"/>
    <w:rsid w:val="002A414E"/>
    <w:rsid w:val="002A4E0F"/>
    <w:rsid w:val="002B0FEB"/>
    <w:rsid w:val="002B14B1"/>
    <w:rsid w:val="002B1EAF"/>
    <w:rsid w:val="002B313E"/>
    <w:rsid w:val="002B3830"/>
    <w:rsid w:val="002B4581"/>
    <w:rsid w:val="002B50DB"/>
    <w:rsid w:val="002B5477"/>
    <w:rsid w:val="002B5E82"/>
    <w:rsid w:val="002C12AB"/>
    <w:rsid w:val="002C1B23"/>
    <w:rsid w:val="002C28A7"/>
    <w:rsid w:val="002C3835"/>
    <w:rsid w:val="002C3ADA"/>
    <w:rsid w:val="002C42E5"/>
    <w:rsid w:val="002C4EAB"/>
    <w:rsid w:val="002C57B2"/>
    <w:rsid w:val="002C7A23"/>
    <w:rsid w:val="002C7CAC"/>
    <w:rsid w:val="002C7F1E"/>
    <w:rsid w:val="002D0529"/>
    <w:rsid w:val="002D2F86"/>
    <w:rsid w:val="002D3306"/>
    <w:rsid w:val="002D3865"/>
    <w:rsid w:val="002D3F3E"/>
    <w:rsid w:val="002D48AA"/>
    <w:rsid w:val="002D53B0"/>
    <w:rsid w:val="002D6152"/>
    <w:rsid w:val="002D74B7"/>
    <w:rsid w:val="002D7BAA"/>
    <w:rsid w:val="002D7E53"/>
    <w:rsid w:val="002D7F54"/>
    <w:rsid w:val="002E03F1"/>
    <w:rsid w:val="002E063D"/>
    <w:rsid w:val="002E0C45"/>
    <w:rsid w:val="002E0F54"/>
    <w:rsid w:val="002E1F7B"/>
    <w:rsid w:val="002E3FF4"/>
    <w:rsid w:val="002E6D08"/>
    <w:rsid w:val="002E7B53"/>
    <w:rsid w:val="002F0042"/>
    <w:rsid w:val="002F010A"/>
    <w:rsid w:val="002F0B42"/>
    <w:rsid w:val="002F19BB"/>
    <w:rsid w:val="002F27F9"/>
    <w:rsid w:val="002F312E"/>
    <w:rsid w:val="002F37D6"/>
    <w:rsid w:val="002F3BE3"/>
    <w:rsid w:val="002F493B"/>
    <w:rsid w:val="002F608A"/>
    <w:rsid w:val="002F61E9"/>
    <w:rsid w:val="002F6940"/>
    <w:rsid w:val="002F6DBF"/>
    <w:rsid w:val="002F78C8"/>
    <w:rsid w:val="00300D0C"/>
    <w:rsid w:val="00301CF3"/>
    <w:rsid w:val="003030C8"/>
    <w:rsid w:val="00303E2F"/>
    <w:rsid w:val="003051F1"/>
    <w:rsid w:val="00306680"/>
    <w:rsid w:val="00306E3C"/>
    <w:rsid w:val="00307D0E"/>
    <w:rsid w:val="003111F1"/>
    <w:rsid w:val="00311B18"/>
    <w:rsid w:val="00312631"/>
    <w:rsid w:val="00313416"/>
    <w:rsid w:val="0031563E"/>
    <w:rsid w:val="00320219"/>
    <w:rsid w:val="00321A11"/>
    <w:rsid w:val="003228C5"/>
    <w:rsid w:val="00325619"/>
    <w:rsid w:val="003257BF"/>
    <w:rsid w:val="00325E5F"/>
    <w:rsid w:val="0032715C"/>
    <w:rsid w:val="003277E3"/>
    <w:rsid w:val="00327BAC"/>
    <w:rsid w:val="00327BC6"/>
    <w:rsid w:val="00330BBB"/>
    <w:rsid w:val="00330C26"/>
    <w:rsid w:val="003354A0"/>
    <w:rsid w:val="00335CA7"/>
    <w:rsid w:val="003362A2"/>
    <w:rsid w:val="00336C8E"/>
    <w:rsid w:val="00337761"/>
    <w:rsid w:val="00337CA5"/>
    <w:rsid w:val="00340456"/>
    <w:rsid w:val="003404E2"/>
    <w:rsid w:val="00340790"/>
    <w:rsid w:val="00340C75"/>
    <w:rsid w:val="00341C4A"/>
    <w:rsid w:val="00341E2E"/>
    <w:rsid w:val="00342678"/>
    <w:rsid w:val="00343F4E"/>
    <w:rsid w:val="0034418E"/>
    <w:rsid w:val="0034423B"/>
    <w:rsid w:val="00350086"/>
    <w:rsid w:val="0035174C"/>
    <w:rsid w:val="00353F93"/>
    <w:rsid w:val="00355A5A"/>
    <w:rsid w:val="00355E94"/>
    <w:rsid w:val="00357B72"/>
    <w:rsid w:val="00360109"/>
    <w:rsid w:val="00362478"/>
    <w:rsid w:val="003638DC"/>
    <w:rsid w:val="00365AFC"/>
    <w:rsid w:val="00366251"/>
    <w:rsid w:val="00366C3D"/>
    <w:rsid w:val="00367191"/>
    <w:rsid w:val="00370606"/>
    <w:rsid w:val="003710F3"/>
    <w:rsid w:val="0037191E"/>
    <w:rsid w:val="00371A71"/>
    <w:rsid w:val="0037385F"/>
    <w:rsid w:val="00374101"/>
    <w:rsid w:val="00375B25"/>
    <w:rsid w:val="0037639B"/>
    <w:rsid w:val="00376863"/>
    <w:rsid w:val="0038132C"/>
    <w:rsid w:val="00381418"/>
    <w:rsid w:val="00381693"/>
    <w:rsid w:val="00381DA0"/>
    <w:rsid w:val="0038252C"/>
    <w:rsid w:val="00382FD4"/>
    <w:rsid w:val="003830DC"/>
    <w:rsid w:val="00383245"/>
    <w:rsid w:val="00384EA3"/>
    <w:rsid w:val="00385645"/>
    <w:rsid w:val="00385D12"/>
    <w:rsid w:val="0038632C"/>
    <w:rsid w:val="00387C1A"/>
    <w:rsid w:val="00391D81"/>
    <w:rsid w:val="00395F53"/>
    <w:rsid w:val="00395FA9"/>
    <w:rsid w:val="00396542"/>
    <w:rsid w:val="0039685B"/>
    <w:rsid w:val="003A08E6"/>
    <w:rsid w:val="003A31A6"/>
    <w:rsid w:val="003A3381"/>
    <w:rsid w:val="003A4763"/>
    <w:rsid w:val="003A51D3"/>
    <w:rsid w:val="003A58F0"/>
    <w:rsid w:val="003A5B56"/>
    <w:rsid w:val="003A7F0C"/>
    <w:rsid w:val="003A7F79"/>
    <w:rsid w:val="003B10FE"/>
    <w:rsid w:val="003B1788"/>
    <w:rsid w:val="003B1CA8"/>
    <w:rsid w:val="003B29D4"/>
    <w:rsid w:val="003B58CB"/>
    <w:rsid w:val="003B6404"/>
    <w:rsid w:val="003B67E2"/>
    <w:rsid w:val="003B6D82"/>
    <w:rsid w:val="003B7396"/>
    <w:rsid w:val="003C16E8"/>
    <w:rsid w:val="003C2F50"/>
    <w:rsid w:val="003C3579"/>
    <w:rsid w:val="003C3ABB"/>
    <w:rsid w:val="003C3D4D"/>
    <w:rsid w:val="003C449B"/>
    <w:rsid w:val="003C560B"/>
    <w:rsid w:val="003C58E4"/>
    <w:rsid w:val="003C660C"/>
    <w:rsid w:val="003C7E67"/>
    <w:rsid w:val="003D10B6"/>
    <w:rsid w:val="003D21FF"/>
    <w:rsid w:val="003D303B"/>
    <w:rsid w:val="003D3BA0"/>
    <w:rsid w:val="003D540B"/>
    <w:rsid w:val="003D5BB3"/>
    <w:rsid w:val="003D5EBA"/>
    <w:rsid w:val="003D6D56"/>
    <w:rsid w:val="003D6E8F"/>
    <w:rsid w:val="003D773A"/>
    <w:rsid w:val="003E01FE"/>
    <w:rsid w:val="003E09A8"/>
    <w:rsid w:val="003E0D74"/>
    <w:rsid w:val="003E1BE1"/>
    <w:rsid w:val="003E1F91"/>
    <w:rsid w:val="003E2843"/>
    <w:rsid w:val="003E2B44"/>
    <w:rsid w:val="003E2C61"/>
    <w:rsid w:val="003E3F04"/>
    <w:rsid w:val="003E47BB"/>
    <w:rsid w:val="003E497C"/>
    <w:rsid w:val="003E682F"/>
    <w:rsid w:val="003F0112"/>
    <w:rsid w:val="003F071A"/>
    <w:rsid w:val="003F07A7"/>
    <w:rsid w:val="003F123E"/>
    <w:rsid w:val="003F160B"/>
    <w:rsid w:val="003F16F6"/>
    <w:rsid w:val="003F1841"/>
    <w:rsid w:val="003F4139"/>
    <w:rsid w:val="003F4857"/>
    <w:rsid w:val="003F639F"/>
    <w:rsid w:val="003F7AC3"/>
    <w:rsid w:val="00400032"/>
    <w:rsid w:val="00400B5B"/>
    <w:rsid w:val="00403F17"/>
    <w:rsid w:val="00405386"/>
    <w:rsid w:val="00405A00"/>
    <w:rsid w:val="00405BED"/>
    <w:rsid w:val="0040614C"/>
    <w:rsid w:val="00407844"/>
    <w:rsid w:val="00407903"/>
    <w:rsid w:val="004117C1"/>
    <w:rsid w:val="004122D8"/>
    <w:rsid w:val="00412B6F"/>
    <w:rsid w:val="00412DCF"/>
    <w:rsid w:val="004132E7"/>
    <w:rsid w:val="00413679"/>
    <w:rsid w:val="00414C85"/>
    <w:rsid w:val="0041536B"/>
    <w:rsid w:val="00415C5E"/>
    <w:rsid w:val="00415D1D"/>
    <w:rsid w:val="00416050"/>
    <w:rsid w:val="00417DC3"/>
    <w:rsid w:val="00417E98"/>
    <w:rsid w:val="00420423"/>
    <w:rsid w:val="00420870"/>
    <w:rsid w:val="00421093"/>
    <w:rsid w:val="00421342"/>
    <w:rsid w:val="00421410"/>
    <w:rsid w:val="004220EB"/>
    <w:rsid w:val="004250DD"/>
    <w:rsid w:val="0042524B"/>
    <w:rsid w:val="004255A2"/>
    <w:rsid w:val="00426470"/>
    <w:rsid w:val="00426B7D"/>
    <w:rsid w:val="00427EFB"/>
    <w:rsid w:val="00430D17"/>
    <w:rsid w:val="004313A0"/>
    <w:rsid w:val="00431BFD"/>
    <w:rsid w:val="004329D0"/>
    <w:rsid w:val="004329E1"/>
    <w:rsid w:val="00432B8B"/>
    <w:rsid w:val="00432D0C"/>
    <w:rsid w:val="004331B8"/>
    <w:rsid w:val="004334CD"/>
    <w:rsid w:val="00434AA9"/>
    <w:rsid w:val="004353E7"/>
    <w:rsid w:val="00436503"/>
    <w:rsid w:val="0043791B"/>
    <w:rsid w:val="00437B5E"/>
    <w:rsid w:val="00440297"/>
    <w:rsid w:val="0044033F"/>
    <w:rsid w:val="00441483"/>
    <w:rsid w:val="00441BCB"/>
    <w:rsid w:val="00441CE5"/>
    <w:rsid w:val="004421BB"/>
    <w:rsid w:val="00444130"/>
    <w:rsid w:val="004443B4"/>
    <w:rsid w:val="0044519F"/>
    <w:rsid w:val="004455D7"/>
    <w:rsid w:val="00445A63"/>
    <w:rsid w:val="00446A72"/>
    <w:rsid w:val="004478C0"/>
    <w:rsid w:val="00450897"/>
    <w:rsid w:val="0045176A"/>
    <w:rsid w:val="00452134"/>
    <w:rsid w:val="0045219B"/>
    <w:rsid w:val="0045287B"/>
    <w:rsid w:val="0045341E"/>
    <w:rsid w:val="004544F6"/>
    <w:rsid w:val="00454756"/>
    <w:rsid w:val="00456159"/>
    <w:rsid w:val="00456332"/>
    <w:rsid w:val="00456E8E"/>
    <w:rsid w:val="00457A56"/>
    <w:rsid w:val="004608CC"/>
    <w:rsid w:val="00460ACD"/>
    <w:rsid w:val="00461826"/>
    <w:rsid w:val="00461BD5"/>
    <w:rsid w:val="00461C20"/>
    <w:rsid w:val="00462F18"/>
    <w:rsid w:val="004635F1"/>
    <w:rsid w:val="0046376C"/>
    <w:rsid w:val="0046430F"/>
    <w:rsid w:val="00464C11"/>
    <w:rsid w:val="00465246"/>
    <w:rsid w:val="00465DA9"/>
    <w:rsid w:val="0046725E"/>
    <w:rsid w:val="004672A8"/>
    <w:rsid w:val="00467B0B"/>
    <w:rsid w:val="0047078F"/>
    <w:rsid w:val="00473351"/>
    <w:rsid w:val="00473606"/>
    <w:rsid w:val="0047477A"/>
    <w:rsid w:val="00474BAF"/>
    <w:rsid w:val="00475136"/>
    <w:rsid w:val="0047554E"/>
    <w:rsid w:val="004764ED"/>
    <w:rsid w:val="004800F9"/>
    <w:rsid w:val="00481BA4"/>
    <w:rsid w:val="00482C03"/>
    <w:rsid w:val="004846D3"/>
    <w:rsid w:val="00484A56"/>
    <w:rsid w:val="00486130"/>
    <w:rsid w:val="00486540"/>
    <w:rsid w:val="00490315"/>
    <w:rsid w:val="00490711"/>
    <w:rsid w:val="0049134A"/>
    <w:rsid w:val="00492402"/>
    <w:rsid w:val="00492B3F"/>
    <w:rsid w:val="00493CB8"/>
    <w:rsid w:val="004948E5"/>
    <w:rsid w:val="00494A43"/>
    <w:rsid w:val="004A3E61"/>
    <w:rsid w:val="004A4A8D"/>
    <w:rsid w:val="004A58CB"/>
    <w:rsid w:val="004A7D9E"/>
    <w:rsid w:val="004B08CE"/>
    <w:rsid w:val="004B1795"/>
    <w:rsid w:val="004B1A04"/>
    <w:rsid w:val="004B38F9"/>
    <w:rsid w:val="004B3E7B"/>
    <w:rsid w:val="004B3ED3"/>
    <w:rsid w:val="004B56DD"/>
    <w:rsid w:val="004B5853"/>
    <w:rsid w:val="004B6EF3"/>
    <w:rsid w:val="004B7DF5"/>
    <w:rsid w:val="004C020F"/>
    <w:rsid w:val="004C1AFD"/>
    <w:rsid w:val="004C2AF8"/>
    <w:rsid w:val="004C3410"/>
    <w:rsid w:val="004C4C2B"/>
    <w:rsid w:val="004C558B"/>
    <w:rsid w:val="004C55E4"/>
    <w:rsid w:val="004C5F03"/>
    <w:rsid w:val="004D2DDD"/>
    <w:rsid w:val="004D380A"/>
    <w:rsid w:val="004D4201"/>
    <w:rsid w:val="004D48F9"/>
    <w:rsid w:val="004D4A7B"/>
    <w:rsid w:val="004D4F81"/>
    <w:rsid w:val="004E10A5"/>
    <w:rsid w:val="004E33D2"/>
    <w:rsid w:val="004E5808"/>
    <w:rsid w:val="004E61D0"/>
    <w:rsid w:val="004E677A"/>
    <w:rsid w:val="004E73C6"/>
    <w:rsid w:val="004E781D"/>
    <w:rsid w:val="004F1077"/>
    <w:rsid w:val="004F1F88"/>
    <w:rsid w:val="004F266F"/>
    <w:rsid w:val="004F4A37"/>
    <w:rsid w:val="004F4C79"/>
    <w:rsid w:val="004F5194"/>
    <w:rsid w:val="004F5F1B"/>
    <w:rsid w:val="004F75AC"/>
    <w:rsid w:val="005000F8"/>
    <w:rsid w:val="00502374"/>
    <w:rsid w:val="005023A5"/>
    <w:rsid w:val="00502435"/>
    <w:rsid w:val="00502621"/>
    <w:rsid w:val="005026CA"/>
    <w:rsid w:val="00503069"/>
    <w:rsid w:val="005033BF"/>
    <w:rsid w:val="00504001"/>
    <w:rsid w:val="00504E68"/>
    <w:rsid w:val="00505433"/>
    <w:rsid w:val="00505D9B"/>
    <w:rsid w:val="005060A1"/>
    <w:rsid w:val="005067BE"/>
    <w:rsid w:val="00506B7A"/>
    <w:rsid w:val="00507038"/>
    <w:rsid w:val="005072D0"/>
    <w:rsid w:val="00510C74"/>
    <w:rsid w:val="005114F6"/>
    <w:rsid w:val="00511C89"/>
    <w:rsid w:val="00512154"/>
    <w:rsid w:val="00512269"/>
    <w:rsid w:val="00512354"/>
    <w:rsid w:val="00512485"/>
    <w:rsid w:val="005143BF"/>
    <w:rsid w:val="00515D82"/>
    <w:rsid w:val="00516072"/>
    <w:rsid w:val="0051649E"/>
    <w:rsid w:val="005174AD"/>
    <w:rsid w:val="00520533"/>
    <w:rsid w:val="00520DFF"/>
    <w:rsid w:val="00521DC8"/>
    <w:rsid w:val="00522D36"/>
    <w:rsid w:val="00523695"/>
    <w:rsid w:val="005237F3"/>
    <w:rsid w:val="00523B51"/>
    <w:rsid w:val="00524DAC"/>
    <w:rsid w:val="00524EDB"/>
    <w:rsid w:val="00526128"/>
    <w:rsid w:val="0052628C"/>
    <w:rsid w:val="00530B02"/>
    <w:rsid w:val="00530B6B"/>
    <w:rsid w:val="00530DE8"/>
    <w:rsid w:val="00532733"/>
    <w:rsid w:val="00532C3B"/>
    <w:rsid w:val="00533132"/>
    <w:rsid w:val="005331A3"/>
    <w:rsid w:val="005332EC"/>
    <w:rsid w:val="00533D3B"/>
    <w:rsid w:val="0053434F"/>
    <w:rsid w:val="00534418"/>
    <w:rsid w:val="0053497F"/>
    <w:rsid w:val="00534DA0"/>
    <w:rsid w:val="00534FC2"/>
    <w:rsid w:val="005353AB"/>
    <w:rsid w:val="005368A4"/>
    <w:rsid w:val="0053691C"/>
    <w:rsid w:val="00540F90"/>
    <w:rsid w:val="00541CF5"/>
    <w:rsid w:val="00544D98"/>
    <w:rsid w:val="005473A5"/>
    <w:rsid w:val="0054787F"/>
    <w:rsid w:val="00547FB9"/>
    <w:rsid w:val="00550858"/>
    <w:rsid w:val="005536E8"/>
    <w:rsid w:val="00553E91"/>
    <w:rsid w:val="00554302"/>
    <w:rsid w:val="00554509"/>
    <w:rsid w:val="00554D5C"/>
    <w:rsid w:val="005553BD"/>
    <w:rsid w:val="005560BC"/>
    <w:rsid w:val="005564A9"/>
    <w:rsid w:val="005564C6"/>
    <w:rsid w:val="005573BE"/>
    <w:rsid w:val="00560077"/>
    <w:rsid w:val="00560293"/>
    <w:rsid w:val="005638FB"/>
    <w:rsid w:val="00563EC6"/>
    <w:rsid w:val="00565478"/>
    <w:rsid w:val="0056639E"/>
    <w:rsid w:val="005663B6"/>
    <w:rsid w:val="00567932"/>
    <w:rsid w:val="005712DD"/>
    <w:rsid w:val="00572700"/>
    <w:rsid w:val="00572A93"/>
    <w:rsid w:val="00572D2A"/>
    <w:rsid w:val="005739D2"/>
    <w:rsid w:val="00573E5C"/>
    <w:rsid w:val="005747D0"/>
    <w:rsid w:val="00575832"/>
    <w:rsid w:val="0057683D"/>
    <w:rsid w:val="00576C17"/>
    <w:rsid w:val="00576C3B"/>
    <w:rsid w:val="00580468"/>
    <w:rsid w:val="0058090B"/>
    <w:rsid w:val="00581168"/>
    <w:rsid w:val="005821F1"/>
    <w:rsid w:val="00582231"/>
    <w:rsid w:val="00582F4C"/>
    <w:rsid w:val="00583288"/>
    <w:rsid w:val="00585AEB"/>
    <w:rsid w:val="0058603B"/>
    <w:rsid w:val="005863E9"/>
    <w:rsid w:val="00586995"/>
    <w:rsid w:val="00587120"/>
    <w:rsid w:val="00587F41"/>
    <w:rsid w:val="00591C06"/>
    <w:rsid w:val="00592484"/>
    <w:rsid w:val="0059431B"/>
    <w:rsid w:val="00595FFC"/>
    <w:rsid w:val="00596289"/>
    <w:rsid w:val="005968B3"/>
    <w:rsid w:val="00596962"/>
    <w:rsid w:val="005969CE"/>
    <w:rsid w:val="005A1837"/>
    <w:rsid w:val="005A1CC6"/>
    <w:rsid w:val="005A26DF"/>
    <w:rsid w:val="005A3959"/>
    <w:rsid w:val="005A39CC"/>
    <w:rsid w:val="005A403E"/>
    <w:rsid w:val="005A4B8B"/>
    <w:rsid w:val="005A4EE6"/>
    <w:rsid w:val="005A59DB"/>
    <w:rsid w:val="005A5C21"/>
    <w:rsid w:val="005A7E0E"/>
    <w:rsid w:val="005B1F2D"/>
    <w:rsid w:val="005B2589"/>
    <w:rsid w:val="005B277C"/>
    <w:rsid w:val="005B2E4F"/>
    <w:rsid w:val="005B3CC2"/>
    <w:rsid w:val="005B45A1"/>
    <w:rsid w:val="005B4730"/>
    <w:rsid w:val="005B4B72"/>
    <w:rsid w:val="005B50D5"/>
    <w:rsid w:val="005B598E"/>
    <w:rsid w:val="005B5A66"/>
    <w:rsid w:val="005B5C5C"/>
    <w:rsid w:val="005B6124"/>
    <w:rsid w:val="005B79DC"/>
    <w:rsid w:val="005C044A"/>
    <w:rsid w:val="005C0C16"/>
    <w:rsid w:val="005C2B04"/>
    <w:rsid w:val="005C3C86"/>
    <w:rsid w:val="005C4BD2"/>
    <w:rsid w:val="005C50BA"/>
    <w:rsid w:val="005D0C63"/>
    <w:rsid w:val="005D27BD"/>
    <w:rsid w:val="005D3FB5"/>
    <w:rsid w:val="005D4024"/>
    <w:rsid w:val="005D41F7"/>
    <w:rsid w:val="005D4B5F"/>
    <w:rsid w:val="005D50D0"/>
    <w:rsid w:val="005D5B11"/>
    <w:rsid w:val="005D788B"/>
    <w:rsid w:val="005D7EF1"/>
    <w:rsid w:val="005E05D7"/>
    <w:rsid w:val="005E3279"/>
    <w:rsid w:val="005E41E7"/>
    <w:rsid w:val="005E450F"/>
    <w:rsid w:val="005E56C4"/>
    <w:rsid w:val="005E58D6"/>
    <w:rsid w:val="005E5B4B"/>
    <w:rsid w:val="005E663A"/>
    <w:rsid w:val="005E67AD"/>
    <w:rsid w:val="005E691F"/>
    <w:rsid w:val="005F0795"/>
    <w:rsid w:val="005F10B2"/>
    <w:rsid w:val="005F13F0"/>
    <w:rsid w:val="005F2D5A"/>
    <w:rsid w:val="005F3C86"/>
    <w:rsid w:val="005F6CBE"/>
    <w:rsid w:val="005F6E62"/>
    <w:rsid w:val="005F7630"/>
    <w:rsid w:val="00600A98"/>
    <w:rsid w:val="006011FF"/>
    <w:rsid w:val="00601248"/>
    <w:rsid w:val="00602008"/>
    <w:rsid w:val="006020D6"/>
    <w:rsid w:val="00602FC9"/>
    <w:rsid w:val="00603332"/>
    <w:rsid w:val="006038B9"/>
    <w:rsid w:val="00604E93"/>
    <w:rsid w:val="00605044"/>
    <w:rsid w:val="0060542B"/>
    <w:rsid w:val="0060565A"/>
    <w:rsid w:val="006075CA"/>
    <w:rsid w:val="006110E9"/>
    <w:rsid w:val="00614348"/>
    <w:rsid w:val="0061542A"/>
    <w:rsid w:val="00617A91"/>
    <w:rsid w:val="006220BF"/>
    <w:rsid w:val="006228D9"/>
    <w:rsid w:val="0062298A"/>
    <w:rsid w:val="00622AC7"/>
    <w:rsid w:val="00622AE7"/>
    <w:rsid w:val="0062368A"/>
    <w:rsid w:val="00624835"/>
    <w:rsid w:val="00624B6A"/>
    <w:rsid w:val="00624E8C"/>
    <w:rsid w:val="00626514"/>
    <w:rsid w:val="00626589"/>
    <w:rsid w:val="00630E0F"/>
    <w:rsid w:val="00631215"/>
    <w:rsid w:val="00632CF8"/>
    <w:rsid w:val="0063305E"/>
    <w:rsid w:val="00633742"/>
    <w:rsid w:val="006339A0"/>
    <w:rsid w:val="006344EA"/>
    <w:rsid w:val="00634D32"/>
    <w:rsid w:val="00635E98"/>
    <w:rsid w:val="0063616D"/>
    <w:rsid w:val="00640307"/>
    <w:rsid w:val="00640871"/>
    <w:rsid w:val="006413A8"/>
    <w:rsid w:val="00642297"/>
    <w:rsid w:val="00642E56"/>
    <w:rsid w:val="00643BD7"/>
    <w:rsid w:val="00646424"/>
    <w:rsid w:val="00646548"/>
    <w:rsid w:val="006466A5"/>
    <w:rsid w:val="0064676D"/>
    <w:rsid w:val="00646DC0"/>
    <w:rsid w:val="006474EF"/>
    <w:rsid w:val="00647694"/>
    <w:rsid w:val="00647A6F"/>
    <w:rsid w:val="00650978"/>
    <w:rsid w:val="00650AF0"/>
    <w:rsid w:val="00651246"/>
    <w:rsid w:val="00651727"/>
    <w:rsid w:val="00651E00"/>
    <w:rsid w:val="006524E2"/>
    <w:rsid w:val="00653630"/>
    <w:rsid w:val="00653CEB"/>
    <w:rsid w:val="006544CE"/>
    <w:rsid w:val="00655EE0"/>
    <w:rsid w:val="00657AB3"/>
    <w:rsid w:val="00657F0E"/>
    <w:rsid w:val="00660ABC"/>
    <w:rsid w:val="00661CCD"/>
    <w:rsid w:val="00661E40"/>
    <w:rsid w:val="00661EEC"/>
    <w:rsid w:val="00662B87"/>
    <w:rsid w:val="00664946"/>
    <w:rsid w:val="00665203"/>
    <w:rsid w:val="00665A01"/>
    <w:rsid w:val="00665DBC"/>
    <w:rsid w:val="006701DB"/>
    <w:rsid w:val="006709C7"/>
    <w:rsid w:val="00670FEB"/>
    <w:rsid w:val="0067303F"/>
    <w:rsid w:val="006731E5"/>
    <w:rsid w:val="00673317"/>
    <w:rsid w:val="0067334A"/>
    <w:rsid w:val="00673852"/>
    <w:rsid w:val="00674572"/>
    <w:rsid w:val="0067588B"/>
    <w:rsid w:val="00675D8C"/>
    <w:rsid w:val="00676161"/>
    <w:rsid w:val="00676E37"/>
    <w:rsid w:val="00680E72"/>
    <w:rsid w:val="006810FC"/>
    <w:rsid w:val="0068178C"/>
    <w:rsid w:val="00683997"/>
    <w:rsid w:val="006840F4"/>
    <w:rsid w:val="0068454A"/>
    <w:rsid w:val="00684E98"/>
    <w:rsid w:val="006870C4"/>
    <w:rsid w:val="00687763"/>
    <w:rsid w:val="006915D6"/>
    <w:rsid w:val="00692B0D"/>
    <w:rsid w:val="0069302C"/>
    <w:rsid w:val="00693E0E"/>
    <w:rsid w:val="00693E5C"/>
    <w:rsid w:val="00693F55"/>
    <w:rsid w:val="00694014"/>
    <w:rsid w:val="00695347"/>
    <w:rsid w:val="0069688A"/>
    <w:rsid w:val="006A01C8"/>
    <w:rsid w:val="006A14E1"/>
    <w:rsid w:val="006A154C"/>
    <w:rsid w:val="006A1AE3"/>
    <w:rsid w:val="006A4649"/>
    <w:rsid w:val="006A4C52"/>
    <w:rsid w:val="006A4F4F"/>
    <w:rsid w:val="006A58A1"/>
    <w:rsid w:val="006A6322"/>
    <w:rsid w:val="006A768F"/>
    <w:rsid w:val="006B0DD0"/>
    <w:rsid w:val="006B1D10"/>
    <w:rsid w:val="006B39FB"/>
    <w:rsid w:val="006B4763"/>
    <w:rsid w:val="006B6796"/>
    <w:rsid w:val="006B6A66"/>
    <w:rsid w:val="006C2B1F"/>
    <w:rsid w:val="006C30E1"/>
    <w:rsid w:val="006C4179"/>
    <w:rsid w:val="006C42AD"/>
    <w:rsid w:val="006C4607"/>
    <w:rsid w:val="006C540E"/>
    <w:rsid w:val="006C574D"/>
    <w:rsid w:val="006C600B"/>
    <w:rsid w:val="006C7813"/>
    <w:rsid w:val="006C7E0B"/>
    <w:rsid w:val="006D11BC"/>
    <w:rsid w:val="006D2867"/>
    <w:rsid w:val="006D2FD9"/>
    <w:rsid w:val="006D48F1"/>
    <w:rsid w:val="006D555A"/>
    <w:rsid w:val="006D7265"/>
    <w:rsid w:val="006D744A"/>
    <w:rsid w:val="006E0149"/>
    <w:rsid w:val="006E0A73"/>
    <w:rsid w:val="006E0C5D"/>
    <w:rsid w:val="006E1817"/>
    <w:rsid w:val="006E32DE"/>
    <w:rsid w:val="006E3600"/>
    <w:rsid w:val="006E3EEC"/>
    <w:rsid w:val="006E4B13"/>
    <w:rsid w:val="006E7CAB"/>
    <w:rsid w:val="006F11AC"/>
    <w:rsid w:val="006F1ACD"/>
    <w:rsid w:val="006F3430"/>
    <w:rsid w:val="006F40AA"/>
    <w:rsid w:val="006F45BE"/>
    <w:rsid w:val="006F53C2"/>
    <w:rsid w:val="006F5BA0"/>
    <w:rsid w:val="006F5C27"/>
    <w:rsid w:val="006F5D0D"/>
    <w:rsid w:val="006F681B"/>
    <w:rsid w:val="006F7C69"/>
    <w:rsid w:val="007004FC"/>
    <w:rsid w:val="0070189E"/>
    <w:rsid w:val="00702BFB"/>
    <w:rsid w:val="007043C9"/>
    <w:rsid w:val="00706670"/>
    <w:rsid w:val="00710655"/>
    <w:rsid w:val="00710E3A"/>
    <w:rsid w:val="00710F86"/>
    <w:rsid w:val="00711F59"/>
    <w:rsid w:val="0071230D"/>
    <w:rsid w:val="00714625"/>
    <w:rsid w:val="007146D4"/>
    <w:rsid w:val="00714EDA"/>
    <w:rsid w:val="00715DAC"/>
    <w:rsid w:val="00716991"/>
    <w:rsid w:val="007174B1"/>
    <w:rsid w:val="00721D00"/>
    <w:rsid w:val="007224C2"/>
    <w:rsid w:val="007226B7"/>
    <w:rsid w:val="00723089"/>
    <w:rsid w:val="0072417C"/>
    <w:rsid w:val="00725887"/>
    <w:rsid w:val="00725D51"/>
    <w:rsid w:val="00726136"/>
    <w:rsid w:val="00726340"/>
    <w:rsid w:val="007263EA"/>
    <w:rsid w:val="00726BF8"/>
    <w:rsid w:val="00726DFA"/>
    <w:rsid w:val="00726ECC"/>
    <w:rsid w:val="007278F7"/>
    <w:rsid w:val="00727A77"/>
    <w:rsid w:val="007316ED"/>
    <w:rsid w:val="007324E8"/>
    <w:rsid w:val="00732A5D"/>
    <w:rsid w:val="0073349B"/>
    <w:rsid w:val="007343D7"/>
    <w:rsid w:val="00734450"/>
    <w:rsid w:val="00734BB7"/>
    <w:rsid w:val="00735184"/>
    <w:rsid w:val="007362D2"/>
    <w:rsid w:val="00736B82"/>
    <w:rsid w:val="007372A8"/>
    <w:rsid w:val="0073762C"/>
    <w:rsid w:val="00741972"/>
    <w:rsid w:val="00744034"/>
    <w:rsid w:val="0074415D"/>
    <w:rsid w:val="007446FF"/>
    <w:rsid w:val="007448B9"/>
    <w:rsid w:val="00744B14"/>
    <w:rsid w:val="00745139"/>
    <w:rsid w:val="0074554C"/>
    <w:rsid w:val="00745F67"/>
    <w:rsid w:val="00746262"/>
    <w:rsid w:val="00746B82"/>
    <w:rsid w:val="00747978"/>
    <w:rsid w:val="0075039E"/>
    <w:rsid w:val="00752D9D"/>
    <w:rsid w:val="00752E0F"/>
    <w:rsid w:val="007533D5"/>
    <w:rsid w:val="007546E3"/>
    <w:rsid w:val="00754784"/>
    <w:rsid w:val="00756AF8"/>
    <w:rsid w:val="007571D4"/>
    <w:rsid w:val="00757C6E"/>
    <w:rsid w:val="00760492"/>
    <w:rsid w:val="00760E8A"/>
    <w:rsid w:val="00761B80"/>
    <w:rsid w:val="00762372"/>
    <w:rsid w:val="00762BDA"/>
    <w:rsid w:val="007639F2"/>
    <w:rsid w:val="007642C5"/>
    <w:rsid w:val="007643C0"/>
    <w:rsid w:val="007650AF"/>
    <w:rsid w:val="00765B0D"/>
    <w:rsid w:val="00765E5D"/>
    <w:rsid w:val="0077236D"/>
    <w:rsid w:val="00773C3F"/>
    <w:rsid w:val="00773D81"/>
    <w:rsid w:val="0077466D"/>
    <w:rsid w:val="00774E0A"/>
    <w:rsid w:val="00774F0A"/>
    <w:rsid w:val="00775D4C"/>
    <w:rsid w:val="00776389"/>
    <w:rsid w:val="0077714F"/>
    <w:rsid w:val="007805FD"/>
    <w:rsid w:val="00782185"/>
    <w:rsid w:val="00783A7E"/>
    <w:rsid w:val="00784422"/>
    <w:rsid w:val="0078498E"/>
    <w:rsid w:val="00786AD9"/>
    <w:rsid w:val="0079028A"/>
    <w:rsid w:val="00791059"/>
    <w:rsid w:val="00791B1E"/>
    <w:rsid w:val="007921B5"/>
    <w:rsid w:val="00792B05"/>
    <w:rsid w:val="00795A39"/>
    <w:rsid w:val="00797287"/>
    <w:rsid w:val="007A073B"/>
    <w:rsid w:val="007A16F0"/>
    <w:rsid w:val="007A1FFE"/>
    <w:rsid w:val="007A2567"/>
    <w:rsid w:val="007A2B20"/>
    <w:rsid w:val="007A31B0"/>
    <w:rsid w:val="007A4FE1"/>
    <w:rsid w:val="007A57CB"/>
    <w:rsid w:val="007A58F5"/>
    <w:rsid w:val="007A63EF"/>
    <w:rsid w:val="007A6DFD"/>
    <w:rsid w:val="007B044F"/>
    <w:rsid w:val="007B0DEB"/>
    <w:rsid w:val="007B1ECA"/>
    <w:rsid w:val="007B2D22"/>
    <w:rsid w:val="007B3B54"/>
    <w:rsid w:val="007B3BFD"/>
    <w:rsid w:val="007B3FA0"/>
    <w:rsid w:val="007B4129"/>
    <w:rsid w:val="007B7C52"/>
    <w:rsid w:val="007C0EF2"/>
    <w:rsid w:val="007C0F2C"/>
    <w:rsid w:val="007C2648"/>
    <w:rsid w:val="007C27AB"/>
    <w:rsid w:val="007C2A52"/>
    <w:rsid w:val="007C2BCC"/>
    <w:rsid w:val="007C3197"/>
    <w:rsid w:val="007C31F4"/>
    <w:rsid w:val="007C3CDA"/>
    <w:rsid w:val="007C4EF0"/>
    <w:rsid w:val="007C5210"/>
    <w:rsid w:val="007C554B"/>
    <w:rsid w:val="007C581B"/>
    <w:rsid w:val="007C67AD"/>
    <w:rsid w:val="007C6F7E"/>
    <w:rsid w:val="007C7873"/>
    <w:rsid w:val="007D099D"/>
    <w:rsid w:val="007D1D09"/>
    <w:rsid w:val="007D1D1B"/>
    <w:rsid w:val="007D23D0"/>
    <w:rsid w:val="007D408B"/>
    <w:rsid w:val="007D449D"/>
    <w:rsid w:val="007D4914"/>
    <w:rsid w:val="007D49FA"/>
    <w:rsid w:val="007D4EA3"/>
    <w:rsid w:val="007D671D"/>
    <w:rsid w:val="007D6D31"/>
    <w:rsid w:val="007E0B2D"/>
    <w:rsid w:val="007E0BAF"/>
    <w:rsid w:val="007E0E8D"/>
    <w:rsid w:val="007E12B4"/>
    <w:rsid w:val="007E25EB"/>
    <w:rsid w:val="007E2664"/>
    <w:rsid w:val="007E2F6B"/>
    <w:rsid w:val="007E3A93"/>
    <w:rsid w:val="007E3ABF"/>
    <w:rsid w:val="007E43C1"/>
    <w:rsid w:val="007E5326"/>
    <w:rsid w:val="007E53CD"/>
    <w:rsid w:val="007E5BFA"/>
    <w:rsid w:val="007E61C7"/>
    <w:rsid w:val="007E64E9"/>
    <w:rsid w:val="007E6689"/>
    <w:rsid w:val="007E6875"/>
    <w:rsid w:val="007E6D2F"/>
    <w:rsid w:val="007E731C"/>
    <w:rsid w:val="007E7678"/>
    <w:rsid w:val="007F0A03"/>
    <w:rsid w:val="007F0D5E"/>
    <w:rsid w:val="007F25F6"/>
    <w:rsid w:val="007F26E6"/>
    <w:rsid w:val="007F3C6F"/>
    <w:rsid w:val="007F42D7"/>
    <w:rsid w:val="007F4529"/>
    <w:rsid w:val="007F49F6"/>
    <w:rsid w:val="007F4CF1"/>
    <w:rsid w:val="007F6573"/>
    <w:rsid w:val="007F7A05"/>
    <w:rsid w:val="00801125"/>
    <w:rsid w:val="00801CC3"/>
    <w:rsid w:val="00801FB5"/>
    <w:rsid w:val="008022C8"/>
    <w:rsid w:val="00802BB3"/>
    <w:rsid w:val="00805400"/>
    <w:rsid w:val="0080662A"/>
    <w:rsid w:val="008068D3"/>
    <w:rsid w:val="00806AC6"/>
    <w:rsid w:val="00806DDC"/>
    <w:rsid w:val="00807191"/>
    <w:rsid w:val="0080772F"/>
    <w:rsid w:val="00807B8A"/>
    <w:rsid w:val="00807C8D"/>
    <w:rsid w:val="00810040"/>
    <w:rsid w:val="00810852"/>
    <w:rsid w:val="00810C10"/>
    <w:rsid w:val="00811E2E"/>
    <w:rsid w:val="008133B3"/>
    <w:rsid w:val="008134D2"/>
    <w:rsid w:val="00813C8F"/>
    <w:rsid w:val="00815EE3"/>
    <w:rsid w:val="00815EFE"/>
    <w:rsid w:val="00816000"/>
    <w:rsid w:val="00817297"/>
    <w:rsid w:val="0082023A"/>
    <w:rsid w:val="00820FFE"/>
    <w:rsid w:val="00821A7A"/>
    <w:rsid w:val="00821CD9"/>
    <w:rsid w:val="008222C6"/>
    <w:rsid w:val="00822931"/>
    <w:rsid w:val="00822F74"/>
    <w:rsid w:val="00823398"/>
    <w:rsid w:val="00823B72"/>
    <w:rsid w:val="008248EA"/>
    <w:rsid w:val="008253F8"/>
    <w:rsid w:val="0082634F"/>
    <w:rsid w:val="00830708"/>
    <w:rsid w:val="008307DF"/>
    <w:rsid w:val="0083174A"/>
    <w:rsid w:val="008317A8"/>
    <w:rsid w:val="008318BC"/>
    <w:rsid w:val="00832396"/>
    <w:rsid w:val="008325E4"/>
    <w:rsid w:val="008329A6"/>
    <w:rsid w:val="00832A2B"/>
    <w:rsid w:val="0083450A"/>
    <w:rsid w:val="008349D6"/>
    <w:rsid w:val="008351CF"/>
    <w:rsid w:val="00835216"/>
    <w:rsid w:val="0083590C"/>
    <w:rsid w:val="00836C95"/>
    <w:rsid w:val="0083772E"/>
    <w:rsid w:val="00837B20"/>
    <w:rsid w:val="00837C1B"/>
    <w:rsid w:val="0084065F"/>
    <w:rsid w:val="008449F5"/>
    <w:rsid w:val="00845216"/>
    <w:rsid w:val="008454B9"/>
    <w:rsid w:val="00845811"/>
    <w:rsid w:val="00845D2B"/>
    <w:rsid w:val="008462FD"/>
    <w:rsid w:val="00846994"/>
    <w:rsid w:val="00850451"/>
    <w:rsid w:val="008510CE"/>
    <w:rsid w:val="0085152F"/>
    <w:rsid w:val="00851746"/>
    <w:rsid w:val="00851A46"/>
    <w:rsid w:val="00851BA2"/>
    <w:rsid w:val="00852042"/>
    <w:rsid w:val="00852573"/>
    <w:rsid w:val="008527A5"/>
    <w:rsid w:val="008531CA"/>
    <w:rsid w:val="008534C9"/>
    <w:rsid w:val="008538DF"/>
    <w:rsid w:val="0085486A"/>
    <w:rsid w:val="00855872"/>
    <w:rsid w:val="0085599D"/>
    <w:rsid w:val="008560F4"/>
    <w:rsid w:val="0085626A"/>
    <w:rsid w:val="0085663A"/>
    <w:rsid w:val="00856A78"/>
    <w:rsid w:val="00856BAD"/>
    <w:rsid w:val="0086005C"/>
    <w:rsid w:val="00860522"/>
    <w:rsid w:val="00860D7F"/>
    <w:rsid w:val="0086126C"/>
    <w:rsid w:val="00861C96"/>
    <w:rsid w:val="00870056"/>
    <w:rsid w:val="0087099B"/>
    <w:rsid w:val="0087510C"/>
    <w:rsid w:val="00877035"/>
    <w:rsid w:val="0087748C"/>
    <w:rsid w:val="008775B5"/>
    <w:rsid w:val="00877B49"/>
    <w:rsid w:val="00880BAC"/>
    <w:rsid w:val="0088309A"/>
    <w:rsid w:val="00883A58"/>
    <w:rsid w:val="00883A83"/>
    <w:rsid w:val="00883A87"/>
    <w:rsid w:val="00883AEB"/>
    <w:rsid w:val="0088424F"/>
    <w:rsid w:val="00886689"/>
    <w:rsid w:val="008878E0"/>
    <w:rsid w:val="00894305"/>
    <w:rsid w:val="0089471E"/>
    <w:rsid w:val="0089583C"/>
    <w:rsid w:val="00895C66"/>
    <w:rsid w:val="008968D2"/>
    <w:rsid w:val="00896C28"/>
    <w:rsid w:val="00896F35"/>
    <w:rsid w:val="0089738E"/>
    <w:rsid w:val="00897BA4"/>
    <w:rsid w:val="008A010F"/>
    <w:rsid w:val="008A27E8"/>
    <w:rsid w:val="008A3B82"/>
    <w:rsid w:val="008A4238"/>
    <w:rsid w:val="008A4BF5"/>
    <w:rsid w:val="008A52BE"/>
    <w:rsid w:val="008A5583"/>
    <w:rsid w:val="008A7A2D"/>
    <w:rsid w:val="008B1115"/>
    <w:rsid w:val="008B1D44"/>
    <w:rsid w:val="008B2D69"/>
    <w:rsid w:val="008B5FDB"/>
    <w:rsid w:val="008B6C69"/>
    <w:rsid w:val="008B74D5"/>
    <w:rsid w:val="008C14D8"/>
    <w:rsid w:val="008C2A63"/>
    <w:rsid w:val="008C3E46"/>
    <w:rsid w:val="008C404D"/>
    <w:rsid w:val="008C50F4"/>
    <w:rsid w:val="008C556C"/>
    <w:rsid w:val="008C5649"/>
    <w:rsid w:val="008C5778"/>
    <w:rsid w:val="008C6E19"/>
    <w:rsid w:val="008C7EDA"/>
    <w:rsid w:val="008D0E24"/>
    <w:rsid w:val="008D0E46"/>
    <w:rsid w:val="008D0E76"/>
    <w:rsid w:val="008D2553"/>
    <w:rsid w:val="008D3296"/>
    <w:rsid w:val="008D346C"/>
    <w:rsid w:val="008D3A53"/>
    <w:rsid w:val="008D3F7A"/>
    <w:rsid w:val="008D4084"/>
    <w:rsid w:val="008D52EB"/>
    <w:rsid w:val="008E2EA7"/>
    <w:rsid w:val="008E44A2"/>
    <w:rsid w:val="008E557A"/>
    <w:rsid w:val="008E5B50"/>
    <w:rsid w:val="008E5CF3"/>
    <w:rsid w:val="008E697D"/>
    <w:rsid w:val="008F07E6"/>
    <w:rsid w:val="008F18DC"/>
    <w:rsid w:val="008F2C68"/>
    <w:rsid w:val="008F3D51"/>
    <w:rsid w:val="008F59F1"/>
    <w:rsid w:val="008F6FB3"/>
    <w:rsid w:val="008F7528"/>
    <w:rsid w:val="008F7550"/>
    <w:rsid w:val="009004C9"/>
    <w:rsid w:val="00903147"/>
    <w:rsid w:val="00903263"/>
    <w:rsid w:val="00904139"/>
    <w:rsid w:val="00906022"/>
    <w:rsid w:val="00906353"/>
    <w:rsid w:val="00906A21"/>
    <w:rsid w:val="009079C3"/>
    <w:rsid w:val="009100F4"/>
    <w:rsid w:val="00910462"/>
    <w:rsid w:val="0091065D"/>
    <w:rsid w:val="00911196"/>
    <w:rsid w:val="00911899"/>
    <w:rsid w:val="00912619"/>
    <w:rsid w:val="00913C8B"/>
    <w:rsid w:val="00914034"/>
    <w:rsid w:val="009148CA"/>
    <w:rsid w:val="00915AB1"/>
    <w:rsid w:val="00915D81"/>
    <w:rsid w:val="009163F3"/>
    <w:rsid w:val="00917532"/>
    <w:rsid w:val="009204B2"/>
    <w:rsid w:val="009207D4"/>
    <w:rsid w:val="00923105"/>
    <w:rsid w:val="0092336D"/>
    <w:rsid w:val="009235BA"/>
    <w:rsid w:val="00923660"/>
    <w:rsid w:val="00923C0B"/>
    <w:rsid w:val="00923E1C"/>
    <w:rsid w:val="00923FB5"/>
    <w:rsid w:val="00924023"/>
    <w:rsid w:val="009244B2"/>
    <w:rsid w:val="00924CE2"/>
    <w:rsid w:val="009257E5"/>
    <w:rsid w:val="00925814"/>
    <w:rsid w:val="00925B9F"/>
    <w:rsid w:val="00926D9E"/>
    <w:rsid w:val="00926F64"/>
    <w:rsid w:val="00931A7B"/>
    <w:rsid w:val="00931AED"/>
    <w:rsid w:val="00931D6E"/>
    <w:rsid w:val="00932E50"/>
    <w:rsid w:val="00934D89"/>
    <w:rsid w:val="00934E8B"/>
    <w:rsid w:val="00935943"/>
    <w:rsid w:val="00941C5B"/>
    <w:rsid w:val="00944940"/>
    <w:rsid w:val="009449C2"/>
    <w:rsid w:val="00945C71"/>
    <w:rsid w:val="00946217"/>
    <w:rsid w:val="00946C78"/>
    <w:rsid w:val="009474A0"/>
    <w:rsid w:val="009476A3"/>
    <w:rsid w:val="009517A9"/>
    <w:rsid w:val="009518F6"/>
    <w:rsid w:val="00951DCB"/>
    <w:rsid w:val="0095295F"/>
    <w:rsid w:val="0095334F"/>
    <w:rsid w:val="009543F6"/>
    <w:rsid w:val="009556E7"/>
    <w:rsid w:val="00957E87"/>
    <w:rsid w:val="00961613"/>
    <w:rsid w:val="00962677"/>
    <w:rsid w:val="00963AF1"/>
    <w:rsid w:val="00964FC7"/>
    <w:rsid w:val="00965897"/>
    <w:rsid w:val="00965EC4"/>
    <w:rsid w:val="0096618D"/>
    <w:rsid w:val="009663D9"/>
    <w:rsid w:val="0096765C"/>
    <w:rsid w:val="00971199"/>
    <w:rsid w:val="009727E4"/>
    <w:rsid w:val="00972C47"/>
    <w:rsid w:val="00974369"/>
    <w:rsid w:val="00974FC3"/>
    <w:rsid w:val="0097662D"/>
    <w:rsid w:val="009770DD"/>
    <w:rsid w:val="009802FD"/>
    <w:rsid w:val="00980348"/>
    <w:rsid w:val="009803E2"/>
    <w:rsid w:val="00981A4A"/>
    <w:rsid w:val="009838BE"/>
    <w:rsid w:val="00983AF9"/>
    <w:rsid w:val="00983B32"/>
    <w:rsid w:val="00985113"/>
    <w:rsid w:val="00985532"/>
    <w:rsid w:val="00986024"/>
    <w:rsid w:val="009877F6"/>
    <w:rsid w:val="009903CF"/>
    <w:rsid w:val="00990CF2"/>
    <w:rsid w:val="00990EF3"/>
    <w:rsid w:val="0099155F"/>
    <w:rsid w:val="00991871"/>
    <w:rsid w:val="00991B7B"/>
    <w:rsid w:val="009934C5"/>
    <w:rsid w:val="0099496D"/>
    <w:rsid w:val="00994C0F"/>
    <w:rsid w:val="00994C7E"/>
    <w:rsid w:val="00995647"/>
    <w:rsid w:val="00995C24"/>
    <w:rsid w:val="009964E6"/>
    <w:rsid w:val="0099720A"/>
    <w:rsid w:val="009974F6"/>
    <w:rsid w:val="00997659"/>
    <w:rsid w:val="009A0DBF"/>
    <w:rsid w:val="009A1B4A"/>
    <w:rsid w:val="009A252D"/>
    <w:rsid w:val="009A25D9"/>
    <w:rsid w:val="009A2AA1"/>
    <w:rsid w:val="009A2DAE"/>
    <w:rsid w:val="009A2F88"/>
    <w:rsid w:val="009A3703"/>
    <w:rsid w:val="009A4D58"/>
    <w:rsid w:val="009A4D8F"/>
    <w:rsid w:val="009A5D2C"/>
    <w:rsid w:val="009A609A"/>
    <w:rsid w:val="009B22D7"/>
    <w:rsid w:val="009B2352"/>
    <w:rsid w:val="009B284B"/>
    <w:rsid w:val="009B357E"/>
    <w:rsid w:val="009B3955"/>
    <w:rsid w:val="009B517E"/>
    <w:rsid w:val="009B5AB3"/>
    <w:rsid w:val="009B6890"/>
    <w:rsid w:val="009B6AC4"/>
    <w:rsid w:val="009B72ED"/>
    <w:rsid w:val="009B7A32"/>
    <w:rsid w:val="009B7E04"/>
    <w:rsid w:val="009C1103"/>
    <w:rsid w:val="009C24F1"/>
    <w:rsid w:val="009C6DEB"/>
    <w:rsid w:val="009C7156"/>
    <w:rsid w:val="009C7591"/>
    <w:rsid w:val="009C7EB7"/>
    <w:rsid w:val="009D13EC"/>
    <w:rsid w:val="009D1B9E"/>
    <w:rsid w:val="009D2DC7"/>
    <w:rsid w:val="009D64FE"/>
    <w:rsid w:val="009D6504"/>
    <w:rsid w:val="009D6B3F"/>
    <w:rsid w:val="009D739F"/>
    <w:rsid w:val="009D7FCE"/>
    <w:rsid w:val="009E0489"/>
    <w:rsid w:val="009E12D7"/>
    <w:rsid w:val="009E1D9D"/>
    <w:rsid w:val="009E1FF6"/>
    <w:rsid w:val="009E3CF0"/>
    <w:rsid w:val="009E3E73"/>
    <w:rsid w:val="009E661A"/>
    <w:rsid w:val="009E7C4D"/>
    <w:rsid w:val="009F09E7"/>
    <w:rsid w:val="009F1970"/>
    <w:rsid w:val="009F2F2F"/>
    <w:rsid w:val="009F3D5B"/>
    <w:rsid w:val="009F4BE2"/>
    <w:rsid w:val="009F504E"/>
    <w:rsid w:val="009F510F"/>
    <w:rsid w:val="009F5E76"/>
    <w:rsid w:val="009F7788"/>
    <w:rsid w:val="009F7EB6"/>
    <w:rsid w:val="00A00699"/>
    <w:rsid w:val="00A01449"/>
    <w:rsid w:val="00A01B2A"/>
    <w:rsid w:val="00A037AD"/>
    <w:rsid w:val="00A04405"/>
    <w:rsid w:val="00A05327"/>
    <w:rsid w:val="00A06019"/>
    <w:rsid w:val="00A06413"/>
    <w:rsid w:val="00A06781"/>
    <w:rsid w:val="00A06E59"/>
    <w:rsid w:val="00A074C3"/>
    <w:rsid w:val="00A07AC3"/>
    <w:rsid w:val="00A10DFA"/>
    <w:rsid w:val="00A115DA"/>
    <w:rsid w:val="00A11BF8"/>
    <w:rsid w:val="00A127DD"/>
    <w:rsid w:val="00A12CA5"/>
    <w:rsid w:val="00A13C95"/>
    <w:rsid w:val="00A1509C"/>
    <w:rsid w:val="00A1511A"/>
    <w:rsid w:val="00A1533B"/>
    <w:rsid w:val="00A171C7"/>
    <w:rsid w:val="00A20132"/>
    <w:rsid w:val="00A21688"/>
    <w:rsid w:val="00A23CE2"/>
    <w:rsid w:val="00A2468C"/>
    <w:rsid w:val="00A249B9"/>
    <w:rsid w:val="00A24E1B"/>
    <w:rsid w:val="00A261E1"/>
    <w:rsid w:val="00A27AFD"/>
    <w:rsid w:val="00A300FD"/>
    <w:rsid w:val="00A322C9"/>
    <w:rsid w:val="00A34260"/>
    <w:rsid w:val="00A34EC6"/>
    <w:rsid w:val="00A355F3"/>
    <w:rsid w:val="00A360DE"/>
    <w:rsid w:val="00A3686E"/>
    <w:rsid w:val="00A36D0A"/>
    <w:rsid w:val="00A37A9D"/>
    <w:rsid w:val="00A37DA4"/>
    <w:rsid w:val="00A40D48"/>
    <w:rsid w:val="00A40D5C"/>
    <w:rsid w:val="00A41A33"/>
    <w:rsid w:val="00A421FC"/>
    <w:rsid w:val="00A42E17"/>
    <w:rsid w:val="00A43EF4"/>
    <w:rsid w:val="00A44274"/>
    <w:rsid w:val="00A448F8"/>
    <w:rsid w:val="00A46260"/>
    <w:rsid w:val="00A50E92"/>
    <w:rsid w:val="00A5122E"/>
    <w:rsid w:val="00A5408D"/>
    <w:rsid w:val="00A540EB"/>
    <w:rsid w:val="00A54A7A"/>
    <w:rsid w:val="00A54E6A"/>
    <w:rsid w:val="00A55689"/>
    <w:rsid w:val="00A55717"/>
    <w:rsid w:val="00A55BF9"/>
    <w:rsid w:val="00A56011"/>
    <w:rsid w:val="00A56935"/>
    <w:rsid w:val="00A5768F"/>
    <w:rsid w:val="00A602EC"/>
    <w:rsid w:val="00A608A9"/>
    <w:rsid w:val="00A61BA7"/>
    <w:rsid w:val="00A6271F"/>
    <w:rsid w:val="00A62F82"/>
    <w:rsid w:val="00A63FE6"/>
    <w:rsid w:val="00A64238"/>
    <w:rsid w:val="00A64E0A"/>
    <w:rsid w:val="00A650B0"/>
    <w:rsid w:val="00A65A0F"/>
    <w:rsid w:val="00A667E0"/>
    <w:rsid w:val="00A70CFD"/>
    <w:rsid w:val="00A72A0B"/>
    <w:rsid w:val="00A72B7A"/>
    <w:rsid w:val="00A73351"/>
    <w:rsid w:val="00A74A58"/>
    <w:rsid w:val="00A75503"/>
    <w:rsid w:val="00A769BC"/>
    <w:rsid w:val="00A777B1"/>
    <w:rsid w:val="00A80150"/>
    <w:rsid w:val="00A80923"/>
    <w:rsid w:val="00A80D2B"/>
    <w:rsid w:val="00A814F9"/>
    <w:rsid w:val="00A81E42"/>
    <w:rsid w:val="00A822C2"/>
    <w:rsid w:val="00A82741"/>
    <w:rsid w:val="00A82EAC"/>
    <w:rsid w:val="00A830CF"/>
    <w:rsid w:val="00A83C48"/>
    <w:rsid w:val="00A83D9E"/>
    <w:rsid w:val="00A8408C"/>
    <w:rsid w:val="00A84311"/>
    <w:rsid w:val="00A84753"/>
    <w:rsid w:val="00A85B4B"/>
    <w:rsid w:val="00A85F2F"/>
    <w:rsid w:val="00A864FE"/>
    <w:rsid w:val="00A86F41"/>
    <w:rsid w:val="00A87399"/>
    <w:rsid w:val="00A87484"/>
    <w:rsid w:val="00A87D04"/>
    <w:rsid w:val="00A913AB"/>
    <w:rsid w:val="00A93138"/>
    <w:rsid w:val="00A93352"/>
    <w:rsid w:val="00A93553"/>
    <w:rsid w:val="00A93B2A"/>
    <w:rsid w:val="00A93B46"/>
    <w:rsid w:val="00A93C88"/>
    <w:rsid w:val="00A950C5"/>
    <w:rsid w:val="00A95580"/>
    <w:rsid w:val="00A95ABA"/>
    <w:rsid w:val="00A95C29"/>
    <w:rsid w:val="00A95DCC"/>
    <w:rsid w:val="00A95FC6"/>
    <w:rsid w:val="00A962E0"/>
    <w:rsid w:val="00A967C4"/>
    <w:rsid w:val="00A976BF"/>
    <w:rsid w:val="00A9783A"/>
    <w:rsid w:val="00A97ABE"/>
    <w:rsid w:val="00AA0295"/>
    <w:rsid w:val="00AA1D25"/>
    <w:rsid w:val="00AA26CB"/>
    <w:rsid w:val="00AA5591"/>
    <w:rsid w:val="00AA653D"/>
    <w:rsid w:val="00AA6B1C"/>
    <w:rsid w:val="00AA7765"/>
    <w:rsid w:val="00AA79BD"/>
    <w:rsid w:val="00AA7ADE"/>
    <w:rsid w:val="00AB0AA5"/>
    <w:rsid w:val="00AB13FA"/>
    <w:rsid w:val="00AB1F89"/>
    <w:rsid w:val="00AB2B1A"/>
    <w:rsid w:val="00AB2C10"/>
    <w:rsid w:val="00AB324C"/>
    <w:rsid w:val="00AB376C"/>
    <w:rsid w:val="00AB397F"/>
    <w:rsid w:val="00AB3D70"/>
    <w:rsid w:val="00AB5832"/>
    <w:rsid w:val="00AB6388"/>
    <w:rsid w:val="00AB6CD1"/>
    <w:rsid w:val="00AC13DD"/>
    <w:rsid w:val="00AC3215"/>
    <w:rsid w:val="00AC36E6"/>
    <w:rsid w:val="00AC51F2"/>
    <w:rsid w:val="00AC52F0"/>
    <w:rsid w:val="00AC544E"/>
    <w:rsid w:val="00AC66BE"/>
    <w:rsid w:val="00AC7118"/>
    <w:rsid w:val="00AD26F4"/>
    <w:rsid w:val="00AD3269"/>
    <w:rsid w:val="00AD375B"/>
    <w:rsid w:val="00AD40C8"/>
    <w:rsid w:val="00AD49F7"/>
    <w:rsid w:val="00AD5F22"/>
    <w:rsid w:val="00AD64DE"/>
    <w:rsid w:val="00AD69F4"/>
    <w:rsid w:val="00AD6CEB"/>
    <w:rsid w:val="00AD6DA6"/>
    <w:rsid w:val="00AD7D6D"/>
    <w:rsid w:val="00AD7F8B"/>
    <w:rsid w:val="00AE06C0"/>
    <w:rsid w:val="00AE0D95"/>
    <w:rsid w:val="00AE1099"/>
    <w:rsid w:val="00AE3342"/>
    <w:rsid w:val="00AE5066"/>
    <w:rsid w:val="00AE5442"/>
    <w:rsid w:val="00AE5870"/>
    <w:rsid w:val="00AE5E24"/>
    <w:rsid w:val="00AE61B7"/>
    <w:rsid w:val="00AE6CBA"/>
    <w:rsid w:val="00AE79AD"/>
    <w:rsid w:val="00AE7FE4"/>
    <w:rsid w:val="00AF0002"/>
    <w:rsid w:val="00AF151D"/>
    <w:rsid w:val="00AF33D0"/>
    <w:rsid w:val="00AF35E4"/>
    <w:rsid w:val="00AF4282"/>
    <w:rsid w:val="00AF47AD"/>
    <w:rsid w:val="00AF4A67"/>
    <w:rsid w:val="00AF5CDE"/>
    <w:rsid w:val="00AF78E4"/>
    <w:rsid w:val="00B00182"/>
    <w:rsid w:val="00B0125A"/>
    <w:rsid w:val="00B01A3C"/>
    <w:rsid w:val="00B01D24"/>
    <w:rsid w:val="00B02BDE"/>
    <w:rsid w:val="00B03244"/>
    <w:rsid w:val="00B040C9"/>
    <w:rsid w:val="00B067C3"/>
    <w:rsid w:val="00B07588"/>
    <w:rsid w:val="00B0776B"/>
    <w:rsid w:val="00B07C76"/>
    <w:rsid w:val="00B11A57"/>
    <w:rsid w:val="00B1311E"/>
    <w:rsid w:val="00B13BD4"/>
    <w:rsid w:val="00B1677B"/>
    <w:rsid w:val="00B169CD"/>
    <w:rsid w:val="00B178B8"/>
    <w:rsid w:val="00B211C3"/>
    <w:rsid w:val="00B214E7"/>
    <w:rsid w:val="00B23282"/>
    <w:rsid w:val="00B23602"/>
    <w:rsid w:val="00B24859"/>
    <w:rsid w:val="00B24A28"/>
    <w:rsid w:val="00B25193"/>
    <w:rsid w:val="00B251FB"/>
    <w:rsid w:val="00B25597"/>
    <w:rsid w:val="00B267B9"/>
    <w:rsid w:val="00B2738D"/>
    <w:rsid w:val="00B30611"/>
    <w:rsid w:val="00B31513"/>
    <w:rsid w:val="00B317E2"/>
    <w:rsid w:val="00B31CDE"/>
    <w:rsid w:val="00B32D5E"/>
    <w:rsid w:val="00B33240"/>
    <w:rsid w:val="00B336EA"/>
    <w:rsid w:val="00B33E09"/>
    <w:rsid w:val="00B34211"/>
    <w:rsid w:val="00B35685"/>
    <w:rsid w:val="00B36638"/>
    <w:rsid w:val="00B37824"/>
    <w:rsid w:val="00B3790C"/>
    <w:rsid w:val="00B41E90"/>
    <w:rsid w:val="00B420EF"/>
    <w:rsid w:val="00B43A32"/>
    <w:rsid w:val="00B43CEE"/>
    <w:rsid w:val="00B4541B"/>
    <w:rsid w:val="00B45DC2"/>
    <w:rsid w:val="00B46A77"/>
    <w:rsid w:val="00B47B79"/>
    <w:rsid w:val="00B50708"/>
    <w:rsid w:val="00B50C68"/>
    <w:rsid w:val="00B51293"/>
    <w:rsid w:val="00B52775"/>
    <w:rsid w:val="00B527B6"/>
    <w:rsid w:val="00B528E4"/>
    <w:rsid w:val="00B52B1E"/>
    <w:rsid w:val="00B535B1"/>
    <w:rsid w:val="00B553E7"/>
    <w:rsid w:val="00B55481"/>
    <w:rsid w:val="00B559FF"/>
    <w:rsid w:val="00B55ECA"/>
    <w:rsid w:val="00B5640C"/>
    <w:rsid w:val="00B56C32"/>
    <w:rsid w:val="00B57346"/>
    <w:rsid w:val="00B57391"/>
    <w:rsid w:val="00B57ACF"/>
    <w:rsid w:val="00B60434"/>
    <w:rsid w:val="00B60499"/>
    <w:rsid w:val="00B61B4C"/>
    <w:rsid w:val="00B63C09"/>
    <w:rsid w:val="00B64BB1"/>
    <w:rsid w:val="00B64E3C"/>
    <w:rsid w:val="00B65B04"/>
    <w:rsid w:val="00B668AF"/>
    <w:rsid w:val="00B7296D"/>
    <w:rsid w:val="00B73166"/>
    <w:rsid w:val="00B73582"/>
    <w:rsid w:val="00B73DD1"/>
    <w:rsid w:val="00B7414E"/>
    <w:rsid w:val="00B743F6"/>
    <w:rsid w:val="00B745CE"/>
    <w:rsid w:val="00B746F6"/>
    <w:rsid w:val="00B75CBF"/>
    <w:rsid w:val="00B76A42"/>
    <w:rsid w:val="00B77663"/>
    <w:rsid w:val="00B808B0"/>
    <w:rsid w:val="00B80BC0"/>
    <w:rsid w:val="00B8374B"/>
    <w:rsid w:val="00B83BB5"/>
    <w:rsid w:val="00B8426C"/>
    <w:rsid w:val="00B86612"/>
    <w:rsid w:val="00B900D3"/>
    <w:rsid w:val="00B91566"/>
    <w:rsid w:val="00B91B8D"/>
    <w:rsid w:val="00B91BC5"/>
    <w:rsid w:val="00B92060"/>
    <w:rsid w:val="00B92B53"/>
    <w:rsid w:val="00B934F9"/>
    <w:rsid w:val="00B93E2A"/>
    <w:rsid w:val="00B93FDB"/>
    <w:rsid w:val="00B94606"/>
    <w:rsid w:val="00B94E90"/>
    <w:rsid w:val="00B96834"/>
    <w:rsid w:val="00B97932"/>
    <w:rsid w:val="00BA2361"/>
    <w:rsid w:val="00BA43BC"/>
    <w:rsid w:val="00BA6EC7"/>
    <w:rsid w:val="00BA798E"/>
    <w:rsid w:val="00BB0A82"/>
    <w:rsid w:val="00BB2E33"/>
    <w:rsid w:val="00BB51FF"/>
    <w:rsid w:val="00BB7246"/>
    <w:rsid w:val="00BB7C94"/>
    <w:rsid w:val="00BC0698"/>
    <w:rsid w:val="00BC0853"/>
    <w:rsid w:val="00BC0A9D"/>
    <w:rsid w:val="00BC271C"/>
    <w:rsid w:val="00BC3C03"/>
    <w:rsid w:val="00BC3E40"/>
    <w:rsid w:val="00BC4691"/>
    <w:rsid w:val="00BC6375"/>
    <w:rsid w:val="00BC707A"/>
    <w:rsid w:val="00BC7DBF"/>
    <w:rsid w:val="00BD05C7"/>
    <w:rsid w:val="00BD0A09"/>
    <w:rsid w:val="00BD1007"/>
    <w:rsid w:val="00BD3D27"/>
    <w:rsid w:val="00BD42BF"/>
    <w:rsid w:val="00BD5D7D"/>
    <w:rsid w:val="00BD78E3"/>
    <w:rsid w:val="00BD794E"/>
    <w:rsid w:val="00BE055A"/>
    <w:rsid w:val="00BE21D1"/>
    <w:rsid w:val="00BE2722"/>
    <w:rsid w:val="00BE3151"/>
    <w:rsid w:val="00BE47FA"/>
    <w:rsid w:val="00BE4BE2"/>
    <w:rsid w:val="00BE53CD"/>
    <w:rsid w:val="00BE59C1"/>
    <w:rsid w:val="00BE5CE1"/>
    <w:rsid w:val="00BE675C"/>
    <w:rsid w:val="00BE7E49"/>
    <w:rsid w:val="00BF1BE3"/>
    <w:rsid w:val="00BF2C02"/>
    <w:rsid w:val="00BF345A"/>
    <w:rsid w:val="00BF40ED"/>
    <w:rsid w:val="00BF42BE"/>
    <w:rsid w:val="00BF432D"/>
    <w:rsid w:val="00BF5BC2"/>
    <w:rsid w:val="00BF70CB"/>
    <w:rsid w:val="00C002D8"/>
    <w:rsid w:val="00C026B8"/>
    <w:rsid w:val="00C04264"/>
    <w:rsid w:val="00C04A0D"/>
    <w:rsid w:val="00C04B4B"/>
    <w:rsid w:val="00C06537"/>
    <w:rsid w:val="00C06DA0"/>
    <w:rsid w:val="00C07282"/>
    <w:rsid w:val="00C075A0"/>
    <w:rsid w:val="00C07C2E"/>
    <w:rsid w:val="00C10162"/>
    <w:rsid w:val="00C1024E"/>
    <w:rsid w:val="00C1133D"/>
    <w:rsid w:val="00C12ACF"/>
    <w:rsid w:val="00C13C7D"/>
    <w:rsid w:val="00C14E19"/>
    <w:rsid w:val="00C1741B"/>
    <w:rsid w:val="00C17B07"/>
    <w:rsid w:val="00C17EC5"/>
    <w:rsid w:val="00C20A63"/>
    <w:rsid w:val="00C21135"/>
    <w:rsid w:val="00C223EA"/>
    <w:rsid w:val="00C2389C"/>
    <w:rsid w:val="00C23D9C"/>
    <w:rsid w:val="00C248C9"/>
    <w:rsid w:val="00C260A4"/>
    <w:rsid w:val="00C27A08"/>
    <w:rsid w:val="00C31312"/>
    <w:rsid w:val="00C31E36"/>
    <w:rsid w:val="00C32303"/>
    <w:rsid w:val="00C3241B"/>
    <w:rsid w:val="00C32456"/>
    <w:rsid w:val="00C326C6"/>
    <w:rsid w:val="00C32B51"/>
    <w:rsid w:val="00C33642"/>
    <w:rsid w:val="00C343DE"/>
    <w:rsid w:val="00C35295"/>
    <w:rsid w:val="00C36ADD"/>
    <w:rsid w:val="00C36D57"/>
    <w:rsid w:val="00C36E27"/>
    <w:rsid w:val="00C36E74"/>
    <w:rsid w:val="00C37CD3"/>
    <w:rsid w:val="00C40595"/>
    <w:rsid w:val="00C41458"/>
    <w:rsid w:val="00C41621"/>
    <w:rsid w:val="00C43127"/>
    <w:rsid w:val="00C43999"/>
    <w:rsid w:val="00C449FA"/>
    <w:rsid w:val="00C461DE"/>
    <w:rsid w:val="00C46C5E"/>
    <w:rsid w:val="00C46D66"/>
    <w:rsid w:val="00C50449"/>
    <w:rsid w:val="00C51BF1"/>
    <w:rsid w:val="00C5355C"/>
    <w:rsid w:val="00C5384F"/>
    <w:rsid w:val="00C54782"/>
    <w:rsid w:val="00C55717"/>
    <w:rsid w:val="00C56964"/>
    <w:rsid w:val="00C575CE"/>
    <w:rsid w:val="00C60009"/>
    <w:rsid w:val="00C60EAD"/>
    <w:rsid w:val="00C6184A"/>
    <w:rsid w:val="00C61C15"/>
    <w:rsid w:val="00C627C8"/>
    <w:rsid w:val="00C656D5"/>
    <w:rsid w:val="00C662DD"/>
    <w:rsid w:val="00C66798"/>
    <w:rsid w:val="00C66916"/>
    <w:rsid w:val="00C67103"/>
    <w:rsid w:val="00C705AE"/>
    <w:rsid w:val="00C71BB9"/>
    <w:rsid w:val="00C71C4A"/>
    <w:rsid w:val="00C725F5"/>
    <w:rsid w:val="00C7349C"/>
    <w:rsid w:val="00C734FF"/>
    <w:rsid w:val="00C73DE5"/>
    <w:rsid w:val="00C73E28"/>
    <w:rsid w:val="00C7519E"/>
    <w:rsid w:val="00C751D7"/>
    <w:rsid w:val="00C75A67"/>
    <w:rsid w:val="00C80865"/>
    <w:rsid w:val="00C81F0F"/>
    <w:rsid w:val="00C82BBB"/>
    <w:rsid w:val="00C82D81"/>
    <w:rsid w:val="00C82E2F"/>
    <w:rsid w:val="00C839EF"/>
    <w:rsid w:val="00C83CD4"/>
    <w:rsid w:val="00C847A1"/>
    <w:rsid w:val="00C856BD"/>
    <w:rsid w:val="00C870F4"/>
    <w:rsid w:val="00C90521"/>
    <w:rsid w:val="00C90CE1"/>
    <w:rsid w:val="00C92015"/>
    <w:rsid w:val="00C92EB8"/>
    <w:rsid w:val="00C94C28"/>
    <w:rsid w:val="00C97359"/>
    <w:rsid w:val="00CA0231"/>
    <w:rsid w:val="00CA0748"/>
    <w:rsid w:val="00CA118B"/>
    <w:rsid w:val="00CA2993"/>
    <w:rsid w:val="00CA30D4"/>
    <w:rsid w:val="00CA3735"/>
    <w:rsid w:val="00CA4DF6"/>
    <w:rsid w:val="00CA5AE8"/>
    <w:rsid w:val="00CA5F71"/>
    <w:rsid w:val="00CB021D"/>
    <w:rsid w:val="00CB0247"/>
    <w:rsid w:val="00CB06C1"/>
    <w:rsid w:val="00CB22CB"/>
    <w:rsid w:val="00CB2409"/>
    <w:rsid w:val="00CB27DA"/>
    <w:rsid w:val="00CB3440"/>
    <w:rsid w:val="00CB42FD"/>
    <w:rsid w:val="00CB46CE"/>
    <w:rsid w:val="00CB4911"/>
    <w:rsid w:val="00CB60E5"/>
    <w:rsid w:val="00CB6455"/>
    <w:rsid w:val="00CB7CDA"/>
    <w:rsid w:val="00CC1020"/>
    <w:rsid w:val="00CC145A"/>
    <w:rsid w:val="00CC1692"/>
    <w:rsid w:val="00CC17EA"/>
    <w:rsid w:val="00CC4153"/>
    <w:rsid w:val="00CC6C02"/>
    <w:rsid w:val="00CC7CDE"/>
    <w:rsid w:val="00CD0366"/>
    <w:rsid w:val="00CD0E9B"/>
    <w:rsid w:val="00CD123A"/>
    <w:rsid w:val="00CD138B"/>
    <w:rsid w:val="00CD179E"/>
    <w:rsid w:val="00CD2153"/>
    <w:rsid w:val="00CD3914"/>
    <w:rsid w:val="00CD3E31"/>
    <w:rsid w:val="00CD585C"/>
    <w:rsid w:val="00CD69A6"/>
    <w:rsid w:val="00CD74A3"/>
    <w:rsid w:val="00CD7AA4"/>
    <w:rsid w:val="00CD7BAD"/>
    <w:rsid w:val="00CE0527"/>
    <w:rsid w:val="00CE14F0"/>
    <w:rsid w:val="00CE3428"/>
    <w:rsid w:val="00CE4915"/>
    <w:rsid w:val="00CE4B10"/>
    <w:rsid w:val="00CE5355"/>
    <w:rsid w:val="00CE57C5"/>
    <w:rsid w:val="00CE59F4"/>
    <w:rsid w:val="00CE5B23"/>
    <w:rsid w:val="00CE5B78"/>
    <w:rsid w:val="00CF040E"/>
    <w:rsid w:val="00CF0BBB"/>
    <w:rsid w:val="00CF0DFA"/>
    <w:rsid w:val="00CF24D0"/>
    <w:rsid w:val="00CF258A"/>
    <w:rsid w:val="00CF6AFD"/>
    <w:rsid w:val="00CF70AD"/>
    <w:rsid w:val="00CF70C9"/>
    <w:rsid w:val="00CF7729"/>
    <w:rsid w:val="00D00059"/>
    <w:rsid w:val="00D00523"/>
    <w:rsid w:val="00D008D3"/>
    <w:rsid w:val="00D00CF3"/>
    <w:rsid w:val="00D012E3"/>
    <w:rsid w:val="00D0172E"/>
    <w:rsid w:val="00D01995"/>
    <w:rsid w:val="00D02BF2"/>
    <w:rsid w:val="00D04DB1"/>
    <w:rsid w:val="00D05016"/>
    <w:rsid w:val="00D067D5"/>
    <w:rsid w:val="00D06A1E"/>
    <w:rsid w:val="00D0728B"/>
    <w:rsid w:val="00D10389"/>
    <w:rsid w:val="00D107FA"/>
    <w:rsid w:val="00D10A98"/>
    <w:rsid w:val="00D10DF4"/>
    <w:rsid w:val="00D11DDE"/>
    <w:rsid w:val="00D12275"/>
    <w:rsid w:val="00D12568"/>
    <w:rsid w:val="00D12766"/>
    <w:rsid w:val="00D141F2"/>
    <w:rsid w:val="00D15869"/>
    <w:rsid w:val="00D1798F"/>
    <w:rsid w:val="00D179CA"/>
    <w:rsid w:val="00D20D94"/>
    <w:rsid w:val="00D20FF4"/>
    <w:rsid w:val="00D2493A"/>
    <w:rsid w:val="00D24D2C"/>
    <w:rsid w:val="00D252FB"/>
    <w:rsid w:val="00D26556"/>
    <w:rsid w:val="00D27CD8"/>
    <w:rsid w:val="00D27D03"/>
    <w:rsid w:val="00D301C6"/>
    <w:rsid w:val="00D30B06"/>
    <w:rsid w:val="00D323BD"/>
    <w:rsid w:val="00D331F9"/>
    <w:rsid w:val="00D33E80"/>
    <w:rsid w:val="00D35881"/>
    <w:rsid w:val="00D37C9F"/>
    <w:rsid w:val="00D40152"/>
    <w:rsid w:val="00D4123F"/>
    <w:rsid w:val="00D42BF5"/>
    <w:rsid w:val="00D4300D"/>
    <w:rsid w:val="00D43936"/>
    <w:rsid w:val="00D43A4F"/>
    <w:rsid w:val="00D44CEC"/>
    <w:rsid w:val="00D46339"/>
    <w:rsid w:val="00D50811"/>
    <w:rsid w:val="00D50EBB"/>
    <w:rsid w:val="00D512F1"/>
    <w:rsid w:val="00D5371E"/>
    <w:rsid w:val="00D540BF"/>
    <w:rsid w:val="00D54E30"/>
    <w:rsid w:val="00D54EDD"/>
    <w:rsid w:val="00D573AC"/>
    <w:rsid w:val="00D57F85"/>
    <w:rsid w:val="00D605BB"/>
    <w:rsid w:val="00D610F7"/>
    <w:rsid w:val="00D61A25"/>
    <w:rsid w:val="00D61A42"/>
    <w:rsid w:val="00D62347"/>
    <w:rsid w:val="00D637B0"/>
    <w:rsid w:val="00D63A58"/>
    <w:rsid w:val="00D63EA6"/>
    <w:rsid w:val="00D64776"/>
    <w:rsid w:val="00D670E1"/>
    <w:rsid w:val="00D67724"/>
    <w:rsid w:val="00D70395"/>
    <w:rsid w:val="00D713F9"/>
    <w:rsid w:val="00D71596"/>
    <w:rsid w:val="00D72F9A"/>
    <w:rsid w:val="00D72FFE"/>
    <w:rsid w:val="00D7308B"/>
    <w:rsid w:val="00D74FBC"/>
    <w:rsid w:val="00D7580A"/>
    <w:rsid w:val="00D77B53"/>
    <w:rsid w:val="00D80972"/>
    <w:rsid w:val="00D80E32"/>
    <w:rsid w:val="00D81481"/>
    <w:rsid w:val="00D82047"/>
    <w:rsid w:val="00D82E9C"/>
    <w:rsid w:val="00D8455E"/>
    <w:rsid w:val="00D864FF"/>
    <w:rsid w:val="00D86F4B"/>
    <w:rsid w:val="00D8748E"/>
    <w:rsid w:val="00D87924"/>
    <w:rsid w:val="00D90DAE"/>
    <w:rsid w:val="00D93860"/>
    <w:rsid w:val="00D93DA1"/>
    <w:rsid w:val="00D942EE"/>
    <w:rsid w:val="00D944A9"/>
    <w:rsid w:val="00D9482D"/>
    <w:rsid w:val="00D94E4D"/>
    <w:rsid w:val="00D952EA"/>
    <w:rsid w:val="00D95975"/>
    <w:rsid w:val="00D9776F"/>
    <w:rsid w:val="00D9787A"/>
    <w:rsid w:val="00D97B39"/>
    <w:rsid w:val="00D97F62"/>
    <w:rsid w:val="00DA0160"/>
    <w:rsid w:val="00DA17A7"/>
    <w:rsid w:val="00DA257D"/>
    <w:rsid w:val="00DA3AD9"/>
    <w:rsid w:val="00DA620A"/>
    <w:rsid w:val="00DA7DA5"/>
    <w:rsid w:val="00DB004D"/>
    <w:rsid w:val="00DB073B"/>
    <w:rsid w:val="00DB09CA"/>
    <w:rsid w:val="00DB0AFC"/>
    <w:rsid w:val="00DB36EB"/>
    <w:rsid w:val="00DB3860"/>
    <w:rsid w:val="00DB4668"/>
    <w:rsid w:val="00DB4903"/>
    <w:rsid w:val="00DB733C"/>
    <w:rsid w:val="00DB74B1"/>
    <w:rsid w:val="00DB78F0"/>
    <w:rsid w:val="00DC08C6"/>
    <w:rsid w:val="00DC0CEA"/>
    <w:rsid w:val="00DC2A04"/>
    <w:rsid w:val="00DC2E43"/>
    <w:rsid w:val="00DC2EA6"/>
    <w:rsid w:val="00DC41F3"/>
    <w:rsid w:val="00DC497E"/>
    <w:rsid w:val="00DC6B94"/>
    <w:rsid w:val="00DC6D7A"/>
    <w:rsid w:val="00DC75A3"/>
    <w:rsid w:val="00DC79BB"/>
    <w:rsid w:val="00DD0195"/>
    <w:rsid w:val="00DD095C"/>
    <w:rsid w:val="00DD1020"/>
    <w:rsid w:val="00DD116F"/>
    <w:rsid w:val="00DD1330"/>
    <w:rsid w:val="00DD3A68"/>
    <w:rsid w:val="00DD3BCB"/>
    <w:rsid w:val="00DD4A5E"/>
    <w:rsid w:val="00DD54D8"/>
    <w:rsid w:val="00DD5FC0"/>
    <w:rsid w:val="00DE0B83"/>
    <w:rsid w:val="00DE1A81"/>
    <w:rsid w:val="00DE1C13"/>
    <w:rsid w:val="00DE304C"/>
    <w:rsid w:val="00DE4E10"/>
    <w:rsid w:val="00DE5F15"/>
    <w:rsid w:val="00DE75CD"/>
    <w:rsid w:val="00DE7DB3"/>
    <w:rsid w:val="00DF0255"/>
    <w:rsid w:val="00DF1CE9"/>
    <w:rsid w:val="00DF20A9"/>
    <w:rsid w:val="00DF4762"/>
    <w:rsid w:val="00DF53BC"/>
    <w:rsid w:val="00DF5AED"/>
    <w:rsid w:val="00DF5EAF"/>
    <w:rsid w:val="00DF625B"/>
    <w:rsid w:val="00DF75CC"/>
    <w:rsid w:val="00DF7990"/>
    <w:rsid w:val="00E00248"/>
    <w:rsid w:val="00E01797"/>
    <w:rsid w:val="00E02AB3"/>
    <w:rsid w:val="00E02ABF"/>
    <w:rsid w:val="00E0409F"/>
    <w:rsid w:val="00E07250"/>
    <w:rsid w:val="00E07D4E"/>
    <w:rsid w:val="00E108F4"/>
    <w:rsid w:val="00E13687"/>
    <w:rsid w:val="00E14693"/>
    <w:rsid w:val="00E147B7"/>
    <w:rsid w:val="00E14995"/>
    <w:rsid w:val="00E14C68"/>
    <w:rsid w:val="00E1641A"/>
    <w:rsid w:val="00E16527"/>
    <w:rsid w:val="00E16AB5"/>
    <w:rsid w:val="00E179CD"/>
    <w:rsid w:val="00E20E4E"/>
    <w:rsid w:val="00E228D7"/>
    <w:rsid w:val="00E22DB9"/>
    <w:rsid w:val="00E23E8D"/>
    <w:rsid w:val="00E249B0"/>
    <w:rsid w:val="00E26599"/>
    <w:rsid w:val="00E26916"/>
    <w:rsid w:val="00E27B6F"/>
    <w:rsid w:val="00E324EC"/>
    <w:rsid w:val="00E3333D"/>
    <w:rsid w:val="00E33FE5"/>
    <w:rsid w:val="00E349A0"/>
    <w:rsid w:val="00E35DE9"/>
    <w:rsid w:val="00E36055"/>
    <w:rsid w:val="00E36C71"/>
    <w:rsid w:val="00E37956"/>
    <w:rsid w:val="00E37A18"/>
    <w:rsid w:val="00E37C28"/>
    <w:rsid w:val="00E37CB1"/>
    <w:rsid w:val="00E37F98"/>
    <w:rsid w:val="00E40784"/>
    <w:rsid w:val="00E4091E"/>
    <w:rsid w:val="00E413D5"/>
    <w:rsid w:val="00E414A9"/>
    <w:rsid w:val="00E42060"/>
    <w:rsid w:val="00E426A1"/>
    <w:rsid w:val="00E42AF4"/>
    <w:rsid w:val="00E42CB2"/>
    <w:rsid w:val="00E42FAA"/>
    <w:rsid w:val="00E43940"/>
    <w:rsid w:val="00E43F7F"/>
    <w:rsid w:val="00E46559"/>
    <w:rsid w:val="00E47F48"/>
    <w:rsid w:val="00E500FF"/>
    <w:rsid w:val="00E51589"/>
    <w:rsid w:val="00E52BCD"/>
    <w:rsid w:val="00E544C6"/>
    <w:rsid w:val="00E5511E"/>
    <w:rsid w:val="00E55A46"/>
    <w:rsid w:val="00E55F06"/>
    <w:rsid w:val="00E573FC"/>
    <w:rsid w:val="00E618CD"/>
    <w:rsid w:val="00E619C2"/>
    <w:rsid w:val="00E61B10"/>
    <w:rsid w:val="00E62343"/>
    <w:rsid w:val="00E62391"/>
    <w:rsid w:val="00E63B72"/>
    <w:rsid w:val="00E64168"/>
    <w:rsid w:val="00E64942"/>
    <w:rsid w:val="00E64C90"/>
    <w:rsid w:val="00E6670C"/>
    <w:rsid w:val="00E66B11"/>
    <w:rsid w:val="00E71CF3"/>
    <w:rsid w:val="00E721EC"/>
    <w:rsid w:val="00E745C6"/>
    <w:rsid w:val="00E746FD"/>
    <w:rsid w:val="00E75E98"/>
    <w:rsid w:val="00E776E8"/>
    <w:rsid w:val="00E77B60"/>
    <w:rsid w:val="00E80A8C"/>
    <w:rsid w:val="00E8120A"/>
    <w:rsid w:val="00E81406"/>
    <w:rsid w:val="00E825DA"/>
    <w:rsid w:val="00E82925"/>
    <w:rsid w:val="00E82C5C"/>
    <w:rsid w:val="00E82CAE"/>
    <w:rsid w:val="00E8346E"/>
    <w:rsid w:val="00E84BBE"/>
    <w:rsid w:val="00E85774"/>
    <w:rsid w:val="00E870E3"/>
    <w:rsid w:val="00E87150"/>
    <w:rsid w:val="00E91DA9"/>
    <w:rsid w:val="00E92152"/>
    <w:rsid w:val="00E9243B"/>
    <w:rsid w:val="00E92C1F"/>
    <w:rsid w:val="00E92E4A"/>
    <w:rsid w:val="00E936BD"/>
    <w:rsid w:val="00E937BB"/>
    <w:rsid w:val="00E93FED"/>
    <w:rsid w:val="00E940AE"/>
    <w:rsid w:val="00E944FB"/>
    <w:rsid w:val="00E953F3"/>
    <w:rsid w:val="00E95B50"/>
    <w:rsid w:val="00E95D4B"/>
    <w:rsid w:val="00E968BC"/>
    <w:rsid w:val="00E97B17"/>
    <w:rsid w:val="00EA069B"/>
    <w:rsid w:val="00EA0AB9"/>
    <w:rsid w:val="00EA1EB2"/>
    <w:rsid w:val="00EA2042"/>
    <w:rsid w:val="00EA2188"/>
    <w:rsid w:val="00EA41DB"/>
    <w:rsid w:val="00EA5DD5"/>
    <w:rsid w:val="00EA6F04"/>
    <w:rsid w:val="00EA7336"/>
    <w:rsid w:val="00EA7DAF"/>
    <w:rsid w:val="00EB05A6"/>
    <w:rsid w:val="00EB0EE2"/>
    <w:rsid w:val="00EB1320"/>
    <w:rsid w:val="00EB15C0"/>
    <w:rsid w:val="00EB199F"/>
    <w:rsid w:val="00EB1DAA"/>
    <w:rsid w:val="00EB24D2"/>
    <w:rsid w:val="00EB3A86"/>
    <w:rsid w:val="00EB3C1B"/>
    <w:rsid w:val="00EB3C44"/>
    <w:rsid w:val="00EB446D"/>
    <w:rsid w:val="00EB4CCB"/>
    <w:rsid w:val="00EB6568"/>
    <w:rsid w:val="00EB6A0D"/>
    <w:rsid w:val="00EB7DF7"/>
    <w:rsid w:val="00EC0289"/>
    <w:rsid w:val="00EC0D4C"/>
    <w:rsid w:val="00EC23F7"/>
    <w:rsid w:val="00EC348B"/>
    <w:rsid w:val="00EC4932"/>
    <w:rsid w:val="00EC4BD8"/>
    <w:rsid w:val="00EC59DC"/>
    <w:rsid w:val="00EC60A6"/>
    <w:rsid w:val="00EC62E1"/>
    <w:rsid w:val="00EC63EB"/>
    <w:rsid w:val="00EC6DC0"/>
    <w:rsid w:val="00EC7041"/>
    <w:rsid w:val="00ED0AFC"/>
    <w:rsid w:val="00ED1AE1"/>
    <w:rsid w:val="00ED2199"/>
    <w:rsid w:val="00ED2F4F"/>
    <w:rsid w:val="00ED3F67"/>
    <w:rsid w:val="00ED412F"/>
    <w:rsid w:val="00ED47D5"/>
    <w:rsid w:val="00ED5A6C"/>
    <w:rsid w:val="00ED7395"/>
    <w:rsid w:val="00ED7893"/>
    <w:rsid w:val="00EE00A4"/>
    <w:rsid w:val="00EE14E4"/>
    <w:rsid w:val="00EE2284"/>
    <w:rsid w:val="00EE3A0D"/>
    <w:rsid w:val="00EE52D2"/>
    <w:rsid w:val="00EE58AC"/>
    <w:rsid w:val="00EE5EE2"/>
    <w:rsid w:val="00EE7D7D"/>
    <w:rsid w:val="00EF069F"/>
    <w:rsid w:val="00EF1BFD"/>
    <w:rsid w:val="00EF31CA"/>
    <w:rsid w:val="00EF36B2"/>
    <w:rsid w:val="00EF43EE"/>
    <w:rsid w:val="00EF483A"/>
    <w:rsid w:val="00EF4BF7"/>
    <w:rsid w:val="00EF5A6E"/>
    <w:rsid w:val="00EF646F"/>
    <w:rsid w:val="00F016A9"/>
    <w:rsid w:val="00F0254E"/>
    <w:rsid w:val="00F049A8"/>
    <w:rsid w:val="00F04DA6"/>
    <w:rsid w:val="00F04E22"/>
    <w:rsid w:val="00F0527E"/>
    <w:rsid w:val="00F0599D"/>
    <w:rsid w:val="00F06C26"/>
    <w:rsid w:val="00F07D73"/>
    <w:rsid w:val="00F10109"/>
    <w:rsid w:val="00F105FE"/>
    <w:rsid w:val="00F1246B"/>
    <w:rsid w:val="00F1452A"/>
    <w:rsid w:val="00F15621"/>
    <w:rsid w:val="00F168E6"/>
    <w:rsid w:val="00F16F62"/>
    <w:rsid w:val="00F1795F"/>
    <w:rsid w:val="00F201EC"/>
    <w:rsid w:val="00F208A9"/>
    <w:rsid w:val="00F2141E"/>
    <w:rsid w:val="00F22CE4"/>
    <w:rsid w:val="00F24D98"/>
    <w:rsid w:val="00F252D4"/>
    <w:rsid w:val="00F2538D"/>
    <w:rsid w:val="00F27B53"/>
    <w:rsid w:val="00F30453"/>
    <w:rsid w:val="00F32331"/>
    <w:rsid w:val="00F32C98"/>
    <w:rsid w:val="00F340F0"/>
    <w:rsid w:val="00F34EA8"/>
    <w:rsid w:val="00F36E92"/>
    <w:rsid w:val="00F37141"/>
    <w:rsid w:val="00F37FE4"/>
    <w:rsid w:val="00F41297"/>
    <w:rsid w:val="00F414F5"/>
    <w:rsid w:val="00F4153B"/>
    <w:rsid w:val="00F41613"/>
    <w:rsid w:val="00F41D75"/>
    <w:rsid w:val="00F4363A"/>
    <w:rsid w:val="00F44875"/>
    <w:rsid w:val="00F462E4"/>
    <w:rsid w:val="00F47B20"/>
    <w:rsid w:val="00F50577"/>
    <w:rsid w:val="00F5139D"/>
    <w:rsid w:val="00F545D7"/>
    <w:rsid w:val="00F547FB"/>
    <w:rsid w:val="00F54888"/>
    <w:rsid w:val="00F54E9E"/>
    <w:rsid w:val="00F54EFA"/>
    <w:rsid w:val="00F55A90"/>
    <w:rsid w:val="00F55EBD"/>
    <w:rsid w:val="00F56015"/>
    <w:rsid w:val="00F608EC"/>
    <w:rsid w:val="00F62948"/>
    <w:rsid w:val="00F62DDC"/>
    <w:rsid w:val="00F63DAC"/>
    <w:rsid w:val="00F63F33"/>
    <w:rsid w:val="00F641D1"/>
    <w:rsid w:val="00F64A14"/>
    <w:rsid w:val="00F65276"/>
    <w:rsid w:val="00F65BEF"/>
    <w:rsid w:val="00F66929"/>
    <w:rsid w:val="00F67095"/>
    <w:rsid w:val="00F67BA1"/>
    <w:rsid w:val="00F70C57"/>
    <w:rsid w:val="00F736F8"/>
    <w:rsid w:val="00F73B25"/>
    <w:rsid w:val="00F74106"/>
    <w:rsid w:val="00F7454F"/>
    <w:rsid w:val="00F74F47"/>
    <w:rsid w:val="00F77335"/>
    <w:rsid w:val="00F77988"/>
    <w:rsid w:val="00F77F48"/>
    <w:rsid w:val="00F80E9A"/>
    <w:rsid w:val="00F812E3"/>
    <w:rsid w:val="00F816AD"/>
    <w:rsid w:val="00F81E6D"/>
    <w:rsid w:val="00F82185"/>
    <w:rsid w:val="00F83F62"/>
    <w:rsid w:val="00F84573"/>
    <w:rsid w:val="00F85DF3"/>
    <w:rsid w:val="00F86D24"/>
    <w:rsid w:val="00F86D41"/>
    <w:rsid w:val="00F8703D"/>
    <w:rsid w:val="00F87BDE"/>
    <w:rsid w:val="00F913AA"/>
    <w:rsid w:val="00F9157F"/>
    <w:rsid w:val="00F918EE"/>
    <w:rsid w:val="00F91B8E"/>
    <w:rsid w:val="00F91C0F"/>
    <w:rsid w:val="00F9217C"/>
    <w:rsid w:val="00F92984"/>
    <w:rsid w:val="00F9352C"/>
    <w:rsid w:val="00F93818"/>
    <w:rsid w:val="00F9392B"/>
    <w:rsid w:val="00F94F98"/>
    <w:rsid w:val="00F95C15"/>
    <w:rsid w:val="00F96B53"/>
    <w:rsid w:val="00FA12F9"/>
    <w:rsid w:val="00FA179D"/>
    <w:rsid w:val="00FA2245"/>
    <w:rsid w:val="00FA2E79"/>
    <w:rsid w:val="00FA2EEA"/>
    <w:rsid w:val="00FA58DE"/>
    <w:rsid w:val="00FA66ED"/>
    <w:rsid w:val="00FA7B23"/>
    <w:rsid w:val="00FA7EBE"/>
    <w:rsid w:val="00FB0B32"/>
    <w:rsid w:val="00FB0D54"/>
    <w:rsid w:val="00FB0FC7"/>
    <w:rsid w:val="00FB1AE1"/>
    <w:rsid w:val="00FB30F1"/>
    <w:rsid w:val="00FB53E7"/>
    <w:rsid w:val="00FB67AD"/>
    <w:rsid w:val="00FB70AF"/>
    <w:rsid w:val="00FB74BA"/>
    <w:rsid w:val="00FB7A7B"/>
    <w:rsid w:val="00FC075B"/>
    <w:rsid w:val="00FC11BE"/>
    <w:rsid w:val="00FC1683"/>
    <w:rsid w:val="00FC19C5"/>
    <w:rsid w:val="00FC3C53"/>
    <w:rsid w:val="00FC4847"/>
    <w:rsid w:val="00FC52C4"/>
    <w:rsid w:val="00FC55D1"/>
    <w:rsid w:val="00FC5A7D"/>
    <w:rsid w:val="00FC6267"/>
    <w:rsid w:val="00FC7254"/>
    <w:rsid w:val="00FC7A6F"/>
    <w:rsid w:val="00FD072F"/>
    <w:rsid w:val="00FD0B95"/>
    <w:rsid w:val="00FD1B4D"/>
    <w:rsid w:val="00FD293C"/>
    <w:rsid w:val="00FD2A8A"/>
    <w:rsid w:val="00FD3006"/>
    <w:rsid w:val="00FD6618"/>
    <w:rsid w:val="00FD6FCF"/>
    <w:rsid w:val="00FD7726"/>
    <w:rsid w:val="00FE1406"/>
    <w:rsid w:val="00FE1D11"/>
    <w:rsid w:val="00FE2ACC"/>
    <w:rsid w:val="00FE3CD8"/>
    <w:rsid w:val="00FE46C8"/>
    <w:rsid w:val="00FE60BF"/>
    <w:rsid w:val="00FE67A8"/>
    <w:rsid w:val="00FE7AA5"/>
    <w:rsid w:val="00FF0122"/>
    <w:rsid w:val="00FF0C86"/>
    <w:rsid w:val="00FF0FBC"/>
    <w:rsid w:val="00FF1A17"/>
    <w:rsid w:val="00FF2714"/>
    <w:rsid w:val="00FF330F"/>
    <w:rsid w:val="00FF46DC"/>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CDAB3"/>
  <w15:docId w15:val="{D0555C2C-6CD3-4FD2-9796-BBD733C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lang w:val="lv-LV" w:eastAsia="lv-LV"/>
    </w:rPr>
  </w:style>
  <w:style w:type="paragraph" w:styleId="Heading2">
    <w:name w:val="heading 2"/>
    <w:basedOn w:val="Normal"/>
    <w:next w:val="Normal"/>
    <w:link w:val="Heading2Char"/>
    <w:semiHidden/>
    <w:unhideWhenUsed/>
    <w:qFormat/>
    <w:rsid w:val="0016024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rsid w:val="002C42E5"/>
    <w:pPr>
      <w:keepNext/>
      <w:keepLines/>
      <w:spacing w:before="200" w:line="276" w:lineRule="auto"/>
      <w:outlineLvl w:val="3"/>
    </w:pPr>
    <w:rPr>
      <w:rFonts w:ascii="Cambria" w:hAnsi="Cambria"/>
      <w:b/>
      <w:bCs/>
      <w:i/>
      <w:iCs/>
      <w:color w:val="4F81BD"/>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8C5649"/>
    <w:rPr>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4Char">
    <w:name w:val="Heading 4 Char"/>
    <w:link w:val="Heading4"/>
    <w:uiPriority w:val="9"/>
    <w:semiHidden/>
    <w:rsid w:val="002C42E5"/>
    <w:rPr>
      <w:rFonts w:ascii="Cambria" w:eastAsia="Times New Roman" w:hAnsi="Cambria" w:cs="Times New Roman"/>
      <w:b/>
      <w:bCs/>
      <w:i/>
      <w:iCs/>
      <w:color w:val="4F81BD"/>
      <w:sz w:val="22"/>
      <w:szCs w:val="22"/>
      <w:lang w:eastAsia="en-US"/>
    </w:rPr>
  </w:style>
  <w:style w:type="character" w:styleId="Emphasis">
    <w:name w:val="Emphasis"/>
    <w:uiPriority w:val="20"/>
    <w:qFormat/>
    <w:rsid w:val="00225218"/>
    <w:rPr>
      <w:b/>
      <w:bCs/>
      <w:i w:val="0"/>
      <w:iCs w:val="0"/>
    </w:rPr>
  </w:style>
  <w:style w:type="character" w:customStyle="1" w:styleId="st">
    <w:name w:val="st"/>
    <w:basedOn w:val="DefaultParagraphFont"/>
    <w:rsid w:val="00225218"/>
  </w:style>
  <w:style w:type="character" w:customStyle="1" w:styleId="f">
    <w:name w:val="f"/>
    <w:basedOn w:val="DefaultParagraphFont"/>
    <w:rsid w:val="00225218"/>
  </w:style>
  <w:style w:type="character" w:customStyle="1" w:styleId="HeaderChar">
    <w:name w:val="Header Char"/>
    <w:link w:val="Header"/>
    <w:uiPriority w:val="99"/>
    <w:rsid w:val="00A04405"/>
    <w:rPr>
      <w:sz w:val="24"/>
      <w:szCs w:val="24"/>
    </w:rPr>
  </w:style>
  <w:style w:type="paragraph" w:customStyle="1" w:styleId="tv2131">
    <w:name w:val="tv2131"/>
    <w:basedOn w:val="Normal"/>
    <w:rsid w:val="000312FD"/>
    <w:pPr>
      <w:spacing w:before="240" w:line="360" w:lineRule="auto"/>
      <w:ind w:firstLine="300"/>
      <w:jc w:val="both"/>
    </w:pPr>
    <w:rPr>
      <w:rFonts w:ascii="Verdana" w:hAnsi="Verdana"/>
      <w:sz w:val="18"/>
      <w:szCs w:val="18"/>
    </w:rPr>
  </w:style>
  <w:style w:type="paragraph" w:styleId="BodyTextIndent">
    <w:name w:val="Body Text Indent"/>
    <w:basedOn w:val="Normal"/>
    <w:link w:val="BodyTextIndentChar"/>
    <w:rsid w:val="00140357"/>
    <w:pPr>
      <w:spacing w:after="120" w:line="276" w:lineRule="auto"/>
      <w:ind w:left="283"/>
    </w:pPr>
    <w:rPr>
      <w:rFonts w:ascii="Calibri" w:eastAsia="SimSun" w:hAnsi="Calibri"/>
      <w:sz w:val="22"/>
      <w:szCs w:val="22"/>
      <w:lang w:val="x-none" w:eastAsia="en-US"/>
    </w:rPr>
  </w:style>
  <w:style w:type="character" w:customStyle="1" w:styleId="BodyTextIndentChar">
    <w:name w:val="Body Text Indent Char"/>
    <w:link w:val="BodyTextIndent"/>
    <w:rsid w:val="00140357"/>
    <w:rPr>
      <w:rFonts w:ascii="Calibri" w:eastAsia="SimSun" w:hAnsi="Calibri"/>
      <w:sz w:val="22"/>
      <w:szCs w:val="22"/>
      <w:lang w:eastAsia="en-US"/>
    </w:rPr>
  </w:style>
  <w:style w:type="paragraph" w:styleId="ListParagraph">
    <w:name w:val="List Paragraph"/>
    <w:aliases w:val="H&amp;P List Paragraph,2,Strip,Colorful List - Accent 12,Akapit z listą BS,Saraksta rindkopa,Saraksta rindkopa1,Bullet list,Colorful List - Accent 11,List Paragraph1,List1,Normal bullet 2,Punkti ar numuriem"/>
    <w:basedOn w:val="Normal"/>
    <w:link w:val="ListParagraphChar"/>
    <w:uiPriority w:val="34"/>
    <w:qFormat/>
    <w:rsid w:val="009974F6"/>
    <w:pPr>
      <w:spacing w:after="200" w:line="276" w:lineRule="auto"/>
      <w:ind w:left="720"/>
      <w:contextualSpacing/>
    </w:pPr>
    <w:rPr>
      <w:rFonts w:ascii="Calibri" w:eastAsia="Calibri" w:hAnsi="Calibri"/>
      <w:sz w:val="22"/>
      <w:szCs w:val="22"/>
      <w:lang w:val="x-none" w:eastAsia="en-US"/>
    </w:rPr>
  </w:style>
  <w:style w:type="paragraph" w:styleId="Title">
    <w:name w:val="Title"/>
    <w:basedOn w:val="Normal"/>
    <w:link w:val="TitleChar"/>
    <w:uiPriority w:val="10"/>
    <w:qFormat/>
    <w:rsid w:val="001F0E10"/>
    <w:pPr>
      <w:jc w:val="center"/>
    </w:pPr>
    <w:rPr>
      <w:rFonts w:eastAsia="Calibri"/>
      <w:b/>
      <w:bCs/>
      <w:sz w:val="28"/>
      <w:szCs w:val="28"/>
      <w:lang w:val="x-none" w:eastAsia="x-none"/>
    </w:rPr>
  </w:style>
  <w:style w:type="character" w:customStyle="1" w:styleId="TitleChar">
    <w:name w:val="Title Char"/>
    <w:link w:val="Title"/>
    <w:uiPriority w:val="10"/>
    <w:rsid w:val="001F0E10"/>
    <w:rPr>
      <w:rFonts w:eastAsia="Calibri"/>
      <w:b/>
      <w:bCs/>
      <w:sz w:val="28"/>
      <w:szCs w:val="28"/>
    </w:rPr>
  </w:style>
  <w:style w:type="character" w:customStyle="1" w:styleId="hps">
    <w:name w:val="hps"/>
    <w:basedOn w:val="DefaultParagraphFont"/>
    <w:rsid w:val="002C7A23"/>
  </w:style>
  <w:style w:type="paragraph" w:styleId="NoSpacing">
    <w:name w:val="No Spacing"/>
    <w:uiPriority w:val="1"/>
    <w:qFormat/>
    <w:rsid w:val="005564A9"/>
    <w:rPr>
      <w:sz w:val="24"/>
      <w:szCs w:val="24"/>
      <w:lang w:val="lv-LV" w:eastAsia="lv-LV"/>
    </w:rPr>
  </w:style>
  <w:style w:type="character" w:styleId="Strong">
    <w:name w:val="Strong"/>
    <w:uiPriority w:val="22"/>
    <w:qFormat/>
    <w:rsid w:val="00395FA9"/>
    <w:rPr>
      <w:b/>
      <w:bCs/>
    </w:rPr>
  </w:style>
  <w:style w:type="paragraph" w:styleId="NormalWeb">
    <w:name w:val="Normal (Web)"/>
    <w:basedOn w:val="Normal"/>
    <w:uiPriority w:val="99"/>
    <w:unhideWhenUsed/>
    <w:rsid w:val="00395FA9"/>
    <w:pPr>
      <w:spacing w:before="288" w:after="288" w:line="312" w:lineRule="atLeast"/>
    </w:pPr>
    <w:rPr>
      <w:rFonts w:eastAsia="Calibri"/>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4846D3"/>
  </w:style>
  <w:style w:type="character" w:customStyle="1" w:styleId="ListParagraphChar">
    <w:name w:val="List Paragraph Char"/>
    <w:aliases w:val="H&amp;P List Paragraph Char1,2 Char1,Strip Char1,Colorful List - Accent 12 Char,Akapit z listą BS Char,Saraksta rindkopa Char1,Saraksta rindkopa1 Char,Bullet list Char,Colorful List - Accent 11 Char,List Paragraph1 Char,List1 Char"/>
    <w:link w:val="ListParagraph"/>
    <w:uiPriority w:val="34"/>
    <w:qFormat/>
    <w:locked/>
    <w:rsid w:val="00F545D7"/>
    <w:rPr>
      <w:rFonts w:ascii="Calibri" w:eastAsia="Calibri" w:hAnsi="Calibri"/>
      <w:sz w:val="22"/>
      <w:szCs w:val="22"/>
      <w:lang w:eastAsia="en-US"/>
    </w:rPr>
  </w:style>
  <w:style w:type="paragraph" w:customStyle="1" w:styleId="CM1">
    <w:name w:val="CM1"/>
    <w:basedOn w:val="Normal"/>
    <w:next w:val="Normal"/>
    <w:uiPriority w:val="99"/>
    <w:rsid w:val="00B743F6"/>
    <w:pPr>
      <w:autoSpaceDE w:val="0"/>
      <w:autoSpaceDN w:val="0"/>
      <w:adjustRightInd w:val="0"/>
    </w:pPr>
    <w:rPr>
      <w:rFonts w:ascii="EUAlbertina" w:hAnsi="EUAlbertina"/>
    </w:rPr>
  </w:style>
  <w:style w:type="paragraph" w:customStyle="1" w:styleId="CM3">
    <w:name w:val="CM3"/>
    <w:basedOn w:val="Normal"/>
    <w:next w:val="Normal"/>
    <w:uiPriority w:val="99"/>
    <w:rsid w:val="00B743F6"/>
    <w:pPr>
      <w:autoSpaceDE w:val="0"/>
      <w:autoSpaceDN w:val="0"/>
      <w:adjustRightInd w:val="0"/>
    </w:pPr>
    <w:rPr>
      <w:rFonts w:ascii="EUAlbertina" w:hAnsi="EUAlbertina"/>
    </w:rPr>
  </w:style>
  <w:style w:type="paragraph" w:customStyle="1" w:styleId="CM4">
    <w:name w:val="CM4"/>
    <w:basedOn w:val="Normal"/>
    <w:next w:val="Normal"/>
    <w:uiPriority w:val="99"/>
    <w:rsid w:val="00B743F6"/>
    <w:pPr>
      <w:autoSpaceDE w:val="0"/>
      <w:autoSpaceDN w:val="0"/>
      <w:adjustRightInd w:val="0"/>
    </w:pPr>
    <w:rPr>
      <w:rFonts w:ascii="EUAlbertina" w:hAnsi="EUAlbertina"/>
    </w:rPr>
  </w:style>
  <w:style w:type="paragraph" w:customStyle="1" w:styleId="CharCharCharChar">
    <w:name w:val="Char Char Char Char"/>
    <w:aliases w:val="Char2"/>
    <w:basedOn w:val="Normal"/>
    <w:next w:val="Normal"/>
    <w:link w:val="FootnoteReference"/>
    <w:uiPriority w:val="99"/>
    <w:rsid w:val="000E28EB"/>
    <w:pPr>
      <w:spacing w:after="160" w:line="240" w:lineRule="exact"/>
      <w:jc w:val="both"/>
    </w:pPr>
    <w:rPr>
      <w:sz w:val="20"/>
      <w:szCs w:val="20"/>
      <w:vertAlign w:val="superscript"/>
      <w:lang w:val="x-none" w:eastAsia="x-none"/>
    </w:rPr>
  </w:style>
  <w:style w:type="character" w:customStyle="1" w:styleId="ColorfulList-Accent1Char">
    <w:name w:val="Colorful List - Accent 1 Char"/>
    <w:aliases w:val="H&amp;P List Paragraph Char,2 Char,Strip Char,Saraksta rindkopa Char"/>
    <w:link w:val="ColorfulList-Accent1"/>
    <w:uiPriority w:val="34"/>
    <w:qFormat/>
    <w:locked/>
    <w:rsid w:val="000E28EB"/>
    <w:rPr>
      <w:sz w:val="22"/>
      <w:szCs w:val="22"/>
      <w:lang w:eastAsia="en-US"/>
    </w:rPr>
  </w:style>
  <w:style w:type="table" w:styleId="ColorfulList-Accent1">
    <w:name w:val="Colorful List Accent 1"/>
    <w:basedOn w:val="TableNormal"/>
    <w:link w:val="ColorfulList-Accent1Char"/>
    <w:uiPriority w:val="34"/>
    <w:rsid w:val="000E28EB"/>
    <w:rPr>
      <w:sz w:val="22"/>
      <w:szCs w:val="22"/>
      <w:lang w:val="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
    <w:name w:val="Body Text"/>
    <w:basedOn w:val="Normal"/>
    <w:link w:val="BodyTextChar"/>
    <w:rsid w:val="000E28EB"/>
    <w:pPr>
      <w:spacing w:after="120"/>
    </w:pPr>
    <w:rPr>
      <w:lang w:val="x-none" w:eastAsia="x-none"/>
    </w:rPr>
  </w:style>
  <w:style w:type="character" w:customStyle="1" w:styleId="BodyTextChar">
    <w:name w:val="Body Text Char"/>
    <w:link w:val="BodyText"/>
    <w:rsid w:val="000E28EB"/>
    <w:rPr>
      <w:sz w:val="24"/>
      <w:szCs w:val="24"/>
    </w:rPr>
  </w:style>
  <w:style w:type="character" w:styleId="BookTitle">
    <w:name w:val="Book Title"/>
    <w:uiPriority w:val="33"/>
    <w:qFormat/>
    <w:rsid w:val="007B1ECA"/>
    <w:rPr>
      <w:b/>
      <w:bCs/>
      <w:smallCaps/>
      <w:spacing w:val="5"/>
    </w:rPr>
  </w:style>
  <w:style w:type="paragraph" w:styleId="Revision">
    <w:name w:val="Revision"/>
    <w:hidden/>
    <w:uiPriority w:val="99"/>
    <w:semiHidden/>
    <w:rsid w:val="00F168E6"/>
    <w:rPr>
      <w:sz w:val="24"/>
      <w:szCs w:val="24"/>
      <w:lang w:val="lv-LV" w:eastAsia="lv-LV"/>
    </w:rPr>
  </w:style>
  <w:style w:type="character" w:customStyle="1" w:styleId="boldface">
    <w:name w:val="boldface"/>
    <w:rsid w:val="00E324EC"/>
    <w:rPr>
      <w:b/>
      <w:bCs/>
    </w:rPr>
  </w:style>
  <w:style w:type="character" w:customStyle="1" w:styleId="italics">
    <w:name w:val="italics"/>
    <w:rsid w:val="00E324EC"/>
    <w:rPr>
      <w:i/>
      <w:iCs/>
    </w:rPr>
  </w:style>
  <w:style w:type="paragraph" w:customStyle="1" w:styleId="tv213">
    <w:name w:val="tv213"/>
    <w:basedOn w:val="Normal"/>
    <w:rsid w:val="00576C17"/>
    <w:rPr>
      <w:color w:val="414142"/>
    </w:rPr>
  </w:style>
  <w:style w:type="paragraph" w:customStyle="1" w:styleId="clear">
    <w:name w:val="clear"/>
    <w:basedOn w:val="Normal"/>
    <w:rsid w:val="00630E0F"/>
    <w:pPr>
      <w:spacing w:before="100" w:beforeAutospacing="1" w:after="100" w:afterAutospacing="1"/>
    </w:pPr>
  </w:style>
  <w:style w:type="paragraph" w:customStyle="1" w:styleId="Default">
    <w:name w:val="Default"/>
    <w:rsid w:val="00965EC4"/>
    <w:pPr>
      <w:autoSpaceDE w:val="0"/>
      <w:autoSpaceDN w:val="0"/>
      <w:adjustRightInd w:val="0"/>
    </w:pPr>
    <w:rPr>
      <w:rFonts w:ascii="Verdana" w:eastAsia="Calibri" w:hAnsi="Verdana" w:cs="Verdana"/>
      <w:color w:val="000000"/>
      <w:sz w:val="24"/>
      <w:szCs w:val="24"/>
      <w:lang w:val="lv-LV"/>
    </w:rPr>
  </w:style>
  <w:style w:type="paragraph" w:customStyle="1" w:styleId="tvhtml">
    <w:name w:val="tv_html"/>
    <w:basedOn w:val="Normal"/>
    <w:rsid w:val="00A97ABE"/>
    <w:pPr>
      <w:spacing w:before="100" w:beforeAutospacing="1" w:after="100" w:afterAutospacing="1"/>
    </w:pPr>
  </w:style>
  <w:style w:type="character" w:styleId="FollowedHyperlink">
    <w:name w:val="FollowedHyperlink"/>
    <w:rsid w:val="00634D32"/>
    <w:rPr>
      <w:color w:val="954F72"/>
      <w:u w:val="single"/>
    </w:rPr>
  </w:style>
  <w:style w:type="paragraph" w:customStyle="1" w:styleId="tv2132">
    <w:name w:val="tv2132"/>
    <w:basedOn w:val="Normal"/>
    <w:rsid w:val="007446FF"/>
    <w:pPr>
      <w:spacing w:line="360" w:lineRule="auto"/>
      <w:ind w:firstLine="300"/>
    </w:pPr>
    <w:rPr>
      <w:color w:val="414142"/>
      <w:sz w:val="20"/>
      <w:szCs w:val="20"/>
    </w:rPr>
  </w:style>
  <w:style w:type="paragraph" w:styleId="PlainText">
    <w:name w:val="Plain Text"/>
    <w:basedOn w:val="Normal"/>
    <w:link w:val="PlainTextChar"/>
    <w:uiPriority w:val="99"/>
    <w:unhideWhenUsed/>
    <w:rsid w:val="000832D5"/>
    <w:rPr>
      <w:rFonts w:ascii="Calibri" w:eastAsia="Calibri" w:hAnsi="Calibri"/>
      <w:sz w:val="22"/>
      <w:szCs w:val="21"/>
      <w:lang w:eastAsia="en-US"/>
    </w:rPr>
  </w:style>
  <w:style w:type="character" w:customStyle="1" w:styleId="PlainTextChar">
    <w:name w:val="Plain Text Char"/>
    <w:link w:val="PlainText"/>
    <w:uiPriority w:val="99"/>
    <w:rsid w:val="000832D5"/>
    <w:rPr>
      <w:rFonts w:ascii="Calibri" w:eastAsia="Calibri" w:hAnsi="Calibri"/>
      <w:sz w:val="22"/>
      <w:szCs w:val="21"/>
      <w:lang w:eastAsia="en-US"/>
    </w:rPr>
  </w:style>
  <w:style w:type="character" w:customStyle="1" w:styleId="Heading2Char">
    <w:name w:val="Heading 2 Char"/>
    <w:link w:val="Heading2"/>
    <w:semiHidden/>
    <w:rsid w:val="00160240"/>
    <w:rPr>
      <w:rFonts w:ascii="Calibri Light" w:eastAsia="Times New Roman" w:hAnsi="Calibri Light" w:cs="Times New Roman"/>
      <w:b/>
      <w:bCs/>
      <w:i/>
      <w:iCs/>
      <w:sz w:val="28"/>
      <w:szCs w:val="28"/>
    </w:rPr>
  </w:style>
  <w:style w:type="character" w:customStyle="1" w:styleId="tm-p-">
    <w:name w:val="tm-p-"/>
    <w:rsid w:val="00A82741"/>
  </w:style>
  <w:style w:type="character" w:customStyle="1" w:styleId="tm-p-em">
    <w:name w:val="tm-p-em"/>
    <w:rsid w:val="00A82741"/>
  </w:style>
  <w:style w:type="paragraph" w:customStyle="1" w:styleId="BulletsF">
    <w:name w:val="Bullets F"/>
    <w:basedOn w:val="Normal"/>
    <w:link w:val="BulletsFChar"/>
    <w:qFormat/>
    <w:rsid w:val="00523695"/>
    <w:pPr>
      <w:numPr>
        <w:numId w:val="10"/>
      </w:numPr>
      <w:contextualSpacing/>
    </w:pPr>
    <w:rPr>
      <w:sz w:val="20"/>
      <w:lang w:eastAsia="en-US"/>
    </w:rPr>
  </w:style>
  <w:style w:type="character" w:customStyle="1" w:styleId="BulletsFChar">
    <w:name w:val="Bullets F Char"/>
    <w:link w:val="BulletsF"/>
    <w:locked/>
    <w:rsid w:val="00523695"/>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183">
      <w:bodyDiv w:val="1"/>
      <w:marLeft w:val="0"/>
      <w:marRight w:val="0"/>
      <w:marTop w:val="0"/>
      <w:marBottom w:val="0"/>
      <w:divBdr>
        <w:top w:val="none" w:sz="0" w:space="0" w:color="auto"/>
        <w:left w:val="none" w:sz="0" w:space="0" w:color="auto"/>
        <w:bottom w:val="none" w:sz="0" w:space="0" w:color="auto"/>
        <w:right w:val="none" w:sz="0" w:space="0" w:color="auto"/>
      </w:divBdr>
    </w:div>
    <w:div w:id="41756405">
      <w:bodyDiv w:val="1"/>
      <w:marLeft w:val="0"/>
      <w:marRight w:val="0"/>
      <w:marTop w:val="0"/>
      <w:marBottom w:val="0"/>
      <w:divBdr>
        <w:top w:val="none" w:sz="0" w:space="0" w:color="auto"/>
        <w:left w:val="none" w:sz="0" w:space="0" w:color="auto"/>
        <w:bottom w:val="none" w:sz="0" w:space="0" w:color="auto"/>
        <w:right w:val="none" w:sz="0" w:space="0" w:color="auto"/>
      </w:divBdr>
    </w:div>
    <w:div w:id="69695122">
      <w:bodyDiv w:val="1"/>
      <w:marLeft w:val="0"/>
      <w:marRight w:val="0"/>
      <w:marTop w:val="0"/>
      <w:marBottom w:val="0"/>
      <w:divBdr>
        <w:top w:val="none" w:sz="0" w:space="0" w:color="auto"/>
        <w:left w:val="none" w:sz="0" w:space="0" w:color="auto"/>
        <w:bottom w:val="none" w:sz="0" w:space="0" w:color="auto"/>
        <w:right w:val="none" w:sz="0" w:space="0" w:color="auto"/>
      </w:divBdr>
    </w:div>
    <w:div w:id="121384808">
      <w:bodyDiv w:val="1"/>
      <w:marLeft w:val="0"/>
      <w:marRight w:val="0"/>
      <w:marTop w:val="0"/>
      <w:marBottom w:val="0"/>
      <w:divBdr>
        <w:top w:val="none" w:sz="0" w:space="0" w:color="auto"/>
        <w:left w:val="none" w:sz="0" w:space="0" w:color="auto"/>
        <w:bottom w:val="none" w:sz="0" w:space="0" w:color="auto"/>
        <w:right w:val="none" w:sz="0" w:space="0" w:color="auto"/>
      </w:divBdr>
    </w:div>
    <w:div w:id="325790324">
      <w:bodyDiv w:val="1"/>
      <w:marLeft w:val="0"/>
      <w:marRight w:val="0"/>
      <w:marTop w:val="0"/>
      <w:marBottom w:val="0"/>
      <w:divBdr>
        <w:top w:val="none" w:sz="0" w:space="0" w:color="auto"/>
        <w:left w:val="none" w:sz="0" w:space="0" w:color="auto"/>
        <w:bottom w:val="none" w:sz="0" w:space="0" w:color="auto"/>
        <w:right w:val="none" w:sz="0" w:space="0" w:color="auto"/>
      </w:divBdr>
    </w:div>
    <w:div w:id="348919298">
      <w:bodyDiv w:val="1"/>
      <w:marLeft w:val="0"/>
      <w:marRight w:val="0"/>
      <w:marTop w:val="0"/>
      <w:marBottom w:val="0"/>
      <w:divBdr>
        <w:top w:val="none" w:sz="0" w:space="0" w:color="auto"/>
        <w:left w:val="none" w:sz="0" w:space="0" w:color="auto"/>
        <w:bottom w:val="none" w:sz="0" w:space="0" w:color="auto"/>
        <w:right w:val="none" w:sz="0" w:space="0" w:color="auto"/>
      </w:divBdr>
    </w:div>
    <w:div w:id="377632798">
      <w:bodyDiv w:val="1"/>
      <w:marLeft w:val="0"/>
      <w:marRight w:val="0"/>
      <w:marTop w:val="0"/>
      <w:marBottom w:val="0"/>
      <w:divBdr>
        <w:top w:val="none" w:sz="0" w:space="0" w:color="auto"/>
        <w:left w:val="none" w:sz="0" w:space="0" w:color="auto"/>
        <w:bottom w:val="none" w:sz="0" w:space="0" w:color="auto"/>
        <w:right w:val="none" w:sz="0" w:space="0" w:color="auto"/>
      </w:divBdr>
    </w:div>
    <w:div w:id="443577050">
      <w:bodyDiv w:val="1"/>
      <w:marLeft w:val="0"/>
      <w:marRight w:val="0"/>
      <w:marTop w:val="0"/>
      <w:marBottom w:val="0"/>
      <w:divBdr>
        <w:top w:val="none" w:sz="0" w:space="0" w:color="auto"/>
        <w:left w:val="none" w:sz="0" w:space="0" w:color="auto"/>
        <w:bottom w:val="none" w:sz="0" w:space="0" w:color="auto"/>
        <w:right w:val="none" w:sz="0" w:space="0" w:color="auto"/>
      </w:divBdr>
    </w:div>
    <w:div w:id="463238283">
      <w:bodyDiv w:val="1"/>
      <w:marLeft w:val="0"/>
      <w:marRight w:val="0"/>
      <w:marTop w:val="0"/>
      <w:marBottom w:val="0"/>
      <w:divBdr>
        <w:top w:val="none" w:sz="0" w:space="0" w:color="auto"/>
        <w:left w:val="none" w:sz="0" w:space="0" w:color="auto"/>
        <w:bottom w:val="none" w:sz="0" w:space="0" w:color="auto"/>
        <w:right w:val="none" w:sz="0" w:space="0" w:color="auto"/>
      </w:divBdr>
      <w:divsChild>
        <w:div w:id="851140402">
          <w:marLeft w:val="0"/>
          <w:marRight w:val="0"/>
          <w:marTop w:val="0"/>
          <w:marBottom w:val="0"/>
          <w:divBdr>
            <w:top w:val="none" w:sz="0" w:space="0" w:color="auto"/>
            <w:left w:val="none" w:sz="0" w:space="0" w:color="auto"/>
            <w:bottom w:val="none" w:sz="0" w:space="0" w:color="auto"/>
            <w:right w:val="none" w:sz="0" w:space="0" w:color="auto"/>
          </w:divBdr>
          <w:divsChild>
            <w:div w:id="1480612972">
              <w:marLeft w:val="0"/>
              <w:marRight w:val="0"/>
              <w:marTop w:val="0"/>
              <w:marBottom w:val="0"/>
              <w:divBdr>
                <w:top w:val="none" w:sz="0" w:space="0" w:color="auto"/>
                <w:left w:val="none" w:sz="0" w:space="0" w:color="auto"/>
                <w:bottom w:val="none" w:sz="0" w:space="0" w:color="auto"/>
                <w:right w:val="none" w:sz="0" w:space="0" w:color="auto"/>
              </w:divBdr>
              <w:divsChild>
                <w:div w:id="556168819">
                  <w:marLeft w:val="0"/>
                  <w:marRight w:val="0"/>
                  <w:marTop w:val="0"/>
                  <w:marBottom w:val="0"/>
                  <w:divBdr>
                    <w:top w:val="none" w:sz="0" w:space="0" w:color="auto"/>
                    <w:left w:val="none" w:sz="0" w:space="0" w:color="auto"/>
                    <w:bottom w:val="none" w:sz="0" w:space="0" w:color="auto"/>
                    <w:right w:val="none" w:sz="0" w:space="0" w:color="auto"/>
                  </w:divBdr>
                  <w:divsChild>
                    <w:div w:id="481317968">
                      <w:marLeft w:val="0"/>
                      <w:marRight w:val="0"/>
                      <w:marTop w:val="0"/>
                      <w:marBottom w:val="0"/>
                      <w:divBdr>
                        <w:top w:val="none" w:sz="0" w:space="0" w:color="auto"/>
                        <w:left w:val="none" w:sz="0" w:space="0" w:color="auto"/>
                        <w:bottom w:val="none" w:sz="0" w:space="0" w:color="auto"/>
                        <w:right w:val="none" w:sz="0" w:space="0" w:color="auto"/>
                      </w:divBdr>
                      <w:divsChild>
                        <w:div w:id="1433088991">
                          <w:marLeft w:val="0"/>
                          <w:marRight w:val="0"/>
                          <w:marTop w:val="0"/>
                          <w:marBottom w:val="0"/>
                          <w:divBdr>
                            <w:top w:val="none" w:sz="0" w:space="0" w:color="auto"/>
                            <w:left w:val="none" w:sz="0" w:space="0" w:color="auto"/>
                            <w:bottom w:val="none" w:sz="0" w:space="0" w:color="auto"/>
                            <w:right w:val="none" w:sz="0" w:space="0" w:color="auto"/>
                          </w:divBdr>
                          <w:divsChild>
                            <w:div w:id="720439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21479">
      <w:bodyDiv w:val="1"/>
      <w:marLeft w:val="0"/>
      <w:marRight w:val="0"/>
      <w:marTop w:val="0"/>
      <w:marBottom w:val="0"/>
      <w:divBdr>
        <w:top w:val="none" w:sz="0" w:space="0" w:color="auto"/>
        <w:left w:val="none" w:sz="0" w:space="0" w:color="auto"/>
        <w:bottom w:val="none" w:sz="0" w:space="0" w:color="auto"/>
        <w:right w:val="none" w:sz="0" w:space="0" w:color="auto"/>
      </w:divBdr>
    </w:div>
    <w:div w:id="1107695675">
      <w:bodyDiv w:val="1"/>
      <w:marLeft w:val="0"/>
      <w:marRight w:val="0"/>
      <w:marTop w:val="0"/>
      <w:marBottom w:val="0"/>
      <w:divBdr>
        <w:top w:val="none" w:sz="0" w:space="0" w:color="auto"/>
        <w:left w:val="none" w:sz="0" w:space="0" w:color="auto"/>
        <w:bottom w:val="none" w:sz="0" w:space="0" w:color="auto"/>
        <w:right w:val="none" w:sz="0" w:space="0" w:color="auto"/>
      </w:divBdr>
    </w:div>
    <w:div w:id="1148127888">
      <w:bodyDiv w:val="1"/>
      <w:marLeft w:val="0"/>
      <w:marRight w:val="0"/>
      <w:marTop w:val="0"/>
      <w:marBottom w:val="0"/>
      <w:divBdr>
        <w:top w:val="none" w:sz="0" w:space="0" w:color="auto"/>
        <w:left w:val="none" w:sz="0" w:space="0" w:color="auto"/>
        <w:bottom w:val="none" w:sz="0" w:space="0" w:color="auto"/>
        <w:right w:val="none" w:sz="0" w:space="0" w:color="auto"/>
      </w:divBdr>
    </w:div>
    <w:div w:id="1168133516">
      <w:bodyDiv w:val="1"/>
      <w:marLeft w:val="0"/>
      <w:marRight w:val="0"/>
      <w:marTop w:val="0"/>
      <w:marBottom w:val="0"/>
      <w:divBdr>
        <w:top w:val="none" w:sz="0" w:space="0" w:color="auto"/>
        <w:left w:val="none" w:sz="0" w:space="0" w:color="auto"/>
        <w:bottom w:val="none" w:sz="0" w:space="0" w:color="auto"/>
        <w:right w:val="none" w:sz="0" w:space="0" w:color="auto"/>
      </w:divBdr>
    </w:div>
    <w:div w:id="1250843967">
      <w:bodyDiv w:val="1"/>
      <w:marLeft w:val="0"/>
      <w:marRight w:val="0"/>
      <w:marTop w:val="0"/>
      <w:marBottom w:val="0"/>
      <w:divBdr>
        <w:top w:val="none" w:sz="0" w:space="0" w:color="auto"/>
        <w:left w:val="none" w:sz="0" w:space="0" w:color="auto"/>
        <w:bottom w:val="none" w:sz="0" w:space="0" w:color="auto"/>
        <w:right w:val="none" w:sz="0" w:space="0" w:color="auto"/>
      </w:divBdr>
    </w:div>
    <w:div w:id="1255816896">
      <w:bodyDiv w:val="1"/>
      <w:marLeft w:val="0"/>
      <w:marRight w:val="0"/>
      <w:marTop w:val="0"/>
      <w:marBottom w:val="0"/>
      <w:divBdr>
        <w:top w:val="none" w:sz="0" w:space="0" w:color="auto"/>
        <w:left w:val="none" w:sz="0" w:space="0" w:color="auto"/>
        <w:bottom w:val="none" w:sz="0" w:space="0" w:color="auto"/>
        <w:right w:val="none" w:sz="0" w:space="0" w:color="auto"/>
      </w:divBdr>
    </w:div>
    <w:div w:id="1303316075">
      <w:bodyDiv w:val="1"/>
      <w:marLeft w:val="0"/>
      <w:marRight w:val="0"/>
      <w:marTop w:val="0"/>
      <w:marBottom w:val="0"/>
      <w:divBdr>
        <w:top w:val="none" w:sz="0" w:space="0" w:color="auto"/>
        <w:left w:val="none" w:sz="0" w:space="0" w:color="auto"/>
        <w:bottom w:val="none" w:sz="0" w:space="0" w:color="auto"/>
        <w:right w:val="none" w:sz="0" w:space="0" w:color="auto"/>
      </w:divBdr>
    </w:div>
    <w:div w:id="1330063822">
      <w:bodyDiv w:val="1"/>
      <w:marLeft w:val="0"/>
      <w:marRight w:val="0"/>
      <w:marTop w:val="0"/>
      <w:marBottom w:val="0"/>
      <w:divBdr>
        <w:top w:val="none" w:sz="0" w:space="0" w:color="auto"/>
        <w:left w:val="none" w:sz="0" w:space="0" w:color="auto"/>
        <w:bottom w:val="none" w:sz="0" w:space="0" w:color="auto"/>
        <w:right w:val="none" w:sz="0" w:space="0" w:color="auto"/>
      </w:divBdr>
    </w:div>
    <w:div w:id="1352731032">
      <w:bodyDiv w:val="1"/>
      <w:marLeft w:val="0"/>
      <w:marRight w:val="0"/>
      <w:marTop w:val="0"/>
      <w:marBottom w:val="0"/>
      <w:divBdr>
        <w:top w:val="none" w:sz="0" w:space="0" w:color="auto"/>
        <w:left w:val="none" w:sz="0" w:space="0" w:color="auto"/>
        <w:bottom w:val="none" w:sz="0" w:space="0" w:color="auto"/>
        <w:right w:val="none" w:sz="0" w:space="0" w:color="auto"/>
      </w:divBdr>
    </w:div>
    <w:div w:id="1372879113">
      <w:bodyDiv w:val="1"/>
      <w:marLeft w:val="0"/>
      <w:marRight w:val="0"/>
      <w:marTop w:val="0"/>
      <w:marBottom w:val="0"/>
      <w:divBdr>
        <w:top w:val="none" w:sz="0" w:space="0" w:color="auto"/>
        <w:left w:val="none" w:sz="0" w:space="0" w:color="auto"/>
        <w:bottom w:val="none" w:sz="0" w:space="0" w:color="auto"/>
        <w:right w:val="none" w:sz="0" w:space="0" w:color="auto"/>
      </w:divBdr>
    </w:div>
    <w:div w:id="1443960829">
      <w:bodyDiv w:val="1"/>
      <w:marLeft w:val="0"/>
      <w:marRight w:val="0"/>
      <w:marTop w:val="0"/>
      <w:marBottom w:val="0"/>
      <w:divBdr>
        <w:top w:val="none" w:sz="0" w:space="0" w:color="auto"/>
        <w:left w:val="none" w:sz="0" w:space="0" w:color="auto"/>
        <w:bottom w:val="none" w:sz="0" w:space="0" w:color="auto"/>
        <w:right w:val="none" w:sz="0" w:space="0" w:color="auto"/>
      </w:divBdr>
    </w:div>
    <w:div w:id="1508906807">
      <w:bodyDiv w:val="1"/>
      <w:marLeft w:val="0"/>
      <w:marRight w:val="0"/>
      <w:marTop w:val="0"/>
      <w:marBottom w:val="0"/>
      <w:divBdr>
        <w:top w:val="none" w:sz="0" w:space="0" w:color="auto"/>
        <w:left w:val="none" w:sz="0" w:space="0" w:color="auto"/>
        <w:bottom w:val="none" w:sz="0" w:space="0" w:color="auto"/>
        <w:right w:val="none" w:sz="0" w:space="0" w:color="auto"/>
      </w:divBdr>
    </w:div>
    <w:div w:id="1606882187">
      <w:bodyDiv w:val="1"/>
      <w:marLeft w:val="0"/>
      <w:marRight w:val="0"/>
      <w:marTop w:val="0"/>
      <w:marBottom w:val="0"/>
      <w:divBdr>
        <w:top w:val="none" w:sz="0" w:space="0" w:color="auto"/>
        <w:left w:val="none" w:sz="0" w:space="0" w:color="auto"/>
        <w:bottom w:val="none" w:sz="0" w:space="0" w:color="auto"/>
        <w:right w:val="none" w:sz="0" w:space="0" w:color="auto"/>
      </w:divBdr>
    </w:div>
    <w:div w:id="1631476445">
      <w:bodyDiv w:val="1"/>
      <w:marLeft w:val="0"/>
      <w:marRight w:val="0"/>
      <w:marTop w:val="0"/>
      <w:marBottom w:val="0"/>
      <w:divBdr>
        <w:top w:val="none" w:sz="0" w:space="0" w:color="auto"/>
        <w:left w:val="none" w:sz="0" w:space="0" w:color="auto"/>
        <w:bottom w:val="none" w:sz="0" w:space="0" w:color="auto"/>
        <w:right w:val="none" w:sz="0" w:space="0" w:color="auto"/>
      </w:divBdr>
    </w:div>
    <w:div w:id="1763141413">
      <w:bodyDiv w:val="1"/>
      <w:marLeft w:val="0"/>
      <w:marRight w:val="0"/>
      <w:marTop w:val="0"/>
      <w:marBottom w:val="0"/>
      <w:divBdr>
        <w:top w:val="none" w:sz="0" w:space="0" w:color="auto"/>
        <w:left w:val="none" w:sz="0" w:space="0" w:color="auto"/>
        <w:bottom w:val="none" w:sz="0" w:space="0" w:color="auto"/>
        <w:right w:val="none" w:sz="0" w:space="0" w:color="auto"/>
      </w:divBdr>
    </w:div>
    <w:div w:id="1776636239">
      <w:bodyDiv w:val="1"/>
      <w:marLeft w:val="0"/>
      <w:marRight w:val="0"/>
      <w:marTop w:val="0"/>
      <w:marBottom w:val="0"/>
      <w:divBdr>
        <w:top w:val="none" w:sz="0" w:space="0" w:color="auto"/>
        <w:left w:val="none" w:sz="0" w:space="0" w:color="auto"/>
        <w:bottom w:val="none" w:sz="0" w:space="0" w:color="auto"/>
        <w:right w:val="none" w:sz="0" w:space="0" w:color="auto"/>
      </w:divBdr>
    </w:div>
    <w:div w:id="1788239049">
      <w:bodyDiv w:val="1"/>
      <w:marLeft w:val="0"/>
      <w:marRight w:val="0"/>
      <w:marTop w:val="0"/>
      <w:marBottom w:val="0"/>
      <w:divBdr>
        <w:top w:val="none" w:sz="0" w:space="0" w:color="auto"/>
        <w:left w:val="none" w:sz="0" w:space="0" w:color="auto"/>
        <w:bottom w:val="none" w:sz="0" w:space="0" w:color="auto"/>
        <w:right w:val="none" w:sz="0" w:space="0" w:color="auto"/>
      </w:divBdr>
    </w:div>
    <w:div w:id="1827044199">
      <w:bodyDiv w:val="1"/>
      <w:marLeft w:val="0"/>
      <w:marRight w:val="0"/>
      <w:marTop w:val="0"/>
      <w:marBottom w:val="0"/>
      <w:divBdr>
        <w:top w:val="none" w:sz="0" w:space="0" w:color="auto"/>
        <w:left w:val="none" w:sz="0" w:space="0" w:color="auto"/>
        <w:bottom w:val="none" w:sz="0" w:space="0" w:color="auto"/>
        <w:right w:val="none" w:sz="0" w:space="0" w:color="auto"/>
      </w:divBdr>
    </w:div>
    <w:div w:id="1838840426">
      <w:bodyDiv w:val="1"/>
      <w:marLeft w:val="0"/>
      <w:marRight w:val="0"/>
      <w:marTop w:val="0"/>
      <w:marBottom w:val="0"/>
      <w:divBdr>
        <w:top w:val="none" w:sz="0" w:space="0" w:color="auto"/>
        <w:left w:val="none" w:sz="0" w:space="0" w:color="auto"/>
        <w:bottom w:val="none" w:sz="0" w:space="0" w:color="auto"/>
        <w:right w:val="none" w:sz="0" w:space="0" w:color="auto"/>
      </w:divBdr>
    </w:div>
    <w:div w:id="1893809979">
      <w:bodyDiv w:val="1"/>
      <w:marLeft w:val="0"/>
      <w:marRight w:val="0"/>
      <w:marTop w:val="0"/>
      <w:marBottom w:val="0"/>
      <w:divBdr>
        <w:top w:val="none" w:sz="0" w:space="0" w:color="auto"/>
        <w:left w:val="none" w:sz="0" w:space="0" w:color="auto"/>
        <w:bottom w:val="none" w:sz="0" w:space="0" w:color="auto"/>
        <w:right w:val="none" w:sz="0" w:space="0" w:color="auto"/>
      </w:divBdr>
    </w:div>
    <w:div w:id="1918442675">
      <w:bodyDiv w:val="1"/>
      <w:marLeft w:val="0"/>
      <w:marRight w:val="0"/>
      <w:marTop w:val="0"/>
      <w:marBottom w:val="0"/>
      <w:divBdr>
        <w:top w:val="none" w:sz="0" w:space="0" w:color="auto"/>
        <w:left w:val="none" w:sz="0" w:space="0" w:color="auto"/>
        <w:bottom w:val="none" w:sz="0" w:space="0" w:color="auto"/>
        <w:right w:val="none" w:sz="0" w:space="0" w:color="auto"/>
      </w:divBdr>
    </w:div>
    <w:div w:id="1921284314">
      <w:bodyDiv w:val="1"/>
      <w:marLeft w:val="0"/>
      <w:marRight w:val="0"/>
      <w:marTop w:val="0"/>
      <w:marBottom w:val="0"/>
      <w:divBdr>
        <w:top w:val="none" w:sz="0" w:space="0" w:color="auto"/>
        <w:left w:val="none" w:sz="0" w:space="0" w:color="auto"/>
        <w:bottom w:val="none" w:sz="0" w:space="0" w:color="auto"/>
        <w:right w:val="none" w:sz="0" w:space="0" w:color="auto"/>
      </w:divBdr>
    </w:div>
    <w:div w:id="1933968731">
      <w:bodyDiv w:val="1"/>
      <w:marLeft w:val="0"/>
      <w:marRight w:val="0"/>
      <w:marTop w:val="0"/>
      <w:marBottom w:val="0"/>
      <w:divBdr>
        <w:top w:val="none" w:sz="0" w:space="0" w:color="auto"/>
        <w:left w:val="none" w:sz="0" w:space="0" w:color="auto"/>
        <w:bottom w:val="none" w:sz="0" w:space="0" w:color="auto"/>
        <w:right w:val="none" w:sz="0" w:space="0" w:color="auto"/>
      </w:divBdr>
    </w:div>
    <w:div w:id="2082094941">
      <w:bodyDiv w:val="1"/>
      <w:marLeft w:val="0"/>
      <w:marRight w:val="0"/>
      <w:marTop w:val="0"/>
      <w:marBottom w:val="0"/>
      <w:divBdr>
        <w:top w:val="none" w:sz="0" w:space="0" w:color="auto"/>
        <w:left w:val="none" w:sz="0" w:space="0" w:color="auto"/>
        <w:bottom w:val="none" w:sz="0" w:space="0" w:color="auto"/>
        <w:right w:val="none" w:sz="0" w:space="0" w:color="auto"/>
      </w:divBdr>
    </w:div>
    <w:div w:id="2144031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z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mailto:Antra.Zilinska@iz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62508-kartiba-kada-aprekina-un-pieskir-bazes-finansejumu-zinatniskajam-institucijam" TargetMode="External"/><Relationship Id="rId1" Type="http://schemas.openxmlformats.org/officeDocument/2006/relationships/hyperlink" Target="http://www.izm.gov.lv/images/izglitiba_augst/Parskats-par-Latvijas-augstako-izglitibu-2017gada.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zilinska\Desktop\1112_VPN_VIAA\Excel_dati\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Doktora grādu ieguvuši skaits</a:t>
            </a:r>
            <a:endParaRPr lang="en-US"/>
          </a:p>
        </c:rich>
      </c:tx>
      <c:layout>
        <c:manualLayout>
          <c:xMode val="edge"/>
          <c:yMode val="edge"/>
          <c:x val="0.25307548327082857"/>
          <c:y val="1.04166666666666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1952527114917388E-2"/>
          <c:y val="0.14313553059235076"/>
          <c:w val="0.9098172834760716"/>
          <c:h val="0.5427025918635169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Sheet9!$A$1:$A$11</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Sheet9!$B$1:$B$11</c:f>
              <c:numCache>
                <c:formatCode>General</c:formatCode>
                <c:ptCount val="11"/>
                <c:pt idx="0">
                  <c:v>139</c:v>
                </c:pt>
                <c:pt idx="1">
                  <c:v>174</c:v>
                </c:pt>
                <c:pt idx="2">
                  <c:v>132</c:v>
                </c:pt>
                <c:pt idx="3">
                  <c:v>287</c:v>
                </c:pt>
                <c:pt idx="4">
                  <c:v>267</c:v>
                </c:pt>
                <c:pt idx="5">
                  <c:v>315</c:v>
                </c:pt>
                <c:pt idx="6">
                  <c:v>266</c:v>
                </c:pt>
                <c:pt idx="7">
                  <c:v>263</c:v>
                </c:pt>
                <c:pt idx="8">
                  <c:v>197</c:v>
                </c:pt>
                <c:pt idx="9">
                  <c:v>151</c:v>
                </c:pt>
                <c:pt idx="10">
                  <c:v>123</c:v>
                </c:pt>
              </c:numCache>
            </c:numRef>
          </c:val>
          <c:extLst>
            <c:ext xmlns:c16="http://schemas.microsoft.com/office/drawing/2014/chart" uri="{C3380CC4-5D6E-409C-BE32-E72D297353CC}">
              <c16:uniqueId val="{00000000-7F65-4B8F-A67E-B0F209AB345B}"/>
            </c:ext>
          </c:extLst>
        </c:ser>
        <c:dLbls>
          <c:showLegendKey val="0"/>
          <c:showVal val="0"/>
          <c:showCatName val="0"/>
          <c:showSerName val="0"/>
          <c:showPercent val="0"/>
          <c:showBubbleSize val="0"/>
        </c:dLbls>
        <c:gapWidth val="219"/>
        <c:overlap val="-27"/>
        <c:axId val="226482536"/>
        <c:axId val="226482928"/>
      </c:barChart>
      <c:catAx>
        <c:axId val="22648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mn-lt"/>
                <a:ea typeface="+mn-ea"/>
                <a:cs typeface="+mn-cs"/>
              </a:defRPr>
            </a:pPr>
            <a:endParaRPr lang="lv-LV"/>
          </a:p>
        </c:txPr>
        <c:crossAx val="226482928"/>
        <c:crosses val="autoZero"/>
        <c:auto val="1"/>
        <c:lblAlgn val="ctr"/>
        <c:lblOffset val="100"/>
        <c:noMultiLvlLbl val="0"/>
      </c:catAx>
      <c:valAx>
        <c:axId val="22648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26482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0.81596</cdr:x>
      <cdr:y>0.90212</cdr:y>
    </cdr:from>
    <cdr:to>
      <cdr:x>1</cdr:x>
      <cdr:y>0.98369</cdr:y>
    </cdr:to>
    <cdr:sp macro="" textlink="">
      <cdr:nvSpPr>
        <cdr:cNvPr id="2" name="Rectangle 1"/>
        <cdr:cNvSpPr/>
      </cdr:nvSpPr>
      <cdr:spPr>
        <a:xfrm xmlns:a="http://schemas.openxmlformats.org/drawingml/2006/main">
          <a:off x="4772025" y="2633662"/>
          <a:ext cx="1076324" cy="238125"/>
        </a:xfrm>
        <a:prstGeom xmlns:a="http://schemas.openxmlformats.org/drawingml/2006/main" prst="rect">
          <a:avLst/>
        </a:prstGeom>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lv-LV" sz="900"/>
            <a:t>*Provizoriskie</a:t>
          </a:r>
          <a:r>
            <a:rPr lang="lv-LV" sz="900" baseline="0"/>
            <a:t> dati</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97EC-222E-4EBF-8ADF-5347052E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30235</Words>
  <Characters>17235</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19. janvāra noteikumos Nr. 50 "Darbības programmas "Izaugsme un nodarbinātība" 1.1.1. specifiskā atbalsta mērķa "Palielināt Latvijas zinātnisko institūciju pētniecisko un inovatī</vt:lpstr>
    </vt:vector>
  </TitlesOfParts>
  <Company/>
  <LinksUpToDate>false</LinksUpToDate>
  <CharactersWithSpaces>47376</CharactersWithSpaces>
  <SharedDoc>false</SharedDoc>
  <HLinks>
    <vt:vector size="48" baseType="variant">
      <vt:variant>
        <vt:i4>2490387</vt:i4>
      </vt:variant>
      <vt:variant>
        <vt:i4>12</vt:i4>
      </vt:variant>
      <vt:variant>
        <vt:i4>0</vt:i4>
      </vt:variant>
      <vt:variant>
        <vt:i4>5</vt:i4>
      </vt:variant>
      <vt:variant>
        <vt:lpwstr>mailto:Antra.Zilinska@izm.gov.lv</vt:lpwstr>
      </vt:variant>
      <vt:variant>
        <vt:lpwstr/>
      </vt:variant>
      <vt:variant>
        <vt:i4>7012362</vt:i4>
      </vt:variant>
      <vt:variant>
        <vt:i4>9</vt:i4>
      </vt:variant>
      <vt:variant>
        <vt:i4>0</vt:i4>
      </vt:variant>
      <vt:variant>
        <vt:i4>5</vt:i4>
      </vt:variant>
      <vt:variant>
        <vt:lpwstr>mailto:pasts@izm.gov.lv</vt:lpwstr>
      </vt:variant>
      <vt:variant>
        <vt:lpwstr/>
      </vt:variant>
      <vt:variant>
        <vt:i4>8192051</vt:i4>
      </vt:variant>
      <vt:variant>
        <vt:i4>6</vt:i4>
      </vt:variant>
      <vt:variant>
        <vt:i4>0</vt:i4>
      </vt:variant>
      <vt:variant>
        <vt:i4>5</vt:i4>
      </vt:variant>
      <vt:variant>
        <vt:lpwstr>http://www.izm.gov.lv/</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1769551</vt:i4>
      </vt:variant>
      <vt:variant>
        <vt:i4>6</vt:i4>
      </vt:variant>
      <vt:variant>
        <vt:i4>0</vt:i4>
      </vt:variant>
      <vt:variant>
        <vt:i4>5</vt:i4>
      </vt:variant>
      <vt:variant>
        <vt:lpwstr>http://www.izm.gov.lv/images/izglitiba_augst/Pasaules_Banka/INFOGR_AKAD_PROFESIJA.pdf</vt:lpwstr>
      </vt:variant>
      <vt:variant>
        <vt:lpwstr/>
      </vt:variant>
      <vt:variant>
        <vt:i4>5832784</vt:i4>
      </vt:variant>
      <vt:variant>
        <vt:i4>3</vt:i4>
      </vt:variant>
      <vt:variant>
        <vt:i4>0</vt:i4>
      </vt:variant>
      <vt:variant>
        <vt:i4>5</vt:i4>
      </vt:variant>
      <vt:variant>
        <vt:lpwstr>https://likumi.lv/ta/id/262508-kartiba-kada-aprekina-un-pieskir-bazes-finansejumu-zinatniskajam-institucijam</vt:lpwstr>
      </vt:variant>
      <vt:variant>
        <vt:lpwstr/>
      </vt:variant>
      <vt:variant>
        <vt:i4>6488065</vt:i4>
      </vt:variant>
      <vt:variant>
        <vt:i4>0</vt:i4>
      </vt:variant>
      <vt:variant>
        <vt:i4>0</vt:i4>
      </vt:variant>
      <vt:variant>
        <vt:i4>5</vt:i4>
      </vt:variant>
      <vt:variant>
        <vt:lpwstr>http://www.izm.gov.lv/images/izglitiba_augst/Parskats-par-Latvijas-augstako-izglitibu-2017gada.pdf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dc:title>
  <dc:subject>Ministru kabineta noteikumu projekta anotācija</dc:subject>
  <dc:creator>Antra.Zilinska@izm.gov.lv</dc:creator>
  <cp:keywords/>
  <dc:description>A.Žilinska, tālr. 67047897
Antra.Zilinska@izm.gov.lv</dc:description>
  <cp:lastModifiedBy>Laimdota Adlere</cp:lastModifiedBy>
  <cp:revision>2</cp:revision>
  <cp:lastPrinted>2019-03-01T08:06:00Z</cp:lastPrinted>
  <dcterms:created xsi:type="dcterms:W3CDTF">2019-03-21T06:53:00Z</dcterms:created>
  <dcterms:modified xsi:type="dcterms:W3CDTF">2019-03-21T06:53:00Z</dcterms:modified>
</cp:coreProperties>
</file>