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E4" w:rsidRPr="001071DC" w:rsidRDefault="00196278" w:rsidP="003B293D">
      <w:pPr>
        <w:pStyle w:val="naisnod"/>
        <w:spacing w:before="0" w:after="0"/>
        <w:rPr>
          <w:sz w:val="22"/>
          <w:szCs w:val="22"/>
        </w:rPr>
      </w:pPr>
      <w:bookmarkStart w:id="0" w:name="OLE_LINK17"/>
      <w:bookmarkStart w:id="1" w:name="OLE_LINK18"/>
      <w:r w:rsidRPr="001071DC">
        <w:rPr>
          <w:sz w:val="22"/>
          <w:szCs w:val="22"/>
        </w:rPr>
        <w:t>Izziņa par atzinumos sniegtajiem iebildumiem</w:t>
      </w:r>
      <w:r w:rsidR="008C673C" w:rsidRPr="001071DC">
        <w:rPr>
          <w:sz w:val="22"/>
          <w:szCs w:val="22"/>
        </w:rPr>
        <w:t xml:space="preserve"> par Ministru kabineta noteikumu projektu</w:t>
      </w:r>
    </w:p>
    <w:p w:rsidR="00991C1B" w:rsidRPr="001071DC" w:rsidRDefault="001C36D1" w:rsidP="003B293D">
      <w:pPr>
        <w:pStyle w:val="Default"/>
        <w:jc w:val="center"/>
        <w:rPr>
          <w:b/>
          <w:bCs/>
          <w:sz w:val="22"/>
          <w:szCs w:val="22"/>
        </w:rPr>
      </w:pPr>
      <w:r w:rsidRPr="001071DC">
        <w:rPr>
          <w:b/>
          <w:bCs/>
          <w:color w:val="auto"/>
          <w:sz w:val="22"/>
          <w:szCs w:val="22"/>
        </w:rPr>
        <w:t>„Grozījumi Ministru kabineta 2016.gada 29.marta noteikumos Nr.188 „Darbības programmas „Izaugsme un nodarbinātība” 5.6.1.specifiskā atbalsta mērķa „Veicināt Rīgas pilsētas revitalizāciju, nodrošinot teritorijas efektīvu sociālekonomisko izmantošanu” īstenošanas noteikumi””</w:t>
      </w:r>
      <w:r w:rsidR="00032061" w:rsidRPr="001071DC">
        <w:rPr>
          <w:b/>
          <w:bCs/>
          <w:color w:val="auto"/>
          <w:sz w:val="22"/>
          <w:szCs w:val="22"/>
        </w:rPr>
        <w:t xml:space="preserve"> un </w:t>
      </w:r>
      <w:r w:rsidR="00940DEB" w:rsidRPr="001071DC">
        <w:rPr>
          <w:b/>
          <w:bCs/>
          <w:color w:val="auto"/>
          <w:sz w:val="22"/>
          <w:szCs w:val="22"/>
        </w:rPr>
        <w:t>sākotnējās ietekmes novērtējuma ziņojumu (</w:t>
      </w:r>
      <w:r w:rsidR="00032061" w:rsidRPr="001071DC">
        <w:rPr>
          <w:b/>
          <w:bCs/>
          <w:color w:val="auto"/>
          <w:sz w:val="22"/>
          <w:szCs w:val="22"/>
        </w:rPr>
        <w:t>anotāciju</w:t>
      </w:r>
      <w:r w:rsidR="00940DEB" w:rsidRPr="001071DC">
        <w:rPr>
          <w:b/>
          <w:bCs/>
          <w:color w:val="auto"/>
          <w:sz w:val="22"/>
          <w:szCs w:val="22"/>
        </w:rPr>
        <w:t>)</w:t>
      </w:r>
      <w:r w:rsidR="00032061" w:rsidRPr="001071DC">
        <w:rPr>
          <w:b/>
          <w:bCs/>
          <w:color w:val="auto"/>
          <w:sz w:val="22"/>
          <w:szCs w:val="22"/>
        </w:rPr>
        <w:t xml:space="preserve"> </w:t>
      </w:r>
    </w:p>
    <w:bookmarkEnd w:id="0"/>
    <w:bookmarkEnd w:id="1"/>
    <w:p w:rsidR="00032061" w:rsidRPr="001071DC" w:rsidRDefault="00032061" w:rsidP="003B293D">
      <w:pPr>
        <w:jc w:val="center"/>
        <w:rPr>
          <w:b/>
          <w:bCs/>
          <w:sz w:val="22"/>
          <w:szCs w:val="22"/>
        </w:rPr>
      </w:pPr>
    </w:p>
    <w:p w:rsidR="001229CC" w:rsidRDefault="00F64DE4" w:rsidP="003B293D">
      <w:pPr>
        <w:numPr>
          <w:ilvl w:val="0"/>
          <w:numId w:val="1"/>
        </w:numPr>
        <w:ind w:left="567" w:hanging="207"/>
        <w:jc w:val="center"/>
        <w:rPr>
          <w:b/>
          <w:bCs/>
          <w:sz w:val="22"/>
          <w:szCs w:val="22"/>
        </w:rPr>
      </w:pPr>
      <w:r w:rsidRPr="001071DC">
        <w:rPr>
          <w:b/>
          <w:bCs/>
          <w:sz w:val="22"/>
          <w:szCs w:val="22"/>
        </w:rPr>
        <w:t>Jautājumi, par kuriem saskaņošanā vienošanās nav panākta</w:t>
      </w:r>
    </w:p>
    <w:p w:rsidR="00DE4669" w:rsidRPr="001071DC" w:rsidRDefault="00DE4669" w:rsidP="00DE4669">
      <w:pPr>
        <w:ind w:left="567"/>
        <w:rPr>
          <w:b/>
          <w:bCs/>
          <w:sz w:val="22"/>
          <w:szCs w:val="22"/>
        </w:rPr>
      </w:pPr>
    </w:p>
    <w:tbl>
      <w:tblPr>
        <w:tblW w:w="5023" w:type="pct"/>
        <w:tblBorders>
          <w:top w:val="single" w:sz="4" w:space="0" w:color="auto"/>
          <w:left w:val="single" w:sz="4" w:space="0" w:color="auto"/>
          <w:bottom w:val="single" w:sz="4" w:space="0" w:color="auto"/>
          <w:right w:val="single" w:sz="4" w:space="0" w:color="auto"/>
        </w:tblBorders>
        <w:tblLook w:val="00A0"/>
      </w:tblPr>
      <w:tblGrid>
        <w:gridCol w:w="720"/>
        <w:gridCol w:w="2414"/>
        <w:gridCol w:w="3171"/>
        <w:gridCol w:w="3020"/>
        <w:gridCol w:w="2451"/>
        <w:gridCol w:w="2508"/>
      </w:tblGrid>
      <w:tr w:rsidR="00F64DE4" w:rsidRPr="001071DC" w:rsidTr="00032061">
        <w:tc>
          <w:tcPr>
            <w:tcW w:w="252" w:type="pct"/>
            <w:tcBorders>
              <w:top w:val="single" w:sz="6" w:space="0" w:color="000000"/>
              <w:left w:val="single" w:sz="6" w:space="0" w:color="000000"/>
              <w:bottom w:val="single" w:sz="6" w:space="0" w:color="000000"/>
              <w:right w:val="single" w:sz="6" w:space="0" w:color="000000"/>
            </w:tcBorders>
            <w:vAlign w:val="center"/>
            <w:hideMark/>
          </w:tcPr>
          <w:p w:rsidR="00C01E51" w:rsidRPr="001071DC" w:rsidRDefault="00F64DE4" w:rsidP="003B293D">
            <w:pPr>
              <w:pStyle w:val="naisc"/>
              <w:spacing w:before="0" w:after="0"/>
              <w:rPr>
                <w:lang w:eastAsia="en-US"/>
              </w:rPr>
            </w:pPr>
            <w:r w:rsidRPr="001071DC">
              <w:rPr>
                <w:sz w:val="22"/>
                <w:szCs w:val="22"/>
                <w:lang w:eastAsia="en-US"/>
              </w:rPr>
              <w:t>Nr. p.k.</w:t>
            </w:r>
          </w:p>
        </w:tc>
        <w:tc>
          <w:tcPr>
            <w:tcW w:w="845" w:type="pct"/>
            <w:tcBorders>
              <w:top w:val="single" w:sz="6" w:space="0" w:color="000000"/>
              <w:left w:val="single" w:sz="6" w:space="0" w:color="000000"/>
              <w:bottom w:val="single" w:sz="6" w:space="0" w:color="000000"/>
              <w:right w:val="single" w:sz="6" w:space="0" w:color="000000"/>
            </w:tcBorders>
            <w:vAlign w:val="center"/>
            <w:hideMark/>
          </w:tcPr>
          <w:p w:rsidR="00C01E51" w:rsidRPr="001071DC" w:rsidRDefault="00F64DE4" w:rsidP="003B293D">
            <w:pPr>
              <w:pStyle w:val="naisc"/>
              <w:spacing w:before="0" w:after="0"/>
              <w:ind w:firstLine="12"/>
              <w:rPr>
                <w:lang w:eastAsia="en-US"/>
              </w:rPr>
            </w:pPr>
            <w:r w:rsidRPr="001071DC">
              <w:rPr>
                <w:sz w:val="22"/>
                <w:szCs w:val="22"/>
                <w:lang w:eastAsia="en-US"/>
              </w:rPr>
              <w:t>Saskaņošanai nosūtītā projekta redakcija (konkrēta punkta (panta) redakcija)</w:t>
            </w:r>
          </w:p>
        </w:tc>
        <w:tc>
          <w:tcPr>
            <w:tcW w:w="1110" w:type="pct"/>
            <w:tcBorders>
              <w:top w:val="single" w:sz="6" w:space="0" w:color="000000"/>
              <w:left w:val="single" w:sz="6" w:space="0" w:color="000000"/>
              <w:bottom w:val="single" w:sz="6" w:space="0" w:color="000000"/>
              <w:right w:val="single" w:sz="6" w:space="0" w:color="000000"/>
            </w:tcBorders>
            <w:vAlign w:val="center"/>
            <w:hideMark/>
          </w:tcPr>
          <w:p w:rsidR="00C01E51" w:rsidRPr="001071DC" w:rsidRDefault="00F64DE4" w:rsidP="003B293D">
            <w:pPr>
              <w:pStyle w:val="naisc"/>
              <w:spacing w:before="0" w:after="0"/>
              <w:ind w:right="3"/>
              <w:rPr>
                <w:lang w:eastAsia="en-US"/>
              </w:rPr>
            </w:pPr>
            <w:r w:rsidRPr="001071DC">
              <w:rPr>
                <w:sz w:val="22"/>
                <w:szCs w:val="22"/>
                <w:lang w:eastAsia="en-US"/>
              </w:rPr>
              <w:t>Atzinumā norādītais ministrijas (citas institūcijas) iebildums, kā arī saskaņošanā papildus izte</w:t>
            </w:r>
            <w:r w:rsidR="00734AC4" w:rsidRPr="001071DC">
              <w:rPr>
                <w:sz w:val="22"/>
                <w:szCs w:val="22"/>
                <w:lang w:eastAsia="en-US"/>
              </w:rPr>
              <w:t>iktais iebildums par projekta konkrēto punktu (pantu)</w:t>
            </w:r>
          </w:p>
        </w:tc>
        <w:tc>
          <w:tcPr>
            <w:tcW w:w="1057" w:type="pct"/>
            <w:tcBorders>
              <w:top w:val="single" w:sz="6" w:space="0" w:color="000000"/>
              <w:left w:val="single" w:sz="6" w:space="0" w:color="000000"/>
              <w:bottom w:val="single" w:sz="6" w:space="0" w:color="000000"/>
              <w:right w:val="single" w:sz="6" w:space="0" w:color="000000"/>
            </w:tcBorders>
            <w:vAlign w:val="center"/>
            <w:hideMark/>
          </w:tcPr>
          <w:p w:rsidR="00C01E51" w:rsidRPr="001071DC" w:rsidRDefault="00F64DE4" w:rsidP="003B293D">
            <w:pPr>
              <w:pStyle w:val="naisc"/>
              <w:spacing w:before="0" w:after="0"/>
              <w:ind w:firstLine="21"/>
              <w:rPr>
                <w:lang w:eastAsia="en-US"/>
              </w:rPr>
            </w:pPr>
            <w:r w:rsidRPr="001071DC">
              <w:rPr>
                <w:sz w:val="22"/>
                <w:szCs w:val="22"/>
                <w:lang w:eastAsia="en-US"/>
              </w:rPr>
              <w:t>Atbildīgās ministrijas pamatojums iebilduma noraidījumam</w:t>
            </w:r>
          </w:p>
        </w:tc>
        <w:tc>
          <w:tcPr>
            <w:tcW w:w="858" w:type="pct"/>
            <w:tcBorders>
              <w:top w:val="single" w:sz="4" w:space="0" w:color="auto"/>
              <w:left w:val="single" w:sz="4" w:space="0" w:color="auto"/>
              <w:bottom w:val="single" w:sz="4" w:space="0" w:color="auto"/>
              <w:right w:val="single" w:sz="4" w:space="0" w:color="auto"/>
            </w:tcBorders>
            <w:vAlign w:val="center"/>
            <w:hideMark/>
          </w:tcPr>
          <w:p w:rsidR="00C01E51" w:rsidRPr="001071DC" w:rsidRDefault="00F64DE4" w:rsidP="003B293D">
            <w:pPr>
              <w:jc w:val="center"/>
              <w:rPr>
                <w:lang w:eastAsia="en-US"/>
              </w:rPr>
            </w:pPr>
            <w:r w:rsidRPr="001071DC">
              <w:rPr>
                <w:sz w:val="22"/>
                <w:szCs w:val="22"/>
                <w:lang w:eastAsia="en-US"/>
              </w:rPr>
              <w:t>Atzinuma sniedzēja uzturētais iebildums, ja tas atšķiras no atzinumā norādītā iebilduma pamatojuma</w:t>
            </w:r>
          </w:p>
        </w:tc>
        <w:tc>
          <w:tcPr>
            <w:tcW w:w="878" w:type="pct"/>
            <w:tcBorders>
              <w:top w:val="single" w:sz="4" w:space="0" w:color="auto"/>
              <w:left w:val="single" w:sz="4" w:space="0" w:color="auto"/>
              <w:bottom w:val="single" w:sz="4" w:space="0" w:color="auto"/>
              <w:right w:val="single" w:sz="4" w:space="0" w:color="auto"/>
            </w:tcBorders>
            <w:vAlign w:val="center"/>
            <w:hideMark/>
          </w:tcPr>
          <w:p w:rsidR="00C01E51" w:rsidRPr="001071DC" w:rsidRDefault="00F64DE4" w:rsidP="003B293D">
            <w:pPr>
              <w:jc w:val="center"/>
              <w:rPr>
                <w:lang w:eastAsia="en-US"/>
              </w:rPr>
            </w:pPr>
            <w:r w:rsidRPr="001071DC">
              <w:rPr>
                <w:sz w:val="22"/>
                <w:szCs w:val="22"/>
                <w:lang w:eastAsia="en-US"/>
              </w:rPr>
              <w:t>Projekta attiecīgā punkta (panta) galīgā redakcija</w:t>
            </w:r>
          </w:p>
        </w:tc>
      </w:tr>
      <w:tr w:rsidR="00F64DE4" w:rsidRPr="001071DC" w:rsidTr="00032061">
        <w:tc>
          <w:tcPr>
            <w:tcW w:w="252" w:type="pct"/>
            <w:tcBorders>
              <w:top w:val="single" w:sz="6" w:space="0" w:color="000000"/>
              <w:left w:val="single" w:sz="6" w:space="0" w:color="000000"/>
              <w:bottom w:val="single" w:sz="6" w:space="0" w:color="000000"/>
              <w:right w:val="single" w:sz="6" w:space="0" w:color="000000"/>
            </w:tcBorders>
            <w:hideMark/>
          </w:tcPr>
          <w:p w:rsidR="00C01E51" w:rsidRPr="001071DC" w:rsidRDefault="00F64DE4" w:rsidP="003B293D">
            <w:pPr>
              <w:pStyle w:val="naisc"/>
              <w:spacing w:before="0" w:after="0"/>
              <w:rPr>
                <w:lang w:eastAsia="en-US"/>
              </w:rPr>
            </w:pPr>
            <w:r w:rsidRPr="001071DC">
              <w:rPr>
                <w:sz w:val="22"/>
                <w:szCs w:val="22"/>
                <w:lang w:eastAsia="en-US"/>
              </w:rPr>
              <w:t>1</w:t>
            </w:r>
          </w:p>
        </w:tc>
        <w:tc>
          <w:tcPr>
            <w:tcW w:w="845" w:type="pct"/>
            <w:tcBorders>
              <w:top w:val="single" w:sz="6" w:space="0" w:color="000000"/>
              <w:left w:val="single" w:sz="6" w:space="0" w:color="000000"/>
              <w:bottom w:val="single" w:sz="6" w:space="0" w:color="000000"/>
              <w:right w:val="single" w:sz="6" w:space="0" w:color="000000"/>
            </w:tcBorders>
            <w:hideMark/>
          </w:tcPr>
          <w:p w:rsidR="00C01E51" w:rsidRPr="001071DC" w:rsidRDefault="00F64DE4" w:rsidP="003B293D">
            <w:pPr>
              <w:pStyle w:val="naisc"/>
              <w:spacing w:before="0" w:after="0"/>
              <w:ind w:hanging="11"/>
              <w:rPr>
                <w:lang w:eastAsia="en-US"/>
              </w:rPr>
            </w:pPr>
            <w:r w:rsidRPr="001071DC">
              <w:rPr>
                <w:sz w:val="22"/>
                <w:szCs w:val="22"/>
                <w:lang w:eastAsia="en-US"/>
              </w:rPr>
              <w:t>2</w:t>
            </w:r>
          </w:p>
        </w:tc>
        <w:tc>
          <w:tcPr>
            <w:tcW w:w="1110" w:type="pct"/>
            <w:tcBorders>
              <w:top w:val="single" w:sz="6" w:space="0" w:color="000000"/>
              <w:left w:val="single" w:sz="6" w:space="0" w:color="000000"/>
              <w:bottom w:val="single" w:sz="6" w:space="0" w:color="000000"/>
              <w:right w:val="single" w:sz="6" w:space="0" w:color="000000"/>
            </w:tcBorders>
            <w:hideMark/>
          </w:tcPr>
          <w:p w:rsidR="00C01E51" w:rsidRPr="001071DC" w:rsidRDefault="00F64DE4" w:rsidP="003B293D">
            <w:pPr>
              <w:pStyle w:val="naisc"/>
              <w:spacing w:before="0" w:after="0"/>
              <w:rPr>
                <w:lang w:eastAsia="en-US"/>
              </w:rPr>
            </w:pPr>
            <w:r w:rsidRPr="001071DC">
              <w:rPr>
                <w:sz w:val="22"/>
                <w:szCs w:val="22"/>
                <w:lang w:eastAsia="en-US"/>
              </w:rPr>
              <w:t>3</w:t>
            </w:r>
          </w:p>
        </w:tc>
        <w:tc>
          <w:tcPr>
            <w:tcW w:w="1057" w:type="pct"/>
            <w:tcBorders>
              <w:top w:val="single" w:sz="6" w:space="0" w:color="000000"/>
              <w:left w:val="single" w:sz="6" w:space="0" w:color="000000"/>
              <w:bottom w:val="single" w:sz="6" w:space="0" w:color="000000"/>
              <w:right w:val="single" w:sz="6" w:space="0" w:color="000000"/>
            </w:tcBorders>
            <w:hideMark/>
          </w:tcPr>
          <w:p w:rsidR="00C01E51" w:rsidRPr="001071DC" w:rsidRDefault="00F64DE4" w:rsidP="003B293D">
            <w:pPr>
              <w:pStyle w:val="naisc"/>
              <w:spacing w:before="0" w:after="0"/>
              <w:rPr>
                <w:lang w:eastAsia="en-US"/>
              </w:rPr>
            </w:pPr>
            <w:r w:rsidRPr="001071DC">
              <w:rPr>
                <w:sz w:val="22"/>
                <w:szCs w:val="22"/>
                <w:lang w:eastAsia="en-US"/>
              </w:rPr>
              <w:t>4</w:t>
            </w:r>
          </w:p>
        </w:tc>
        <w:tc>
          <w:tcPr>
            <w:tcW w:w="858" w:type="pct"/>
            <w:tcBorders>
              <w:top w:val="single" w:sz="4" w:space="0" w:color="auto"/>
              <w:left w:val="single" w:sz="4" w:space="0" w:color="auto"/>
              <w:bottom w:val="single" w:sz="4" w:space="0" w:color="auto"/>
              <w:right w:val="single" w:sz="4" w:space="0" w:color="auto"/>
            </w:tcBorders>
            <w:hideMark/>
          </w:tcPr>
          <w:p w:rsidR="00C01E51" w:rsidRPr="001071DC" w:rsidRDefault="00F64DE4" w:rsidP="003B293D">
            <w:pPr>
              <w:jc w:val="center"/>
              <w:rPr>
                <w:lang w:eastAsia="en-US"/>
              </w:rPr>
            </w:pPr>
            <w:r w:rsidRPr="001071DC">
              <w:rPr>
                <w:sz w:val="22"/>
                <w:szCs w:val="22"/>
                <w:lang w:eastAsia="en-US"/>
              </w:rPr>
              <w:t>5</w:t>
            </w:r>
          </w:p>
        </w:tc>
        <w:tc>
          <w:tcPr>
            <w:tcW w:w="878" w:type="pct"/>
            <w:tcBorders>
              <w:top w:val="single" w:sz="4" w:space="0" w:color="auto"/>
              <w:left w:val="single" w:sz="4" w:space="0" w:color="auto"/>
              <w:bottom w:val="single" w:sz="4" w:space="0" w:color="auto"/>
              <w:right w:val="single" w:sz="4" w:space="0" w:color="auto"/>
            </w:tcBorders>
            <w:hideMark/>
          </w:tcPr>
          <w:p w:rsidR="00C01E51" w:rsidRPr="001071DC" w:rsidRDefault="00F64DE4" w:rsidP="003B293D">
            <w:pPr>
              <w:jc w:val="center"/>
              <w:rPr>
                <w:lang w:eastAsia="en-US"/>
              </w:rPr>
            </w:pPr>
            <w:r w:rsidRPr="001071DC">
              <w:rPr>
                <w:sz w:val="22"/>
                <w:szCs w:val="22"/>
                <w:lang w:eastAsia="en-US"/>
              </w:rPr>
              <w:t>6</w:t>
            </w:r>
          </w:p>
        </w:tc>
      </w:tr>
      <w:tr w:rsidR="00222E72" w:rsidRPr="001071DC" w:rsidTr="00032061">
        <w:tc>
          <w:tcPr>
            <w:tcW w:w="252" w:type="pct"/>
            <w:tcBorders>
              <w:top w:val="single" w:sz="6" w:space="0" w:color="000000"/>
              <w:left w:val="single" w:sz="6" w:space="0" w:color="000000"/>
              <w:bottom w:val="single" w:sz="6" w:space="0" w:color="000000"/>
              <w:right w:val="single" w:sz="6" w:space="0" w:color="000000"/>
            </w:tcBorders>
          </w:tcPr>
          <w:p w:rsidR="00222E72" w:rsidRPr="001071DC" w:rsidRDefault="00222E72" w:rsidP="003B293D">
            <w:pPr>
              <w:pStyle w:val="naisc"/>
              <w:spacing w:before="0" w:after="0"/>
              <w:rPr>
                <w:lang w:eastAsia="en-US"/>
              </w:rPr>
            </w:pPr>
          </w:p>
        </w:tc>
        <w:tc>
          <w:tcPr>
            <w:tcW w:w="845" w:type="pct"/>
            <w:tcBorders>
              <w:top w:val="single" w:sz="6" w:space="0" w:color="000000"/>
              <w:left w:val="single" w:sz="6" w:space="0" w:color="000000"/>
              <w:bottom w:val="single" w:sz="6" w:space="0" w:color="000000"/>
              <w:right w:val="single" w:sz="6" w:space="0" w:color="000000"/>
            </w:tcBorders>
          </w:tcPr>
          <w:p w:rsidR="00222E72" w:rsidRPr="001071DC" w:rsidRDefault="00222E72" w:rsidP="003B293D">
            <w:pPr>
              <w:pStyle w:val="naisc"/>
              <w:spacing w:before="0" w:after="0"/>
              <w:ind w:hanging="11"/>
              <w:rPr>
                <w:lang w:eastAsia="en-US"/>
              </w:rPr>
            </w:pPr>
          </w:p>
        </w:tc>
        <w:tc>
          <w:tcPr>
            <w:tcW w:w="1110" w:type="pct"/>
            <w:tcBorders>
              <w:top w:val="single" w:sz="6" w:space="0" w:color="000000"/>
              <w:left w:val="single" w:sz="6" w:space="0" w:color="000000"/>
              <w:bottom w:val="single" w:sz="6" w:space="0" w:color="000000"/>
              <w:right w:val="single" w:sz="6" w:space="0" w:color="000000"/>
            </w:tcBorders>
          </w:tcPr>
          <w:p w:rsidR="00222E72" w:rsidRPr="001071DC" w:rsidRDefault="00222E72" w:rsidP="003B293D">
            <w:pPr>
              <w:pStyle w:val="naisc"/>
              <w:spacing w:before="0" w:after="0"/>
              <w:rPr>
                <w:lang w:eastAsia="en-US"/>
              </w:rPr>
            </w:pPr>
          </w:p>
        </w:tc>
        <w:tc>
          <w:tcPr>
            <w:tcW w:w="1057" w:type="pct"/>
            <w:tcBorders>
              <w:top w:val="single" w:sz="6" w:space="0" w:color="000000"/>
              <w:left w:val="single" w:sz="6" w:space="0" w:color="000000"/>
              <w:bottom w:val="single" w:sz="6" w:space="0" w:color="000000"/>
              <w:right w:val="single" w:sz="6" w:space="0" w:color="000000"/>
            </w:tcBorders>
          </w:tcPr>
          <w:p w:rsidR="00222E72" w:rsidRPr="001071DC" w:rsidRDefault="00222E72" w:rsidP="003B293D">
            <w:pPr>
              <w:pStyle w:val="naisc"/>
              <w:spacing w:before="0" w:after="0"/>
              <w:rPr>
                <w:lang w:eastAsia="en-US"/>
              </w:rPr>
            </w:pPr>
          </w:p>
        </w:tc>
        <w:tc>
          <w:tcPr>
            <w:tcW w:w="858" w:type="pct"/>
            <w:tcBorders>
              <w:top w:val="single" w:sz="4" w:space="0" w:color="auto"/>
              <w:left w:val="single" w:sz="4" w:space="0" w:color="auto"/>
              <w:bottom w:val="single" w:sz="4" w:space="0" w:color="auto"/>
              <w:right w:val="single" w:sz="4" w:space="0" w:color="auto"/>
            </w:tcBorders>
          </w:tcPr>
          <w:p w:rsidR="00222E72" w:rsidRPr="001071DC" w:rsidRDefault="00222E72" w:rsidP="003B293D">
            <w:pPr>
              <w:jc w:val="center"/>
              <w:rPr>
                <w:lang w:eastAsia="en-US"/>
              </w:rPr>
            </w:pPr>
          </w:p>
        </w:tc>
        <w:tc>
          <w:tcPr>
            <w:tcW w:w="878" w:type="pct"/>
            <w:tcBorders>
              <w:top w:val="single" w:sz="4" w:space="0" w:color="auto"/>
              <w:left w:val="single" w:sz="4" w:space="0" w:color="auto"/>
              <w:bottom w:val="single" w:sz="4" w:space="0" w:color="auto"/>
              <w:right w:val="single" w:sz="4" w:space="0" w:color="auto"/>
            </w:tcBorders>
          </w:tcPr>
          <w:p w:rsidR="00222E72" w:rsidRPr="001071DC" w:rsidRDefault="00222E72" w:rsidP="003B293D">
            <w:pPr>
              <w:jc w:val="center"/>
              <w:rPr>
                <w:lang w:eastAsia="en-US"/>
              </w:rPr>
            </w:pPr>
          </w:p>
        </w:tc>
      </w:tr>
    </w:tbl>
    <w:p w:rsidR="00C01E51" w:rsidRPr="001071DC" w:rsidRDefault="00C01E51" w:rsidP="003B293D">
      <w:pPr>
        <w:ind w:left="57" w:right="57" w:firstLine="375"/>
        <w:contextualSpacing/>
        <w:mirrorIndents/>
        <w:jc w:val="both"/>
        <w:rPr>
          <w:sz w:val="22"/>
          <w:szCs w:val="22"/>
        </w:rPr>
      </w:pPr>
    </w:p>
    <w:p w:rsidR="00C01E51" w:rsidRPr="001071DC" w:rsidRDefault="00734AC4" w:rsidP="003B293D">
      <w:pPr>
        <w:ind w:left="57" w:right="57"/>
        <w:contextualSpacing/>
        <w:mirrorIndents/>
        <w:rPr>
          <w:sz w:val="22"/>
          <w:szCs w:val="22"/>
        </w:rPr>
      </w:pPr>
      <w:r w:rsidRPr="001071DC">
        <w:rPr>
          <w:b/>
          <w:bCs/>
          <w:sz w:val="22"/>
          <w:szCs w:val="22"/>
        </w:rPr>
        <w:t>Informācija par starpministriju (starpinstitūciju) sanāksmi vai elektronisko saskaņošanu</w:t>
      </w:r>
      <w:r w:rsidRPr="001071DC">
        <w:rPr>
          <w:sz w:val="22"/>
          <w:szCs w:val="22"/>
        </w:rPr>
        <w:t> </w:t>
      </w:r>
    </w:p>
    <w:p w:rsidR="00D724E9" w:rsidRPr="001071DC" w:rsidRDefault="00D724E9" w:rsidP="003B293D">
      <w:pPr>
        <w:ind w:left="57" w:right="57"/>
        <w:contextualSpacing/>
        <w:mirrorIndents/>
        <w:rPr>
          <w:sz w:val="22"/>
          <w:szCs w:val="22"/>
        </w:rPr>
      </w:pPr>
    </w:p>
    <w:tbl>
      <w:tblPr>
        <w:tblW w:w="14207" w:type="dxa"/>
        <w:tblLook w:val="00A0"/>
      </w:tblPr>
      <w:tblGrid>
        <w:gridCol w:w="14207"/>
      </w:tblGrid>
      <w:tr w:rsidR="00F64DE4" w:rsidRPr="001071DC" w:rsidTr="00F64DE4">
        <w:tc>
          <w:tcPr>
            <w:tcW w:w="14207" w:type="dxa"/>
            <w:hideMark/>
          </w:tcPr>
          <w:tbl>
            <w:tblPr>
              <w:tblW w:w="13707" w:type="dxa"/>
              <w:tblLook w:val="00A0"/>
            </w:tblPr>
            <w:tblGrid>
              <w:gridCol w:w="2376"/>
              <w:gridCol w:w="4111"/>
              <w:gridCol w:w="1651"/>
              <w:gridCol w:w="4860"/>
              <w:gridCol w:w="142"/>
              <w:gridCol w:w="567"/>
            </w:tblGrid>
            <w:tr w:rsidR="00F64DE4" w:rsidRPr="001071DC">
              <w:tc>
                <w:tcPr>
                  <w:tcW w:w="2376" w:type="dxa"/>
                  <w:hideMark/>
                </w:tcPr>
                <w:p w:rsidR="00C01E51" w:rsidRPr="001071DC" w:rsidRDefault="00776962" w:rsidP="003B293D">
                  <w:pPr>
                    <w:pStyle w:val="naisf"/>
                    <w:spacing w:before="0" w:after="0"/>
                    <w:ind w:firstLine="0"/>
                    <w:rPr>
                      <w:lang w:eastAsia="en-US"/>
                    </w:rPr>
                  </w:pPr>
                  <w:r w:rsidRPr="001071DC">
                    <w:rPr>
                      <w:sz w:val="22"/>
                      <w:szCs w:val="22"/>
                      <w:lang w:eastAsia="en-US"/>
                    </w:rPr>
                    <w:t>Datums</w:t>
                  </w:r>
                </w:p>
              </w:tc>
              <w:tc>
                <w:tcPr>
                  <w:tcW w:w="11331" w:type="dxa"/>
                  <w:gridSpan w:val="5"/>
                  <w:tcBorders>
                    <w:top w:val="nil"/>
                    <w:left w:val="nil"/>
                    <w:bottom w:val="single" w:sz="4" w:space="0" w:color="auto"/>
                    <w:right w:val="nil"/>
                  </w:tcBorders>
                  <w:hideMark/>
                </w:tcPr>
                <w:p w:rsidR="00C01E51" w:rsidRPr="001071DC" w:rsidRDefault="00E556E0" w:rsidP="00304342">
                  <w:pPr>
                    <w:pStyle w:val="ParastaisWeb"/>
                    <w:spacing w:before="0" w:beforeAutospacing="0" w:after="0" w:afterAutospacing="0"/>
                    <w:rPr>
                      <w:lang w:eastAsia="en-US"/>
                    </w:rPr>
                  </w:pPr>
                  <w:r w:rsidRPr="001071DC">
                    <w:rPr>
                      <w:sz w:val="22"/>
                      <w:szCs w:val="22"/>
                      <w:lang w:eastAsia="en-US"/>
                    </w:rPr>
                    <w:t>2019.gada 17</w:t>
                  </w:r>
                  <w:r w:rsidR="00D724E9" w:rsidRPr="001071DC">
                    <w:rPr>
                      <w:sz w:val="22"/>
                      <w:szCs w:val="22"/>
                      <w:lang w:eastAsia="en-US"/>
                    </w:rPr>
                    <w:t>.</w:t>
                  </w:r>
                  <w:r w:rsidRPr="001071DC">
                    <w:rPr>
                      <w:sz w:val="22"/>
                      <w:szCs w:val="22"/>
                      <w:lang w:eastAsia="en-US"/>
                    </w:rPr>
                    <w:t>janvāris</w:t>
                  </w:r>
                  <w:r w:rsidR="009A7AEA" w:rsidRPr="001071DC">
                    <w:rPr>
                      <w:sz w:val="22"/>
                      <w:szCs w:val="22"/>
                      <w:lang w:eastAsia="en-US"/>
                    </w:rPr>
                    <w:t xml:space="preserve"> </w:t>
                  </w:r>
                  <w:r w:rsidR="002E6C19" w:rsidRPr="001071DC">
                    <w:rPr>
                      <w:sz w:val="22"/>
                      <w:szCs w:val="22"/>
                      <w:lang w:eastAsia="en-US"/>
                    </w:rPr>
                    <w:t>un 2019.gada</w:t>
                  </w:r>
                  <w:r w:rsidR="00304342" w:rsidRPr="001071DC">
                    <w:rPr>
                      <w:sz w:val="22"/>
                      <w:szCs w:val="22"/>
                      <w:lang w:eastAsia="en-US"/>
                    </w:rPr>
                    <w:t xml:space="preserve"> </w:t>
                  </w:r>
                  <w:r w:rsidR="003C4B8B" w:rsidRPr="001071DC">
                    <w:rPr>
                      <w:sz w:val="22"/>
                      <w:szCs w:val="22"/>
                      <w:lang w:eastAsia="en-US"/>
                    </w:rPr>
                    <w:t>4</w:t>
                  </w:r>
                  <w:r w:rsidR="00DE0C56" w:rsidRPr="001071DC">
                    <w:rPr>
                      <w:sz w:val="22"/>
                      <w:szCs w:val="22"/>
                      <w:lang w:eastAsia="en-US"/>
                    </w:rPr>
                    <w:t>.</w:t>
                  </w:r>
                  <w:r w:rsidR="002E6C19" w:rsidRPr="001071DC">
                    <w:rPr>
                      <w:sz w:val="22"/>
                      <w:szCs w:val="22"/>
                      <w:lang w:eastAsia="en-US"/>
                    </w:rPr>
                    <w:t>marts</w:t>
                  </w:r>
                </w:p>
              </w:tc>
            </w:tr>
            <w:tr w:rsidR="00F64DE4" w:rsidRPr="001071DC">
              <w:tc>
                <w:tcPr>
                  <w:tcW w:w="2376" w:type="dxa"/>
                </w:tcPr>
                <w:p w:rsidR="00C01E51" w:rsidRPr="001071DC" w:rsidRDefault="00C01E51" w:rsidP="003B293D">
                  <w:pPr>
                    <w:pStyle w:val="naisf"/>
                    <w:spacing w:before="0" w:after="0"/>
                    <w:rPr>
                      <w:lang w:eastAsia="en-US"/>
                    </w:rPr>
                  </w:pPr>
                </w:p>
              </w:tc>
              <w:tc>
                <w:tcPr>
                  <w:tcW w:w="11331" w:type="dxa"/>
                  <w:gridSpan w:val="5"/>
                  <w:tcBorders>
                    <w:top w:val="single" w:sz="4" w:space="0" w:color="auto"/>
                    <w:left w:val="nil"/>
                    <w:bottom w:val="nil"/>
                    <w:right w:val="nil"/>
                  </w:tcBorders>
                </w:tcPr>
                <w:p w:rsidR="00C01E51" w:rsidRPr="001071DC" w:rsidRDefault="00C01E51" w:rsidP="003B293D">
                  <w:pPr>
                    <w:pStyle w:val="ParastaisWeb"/>
                    <w:spacing w:before="0" w:beforeAutospacing="0" w:after="0" w:afterAutospacing="0"/>
                    <w:ind w:firstLine="720"/>
                    <w:rPr>
                      <w:lang w:eastAsia="en-US"/>
                    </w:rPr>
                  </w:pPr>
                </w:p>
              </w:tc>
            </w:tr>
            <w:tr w:rsidR="00F64DE4" w:rsidRPr="001071DC">
              <w:trPr>
                <w:gridAfter w:val="2"/>
                <w:wAfter w:w="709" w:type="dxa"/>
              </w:trPr>
              <w:tc>
                <w:tcPr>
                  <w:tcW w:w="2376" w:type="dxa"/>
                  <w:hideMark/>
                </w:tcPr>
                <w:p w:rsidR="00C01E51" w:rsidRPr="001071DC" w:rsidRDefault="00F64DE4" w:rsidP="003B293D">
                  <w:pPr>
                    <w:pStyle w:val="naiskr"/>
                    <w:spacing w:before="0" w:after="0"/>
                    <w:rPr>
                      <w:lang w:eastAsia="en-US"/>
                    </w:rPr>
                  </w:pPr>
                  <w:r w:rsidRPr="001071DC">
                    <w:rPr>
                      <w:sz w:val="22"/>
                      <w:szCs w:val="22"/>
                      <w:lang w:eastAsia="en-US"/>
                    </w:rPr>
                    <w:t>Saskaņošanas dalībnieki</w:t>
                  </w:r>
                </w:p>
              </w:tc>
              <w:tc>
                <w:tcPr>
                  <w:tcW w:w="10622" w:type="dxa"/>
                  <w:gridSpan w:val="3"/>
                  <w:tcBorders>
                    <w:top w:val="nil"/>
                    <w:left w:val="nil"/>
                    <w:bottom w:val="single" w:sz="4" w:space="0" w:color="auto"/>
                    <w:right w:val="nil"/>
                  </w:tcBorders>
                  <w:hideMark/>
                </w:tcPr>
                <w:p w:rsidR="00C01E51" w:rsidRPr="001071DC" w:rsidRDefault="00E556E0" w:rsidP="00395D63">
                  <w:pPr>
                    <w:pStyle w:val="ParastaisWeb"/>
                    <w:spacing w:before="0" w:beforeAutospacing="0" w:after="0" w:afterAutospacing="0"/>
                    <w:ind w:left="34"/>
                    <w:rPr>
                      <w:lang w:eastAsia="en-US"/>
                    </w:rPr>
                  </w:pPr>
                  <w:r w:rsidRPr="001071DC">
                    <w:rPr>
                      <w:sz w:val="22"/>
                      <w:szCs w:val="22"/>
                      <w:lang w:eastAsia="en-US"/>
                    </w:rPr>
                    <w:t xml:space="preserve">Finanšu ministrija, </w:t>
                  </w:r>
                  <w:r w:rsidR="000C7D3F" w:rsidRPr="001071DC">
                    <w:rPr>
                      <w:sz w:val="22"/>
                      <w:szCs w:val="22"/>
                      <w:lang w:eastAsia="en-US"/>
                    </w:rPr>
                    <w:t>Tieslietu ministrija</w:t>
                  </w:r>
                  <w:r w:rsidRPr="001071DC">
                    <w:rPr>
                      <w:sz w:val="22"/>
                      <w:szCs w:val="22"/>
                      <w:lang w:eastAsia="en-US"/>
                    </w:rPr>
                    <w:t>, Izglītības un zinātnes ministrija, Labklājības ministrija, Pārresoru koordinācijas centrs un Latvijas Pašvaldību savienība</w:t>
                  </w:r>
                </w:p>
              </w:tc>
            </w:tr>
            <w:tr w:rsidR="00F64DE4" w:rsidRPr="001071DC">
              <w:trPr>
                <w:gridAfter w:val="1"/>
                <w:wAfter w:w="567" w:type="dxa"/>
                <w:trHeight w:val="208"/>
              </w:trPr>
              <w:tc>
                <w:tcPr>
                  <w:tcW w:w="2376" w:type="dxa"/>
                </w:tcPr>
                <w:p w:rsidR="00C01E51" w:rsidRPr="001071DC" w:rsidRDefault="00C01E51" w:rsidP="003B293D">
                  <w:pPr>
                    <w:pStyle w:val="naiskr"/>
                    <w:spacing w:before="0" w:after="0"/>
                    <w:rPr>
                      <w:lang w:eastAsia="en-US"/>
                    </w:rPr>
                  </w:pPr>
                </w:p>
              </w:tc>
              <w:tc>
                <w:tcPr>
                  <w:tcW w:w="5762" w:type="dxa"/>
                  <w:gridSpan w:val="2"/>
                </w:tcPr>
                <w:p w:rsidR="00C01E51" w:rsidRPr="001071DC" w:rsidRDefault="00C01E51" w:rsidP="003B293D">
                  <w:pPr>
                    <w:pStyle w:val="naiskr"/>
                    <w:spacing w:before="0" w:after="0"/>
                    <w:ind w:firstLine="720"/>
                    <w:rPr>
                      <w:lang w:eastAsia="en-US"/>
                    </w:rPr>
                  </w:pPr>
                </w:p>
              </w:tc>
              <w:tc>
                <w:tcPr>
                  <w:tcW w:w="5002" w:type="dxa"/>
                  <w:gridSpan w:val="2"/>
                </w:tcPr>
                <w:p w:rsidR="00C01E51" w:rsidRPr="001071DC" w:rsidRDefault="00C01E51" w:rsidP="003B293D">
                  <w:pPr>
                    <w:pStyle w:val="naiskr"/>
                    <w:spacing w:before="0" w:after="0"/>
                    <w:ind w:firstLine="12"/>
                    <w:rPr>
                      <w:lang w:eastAsia="en-US"/>
                    </w:rPr>
                  </w:pPr>
                </w:p>
              </w:tc>
            </w:tr>
            <w:tr w:rsidR="00F64DE4" w:rsidRPr="001071DC">
              <w:trPr>
                <w:gridAfter w:val="1"/>
                <w:wAfter w:w="567" w:type="dxa"/>
                <w:trHeight w:val="461"/>
              </w:trPr>
              <w:tc>
                <w:tcPr>
                  <w:tcW w:w="6487" w:type="dxa"/>
                  <w:gridSpan w:val="2"/>
                  <w:hideMark/>
                </w:tcPr>
                <w:p w:rsidR="00C01E51" w:rsidRPr="001071DC" w:rsidRDefault="00F64DE4" w:rsidP="003B293D">
                  <w:pPr>
                    <w:pStyle w:val="naiskr"/>
                    <w:spacing w:before="0" w:after="0"/>
                    <w:ind w:right="500"/>
                    <w:rPr>
                      <w:lang w:eastAsia="en-US"/>
                    </w:rPr>
                  </w:pPr>
                  <w:r w:rsidRPr="001071DC">
                    <w:rPr>
                      <w:sz w:val="22"/>
                      <w:szCs w:val="22"/>
                      <w:lang w:eastAsia="en-US"/>
                    </w:rPr>
                    <w:t>Saskaņošanas dalībnieki izskatīja šādu ministriju (citu institūciju) iebildumus</w:t>
                  </w:r>
                </w:p>
              </w:tc>
              <w:tc>
                <w:tcPr>
                  <w:tcW w:w="6653" w:type="dxa"/>
                  <w:gridSpan w:val="3"/>
                  <w:tcBorders>
                    <w:top w:val="nil"/>
                    <w:left w:val="nil"/>
                    <w:bottom w:val="single" w:sz="4" w:space="0" w:color="auto"/>
                    <w:right w:val="nil"/>
                  </w:tcBorders>
                  <w:hideMark/>
                </w:tcPr>
                <w:p w:rsidR="00C01E51" w:rsidRPr="001071DC" w:rsidRDefault="00F64DE4" w:rsidP="003B293D">
                  <w:pPr>
                    <w:pStyle w:val="naiskr"/>
                    <w:spacing w:before="0" w:after="0"/>
                    <w:ind w:right="-149" w:hanging="7"/>
                    <w:rPr>
                      <w:lang w:eastAsia="en-US"/>
                    </w:rPr>
                  </w:pPr>
                  <w:r w:rsidRPr="001071DC">
                    <w:rPr>
                      <w:sz w:val="22"/>
                      <w:szCs w:val="22"/>
                      <w:lang w:eastAsia="en-US"/>
                    </w:rPr>
                    <w:t>            </w:t>
                  </w:r>
                </w:p>
                <w:p w:rsidR="00C01E51" w:rsidRPr="001071DC" w:rsidRDefault="00E556E0" w:rsidP="00B5120E">
                  <w:pPr>
                    <w:pStyle w:val="naiskr"/>
                    <w:spacing w:before="0" w:after="0"/>
                    <w:ind w:right="500"/>
                    <w:rPr>
                      <w:lang w:eastAsia="en-US"/>
                    </w:rPr>
                  </w:pPr>
                  <w:r w:rsidRPr="001071DC">
                    <w:rPr>
                      <w:sz w:val="22"/>
                      <w:szCs w:val="22"/>
                      <w:lang w:eastAsia="en-US"/>
                    </w:rPr>
                    <w:t>Tieslietu ministrija</w:t>
                  </w:r>
                  <w:r w:rsidR="00304342" w:rsidRPr="001071DC">
                    <w:rPr>
                      <w:sz w:val="22"/>
                      <w:szCs w:val="22"/>
                      <w:lang w:eastAsia="en-US"/>
                    </w:rPr>
                    <w:t>s</w:t>
                  </w:r>
                  <w:r w:rsidR="007A599A" w:rsidRPr="001071DC">
                    <w:rPr>
                      <w:sz w:val="22"/>
                      <w:szCs w:val="22"/>
                      <w:lang w:eastAsia="en-US"/>
                    </w:rPr>
                    <w:t xml:space="preserve"> un Finanšu ministrija</w:t>
                  </w:r>
                  <w:r w:rsidR="00304342" w:rsidRPr="001071DC">
                    <w:rPr>
                      <w:sz w:val="22"/>
                      <w:szCs w:val="22"/>
                      <w:lang w:eastAsia="en-US"/>
                    </w:rPr>
                    <w:t>s</w:t>
                  </w:r>
                </w:p>
              </w:tc>
            </w:tr>
            <w:tr w:rsidR="00F64DE4" w:rsidRPr="001071DC">
              <w:trPr>
                <w:gridAfter w:val="1"/>
                <w:wAfter w:w="567" w:type="dxa"/>
                <w:trHeight w:val="224"/>
              </w:trPr>
              <w:tc>
                <w:tcPr>
                  <w:tcW w:w="13140" w:type="dxa"/>
                  <w:gridSpan w:val="5"/>
                </w:tcPr>
                <w:p w:rsidR="00C01E51" w:rsidRPr="001071DC" w:rsidRDefault="00C01E51" w:rsidP="003B293D">
                  <w:pPr>
                    <w:pStyle w:val="naisc"/>
                    <w:spacing w:before="0" w:after="0"/>
                    <w:ind w:right="500"/>
                    <w:rPr>
                      <w:lang w:eastAsia="en-US"/>
                    </w:rPr>
                  </w:pPr>
                </w:p>
              </w:tc>
            </w:tr>
            <w:tr w:rsidR="00F64DE4" w:rsidRPr="001071DC">
              <w:trPr>
                <w:gridAfter w:val="1"/>
                <w:wAfter w:w="567" w:type="dxa"/>
              </w:trPr>
              <w:tc>
                <w:tcPr>
                  <w:tcW w:w="6487" w:type="dxa"/>
                  <w:gridSpan w:val="2"/>
                  <w:hideMark/>
                </w:tcPr>
                <w:p w:rsidR="00C01E51" w:rsidRPr="001071DC" w:rsidRDefault="00F64DE4" w:rsidP="003B293D">
                  <w:pPr>
                    <w:pStyle w:val="naiskr"/>
                    <w:spacing w:before="0" w:after="0"/>
                    <w:ind w:right="500"/>
                    <w:rPr>
                      <w:lang w:eastAsia="en-US"/>
                    </w:rPr>
                  </w:pPr>
                  <w:r w:rsidRPr="001071DC">
                    <w:rPr>
                      <w:sz w:val="22"/>
                      <w:szCs w:val="22"/>
                      <w:lang w:eastAsia="en-US"/>
                    </w:rPr>
                    <w:t>Ministrijas (citas institūcijas), kuras nav ieradušās uz sanāksmi vai kuras nav atbildējušas uz uzaicinājumu piedalīties elektroniskajā saskaņošanā</w:t>
                  </w:r>
                </w:p>
              </w:tc>
              <w:tc>
                <w:tcPr>
                  <w:tcW w:w="6653" w:type="dxa"/>
                  <w:gridSpan w:val="3"/>
                  <w:tcBorders>
                    <w:top w:val="nil"/>
                    <w:left w:val="nil"/>
                    <w:bottom w:val="single" w:sz="4" w:space="0" w:color="auto"/>
                    <w:right w:val="nil"/>
                  </w:tcBorders>
                </w:tcPr>
                <w:p w:rsidR="00C01E51" w:rsidRPr="001071DC" w:rsidRDefault="00C01E51" w:rsidP="003B293D">
                  <w:pPr>
                    <w:pStyle w:val="naiskr"/>
                    <w:spacing w:before="0" w:after="0"/>
                    <w:ind w:right="500" w:firstLine="720"/>
                    <w:rPr>
                      <w:lang w:eastAsia="en-US"/>
                    </w:rPr>
                  </w:pPr>
                </w:p>
              </w:tc>
            </w:tr>
          </w:tbl>
          <w:p w:rsidR="00C01E51" w:rsidRPr="001071DC" w:rsidRDefault="00F64DE4" w:rsidP="003B293D">
            <w:pPr>
              <w:pStyle w:val="naiskr"/>
              <w:spacing w:before="0" w:after="0"/>
              <w:ind w:right="500" w:firstLine="720"/>
              <w:rPr>
                <w:lang w:eastAsia="en-US"/>
              </w:rPr>
            </w:pPr>
            <w:r w:rsidRPr="001071DC">
              <w:rPr>
                <w:sz w:val="22"/>
                <w:szCs w:val="22"/>
                <w:lang w:eastAsia="en-US"/>
              </w:rPr>
              <w:t>  </w:t>
            </w:r>
          </w:p>
        </w:tc>
      </w:tr>
    </w:tbl>
    <w:p w:rsidR="00F64DE4" w:rsidRPr="001071DC" w:rsidRDefault="00F64DE4" w:rsidP="003B293D">
      <w:pPr>
        <w:pStyle w:val="naisnod"/>
        <w:spacing w:before="0" w:after="0"/>
        <w:ind w:left="57" w:right="57"/>
        <w:contextualSpacing/>
        <w:mirrorIndents/>
        <w:rPr>
          <w:sz w:val="22"/>
          <w:szCs w:val="22"/>
        </w:rPr>
      </w:pPr>
      <w:r w:rsidRPr="001071DC">
        <w:rPr>
          <w:sz w:val="22"/>
          <w:szCs w:val="22"/>
        </w:rPr>
        <w:t>II. Jautājumi, par kuriem saskaņošanā vienošanās ir panākta</w:t>
      </w:r>
    </w:p>
    <w:p w:rsidR="00F64DE4" w:rsidRPr="001071DC" w:rsidRDefault="00F64DE4" w:rsidP="003B293D">
      <w:pPr>
        <w:pStyle w:val="naisnod"/>
        <w:spacing w:before="0" w:after="0"/>
        <w:ind w:left="57" w:right="57"/>
        <w:contextualSpacing/>
        <w:mirrorIndents/>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790"/>
        <w:gridCol w:w="3239"/>
        <w:gridCol w:w="3538"/>
        <w:gridCol w:w="3114"/>
        <w:gridCol w:w="3538"/>
      </w:tblGrid>
      <w:tr w:rsidR="00F64DE4" w:rsidRPr="001071DC" w:rsidTr="00025346">
        <w:tc>
          <w:tcPr>
            <w:tcW w:w="278" w:type="pct"/>
            <w:tcBorders>
              <w:top w:val="single" w:sz="6" w:space="0" w:color="000000"/>
              <w:left w:val="single" w:sz="6" w:space="0" w:color="000000"/>
              <w:bottom w:val="single" w:sz="6" w:space="0" w:color="000000"/>
              <w:right w:val="single" w:sz="6" w:space="0" w:color="000000"/>
            </w:tcBorders>
            <w:vAlign w:val="center"/>
          </w:tcPr>
          <w:p w:rsidR="00C01E51" w:rsidRPr="001071DC" w:rsidRDefault="00C01E51" w:rsidP="003B293D">
            <w:pPr>
              <w:pStyle w:val="naisc"/>
              <w:spacing w:before="0" w:after="0"/>
              <w:rPr>
                <w:lang w:eastAsia="en-US"/>
              </w:rPr>
            </w:pPr>
          </w:p>
        </w:tc>
        <w:tc>
          <w:tcPr>
            <w:tcW w:w="1139" w:type="pct"/>
            <w:tcBorders>
              <w:top w:val="single" w:sz="6" w:space="0" w:color="000000"/>
              <w:left w:val="single" w:sz="6" w:space="0" w:color="000000"/>
              <w:bottom w:val="single" w:sz="6" w:space="0" w:color="000000"/>
              <w:right w:val="single" w:sz="6" w:space="0" w:color="000000"/>
            </w:tcBorders>
            <w:vAlign w:val="center"/>
            <w:hideMark/>
          </w:tcPr>
          <w:p w:rsidR="00C01E51" w:rsidRPr="001071DC" w:rsidRDefault="00776962" w:rsidP="003B293D">
            <w:pPr>
              <w:pStyle w:val="naisc"/>
              <w:spacing w:before="0" w:after="0"/>
              <w:ind w:firstLine="12"/>
              <w:rPr>
                <w:lang w:eastAsia="en-US"/>
              </w:rPr>
            </w:pPr>
            <w:r w:rsidRPr="001071DC">
              <w:rPr>
                <w:sz w:val="22"/>
                <w:szCs w:val="22"/>
                <w:lang w:eastAsia="en-US"/>
              </w:rPr>
              <w:t>Saskaņošanai nosūtītā projekta redakcija (konkrēta punkta (panta) redakcija)</w:t>
            </w:r>
          </w:p>
        </w:tc>
        <w:tc>
          <w:tcPr>
            <w:tcW w:w="1244" w:type="pct"/>
            <w:tcBorders>
              <w:top w:val="single" w:sz="6" w:space="0" w:color="000000"/>
              <w:left w:val="single" w:sz="6" w:space="0" w:color="000000"/>
              <w:bottom w:val="single" w:sz="6" w:space="0" w:color="000000"/>
              <w:right w:val="single" w:sz="6" w:space="0" w:color="000000"/>
            </w:tcBorders>
            <w:vAlign w:val="center"/>
            <w:hideMark/>
          </w:tcPr>
          <w:p w:rsidR="00C01E51" w:rsidRPr="001071DC" w:rsidRDefault="00776962" w:rsidP="003B293D">
            <w:pPr>
              <w:pStyle w:val="naisc"/>
              <w:spacing w:before="0" w:after="0"/>
              <w:ind w:right="31"/>
              <w:rPr>
                <w:lang w:eastAsia="en-US"/>
              </w:rPr>
            </w:pPr>
            <w:r w:rsidRPr="001071DC">
              <w:rPr>
                <w:sz w:val="22"/>
                <w:szCs w:val="22"/>
                <w:lang w:eastAsia="en-US"/>
              </w:rPr>
              <w:t>Atzinumā norādītais ministrijas (citas institūcijas) iebildums, kā arī saskaņošanā papildus izteiktais iebildums par projekta konkrēto punktu (pantu)</w:t>
            </w:r>
          </w:p>
        </w:tc>
        <w:tc>
          <w:tcPr>
            <w:tcW w:w="1095" w:type="pct"/>
            <w:tcBorders>
              <w:top w:val="single" w:sz="6" w:space="0" w:color="000000"/>
              <w:left w:val="single" w:sz="6" w:space="0" w:color="000000"/>
              <w:bottom w:val="single" w:sz="6" w:space="0" w:color="000000"/>
              <w:right w:val="single" w:sz="6" w:space="0" w:color="000000"/>
            </w:tcBorders>
            <w:vAlign w:val="center"/>
            <w:hideMark/>
          </w:tcPr>
          <w:p w:rsidR="00C01E51" w:rsidRPr="001071DC" w:rsidRDefault="00776962" w:rsidP="003B293D">
            <w:pPr>
              <w:pStyle w:val="naisc"/>
              <w:spacing w:before="0" w:after="0"/>
              <w:rPr>
                <w:lang w:eastAsia="en-US"/>
              </w:rPr>
            </w:pPr>
            <w:r w:rsidRPr="001071DC">
              <w:rPr>
                <w:sz w:val="22"/>
                <w:szCs w:val="22"/>
                <w:lang w:eastAsia="en-US"/>
              </w:rPr>
              <w:t>Atbildīgās ministrijas norāde par to, ka iebildums ir ņemts vērā, vai informācija par saskaņošanā panākto alternatīvo risinājumu</w:t>
            </w:r>
          </w:p>
        </w:tc>
        <w:tc>
          <w:tcPr>
            <w:tcW w:w="1244" w:type="pct"/>
            <w:tcBorders>
              <w:top w:val="single" w:sz="4" w:space="0" w:color="auto"/>
              <w:left w:val="single" w:sz="4" w:space="0" w:color="auto"/>
              <w:bottom w:val="single" w:sz="4" w:space="0" w:color="auto"/>
              <w:right w:val="single" w:sz="4" w:space="0" w:color="auto"/>
            </w:tcBorders>
            <w:vAlign w:val="center"/>
            <w:hideMark/>
          </w:tcPr>
          <w:p w:rsidR="00C01E51" w:rsidRPr="001071DC" w:rsidRDefault="00776962" w:rsidP="003B293D">
            <w:pPr>
              <w:pStyle w:val="naisc"/>
              <w:spacing w:before="0" w:after="0"/>
              <w:rPr>
                <w:lang w:eastAsia="en-US"/>
              </w:rPr>
            </w:pPr>
            <w:r w:rsidRPr="001071DC">
              <w:rPr>
                <w:sz w:val="22"/>
                <w:szCs w:val="22"/>
                <w:lang w:eastAsia="en-US"/>
              </w:rPr>
              <w:t>Projekta attiecīgā punkta (panta) galīgā redakcija</w:t>
            </w:r>
          </w:p>
        </w:tc>
      </w:tr>
      <w:tr w:rsidR="00F64DE4" w:rsidRPr="001071DC" w:rsidTr="00025346">
        <w:tc>
          <w:tcPr>
            <w:tcW w:w="278" w:type="pct"/>
            <w:tcBorders>
              <w:top w:val="single" w:sz="6" w:space="0" w:color="000000"/>
              <w:left w:val="single" w:sz="6" w:space="0" w:color="000000"/>
              <w:bottom w:val="single" w:sz="4" w:space="0" w:color="auto"/>
              <w:right w:val="single" w:sz="6" w:space="0" w:color="000000"/>
            </w:tcBorders>
            <w:hideMark/>
          </w:tcPr>
          <w:p w:rsidR="00C01E51" w:rsidRPr="001071DC" w:rsidRDefault="00776962" w:rsidP="003B293D">
            <w:pPr>
              <w:pStyle w:val="naisc"/>
              <w:spacing w:before="0" w:after="0"/>
              <w:rPr>
                <w:lang w:eastAsia="en-US"/>
              </w:rPr>
            </w:pPr>
            <w:r w:rsidRPr="001071DC">
              <w:rPr>
                <w:sz w:val="22"/>
                <w:szCs w:val="22"/>
                <w:lang w:eastAsia="en-US"/>
              </w:rPr>
              <w:lastRenderedPageBreak/>
              <w:t>1</w:t>
            </w:r>
          </w:p>
        </w:tc>
        <w:tc>
          <w:tcPr>
            <w:tcW w:w="1139" w:type="pct"/>
            <w:tcBorders>
              <w:top w:val="single" w:sz="6" w:space="0" w:color="000000"/>
              <w:left w:val="single" w:sz="6" w:space="0" w:color="000000"/>
              <w:bottom w:val="single" w:sz="4" w:space="0" w:color="auto"/>
              <w:right w:val="single" w:sz="6" w:space="0" w:color="000000"/>
            </w:tcBorders>
            <w:hideMark/>
          </w:tcPr>
          <w:p w:rsidR="00C01E51" w:rsidRPr="001071DC" w:rsidRDefault="00776962" w:rsidP="003B293D">
            <w:pPr>
              <w:pStyle w:val="naisc"/>
              <w:spacing w:before="0" w:after="0"/>
              <w:ind w:firstLine="12"/>
              <w:rPr>
                <w:lang w:eastAsia="en-US"/>
              </w:rPr>
            </w:pPr>
            <w:r w:rsidRPr="001071DC">
              <w:rPr>
                <w:sz w:val="22"/>
                <w:szCs w:val="22"/>
                <w:lang w:eastAsia="en-US"/>
              </w:rPr>
              <w:t>2</w:t>
            </w:r>
          </w:p>
        </w:tc>
        <w:tc>
          <w:tcPr>
            <w:tcW w:w="1244" w:type="pct"/>
            <w:tcBorders>
              <w:top w:val="single" w:sz="6" w:space="0" w:color="000000"/>
              <w:left w:val="single" w:sz="6" w:space="0" w:color="000000"/>
              <w:bottom w:val="single" w:sz="4" w:space="0" w:color="auto"/>
              <w:right w:val="single" w:sz="6" w:space="0" w:color="000000"/>
            </w:tcBorders>
            <w:hideMark/>
          </w:tcPr>
          <w:p w:rsidR="00C01E51" w:rsidRPr="001071DC" w:rsidRDefault="00776962" w:rsidP="003B293D">
            <w:pPr>
              <w:pStyle w:val="naisc"/>
              <w:spacing w:before="0" w:after="0"/>
              <w:ind w:right="31"/>
              <w:rPr>
                <w:lang w:eastAsia="en-US"/>
              </w:rPr>
            </w:pPr>
            <w:r w:rsidRPr="001071DC">
              <w:rPr>
                <w:sz w:val="22"/>
                <w:szCs w:val="22"/>
                <w:lang w:eastAsia="en-US"/>
              </w:rPr>
              <w:t>3</w:t>
            </w:r>
          </w:p>
        </w:tc>
        <w:tc>
          <w:tcPr>
            <w:tcW w:w="1095" w:type="pct"/>
            <w:tcBorders>
              <w:top w:val="single" w:sz="6" w:space="0" w:color="000000"/>
              <w:left w:val="single" w:sz="6" w:space="0" w:color="000000"/>
              <w:bottom w:val="single" w:sz="4" w:space="0" w:color="auto"/>
              <w:right w:val="single" w:sz="6" w:space="0" w:color="000000"/>
            </w:tcBorders>
            <w:hideMark/>
          </w:tcPr>
          <w:p w:rsidR="00C01E51" w:rsidRPr="001071DC" w:rsidRDefault="00776962" w:rsidP="003B293D">
            <w:pPr>
              <w:pStyle w:val="naisc"/>
              <w:spacing w:before="0" w:after="0"/>
              <w:rPr>
                <w:lang w:eastAsia="en-US"/>
              </w:rPr>
            </w:pPr>
            <w:r w:rsidRPr="001071DC">
              <w:rPr>
                <w:sz w:val="22"/>
                <w:szCs w:val="22"/>
                <w:lang w:eastAsia="en-US"/>
              </w:rPr>
              <w:t>4</w:t>
            </w:r>
          </w:p>
        </w:tc>
        <w:tc>
          <w:tcPr>
            <w:tcW w:w="1244" w:type="pct"/>
            <w:tcBorders>
              <w:top w:val="single" w:sz="4" w:space="0" w:color="auto"/>
              <w:left w:val="single" w:sz="4" w:space="0" w:color="auto"/>
              <w:bottom w:val="single" w:sz="4" w:space="0" w:color="auto"/>
              <w:right w:val="single" w:sz="4" w:space="0" w:color="auto"/>
            </w:tcBorders>
            <w:hideMark/>
          </w:tcPr>
          <w:p w:rsidR="00C01E51" w:rsidRPr="001071DC" w:rsidRDefault="00776962" w:rsidP="003B293D">
            <w:pPr>
              <w:jc w:val="center"/>
              <w:rPr>
                <w:lang w:eastAsia="en-US"/>
              </w:rPr>
            </w:pPr>
            <w:r w:rsidRPr="001071DC">
              <w:rPr>
                <w:sz w:val="22"/>
                <w:szCs w:val="22"/>
                <w:lang w:eastAsia="en-US"/>
              </w:rPr>
              <w:t>5</w:t>
            </w:r>
          </w:p>
        </w:tc>
      </w:tr>
      <w:tr w:rsidR="002D6A77" w:rsidRPr="001071DC" w:rsidTr="009A7AEA">
        <w:tc>
          <w:tcPr>
            <w:tcW w:w="278" w:type="pct"/>
            <w:tcBorders>
              <w:top w:val="single" w:sz="4" w:space="0" w:color="auto"/>
              <w:left w:val="single" w:sz="6" w:space="0" w:color="000000"/>
              <w:bottom w:val="single" w:sz="4" w:space="0" w:color="auto"/>
              <w:right w:val="single" w:sz="6" w:space="0" w:color="000000"/>
            </w:tcBorders>
            <w:shd w:val="clear" w:color="auto" w:fill="auto"/>
          </w:tcPr>
          <w:p w:rsidR="002D6A77" w:rsidRPr="001071DC" w:rsidRDefault="002D6A77" w:rsidP="003B293D">
            <w:pPr>
              <w:pStyle w:val="naisc"/>
              <w:numPr>
                <w:ilvl w:val="0"/>
                <w:numId w:val="12"/>
              </w:numPr>
              <w:spacing w:before="0" w:after="0"/>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2E6C19" w:rsidRPr="001071DC" w:rsidRDefault="002E6C19" w:rsidP="002E6C19">
            <w:pPr>
              <w:pStyle w:val="Pamatteksts"/>
              <w:spacing w:after="0"/>
              <w:jc w:val="both"/>
              <w:rPr>
                <w:color w:val="000000"/>
              </w:rPr>
            </w:pPr>
            <w:r w:rsidRPr="001071DC">
              <w:rPr>
                <w:color w:val="000000"/>
                <w:sz w:val="22"/>
                <w:szCs w:val="22"/>
              </w:rPr>
              <w:t xml:space="preserve">Ministru kabineta noteikumu projekta „Grozījumi Ministru kabineta 2016.gada 29.marta noteikumos Nr.188 „Darbības programmas „Izaugsme un nodarbinātība” 5.6.1.specifiskā atbalsta mērķa „Veicināt Rīgas pilsētas revitalizāciju, nodrošinot teritorijas efektīvu sociālekonomisko izmantošanu” īstenošanas noteikumi”” (turpmāk </w:t>
            </w:r>
            <w:r w:rsidRPr="001071DC">
              <w:rPr>
                <w:sz w:val="22"/>
                <w:szCs w:val="22"/>
              </w:rPr>
              <w:t>–</w:t>
            </w:r>
            <w:r w:rsidRPr="001071DC">
              <w:rPr>
                <w:color w:val="000000"/>
                <w:sz w:val="22"/>
                <w:szCs w:val="22"/>
              </w:rPr>
              <w:t xml:space="preserve"> MK noteikumu projekts) 18.punkts: </w:t>
            </w:r>
          </w:p>
          <w:p w:rsidR="00BA45F5" w:rsidRPr="001071DC" w:rsidRDefault="002E6C19" w:rsidP="00A664E0">
            <w:pPr>
              <w:pStyle w:val="naisnod"/>
              <w:spacing w:before="0" w:after="0"/>
              <w:jc w:val="both"/>
              <w:rPr>
                <w:b w:val="0"/>
              </w:rPr>
            </w:pPr>
            <w:r w:rsidRPr="001071DC">
              <w:rPr>
                <w:b w:val="0"/>
                <w:sz w:val="22"/>
                <w:szCs w:val="22"/>
              </w:rPr>
              <w:t>„</w:t>
            </w:r>
            <w:r w:rsidR="00E556E0" w:rsidRPr="001071DC">
              <w:rPr>
                <w:b w:val="0"/>
                <w:sz w:val="22"/>
                <w:szCs w:val="22"/>
              </w:rPr>
              <w:t xml:space="preserve">18. Vienai atsevišķai neatkarīgai funkcijai, kas ir izvērtēta atbilstoši specifiskā atbalsta vērtēšanas kritērijam par darbības funkcionālo nodalāmību, maksimālais ERAF izmaksu apmērs vienam šo noteikumu 9.1.3.apakšpunktā norādītajam investīciju objektam nevar pārsniegt 10 000 </w:t>
            </w:r>
            <w:proofErr w:type="spellStart"/>
            <w:r w:rsidR="00E556E0" w:rsidRPr="001071DC">
              <w:rPr>
                <w:b w:val="0"/>
                <w:sz w:val="22"/>
                <w:szCs w:val="22"/>
              </w:rPr>
              <w:t>000</w:t>
            </w:r>
            <w:proofErr w:type="spellEnd"/>
            <w:r w:rsidR="00E556E0" w:rsidRPr="001071DC">
              <w:rPr>
                <w:b w:val="0"/>
                <w:sz w:val="22"/>
                <w:szCs w:val="22"/>
              </w:rPr>
              <w:t xml:space="preserve"> </w:t>
            </w:r>
            <w:proofErr w:type="spellStart"/>
            <w:r w:rsidR="00E556E0" w:rsidRPr="001071DC">
              <w:rPr>
                <w:b w:val="0"/>
                <w:i/>
                <w:sz w:val="22"/>
                <w:szCs w:val="22"/>
              </w:rPr>
              <w:t>euro</w:t>
            </w:r>
            <w:proofErr w:type="spellEnd"/>
            <w:r w:rsidR="00E556E0" w:rsidRPr="001071DC">
              <w:rPr>
                <w:b w:val="0"/>
                <w:sz w:val="22"/>
                <w:szCs w:val="22"/>
              </w:rPr>
              <w:t xml:space="preserve"> vai gadījumā, ja investīciju objekts ir uzskatāms par kultūras mantojumu 1972.gada UNESCO Konvencijas par pasaules kultūras un dabas mantojuma aizsardzību 1.panta nozīmē </w:t>
            </w:r>
            <w:r w:rsidR="00E556E0" w:rsidRPr="001071DC">
              <w:rPr>
                <w:b w:val="0"/>
                <w:iCs/>
                <w:sz w:val="22"/>
                <w:szCs w:val="22"/>
              </w:rPr>
              <w:t>–</w:t>
            </w:r>
            <w:r w:rsidR="00E556E0" w:rsidRPr="001071DC">
              <w:rPr>
                <w:b w:val="0"/>
                <w:sz w:val="22"/>
                <w:szCs w:val="22"/>
              </w:rPr>
              <w:t xml:space="preserve"> 20 000 </w:t>
            </w:r>
            <w:proofErr w:type="spellStart"/>
            <w:r w:rsidR="00E556E0" w:rsidRPr="001071DC">
              <w:rPr>
                <w:b w:val="0"/>
                <w:sz w:val="22"/>
                <w:szCs w:val="22"/>
              </w:rPr>
              <w:t>000</w:t>
            </w:r>
            <w:proofErr w:type="spellEnd"/>
            <w:r w:rsidR="00E556E0" w:rsidRPr="001071DC">
              <w:rPr>
                <w:b w:val="0"/>
                <w:sz w:val="22"/>
                <w:szCs w:val="22"/>
              </w:rPr>
              <w:t xml:space="preserve"> </w:t>
            </w:r>
            <w:proofErr w:type="spellStart"/>
            <w:r w:rsidR="00E556E0" w:rsidRPr="001071DC">
              <w:rPr>
                <w:b w:val="0"/>
                <w:i/>
                <w:sz w:val="22"/>
                <w:szCs w:val="22"/>
              </w:rPr>
              <w:t>euro</w:t>
            </w:r>
            <w:proofErr w:type="spellEnd"/>
            <w:r w:rsidR="00E556E0" w:rsidRPr="001071DC">
              <w:rPr>
                <w:b w:val="0"/>
                <w:sz w:val="22"/>
                <w:szCs w:val="22"/>
              </w:rPr>
              <w:t>.</w:t>
            </w:r>
            <w:r w:rsidRPr="001071DC">
              <w:rPr>
                <w:b w:val="0"/>
                <w:sz w:val="22"/>
                <w:szCs w:val="22"/>
              </w:rPr>
              <w:t>”.</w:t>
            </w:r>
          </w:p>
        </w:tc>
        <w:tc>
          <w:tcPr>
            <w:tcW w:w="1244" w:type="pct"/>
            <w:tcBorders>
              <w:top w:val="single" w:sz="4" w:space="0" w:color="auto"/>
              <w:left w:val="single" w:sz="6" w:space="0" w:color="000000"/>
              <w:bottom w:val="single" w:sz="4" w:space="0" w:color="auto"/>
              <w:right w:val="single" w:sz="6" w:space="0" w:color="000000"/>
            </w:tcBorders>
            <w:shd w:val="clear" w:color="auto" w:fill="auto"/>
            <w:hideMark/>
          </w:tcPr>
          <w:p w:rsidR="00C725D6" w:rsidRPr="001071DC" w:rsidRDefault="00E556E0" w:rsidP="00C725D6">
            <w:pPr>
              <w:jc w:val="both"/>
              <w:rPr>
                <w:b/>
              </w:rPr>
            </w:pPr>
            <w:r w:rsidRPr="001071DC">
              <w:rPr>
                <w:b/>
                <w:sz w:val="22"/>
                <w:szCs w:val="22"/>
              </w:rPr>
              <w:t>Tieslietu</w:t>
            </w:r>
            <w:r w:rsidR="00776962" w:rsidRPr="001071DC">
              <w:rPr>
                <w:b/>
                <w:sz w:val="22"/>
                <w:szCs w:val="22"/>
              </w:rPr>
              <w:t xml:space="preserve"> ministrija</w:t>
            </w:r>
          </w:p>
          <w:p w:rsidR="002D6A77" w:rsidRPr="001071DC" w:rsidRDefault="00E556E0" w:rsidP="003B293D">
            <w:pPr>
              <w:pStyle w:val="Default"/>
              <w:jc w:val="both"/>
              <w:rPr>
                <w:sz w:val="22"/>
                <w:szCs w:val="22"/>
              </w:rPr>
            </w:pPr>
            <w:r w:rsidRPr="001071DC">
              <w:rPr>
                <w:color w:val="auto"/>
                <w:sz w:val="22"/>
                <w:szCs w:val="22"/>
              </w:rPr>
              <w:t xml:space="preserve">Norādām, ka noteikumu projekta anotācijas V sadaļas 1. tabulā (turpmāk – Tabula) ir norādīta Eiropas Savienības regulas vienība, kas ieviesta tabulas B ailē norādītajā noteikumu projekta vienībā. Savukārt noteikumu projekta 18. punktā nav norādīta atsauce uz Tabulas A ailē norādīto Eiropas Savienības regulas normu, tā vietā šī norma noteikumu projektā ir pārrakstīta. Vēršam uzmanību uz to, ka saskaņā ar Līguma par Eiropas Savienības darbību 288. panta otro daļu „regulas ir vispārpiemērojamas. Tās uzliek saistības kopumā un ir tieši piemērojamas visās dalībvalstīs.” Regulas ir aizliegts pārņemt nacionālajos tiesību aktos un tās automātiski kļūst par nacionālās tiesību sistēmas sastāvdaļu. Regulu pārņemšanas aizliegums ir noteikts Eiropas Savienības Tiesas spriedumā lietā Nr. 39/72 Komisija pret Itāliju, kur tiesa noteica, ka regula automātiski ir nacionālās tiesiskās sistēmas sastāvdaļa. Tādēļ ir prettiesiski tādi nacionālie regulas normas īstenošanas mehānismi, kas rada šķēršļus regulas tiešam efektam un apdraud vienlaicīgu un vienādu tās piemērošanu Eiropas Savienībā, bet tai pašā laikā ir jānodrošina to tiešā piemērošana katrā dalībvalstī. </w:t>
            </w:r>
            <w:r w:rsidRPr="001071DC">
              <w:rPr>
                <w:color w:val="auto"/>
                <w:sz w:val="22"/>
                <w:szCs w:val="22"/>
              </w:rPr>
              <w:lastRenderedPageBreak/>
              <w:t xml:space="preserve">Tas nozīmē, ka dalībvalstij ir pienākums nodrošināt tādu normatīvo bāzi, lai regulas būtu iespējams tieši piemērot. Tātad, dalībvalsts izstrādā tiesību aktus regulas piemērošanai tikai gadījumos, ja regulā ir tieši paredzēts dalībvalstij kāds konkrēts pienākums, piemēram, jānosaka kompetentā vai atbildīgā iestāde, jāparedz sankcijas vai sods par regulas normu pārkāpumu vai nepildīšanu, jānosaka administratīvā procedūra regulā noteikto pasākumu īstenošanai u.tml. Ievērojot, ka </w:t>
            </w:r>
            <w:r w:rsidRPr="001071DC">
              <w:rPr>
                <w:color w:val="auto"/>
                <w:sz w:val="22"/>
                <w:szCs w:val="22"/>
                <w:u w:val="single"/>
              </w:rPr>
              <w:t>vienīgais regulu ieviešanas veids nacionālajos normatīvajos aktos ir atsauču veidošana uz tām</w:t>
            </w:r>
            <w:r w:rsidRPr="001071DC">
              <w:rPr>
                <w:color w:val="auto"/>
                <w:sz w:val="22"/>
                <w:szCs w:val="22"/>
              </w:rPr>
              <w:t>, lūdzam precizēt noteikumu projekta un papildināt noteikumu projektu ar atsauci uz attiecīgo Eiropas Savienības regulas normu.</w:t>
            </w:r>
          </w:p>
        </w:tc>
        <w:tc>
          <w:tcPr>
            <w:tcW w:w="1095" w:type="pct"/>
            <w:tcBorders>
              <w:top w:val="single" w:sz="4" w:space="0" w:color="auto"/>
              <w:left w:val="single" w:sz="6" w:space="0" w:color="000000"/>
              <w:bottom w:val="single" w:sz="4" w:space="0" w:color="auto"/>
              <w:right w:val="single" w:sz="6" w:space="0" w:color="000000"/>
            </w:tcBorders>
            <w:shd w:val="clear" w:color="auto" w:fill="auto"/>
            <w:hideMark/>
          </w:tcPr>
          <w:p w:rsidR="002D6A77" w:rsidRPr="001071DC" w:rsidRDefault="00776962" w:rsidP="003B293D">
            <w:pPr>
              <w:pStyle w:val="naisc"/>
              <w:spacing w:before="0" w:after="0"/>
              <w:ind w:firstLine="32"/>
              <w:rPr>
                <w:b/>
              </w:rPr>
            </w:pPr>
            <w:r w:rsidRPr="001071DC">
              <w:rPr>
                <w:b/>
                <w:sz w:val="22"/>
                <w:szCs w:val="22"/>
              </w:rPr>
              <w:lastRenderedPageBreak/>
              <w:t>Ņemts vērā</w:t>
            </w:r>
          </w:p>
          <w:p w:rsidR="002D6A77" w:rsidRPr="001071DC" w:rsidRDefault="002D6A77" w:rsidP="003B293D">
            <w:pPr>
              <w:pStyle w:val="naisc"/>
              <w:spacing w:before="0" w:after="0"/>
              <w:jc w:val="both"/>
            </w:pPr>
          </w:p>
        </w:tc>
        <w:tc>
          <w:tcPr>
            <w:tcW w:w="1244" w:type="pct"/>
            <w:tcBorders>
              <w:top w:val="single" w:sz="4" w:space="0" w:color="auto"/>
              <w:left w:val="single" w:sz="4" w:space="0" w:color="auto"/>
              <w:bottom w:val="single" w:sz="4" w:space="0" w:color="auto"/>
              <w:right w:val="single" w:sz="4" w:space="0" w:color="auto"/>
            </w:tcBorders>
            <w:shd w:val="clear" w:color="auto" w:fill="auto"/>
            <w:hideMark/>
          </w:tcPr>
          <w:p w:rsidR="002D6A77" w:rsidRPr="001071DC" w:rsidRDefault="002E6C19" w:rsidP="0057658A">
            <w:pPr>
              <w:jc w:val="both"/>
            </w:pPr>
            <w:r w:rsidRPr="001071DC">
              <w:rPr>
                <w:color w:val="000000"/>
                <w:sz w:val="22"/>
                <w:szCs w:val="22"/>
              </w:rPr>
              <w:t>MK noteikumu projekta 18.punkts izteikts jaunā redakcijā: „</w:t>
            </w:r>
            <w:r w:rsidR="000F3D96" w:rsidRPr="001071DC">
              <w:rPr>
                <w:sz w:val="22"/>
                <w:szCs w:val="22"/>
              </w:rPr>
              <w:t xml:space="preserve">18. Vienai atsevišķai neatkarīgai funkcijai, kas ir izvērtēta atbilstoši specifiskā atbalsta vērtēšanas kritērijam par darbības funkcionālo nodalāmību, maksimālais ERAF izmaksu apmērs vienam šo noteikumu 9.1.3.apakšpunktā norādītajam investīciju objektam nevar pārsniegt </w:t>
            </w:r>
            <w:r w:rsidR="003951DA" w:rsidRPr="001071DC">
              <w:rPr>
                <w:sz w:val="22"/>
                <w:szCs w:val="22"/>
              </w:rPr>
              <w:t>Eiropas Parlamenta un Padomes 2013.gada 17.decembra Regulas (ES) Nr.</w:t>
            </w:r>
            <w:hyperlink r:id="rId7" w:tgtFrame="_blank" w:history="1">
              <w:r w:rsidR="003951DA" w:rsidRPr="001071DC">
                <w:rPr>
                  <w:rStyle w:val="Hipersaite"/>
                  <w:color w:val="auto"/>
                  <w:sz w:val="22"/>
                  <w:szCs w:val="22"/>
                  <w:u w:val="none"/>
                </w:rPr>
                <w:t>1301/2013</w:t>
              </w:r>
            </w:hyperlink>
            <w:r w:rsidR="003951DA" w:rsidRPr="001071DC">
              <w:rPr>
                <w:sz w:val="22"/>
                <w:szCs w:val="22"/>
              </w:rPr>
              <w:t xml:space="preserve"> par Eiropas Reģionālās attīstības fondu un īpašiem </w:t>
            </w:r>
            <w:r w:rsidR="001071DC" w:rsidRPr="001071DC">
              <w:rPr>
                <w:sz w:val="22"/>
                <w:szCs w:val="22"/>
              </w:rPr>
              <w:t>noteikumiem attiecībā uz mērķi „</w:t>
            </w:r>
            <w:r w:rsidR="003951DA" w:rsidRPr="001071DC">
              <w:rPr>
                <w:sz w:val="22"/>
                <w:szCs w:val="22"/>
              </w:rPr>
              <w:t>Investīcijas izaugsmei un nodarbinātībai” un ar ko atceļ Regulu (EK) Nr.</w:t>
            </w:r>
            <w:hyperlink r:id="rId8" w:tgtFrame="_blank" w:history="1">
              <w:r w:rsidR="00952B1A" w:rsidRPr="001071DC">
                <w:rPr>
                  <w:rStyle w:val="Hipersaite"/>
                  <w:color w:val="auto"/>
                  <w:sz w:val="22"/>
                  <w:szCs w:val="22"/>
                  <w:u w:val="none"/>
                </w:rPr>
                <w:t>1080/2006</w:t>
              </w:r>
            </w:hyperlink>
            <w:r w:rsidR="00952B1A" w:rsidRPr="001071DC">
              <w:rPr>
                <w:sz w:val="22"/>
                <w:szCs w:val="22"/>
              </w:rPr>
              <w:t xml:space="preserve">, 3.panta 1.punkta </w:t>
            </w:r>
            <w:r w:rsidR="009675E3" w:rsidRPr="001071DC">
              <w:rPr>
                <w:sz w:val="22"/>
                <w:szCs w:val="22"/>
              </w:rPr>
              <w:t>„</w:t>
            </w:r>
            <w:r w:rsidR="00952B1A" w:rsidRPr="001071DC">
              <w:rPr>
                <w:sz w:val="22"/>
                <w:szCs w:val="22"/>
              </w:rPr>
              <w:t>e” apakšpunktā noteiktās robežvērtības</w:t>
            </w:r>
            <w:r w:rsidR="000F3D96" w:rsidRPr="001071DC">
              <w:rPr>
                <w:sz w:val="22"/>
                <w:szCs w:val="22"/>
              </w:rPr>
              <w:t>.</w:t>
            </w:r>
            <w:r w:rsidRPr="001071DC">
              <w:rPr>
                <w:sz w:val="22"/>
                <w:szCs w:val="22"/>
              </w:rPr>
              <w:t>”.</w:t>
            </w:r>
          </w:p>
        </w:tc>
      </w:tr>
      <w:tr w:rsidR="002D6A77" w:rsidRPr="001071DC" w:rsidTr="009A7AEA">
        <w:tc>
          <w:tcPr>
            <w:tcW w:w="278" w:type="pct"/>
            <w:tcBorders>
              <w:top w:val="single" w:sz="4" w:space="0" w:color="auto"/>
              <w:left w:val="single" w:sz="6" w:space="0" w:color="000000"/>
              <w:bottom w:val="single" w:sz="4" w:space="0" w:color="auto"/>
              <w:right w:val="single" w:sz="6" w:space="0" w:color="000000"/>
            </w:tcBorders>
            <w:shd w:val="clear" w:color="auto" w:fill="auto"/>
          </w:tcPr>
          <w:p w:rsidR="002D6A77" w:rsidRPr="001071DC" w:rsidRDefault="002D6A77" w:rsidP="003B293D">
            <w:pPr>
              <w:pStyle w:val="naisc"/>
              <w:numPr>
                <w:ilvl w:val="0"/>
                <w:numId w:val="12"/>
              </w:numPr>
              <w:spacing w:before="0" w:after="0"/>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2D6A77" w:rsidRPr="001071DC" w:rsidRDefault="002E6C19" w:rsidP="00A664E0">
            <w:pPr>
              <w:pStyle w:val="Pamatteksts"/>
              <w:spacing w:after="0"/>
              <w:jc w:val="both"/>
            </w:pPr>
            <w:r w:rsidRPr="001071DC">
              <w:rPr>
                <w:sz w:val="22"/>
                <w:szCs w:val="22"/>
              </w:rPr>
              <w:t>MK noteikumu p</w:t>
            </w:r>
            <w:r w:rsidR="00776962" w:rsidRPr="001071DC">
              <w:rPr>
                <w:sz w:val="22"/>
                <w:szCs w:val="22"/>
              </w:rPr>
              <w:t>rojekta</w:t>
            </w:r>
            <w:r w:rsidR="00951D3D" w:rsidRPr="001071DC">
              <w:rPr>
                <w:sz w:val="22"/>
                <w:szCs w:val="22"/>
              </w:rPr>
              <w:t xml:space="preserve"> </w:t>
            </w:r>
            <w:r w:rsidR="00776962" w:rsidRPr="001071DC">
              <w:rPr>
                <w:sz w:val="22"/>
                <w:szCs w:val="22"/>
              </w:rPr>
              <w:t xml:space="preserve">sākotnējās ietekmes novērtējuma ziņojuma (anotācijas) </w:t>
            </w:r>
            <w:r w:rsidR="007A599A" w:rsidRPr="001071DC">
              <w:rPr>
                <w:sz w:val="22"/>
                <w:szCs w:val="22"/>
              </w:rPr>
              <w:t xml:space="preserve">I sadaļas </w:t>
            </w:r>
            <w:r w:rsidR="00CD79AF" w:rsidRPr="001071DC">
              <w:rPr>
                <w:sz w:val="22"/>
                <w:szCs w:val="22"/>
              </w:rPr>
              <w:t>„</w:t>
            </w:r>
            <w:r w:rsidR="007A599A" w:rsidRPr="001071DC">
              <w:rPr>
                <w:sz w:val="22"/>
                <w:szCs w:val="22"/>
              </w:rPr>
              <w:t xml:space="preserve">Tiesību akta projekta izstrādes nepieciešamība” 2.punkts </w:t>
            </w:r>
            <w:r w:rsidR="00CD79AF" w:rsidRPr="001071DC">
              <w:rPr>
                <w:sz w:val="22"/>
                <w:szCs w:val="22"/>
              </w:rPr>
              <w:t>„</w:t>
            </w:r>
            <w:r w:rsidR="007A599A" w:rsidRPr="001071DC">
              <w:rPr>
                <w:sz w:val="22"/>
                <w:szCs w:val="22"/>
              </w:rPr>
              <w:t>Pašreizējā situācija un problēmas, kuru risināšanai tiesību akta projekts izstrādāts, tiesiskā regulējuma mērķis un būtība”</w:t>
            </w:r>
            <w:r w:rsidR="00776962" w:rsidRPr="001071DC">
              <w:rPr>
                <w:sz w:val="22"/>
                <w:szCs w:val="22"/>
              </w:rPr>
              <w:t>.</w:t>
            </w:r>
          </w:p>
        </w:tc>
        <w:tc>
          <w:tcPr>
            <w:tcW w:w="1244" w:type="pct"/>
            <w:tcBorders>
              <w:top w:val="single" w:sz="4" w:space="0" w:color="auto"/>
              <w:left w:val="single" w:sz="6" w:space="0" w:color="000000"/>
              <w:bottom w:val="single" w:sz="4" w:space="0" w:color="auto"/>
              <w:right w:val="single" w:sz="6" w:space="0" w:color="000000"/>
            </w:tcBorders>
            <w:shd w:val="clear" w:color="auto" w:fill="auto"/>
            <w:hideMark/>
          </w:tcPr>
          <w:p w:rsidR="00C725D6" w:rsidRPr="001071DC" w:rsidRDefault="00776962" w:rsidP="00C725D6">
            <w:pPr>
              <w:jc w:val="both"/>
              <w:rPr>
                <w:b/>
              </w:rPr>
            </w:pPr>
            <w:r w:rsidRPr="001071DC">
              <w:rPr>
                <w:b/>
                <w:sz w:val="22"/>
                <w:szCs w:val="22"/>
              </w:rPr>
              <w:t>Finanšu ministrija</w:t>
            </w:r>
          </w:p>
          <w:p w:rsidR="007A599A" w:rsidRPr="001071DC" w:rsidRDefault="007A599A" w:rsidP="007A599A">
            <w:pPr>
              <w:jc w:val="both"/>
            </w:pPr>
            <w:r w:rsidRPr="001071DC">
              <w:rPr>
                <w:sz w:val="22"/>
                <w:szCs w:val="22"/>
              </w:rPr>
              <w:t xml:space="preserve">Ņemot vērā vairākkārtējas izmaiņas 5.6.1.specifiskā atbalsta mērķa “Veicināt Rīgas pilsētas revitalizāciju, nodrošinot teritorijas efektīvu sociālekonomisko izmantošanu” </w:t>
            </w:r>
            <w:r w:rsidRPr="001071DC">
              <w:rPr>
                <w:sz w:val="22"/>
                <w:szCs w:val="22"/>
              </w:rPr>
              <w:br/>
              <w:t xml:space="preserve">(turpmāk – 5.6.1.SAM) regulējumā attiecībā uz finansējuma apmēra ierobežojumu, lai būtu iespējams gūt pārliecību, ka šīs izmaiņas ir korekti piemērotas arī projektu līmenī, anotācijā ir nepieciešams ietvert skaidri izsekojamu informāciju. </w:t>
            </w:r>
            <w:r w:rsidRPr="001071DC">
              <w:rPr>
                <w:sz w:val="22"/>
                <w:szCs w:val="22"/>
              </w:rPr>
              <w:lastRenderedPageBreak/>
              <w:t xml:space="preserve">Attiecīgi lūdzam papildināt anotācijas I sadaļas “Tiesību akta projekta izstrādes nepieciešamība” 2.punktu “Pašreizējā situācija un problēmas, kuru risināšanai tiesību akta projekts izstrādāts, tiesiskā regulējuma mērķis un būtība”: </w:t>
            </w:r>
          </w:p>
          <w:p w:rsidR="007A599A" w:rsidRPr="001071DC" w:rsidRDefault="007A599A" w:rsidP="007A599A">
            <w:pPr>
              <w:numPr>
                <w:ilvl w:val="0"/>
                <w:numId w:val="14"/>
              </w:numPr>
              <w:ind w:left="568"/>
              <w:jc w:val="both"/>
            </w:pPr>
            <w:r w:rsidRPr="001071DC">
              <w:rPr>
                <w:sz w:val="22"/>
                <w:szCs w:val="22"/>
              </w:rPr>
              <w:t>ar hronoloģiski izsekojamu informāciju par veiktajiem grozījumiem Eiropas Parlamenta un Padomes regulas</w:t>
            </w:r>
            <w:r w:rsidRPr="001071DC">
              <w:rPr>
                <w:sz w:val="22"/>
                <w:szCs w:val="22"/>
                <w:vertAlign w:val="superscript"/>
              </w:rPr>
              <w:footnoteReference w:id="1"/>
            </w:r>
            <w:r w:rsidRPr="001071DC">
              <w:rPr>
                <w:sz w:val="22"/>
                <w:szCs w:val="22"/>
              </w:rPr>
              <w:t xml:space="preserve"> nosacījumos attiecībā uz maza mēroga investīcijām un attiecīgi izrietošajām izmaiņām 5.6.1.SAM regulējumā, to spēkā stāšanās brīdi un kā tiks nodrošināta projektu atbilstība mainīgajiem nosacījumiem; </w:t>
            </w:r>
          </w:p>
          <w:p w:rsidR="007A599A" w:rsidRPr="001071DC" w:rsidRDefault="007A599A" w:rsidP="007A599A">
            <w:pPr>
              <w:numPr>
                <w:ilvl w:val="0"/>
                <w:numId w:val="14"/>
              </w:numPr>
              <w:ind w:left="568"/>
              <w:jc w:val="both"/>
            </w:pPr>
            <w:r w:rsidRPr="001071DC">
              <w:rPr>
                <w:sz w:val="22"/>
                <w:szCs w:val="22"/>
              </w:rPr>
              <w:t xml:space="preserve">ar detalizētu informāciju par noteikumu projekta piemērošanas kārtību un ietekmi uz īstenošanā esošajiem projektiem, tai skaitā detalizētāk paskaidrojot un izvērtējot noteikumu projektā paredzētās izmaiņas finansējuma apmēra ierobežojumā un to ietekmi uz finansējuma saņēmējiem. </w:t>
            </w:r>
          </w:p>
          <w:p w:rsidR="001B1CE0" w:rsidRPr="001071DC" w:rsidRDefault="007A599A" w:rsidP="007A599A">
            <w:pPr>
              <w:jc w:val="both"/>
            </w:pPr>
            <w:r w:rsidRPr="001071DC">
              <w:rPr>
                <w:sz w:val="22"/>
                <w:szCs w:val="22"/>
              </w:rPr>
              <w:t xml:space="preserve">Atbilstoši anotācijā sniegtajam skaidrojumam noteikumu projektā </w:t>
            </w:r>
            <w:r w:rsidRPr="001071DC">
              <w:rPr>
                <w:sz w:val="22"/>
                <w:szCs w:val="22"/>
              </w:rPr>
              <w:lastRenderedPageBreak/>
              <w:t xml:space="preserve">ietverto regulējumu nepiemēro </w:t>
            </w:r>
            <w:proofErr w:type="spellStart"/>
            <w:r w:rsidRPr="001071DC">
              <w:rPr>
                <w:sz w:val="22"/>
                <w:szCs w:val="22"/>
              </w:rPr>
              <w:t>retroaktīvi</w:t>
            </w:r>
            <w:proofErr w:type="spellEnd"/>
            <w:r w:rsidRPr="001071DC">
              <w:rPr>
                <w:sz w:val="22"/>
                <w:szCs w:val="22"/>
              </w:rPr>
              <w:t>, taču, ņemot vērā, ka 5.6.1.SAM ietvaros nav paredzēta jaunu projektu iesniegšana, ievērojot minēto lūdzam skaidrot, vai būs nepieciešami grozījumi jau noslēgtajos līgumos/vienošanās par projektu īstenošanu. Papildus atgādinām, ka, lai veiktu grozījumus līgumā/vienošanās par projektu īstenošanu, attiecīgajiem grozījumiem ir jābūt pamatotiem un lietderīgiem, kā arī nepieciešamiem projekta sākotnējā mērķa sasniegšanai.</w:t>
            </w:r>
          </w:p>
        </w:tc>
        <w:tc>
          <w:tcPr>
            <w:tcW w:w="1095" w:type="pct"/>
            <w:tcBorders>
              <w:top w:val="single" w:sz="4" w:space="0" w:color="auto"/>
              <w:left w:val="single" w:sz="6" w:space="0" w:color="000000"/>
              <w:bottom w:val="single" w:sz="4" w:space="0" w:color="auto"/>
              <w:right w:val="single" w:sz="6" w:space="0" w:color="000000"/>
            </w:tcBorders>
            <w:shd w:val="clear" w:color="auto" w:fill="auto"/>
            <w:hideMark/>
          </w:tcPr>
          <w:p w:rsidR="002D6A77" w:rsidRPr="001071DC" w:rsidRDefault="00776962" w:rsidP="003B293D">
            <w:pPr>
              <w:pStyle w:val="naisc"/>
              <w:spacing w:before="0" w:after="0"/>
              <w:ind w:firstLine="32"/>
              <w:rPr>
                <w:b/>
              </w:rPr>
            </w:pPr>
            <w:r w:rsidRPr="001071DC">
              <w:rPr>
                <w:b/>
                <w:sz w:val="22"/>
                <w:szCs w:val="22"/>
              </w:rPr>
              <w:lastRenderedPageBreak/>
              <w:t>Ņemts vērā</w:t>
            </w:r>
          </w:p>
          <w:p w:rsidR="002D6A77" w:rsidRPr="001071DC" w:rsidRDefault="002D6A77" w:rsidP="003B293D">
            <w:pPr>
              <w:pStyle w:val="naisc"/>
              <w:spacing w:before="0" w:after="0"/>
              <w:jc w:val="both"/>
            </w:pPr>
          </w:p>
        </w:tc>
        <w:tc>
          <w:tcPr>
            <w:tcW w:w="1244" w:type="pct"/>
            <w:tcBorders>
              <w:top w:val="single" w:sz="4" w:space="0" w:color="auto"/>
              <w:left w:val="single" w:sz="4" w:space="0" w:color="auto"/>
              <w:bottom w:val="single" w:sz="4" w:space="0" w:color="auto"/>
              <w:right w:val="single" w:sz="4" w:space="0" w:color="auto"/>
            </w:tcBorders>
            <w:shd w:val="clear" w:color="auto" w:fill="auto"/>
            <w:hideMark/>
          </w:tcPr>
          <w:p w:rsidR="00BA45F5" w:rsidRPr="001071DC" w:rsidRDefault="002E6C19" w:rsidP="00BA45F5">
            <w:pPr>
              <w:pStyle w:val="naisnod"/>
              <w:spacing w:before="0" w:after="0"/>
              <w:jc w:val="both"/>
              <w:rPr>
                <w:b w:val="0"/>
              </w:rPr>
            </w:pPr>
            <w:r w:rsidRPr="001071DC">
              <w:rPr>
                <w:b w:val="0"/>
                <w:sz w:val="22"/>
                <w:szCs w:val="22"/>
              </w:rPr>
              <w:t>Precizēts MK noteikumu p</w:t>
            </w:r>
            <w:r w:rsidR="00951D3D" w:rsidRPr="001071DC">
              <w:rPr>
                <w:b w:val="0"/>
                <w:sz w:val="22"/>
                <w:szCs w:val="22"/>
              </w:rPr>
              <w:t>rojekta sākotnējās ietekmes novērtējuma ziņojuma (anotācijas)</w:t>
            </w:r>
            <w:r w:rsidR="00776962" w:rsidRPr="001071DC">
              <w:rPr>
                <w:sz w:val="22"/>
                <w:szCs w:val="22"/>
              </w:rPr>
              <w:t xml:space="preserve"> </w:t>
            </w:r>
            <w:r w:rsidR="007A599A" w:rsidRPr="001071DC">
              <w:rPr>
                <w:b w:val="0"/>
                <w:sz w:val="22"/>
                <w:szCs w:val="22"/>
              </w:rPr>
              <w:t xml:space="preserve">I sadaļas </w:t>
            </w:r>
            <w:r w:rsidR="00CD79AF" w:rsidRPr="001071DC">
              <w:rPr>
                <w:b w:val="0"/>
                <w:sz w:val="22"/>
                <w:szCs w:val="22"/>
              </w:rPr>
              <w:t>„</w:t>
            </w:r>
            <w:r w:rsidR="007A599A" w:rsidRPr="001071DC">
              <w:rPr>
                <w:b w:val="0"/>
                <w:sz w:val="22"/>
                <w:szCs w:val="22"/>
              </w:rPr>
              <w:t>Tiesību akta projekta izstrādes nepieciešamība” 2.punkts “Pašreizējā situācija un problēmas, kuru risināšanai tiesību akta projekts izstrādāts, tiesiskā regulējuma mērķis un būtība”</w:t>
            </w:r>
            <w:r w:rsidR="00776962" w:rsidRPr="001071DC">
              <w:rPr>
                <w:b w:val="0"/>
                <w:sz w:val="22"/>
                <w:szCs w:val="22"/>
              </w:rPr>
              <w:t>:</w:t>
            </w:r>
          </w:p>
          <w:p w:rsidR="002E6C19" w:rsidRPr="001071DC" w:rsidRDefault="00951D3D" w:rsidP="002E6C19">
            <w:pPr>
              <w:jc w:val="both"/>
              <w:rPr>
                <w:iCs/>
              </w:rPr>
            </w:pPr>
            <w:r w:rsidRPr="001071DC">
              <w:rPr>
                <w:iCs/>
                <w:sz w:val="22"/>
                <w:szCs w:val="22"/>
              </w:rPr>
              <w:t>„</w:t>
            </w:r>
            <w:r w:rsidR="002E6C19" w:rsidRPr="001071DC">
              <w:rPr>
                <w:iCs/>
                <w:sz w:val="22"/>
                <w:szCs w:val="22"/>
              </w:rPr>
              <w:t xml:space="preserve">Ministru kabineta 2016.gada 29.marta noteikumu Nr.188 „Darbības programmas „Izaugsme un nodarbinātība” 5.6.1.specifiskā atbalsta mērķa „Veicināt Rīgas </w:t>
            </w:r>
            <w:r w:rsidR="002E6C19" w:rsidRPr="001071DC">
              <w:rPr>
                <w:iCs/>
                <w:sz w:val="22"/>
                <w:szCs w:val="22"/>
              </w:rPr>
              <w:lastRenderedPageBreak/>
              <w:t>pilsētas revitalizāciju, nodrošinot teritorijas efektīvu sociālekonomisko izmantošanu” īstenošanas noteikumi”” (turpmāk – Noteikumi Nr.188) 18.punkta izmaiņas:</w:t>
            </w:r>
          </w:p>
          <w:p w:rsidR="002E6C19" w:rsidRPr="001071DC" w:rsidRDefault="002E6C19" w:rsidP="00CD79AF">
            <w:pPr>
              <w:numPr>
                <w:ilvl w:val="0"/>
                <w:numId w:val="15"/>
              </w:numPr>
              <w:tabs>
                <w:tab w:val="left" w:pos="305"/>
              </w:tabs>
              <w:ind w:left="305" w:hanging="284"/>
              <w:jc w:val="both"/>
              <w:rPr>
                <w:iCs/>
              </w:rPr>
            </w:pPr>
            <w:r w:rsidRPr="001071DC">
              <w:rPr>
                <w:iCs/>
                <w:sz w:val="22"/>
                <w:szCs w:val="22"/>
              </w:rPr>
              <w:t xml:space="preserve">2016.gada 29.marta Noteikumu Nr.188 redakcija noteica, ka kopējās izmaksas šo noteikumu 9.1.3.apakšpunktā norādītajam investīciju objektam nevar pārsniegt 5 000 </w:t>
            </w:r>
            <w:proofErr w:type="spellStart"/>
            <w:r w:rsidRPr="001071DC">
              <w:rPr>
                <w:iCs/>
                <w:sz w:val="22"/>
                <w:szCs w:val="22"/>
              </w:rPr>
              <w:t>000</w:t>
            </w:r>
            <w:proofErr w:type="spellEnd"/>
            <w:r w:rsidRPr="001071DC">
              <w:rPr>
                <w:iCs/>
                <w:sz w:val="22"/>
                <w:szCs w:val="22"/>
              </w:rPr>
              <w:t xml:space="preserve"> </w:t>
            </w:r>
            <w:proofErr w:type="spellStart"/>
            <w:r w:rsidRPr="001071DC">
              <w:rPr>
                <w:i/>
                <w:iCs/>
                <w:sz w:val="22"/>
                <w:szCs w:val="22"/>
              </w:rPr>
              <w:t>euro</w:t>
            </w:r>
            <w:proofErr w:type="spellEnd"/>
            <w:r w:rsidRPr="001071DC">
              <w:rPr>
                <w:iCs/>
                <w:sz w:val="22"/>
                <w:szCs w:val="22"/>
              </w:rPr>
              <w:t>.</w:t>
            </w:r>
          </w:p>
          <w:p w:rsidR="00CC3F2C" w:rsidRPr="001071DC" w:rsidRDefault="002E6C19" w:rsidP="00CC3F2C">
            <w:pPr>
              <w:tabs>
                <w:tab w:val="left" w:pos="305"/>
              </w:tabs>
              <w:ind w:left="305"/>
              <w:jc w:val="both"/>
              <w:rPr>
                <w:iCs/>
              </w:rPr>
            </w:pPr>
            <w:r w:rsidRPr="001071DC">
              <w:rPr>
                <w:iCs/>
                <w:sz w:val="22"/>
                <w:szCs w:val="22"/>
              </w:rPr>
              <w:t>Izmaksu apmērs tika noteikts, pamatojoties uz Regulas Nr.1301/2013 3.panta 1.punkta „e” apakšpunktu, kā arī uz Eiropas Komisijas informatīvo paziņojumu (</w:t>
            </w:r>
            <w:proofErr w:type="spellStart"/>
            <w:r w:rsidRPr="001071DC">
              <w:rPr>
                <w:iCs/>
                <w:sz w:val="22"/>
                <w:szCs w:val="22"/>
              </w:rPr>
              <w:t>Ref</w:t>
            </w:r>
            <w:proofErr w:type="spellEnd"/>
            <w:r w:rsidRPr="001071DC">
              <w:rPr>
                <w:iCs/>
                <w:sz w:val="22"/>
                <w:szCs w:val="22"/>
              </w:rPr>
              <w:t xml:space="preserve">. </w:t>
            </w:r>
            <w:proofErr w:type="spellStart"/>
            <w:r w:rsidRPr="001071DC">
              <w:rPr>
                <w:iCs/>
                <w:sz w:val="22"/>
                <w:szCs w:val="22"/>
              </w:rPr>
              <w:t>Ares</w:t>
            </w:r>
            <w:proofErr w:type="spellEnd"/>
            <w:r w:rsidR="00CD79AF" w:rsidRPr="001071DC">
              <w:rPr>
                <w:iCs/>
                <w:sz w:val="22"/>
                <w:szCs w:val="22"/>
              </w:rPr>
              <w:t xml:space="preserve"> </w:t>
            </w:r>
            <w:r w:rsidRPr="001071DC">
              <w:rPr>
                <w:iCs/>
                <w:sz w:val="22"/>
                <w:szCs w:val="22"/>
              </w:rPr>
              <w:t xml:space="preserve">(2015)481089 </w:t>
            </w:r>
            <w:r w:rsidR="00CD79AF" w:rsidRPr="001071DC">
              <w:rPr>
                <w:iCs/>
                <w:sz w:val="22"/>
                <w:szCs w:val="22"/>
              </w:rPr>
              <w:t xml:space="preserve">– </w:t>
            </w:r>
            <w:r w:rsidRPr="001071DC">
              <w:rPr>
                <w:iCs/>
                <w:sz w:val="22"/>
                <w:szCs w:val="22"/>
              </w:rPr>
              <w:t>05/02/2015), kurā noteikts, ka maza mēroga infrastruktūra ir infrastruktūra, kuras kopējās izmaksas nepārsniedz 5 000</w:t>
            </w:r>
            <w:r w:rsidR="00CD79AF" w:rsidRPr="001071DC">
              <w:rPr>
                <w:iCs/>
                <w:sz w:val="22"/>
                <w:szCs w:val="22"/>
              </w:rPr>
              <w:t> </w:t>
            </w:r>
            <w:r w:rsidRPr="001071DC">
              <w:rPr>
                <w:iCs/>
                <w:sz w:val="22"/>
                <w:szCs w:val="22"/>
              </w:rPr>
              <w:t>000</w:t>
            </w:r>
            <w:r w:rsidR="00CD79AF" w:rsidRPr="001071DC">
              <w:rPr>
                <w:iCs/>
                <w:sz w:val="22"/>
                <w:szCs w:val="22"/>
              </w:rPr>
              <w:t> </w:t>
            </w:r>
            <w:r w:rsidRPr="001071DC">
              <w:rPr>
                <w:i/>
                <w:iCs/>
                <w:sz w:val="22"/>
                <w:szCs w:val="22"/>
              </w:rPr>
              <w:t>euro</w:t>
            </w:r>
            <w:r w:rsidRPr="001071DC">
              <w:rPr>
                <w:iCs/>
                <w:sz w:val="22"/>
                <w:szCs w:val="22"/>
              </w:rPr>
              <w:t>.</w:t>
            </w:r>
          </w:p>
          <w:p w:rsidR="002E6C19" w:rsidRPr="001071DC" w:rsidRDefault="002E6C19" w:rsidP="00CD79AF">
            <w:pPr>
              <w:numPr>
                <w:ilvl w:val="0"/>
                <w:numId w:val="15"/>
              </w:numPr>
              <w:tabs>
                <w:tab w:val="left" w:pos="305"/>
              </w:tabs>
              <w:ind w:left="305" w:hanging="284"/>
              <w:jc w:val="both"/>
              <w:rPr>
                <w:iCs/>
              </w:rPr>
            </w:pPr>
            <w:r w:rsidRPr="001071DC">
              <w:rPr>
                <w:iCs/>
                <w:sz w:val="22"/>
                <w:szCs w:val="22"/>
              </w:rPr>
              <w:t xml:space="preserve">2016.gada 27.septembra Noteikumu Nr.188 grozījumu redakcija, saglabājot nosacījumu par 5 000 000 </w:t>
            </w:r>
            <w:r w:rsidRPr="001071DC">
              <w:rPr>
                <w:i/>
                <w:iCs/>
                <w:sz w:val="22"/>
                <w:szCs w:val="22"/>
              </w:rPr>
              <w:t xml:space="preserve">euro </w:t>
            </w:r>
            <w:r w:rsidRPr="001071DC">
              <w:rPr>
                <w:iCs/>
                <w:sz w:val="22"/>
                <w:szCs w:val="22"/>
              </w:rPr>
              <w:t xml:space="preserve">nosacījumu, tika papildināta ar nosacījumu, ka kopējās izmaksas šo noteikumu 9.1.3.apakšpunktā norādītajam investīciju objektam nevar pārsniegt 10 000 000 </w:t>
            </w:r>
            <w:r w:rsidRPr="001071DC">
              <w:rPr>
                <w:i/>
                <w:iCs/>
                <w:sz w:val="22"/>
                <w:szCs w:val="22"/>
              </w:rPr>
              <w:t>euro</w:t>
            </w:r>
            <w:r w:rsidRPr="001071DC">
              <w:rPr>
                <w:iCs/>
                <w:sz w:val="22"/>
                <w:szCs w:val="22"/>
              </w:rPr>
              <w:t xml:space="preserve"> „gadījumā, ja infrastruktūras </w:t>
            </w:r>
            <w:r w:rsidRPr="001071DC">
              <w:rPr>
                <w:iCs/>
                <w:sz w:val="22"/>
                <w:szCs w:val="22"/>
              </w:rPr>
              <w:lastRenderedPageBreak/>
              <w:t xml:space="preserve">vienība vai teritorija, kurā izvietota infrastruktūras vienība, saskaņā ar 1972.gada Apvienoto Nāciju Izglītības, zinātnes un kultūras organizācijas Konvenciju par pasaules kultūras un dabas mantojuma aizsardzību atrodas Apvienoto Nāciju Izglītības, zinātnes un kultūras organizācijas Pasaules mantojuma sarakstā”. </w:t>
            </w:r>
          </w:p>
          <w:p w:rsidR="00CC3F2C" w:rsidRPr="001071DC" w:rsidRDefault="002E6C19" w:rsidP="00CC3F2C">
            <w:pPr>
              <w:ind w:left="305"/>
              <w:jc w:val="both"/>
              <w:rPr>
                <w:iCs/>
              </w:rPr>
            </w:pPr>
            <w:r w:rsidRPr="001071DC">
              <w:rPr>
                <w:iCs/>
                <w:sz w:val="22"/>
                <w:szCs w:val="22"/>
              </w:rPr>
              <w:t>Grozījumi Noteikumos Nr.188 tika veikti,</w:t>
            </w:r>
            <w:r w:rsidRPr="001071DC">
              <w:rPr>
                <w:bCs/>
                <w:iCs/>
                <w:sz w:val="22"/>
                <w:szCs w:val="22"/>
              </w:rPr>
              <w:t xml:space="preserve"> ņemot vērā Finanšu ministrijas 2016.gada 8.jūlija vēstuli Nr.21-3-01/3666 „Par 5.6.1.specifiskā atbalsta mērķa „Veicināt Rīgas pilsētas revitalizāciju, nodrošinot teritorijas efektīvu sociālekonomisko izmantošanu” īstenošanas nosacījumiem”, kurā Finanšu ministrija norāda, ka</w:t>
            </w:r>
            <w:r w:rsidRPr="001071DC">
              <w:rPr>
                <w:iCs/>
                <w:sz w:val="22"/>
                <w:szCs w:val="22"/>
              </w:rPr>
              <w:t xml:space="preserve"> 2016.gada 22.jūnijā ir saņēmusi Eiropas Komisijas elektronisko vēstuli Nr.2892350 par Eiropas Savienības struktūrfondu un Kohēzijas fonda ieguldījumiem maza mēroga infrastruktūras objektos, kurā norādīts, ka maza mēroga infrastruktūras objekts ir tāds, kura kopējās projekta izmaksas nepārsniedz </w:t>
            </w:r>
            <w:r w:rsidR="003C4B8B" w:rsidRPr="001071DC">
              <w:rPr>
                <w:iCs/>
                <w:sz w:val="22"/>
                <w:szCs w:val="22"/>
              </w:rPr>
              <w:t>5 000</w:t>
            </w:r>
            <w:r w:rsidR="001071DC" w:rsidRPr="001071DC">
              <w:rPr>
                <w:iCs/>
                <w:sz w:val="22"/>
                <w:szCs w:val="22"/>
              </w:rPr>
              <w:t> </w:t>
            </w:r>
            <w:r w:rsidR="003C4B8B" w:rsidRPr="001071DC">
              <w:rPr>
                <w:iCs/>
                <w:sz w:val="22"/>
                <w:szCs w:val="22"/>
              </w:rPr>
              <w:t>000</w:t>
            </w:r>
            <w:r w:rsidR="001071DC" w:rsidRPr="001071DC">
              <w:rPr>
                <w:iCs/>
                <w:sz w:val="22"/>
                <w:szCs w:val="22"/>
              </w:rPr>
              <w:t> </w:t>
            </w:r>
            <w:r w:rsidRPr="001071DC">
              <w:rPr>
                <w:i/>
                <w:iCs/>
                <w:sz w:val="22"/>
                <w:szCs w:val="22"/>
              </w:rPr>
              <w:t>euro</w:t>
            </w:r>
            <w:r w:rsidRPr="001071DC">
              <w:rPr>
                <w:iCs/>
                <w:sz w:val="22"/>
                <w:szCs w:val="22"/>
              </w:rPr>
              <w:t xml:space="preserve">, taču kopējais izmaksu apjoms var tikt palielināts līdz 10 </w:t>
            </w:r>
            <w:r w:rsidR="003C4B8B" w:rsidRPr="001071DC">
              <w:rPr>
                <w:iCs/>
                <w:sz w:val="22"/>
                <w:szCs w:val="22"/>
              </w:rPr>
              <w:t xml:space="preserve">000 </w:t>
            </w:r>
            <w:proofErr w:type="spellStart"/>
            <w:r w:rsidR="003C4B8B" w:rsidRPr="001071DC">
              <w:rPr>
                <w:iCs/>
                <w:sz w:val="22"/>
                <w:szCs w:val="22"/>
              </w:rPr>
              <w:t>000</w:t>
            </w:r>
            <w:proofErr w:type="spellEnd"/>
            <w:r w:rsidR="003C4B8B" w:rsidRPr="001071DC">
              <w:rPr>
                <w:iCs/>
                <w:sz w:val="22"/>
                <w:szCs w:val="22"/>
              </w:rPr>
              <w:t xml:space="preserve"> </w:t>
            </w:r>
            <w:proofErr w:type="spellStart"/>
            <w:r w:rsidRPr="001071DC">
              <w:rPr>
                <w:i/>
                <w:iCs/>
                <w:sz w:val="22"/>
                <w:szCs w:val="22"/>
              </w:rPr>
              <w:t>euro</w:t>
            </w:r>
            <w:proofErr w:type="spellEnd"/>
            <w:r w:rsidRPr="001071DC">
              <w:rPr>
                <w:iCs/>
                <w:sz w:val="22"/>
                <w:szCs w:val="22"/>
              </w:rPr>
              <w:t xml:space="preserve">, ja infrastruktūras objekts ir uzskatāms par pasaules </w:t>
            </w:r>
            <w:r w:rsidRPr="001071DC">
              <w:rPr>
                <w:iCs/>
                <w:sz w:val="22"/>
                <w:szCs w:val="22"/>
              </w:rPr>
              <w:lastRenderedPageBreak/>
              <w:t xml:space="preserve">mantojumu atbilstoši 1972.gada Konvencijas par pasaules kultūras un dabas mantojuma aizsardzību 1.pantā noteiktajam. Tādejādi infrastruktūras objektam, kas atrodas teritorijā, kura ir iekļauta UNESCO pasaules mantojuma sarakstā, pieļaujama kopējo izmaksu apjoma palielināšana līdz 10 </w:t>
            </w:r>
            <w:r w:rsidR="003C4B8B" w:rsidRPr="001071DC">
              <w:rPr>
                <w:iCs/>
                <w:sz w:val="22"/>
                <w:szCs w:val="22"/>
              </w:rPr>
              <w:t xml:space="preserve">000 </w:t>
            </w:r>
            <w:proofErr w:type="spellStart"/>
            <w:r w:rsidR="003C4B8B" w:rsidRPr="001071DC">
              <w:rPr>
                <w:iCs/>
                <w:sz w:val="22"/>
                <w:szCs w:val="22"/>
              </w:rPr>
              <w:t>000</w:t>
            </w:r>
            <w:proofErr w:type="spellEnd"/>
            <w:r w:rsidR="003C4B8B" w:rsidRPr="001071DC">
              <w:rPr>
                <w:iCs/>
                <w:sz w:val="22"/>
                <w:szCs w:val="22"/>
              </w:rPr>
              <w:t xml:space="preserve"> </w:t>
            </w:r>
            <w:proofErr w:type="spellStart"/>
            <w:r w:rsidRPr="001071DC">
              <w:rPr>
                <w:i/>
                <w:iCs/>
                <w:sz w:val="22"/>
                <w:szCs w:val="22"/>
              </w:rPr>
              <w:t>euro</w:t>
            </w:r>
            <w:proofErr w:type="spellEnd"/>
            <w:r w:rsidRPr="001071DC">
              <w:rPr>
                <w:iCs/>
                <w:sz w:val="22"/>
                <w:szCs w:val="22"/>
              </w:rPr>
              <w:t>.;</w:t>
            </w:r>
          </w:p>
          <w:p w:rsidR="002E6C19" w:rsidRPr="001071DC" w:rsidRDefault="002E6C19" w:rsidP="00CD79AF">
            <w:pPr>
              <w:numPr>
                <w:ilvl w:val="0"/>
                <w:numId w:val="15"/>
              </w:numPr>
              <w:tabs>
                <w:tab w:val="left" w:pos="305"/>
              </w:tabs>
              <w:ind w:left="305" w:hanging="305"/>
              <w:jc w:val="both"/>
              <w:rPr>
                <w:iCs/>
              </w:rPr>
            </w:pPr>
            <w:r w:rsidRPr="001071DC">
              <w:rPr>
                <w:iCs/>
                <w:sz w:val="22"/>
                <w:szCs w:val="22"/>
              </w:rPr>
              <w:t xml:space="preserve">2017.gada 24.janvāra Noteikumu Nr.188 grozījumu redakcija tika precizēta, nosakot, ka kopējās izmaksas šo noteikumu 9.1.3.apakšpunktā norādītajam investīciju objektam nevar pārsniegt 15 000 </w:t>
            </w:r>
            <w:proofErr w:type="spellStart"/>
            <w:r w:rsidRPr="001071DC">
              <w:rPr>
                <w:iCs/>
                <w:sz w:val="22"/>
                <w:szCs w:val="22"/>
              </w:rPr>
              <w:t>000</w:t>
            </w:r>
            <w:proofErr w:type="spellEnd"/>
            <w:r w:rsidRPr="001071DC">
              <w:rPr>
                <w:iCs/>
                <w:sz w:val="22"/>
                <w:szCs w:val="22"/>
              </w:rPr>
              <w:t xml:space="preserve"> </w:t>
            </w:r>
            <w:proofErr w:type="spellStart"/>
            <w:r w:rsidRPr="001071DC">
              <w:rPr>
                <w:i/>
                <w:iCs/>
                <w:sz w:val="22"/>
                <w:szCs w:val="22"/>
              </w:rPr>
              <w:t>euro</w:t>
            </w:r>
            <w:proofErr w:type="spellEnd"/>
            <w:r w:rsidRPr="001071DC">
              <w:rPr>
                <w:iCs/>
                <w:sz w:val="22"/>
                <w:szCs w:val="22"/>
              </w:rPr>
              <w:t>.</w:t>
            </w:r>
          </w:p>
          <w:p w:rsidR="00CC3F2C" w:rsidRPr="001071DC" w:rsidRDefault="002E6C19" w:rsidP="00CC3F2C">
            <w:pPr>
              <w:ind w:left="305"/>
              <w:jc w:val="both"/>
              <w:rPr>
                <w:iCs/>
              </w:rPr>
            </w:pPr>
            <w:r w:rsidRPr="001071DC">
              <w:rPr>
                <w:bCs/>
                <w:iCs/>
                <w:sz w:val="22"/>
                <w:szCs w:val="22"/>
              </w:rPr>
              <w:t xml:space="preserve">Grozījumi Noteikumos Nr.188 tika veikti, ņemot vērā Eiropas Komisijas izstrādātos un saskaņošanā esošos grozījumus </w:t>
            </w:r>
            <w:r w:rsidRPr="001071DC">
              <w:rPr>
                <w:iCs/>
                <w:sz w:val="22"/>
                <w:szCs w:val="22"/>
              </w:rPr>
              <w:t xml:space="preserve">Eiropas Reģionālās attīstības fonda (turpmāk – ERAF) </w:t>
            </w:r>
            <w:r w:rsidRPr="001071DC">
              <w:rPr>
                <w:bCs/>
                <w:iCs/>
                <w:sz w:val="22"/>
                <w:szCs w:val="22"/>
              </w:rPr>
              <w:t>reglamentējošajos dokumentos, tai skaitā</w:t>
            </w:r>
            <w:r w:rsidRPr="001071DC">
              <w:rPr>
                <w:iCs/>
                <w:sz w:val="22"/>
                <w:szCs w:val="22"/>
              </w:rPr>
              <w:t xml:space="preserve"> </w:t>
            </w:r>
            <w:r w:rsidRPr="001071DC">
              <w:rPr>
                <w:bCs/>
                <w:iCs/>
                <w:sz w:val="22"/>
                <w:szCs w:val="22"/>
              </w:rPr>
              <w:t xml:space="preserve">Regulā Nr.1301/2013, izslēdzot no Regulas Nr.1301/2013 3.panta 1.punkta „e” daļas nosacījumus, kas paredz investīcijas tikai maza mēroga infrastruktūrā, un izslēdzot no paskaidrojošajiem dokumentiem atsauci uz </w:t>
            </w:r>
            <w:r w:rsidR="003C4B8B" w:rsidRPr="001071DC">
              <w:rPr>
                <w:bCs/>
                <w:iCs/>
                <w:sz w:val="22"/>
                <w:szCs w:val="22"/>
              </w:rPr>
              <w:t>5 000 000</w:t>
            </w:r>
            <w:r w:rsidRPr="001071DC">
              <w:rPr>
                <w:bCs/>
                <w:iCs/>
                <w:sz w:val="22"/>
                <w:szCs w:val="22"/>
              </w:rPr>
              <w:t xml:space="preserve"> </w:t>
            </w:r>
            <w:r w:rsidRPr="001071DC">
              <w:rPr>
                <w:bCs/>
                <w:i/>
                <w:iCs/>
                <w:sz w:val="22"/>
                <w:szCs w:val="22"/>
              </w:rPr>
              <w:t>euro</w:t>
            </w:r>
            <w:r w:rsidRPr="001071DC">
              <w:rPr>
                <w:bCs/>
                <w:iCs/>
                <w:sz w:val="22"/>
                <w:szCs w:val="22"/>
              </w:rPr>
              <w:t xml:space="preserve"> ierobežojumu</w:t>
            </w:r>
            <w:r w:rsidRPr="001071DC">
              <w:rPr>
                <w:iCs/>
                <w:sz w:val="22"/>
                <w:szCs w:val="22"/>
              </w:rPr>
              <w:t xml:space="preserve"> </w:t>
            </w:r>
            <w:r w:rsidRPr="001071DC">
              <w:rPr>
                <w:bCs/>
                <w:iCs/>
                <w:sz w:val="22"/>
                <w:szCs w:val="22"/>
              </w:rPr>
              <w:t xml:space="preserve">maza mēroga kultūras un tūrisma infrastruktūrai. Atbilstoši šiem grozījumiem Finanšu ministrija </w:t>
            </w:r>
            <w:r w:rsidRPr="001071DC">
              <w:rPr>
                <w:bCs/>
                <w:iCs/>
                <w:sz w:val="22"/>
                <w:szCs w:val="22"/>
              </w:rPr>
              <w:lastRenderedPageBreak/>
              <w:t xml:space="preserve">2017.gada 31.martā Eiropas Komisijā iesniedza grozījumus darbības programmā „Izaugsme un nodarbinātība” 5.6.1.specifiskā atbalsta mērķī „Veicināt Rīgas pilsētas revitalizāciju, nodrošinot teritorijas efektīvu sociālekonomisko izmantošanu” (turpmāk – 5.6.1.SAM), svītrojot atsauci uz </w:t>
            </w:r>
            <w:r w:rsidR="003C4B8B" w:rsidRPr="001071DC">
              <w:rPr>
                <w:bCs/>
                <w:iCs/>
                <w:sz w:val="22"/>
                <w:szCs w:val="22"/>
              </w:rPr>
              <w:t>5 000 000</w:t>
            </w:r>
            <w:r w:rsidRPr="001071DC">
              <w:rPr>
                <w:bCs/>
                <w:iCs/>
                <w:sz w:val="22"/>
                <w:szCs w:val="22"/>
              </w:rPr>
              <w:t xml:space="preserve"> </w:t>
            </w:r>
            <w:r w:rsidRPr="001071DC">
              <w:rPr>
                <w:bCs/>
                <w:i/>
                <w:iCs/>
                <w:sz w:val="22"/>
                <w:szCs w:val="22"/>
              </w:rPr>
              <w:t xml:space="preserve">euro </w:t>
            </w:r>
            <w:r w:rsidRPr="001071DC">
              <w:rPr>
                <w:bCs/>
                <w:iCs/>
                <w:sz w:val="22"/>
                <w:szCs w:val="22"/>
              </w:rPr>
              <w:t xml:space="preserve">ierobežojumu. </w:t>
            </w:r>
            <w:r w:rsidRPr="001071DC">
              <w:rPr>
                <w:iCs/>
                <w:sz w:val="22"/>
                <w:szCs w:val="22"/>
              </w:rPr>
              <w:t xml:space="preserve">Ņemot vērā, ka 5.6.1.SAM mērķis ir radīt pēc iespējas lielāku revitalizācijas efektu, vienlaikus saglabājot racionālu maza mēroga infrastruktūras slieksni, lai izvairītos no ieguldījumiem infrastruktūrā, kas balstīti uz nesaimnieciskiem lēmumiem par turpmākajām infrastruktūras uzturēšanas iespējām, tika piedāvāts palielināt maza mēroga infrastruktūras kopējo izmaksu apmēra slieksni no </w:t>
            </w:r>
            <w:r w:rsidR="003C4B8B" w:rsidRPr="001071DC">
              <w:rPr>
                <w:iCs/>
                <w:sz w:val="22"/>
                <w:szCs w:val="22"/>
              </w:rPr>
              <w:t>5 000 000</w:t>
            </w:r>
            <w:r w:rsidRPr="001071DC">
              <w:rPr>
                <w:iCs/>
                <w:sz w:val="22"/>
                <w:szCs w:val="22"/>
              </w:rPr>
              <w:t xml:space="preserve"> </w:t>
            </w:r>
            <w:r w:rsidRPr="001071DC">
              <w:rPr>
                <w:i/>
                <w:iCs/>
                <w:sz w:val="22"/>
                <w:szCs w:val="22"/>
              </w:rPr>
              <w:t xml:space="preserve">euro </w:t>
            </w:r>
            <w:r w:rsidRPr="001071DC">
              <w:rPr>
                <w:iCs/>
                <w:sz w:val="22"/>
                <w:szCs w:val="22"/>
              </w:rPr>
              <w:t>uz 15</w:t>
            </w:r>
            <w:r w:rsidR="00CD79AF" w:rsidRPr="001071DC">
              <w:rPr>
                <w:iCs/>
                <w:sz w:val="22"/>
                <w:szCs w:val="22"/>
              </w:rPr>
              <w:t> </w:t>
            </w:r>
            <w:r w:rsidR="003C4B8B" w:rsidRPr="001071DC">
              <w:rPr>
                <w:iCs/>
                <w:sz w:val="22"/>
                <w:szCs w:val="22"/>
              </w:rPr>
              <w:t xml:space="preserve">000 000 </w:t>
            </w:r>
            <w:r w:rsidRPr="001071DC">
              <w:rPr>
                <w:i/>
                <w:iCs/>
                <w:sz w:val="22"/>
                <w:szCs w:val="22"/>
              </w:rPr>
              <w:t>euro</w:t>
            </w:r>
            <w:r w:rsidRPr="001071DC">
              <w:rPr>
                <w:iCs/>
                <w:sz w:val="22"/>
                <w:szCs w:val="22"/>
              </w:rPr>
              <w:t>.</w:t>
            </w:r>
          </w:p>
          <w:p w:rsidR="00CC3F2C" w:rsidRPr="001071DC" w:rsidRDefault="002E6C19" w:rsidP="00CC3F2C">
            <w:pPr>
              <w:ind w:firstLine="305"/>
              <w:jc w:val="both"/>
              <w:rPr>
                <w:iCs/>
              </w:rPr>
            </w:pPr>
            <w:r w:rsidRPr="001071DC">
              <w:rPr>
                <w:iCs/>
                <w:sz w:val="22"/>
                <w:szCs w:val="22"/>
              </w:rPr>
              <w:t xml:space="preserve">Pirms grozījumu veikšanas Regulas Nr.1301/2013 3.panta 1.punkta „e” apakšpunkts noteica, ka investīcijas tiek atbalstītas „maza mēroga kultūras un ilgtspējīga tūrisma infrastruktūrā”, nenosakot konkrētu investīciju apjomu. </w:t>
            </w:r>
          </w:p>
          <w:p w:rsidR="00CC3F2C" w:rsidRPr="001071DC" w:rsidRDefault="002E6C19" w:rsidP="00CC3F2C">
            <w:pPr>
              <w:ind w:firstLine="305"/>
              <w:jc w:val="both"/>
              <w:rPr>
                <w:iCs/>
              </w:rPr>
            </w:pPr>
            <w:r w:rsidRPr="001071DC">
              <w:rPr>
                <w:iCs/>
                <w:sz w:val="22"/>
                <w:szCs w:val="22"/>
              </w:rPr>
              <w:t xml:space="preserve">2018.gada 3.augustā stājās spēkā Regula Nr.2018/1046, ar ko tika veikti grozījumi Regulas Nr.1301/2013 3.panta 1.punkta „e” </w:t>
            </w:r>
            <w:r w:rsidRPr="001071DC">
              <w:rPr>
                <w:iCs/>
                <w:sz w:val="22"/>
                <w:szCs w:val="22"/>
              </w:rPr>
              <w:lastRenderedPageBreak/>
              <w:t xml:space="preserve">apakšpunktā, nosakot jau konkrētus līdzfinansējuma ierobežojumus: „investīcijas kultūras un ilgtspējīga tūrisma infrastruktūrā tiek uzskatītas par maza mēroga investīcijām un tiesīgām saņemt atbalstu, ja Eiropas Reģionālās attīstības fonda ieguldījums darbībā nepārsniedz 10 000 000 </w:t>
            </w:r>
            <w:r w:rsidRPr="001071DC">
              <w:rPr>
                <w:i/>
                <w:iCs/>
                <w:sz w:val="22"/>
                <w:szCs w:val="22"/>
              </w:rPr>
              <w:t>euro</w:t>
            </w:r>
            <w:r w:rsidRPr="001071DC">
              <w:rPr>
                <w:iCs/>
                <w:sz w:val="22"/>
                <w:szCs w:val="22"/>
              </w:rPr>
              <w:t>. Minēto robežvērtību paaugstina līdz 20 000 000 </w:t>
            </w:r>
            <w:r w:rsidRPr="001071DC">
              <w:rPr>
                <w:i/>
                <w:iCs/>
                <w:sz w:val="22"/>
                <w:szCs w:val="22"/>
              </w:rPr>
              <w:t>euro</w:t>
            </w:r>
            <w:r w:rsidRPr="001071DC">
              <w:rPr>
                <w:iCs/>
                <w:sz w:val="22"/>
                <w:szCs w:val="22"/>
              </w:rPr>
              <w:t>, ja infrastruktūra ir uzskatāma par kultūras mantojumu 1972.gada UNESCO Konvencijas par pasaules kultūras un dabas mantojuma aizsardzību 1.panta nozīmē”. Tādējādi ir nepieciešams precizēt Noteikumu Nr.188 18.punktu, nosakot, ka „vienai atsevišķai neatkarīgai funkcijai, kas ir izvērtēta atbilstoši specifiskā atbalsta vērtēšanas kritērijam par darbības funkcionālo nodalāmību, maksimālais Eiropas Reģionālā attīstības fonda izmaksu apmērs vienam šo noteikumu 9.1.3.apakšpunktā norādītajam investīciju objektam nevar pārsniegt Eiropas Parlamenta un Padomes 2013. gada 17.decembra Regulas (ES) Nr.</w:t>
            </w:r>
            <w:hyperlink r:id="rId9" w:tgtFrame="_blank" w:history="1">
              <w:r w:rsidRPr="001071DC">
                <w:rPr>
                  <w:rStyle w:val="Hipersaite"/>
                  <w:iCs/>
                  <w:color w:val="auto"/>
                  <w:sz w:val="22"/>
                  <w:szCs w:val="22"/>
                  <w:u w:val="none"/>
                </w:rPr>
                <w:t>1301/2013</w:t>
              </w:r>
            </w:hyperlink>
            <w:r w:rsidRPr="001071DC">
              <w:rPr>
                <w:iCs/>
                <w:sz w:val="22"/>
                <w:szCs w:val="22"/>
              </w:rPr>
              <w:t xml:space="preserve"> par Eiropas Reģionālās attīstības fondu un īpašiem noteikumiem attiecībā uz mērķi </w:t>
            </w:r>
            <w:r w:rsidR="00CD79AF" w:rsidRPr="001071DC">
              <w:rPr>
                <w:iCs/>
                <w:sz w:val="22"/>
                <w:szCs w:val="22"/>
              </w:rPr>
              <w:t>„</w:t>
            </w:r>
            <w:r w:rsidRPr="001071DC">
              <w:rPr>
                <w:iCs/>
                <w:sz w:val="22"/>
                <w:szCs w:val="22"/>
              </w:rPr>
              <w:t>Investīcijas izaugsmei un nodarbinātībai” un ar ko atceļ Regulu (EK) Nr.</w:t>
            </w:r>
            <w:hyperlink r:id="rId10" w:tgtFrame="_blank" w:history="1">
              <w:r w:rsidRPr="001071DC">
                <w:rPr>
                  <w:rStyle w:val="Hipersaite"/>
                  <w:iCs/>
                  <w:color w:val="auto"/>
                  <w:sz w:val="22"/>
                  <w:szCs w:val="22"/>
                  <w:u w:val="none"/>
                </w:rPr>
                <w:t>1080/2006</w:t>
              </w:r>
            </w:hyperlink>
            <w:r w:rsidRPr="001071DC">
              <w:rPr>
                <w:iCs/>
                <w:sz w:val="22"/>
                <w:szCs w:val="22"/>
              </w:rPr>
              <w:t xml:space="preserve">, 3.panta 1.punkta </w:t>
            </w:r>
            <w:r w:rsidRPr="001071DC">
              <w:rPr>
                <w:iCs/>
                <w:sz w:val="22"/>
                <w:szCs w:val="22"/>
              </w:rPr>
              <w:lastRenderedPageBreak/>
              <w:t xml:space="preserve">“e” apakšpunktā noteiktās robežvērtības”. </w:t>
            </w:r>
          </w:p>
          <w:p w:rsidR="00CD0ED0" w:rsidRPr="001071DC" w:rsidRDefault="00CD0ED0" w:rsidP="00CD0ED0">
            <w:pPr>
              <w:ind w:firstLine="305"/>
              <w:jc w:val="both"/>
              <w:rPr>
                <w:iCs/>
              </w:rPr>
            </w:pPr>
            <w:r w:rsidRPr="001071DC">
              <w:rPr>
                <w:iCs/>
                <w:sz w:val="22"/>
                <w:szCs w:val="22"/>
              </w:rPr>
              <w:t xml:space="preserve">Ieviešot Noteikumu Nr.188 18.punkta izmaiņas, tās nepiemēro </w:t>
            </w:r>
            <w:proofErr w:type="spellStart"/>
            <w:r w:rsidRPr="001071DC">
              <w:rPr>
                <w:iCs/>
                <w:sz w:val="22"/>
                <w:szCs w:val="22"/>
              </w:rPr>
              <w:t>retroaktīvi</w:t>
            </w:r>
            <w:proofErr w:type="spellEnd"/>
            <w:r w:rsidRPr="001071DC">
              <w:rPr>
                <w:iCs/>
                <w:sz w:val="22"/>
                <w:szCs w:val="22"/>
              </w:rPr>
              <w:t xml:space="preserve"> jeb ar atpakaļejošu spēku. Īstenošanā esošajos projektos tiek saglabāti tie nosacījumi, kas bija spēkā uz līguma vai vienošanās par Eiropas Savienības fonda projekta īstenošanu parakstīšanas brīdi. Savukārt, ja īstenošanā esošam projektam tiek ierosināti un veikti grozījumi, jāizvērtē, vai ERAF līdzfinansējuma daļa nepārsniedz 10 000 000 </w:t>
            </w:r>
            <w:r w:rsidRPr="001071DC">
              <w:rPr>
                <w:i/>
                <w:iCs/>
                <w:sz w:val="22"/>
                <w:szCs w:val="22"/>
              </w:rPr>
              <w:t>euro</w:t>
            </w:r>
            <w:r w:rsidRPr="001071DC">
              <w:rPr>
                <w:iCs/>
                <w:sz w:val="22"/>
                <w:szCs w:val="22"/>
              </w:rPr>
              <w:t xml:space="preserve"> ierobežojumu vienai infrastruktūras vienībai.</w:t>
            </w:r>
          </w:p>
          <w:p w:rsidR="002D6A77" w:rsidRPr="001071DC" w:rsidRDefault="00CD0ED0" w:rsidP="00CD0ED0">
            <w:pPr>
              <w:ind w:firstLine="305"/>
              <w:jc w:val="both"/>
              <w:rPr>
                <w:iCs/>
              </w:rPr>
            </w:pPr>
            <w:r w:rsidRPr="001071DC">
              <w:rPr>
                <w:iCs/>
                <w:sz w:val="22"/>
                <w:szCs w:val="22"/>
              </w:rPr>
              <w:t>Ņemot vērā, ka projektu iesniegumu atlase ir noslēgusies un jaunu projektu iesniegšana netiek plānota, nav nepieciešams veikt grozījumus projektu iesniegumu vērtēšanas kritērijos un projektu iesniegumu vērtēšanas kritēriju piemērošanas metodikā.</w:t>
            </w:r>
            <w:r w:rsidR="005D2CC6" w:rsidRPr="001071DC">
              <w:rPr>
                <w:iCs/>
                <w:sz w:val="22"/>
                <w:szCs w:val="22"/>
              </w:rPr>
              <w:t>”.</w:t>
            </w:r>
          </w:p>
        </w:tc>
      </w:tr>
    </w:tbl>
    <w:p w:rsidR="00FB2C3F" w:rsidRDefault="00FB2C3F" w:rsidP="003B293D">
      <w:pPr>
        <w:outlineLvl w:val="0"/>
        <w:rPr>
          <w:sz w:val="22"/>
          <w:szCs w:val="22"/>
        </w:rPr>
      </w:pPr>
    </w:p>
    <w:p w:rsidR="00DE4669" w:rsidRPr="001071DC" w:rsidRDefault="00DE4669" w:rsidP="003B293D">
      <w:pPr>
        <w:outlineLvl w:val="0"/>
        <w:rPr>
          <w:sz w:val="22"/>
          <w:szCs w:val="22"/>
        </w:rPr>
      </w:pPr>
    </w:p>
    <w:p w:rsidR="00CD0ED0" w:rsidRPr="001071DC" w:rsidRDefault="00CD0ED0" w:rsidP="00CD0ED0">
      <w:pPr>
        <w:outlineLvl w:val="0"/>
        <w:rPr>
          <w:sz w:val="20"/>
          <w:szCs w:val="20"/>
        </w:rPr>
      </w:pPr>
      <w:r w:rsidRPr="001071DC">
        <w:rPr>
          <w:sz w:val="20"/>
          <w:szCs w:val="20"/>
        </w:rPr>
        <w:t>K.Sniedze</w:t>
      </w:r>
    </w:p>
    <w:p w:rsidR="00CD0ED0" w:rsidRPr="001071DC" w:rsidRDefault="00CD0ED0" w:rsidP="00CD0ED0">
      <w:pPr>
        <w:rPr>
          <w:iCs/>
          <w:sz w:val="20"/>
          <w:szCs w:val="20"/>
        </w:rPr>
      </w:pPr>
      <w:r w:rsidRPr="001071DC">
        <w:rPr>
          <w:iCs/>
          <w:sz w:val="20"/>
          <w:szCs w:val="20"/>
        </w:rPr>
        <w:t xml:space="preserve">Kultūras ministrijas </w:t>
      </w:r>
    </w:p>
    <w:p w:rsidR="00CD0ED0" w:rsidRPr="001071DC" w:rsidRDefault="00CD0ED0" w:rsidP="00CD0ED0">
      <w:pPr>
        <w:rPr>
          <w:iCs/>
          <w:sz w:val="20"/>
          <w:szCs w:val="20"/>
        </w:rPr>
      </w:pPr>
      <w:r w:rsidRPr="001071DC">
        <w:rPr>
          <w:iCs/>
          <w:sz w:val="20"/>
          <w:szCs w:val="20"/>
        </w:rPr>
        <w:t xml:space="preserve">Eiropas Savienības fondu departamenta </w:t>
      </w:r>
    </w:p>
    <w:p w:rsidR="00CD0ED0" w:rsidRPr="001071DC" w:rsidRDefault="00CD0ED0" w:rsidP="00CD0ED0">
      <w:pPr>
        <w:rPr>
          <w:iCs/>
          <w:sz w:val="20"/>
          <w:szCs w:val="20"/>
        </w:rPr>
      </w:pPr>
      <w:r w:rsidRPr="001071DC">
        <w:rPr>
          <w:iCs/>
          <w:sz w:val="20"/>
          <w:szCs w:val="20"/>
        </w:rPr>
        <w:t>Finanšu instrumentu attīstības nodaļas referente</w:t>
      </w:r>
    </w:p>
    <w:p w:rsidR="00CD0ED0" w:rsidRPr="001071DC" w:rsidRDefault="00CD0ED0" w:rsidP="00CD0ED0">
      <w:pPr>
        <w:tabs>
          <w:tab w:val="left" w:pos="6804"/>
        </w:tabs>
        <w:rPr>
          <w:color w:val="000000"/>
          <w:sz w:val="20"/>
          <w:szCs w:val="20"/>
        </w:rPr>
      </w:pPr>
      <w:bookmarkStart w:id="2" w:name="OLE_LINK19"/>
      <w:bookmarkStart w:id="3" w:name="OLE_LINK20"/>
      <w:r w:rsidRPr="001071DC">
        <w:rPr>
          <w:sz w:val="20"/>
          <w:szCs w:val="20"/>
        </w:rPr>
        <w:t>Tālr. 67330234; fakss 67330293</w:t>
      </w:r>
    </w:p>
    <w:p w:rsidR="00CD0ED0" w:rsidRPr="001071DC" w:rsidRDefault="006A2FCA" w:rsidP="00CD0ED0">
      <w:pPr>
        <w:tabs>
          <w:tab w:val="left" w:pos="3836"/>
          <w:tab w:val="left" w:pos="6840"/>
        </w:tabs>
        <w:jc w:val="both"/>
        <w:rPr>
          <w:sz w:val="20"/>
          <w:szCs w:val="20"/>
        </w:rPr>
      </w:pPr>
      <w:hyperlink r:id="rId11" w:history="1">
        <w:r w:rsidR="00CD0ED0" w:rsidRPr="001071DC">
          <w:rPr>
            <w:rStyle w:val="Hipersaite"/>
            <w:sz w:val="20"/>
            <w:szCs w:val="20"/>
          </w:rPr>
          <w:t>Kitija.Sniedze@km.gov.lv</w:t>
        </w:r>
      </w:hyperlink>
    </w:p>
    <w:bookmarkEnd w:id="2"/>
    <w:bookmarkEnd w:id="3"/>
    <w:p w:rsidR="009453B4" w:rsidRPr="001071DC" w:rsidRDefault="009453B4" w:rsidP="00CD0ED0">
      <w:pPr>
        <w:outlineLvl w:val="0"/>
        <w:rPr>
          <w:sz w:val="22"/>
          <w:szCs w:val="22"/>
        </w:rPr>
      </w:pPr>
    </w:p>
    <w:sectPr w:rsidR="009453B4" w:rsidRPr="001071DC" w:rsidSect="00DE4669">
      <w:headerReference w:type="default" r:id="rId12"/>
      <w:footerReference w:type="default" r:id="rId13"/>
      <w:footerReference w:type="first" r:id="rId14"/>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9AF" w:rsidRDefault="00CD79AF" w:rsidP="00F64DE4">
      <w:r>
        <w:separator/>
      </w:r>
    </w:p>
  </w:endnote>
  <w:endnote w:type="continuationSeparator" w:id="0">
    <w:p w:rsidR="00CD79AF" w:rsidRDefault="00CD79AF"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AF" w:rsidRDefault="00CD0ED0">
    <w:pPr>
      <w:pStyle w:val="Kjene"/>
    </w:pPr>
    <w:r>
      <w:rPr>
        <w:sz w:val="20"/>
        <w:szCs w:val="20"/>
      </w:rPr>
      <w:t>KMIzz_29</w:t>
    </w:r>
    <w:r w:rsidR="00CD79AF">
      <w:rPr>
        <w:sz w:val="20"/>
        <w:szCs w:val="20"/>
      </w:rPr>
      <w:t>0319</w:t>
    </w:r>
    <w:r w:rsidR="00CD79AF" w:rsidRPr="00F077D7">
      <w:rPr>
        <w:sz w:val="20"/>
        <w:szCs w:val="20"/>
      </w:rPr>
      <w:t>_</w:t>
    </w:r>
    <w:r w:rsidR="00CD79AF">
      <w:rPr>
        <w:sz w:val="20"/>
        <w:szCs w:val="20"/>
      </w:rPr>
      <w:t>561SAM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AF" w:rsidRDefault="00CD0ED0">
    <w:pPr>
      <w:pStyle w:val="Kjene"/>
    </w:pPr>
    <w:r>
      <w:rPr>
        <w:sz w:val="20"/>
        <w:szCs w:val="20"/>
      </w:rPr>
      <w:t>KMIzz_29</w:t>
    </w:r>
    <w:r w:rsidR="00CD79AF">
      <w:rPr>
        <w:sz w:val="20"/>
        <w:szCs w:val="20"/>
      </w:rPr>
      <w:t>0319</w:t>
    </w:r>
    <w:r w:rsidR="00CD79AF" w:rsidRPr="00F077D7">
      <w:rPr>
        <w:sz w:val="20"/>
        <w:szCs w:val="20"/>
      </w:rPr>
      <w:t>_</w:t>
    </w:r>
    <w:r w:rsidR="00CD79AF">
      <w:rPr>
        <w:sz w:val="20"/>
        <w:szCs w:val="20"/>
      </w:rPr>
      <w:t>561SAM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9AF" w:rsidRDefault="00CD79AF" w:rsidP="00F64DE4">
      <w:r>
        <w:separator/>
      </w:r>
    </w:p>
  </w:footnote>
  <w:footnote w:type="continuationSeparator" w:id="0">
    <w:p w:rsidR="00CD79AF" w:rsidRDefault="00CD79AF" w:rsidP="00F64DE4">
      <w:r>
        <w:continuationSeparator/>
      </w:r>
    </w:p>
  </w:footnote>
  <w:footnote w:id="1">
    <w:p w:rsidR="00CC3F2C" w:rsidRDefault="00CD79AF" w:rsidP="00CC3F2C">
      <w:pPr>
        <w:pStyle w:val="Vresteksts"/>
        <w:jc w:val="both"/>
      </w:pPr>
      <w:r>
        <w:rPr>
          <w:rStyle w:val="Vresatsauce"/>
        </w:rPr>
        <w:footnoteRef/>
      </w:r>
      <w:r>
        <w:t xml:space="preserve"> </w:t>
      </w:r>
      <w:r w:rsidR="00CC3F2C" w:rsidRPr="00CC3F2C">
        <w:rPr>
          <w:color w:val="000000"/>
          <w:lang w:val="lv-LV"/>
        </w:rPr>
        <w:t xml:space="preserve">EIROPAS PARLAMENTA UN PADOMES REGULA 2018.gada 18.jūnija (ES, </w:t>
      </w:r>
      <w:proofErr w:type="spellStart"/>
      <w:r w:rsidR="00CC3F2C" w:rsidRPr="00CC3F2C">
        <w:rPr>
          <w:color w:val="000000"/>
          <w:lang w:val="lv-LV"/>
        </w:rPr>
        <w:t>Euratom</w:t>
      </w:r>
      <w:proofErr w:type="spellEnd"/>
      <w:r w:rsidR="00CC3F2C" w:rsidRPr="00CC3F2C">
        <w:rPr>
          <w:color w:val="000000"/>
          <w:lang w:val="lv-LV"/>
        </w:rPr>
        <w:t xml:space="preserve">) 2018/1046 par finanšu noteikumiem, ko piemēro Savienības vispārējam budžetam, ar kuru groza Regulas (ES) Nr.1296/2013, (ES) Nr.1301/2013, (ES) Nr.1303/2013, (ES) Nr.1304/2013, (ES) Nr.1309/2013, (ES) Nr.1316/2013, (ES) Nr.223/2014, (ES) Nr.283/2014 un Lēmumu Nr.541/2014/ES un atceļ Regulu (ES, </w:t>
      </w:r>
      <w:proofErr w:type="spellStart"/>
      <w:r w:rsidR="00CC3F2C" w:rsidRPr="00CC3F2C">
        <w:rPr>
          <w:color w:val="000000"/>
          <w:lang w:val="lv-LV"/>
        </w:rPr>
        <w:t>Euratom</w:t>
      </w:r>
      <w:proofErr w:type="spellEnd"/>
      <w:r w:rsidR="00CC3F2C" w:rsidRPr="00CC3F2C">
        <w:rPr>
          <w:color w:val="000000"/>
          <w:lang w:val="lv-LV"/>
        </w:rPr>
        <w:t>) Nr.966/2012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CD79AF" w:rsidRDefault="006A2FCA">
        <w:pPr>
          <w:pStyle w:val="Galvene"/>
          <w:jc w:val="center"/>
        </w:pPr>
        <w:r w:rsidRPr="00196278">
          <w:rPr>
            <w:sz w:val="22"/>
            <w:szCs w:val="22"/>
          </w:rPr>
          <w:fldChar w:fldCharType="begin"/>
        </w:r>
        <w:r w:rsidR="00CD79AF" w:rsidRPr="00196278">
          <w:rPr>
            <w:sz w:val="22"/>
            <w:szCs w:val="22"/>
          </w:rPr>
          <w:instrText xml:space="preserve"> PAGE   \* MERGEFORMAT </w:instrText>
        </w:r>
        <w:r w:rsidRPr="00196278">
          <w:rPr>
            <w:sz w:val="22"/>
            <w:szCs w:val="22"/>
          </w:rPr>
          <w:fldChar w:fldCharType="separate"/>
        </w:r>
        <w:r w:rsidR="00DE2982">
          <w:rPr>
            <w:noProof/>
            <w:sz w:val="22"/>
            <w:szCs w:val="22"/>
          </w:rPr>
          <w:t>9</w:t>
        </w:r>
        <w:r w:rsidRPr="00196278">
          <w:rPr>
            <w:sz w:val="22"/>
            <w:szCs w:val="22"/>
          </w:rPr>
          <w:fldChar w:fldCharType="end"/>
        </w:r>
      </w:p>
    </w:sdtContent>
  </w:sdt>
  <w:p w:rsidR="00CD79AF" w:rsidRDefault="00CD79A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2A85F2B"/>
    <w:multiLevelType w:val="hybridMultilevel"/>
    <w:tmpl w:val="378E94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384D9E"/>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46E51EB"/>
    <w:multiLevelType w:val="hybridMultilevel"/>
    <w:tmpl w:val="6BD66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B202D77"/>
    <w:multiLevelType w:val="hybridMultilevel"/>
    <w:tmpl w:val="ECBEF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0"/>
  </w:num>
  <w:num w:numId="7">
    <w:abstractNumId w:val="1"/>
  </w:num>
  <w:num w:numId="8">
    <w:abstractNumId w:val="2"/>
  </w:num>
  <w:num w:numId="9">
    <w:abstractNumId w:val="13"/>
  </w:num>
  <w:num w:numId="10">
    <w:abstractNumId w:val="0"/>
  </w:num>
  <w:num w:numId="11">
    <w:abstractNumId w:val="14"/>
  </w:num>
  <w:num w:numId="12">
    <w:abstractNumId w:val="4"/>
  </w:num>
  <w:num w:numId="13">
    <w:abstractNumId w:val="8"/>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rsids>
    <w:rsidRoot w:val="00F64DE4"/>
    <w:rsid w:val="00005E79"/>
    <w:rsid w:val="0001528C"/>
    <w:rsid w:val="00024C1D"/>
    <w:rsid w:val="00025346"/>
    <w:rsid w:val="00026030"/>
    <w:rsid w:val="00027058"/>
    <w:rsid w:val="00032061"/>
    <w:rsid w:val="0005107F"/>
    <w:rsid w:val="00055EA4"/>
    <w:rsid w:val="000630D0"/>
    <w:rsid w:val="0007173E"/>
    <w:rsid w:val="00087937"/>
    <w:rsid w:val="00097A72"/>
    <w:rsid w:val="000A1B66"/>
    <w:rsid w:val="000A4D2F"/>
    <w:rsid w:val="000B483A"/>
    <w:rsid w:val="000C7D3F"/>
    <w:rsid w:val="000D049A"/>
    <w:rsid w:val="000D0BDC"/>
    <w:rsid w:val="000D2036"/>
    <w:rsid w:val="000F3D96"/>
    <w:rsid w:val="001047CE"/>
    <w:rsid w:val="001071DC"/>
    <w:rsid w:val="001229CC"/>
    <w:rsid w:val="0012645F"/>
    <w:rsid w:val="001264B1"/>
    <w:rsid w:val="00134AA7"/>
    <w:rsid w:val="00142004"/>
    <w:rsid w:val="00146260"/>
    <w:rsid w:val="00153256"/>
    <w:rsid w:val="00166C41"/>
    <w:rsid w:val="00174AE2"/>
    <w:rsid w:val="00196278"/>
    <w:rsid w:val="00196F55"/>
    <w:rsid w:val="001B1CE0"/>
    <w:rsid w:val="001C36D1"/>
    <w:rsid w:val="001F7F8E"/>
    <w:rsid w:val="00222E72"/>
    <w:rsid w:val="002449E2"/>
    <w:rsid w:val="0024507F"/>
    <w:rsid w:val="002559F7"/>
    <w:rsid w:val="00262C53"/>
    <w:rsid w:val="00265BBA"/>
    <w:rsid w:val="002768BD"/>
    <w:rsid w:val="00283D76"/>
    <w:rsid w:val="0028497B"/>
    <w:rsid w:val="002A1965"/>
    <w:rsid w:val="002C5350"/>
    <w:rsid w:val="002C6678"/>
    <w:rsid w:val="002D690C"/>
    <w:rsid w:val="002D6A77"/>
    <w:rsid w:val="002E176D"/>
    <w:rsid w:val="002E6C19"/>
    <w:rsid w:val="0030186E"/>
    <w:rsid w:val="00303B8A"/>
    <w:rsid w:val="00304342"/>
    <w:rsid w:val="0030686D"/>
    <w:rsid w:val="00311265"/>
    <w:rsid w:val="003161F5"/>
    <w:rsid w:val="00370D54"/>
    <w:rsid w:val="00371DF2"/>
    <w:rsid w:val="00382D4F"/>
    <w:rsid w:val="003951DA"/>
    <w:rsid w:val="00395D63"/>
    <w:rsid w:val="003B293D"/>
    <w:rsid w:val="003C4B8B"/>
    <w:rsid w:val="003D78CD"/>
    <w:rsid w:val="003D7B3A"/>
    <w:rsid w:val="003F5387"/>
    <w:rsid w:val="004169DA"/>
    <w:rsid w:val="00424EE1"/>
    <w:rsid w:val="00443649"/>
    <w:rsid w:val="00453676"/>
    <w:rsid w:val="00464EB2"/>
    <w:rsid w:val="0046692F"/>
    <w:rsid w:val="00477CC2"/>
    <w:rsid w:val="004A058F"/>
    <w:rsid w:val="004B4AB5"/>
    <w:rsid w:val="004D2EB1"/>
    <w:rsid w:val="004E7AF6"/>
    <w:rsid w:val="0050403B"/>
    <w:rsid w:val="00506C49"/>
    <w:rsid w:val="005134D4"/>
    <w:rsid w:val="00514089"/>
    <w:rsid w:val="00520FA9"/>
    <w:rsid w:val="00521BA5"/>
    <w:rsid w:val="00523014"/>
    <w:rsid w:val="00533C68"/>
    <w:rsid w:val="00542CEE"/>
    <w:rsid w:val="00550273"/>
    <w:rsid w:val="00550844"/>
    <w:rsid w:val="00553F03"/>
    <w:rsid w:val="00562E1F"/>
    <w:rsid w:val="00566D88"/>
    <w:rsid w:val="00575829"/>
    <w:rsid w:val="0057658A"/>
    <w:rsid w:val="00581BF8"/>
    <w:rsid w:val="005930E3"/>
    <w:rsid w:val="005A48EC"/>
    <w:rsid w:val="005C3D87"/>
    <w:rsid w:val="005C5B44"/>
    <w:rsid w:val="005D2CC6"/>
    <w:rsid w:val="005D7B08"/>
    <w:rsid w:val="005E44DF"/>
    <w:rsid w:val="00645C4C"/>
    <w:rsid w:val="0064617F"/>
    <w:rsid w:val="00676737"/>
    <w:rsid w:val="006A2194"/>
    <w:rsid w:val="006A2FCA"/>
    <w:rsid w:val="006B231C"/>
    <w:rsid w:val="006C7BD1"/>
    <w:rsid w:val="006E535D"/>
    <w:rsid w:val="006E6AFD"/>
    <w:rsid w:val="006F39B6"/>
    <w:rsid w:val="006F7BC1"/>
    <w:rsid w:val="00704E63"/>
    <w:rsid w:val="00711BEA"/>
    <w:rsid w:val="00720BC3"/>
    <w:rsid w:val="00734AC4"/>
    <w:rsid w:val="00744402"/>
    <w:rsid w:val="007471ED"/>
    <w:rsid w:val="00771A85"/>
    <w:rsid w:val="00776962"/>
    <w:rsid w:val="00785698"/>
    <w:rsid w:val="007A599A"/>
    <w:rsid w:val="007B2B89"/>
    <w:rsid w:val="007D0A21"/>
    <w:rsid w:val="007D11C4"/>
    <w:rsid w:val="007D33CD"/>
    <w:rsid w:val="007E4CFF"/>
    <w:rsid w:val="007F1C3E"/>
    <w:rsid w:val="007F5F9E"/>
    <w:rsid w:val="008040F7"/>
    <w:rsid w:val="0081557B"/>
    <w:rsid w:val="008320CF"/>
    <w:rsid w:val="00854E1E"/>
    <w:rsid w:val="00861CF8"/>
    <w:rsid w:val="008A60D7"/>
    <w:rsid w:val="008C25A2"/>
    <w:rsid w:val="008C673C"/>
    <w:rsid w:val="008D6FEA"/>
    <w:rsid w:val="0090071B"/>
    <w:rsid w:val="009170C7"/>
    <w:rsid w:val="00925A84"/>
    <w:rsid w:val="00940DEB"/>
    <w:rsid w:val="009453B4"/>
    <w:rsid w:val="0095096E"/>
    <w:rsid w:val="00951D3D"/>
    <w:rsid w:val="00952B1A"/>
    <w:rsid w:val="009675E3"/>
    <w:rsid w:val="00980712"/>
    <w:rsid w:val="009840BD"/>
    <w:rsid w:val="00991C1B"/>
    <w:rsid w:val="009A7AEA"/>
    <w:rsid w:val="009C51EE"/>
    <w:rsid w:val="009D07BD"/>
    <w:rsid w:val="009E1C50"/>
    <w:rsid w:val="009E50CF"/>
    <w:rsid w:val="009E6611"/>
    <w:rsid w:val="009F4E88"/>
    <w:rsid w:val="00A006FA"/>
    <w:rsid w:val="00A01B2D"/>
    <w:rsid w:val="00A01FA3"/>
    <w:rsid w:val="00A03239"/>
    <w:rsid w:val="00A12A80"/>
    <w:rsid w:val="00A258F4"/>
    <w:rsid w:val="00A44206"/>
    <w:rsid w:val="00A47B3E"/>
    <w:rsid w:val="00A60C84"/>
    <w:rsid w:val="00A616F9"/>
    <w:rsid w:val="00A64DD9"/>
    <w:rsid w:val="00A64F39"/>
    <w:rsid w:val="00A664E0"/>
    <w:rsid w:val="00A91017"/>
    <w:rsid w:val="00AB0473"/>
    <w:rsid w:val="00AB0573"/>
    <w:rsid w:val="00AC0EE3"/>
    <w:rsid w:val="00AE0DF8"/>
    <w:rsid w:val="00AE45BB"/>
    <w:rsid w:val="00AF5B8A"/>
    <w:rsid w:val="00B05D89"/>
    <w:rsid w:val="00B1626E"/>
    <w:rsid w:val="00B3601D"/>
    <w:rsid w:val="00B5120E"/>
    <w:rsid w:val="00B53181"/>
    <w:rsid w:val="00B5393B"/>
    <w:rsid w:val="00B56D48"/>
    <w:rsid w:val="00B668FA"/>
    <w:rsid w:val="00B6784A"/>
    <w:rsid w:val="00B714C9"/>
    <w:rsid w:val="00B844E2"/>
    <w:rsid w:val="00BA45F5"/>
    <w:rsid w:val="00BA4B01"/>
    <w:rsid w:val="00BB7BBA"/>
    <w:rsid w:val="00BC3144"/>
    <w:rsid w:val="00BD03DC"/>
    <w:rsid w:val="00BD2285"/>
    <w:rsid w:val="00BD2A4B"/>
    <w:rsid w:val="00BF021B"/>
    <w:rsid w:val="00BF6E30"/>
    <w:rsid w:val="00C01E51"/>
    <w:rsid w:val="00C064CA"/>
    <w:rsid w:val="00C22177"/>
    <w:rsid w:val="00C3003E"/>
    <w:rsid w:val="00C34D0A"/>
    <w:rsid w:val="00C426BD"/>
    <w:rsid w:val="00C46689"/>
    <w:rsid w:val="00C725D6"/>
    <w:rsid w:val="00C83B07"/>
    <w:rsid w:val="00C9699F"/>
    <w:rsid w:val="00C97142"/>
    <w:rsid w:val="00CC3F2C"/>
    <w:rsid w:val="00CC779F"/>
    <w:rsid w:val="00CD0ED0"/>
    <w:rsid w:val="00CD79AF"/>
    <w:rsid w:val="00CE074A"/>
    <w:rsid w:val="00CE745B"/>
    <w:rsid w:val="00D02A09"/>
    <w:rsid w:val="00D02BC5"/>
    <w:rsid w:val="00D16F15"/>
    <w:rsid w:val="00D2025E"/>
    <w:rsid w:val="00D379B5"/>
    <w:rsid w:val="00D526EA"/>
    <w:rsid w:val="00D65543"/>
    <w:rsid w:val="00D67295"/>
    <w:rsid w:val="00D71C04"/>
    <w:rsid w:val="00D724E9"/>
    <w:rsid w:val="00D90829"/>
    <w:rsid w:val="00DA49A2"/>
    <w:rsid w:val="00DB46A1"/>
    <w:rsid w:val="00DC56BA"/>
    <w:rsid w:val="00DE0C56"/>
    <w:rsid w:val="00DE2982"/>
    <w:rsid w:val="00DE4669"/>
    <w:rsid w:val="00DF0247"/>
    <w:rsid w:val="00DF169A"/>
    <w:rsid w:val="00E020A0"/>
    <w:rsid w:val="00E12BFD"/>
    <w:rsid w:val="00E45E1A"/>
    <w:rsid w:val="00E556E0"/>
    <w:rsid w:val="00E672D1"/>
    <w:rsid w:val="00E716CB"/>
    <w:rsid w:val="00E90D74"/>
    <w:rsid w:val="00E9321A"/>
    <w:rsid w:val="00EB6BFB"/>
    <w:rsid w:val="00EE5022"/>
    <w:rsid w:val="00EE5F83"/>
    <w:rsid w:val="00EF6829"/>
    <w:rsid w:val="00F02ADE"/>
    <w:rsid w:val="00F07336"/>
    <w:rsid w:val="00F075C0"/>
    <w:rsid w:val="00F10AFD"/>
    <w:rsid w:val="00F240A4"/>
    <w:rsid w:val="00F26C63"/>
    <w:rsid w:val="00F332EC"/>
    <w:rsid w:val="00F344E1"/>
    <w:rsid w:val="00F4453B"/>
    <w:rsid w:val="00F64DE4"/>
    <w:rsid w:val="00F719CD"/>
    <w:rsid w:val="00F75368"/>
    <w:rsid w:val="00F8242F"/>
    <w:rsid w:val="00FA44B6"/>
    <w:rsid w:val="00FB0374"/>
    <w:rsid w:val="00FB2C3F"/>
    <w:rsid w:val="00FC0B12"/>
    <w:rsid w:val="00FE3B53"/>
    <w:rsid w:val="00FE71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nhideWhenUsed/>
    <w:rsid w:val="00F64DE4"/>
    <w:rPr>
      <w:sz w:val="20"/>
      <w:szCs w:val="20"/>
    </w:rPr>
  </w:style>
  <w:style w:type="character" w:customStyle="1" w:styleId="KomentratekstsRakstz">
    <w:name w:val="Komentāra teksts Rakstz."/>
    <w:basedOn w:val="Noklusjumarindkopasfonts"/>
    <w:link w:val="Komentrateksts"/>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
    <w:name w:val="Parasts (tīmeklis)"/>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b/>
      <w:bCs/>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semiHidden/>
    <w:unhideWhenUsed/>
    <w:rsid w:val="00D379B5"/>
    <w:pPr>
      <w:spacing w:after="120"/>
    </w:pPr>
  </w:style>
  <w:style w:type="character" w:customStyle="1" w:styleId="PamattekstsRakstz">
    <w:name w:val="Pamatteksts Rakstz."/>
    <w:basedOn w:val="Noklusjumarindkopasfonts"/>
    <w:link w:val="Pamatteksts"/>
    <w:uiPriority w:val="99"/>
    <w:semiHidden/>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
    <w:link w:val="Sarakstarindkopa"/>
    <w:uiPriority w:val="34"/>
    <w:rsid w:val="000D049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6/1080/oj/?locale=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eli/reg/2013/1301/oj/?locale=L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tija.Sniedze@km.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lex.europa.eu/eli/reg/2006/1080/oj/?locale=LV" TargetMode="External"/><Relationship Id="rId4" Type="http://schemas.openxmlformats.org/officeDocument/2006/relationships/webSettings" Target="webSettings.xml"/><Relationship Id="rId9" Type="http://schemas.openxmlformats.org/officeDocument/2006/relationships/hyperlink" Target="http://eur-lex.europa.eu/eli/reg/2013/1301/oj/?locale=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9222</Words>
  <Characters>5257</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projektu„Grozījumi Ministru kabineta 2016.gada 29.marta noteikumos Nr.188 „Darbības programmas „Izaugsme un nodarbinātība” 5.6.1.specifiskā atbalsta mērķa „Veicināt Rīgas pilsētas revitalizāciju, nodrošinot teritorijas efektīvu sociālekonomisko izmantošanu” īstenošanas noteikumi”” un sākotnējās ietekmes novērtējuma ziņojumu (anotāciju) </dc:title>
  <dc:subject>Izziņa</dc:subject>
  <dc:creator>Kitija Sniedze</dc:creator>
  <cp:keywords>KMIzz_290319_561SAM</cp:keywords>
  <dc:description>Tālr. 67330234
Kitija.Sniedze@km.gov.lv</dc:description>
  <cp:lastModifiedBy>Dzintra Rozīte</cp:lastModifiedBy>
  <cp:revision>4</cp:revision>
  <cp:lastPrinted>2018-03-05T07:30:00Z</cp:lastPrinted>
  <dcterms:created xsi:type="dcterms:W3CDTF">2019-03-29T14:10:00Z</dcterms:created>
  <dcterms:modified xsi:type="dcterms:W3CDTF">2019-04-05T07:12:00Z</dcterms:modified>
</cp:coreProperties>
</file>