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97D2" w14:textId="77777777" w:rsidR="00AF6C98" w:rsidRPr="00AF6C98" w:rsidRDefault="00AF6C98" w:rsidP="00AF6C98">
      <w:pPr>
        <w:widowControl w:val="0"/>
        <w:tabs>
          <w:tab w:val="left" w:pos="7513"/>
        </w:tabs>
        <w:spacing w:after="200" w:line="276" w:lineRule="auto"/>
        <w:jc w:val="center"/>
        <w:rPr>
          <w:rFonts w:ascii="Times New Roman" w:eastAsia="Times New Roman" w:hAnsi="Times New Roman" w:cs="Times New Roman"/>
          <w:b/>
          <w:sz w:val="24"/>
          <w:szCs w:val="24"/>
          <w:lang w:eastAsia="lv-LV"/>
        </w:rPr>
      </w:pPr>
      <w:bookmarkStart w:id="0" w:name="_GoBack"/>
      <w:bookmarkEnd w:id="0"/>
      <w:r w:rsidRPr="00AF6C98">
        <w:rPr>
          <w:rFonts w:ascii="Times New Roman" w:eastAsia="Times New Roman" w:hAnsi="Times New Roman" w:cs="Times New Roman"/>
          <w:b/>
          <w:sz w:val="24"/>
          <w:szCs w:val="24"/>
          <w:lang w:eastAsia="lv-LV"/>
        </w:rPr>
        <w:t>Ministru kabineta noteikumu projekta „</w:t>
      </w:r>
      <w:r w:rsidRPr="00AF6C98">
        <w:rPr>
          <w:rFonts w:ascii="Times New Roman" w:eastAsia="Times New Roman" w:hAnsi="Times New Roman" w:cs="Times New Roman"/>
          <w:b/>
          <w:iCs/>
          <w:sz w:val="24"/>
          <w:szCs w:val="24"/>
          <w:lang w:eastAsia="lv-LV"/>
        </w:rPr>
        <w:t xml:space="preserve">Grozījums </w:t>
      </w:r>
      <w:r w:rsidRPr="00AF6C98">
        <w:rPr>
          <w:rFonts w:ascii="Times New Roman" w:eastAsia="Calibri" w:hAnsi="Times New Roman" w:cs="Times New Roman"/>
          <w:b/>
          <w:sz w:val="24"/>
          <w:szCs w:val="24"/>
          <w:lang w:val="en-US"/>
        </w:rPr>
        <w:t>Ministru kabineta 2006. gada 28. marta noteikumos Nr.236 “Noteikumi par vilces līdzekļa vadītāja (mašīnista) instruktora un vilces līdzekļa vadītāja (mašīnista) palīga kvalifikācijas prasībām un sertifikācijas kārtību.”</w:t>
      </w:r>
      <w:r w:rsidRPr="00AF6C98">
        <w:rPr>
          <w:rFonts w:ascii="Times New Roman" w:eastAsia="Times New Roman" w:hAnsi="Times New Roman" w:cs="Times New Roman"/>
          <w:b/>
          <w:iCs/>
          <w:sz w:val="24"/>
          <w:szCs w:val="24"/>
          <w:lang w:eastAsia="lv-LV"/>
        </w:rPr>
        <w:t xml:space="preserve">” </w:t>
      </w:r>
      <w:r w:rsidRPr="00AF6C98">
        <w:rPr>
          <w:rFonts w:ascii="Times New Roman" w:eastAsia="Times New Roman" w:hAnsi="Times New Roman" w:cs="Times New Roman"/>
          <w:b/>
          <w:sz w:val="24"/>
          <w:szCs w:val="24"/>
          <w:lang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AF6C98" w:rsidRPr="00AF6C98" w14:paraId="00464C5F" w14:textId="77777777" w:rsidTr="00225429">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C3691" w14:textId="77777777" w:rsidR="00AF6C98" w:rsidRPr="00AF6C98" w:rsidRDefault="00AF6C98" w:rsidP="00AF6C98">
            <w:pPr>
              <w:widowControl w:val="0"/>
              <w:spacing w:after="200" w:line="276" w:lineRule="auto"/>
              <w:jc w:val="center"/>
              <w:rPr>
                <w:rFonts w:ascii="Times New Roman" w:eastAsia="Times New Roman" w:hAnsi="Times New Roman" w:cs="Times New Roman"/>
                <w:b/>
                <w:iCs/>
                <w:sz w:val="24"/>
                <w:szCs w:val="24"/>
              </w:rPr>
            </w:pPr>
            <w:r w:rsidRPr="00AF6C98">
              <w:rPr>
                <w:rFonts w:ascii="Times New Roman" w:eastAsia="Calibri" w:hAnsi="Times New Roman" w:cs="Times New Roman"/>
                <w:b/>
                <w:iCs/>
                <w:sz w:val="24"/>
                <w:szCs w:val="24"/>
              </w:rPr>
              <w:t>Tiesību akta projekta anotācijas kopsavilkums</w:t>
            </w:r>
          </w:p>
        </w:tc>
      </w:tr>
      <w:tr w:rsidR="00AF6C98" w:rsidRPr="00AF6C98" w14:paraId="4BC93EF0" w14:textId="77777777" w:rsidTr="00225429">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23EC7702" w14:textId="77777777" w:rsidR="00AF6C98" w:rsidRPr="00AF6C98" w:rsidRDefault="00AF6C98" w:rsidP="00AF6C98">
            <w:pPr>
              <w:widowControl w:val="0"/>
              <w:spacing w:after="200" w:line="276" w:lineRule="auto"/>
              <w:rPr>
                <w:rFonts w:ascii="Times New Roman" w:eastAsia="Calibri" w:hAnsi="Times New Roman" w:cs="Times New Roman"/>
                <w:iCs/>
                <w:sz w:val="24"/>
                <w:szCs w:val="24"/>
              </w:rPr>
            </w:pPr>
            <w:r w:rsidRPr="00AF6C98">
              <w:rPr>
                <w:rFonts w:ascii="Times New Roman" w:eastAsia="Calibri" w:hAnsi="Times New Roman" w:cs="Times New Roman"/>
                <w:iCs/>
                <w:sz w:val="24"/>
                <w:szCs w:val="24"/>
              </w:rPr>
              <w:t xml:space="preserve">Mērķis, risinājums un projekta spēkā stāšanās laiks </w:t>
            </w:r>
            <w:r w:rsidRPr="00AF6C98">
              <w:rPr>
                <w:rFonts w:ascii="Times New Roman" w:eastAsia="Times New Roman" w:hAnsi="Times New Roman" w:cs="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419E5ECC" w14:textId="77777777" w:rsidR="00AF6C98" w:rsidRPr="00AF6C98" w:rsidRDefault="00AF6C98" w:rsidP="00AF6C98">
            <w:pPr>
              <w:spacing w:after="0" w:line="240" w:lineRule="auto"/>
              <w:ind w:right="57"/>
              <w:jc w:val="both"/>
              <w:rPr>
                <w:rFonts w:ascii="Times New Roman" w:eastAsia="Calibri" w:hAnsi="Times New Roman" w:cs="Times New Roman"/>
                <w:sz w:val="24"/>
                <w:szCs w:val="24"/>
              </w:rPr>
            </w:pPr>
            <w:bookmarkStart w:id="1" w:name="_Hlk512244612"/>
            <w:r w:rsidRPr="00AF6C98">
              <w:rPr>
                <w:rFonts w:ascii="Times New Roman" w:eastAsia="Calibri" w:hAnsi="Times New Roman" w:cs="Times New Roman"/>
                <w:sz w:val="24"/>
                <w:szCs w:val="24"/>
              </w:rPr>
              <w:t>Saskaņā ar Ministru kabineta 2009. gada 15. decembra instrukcijas Nr. 19 “Tiesību akta projekta sākotnējās ietekmes izvērtēšanas kārtība” 5.</w:t>
            </w:r>
            <w:r w:rsidRPr="00AF6C98">
              <w:rPr>
                <w:rFonts w:ascii="Times New Roman" w:eastAsia="Calibri" w:hAnsi="Times New Roman" w:cs="Times New Roman"/>
                <w:sz w:val="24"/>
                <w:szCs w:val="24"/>
                <w:vertAlign w:val="superscript"/>
              </w:rPr>
              <w:t>1</w:t>
            </w:r>
            <w:r w:rsidRPr="00AF6C98">
              <w:rPr>
                <w:rFonts w:ascii="Times New Roman" w:eastAsia="Calibri" w:hAnsi="Times New Roman" w:cs="Times New Roman"/>
                <w:sz w:val="24"/>
                <w:szCs w:val="24"/>
              </w:rPr>
              <w:t xml:space="preserve"> punktu netiek aizpildīts.</w:t>
            </w:r>
          </w:p>
          <w:p w14:paraId="73A77C8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shd w:val="clear" w:color="auto" w:fill="FFFFFF"/>
                <w:lang w:eastAsia="lv-LV"/>
              </w:rPr>
            </w:pPr>
          </w:p>
          <w:bookmarkEnd w:id="1"/>
          <w:p w14:paraId="7B60CDEF" w14:textId="77777777" w:rsidR="00AF6C98" w:rsidRPr="00AF6C98" w:rsidRDefault="00AF6C98" w:rsidP="00AF6C98">
            <w:pPr>
              <w:spacing w:after="0" w:line="240" w:lineRule="auto"/>
              <w:ind w:right="57"/>
              <w:jc w:val="both"/>
              <w:rPr>
                <w:rFonts w:ascii="Times New Roman" w:eastAsia="Calibri" w:hAnsi="Times New Roman" w:cs="Times New Roman"/>
                <w:sz w:val="24"/>
                <w:szCs w:val="24"/>
              </w:rPr>
            </w:pPr>
          </w:p>
        </w:tc>
      </w:tr>
    </w:tbl>
    <w:p w14:paraId="0280536F" w14:textId="77777777" w:rsidR="00AF6C98" w:rsidRPr="00AF6C98" w:rsidRDefault="00AF6C98" w:rsidP="00AF6C98">
      <w:pPr>
        <w:spacing w:after="0" w:line="240" w:lineRule="auto"/>
        <w:jc w:val="right"/>
        <w:rPr>
          <w:rFonts w:ascii="Times New Roman" w:eastAsia="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12"/>
      </w:tblGrid>
      <w:tr w:rsidR="00AF6C98" w:rsidRPr="00AF6C98" w14:paraId="70DE319E" w14:textId="77777777" w:rsidTr="00225429">
        <w:trPr>
          <w:trHeight w:val="419"/>
        </w:trPr>
        <w:tc>
          <w:tcPr>
            <w:tcW w:w="9351" w:type="dxa"/>
            <w:gridSpan w:val="3"/>
          </w:tcPr>
          <w:p w14:paraId="100D7F6D" w14:textId="77777777" w:rsidR="00AF6C98" w:rsidRPr="00AF6C98" w:rsidRDefault="00AF6C98" w:rsidP="00AF6C98">
            <w:pPr>
              <w:spacing w:after="0" w:line="240" w:lineRule="auto"/>
              <w:ind w:left="57" w:right="57"/>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b/>
                <w:sz w:val="24"/>
                <w:szCs w:val="24"/>
                <w:lang w:eastAsia="lv-LV"/>
              </w:rPr>
              <w:t>I. Tiesību akta projekta izstrādes nepieciešamība</w:t>
            </w:r>
          </w:p>
        </w:tc>
      </w:tr>
      <w:tr w:rsidR="00AF6C98" w:rsidRPr="00AF6C98" w14:paraId="4A9AC8A8" w14:textId="77777777" w:rsidTr="00225429">
        <w:trPr>
          <w:trHeight w:val="415"/>
        </w:trPr>
        <w:tc>
          <w:tcPr>
            <w:tcW w:w="591" w:type="dxa"/>
          </w:tcPr>
          <w:p w14:paraId="1722740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1.</w:t>
            </w:r>
          </w:p>
        </w:tc>
        <w:tc>
          <w:tcPr>
            <w:tcW w:w="2948" w:type="dxa"/>
          </w:tcPr>
          <w:p w14:paraId="1FC9431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Pamatojums</w:t>
            </w:r>
          </w:p>
        </w:tc>
        <w:tc>
          <w:tcPr>
            <w:tcW w:w="5812" w:type="dxa"/>
          </w:tcPr>
          <w:p w14:paraId="071EFB49" w14:textId="77777777" w:rsidR="00AF6C98" w:rsidRPr="00AF6C98" w:rsidRDefault="00AF6C98" w:rsidP="00AF6C98">
            <w:pPr>
              <w:spacing w:after="0" w:line="240" w:lineRule="auto"/>
              <w:ind w:left="57" w:right="57"/>
              <w:jc w:val="both"/>
              <w:rPr>
                <w:rFonts w:ascii="Times New Roman" w:eastAsia="Calibri" w:hAnsi="Times New Roman" w:cs="Times New Roman"/>
                <w:iCs/>
                <w:sz w:val="24"/>
                <w:szCs w:val="24"/>
                <w:lang w:val="en-US"/>
              </w:rPr>
            </w:pPr>
            <w:r w:rsidRPr="00AF6C98">
              <w:rPr>
                <w:rFonts w:ascii="Times New Roman" w:eastAsia="Calibri" w:hAnsi="Times New Roman" w:cs="Times New Roman"/>
                <w:iCs/>
                <w:sz w:val="24"/>
                <w:szCs w:val="24"/>
                <w:lang w:val="en-US"/>
              </w:rPr>
              <w:t xml:space="preserve">Ministru kabineta 2018. gada 6. marta sēdes protokollēmuma (prot. Nr.14, </w:t>
            </w:r>
            <w:r w:rsidRPr="00AF6C98">
              <w:rPr>
                <w:rFonts w:ascii="Calibri" w:eastAsia="Calibri" w:hAnsi="Calibri" w:cs="Times New Roman"/>
                <w:sz w:val="24"/>
                <w:szCs w:val="24"/>
                <w:lang w:val="en-US"/>
              </w:rPr>
              <w:t>40.§)</w:t>
            </w:r>
            <w:r w:rsidRPr="00AF6C98">
              <w:rPr>
                <w:rFonts w:ascii="Times New Roman" w:eastAsia="Calibri" w:hAnsi="Times New Roman" w:cs="Times New Roman"/>
                <w:iCs/>
                <w:sz w:val="24"/>
                <w:szCs w:val="24"/>
                <w:lang w:val="en-US"/>
              </w:rPr>
              <w:t xml:space="preserve"> 3. punkts.</w:t>
            </w:r>
          </w:p>
        </w:tc>
      </w:tr>
      <w:tr w:rsidR="00AF6C98" w:rsidRPr="00AF6C98" w14:paraId="3F3CDCEF" w14:textId="77777777" w:rsidTr="00225429">
        <w:trPr>
          <w:trHeight w:val="472"/>
        </w:trPr>
        <w:tc>
          <w:tcPr>
            <w:tcW w:w="591" w:type="dxa"/>
          </w:tcPr>
          <w:p w14:paraId="2F10A42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rPr>
            </w:pPr>
            <w:r w:rsidRPr="00AF6C98">
              <w:rPr>
                <w:rFonts w:ascii="Times New Roman" w:eastAsia="Times New Roman" w:hAnsi="Times New Roman" w:cs="Times New Roman"/>
                <w:sz w:val="24"/>
                <w:szCs w:val="24"/>
              </w:rPr>
              <w:t>2.</w:t>
            </w:r>
          </w:p>
        </w:tc>
        <w:tc>
          <w:tcPr>
            <w:tcW w:w="2948" w:type="dxa"/>
          </w:tcPr>
          <w:p w14:paraId="2C76652E" w14:textId="77777777" w:rsidR="00AF6C98" w:rsidRPr="00AF6C98" w:rsidRDefault="00AF6C98" w:rsidP="00AF6C98">
            <w:pPr>
              <w:tabs>
                <w:tab w:val="left" w:pos="170"/>
              </w:tabs>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55145699"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084B10F7"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42D67DFD"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39AC3DD5"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FCCF5F0"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503BEB3"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4BB78995"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5B25E794"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5831F96C"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03A8A37" w14:textId="77777777" w:rsidR="00AF6C98" w:rsidRPr="00AF6C98" w:rsidRDefault="00AF6C98" w:rsidP="00AF6C98">
            <w:pPr>
              <w:widowControl w:val="0"/>
              <w:spacing w:after="200" w:line="276" w:lineRule="auto"/>
              <w:jc w:val="center"/>
              <w:rPr>
                <w:rFonts w:ascii="Times New Roman" w:eastAsia="Times New Roman" w:hAnsi="Times New Roman" w:cs="Times New Roman"/>
                <w:sz w:val="24"/>
                <w:szCs w:val="24"/>
              </w:rPr>
            </w:pPr>
          </w:p>
          <w:p w14:paraId="30D51BA0" w14:textId="77777777" w:rsidR="00AF6C98" w:rsidRPr="00AF6C98" w:rsidRDefault="00AF6C98" w:rsidP="00AF6C98">
            <w:pPr>
              <w:widowControl w:val="0"/>
              <w:spacing w:after="200" w:line="276" w:lineRule="auto"/>
              <w:jc w:val="center"/>
              <w:rPr>
                <w:rFonts w:ascii="Times New Roman" w:eastAsia="Times New Roman" w:hAnsi="Times New Roman" w:cs="Times New Roman"/>
                <w:sz w:val="24"/>
                <w:szCs w:val="24"/>
              </w:rPr>
            </w:pPr>
          </w:p>
          <w:p w14:paraId="7A919313" w14:textId="77777777" w:rsidR="00AF6C98" w:rsidRPr="00AF6C98" w:rsidRDefault="00AF6C98" w:rsidP="00AF6C98">
            <w:pPr>
              <w:widowControl w:val="0"/>
              <w:tabs>
                <w:tab w:val="left" w:pos="1005"/>
              </w:tabs>
              <w:spacing w:after="200" w:line="276" w:lineRule="auto"/>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ab/>
            </w:r>
          </w:p>
        </w:tc>
        <w:tc>
          <w:tcPr>
            <w:tcW w:w="5812" w:type="dxa"/>
          </w:tcPr>
          <w:p w14:paraId="3DC44AD2" w14:textId="5043660A" w:rsidR="00AF6C98" w:rsidRPr="00AF6C98" w:rsidRDefault="00AF6C98" w:rsidP="00AF6C98">
            <w:pPr>
              <w:shd w:val="clear" w:color="auto" w:fill="FFFFFF"/>
              <w:spacing w:after="0" w:line="240" w:lineRule="auto"/>
              <w:ind w:left="142"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Ministru kabineta noteikumu projekts „Grozījums Ministru kabineta 2006. gada 28. marta noteikumos Nr.236 “Noteikumi par vilces līdzekļa vadītāja (mašīnista) instruktora un vilces līdzekļa vadītāja (mašīnista) palīga kvalifikācijas prasībām un sertifikācijas kārtību”” (turpmāk - noteikumu projekts) izstrādāts, lai izpildītu Ministru kabineta 2018. gada 6. marta sēdes protokollēmuma (prot. Nr.14, 40.§) 3. 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14:paraId="2E772B23" w14:textId="44AE8046" w:rsidR="00AF6C98" w:rsidRPr="00AF6C98" w:rsidRDefault="00AF6C98" w:rsidP="00AF6C98">
            <w:pPr>
              <w:shd w:val="clear" w:color="auto" w:fill="FFFFFF"/>
              <w:spacing w:after="0" w:line="240" w:lineRule="auto"/>
              <w:ind w:left="142"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 xml:space="preserve">2016. gada 27. 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 gada 21. jūnijā ir pieņemts Fizisko personu datu apstrādes likums, kas stājās spēkā 2018.gada 5. jūlijā. </w:t>
            </w:r>
          </w:p>
          <w:p w14:paraId="2CBEB72E" w14:textId="0550AA88" w:rsidR="00AF6C98" w:rsidRPr="00AF6C98" w:rsidRDefault="00AF6C98" w:rsidP="00AF6C98">
            <w:pPr>
              <w:shd w:val="clear" w:color="auto" w:fill="FFFFFF"/>
              <w:spacing w:after="0" w:line="240" w:lineRule="auto"/>
              <w:ind w:left="143"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Noteikumu projekts izstrādāts, lai nodrošinātu Ministru kabineta 2006. gada 28. marta noteikumu Nr.236 “Noteikumi par vilces līdzekļa vadītāja (mašīnista) instruktora un vilces līdzekļa vadītāja (mašīnista) palīga kvalifikācijas prasībām un sertifikācijas kārtību” (turpmāk - noteikumi Nr.236) atbilstību  Fizisko personu</w:t>
            </w:r>
            <w:r w:rsidR="00F7777B">
              <w:rPr>
                <w:rFonts w:ascii="Times New Roman" w:eastAsia="Times New Roman" w:hAnsi="Times New Roman" w:cs="Times New Roman"/>
                <w:sz w:val="24"/>
                <w:szCs w:val="24"/>
                <w:lang w:eastAsia="lv-LV"/>
              </w:rPr>
              <w:t xml:space="preserve"> </w:t>
            </w:r>
            <w:r w:rsidRPr="00AF6C98">
              <w:rPr>
                <w:rFonts w:ascii="Times New Roman" w:eastAsia="Times New Roman" w:hAnsi="Times New Roman" w:cs="Times New Roman"/>
                <w:sz w:val="24"/>
                <w:szCs w:val="24"/>
                <w:lang w:eastAsia="lv-LV"/>
              </w:rPr>
              <w:lastRenderedPageBreak/>
              <w:t>datu apstrādes likuma un Regulas Nr.(ES)2016/679 prasībām.</w:t>
            </w:r>
          </w:p>
          <w:p w14:paraId="2B8634E8" w14:textId="77777777" w:rsidR="00AF6C98" w:rsidRPr="00301072" w:rsidRDefault="00AF6C98" w:rsidP="00AF6C98">
            <w:pPr>
              <w:widowControl w:val="0"/>
              <w:spacing w:after="200" w:line="256" w:lineRule="auto"/>
              <w:jc w:val="both"/>
              <w:rPr>
                <w:rFonts w:ascii="Times New Roman" w:eastAsia="Calibri" w:hAnsi="Times New Roman" w:cs="Times New Roman"/>
                <w:sz w:val="24"/>
                <w:szCs w:val="24"/>
              </w:rPr>
            </w:pPr>
            <w:r w:rsidRPr="00301072">
              <w:rPr>
                <w:rFonts w:ascii="Times New Roman" w:eastAsia="Calibri" w:hAnsi="Times New Roman" w:cs="Times New Roman"/>
                <w:sz w:val="24"/>
                <w:szCs w:val="24"/>
              </w:rPr>
              <w:t xml:space="preserve">Noteikumu Nr.236 7. pielikumā ietverts iesnieguma paraugs profesionālās kompetences sertifikāta saņemšanai vai tā derīguma termiņa pagarināšanai. Lai novērstu Regulas Nr.(ES) 2016/679 pārkāpumus, kas izriet no pārmērīgas informācijas  pieprasīšanas un izslēgtu klientu iespējamās pretenzijas par personas datu prettiesisku pieprasīšanu, noteikumu Nr.236 7. pielikums zem teksta “nosūtīt pēc norādītās adreses” tiks papildināts ar jaunu rindkopu: “Esmu informēts, ka Valsts Dzelzceļa tehniskā inspekcija apstrādās manus datus, kas nepieciešami vilces līdzekļa vadītāja (mašīnista) instruktora vai vilces līdzekļa vadītāja (mašīnista) palīga kompetences sertifikāta un apliecības izdošanai, un šos datus reģistrē sertificēto Dzelzceļa speciālistu uzskaites sistēmā, lai nodrošinātu uzskaites sistēmas kārtošanu, ievērojot normatīvo aktu prasības, kas reglamentē fizisko personu datu aizsardzību”. </w:t>
            </w:r>
          </w:p>
          <w:p w14:paraId="56A86FE9" w14:textId="77777777"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proofErr w:type="spellStart"/>
            <w:r w:rsidRPr="00AF6C98">
              <w:rPr>
                <w:rFonts w:ascii="Times New Roman" w:eastAsia="Calibri" w:hAnsi="Times New Roman" w:cs="Times New Roman"/>
                <w:sz w:val="24"/>
                <w:szCs w:val="24"/>
                <w:lang w:val="en-US"/>
              </w:rPr>
              <w:t>Regulas</w:t>
            </w:r>
            <w:proofErr w:type="spellEnd"/>
            <w:r w:rsidRPr="00AF6C98">
              <w:rPr>
                <w:rFonts w:ascii="Times New Roman" w:eastAsia="Calibri" w:hAnsi="Times New Roman" w:cs="Times New Roman"/>
                <w:sz w:val="24"/>
                <w:szCs w:val="24"/>
                <w:lang w:val="en-US"/>
              </w:rPr>
              <w:t xml:space="preserve"> </w:t>
            </w:r>
            <w:proofErr w:type="gramStart"/>
            <w:r w:rsidRPr="00AF6C98">
              <w:rPr>
                <w:rFonts w:ascii="Times New Roman" w:eastAsia="Calibri" w:hAnsi="Times New Roman" w:cs="Times New Roman"/>
                <w:sz w:val="24"/>
                <w:szCs w:val="24"/>
                <w:lang w:val="en-US"/>
              </w:rPr>
              <w:t>Nr.(</w:t>
            </w:r>
            <w:proofErr w:type="gramEnd"/>
            <w:r w:rsidRPr="00AF6C98">
              <w:rPr>
                <w:rFonts w:ascii="Times New Roman" w:eastAsia="Calibri" w:hAnsi="Times New Roman" w:cs="Times New Roman"/>
                <w:sz w:val="24"/>
                <w:szCs w:val="24"/>
                <w:lang w:val="en-US"/>
              </w:rPr>
              <w:t xml:space="preserve">ES)2016/679 5. pants nosaka personas datu apstrādes galvenos principus un viens no tiem ir datu minimizēšana. Regulas Nr.(ES)2016/679  5. panta 1. punkta c) apakšpunkts uzliek par pienākumu Pārzinim apstrādāt tikai tos personas datus, kas Pārzinim reāli un pamatoti ir nepieciešami katram konkrētam datu apstrādes nolūkam. </w:t>
            </w:r>
          </w:p>
          <w:p w14:paraId="16DA305D" w14:textId="23276466"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Jāņem vērā Regulas Nr.(ES)2016/679 6. panta 1. punkta  d) apakšpunkts, kas no</w:t>
            </w:r>
            <w:r w:rsidR="00F7777B">
              <w:rPr>
                <w:rFonts w:ascii="Times New Roman" w:eastAsia="Calibri" w:hAnsi="Times New Roman" w:cs="Times New Roman"/>
                <w:sz w:val="24"/>
                <w:szCs w:val="24"/>
                <w:lang w:val="en-US"/>
              </w:rPr>
              <w:t>teic</w:t>
            </w:r>
            <w:r w:rsidRPr="00AF6C98">
              <w:rPr>
                <w:rFonts w:ascii="Times New Roman" w:eastAsia="Calibri" w:hAnsi="Times New Roman" w:cs="Times New Roman"/>
                <w:sz w:val="24"/>
                <w:szCs w:val="24"/>
                <w:lang w:val="en-US"/>
              </w:rPr>
              <w:t xml:space="preserve">, ka Pārzinim ir tiesības apstrādāt personas datus, ja viņam šāda apstrāde ir nepieciešama, lai aizsargātu datu subjekta vai citas fiziskas personas vitālās intereses. Tādēļ noteikumu Nr. 236 1., 3., 4., 6. un 7. pielikumā personas </w:t>
            </w:r>
            <w:proofErr w:type="spellStart"/>
            <w:r w:rsidRPr="00AF6C98">
              <w:rPr>
                <w:rFonts w:ascii="Times New Roman" w:eastAsia="Calibri" w:hAnsi="Times New Roman" w:cs="Times New Roman"/>
                <w:sz w:val="24"/>
                <w:szCs w:val="24"/>
                <w:lang w:val="en-US"/>
              </w:rPr>
              <w:t>identifikācija</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ar</w:t>
            </w:r>
            <w:proofErr w:type="spellEnd"/>
            <w:r w:rsidRPr="00AF6C98">
              <w:rPr>
                <w:rFonts w:ascii="Times New Roman" w:eastAsia="Calibri" w:hAnsi="Times New Roman" w:cs="Times New Roman"/>
                <w:sz w:val="24"/>
                <w:szCs w:val="24"/>
                <w:lang w:val="en-US"/>
              </w:rPr>
              <w:t xml:space="preserve"> personas </w:t>
            </w:r>
            <w:proofErr w:type="spellStart"/>
            <w:r w:rsidRPr="00AF6C98">
              <w:rPr>
                <w:rFonts w:ascii="Times New Roman" w:eastAsia="Calibri" w:hAnsi="Times New Roman" w:cs="Times New Roman"/>
                <w:sz w:val="24"/>
                <w:szCs w:val="24"/>
                <w:lang w:val="en-US"/>
              </w:rPr>
              <w:t>kodu</w:t>
            </w:r>
            <w:proofErr w:type="spellEnd"/>
            <w:r w:rsidRPr="00AF6C98">
              <w:rPr>
                <w:rFonts w:ascii="Times New Roman" w:eastAsia="Calibri" w:hAnsi="Times New Roman" w:cs="Times New Roman"/>
                <w:sz w:val="24"/>
                <w:szCs w:val="24"/>
                <w:lang w:val="en-US"/>
              </w:rPr>
              <w:t xml:space="preserve"> </w:t>
            </w:r>
            <w:proofErr w:type="spellStart"/>
            <w:r w:rsidR="00301072">
              <w:rPr>
                <w:rFonts w:ascii="Times New Roman" w:eastAsia="Calibri" w:hAnsi="Times New Roman" w:cs="Times New Roman"/>
                <w:sz w:val="24"/>
                <w:szCs w:val="24"/>
                <w:lang w:val="en-US"/>
              </w:rPr>
              <w:t>tiek</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saglabā</w:t>
            </w:r>
            <w:r w:rsidR="00301072">
              <w:rPr>
                <w:rFonts w:ascii="Times New Roman" w:eastAsia="Calibri" w:hAnsi="Times New Roman" w:cs="Times New Roman"/>
                <w:sz w:val="24"/>
                <w:szCs w:val="24"/>
                <w:lang w:val="en-US"/>
              </w:rPr>
              <w:t>t</w:t>
            </w:r>
            <w:r w:rsidRPr="00AF6C98">
              <w:rPr>
                <w:rFonts w:ascii="Times New Roman" w:eastAsia="Calibri" w:hAnsi="Times New Roman" w:cs="Times New Roman"/>
                <w:sz w:val="24"/>
                <w:szCs w:val="24"/>
                <w:lang w:val="en-US"/>
              </w:rPr>
              <w:t>a</w:t>
            </w:r>
            <w:proofErr w:type="spellEnd"/>
            <w:r w:rsidRPr="00AF6C98">
              <w:rPr>
                <w:rFonts w:ascii="Times New Roman" w:eastAsia="Calibri" w:hAnsi="Times New Roman" w:cs="Times New Roman"/>
                <w:sz w:val="24"/>
                <w:szCs w:val="24"/>
                <w:lang w:val="en-US"/>
              </w:rPr>
              <w:t xml:space="preserve">.  </w:t>
            </w:r>
          </w:p>
          <w:p w14:paraId="4B7E16C8" w14:textId="394362BD"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 xml:space="preserve">Dzelzceļa nozares speciālisti veic īpaši atbildīgu un bīstamu darbu saistībā ar dzelzceļa kustības un drošības nodrošināšanu. Ne tikai Pārzinim, bet arī Pārzini </w:t>
            </w:r>
            <w:proofErr w:type="spellStart"/>
            <w:r w:rsidRPr="00AF6C98">
              <w:rPr>
                <w:rFonts w:ascii="Times New Roman" w:eastAsia="Calibri" w:hAnsi="Times New Roman" w:cs="Times New Roman"/>
                <w:sz w:val="24"/>
                <w:szCs w:val="24"/>
                <w:lang w:val="en-US"/>
              </w:rPr>
              <w:t>uzraugošajām</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valsts</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institūcijām</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jāspēj</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salīdzinoši</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ātri</w:t>
            </w:r>
            <w:proofErr w:type="spellEnd"/>
            <w:r w:rsidRPr="00AF6C98">
              <w:rPr>
                <w:rFonts w:ascii="Times New Roman" w:eastAsia="Calibri" w:hAnsi="Times New Roman" w:cs="Times New Roman"/>
                <w:sz w:val="24"/>
                <w:szCs w:val="24"/>
                <w:lang w:val="en-US"/>
              </w:rPr>
              <w:t xml:space="preserve"> un viegli pārliecināties par konkrētā dzelzceļa speciālista atbilstību ieņemamajam amatam un kvalifikācijai un </w:t>
            </w:r>
            <w:proofErr w:type="spellStart"/>
            <w:r w:rsidRPr="00AF6C98">
              <w:rPr>
                <w:rFonts w:ascii="Times New Roman" w:eastAsia="Calibri" w:hAnsi="Times New Roman" w:cs="Times New Roman"/>
                <w:sz w:val="24"/>
                <w:szCs w:val="24"/>
                <w:lang w:val="en-US"/>
              </w:rPr>
              <w:t>jāspēj</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konkrētais</w:t>
            </w:r>
            <w:proofErr w:type="spellEnd"/>
            <w:r w:rsidRPr="00AF6C98">
              <w:rPr>
                <w:rFonts w:ascii="Times New Roman" w:eastAsia="Calibri" w:hAnsi="Times New Roman" w:cs="Times New Roman"/>
                <w:sz w:val="24"/>
                <w:szCs w:val="24"/>
                <w:lang w:val="en-US"/>
              </w:rPr>
              <w:t xml:space="preserve"> specialists </w:t>
            </w:r>
            <w:proofErr w:type="spellStart"/>
            <w:r w:rsidRPr="00AF6C98">
              <w:rPr>
                <w:rFonts w:ascii="Times New Roman" w:eastAsia="Calibri" w:hAnsi="Times New Roman" w:cs="Times New Roman"/>
                <w:sz w:val="24"/>
                <w:szCs w:val="24"/>
                <w:lang w:val="en-US"/>
              </w:rPr>
              <w:t>identificēt</w:t>
            </w:r>
            <w:proofErr w:type="spellEnd"/>
            <w:r w:rsidRPr="00AF6C98">
              <w:rPr>
                <w:rFonts w:ascii="Times New Roman" w:eastAsia="Calibri" w:hAnsi="Times New Roman" w:cs="Times New Roman"/>
                <w:sz w:val="24"/>
                <w:szCs w:val="24"/>
                <w:lang w:val="en-US"/>
              </w:rPr>
              <w:t xml:space="preserve"> bez </w:t>
            </w:r>
            <w:proofErr w:type="spellStart"/>
            <w:r w:rsidRPr="00AF6C98">
              <w:rPr>
                <w:rFonts w:ascii="Times New Roman" w:eastAsia="Calibri" w:hAnsi="Times New Roman" w:cs="Times New Roman"/>
                <w:sz w:val="24"/>
                <w:szCs w:val="24"/>
                <w:lang w:val="en-US"/>
              </w:rPr>
              <w:t>papildus</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pārbaužu</w:t>
            </w:r>
            <w:proofErr w:type="spellEnd"/>
            <w:r w:rsidRPr="00AF6C98">
              <w:rPr>
                <w:rFonts w:ascii="Times New Roman" w:eastAsia="Calibri" w:hAnsi="Times New Roman" w:cs="Times New Roman"/>
                <w:sz w:val="24"/>
                <w:szCs w:val="24"/>
                <w:lang w:val="en-US"/>
              </w:rPr>
              <w:t xml:space="preserve"> </w:t>
            </w:r>
            <w:proofErr w:type="spellStart"/>
            <w:r w:rsidRPr="00AF6C98">
              <w:rPr>
                <w:rFonts w:ascii="Times New Roman" w:eastAsia="Calibri" w:hAnsi="Times New Roman" w:cs="Times New Roman"/>
                <w:sz w:val="24"/>
                <w:szCs w:val="24"/>
                <w:lang w:val="en-US"/>
              </w:rPr>
              <w:t>veikšanas</w:t>
            </w:r>
            <w:proofErr w:type="spellEnd"/>
            <w:r w:rsidRPr="00AF6C98">
              <w:rPr>
                <w:rFonts w:ascii="Times New Roman" w:eastAsia="Calibri" w:hAnsi="Times New Roman" w:cs="Times New Roman"/>
                <w:sz w:val="24"/>
                <w:szCs w:val="24"/>
                <w:lang w:val="en-US"/>
              </w:rPr>
              <w:t>. Ņemot vērā minēto, personas kods ir vienīgais unikālais identificējošais parametrs, kuru var izmantot.</w:t>
            </w:r>
          </w:p>
        </w:tc>
      </w:tr>
      <w:tr w:rsidR="00AF6C98" w:rsidRPr="00AF6C98" w14:paraId="796D60C9" w14:textId="77777777" w:rsidTr="00225429">
        <w:trPr>
          <w:trHeight w:val="476"/>
        </w:trPr>
        <w:tc>
          <w:tcPr>
            <w:tcW w:w="591" w:type="dxa"/>
          </w:tcPr>
          <w:p w14:paraId="1CF4945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lastRenderedPageBreak/>
              <w:t>3.</w:t>
            </w:r>
          </w:p>
        </w:tc>
        <w:tc>
          <w:tcPr>
            <w:tcW w:w="2948" w:type="dxa"/>
          </w:tcPr>
          <w:p w14:paraId="6DEBAD70" w14:textId="77777777" w:rsidR="00AF6C98" w:rsidRPr="00AF6C98" w:rsidRDefault="00AF6C98" w:rsidP="00AF6C98">
            <w:pPr>
              <w:spacing w:after="0" w:line="240" w:lineRule="auto"/>
              <w:ind w:left="57" w:right="57"/>
              <w:rPr>
                <w:rFonts w:ascii="Times New Roman" w:eastAsia="Times New Roman" w:hAnsi="Times New Roman" w:cs="Times New Roman"/>
                <w:sz w:val="24"/>
                <w:szCs w:val="24"/>
              </w:rPr>
            </w:pPr>
            <w:r w:rsidRPr="00AF6C98">
              <w:rPr>
                <w:rFonts w:ascii="Times New Roman" w:eastAsia="Calibri" w:hAnsi="Times New Roman" w:cs="Times New Roman"/>
                <w:sz w:val="24"/>
                <w:szCs w:val="24"/>
              </w:rPr>
              <w:t>Projekta izstrādē iesaistītās institūcijas un publiskas personas kapitālsabiedrības</w:t>
            </w:r>
          </w:p>
        </w:tc>
        <w:tc>
          <w:tcPr>
            <w:tcW w:w="5812" w:type="dxa"/>
          </w:tcPr>
          <w:p w14:paraId="056987B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Valsts dzelzceļa tehniskā inspekcija, VAS “Latvijas dzelzceļš”.</w:t>
            </w:r>
          </w:p>
          <w:p w14:paraId="3C8946C9"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p>
        </w:tc>
      </w:tr>
      <w:tr w:rsidR="00AF6C98" w:rsidRPr="00AF6C98" w14:paraId="6DED4D59" w14:textId="77777777" w:rsidTr="00225429">
        <w:tc>
          <w:tcPr>
            <w:tcW w:w="591" w:type="dxa"/>
          </w:tcPr>
          <w:p w14:paraId="74270211"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4.</w:t>
            </w:r>
          </w:p>
        </w:tc>
        <w:tc>
          <w:tcPr>
            <w:tcW w:w="2948" w:type="dxa"/>
          </w:tcPr>
          <w:p w14:paraId="17873A8B" w14:textId="77777777" w:rsidR="00AF6C98" w:rsidRPr="00AF6C98" w:rsidRDefault="00AF6C98" w:rsidP="00AF6C98">
            <w:pPr>
              <w:spacing w:after="0" w:line="240" w:lineRule="auto"/>
              <w:ind w:left="57" w:right="57"/>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Cita informācija</w:t>
            </w:r>
          </w:p>
        </w:tc>
        <w:tc>
          <w:tcPr>
            <w:tcW w:w="5812" w:type="dxa"/>
          </w:tcPr>
          <w:p w14:paraId="39DD9D6B"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Nav.</w:t>
            </w:r>
          </w:p>
          <w:p w14:paraId="05ECF12F"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p>
        </w:tc>
      </w:tr>
    </w:tbl>
    <w:p w14:paraId="43BD2ECA"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AF6C98" w:rsidRPr="00AF6C98" w14:paraId="0F3A21F7" w14:textId="77777777" w:rsidTr="00225429">
        <w:tc>
          <w:tcPr>
            <w:tcW w:w="9351" w:type="dxa"/>
            <w:gridSpan w:val="3"/>
            <w:tcBorders>
              <w:top w:val="single" w:sz="4" w:space="0" w:color="auto"/>
              <w:left w:val="single" w:sz="4" w:space="0" w:color="auto"/>
              <w:bottom w:val="outset" w:sz="6" w:space="0" w:color="000000"/>
              <w:right w:val="single" w:sz="4" w:space="0" w:color="auto"/>
            </w:tcBorders>
          </w:tcPr>
          <w:p w14:paraId="4BB8E51B" w14:textId="77777777" w:rsidR="00AF6C98" w:rsidRPr="00AF6C98" w:rsidRDefault="00AF6C98" w:rsidP="00AF6C9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F6C98">
              <w:rPr>
                <w:rFonts w:ascii="Times New Roman" w:eastAsia="Times New Roman" w:hAnsi="Times New Roman" w:cs="Times New Roman"/>
                <w:b/>
                <w:sz w:val="24"/>
                <w:szCs w:val="24"/>
                <w:lang w:eastAsia="lv-LV"/>
              </w:rPr>
              <w:lastRenderedPageBreak/>
              <w:t xml:space="preserve">II. </w:t>
            </w:r>
            <w:r w:rsidRPr="00AF6C9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F6C98" w:rsidRPr="00AF6C98" w14:paraId="0E7C9EF1" w14:textId="77777777" w:rsidTr="00225429">
        <w:tc>
          <w:tcPr>
            <w:tcW w:w="626" w:type="dxa"/>
            <w:tcBorders>
              <w:top w:val="outset" w:sz="6" w:space="0" w:color="000000"/>
              <w:left w:val="outset" w:sz="6" w:space="0" w:color="000000"/>
              <w:bottom w:val="outset" w:sz="6" w:space="0" w:color="000000"/>
              <w:right w:val="outset" w:sz="6" w:space="0" w:color="000000"/>
            </w:tcBorders>
          </w:tcPr>
          <w:p w14:paraId="4435BC73" w14:textId="77777777" w:rsidR="00AF6C98" w:rsidRPr="00AF6C98" w:rsidRDefault="00AF6C98" w:rsidP="00AF6C9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5C8B58B3" w14:textId="77777777" w:rsidR="00AF6C98" w:rsidRPr="00AF6C98" w:rsidRDefault="00AF6C98" w:rsidP="00AF6C9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68D6AB75" w14:textId="77777777" w:rsidR="00AF6C98" w:rsidRPr="00AF6C98" w:rsidRDefault="00AF6C98" w:rsidP="00AF6C98">
            <w:pPr>
              <w:spacing w:after="0" w:line="240" w:lineRule="auto"/>
              <w:jc w:val="both"/>
              <w:rPr>
                <w:rFonts w:ascii="Times New Roman" w:eastAsia="Times New Roman" w:hAnsi="Times New Roman" w:cs="Times New Roman"/>
                <w:sz w:val="24"/>
                <w:szCs w:val="24"/>
                <w:highlight w:val="yellow"/>
                <w:lang w:eastAsia="lv-LV"/>
              </w:rPr>
            </w:pPr>
            <w:r w:rsidRPr="00301072">
              <w:rPr>
                <w:rFonts w:ascii="Times New Roman" w:eastAsia="Calibri" w:hAnsi="Times New Roman" w:cs="Times New Roman"/>
                <w:sz w:val="24"/>
                <w:szCs w:val="24"/>
              </w:rPr>
              <w:t xml:space="preserve">Topošie un esošie vilces līdzekļa vadītāji (mašīnisti) instruktori, vilces līdzekļa vadītāja (mašīnista) palīgi. </w:t>
            </w:r>
          </w:p>
        </w:tc>
      </w:tr>
      <w:tr w:rsidR="00AF6C98" w:rsidRPr="00AF6C98" w14:paraId="5D309E4B" w14:textId="77777777" w:rsidTr="00225429">
        <w:tc>
          <w:tcPr>
            <w:tcW w:w="626" w:type="dxa"/>
            <w:tcBorders>
              <w:top w:val="outset" w:sz="6" w:space="0" w:color="000000"/>
              <w:left w:val="outset" w:sz="6" w:space="0" w:color="000000"/>
              <w:bottom w:val="outset" w:sz="6" w:space="0" w:color="000000"/>
              <w:right w:val="outset" w:sz="6" w:space="0" w:color="000000"/>
            </w:tcBorders>
          </w:tcPr>
          <w:p w14:paraId="5DEA4B8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006175C9"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35F0426A" w14:textId="77777777" w:rsidR="00AF6C98" w:rsidRPr="00AF6C98" w:rsidRDefault="00AF6C98" w:rsidP="00AF6C98">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47A515EB" w14:textId="77777777" w:rsidTr="00225429">
        <w:tc>
          <w:tcPr>
            <w:tcW w:w="626" w:type="dxa"/>
            <w:tcBorders>
              <w:top w:val="outset" w:sz="6" w:space="0" w:color="000000"/>
              <w:left w:val="outset" w:sz="6" w:space="0" w:color="000000"/>
              <w:bottom w:val="outset" w:sz="6" w:space="0" w:color="000000"/>
              <w:right w:val="outset" w:sz="6" w:space="0" w:color="000000"/>
            </w:tcBorders>
          </w:tcPr>
          <w:p w14:paraId="2D359DE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7CF78E0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0102D42" w14:textId="77777777" w:rsidR="00AF6C98" w:rsidRPr="00AF6C98" w:rsidRDefault="00AF6C98" w:rsidP="00AF6C98">
            <w:pPr>
              <w:spacing w:after="0" w:line="240" w:lineRule="auto"/>
              <w:ind w:right="57"/>
              <w:jc w:val="both"/>
              <w:rPr>
                <w:rFonts w:ascii="Times New Roman" w:eastAsia="Times New Roman" w:hAnsi="Times New Roman" w:cs="Times New Roman"/>
                <w:iCs/>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1C366D9E" w14:textId="77777777" w:rsidTr="00225429">
        <w:tc>
          <w:tcPr>
            <w:tcW w:w="626" w:type="dxa"/>
            <w:tcBorders>
              <w:top w:val="outset" w:sz="6" w:space="0" w:color="000000"/>
              <w:left w:val="outset" w:sz="6" w:space="0" w:color="000000"/>
              <w:bottom w:val="outset" w:sz="6" w:space="0" w:color="000000"/>
              <w:right w:val="outset" w:sz="6" w:space="0" w:color="000000"/>
            </w:tcBorders>
          </w:tcPr>
          <w:p w14:paraId="2346A327"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67EDCD4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 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155FEDE7" w14:textId="5102CF10" w:rsidR="00AF6C98" w:rsidRPr="00AF6C98" w:rsidRDefault="00F7777B" w:rsidP="00F7777B">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21B3FB06" w14:textId="77777777" w:rsidTr="00225429">
        <w:tc>
          <w:tcPr>
            <w:tcW w:w="626" w:type="dxa"/>
            <w:tcBorders>
              <w:top w:val="outset" w:sz="6" w:space="0" w:color="000000"/>
              <w:left w:val="outset" w:sz="6" w:space="0" w:color="000000"/>
              <w:bottom w:val="outset" w:sz="6" w:space="0" w:color="000000"/>
              <w:right w:val="outset" w:sz="6" w:space="0" w:color="000000"/>
            </w:tcBorders>
          </w:tcPr>
          <w:p w14:paraId="6F1810CD"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0949707A"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616CB04A" w14:textId="77777777" w:rsidR="00AF6C98" w:rsidRPr="00AF6C98" w:rsidRDefault="00AF6C98" w:rsidP="00F7777B">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tbl>
    <w:p w14:paraId="10B1DD7D"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705E1E62"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128AC2C1"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III. Tiesību akta projekta ietekme uz valsts budžetu un pašvaldību budžetiem</w:t>
            </w:r>
          </w:p>
        </w:tc>
      </w:tr>
      <w:tr w:rsidR="00AF6C98" w:rsidRPr="00AF6C98" w14:paraId="24DE9896" w14:textId="77777777" w:rsidTr="00225429">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65C07F40"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0A908045"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5B0FE437"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64959F5F"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IV. Tiesību akta projekta ietekme uz spēkā esošo tiesību normu sistēmu</w:t>
            </w:r>
          </w:p>
        </w:tc>
      </w:tr>
      <w:tr w:rsidR="00AF6C98" w:rsidRPr="00AF6C98" w14:paraId="6AC5A0AF"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tcPr>
          <w:p w14:paraId="0BB2F09E" w14:textId="77777777" w:rsidR="00AF6C98" w:rsidRPr="00AF6C98" w:rsidRDefault="00AF6C98" w:rsidP="00AF6C98">
            <w:pPr>
              <w:spacing w:after="0" w:line="240" w:lineRule="auto"/>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3AB237C2"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65C10AA1"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6211F3C0"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V. Tiesību akta projekta atbilstība Latvijas Republikas starptautiskajām saistībām</w:t>
            </w:r>
          </w:p>
        </w:tc>
      </w:tr>
      <w:tr w:rsidR="00AF6C98" w:rsidRPr="00AF6C98" w14:paraId="547D09D7"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tcPr>
          <w:p w14:paraId="39C1A253" w14:textId="77777777" w:rsidR="00AF6C98" w:rsidRPr="00AF6C98" w:rsidRDefault="00AF6C98" w:rsidP="00AF6C98">
            <w:pPr>
              <w:spacing w:after="0" w:line="240" w:lineRule="auto"/>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5BEF6614"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2940"/>
        <w:gridCol w:w="5812"/>
      </w:tblGrid>
      <w:tr w:rsidR="00AF6C98" w:rsidRPr="00AF6C98" w14:paraId="540E08CB" w14:textId="77777777" w:rsidTr="00225429">
        <w:trPr>
          <w:trHeight w:val="421"/>
        </w:trPr>
        <w:tc>
          <w:tcPr>
            <w:tcW w:w="9356" w:type="dxa"/>
            <w:gridSpan w:val="3"/>
          </w:tcPr>
          <w:p w14:paraId="0A2BF977" w14:textId="77777777" w:rsidR="00AF6C98" w:rsidRPr="00AF6C98" w:rsidRDefault="00AF6C98" w:rsidP="00AF6C98">
            <w:pPr>
              <w:spacing w:after="0" w:line="240" w:lineRule="auto"/>
              <w:ind w:left="57" w:right="57"/>
              <w:jc w:val="center"/>
              <w:rPr>
                <w:rFonts w:ascii="Times New Roman" w:eastAsia="Times New Roman" w:hAnsi="Times New Roman" w:cs="Times New Roman"/>
                <w:sz w:val="24"/>
                <w:szCs w:val="24"/>
                <w:highlight w:val="yellow"/>
                <w:lang w:eastAsia="lv-LV"/>
              </w:rPr>
            </w:pPr>
            <w:r w:rsidRPr="00AF6C98">
              <w:rPr>
                <w:rFonts w:ascii="Times New Roman" w:eastAsia="Times New Roman" w:hAnsi="Times New Roman" w:cs="Times New Roman"/>
                <w:b/>
                <w:sz w:val="24"/>
                <w:szCs w:val="24"/>
                <w:lang w:eastAsia="lv-LV"/>
              </w:rPr>
              <w:t>VI. Sabiedrības līdzdalība un komunikācijas aktivitātes</w:t>
            </w:r>
          </w:p>
        </w:tc>
      </w:tr>
      <w:tr w:rsidR="00AF6C98" w:rsidRPr="00AF6C98" w14:paraId="3EF0C514" w14:textId="77777777" w:rsidTr="00225429">
        <w:trPr>
          <w:trHeight w:val="1407"/>
        </w:trPr>
        <w:tc>
          <w:tcPr>
            <w:tcW w:w="604" w:type="dxa"/>
            <w:tcBorders>
              <w:top w:val="outset" w:sz="6" w:space="0" w:color="414142"/>
              <w:left w:val="outset" w:sz="6" w:space="0" w:color="414142"/>
              <w:bottom w:val="outset" w:sz="6" w:space="0" w:color="414142"/>
              <w:right w:val="outset" w:sz="6" w:space="0" w:color="414142"/>
            </w:tcBorders>
          </w:tcPr>
          <w:p w14:paraId="39744749"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1.</w:t>
            </w:r>
          </w:p>
        </w:tc>
        <w:tc>
          <w:tcPr>
            <w:tcW w:w="2940" w:type="dxa"/>
            <w:tcBorders>
              <w:top w:val="outset" w:sz="6" w:space="0" w:color="414142"/>
              <w:left w:val="outset" w:sz="6" w:space="0" w:color="414142"/>
              <w:bottom w:val="outset" w:sz="6" w:space="0" w:color="414142"/>
              <w:right w:val="outset" w:sz="6" w:space="0" w:color="414142"/>
            </w:tcBorders>
          </w:tcPr>
          <w:p w14:paraId="3CDF98CE" w14:textId="77777777" w:rsidR="00AF6C98" w:rsidRPr="00AF6C98" w:rsidRDefault="00AF6C98" w:rsidP="00AF6C98">
            <w:pPr>
              <w:tabs>
                <w:tab w:val="left" w:pos="170"/>
              </w:tabs>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Plānotās sabiedrības līdzdalības un komunikācijas aktivitātes saistībā ar projektu</w:t>
            </w:r>
          </w:p>
        </w:tc>
        <w:tc>
          <w:tcPr>
            <w:tcW w:w="5812" w:type="dxa"/>
            <w:tcBorders>
              <w:top w:val="outset" w:sz="6" w:space="0" w:color="414142"/>
              <w:left w:val="outset" w:sz="6" w:space="0" w:color="414142"/>
              <w:bottom w:val="outset" w:sz="6" w:space="0" w:color="414142"/>
              <w:right w:val="outset" w:sz="6" w:space="0" w:color="414142"/>
            </w:tcBorders>
          </w:tcPr>
          <w:p w14:paraId="68F5F624"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highlight w:val="yellow"/>
              </w:rPr>
            </w:pPr>
            <w:bookmarkStart w:id="2" w:name="p61"/>
            <w:bookmarkStart w:id="3" w:name="_Hlk2689689"/>
            <w:bookmarkEnd w:id="2"/>
            <w:r w:rsidRPr="00301072">
              <w:rPr>
                <w:rFonts w:ascii="Times New Roman" w:eastAsia="Calibri" w:hAnsi="Times New Roman" w:cs="Times New Roman"/>
                <w:sz w:val="24"/>
                <w:szCs w:val="24"/>
              </w:rPr>
              <w:t>Atbilstoši Ministru kabineta 2009. gada 25. augusta noteikumiem Nr.970 „Sabiedrības līdzdalības kārtība attīstības plānošanas procesā” 7.4.</w:t>
            </w:r>
            <w:r w:rsidRPr="00301072">
              <w:rPr>
                <w:rFonts w:ascii="Times New Roman" w:eastAsia="Calibri" w:hAnsi="Times New Roman" w:cs="Times New Roman"/>
                <w:sz w:val="24"/>
                <w:szCs w:val="24"/>
                <w:vertAlign w:val="superscript"/>
              </w:rPr>
              <w:t>1</w:t>
            </w:r>
            <w:r w:rsidRPr="00301072">
              <w:rPr>
                <w:rFonts w:ascii="Times New Roman" w:eastAsia="Calibri" w:hAnsi="Times New Roman" w:cs="Times New Roman"/>
                <w:sz w:val="24"/>
                <w:szCs w:val="24"/>
              </w:rPr>
              <w:t xml:space="preserve"> apakšpunktam sabiedrībai tika dota iespēja rakstiski sniegt viedokli par noteikumu projektu tā izstrādes stadijā.</w:t>
            </w:r>
            <w:bookmarkEnd w:id="3"/>
          </w:p>
        </w:tc>
      </w:tr>
      <w:tr w:rsidR="00AF6C98" w:rsidRPr="00AF6C98" w14:paraId="4D89E556" w14:textId="77777777" w:rsidTr="00225429">
        <w:trPr>
          <w:trHeight w:val="339"/>
        </w:trPr>
        <w:tc>
          <w:tcPr>
            <w:tcW w:w="604" w:type="dxa"/>
            <w:tcBorders>
              <w:top w:val="outset" w:sz="6" w:space="0" w:color="414142"/>
              <w:left w:val="outset" w:sz="6" w:space="0" w:color="414142"/>
              <w:bottom w:val="outset" w:sz="6" w:space="0" w:color="414142"/>
              <w:right w:val="outset" w:sz="6" w:space="0" w:color="414142"/>
            </w:tcBorders>
          </w:tcPr>
          <w:p w14:paraId="35C56FBA"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2.</w:t>
            </w:r>
          </w:p>
        </w:tc>
        <w:tc>
          <w:tcPr>
            <w:tcW w:w="2940" w:type="dxa"/>
            <w:tcBorders>
              <w:top w:val="outset" w:sz="6" w:space="0" w:color="414142"/>
              <w:left w:val="outset" w:sz="6" w:space="0" w:color="414142"/>
              <w:bottom w:val="outset" w:sz="6" w:space="0" w:color="414142"/>
              <w:right w:val="outset" w:sz="6" w:space="0" w:color="414142"/>
            </w:tcBorders>
          </w:tcPr>
          <w:p w14:paraId="725BF5C7"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Sabiedrības līdzdalība projekta izstrādē</w:t>
            </w:r>
          </w:p>
        </w:tc>
        <w:tc>
          <w:tcPr>
            <w:tcW w:w="5812" w:type="dxa"/>
            <w:tcBorders>
              <w:top w:val="outset" w:sz="6" w:space="0" w:color="414142"/>
              <w:left w:val="outset" w:sz="6" w:space="0" w:color="414142"/>
              <w:bottom w:val="outset" w:sz="6" w:space="0" w:color="414142"/>
              <w:right w:val="outset" w:sz="6" w:space="0" w:color="414142"/>
            </w:tcBorders>
          </w:tcPr>
          <w:p w14:paraId="4CF0D0DF" w14:textId="77777777" w:rsidR="00AF6C98" w:rsidRPr="00AF6C98" w:rsidRDefault="00AF6C98" w:rsidP="00AF6C98">
            <w:pPr>
              <w:spacing w:after="0" w:line="240" w:lineRule="auto"/>
              <w:jc w:val="both"/>
              <w:rPr>
                <w:rFonts w:ascii="Times New Roman" w:eastAsia="Times New Roman" w:hAnsi="Times New Roman" w:cs="Times New Roman"/>
                <w:sz w:val="24"/>
                <w:szCs w:val="24"/>
                <w:highlight w:val="yellow"/>
                <w:lang w:eastAsia="lv-LV"/>
              </w:rPr>
            </w:pPr>
            <w:bookmarkStart w:id="4" w:name="p62"/>
            <w:bookmarkEnd w:id="4"/>
            <w:r w:rsidRPr="00AF6C98">
              <w:rPr>
                <w:rFonts w:ascii="Times New Roman" w:eastAsia="Times New Roman" w:hAnsi="Times New Roman" w:cs="Times New Roman"/>
                <w:sz w:val="24"/>
                <w:szCs w:val="24"/>
                <w:lang w:eastAsia="lv-LV"/>
              </w:rPr>
              <w:t xml:space="preserve">Noteikumu projekts un tā sākotnējās ietekmes novērtējuma ziņojums (anotācija) tika ievietots tīmekļa vietnē </w:t>
            </w:r>
            <w:hyperlink r:id="rId6" w:history="1">
              <w:r w:rsidRPr="00AF6C98">
                <w:rPr>
                  <w:rFonts w:ascii="Times New Roman" w:eastAsia="Times New Roman" w:hAnsi="Times New Roman" w:cs="Times New Roman"/>
                  <w:sz w:val="24"/>
                  <w:szCs w:val="24"/>
                  <w:lang w:eastAsia="lv-LV"/>
                </w:rPr>
                <w:t>www.sam.gov.lv</w:t>
              </w:r>
            </w:hyperlink>
            <w:r w:rsidRPr="00AF6C98">
              <w:rPr>
                <w:rFonts w:ascii="Times New Roman" w:eastAsia="Times New Roman" w:hAnsi="Times New Roman" w:cs="Times New Roman"/>
                <w:sz w:val="24"/>
                <w:szCs w:val="24"/>
                <w:lang w:eastAsia="lv-LV"/>
              </w:rPr>
              <w:t xml:space="preserve"> sadaļā „Sabiedrības līdzdalība” 2019. gada 12. aprīlī.</w:t>
            </w:r>
          </w:p>
        </w:tc>
      </w:tr>
      <w:tr w:rsidR="00AF6C98" w:rsidRPr="00AF6C98" w14:paraId="0CF7DFDB" w14:textId="77777777" w:rsidTr="00225429">
        <w:trPr>
          <w:trHeight w:val="468"/>
        </w:trPr>
        <w:tc>
          <w:tcPr>
            <w:tcW w:w="604" w:type="dxa"/>
            <w:tcBorders>
              <w:top w:val="outset" w:sz="6" w:space="0" w:color="414142"/>
              <w:left w:val="outset" w:sz="6" w:space="0" w:color="414142"/>
              <w:bottom w:val="outset" w:sz="6" w:space="0" w:color="414142"/>
              <w:right w:val="outset" w:sz="6" w:space="0" w:color="414142"/>
            </w:tcBorders>
          </w:tcPr>
          <w:p w14:paraId="3E2FE46A"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lang w:eastAsia="lv-LV"/>
              </w:rPr>
            </w:pPr>
            <w:r w:rsidRPr="00AF6C98">
              <w:rPr>
                <w:rFonts w:ascii="Times New Roman" w:eastAsia="Calibri" w:hAnsi="Times New Roman" w:cs="Times New Roman"/>
                <w:sz w:val="24"/>
                <w:szCs w:val="24"/>
              </w:rPr>
              <w:t>3.</w:t>
            </w:r>
          </w:p>
        </w:tc>
        <w:tc>
          <w:tcPr>
            <w:tcW w:w="2940" w:type="dxa"/>
            <w:tcBorders>
              <w:top w:val="outset" w:sz="6" w:space="0" w:color="414142"/>
              <w:left w:val="outset" w:sz="6" w:space="0" w:color="414142"/>
              <w:bottom w:val="outset" w:sz="6" w:space="0" w:color="414142"/>
              <w:right w:val="outset" w:sz="6" w:space="0" w:color="414142"/>
            </w:tcBorders>
          </w:tcPr>
          <w:p w14:paraId="4E5A9DFC"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Calibri" w:hAnsi="Times New Roman" w:cs="Times New Roman"/>
                <w:sz w:val="24"/>
                <w:szCs w:val="24"/>
              </w:rPr>
              <w:t>Sabiedrības līdzdalības rezultāti</w:t>
            </w:r>
          </w:p>
        </w:tc>
        <w:tc>
          <w:tcPr>
            <w:tcW w:w="5812" w:type="dxa"/>
            <w:tcBorders>
              <w:top w:val="outset" w:sz="6" w:space="0" w:color="414142"/>
              <w:left w:val="outset" w:sz="6" w:space="0" w:color="414142"/>
              <w:bottom w:val="outset" w:sz="6" w:space="0" w:color="414142"/>
              <w:right w:val="outset" w:sz="6" w:space="0" w:color="414142"/>
            </w:tcBorders>
          </w:tcPr>
          <w:p w14:paraId="056BA078" w14:textId="77777777" w:rsidR="00AF6C98" w:rsidRPr="00AF6C98" w:rsidRDefault="00AF6C98" w:rsidP="00AF6C98">
            <w:pPr>
              <w:spacing w:after="0" w:line="240" w:lineRule="auto"/>
              <w:jc w:val="both"/>
              <w:rPr>
                <w:rFonts w:ascii="TimesNewRomanPSMT" w:eastAsia="Times New Roman" w:hAnsi="TimesNewRomanPSMT" w:cs="TimesNewRomanPSMT"/>
                <w:sz w:val="24"/>
                <w:szCs w:val="24"/>
                <w:lang w:eastAsia="lv-LV"/>
              </w:rPr>
            </w:pPr>
            <w:r w:rsidRPr="00AF6C98">
              <w:rPr>
                <w:rFonts w:ascii="Times New Roman" w:eastAsia="Times New Roman" w:hAnsi="Times New Roman" w:cs="Times New Roman"/>
                <w:sz w:val="24"/>
                <w:szCs w:val="24"/>
                <w:lang w:eastAsia="lv-LV"/>
              </w:rPr>
              <w:t>Sabiedrības līdzdalības laikā priekšlikumi netika saņemti.</w:t>
            </w:r>
          </w:p>
        </w:tc>
      </w:tr>
      <w:tr w:rsidR="00AF6C98" w:rsidRPr="00AF6C98" w14:paraId="52F10D0C" w14:textId="77777777" w:rsidTr="00225429">
        <w:trPr>
          <w:trHeight w:val="476"/>
        </w:trPr>
        <w:tc>
          <w:tcPr>
            <w:tcW w:w="604" w:type="dxa"/>
            <w:tcBorders>
              <w:top w:val="outset" w:sz="6" w:space="0" w:color="414142"/>
              <w:left w:val="outset" w:sz="6" w:space="0" w:color="414142"/>
              <w:bottom w:val="outset" w:sz="6" w:space="0" w:color="414142"/>
              <w:right w:val="outset" w:sz="6" w:space="0" w:color="414142"/>
            </w:tcBorders>
          </w:tcPr>
          <w:p w14:paraId="1C539A3F"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4.</w:t>
            </w:r>
          </w:p>
        </w:tc>
        <w:tc>
          <w:tcPr>
            <w:tcW w:w="2940" w:type="dxa"/>
            <w:tcBorders>
              <w:top w:val="outset" w:sz="6" w:space="0" w:color="414142"/>
              <w:left w:val="outset" w:sz="6" w:space="0" w:color="414142"/>
              <w:bottom w:val="outset" w:sz="6" w:space="0" w:color="414142"/>
              <w:right w:val="outset" w:sz="6" w:space="0" w:color="414142"/>
            </w:tcBorders>
          </w:tcPr>
          <w:p w14:paraId="4E51138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Cita informācija</w:t>
            </w:r>
          </w:p>
        </w:tc>
        <w:tc>
          <w:tcPr>
            <w:tcW w:w="5812" w:type="dxa"/>
            <w:tcBorders>
              <w:top w:val="outset" w:sz="6" w:space="0" w:color="414142"/>
              <w:left w:val="outset" w:sz="6" w:space="0" w:color="414142"/>
              <w:bottom w:val="outset" w:sz="6" w:space="0" w:color="414142"/>
              <w:right w:val="outset" w:sz="6" w:space="0" w:color="414142"/>
            </w:tcBorders>
          </w:tcPr>
          <w:p w14:paraId="17668460" w14:textId="77777777" w:rsidR="00AF6C98" w:rsidRPr="00AF6C98" w:rsidRDefault="00AF6C98" w:rsidP="00AF6C98">
            <w:pPr>
              <w:spacing w:after="0"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tbl>
    <w:p w14:paraId="048E6BB7" w14:textId="77777777" w:rsidR="00AF6C98" w:rsidRPr="00AF6C98" w:rsidRDefault="00AF6C98" w:rsidP="00AF6C98">
      <w:pPr>
        <w:spacing w:after="0" w:line="240" w:lineRule="auto"/>
        <w:rPr>
          <w:rFonts w:ascii="Times New Roman" w:eastAsia="Times New Roman" w:hAnsi="Times New Roman" w:cs="Times New Roman"/>
          <w:iCs/>
          <w:sz w:val="28"/>
          <w:szCs w:val="28"/>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2628"/>
        <w:gridCol w:w="5812"/>
      </w:tblGrid>
      <w:tr w:rsidR="00AF6C98" w:rsidRPr="00AF6C98" w14:paraId="7BE206A7" w14:textId="77777777" w:rsidTr="00225429">
        <w:trPr>
          <w:trHeight w:val="580"/>
        </w:trPr>
        <w:tc>
          <w:tcPr>
            <w:tcW w:w="9356" w:type="dxa"/>
            <w:gridSpan w:val="3"/>
          </w:tcPr>
          <w:p w14:paraId="66C7039A" w14:textId="77777777" w:rsidR="00AF6C98" w:rsidRPr="00AF6C98" w:rsidRDefault="00AF6C98" w:rsidP="00AF6C98">
            <w:pPr>
              <w:spacing w:after="0" w:line="240" w:lineRule="auto"/>
              <w:ind w:left="57" w:right="57"/>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VII. Tiesību akta projekta izpildes nodrošināšana un tās ietekme uz institūcijām</w:t>
            </w:r>
          </w:p>
        </w:tc>
      </w:tr>
      <w:tr w:rsidR="00AF6C98" w:rsidRPr="00AF6C98" w14:paraId="1D6287EA" w14:textId="77777777" w:rsidTr="00225429">
        <w:trPr>
          <w:trHeight w:val="427"/>
        </w:trPr>
        <w:tc>
          <w:tcPr>
            <w:tcW w:w="916" w:type="dxa"/>
          </w:tcPr>
          <w:p w14:paraId="29264176"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bookmarkStart w:id="5" w:name="_Hlk535848927"/>
            <w:r w:rsidRPr="00AF6C98">
              <w:rPr>
                <w:rFonts w:ascii="Times New Roman" w:eastAsia="Times New Roman" w:hAnsi="Times New Roman" w:cs="Times New Roman"/>
                <w:sz w:val="24"/>
                <w:szCs w:val="24"/>
                <w:lang w:eastAsia="lv-LV"/>
              </w:rPr>
              <w:t>1.</w:t>
            </w:r>
          </w:p>
        </w:tc>
        <w:tc>
          <w:tcPr>
            <w:tcW w:w="2628" w:type="dxa"/>
          </w:tcPr>
          <w:p w14:paraId="3BAA0B0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Projekta izpildē iesaistītās institūcijas</w:t>
            </w:r>
          </w:p>
        </w:tc>
        <w:tc>
          <w:tcPr>
            <w:tcW w:w="5812" w:type="dxa"/>
          </w:tcPr>
          <w:p w14:paraId="05761078" w14:textId="77777777" w:rsidR="00AF6C98" w:rsidRPr="00AF6C98" w:rsidRDefault="00AF6C98" w:rsidP="00AF6C98">
            <w:pPr>
              <w:shd w:val="clear" w:color="auto" w:fill="FFFFFF"/>
              <w:spacing w:after="0" w:line="240" w:lineRule="auto"/>
              <w:ind w:left="57" w:right="57"/>
              <w:jc w:val="both"/>
              <w:rPr>
                <w:rFonts w:ascii="Times New Roman" w:eastAsia="Times New Roman" w:hAnsi="Times New Roman" w:cs="Times New Roman"/>
                <w:sz w:val="24"/>
                <w:szCs w:val="24"/>
                <w:lang w:eastAsia="lv-LV"/>
              </w:rPr>
            </w:pPr>
            <w:bookmarkStart w:id="6" w:name="p66"/>
            <w:bookmarkStart w:id="7" w:name="p67"/>
            <w:bookmarkStart w:id="8" w:name="p68"/>
            <w:bookmarkStart w:id="9" w:name="p69"/>
            <w:bookmarkEnd w:id="6"/>
            <w:bookmarkEnd w:id="7"/>
            <w:bookmarkEnd w:id="8"/>
            <w:bookmarkEnd w:id="9"/>
            <w:r w:rsidRPr="00AF6C98">
              <w:rPr>
                <w:rFonts w:ascii="Times New Roman" w:eastAsia="Times New Roman" w:hAnsi="Times New Roman" w:cs="Times New Roman"/>
                <w:sz w:val="24"/>
                <w:szCs w:val="24"/>
                <w:lang w:eastAsia="lv-LV"/>
              </w:rPr>
              <w:t>Satiksmes ministrija, Valsts dzelzceļa tehniskā inspekcija, VAS “Latvijas dzelzceļš” .</w:t>
            </w:r>
          </w:p>
        </w:tc>
      </w:tr>
      <w:tr w:rsidR="00AF6C98" w:rsidRPr="00AF6C98" w14:paraId="299D831A" w14:textId="77777777" w:rsidTr="00225429">
        <w:trPr>
          <w:trHeight w:val="463"/>
        </w:trPr>
        <w:tc>
          <w:tcPr>
            <w:tcW w:w="916" w:type="dxa"/>
          </w:tcPr>
          <w:p w14:paraId="6804D7F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lastRenderedPageBreak/>
              <w:t>2.</w:t>
            </w:r>
          </w:p>
        </w:tc>
        <w:tc>
          <w:tcPr>
            <w:tcW w:w="2628" w:type="dxa"/>
          </w:tcPr>
          <w:p w14:paraId="1CDD6B1B"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Projekta izpildes ietekme uz pār</w:t>
            </w:r>
            <w:r w:rsidRPr="00AF6C98">
              <w:rPr>
                <w:rFonts w:ascii="Times New Roman" w:eastAsia="Times New Roman" w:hAnsi="Times New Roman" w:cs="Times New Roman"/>
                <w:sz w:val="24"/>
                <w:szCs w:val="24"/>
              </w:rPr>
              <w:softHyphen/>
              <w:t>valdes funkcijām un institucionālo struktūru.</w:t>
            </w:r>
          </w:p>
          <w:p w14:paraId="7562BEE0"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Jaunu institūciju izveide, esošu institūciju likvidācija vai reorga</w:t>
            </w:r>
            <w:r w:rsidRPr="00AF6C98">
              <w:rPr>
                <w:rFonts w:ascii="Times New Roman" w:eastAsia="Times New Roman" w:hAnsi="Times New Roman" w:cs="Times New Roman"/>
                <w:sz w:val="24"/>
                <w:szCs w:val="24"/>
              </w:rPr>
              <w:softHyphen/>
              <w:t>nizācija, to ietekme uz institūcijas cilvēkresursiem</w:t>
            </w:r>
          </w:p>
        </w:tc>
        <w:tc>
          <w:tcPr>
            <w:tcW w:w="5812" w:type="dxa"/>
          </w:tcPr>
          <w:p w14:paraId="68418FEF" w14:textId="77777777" w:rsidR="00AF6C98" w:rsidRPr="00AF6C98" w:rsidRDefault="00AF6C98" w:rsidP="00AF6C98">
            <w:pPr>
              <w:widowControl w:val="0"/>
              <w:shd w:val="clear" w:color="auto" w:fill="FFFFFF"/>
              <w:spacing w:after="0" w:line="240" w:lineRule="auto"/>
              <w:ind w:left="57" w:right="57"/>
              <w:jc w:val="both"/>
              <w:rPr>
                <w:rFonts w:ascii="Times New Roman" w:eastAsia="Times New Roman" w:hAnsi="Times New Roman" w:cs="Times New Roman"/>
                <w:sz w:val="24"/>
                <w:szCs w:val="24"/>
              </w:rPr>
            </w:pPr>
            <w:r w:rsidRPr="00AF6C98">
              <w:rPr>
                <w:rFonts w:ascii="Times New Roman" w:eastAsia="Calibri" w:hAnsi="Times New Roman" w:cs="Times New Roman"/>
                <w:sz w:val="24"/>
                <w:szCs w:val="24"/>
              </w:rPr>
              <w:t xml:space="preserve">Projekta īstenošana tiks veikta esošo cilvēkresursu ietvaros. Saistībā ar Projekta izpildi nebūs nepieciešams veidot jaunas institūcijas vai likvidēt vai reorganizēt esošās.  </w:t>
            </w:r>
          </w:p>
          <w:p w14:paraId="363BA7B4" w14:textId="77777777" w:rsidR="00AF6C98" w:rsidRPr="00AF6C98" w:rsidRDefault="00AF6C98" w:rsidP="00AF6C98">
            <w:pPr>
              <w:shd w:val="clear" w:color="auto" w:fill="FFFFFF"/>
              <w:spacing w:after="0" w:line="240" w:lineRule="auto"/>
              <w:ind w:left="57" w:right="57"/>
              <w:jc w:val="both"/>
              <w:rPr>
                <w:rFonts w:ascii="Times New Roman" w:eastAsia="Times New Roman" w:hAnsi="Times New Roman" w:cs="Times New Roman"/>
                <w:sz w:val="24"/>
                <w:szCs w:val="24"/>
                <w:lang w:eastAsia="lv-LV"/>
              </w:rPr>
            </w:pPr>
          </w:p>
        </w:tc>
      </w:tr>
      <w:tr w:rsidR="00AF6C98" w:rsidRPr="00AF6C98" w14:paraId="1368C8DB" w14:textId="77777777" w:rsidTr="00225429">
        <w:trPr>
          <w:trHeight w:val="402"/>
        </w:trPr>
        <w:tc>
          <w:tcPr>
            <w:tcW w:w="916" w:type="dxa"/>
            <w:tcBorders>
              <w:top w:val="single" w:sz="4" w:space="0" w:color="auto"/>
              <w:left w:val="single" w:sz="4" w:space="0" w:color="auto"/>
              <w:bottom w:val="single" w:sz="4" w:space="0" w:color="auto"/>
              <w:right w:val="single" w:sz="4" w:space="0" w:color="auto"/>
            </w:tcBorders>
          </w:tcPr>
          <w:p w14:paraId="1ABB46B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3.</w:t>
            </w:r>
          </w:p>
        </w:tc>
        <w:tc>
          <w:tcPr>
            <w:tcW w:w="2628" w:type="dxa"/>
            <w:tcBorders>
              <w:top w:val="single" w:sz="4" w:space="0" w:color="auto"/>
              <w:left w:val="single" w:sz="4" w:space="0" w:color="auto"/>
              <w:bottom w:val="single" w:sz="4" w:space="0" w:color="auto"/>
              <w:right w:val="single" w:sz="4" w:space="0" w:color="auto"/>
            </w:tcBorders>
          </w:tcPr>
          <w:p w14:paraId="1D941B1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Cita informācija</w:t>
            </w:r>
          </w:p>
        </w:tc>
        <w:tc>
          <w:tcPr>
            <w:tcW w:w="5812" w:type="dxa"/>
            <w:tcBorders>
              <w:top w:val="single" w:sz="4" w:space="0" w:color="auto"/>
              <w:left w:val="single" w:sz="4" w:space="0" w:color="auto"/>
              <w:bottom w:val="single" w:sz="4" w:space="0" w:color="auto"/>
              <w:right w:val="single" w:sz="4" w:space="0" w:color="auto"/>
            </w:tcBorders>
          </w:tcPr>
          <w:p w14:paraId="55E027E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bookmarkEnd w:id="5"/>
    </w:tbl>
    <w:p w14:paraId="35EE228C" w14:textId="77777777" w:rsidR="00AF6C98" w:rsidRPr="00AF6C98" w:rsidRDefault="00AF6C98" w:rsidP="00AF6C98">
      <w:pPr>
        <w:tabs>
          <w:tab w:val="left" w:pos="6870"/>
        </w:tabs>
        <w:spacing w:after="0" w:line="240" w:lineRule="auto"/>
        <w:rPr>
          <w:rFonts w:ascii="Times New Roman" w:eastAsia="Times New Roman" w:hAnsi="Times New Roman" w:cs="Times New Roman"/>
          <w:sz w:val="24"/>
          <w:szCs w:val="24"/>
        </w:rPr>
      </w:pPr>
    </w:p>
    <w:p w14:paraId="0BB0160D" w14:textId="77777777" w:rsidR="00AF6C98" w:rsidRPr="00AF6C98" w:rsidRDefault="00AF6C98" w:rsidP="00AF6C98">
      <w:pPr>
        <w:tabs>
          <w:tab w:val="left" w:pos="6870"/>
        </w:tabs>
        <w:spacing w:after="0" w:line="240" w:lineRule="auto"/>
        <w:jc w:val="both"/>
        <w:rPr>
          <w:rFonts w:ascii="Times New Roman" w:eastAsia="Times New Roman" w:hAnsi="Times New Roman" w:cs="Times New Roman"/>
          <w:sz w:val="24"/>
          <w:szCs w:val="24"/>
        </w:rPr>
      </w:pPr>
    </w:p>
    <w:p w14:paraId="7D4AA53E" w14:textId="77777777" w:rsidR="00AF6C98" w:rsidRPr="00AF6C98" w:rsidRDefault="00AF6C98" w:rsidP="00AF6C98">
      <w:pPr>
        <w:tabs>
          <w:tab w:val="left" w:pos="6237"/>
          <w:tab w:val="left" w:pos="7088"/>
          <w:tab w:val="left" w:pos="7230"/>
          <w:tab w:val="left" w:pos="7513"/>
          <w:tab w:val="left" w:pos="7655"/>
          <w:tab w:val="left" w:pos="7797"/>
        </w:tabs>
        <w:spacing w:after="0" w:line="240" w:lineRule="auto"/>
        <w:ind w:left="567" w:hanging="567"/>
        <w:jc w:val="both"/>
        <w:rPr>
          <w:rFonts w:ascii="Times New Roman" w:eastAsia="Calibri" w:hAnsi="Times New Roman" w:cs="Times New Roman"/>
          <w:sz w:val="24"/>
          <w:szCs w:val="24"/>
        </w:rPr>
      </w:pPr>
      <w:r w:rsidRPr="00AF6C98">
        <w:rPr>
          <w:rFonts w:ascii="Times New Roman" w:eastAsia="Calibri" w:hAnsi="Times New Roman" w:cs="Times New Roman"/>
          <w:sz w:val="24"/>
          <w:szCs w:val="24"/>
        </w:rPr>
        <w:t>Iesniedzējs: satiksmes ministrs</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 xml:space="preserve">       T. Linkaits</w:t>
      </w:r>
    </w:p>
    <w:p w14:paraId="33B24864"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598FEA63"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011FAB70"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3700A880" w14:textId="77777777" w:rsidR="00AF6C98" w:rsidRPr="00AF6C98" w:rsidRDefault="00AF6C98" w:rsidP="00AF6C98">
      <w:pPr>
        <w:tabs>
          <w:tab w:val="left" w:pos="6237"/>
          <w:tab w:val="left" w:pos="7088"/>
          <w:tab w:val="left" w:pos="7230"/>
          <w:tab w:val="left" w:pos="7513"/>
        </w:tabs>
        <w:spacing w:after="0" w:line="240" w:lineRule="auto"/>
        <w:jc w:val="both"/>
        <w:rPr>
          <w:rFonts w:ascii="Times New Roman" w:eastAsia="Calibri" w:hAnsi="Times New Roman" w:cs="Times New Roman"/>
          <w:sz w:val="24"/>
          <w:szCs w:val="24"/>
        </w:rPr>
      </w:pPr>
      <w:r w:rsidRPr="00AF6C98">
        <w:rPr>
          <w:rFonts w:ascii="Times New Roman" w:eastAsia="Calibri" w:hAnsi="Times New Roman" w:cs="Times New Roman"/>
          <w:sz w:val="24"/>
          <w:szCs w:val="24"/>
        </w:rPr>
        <w:t>Vīza: valsts sekretāra p.i.</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 xml:space="preserve"> </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Dž. Innusa</w:t>
      </w:r>
    </w:p>
    <w:p w14:paraId="2F4D14EA" w14:textId="77777777" w:rsidR="00AF6C98" w:rsidRPr="00AF6C98" w:rsidRDefault="00AF6C98" w:rsidP="00AF6C98">
      <w:pPr>
        <w:tabs>
          <w:tab w:val="left" w:pos="6237"/>
          <w:tab w:val="left" w:pos="7088"/>
          <w:tab w:val="left" w:pos="7230"/>
        </w:tabs>
        <w:spacing w:after="0" w:line="240" w:lineRule="auto"/>
        <w:jc w:val="both"/>
        <w:rPr>
          <w:rFonts w:ascii="Times New Roman" w:eastAsia="Calibri" w:hAnsi="Times New Roman" w:cs="Times New Roman"/>
          <w:sz w:val="24"/>
          <w:szCs w:val="24"/>
        </w:rPr>
      </w:pPr>
    </w:p>
    <w:p w14:paraId="3B280EDA" w14:textId="77777777" w:rsidR="00AF6C98" w:rsidRPr="00AF6C98" w:rsidRDefault="00AF6C98" w:rsidP="00AF6C98">
      <w:pPr>
        <w:spacing w:after="0" w:line="240" w:lineRule="auto"/>
        <w:jc w:val="both"/>
        <w:rPr>
          <w:rFonts w:ascii="Times New Roman" w:eastAsia="Times New Roman" w:hAnsi="Times New Roman" w:cs="Times New Roman"/>
          <w:sz w:val="20"/>
          <w:szCs w:val="20"/>
          <w:lang w:eastAsia="lv-LV"/>
        </w:rPr>
      </w:pPr>
    </w:p>
    <w:p w14:paraId="55639278" w14:textId="77777777" w:rsidR="00D8121A" w:rsidRDefault="00D8121A"/>
    <w:sectPr w:rsidR="00D8121A" w:rsidSect="00AF6C9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07D0" w14:textId="77777777" w:rsidR="00535F90" w:rsidRDefault="00535F90" w:rsidP="00AF6C98">
      <w:pPr>
        <w:spacing w:after="0" w:line="240" w:lineRule="auto"/>
      </w:pPr>
      <w:r>
        <w:separator/>
      </w:r>
    </w:p>
  </w:endnote>
  <w:endnote w:type="continuationSeparator" w:id="0">
    <w:p w14:paraId="3EBCC1D4" w14:textId="77777777" w:rsidR="00535F90" w:rsidRDefault="00535F90" w:rsidP="00AF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5FE2" w14:textId="77777777" w:rsidR="00407CB2" w:rsidRDefault="00407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16D9" w14:textId="77777777" w:rsidR="0008688D" w:rsidRPr="00003AC0" w:rsidRDefault="00155765" w:rsidP="00003AC0">
    <w:pPr>
      <w:pStyle w:val="Footer"/>
    </w:pPr>
    <w:r w:rsidRPr="00DB0CD5">
      <w:rPr>
        <w:rFonts w:ascii="Times New Roman" w:hAnsi="Times New Roman"/>
        <w:noProof/>
        <w:sz w:val="20"/>
        <w:szCs w:val="20"/>
      </w:rPr>
      <w:t>SMAnot_</w:t>
    </w:r>
    <w:r>
      <w:rPr>
        <w:rFonts w:ascii="Times New Roman" w:hAnsi="Times New Roman"/>
        <w:noProof/>
        <w:sz w:val="20"/>
        <w:szCs w:val="20"/>
      </w:rPr>
      <w:t>2304</w:t>
    </w:r>
    <w:r w:rsidRPr="00DB0CD5">
      <w:rPr>
        <w:rFonts w:ascii="Times New Roman" w:hAnsi="Times New Roman"/>
        <w:noProof/>
        <w:sz w:val="20"/>
        <w:szCs w:val="20"/>
      </w:rPr>
      <w:t>19_</w:t>
    </w:r>
    <w:r>
      <w:rPr>
        <w:rFonts w:ascii="Times New Roman" w:hAnsi="Times New Roman"/>
        <w:noProof/>
        <w:sz w:val="20"/>
        <w:szCs w:val="20"/>
      </w:rPr>
      <w:t>MKnot23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74B" w14:textId="77777777" w:rsidR="0008688D" w:rsidRPr="00A0261B" w:rsidRDefault="00155765" w:rsidP="00003AC0">
    <w:pPr>
      <w:pStyle w:val="Footer"/>
      <w:rPr>
        <w:rFonts w:ascii="Times New Roman" w:hAnsi="Times New Roman"/>
        <w:sz w:val="20"/>
        <w:szCs w:val="20"/>
        <w:lang w:val="lv-LV"/>
      </w:rPr>
    </w:pPr>
    <w:r w:rsidRPr="00A0261B">
      <w:rPr>
        <w:rFonts w:ascii="Times New Roman" w:hAnsi="Times New Roman"/>
        <w:sz w:val="20"/>
        <w:szCs w:val="20"/>
        <w:lang w:val="lv-LV"/>
      </w:rPr>
      <w:t>SMAnot_</w:t>
    </w:r>
    <w:r>
      <w:rPr>
        <w:rFonts w:ascii="Times New Roman" w:hAnsi="Times New Roman"/>
        <w:sz w:val="20"/>
        <w:szCs w:val="20"/>
        <w:lang w:val="lv-LV"/>
      </w:rPr>
      <w:t>23</w:t>
    </w:r>
    <w:r w:rsidRPr="00A0261B">
      <w:rPr>
        <w:rFonts w:ascii="Times New Roman" w:hAnsi="Times New Roman"/>
        <w:sz w:val="20"/>
        <w:szCs w:val="20"/>
        <w:lang w:val="lv-LV"/>
      </w:rPr>
      <w:t>0419_Mknot</w:t>
    </w:r>
    <w:r>
      <w:rPr>
        <w:rFonts w:ascii="Times New Roman" w:hAnsi="Times New Roman"/>
        <w:sz w:val="20"/>
        <w:szCs w:val="20"/>
        <w:lang w:val="lv-LV"/>
      </w:rPr>
      <w:t>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1219" w14:textId="77777777" w:rsidR="00535F90" w:rsidRDefault="00535F90" w:rsidP="00AF6C98">
      <w:pPr>
        <w:spacing w:after="0" w:line="240" w:lineRule="auto"/>
      </w:pPr>
      <w:r>
        <w:separator/>
      </w:r>
    </w:p>
  </w:footnote>
  <w:footnote w:type="continuationSeparator" w:id="0">
    <w:p w14:paraId="11FD3687" w14:textId="77777777" w:rsidR="00535F90" w:rsidRDefault="00535F90" w:rsidP="00AF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3BB" w14:textId="77777777" w:rsidR="00B13016" w:rsidRPr="00B13016" w:rsidRDefault="00155765">
    <w:pPr>
      <w:pStyle w:val="Header"/>
      <w:rPr>
        <w:lang w:val="lv-LV"/>
      </w:rPr>
    </w:pPr>
    <w:r>
      <w:rPr>
        <w:lang w:val="lv-LV"/>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69212293"/>
      <w:docPartObj>
        <w:docPartGallery w:val="Page Numbers (Top of Page)"/>
        <w:docPartUnique/>
      </w:docPartObj>
    </w:sdtPr>
    <w:sdtEndPr>
      <w:rPr>
        <w:noProof/>
      </w:rPr>
    </w:sdtEndPr>
    <w:sdtContent>
      <w:p w14:paraId="0346EDF8" w14:textId="2846733B" w:rsidR="00AF6C98" w:rsidRPr="00407CB2" w:rsidRDefault="00AF6C98">
        <w:pPr>
          <w:pStyle w:val="Header"/>
          <w:jc w:val="center"/>
          <w:rPr>
            <w:rFonts w:ascii="Times New Roman" w:hAnsi="Times New Roman"/>
          </w:rPr>
        </w:pPr>
        <w:r w:rsidRPr="00407CB2">
          <w:rPr>
            <w:rFonts w:ascii="Times New Roman" w:hAnsi="Times New Roman"/>
          </w:rPr>
          <w:fldChar w:fldCharType="begin"/>
        </w:r>
        <w:r w:rsidRPr="00407CB2">
          <w:rPr>
            <w:rFonts w:ascii="Times New Roman" w:hAnsi="Times New Roman"/>
          </w:rPr>
          <w:instrText xml:space="preserve"> PAGE   \* MERGEFORMAT </w:instrText>
        </w:r>
        <w:r w:rsidRPr="00407CB2">
          <w:rPr>
            <w:rFonts w:ascii="Times New Roman" w:hAnsi="Times New Roman"/>
          </w:rPr>
          <w:fldChar w:fldCharType="separate"/>
        </w:r>
        <w:r w:rsidRPr="00407CB2">
          <w:rPr>
            <w:rFonts w:ascii="Times New Roman" w:hAnsi="Times New Roman"/>
            <w:noProof/>
          </w:rPr>
          <w:t>2</w:t>
        </w:r>
        <w:r w:rsidRPr="00407CB2">
          <w:rPr>
            <w:rFonts w:ascii="Times New Roman" w:hAnsi="Times New Roman"/>
            <w:noProof/>
          </w:rPr>
          <w:fldChar w:fldCharType="end"/>
        </w:r>
      </w:p>
    </w:sdtContent>
  </w:sdt>
  <w:p w14:paraId="2B20E742" w14:textId="77777777" w:rsidR="00B13016" w:rsidRDefault="007545FA" w:rsidP="00B13016">
    <w:pPr>
      <w:pStyle w:val="Header"/>
      <w:tabs>
        <w:tab w:val="clear" w:pos="4153"/>
        <w:tab w:val="clear" w:pos="8306"/>
        <w:tab w:val="left" w:pos="39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3511" w14:textId="77777777" w:rsidR="00407CB2" w:rsidRDefault="00407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98"/>
    <w:rsid w:val="00155765"/>
    <w:rsid w:val="00301072"/>
    <w:rsid w:val="00407CB2"/>
    <w:rsid w:val="00535F90"/>
    <w:rsid w:val="005A04BB"/>
    <w:rsid w:val="007545FA"/>
    <w:rsid w:val="00AF6C98"/>
    <w:rsid w:val="00D8121A"/>
    <w:rsid w:val="00F77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51C1"/>
  <w15:chartTrackingRefBased/>
  <w15:docId w15:val="{2C596225-20A4-45F0-AF99-AA5D286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C98"/>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AF6C98"/>
    <w:rPr>
      <w:rFonts w:ascii="Calibri" w:eastAsia="Calibri" w:hAnsi="Calibri" w:cs="Times New Roman"/>
      <w:lang w:val="en-US"/>
    </w:rPr>
  </w:style>
  <w:style w:type="paragraph" w:styleId="Footer">
    <w:name w:val="footer"/>
    <w:basedOn w:val="Normal"/>
    <w:link w:val="FooterChar"/>
    <w:uiPriority w:val="99"/>
    <w:unhideWhenUsed/>
    <w:rsid w:val="00AF6C98"/>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AF6C98"/>
    <w:rPr>
      <w:rFonts w:ascii="Calibri" w:eastAsia="Calibri" w:hAnsi="Calibri" w:cs="Times New Roman"/>
      <w:lang w:val="en-US"/>
    </w:rPr>
  </w:style>
  <w:style w:type="paragraph" w:styleId="BalloonText">
    <w:name w:val="Balloon Text"/>
    <w:basedOn w:val="Normal"/>
    <w:link w:val="BalloonTextChar"/>
    <w:uiPriority w:val="99"/>
    <w:semiHidden/>
    <w:unhideWhenUsed/>
    <w:rsid w:val="0040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4707</Words>
  <Characters>2684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2006. gada 28.marta noteikumos Nr.236 “Noteikumi par vilces līdzekļa vadītāja (mašīnista) instruktora un  vilces līdzekļa (mašīnista) palīga kvalifikāciajs prasībām un sertifikācijas kārtībā” kvalifikācijas un vilces līdzekļa v</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28.marta noteikumos Nr.236 “Noteikumi par vilces līdzekļa vadītāja (mašīnista) instruktora un  vilces līdzekļa (mašīnista) palīga kvalifikāciajs prasībām un sertifikācijas kārtībā” kvalifikācijas un vilces līdzekļa vadīšanas tiesību iegūšanu.”</dc:title>
  <dc:subject/>
  <dc:creator>Santa Balaša</dc:creator>
  <cp:keywords>anotācija</cp:keywords>
  <dc:description>Balaša 67028071
Santa.Balasa@mk.gov.lv</dc:description>
  <cp:lastModifiedBy>Astra Vilnīte</cp:lastModifiedBy>
  <cp:revision>2</cp:revision>
  <cp:lastPrinted>2019-04-25T16:46:00Z</cp:lastPrinted>
  <dcterms:created xsi:type="dcterms:W3CDTF">2019-04-29T13:23:00Z</dcterms:created>
  <dcterms:modified xsi:type="dcterms:W3CDTF">2019-04-29T13:23:00Z</dcterms:modified>
</cp:coreProperties>
</file>