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92B7" w14:textId="77777777" w:rsidR="00836A5F" w:rsidRDefault="0075012F" w:rsidP="00750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2F">
        <w:rPr>
          <w:rFonts w:ascii="Times New Roman" w:hAnsi="Times New Roman" w:cs="Times New Roman"/>
          <w:b/>
          <w:sz w:val="24"/>
          <w:szCs w:val="24"/>
        </w:rPr>
        <w:t>Ministru kabineta noteikuma projekta “Noteikumi par Salacgrīvas ostas robežu noteikšanu” sākotnējās ietekmes novērtējuma ziņojums (anotācija)</w:t>
      </w:r>
    </w:p>
    <w:p w14:paraId="1DB66AD9" w14:textId="77777777" w:rsidR="0075012F" w:rsidRDefault="0075012F" w:rsidP="007501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996"/>
        <w:gridCol w:w="6514"/>
      </w:tblGrid>
      <w:tr w:rsidR="00950A47" w14:paraId="073D5492" w14:textId="77777777" w:rsidTr="0031032E">
        <w:tc>
          <w:tcPr>
            <w:tcW w:w="9061" w:type="dxa"/>
            <w:gridSpan w:val="3"/>
            <w:vAlign w:val="center"/>
          </w:tcPr>
          <w:p w14:paraId="7EA47C31" w14:textId="46842A0F" w:rsidR="00950A47" w:rsidRPr="00A30746" w:rsidRDefault="00950A47" w:rsidP="0075012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50A47" w14:paraId="7F5A74BA" w14:textId="77777777" w:rsidTr="00950A47">
        <w:tc>
          <w:tcPr>
            <w:tcW w:w="2547" w:type="dxa"/>
            <w:gridSpan w:val="2"/>
            <w:vAlign w:val="center"/>
          </w:tcPr>
          <w:p w14:paraId="2F3BCF79" w14:textId="778E472E" w:rsidR="00950A47" w:rsidRPr="00950A47" w:rsidRDefault="00950A47" w:rsidP="00950A4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514" w:type="dxa"/>
          </w:tcPr>
          <w:p w14:paraId="7227E3C8" w14:textId="233E1058" w:rsidR="00950A47" w:rsidRPr="00950A47" w:rsidRDefault="00002845" w:rsidP="00A50590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       </w:t>
            </w:r>
            <w:r w:rsidR="00950A4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Noteikumu projekts </w:t>
            </w:r>
            <w:r w:rsidR="00577F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noteiks jaunas Salacgrīvas ostas robežas. Jaunais Salacgrīvas ostas robežu apraksts tika izstrādāts, lai </w:t>
            </w:r>
            <w:r w:rsidR="00843AE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īstenotu paredzēto darbību -</w:t>
            </w:r>
            <w:r w:rsidR="00577F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 Salacgrīvas ostas un priekšostas pārbūv</w:t>
            </w:r>
            <w:r w:rsidR="00843AE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i</w:t>
            </w:r>
            <w:r w:rsidR="00577F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. Paredzētie pārbūves darbi var tikt veikti tikai pēc jauno Salacgrīvas ostas robežu apstiprināšanas Ministru kabinetā.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 </w:t>
            </w:r>
            <w:r w:rsidR="00577F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Noteikumu projekts</w:t>
            </w:r>
            <w:r w:rsidR="00210F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 stājas spēkā </w:t>
            </w:r>
            <w:r w:rsidR="00EC0A9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Oficiālo publikāciju un tiesiskās informācijas likumā noteiktajā vispārīgajā kārtībā</w:t>
            </w:r>
            <w:r w:rsidR="00210F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.</w:t>
            </w:r>
          </w:p>
        </w:tc>
      </w:tr>
      <w:tr w:rsidR="0075012F" w14:paraId="0688DC11" w14:textId="77777777" w:rsidTr="00586C18">
        <w:tc>
          <w:tcPr>
            <w:tcW w:w="9061" w:type="dxa"/>
            <w:gridSpan w:val="3"/>
            <w:vAlign w:val="center"/>
          </w:tcPr>
          <w:p w14:paraId="7C8146DF" w14:textId="77777777" w:rsidR="0075012F" w:rsidRPr="00A30746" w:rsidRDefault="0075012F" w:rsidP="0075012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A307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75012F" w14:paraId="6EFF0DD3" w14:textId="77777777" w:rsidTr="0075012F">
        <w:tc>
          <w:tcPr>
            <w:tcW w:w="551" w:type="dxa"/>
          </w:tcPr>
          <w:p w14:paraId="4B6F1FD0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14:paraId="01244BC7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6514" w:type="dxa"/>
          </w:tcPr>
          <w:p w14:paraId="58FF1849" w14:textId="575A5EE5" w:rsidR="0075012F" w:rsidRDefault="00247099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>Likuma par ost</w:t>
            </w:r>
            <w:r w:rsidR="00A97246" w:rsidRPr="00A9724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>m 3.p</w:t>
            </w:r>
            <w:r w:rsidR="00A97246" w:rsidRPr="00A97246">
              <w:rPr>
                <w:rFonts w:ascii="Times New Roman" w:hAnsi="Times New Roman" w:cs="Times New Roman"/>
                <w:sz w:val="24"/>
                <w:szCs w:val="24"/>
              </w:rPr>
              <w:t>ants</w:t>
            </w:r>
            <w:r w:rsidR="00893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7BC345" w14:textId="21F97233" w:rsidR="00347BB3" w:rsidRPr="00A97246" w:rsidRDefault="00347BB3" w:rsidP="00A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2018.gada 8.augusta rīkojuma Nr.364 “Par Salacgrīvas ostas un priekšostas pārbūves akceptēšanu”</w:t>
            </w:r>
            <w:r w:rsidR="00893861"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Rīkojums)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61">
              <w:rPr>
                <w:rFonts w:ascii="Times New Roman" w:hAnsi="Times New Roman" w:cs="Times New Roman"/>
                <w:sz w:val="24"/>
                <w:szCs w:val="24"/>
              </w:rPr>
              <w:t>6.punkts.</w:t>
            </w:r>
          </w:p>
        </w:tc>
      </w:tr>
      <w:tr w:rsidR="0075012F" w14:paraId="52B02548" w14:textId="77777777" w:rsidTr="0075012F">
        <w:tc>
          <w:tcPr>
            <w:tcW w:w="551" w:type="dxa"/>
          </w:tcPr>
          <w:p w14:paraId="49C24233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14:paraId="26514CFC" w14:textId="77777777" w:rsid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4C42193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75B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F077C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DB2C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9BF6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401A6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CEEF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D5B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FC7C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8401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9CB4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F254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98F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80302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360E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AA4AF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37A3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060E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7007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6F12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E6B4" w14:textId="77777777" w:rsid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D273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D893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0667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9C860" w14:textId="77777777" w:rsidR="00970682" w:rsidRPr="00970682" w:rsidRDefault="00970682" w:rsidP="00F0688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490B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3749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BD3FB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DA0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49E2" w14:textId="77777777" w:rsid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8DA6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9999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AD2B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C94E" w14:textId="77777777" w:rsid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4F2D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BC6C" w14:textId="77777777" w:rsid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283C2" w14:textId="444B4E7C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14:paraId="4B67E304" w14:textId="59822AEF" w:rsidR="00893861" w:rsidRDefault="00893861" w:rsidP="005F13AB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Rīkojumu Ministru kabinets akceptējis</w:t>
            </w:r>
            <w:r w:rsidR="00B02DC0">
              <w:rPr>
                <w:rFonts w:ascii="Times New Roman" w:hAnsi="Times New Roman" w:cs="Times New Roman"/>
                <w:sz w:val="24"/>
                <w:szCs w:val="24"/>
              </w:rPr>
              <w:t xml:space="preserve"> Salacgrīvas ostas pārvaldes paredzēto darbību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Salacgrīvas ostas un priekšostas pārbūvi. </w:t>
            </w:r>
          </w:p>
          <w:p w14:paraId="6A7C569F" w14:textId="63A7632B" w:rsidR="00893861" w:rsidRDefault="00893861" w:rsidP="005F13AB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Rīkojuma 6.punktam Satiksmes ministrijai līdz 2019.gada 31.martam uzdots izstrādāt un iesniegt izskatīšanai Ministru kabinetā grozījumus </w:t>
            </w:r>
            <w:r w:rsidRPr="00A50590">
              <w:rPr>
                <w:rFonts w:ascii="Times New Roman" w:hAnsi="Times New Roman" w:cs="Times New Roman"/>
                <w:sz w:val="24"/>
                <w:szCs w:val="24"/>
              </w:rPr>
              <w:t>Ministru kabineta 2006.gada 30.maija noteikumos Nr. 440 "</w:t>
            </w:r>
            <w:hyperlink r:id="rId7" w:tgtFrame="_blank" w:history="1">
              <w:r w:rsidRPr="00A50590">
                <w:rPr>
                  <w:rFonts w:ascii="Times New Roman" w:hAnsi="Times New Roman" w:cs="Times New Roman"/>
                  <w:sz w:val="24"/>
                  <w:szCs w:val="24"/>
                </w:rPr>
                <w:t>Noteikumi par Salacgrīvas ostas robežu noteikšanu</w:t>
              </w:r>
            </w:hyperlink>
            <w:r w:rsidRPr="00A50590">
              <w:rPr>
                <w:rFonts w:ascii="Times New Roman" w:hAnsi="Times New Roman" w:cs="Times New Roman"/>
                <w:sz w:val="24"/>
                <w:szCs w:val="24"/>
              </w:rPr>
              <w:t>", kas precizēs Salacgrīvas ostas robežas atbilstoši šajā rīkojumā paredzētajām darbībām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C8A2A" w14:textId="360394FE" w:rsidR="00B02DC0" w:rsidRDefault="008901E1" w:rsidP="005F13AB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E1">
              <w:rPr>
                <w:rFonts w:ascii="Times New Roman" w:hAnsi="Times New Roman" w:cs="Times New Roman"/>
                <w:sz w:val="24"/>
                <w:szCs w:val="24"/>
              </w:rPr>
              <w:t xml:space="preserve">Pašlaik </w:t>
            </w:r>
            <w:r w:rsidR="001A0D1E">
              <w:rPr>
                <w:rFonts w:ascii="Times New Roman" w:hAnsi="Times New Roman" w:cs="Times New Roman"/>
                <w:sz w:val="24"/>
                <w:szCs w:val="24"/>
              </w:rPr>
              <w:t>Salacgrīvas ostas robežas no</w:t>
            </w:r>
            <w:r w:rsidR="00B02DC0">
              <w:rPr>
                <w:rFonts w:ascii="Times New Roman" w:hAnsi="Times New Roman" w:cs="Times New Roman"/>
                <w:sz w:val="24"/>
                <w:szCs w:val="24"/>
              </w:rPr>
              <w:t>teic</w:t>
            </w:r>
            <w:r w:rsidRPr="008901E1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2006.gada 30.maija noteikumi Nr.440 “Noteikumi par Salacgrīvas ostas robežu noteikšanu”.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Salacgrīvas ostas pārvaldes izstrādātais</w:t>
            </w:r>
            <w:r w:rsidR="00143F1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5F13AB">
              <w:rPr>
                <w:rFonts w:ascii="Times New Roman" w:hAnsi="Times New Roman" w:cs="Times New Roman"/>
                <w:sz w:val="24"/>
                <w:szCs w:val="24"/>
              </w:rPr>
              <w:t>aunais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robežu </w:t>
            </w:r>
            <w:r w:rsidR="005F13AB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veikts, lai tiktu 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 xml:space="preserve">īstenota 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="005F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>2018.gada 8.augusta rīkojum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 xml:space="preserve"> Nr.364 “Par Salacgrīvas ostas un priekšostas pārbūves akceptēšanu” (turpmāk – 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>īkojums)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 xml:space="preserve"> paredzēt</w:t>
            </w:r>
            <w:r w:rsidR="001A0D1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 xml:space="preserve"> darbība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356C2A" w14:textId="350AD69D" w:rsidR="00934C1C" w:rsidRDefault="006D256C" w:rsidP="006D256C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4C308A" w:rsidRPr="00843AE5">
              <w:rPr>
                <w:rFonts w:ascii="Times New Roman" w:hAnsi="Times New Roman" w:cs="Times New Roman"/>
                <w:sz w:val="24"/>
                <w:szCs w:val="24"/>
              </w:rPr>
              <w:t>Rīkojum</w:t>
            </w:r>
            <w:r w:rsidRPr="00A5059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C308A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AE5">
              <w:rPr>
                <w:rFonts w:ascii="Times New Roman" w:hAnsi="Times New Roman" w:cs="Times New Roman"/>
                <w:sz w:val="24"/>
                <w:szCs w:val="24"/>
              </w:rPr>
              <w:t>Ministru kabinets akceptējis Salacgrīvas ostas pārvaldes paredzēto darbību - Salacgrīvas ostas un priekšostas pārbūvi, kas tiks īstenota,</w:t>
            </w:r>
            <w:r w:rsidR="004C308A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lai nodrošinātu Salacgrīvas ostas teritorijas attīstību</w:t>
            </w:r>
            <w:r w:rsidRPr="00A50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08A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66" w:rsidRPr="00843AE5">
              <w:rPr>
                <w:rFonts w:ascii="Times New Roman" w:hAnsi="Times New Roman" w:cs="Times New Roman"/>
                <w:sz w:val="24"/>
                <w:szCs w:val="24"/>
              </w:rPr>
              <w:t>Salacgrīvas ostas un priekšostas pārbūves projekt</w:t>
            </w:r>
            <w:r w:rsidR="00350691" w:rsidRPr="00843AE5">
              <w:rPr>
                <w:rFonts w:ascii="Times New Roman" w:hAnsi="Times New Roman" w:cs="Times New Roman"/>
                <w:sz w:val="24"/>
                <w:szCs w:val="24"/>
              </w:rPr>
              <w:t>a īstenošanas laikā Salacgrīvas ostas teritorijā (akvatorijā) un Baltijas jūras Rīgas jūras līcī</w:t>
            </w:r>
            <w:r w:rsidR="00DA53F7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(Latvijas Republikas iekšējos ūdeņos un teritoriālā jūrā) ārpus ostas teritorijas aiz esošajiem Ziemeļu un Dienvidu moliem</w:t>
            </w:r>
            <w:r w:rsidR="00395366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ir plānots veikt </w:t>
            </w:r>
            <w:r w:rsidR="00934C1C" w:rsidRPr="00843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83540F" w14:textId="77777777" w:rsidR="00934C1C" w:rsidRDefault="00395366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>ostas akvatorijas padziļināšanu līdz -7m atzīmei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3CA443" w14:textId="4784BB5F" w:rsidR="00934C1C" w:rsidRDefault="00395366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 jaunu sauszemes teritoriju būvēšanu uz ziemeļiem no Ziemeļu mola un uz dienvidiem no pašreizējā Dienvidu mola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64588" w14:textId="2E83F945" w:rsidR="00934C1C" w:rsidRDefault="00395366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 jaun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 Dienvidu mola izbūv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 nojaucot esošo molu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5625CF" w14:textId="17FEA16A" w:rsidR="0075012F" w:rsidRDefault="00395366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divu 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piestātņu izbūv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540E8" w14:textId="1E830EB7" w:rsidR="00934C1C" w:rsidRDefault="00934C1C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 stiprināju</w:t>
            </w:r>
            <w:r w:rsidR="006D53D6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izbūv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C7D26E" w14:textId="24D84698" w:rsidR="00934C1C" w:rsidRDefault="00934C1C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ostas saimnieciskās darbības atvirzīšan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dzīvojamā sektora.</w:t>
            </w:r>
          </w:p>
          <w:p w14:paraId="3CE0B11C" w14:textId="1818ECF8" w:rsidR="00CB7F36" w:rsidRPr="00CB7F36" w:rsidRDefault="00CB7F36" w:rsidP="00B3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Paredzētās darbības ārpus ostas esošajā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robežām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tiks veiktas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pēc precizēto Salacgrīvas ostas robežu apstiprināšanas Ministru kabinetā.</w:t>
            </w:r>
          </w:p>
          <w:p w14:paraId="12F74F6C" w14:textId="511AE4C8" w:rsidR="00760D76" w:rsidRDefault="00760D76" w:rsidP="00B3563D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Rīkojuma izpilde 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un Salacgrīvas ostas robežu maiņa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atbilst 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>Latvijas ostu attīstības programm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 (2014.-2020.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>) un Salacgrīvas ostas attīstības programm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 (2015.-2025.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3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E5">
              <w:rPr>
                <w:rFonts w:ascii="Times New Roman" w:hAnsi="Times New Roman" w:cs="Times New Roman"/>
                <w:sz w:val="24"/>
                <w:szCs w:val="24"/>
              </w:rPr>
              <w:t>Ar paredzēto darbību īstenošanu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 tiks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 xml:space="preserve"> sekmē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Salacgrīvas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 ostas attīstīb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 nākotnē.</w:t>
            </w:r>
          </w:p>
          <w:p w14:paraId="34AEAA51" w14:textId="109ED2CB" w:rsidR="00664E15" w:rsidRDefault="00664E15" w:rsidP="00B3563D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Salacgrīvas ostas 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teritorijā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papildus esošajām zemes vienībām tiek iekļauta:</w:t>
            </w:r>
          </w:p>
          <w:p w14:paraId="2BC8B53A" w14:textId="77777777" w:rsidR="00664E15" w:rsidRPr="00261CE0" w:rsidRDefault="0022597F" w:rsidP="00B356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4E15" w:rsidRPr="00664E15">
              <w:rPr>
                <w:rFonts w:ascii="Times New Roman" w:hAnsi="Times New Roman" w:cs="Times New Roman"/>
                <w:sz w:val="24"/>
                <w:szCs w:val="24"/>
              </w:rPr>
              <w:t>emes vienība ar kadastra apzīmējum</w:t>
            </w:r>
            <w:r w:rsidR="00664E1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664E15" w:rsidRPr="00664E15">
              <w:rPr>
                <w:rFonts w:ascii="Times New Roman" w:hAnsi="Times New Roman" w:cs="Times New Roman"/>
                <w:sz w:val="24"/>
                <w:szCs w:val="24"/>
              </w:rPr>
              <w:t>6615 001 0073</w:t>
            </w:r>
            <w:r w:rsidR="00664E15">
              <w:rPr>
                <w:rFonts w:ascii="Times New Roman" w:hAnsi="Times New Roman" w:cs="Times New Roman"/>
                <w:sz w:val="24"/>
                <w:szCs w:val="24"/>
              </w:rPr>
              <w:t>, kas daļēji ti</w:t>
            </w:r>
            <w:r w:rsidR="00D66E62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664E15">
              <w:rPr>
                <w:rFonts w:ascii="Times New Roman" w:hAnsi="Times New Roman" w:cs="Times New Roman"/>
                <w:sz w:val="24"/>
                <w:szCs w:val="24"/>
              </w:rPr>
              <w:t xml:space="preserve"> izmantota ostas vajadzībām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Salacgrīvas ostas teritorijā tiek iekļauta daļa no šīs zemes vienības. </w:t>
            </w:r>
            <w:r w:rsidRPr="00261CE0">
              <w:rPr>
                <w:rFonts w:ascii="Times New Roman" w:hAnsi="Times New Roman" w:cs="Times New Roman"/>
                <w:sz w:val="24"/>
                <w:szCs w:val="24"/>
              </w:rPr>
              <w:t>Zemes vienības īpašnieks ir Salacgrīvas novada dome.</w:t>
            </w:r>
          </w:p>
          <w:p w14:paraId="4DDD36B4" w14:textId="65E942EE" w:rsidR="0022597F" w:rsidRPr="00261CE0" w:rsidRDefault="0022597F" w:rsidP="00B356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0">
              <w:rPr>
                <w:rFonts w:ascii="Times New Roman" w:hAnsi="Times New Roman" w:cs="Times New Roman"/>
                <w:sz w:val="24"/>
                <w:szCs w:val="24"/>
              </w:rPr>
              <w:t xml:space="preserve">Zemes vienība ar kadastra apzīmējumu 6615 001 0075. Zemes vienības </w:t>
            </w:r>
            <w:r w:rsidR="00261CE0" w:rsidRPr="00261CE0">
              <w:rPr>
                <w:rFonts w:ascii="Times New Roman" w:hAnsi="Times New Roman" w:cs="Times New Roman"/>
                <w:sz w:val="24"/>
                <w:szCs w:val="24"/>
              </w:rPr>
              <w:t>ir ierakstīta zemesgrāmatā uz Latvijas valsts vārda Satiksmes ministrijas personā.</w:t>
            </w:r>
          </w:p>
          <w:p w14:paraId="3A887FEB" w14:textId="77777777" w:rsidR="0022597F" w:rsidRDefault="0022597F" w:rsidP="00B356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vienība ar kadastra apzīmējumu 6640 004 0001, kas daļēji ti</w:t>
            </w:r>
            <w:r w:rsidR="00D66E62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izmantota ostas vajadzībām. Salacgrīvas ostas teritorijā tiek iekļauta daļa no šīs zemes vienības. Šī zemes vienība ir piekrastes ūdeņi Rīgas jūras līcī ar piederību Salacgrīvas novada domei.</w:t>
            </w:r>
          </w:p>
          <w:p w14:paraId="21A01CC2" w14:textId="77777777" w:rsidR="0022597F" w:rsidRDefault="0022597F" w:rsidP="00B3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vienību iekļaušanas pamatojums Salacgrīvas ostas robežās:</w:t>
            </w:r>
          </w:p>
          <w:p w14:paraId="167C15C5" w14:textId="77777777" w:rsidR="0022597F" w:rsidRDefault="0022597F" w:rsidP="00B356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Daļa no zemes vienības ar kadastra </w:t>
            </w:r>
            <w:r w:rsidR="00D66E62">
              <w:rPr>
                <w:rFonts w:ascii="Times New Roman" w:hAnsi="Times New Roman" w:cs="Times New Roman"/>
                <w:sz w:val="24"/>
                <w:szCs w:val="24"/>
              </w:rPr>
              <w:t>apzīmējumu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6615 001 0073 tiek izmantota</w:t>
            </w:r>
            <w:r w:rsidR="00D66E62">
              <w:rPr>
                <w:rFonts w:ascii="Times New Roman" w:hAnsi="Times New Roman" w:cs="Times New Roman"/>
                <w:sz w:val="24"/>
                <w:szCs w:val="24"/>
              </w:rPr>
              <w:t xml:space="preserve"> Salacgrīvas jahtu ostas infrastruktūras izbūvei un uzturēšanai.</w:t>
            </w:r>
          </w:p>
          <w:p w14:paraId="315BF17F" w14:textId="77777777" w:rsidR="00D66E62" w:rsidRDefault="00D66E62" w:rsidP="00B356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vienībā ar kadastra apzīmējumu 6615 001 0075 atrodas Salacgrīvas ostas pārvaldei piederošs nekustamais īpašums – Salacgrīvas ostas vadlīnijas zīme.</w:t>
            </w:r>
          </w:p>
          <w:p w14:paraId="2F4C6131" w14:textId="09D18FCB" w:rsidR="00D66E62" w:rsidRPr="0022597F" w:rsidRDefault="00D66E62" w:rsidP="00B356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Daļā no zemes vienības ar kadastra apzīmējumu 6640 004 0001 plānota Salacgrīvas ostas un priekšostas pārbūve,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īkojuma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59309" w14:textId="77777777" w:rsidR="00721E5A" w:rsidRDefault="00721E5A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47B1" w14:textId="7C1A1606" w:rsidR="00721E5A" w:rsidRPr="00721E5A" w:rsidRDefault="00EE0E7F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īkojuma 5.2. apakšpunktam</w:t>
            </w:r>
            <w:r w:rsidR="0072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 xml:space="preserve">paredzētās darbības veicamas pēc </w:t>
            </w:r>
            <w:proofErr w:type="spellStart"/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>jaunizbūvējamo</w:t>
            </w:r>
            <w:proofErr w:type="spellEnd"/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 xml:space="preserve"> sauszemes teritoriju iekļaušanas spēkā esošā teritorijas plānojumā vai </w:t>
            </w:r>
            <w:proofErr w:type="spellStart"/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>lokālplānojumā</w:t>
            </w:r>
            <w:proofErr w:type="spellEnd"/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>, t. i., pēc 2009. gadā apstiprināto ūdeņu platību un neatbilstošo funkcionālo zonu sauszemē aizstāšanas ar atbilstošām funkcionālajām zonām (piemēram, "Transporta infrastruktūras teritorija")</w:t>
            </w:r>
            <w:r w:rsidR="00721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39564A" w14:textId="2D451019" w:rsidR="00B32C1B" w:rsidRPr="00760D76" w:rsidRDefault="00EE0E7F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Salacgrīvas novada teritorijas plānojums (2018-2029</w:t>
            </w:r>
            <w:r w:rsidR="00721E5A">
              <w:rPr>
                <w:rFonts w:ascii="Times New Roman" w:hAnsi="Times New Roman" w:cs="Times New Roman"/>
                <w:sz w:val="24"/>
                <w:szCs w:val="24"/>
              </w:rPr>
              <w:t>.gadam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ir izstrādes stadijā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76A84">
              <w:rPr>
                <w:rFonts w:ascii="Times New Roman" w:hAnsi="Times New Roman" w:cs="Times New Roman"/>
                <w:sz w:val="24"/>
                <w:szCs w:val="24"/>
              </w:rPr>
              <w:t xml:space="preserve">ā 1.redakcija un vides pārskats tika izsludināts publiskai apspriešanai 2018.gada 28.maijā. </w:t>
            </w:r>
          </w:p>
        </w:tc>
      </w:tr>
      <w:tr w:rsidR="0075012F" w14:paraId="4D6CE23D" w14:textId="77777777" w:rsidTr="0075012F">
        <w:tc>
          <w:tcPr>
            <w:tcW w:w="551" w:type="dxa"/>
          </w:tcPr>
          <w:p w14:paraId="4A93112C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6" w:type="dxa"/>
          </w:tcPr>
          <w:p w14:paraId="0706B2E8" w14:textId="71ADEAC6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  <w:r w:rsidR="00002845">
              <w:rPr>
                <w:rFonts w:ascii="Times New Roman" w:hAnsi="Times New Roman" w:cs="Times New Roman"/>
                <w:sz w:val="24"/>
                <w:szCs w:val="24"/>
              </w:rPr>
              <w:t xml:space="preserve"> un publiskas personas kapitālsabiedrības</w:t>
            </w:r>
          </w:p>
        </w:tc>
        <w:tc>
          <w:tcPr>
            <w:tcW w:w="6514" w:type="dxa"/>
          </w:tcPr>
          <w:p w14:paraId="270A33AB" w14:textId="77777777" w:rsidR="0075012F" w:rsidRPr="00A97246" w:rsidRDefault="00A97246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>Salacgrīvas ostas pārvalde,</w:t>
            </w:r>
            <w:r w:rsidR="00EE0E7F">
              <w:rPr>
                <w:rFonts w:ascii="Times New Roman" w:hAnsi="Times New Roman" w:cs="Times New Roman"/>
                <w:sz w:val="24"/>
                <w:szCs w:val="24"/>
              </w:rPr>
              <w:t xml:space="preserve"> Salacgrīvas novada dome,</w:t>
            </w: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</w:t>
            </w:r>
            <w:r w:rsidR="00EE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12F" w14:paraId="3DDC2440" w14:textId="77777777" w:rsidTr="0075012F">
        <w:tc>
          <w:tcPr>
            <w:tcW w:w="551" w:type="dxa"/>
          </w:tcPr>
          <w:p w14:paraId="65302410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14:paraId="02E454DB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514" w:type="dxa"/>
          </w:tcPr>
          <w:p w14:paraId="655BA021" w14:textId="77777777" w:rsidR="0075012F" w:rsidRDefault="00966F91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1">
              <w:rPr>
                <w:rFonts w:ascii="Times New Roman" w:hAnsi="Times New Roman" w:cs="Times New Roman"/>
                <w:sz w:val="24"/>
                <w:szCs w:val="24"/>
              </w:rPr>
              <w:t>Salacgrīvas ostas valde 2018.gada 1.novembrī pieņēma lēmumu Nr.14 (prot. Nr.4) par Salacgrīvas ostas robežu noteikšanu atbilstoši Salacgrīvas ostas robežu aprakstam.</w:t>
            </w:r>
          </w:p>
          <w:p w14:paraId="1DB09E14" w14:textId="77777777" w:rsidR="00966F91" w:rsidRDefault="00966F91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Salacgrīvas novada dome 2018.gada 28.novembrī pieņēma lēmumu Nr.364 (prot. Nr.12; 5.§) par Salacgrīvas ostas robežu noteikšanu atbilstoši Salacgrīvas ostas robežu aprakstam.</w:t>
            </w:r>
          </w:p>
          <w:p w14:paraId="0C97FD46" w14:textId="13262146" w:rsidR="00AF549A" w:rsidRPr="009B2539" w:rsidRDefault="005C31FC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VAS “Latvijas dzelzceļš” 2019.gada 18.janvārī saskaņoja (atzinums Nr.DN-6.3.1/16-2019) Salacgrīvas ostas robežu noteikšanu atbilstoši Salacgrīvas ostas valdes un Salacgrīvas novada domes lēmumiem.</w:t>
            </w:r>
          </w:p>
        </w:tc>
      </w:tr>
      <w:tr w:rsidR="0075012F" w14:paraId="38445D3A" w14:textId="77777777" w:rsidTr="00D415A9">
        <w:tc>
          <w:tcPr>
            <w:tcW w:w="9061" w:type="dxa"/>
            <w:gridSpan w:val="3"/>
          </w:tcPr>
          <w:p w14:paraId="4167701A" w14:textId="77777777" w:rsidR="0075012F" w:rsidRDefault="0075012F" w:rsidP="0000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Tiesību akta projekta ietekme uz sabiedrību</w:t>
            </w:r>
          </w:p>
        </w:tc>
      </w:tr>
      <w:tr w:rsidR="0075012F" w14:paraId="3AC99B49" w14:textId="77777777" w:rsidTr="0075012F">
        <w:tc>
          <w:tcPr>
            <w:tcW w:w="551" w:type="dxa"/>
          </w:tcPr>
          <w:p w14:paraId="31B9545C" w14:textId="77777777" w:rsid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14:paraId="2DE6228B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6514" w:type="dxa"/>
          </w:tcPr>
          <w:p w14:paraId="70C7EF28" w14:textId="246F621E" w:rsidR="00A97246" w:rsidRPr="00A97246" w:rsidRDefault="00A97246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attiecas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Salac</w:t>
            </w:r>
            <w:r w:rsidR="00975F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rīvas</w:t>
            </w: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 xml:space="preserve"> pašvaldību, kur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685">
              <w:rPr>
                <w:rFonts w:ascii="Times New Roman" w:hAnsi="Times New Roman" w:cs="Times New Roman"/>
                <w:sz w:val="24"/>
                <w:szCs w:val="24"/>
              </w:rPr>
              <w:t xml:space="preserve">administratīvajā teritorijā atrodas </w:t>
            </w:r>
            <w:r w:rsidR="00975FE7" w:rsidRPr="00B16685">
              <w:rPr>
                <w:rFonts w:ascii="Times New Roman" w:hAnsi="Times New Roman" w:cs="Times New Roman"/>
                <w:sz w:val="24"/>
                <w:szCs w:val="24"/>
              </w:rPr>
              <w:t>Salacgrīvas</w:t>
            </w:r>
            <w:r w:rsidRPr="00B16685">
              <w:rPr>
                <w:rFonts w:ascii="Times New Roman" w:hAnsi="Times New Roman" w:cs="Times New Roman"/>
                <w:sz w:val="24"/>
                <w:szCs w:val="24"/>
              </w:rPr>
              <w:t xml:space="preserve"> osta</w:t>
            </w:r>
            <w:r w:rsidR="00B16685" w:rsidRPr="00B166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B16685" w:rsidRPr="00B166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jūras piekrastes daļas akvatorija divu kilometru platumā no jūras krasta līnijas</w:t>
            </w:r>
            <w:r w:rsidR="0058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Salacgrīvas novada</w:t>
            </w:r>
            <w:r w:rsidR="00583F3A" w:rsidRPr="00B166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administratīvajā teritorijā</w:t>
            </w:r>
            <w:r w:rsidR="0058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12EC85E" w14:textId="77777777" w:rsidR="0075012F" w:rsidRPr="00A97246" w:rsidRDefault="0075012F" w:rsidP="00B3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2F" w14:paraId="14D5337D" w14:textId="77777777" w:rsidTr="0075012F">
        <w:tc>
          <w:tcPr>
            <w:tcW w:w="551" w:type="dxa"/>
          </w:tcPr>
          <w:p w14:paraId="635710E4" w14:textId="77777777" w:rsid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14:paraId="1E2FDEB6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514" w:type="dxa"/>
          </w:tcPr>
          <w:p w14:paraId="3FF3483B" w14:textId="77777777" w:rsidR="0075012F" w:rsidRDefault="00E55A71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tiesiskais regulējums sekmēs ostas attīstību, veicinās nodarbinātību, kā arī palielinās Salacgrīvas ostas konkurētspēju.</w:t>
            </w:r>
          </w:p>
          <w:p w14:paraId="2D7FA477" w14:textId="650D08B2" w:rsidR="00E55A71" w:rsidRPr="006A44CC" w:rsidRDefault="00714A42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tiesiskais regulējums nepalielina administratīvo slogu, līdz ar to s</w:t>
            </w:r>
            <w:r w:rsidR="00E55A71">
              <w:rPr>
                <w:rFonts w:ascii="Times New Roman" w:hAnsi="Times New Roman" w:cs="Times New Roman"/>
                <w:sz w:val="24"/>
                <w:szCs w:val="24"/>
              </w:rPr>
              <w:t>abiedrības grupām un institūcijām projekta tiesiskais regulējums nemaina tiesības un pienākumus, kā arī veicamās darbības.</w:t>
            </w:r>
          </w:p>
        </w:tc>
      </w:tr>
      <w:tr w:rsidR="0075012F" w14:paraId="28FD51A5" w14:textId="77777777" w:rsidTr="0075012F">
        <w:tc>
          <w:tcPr>
            <w:tcW w:w="551" w:type="dxa"/>
          </w:tcPr>
          <w:p w14:paraId="5224F61C" w14:textId="77777777" w:rsid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14:paraId="6F0276BF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514" w:type="dxa"/>
          </w:tcPr>
          <w:p w14:paraId="4C9270C7" w14:textId="77777777" w:rsidR="0075012F" w:rsidRPr="006A44CC" w:rsidRDefault="006A44CC" w:rsidP="00A3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CC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02845" w14:paraId="2D8EA062" w14:textId="77777777" w:rsidTr="0075012F">
        <w:tc>
          <w:tcPr>
            <w:tcW w:w="551" w:type="dxa"/>
          </w:tcPr>
          <w:p w14:paraId="19038F1B" w14:textId="768B3F87" w:rsidR="00002845" w:rsidRDefault="00002845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14:paraId="3895B595" w14:textId="4DC8A964" w:rsidR="00002845" w:rsidRPr="0075012F" w:rsidRDefault="00002845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Atbilstība</w:t>
            </w:r>
            <w:r w:rsidR="001B28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izmaksu monetārs novērtējums</w:t>
            </w:r>
          </w:p>
        </w:tc>
        <w:tc>
          <w:tcPr>
            <w:tcW w:w="6514" w:type="dxa"/>
          </w:tcPr>
          <w:p w14:paraId="6263E680" w14:textId="1B45CFEE" w:rsidR="00002845" w:rsidRPr="006A44CC" w:rsidRDefault="00002845" w:rsidP="0000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5012F" w14:paraId="2C886CCC" w14:textId="77777777" w:rsidTr="0075012F">
        <w:tc>
          <w:tcPr>
            <w:tcW w:w="551" w:type="dxa"/>
          </w:tcPr>
          <w:p w14:paraId="1931E822" w14:textId="46CAC852" w:rsidR="0075012F" w:rsidRDefault="00002845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14:paraId="2AA314E1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514" w:type="dxa"/>
          </w:tcPr>
          <w:p w14:paraId="4D64BBE0" w14:textId="77777777" w:rsidR="0075012F" w:rsidRPr="006A44CC" w:rsidRDefault="006A44CC" w:rsidP="00B3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C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5012F" w14:paraId="2DBD91F1" w14:textId="77777777" w:rsidTr="0090550E">
        <w:tc>
          <w:tcPr>
            <w:tcW w:w="9061" w:type="dxa"/>
            <w:gridSpan w:val="3"/>
          </w:tcPr>
          <w:p w14:paraId="08C2A195" w14:textId="77777777" w:rsidR="0075012F" w:rsidRDefault="0075012F" w:rsidP="0010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5012F" w14:paraId="4E22BA1C" w14:textId="77777777" w:rsidTr="0097046F">
        <w:tc>
          <w:tcPr>
            <w:tcW w:w="9061" w:type="dxa"/>
            <w:gridSpan w:val="3"/>
          </w:tcPr>
          <w:p w14:paraId="5C94A8F6" w14:textId="77777777" w:rsidR="0075012F" w:rsidRPr="0075012F" w:rsidRDefault="0075012F" w:rsidP="001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52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12F" w14:paraId="3D1DADEC" w14:textId="77777777" w:rsidTr="00D91486">
        <w:tc>
          <w:tcPr>
            <w:tcW w:w="9061" w:type="dxa"/>
            <w:gridSpan w:val="3"/>
          </w:tcPr>
          <w:p w14:paraId="254AAEB9" w14:textId="77777777" w:rsidR="0075012F" w:rsidRDefault="0075012F" w:rsidP="0010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526BD6" w14:paraId="1C0786E1" w14:textId="77777777" w:rsidTr="00884DAD">
        <w:tc>
          <w:tcPr>
            <w:tcW w:w="9061" w:type="dxa"/>
            <w:gridSpan w:val="3"/>
          </w:tcPr>
          <w:p w14:paraId="36A611D9" w14:textId="77777777" w:rsidR="00526BD6" w:rsidRPr="00526BD6" w:rsidRDefault="00526BD6" w:rsidP="001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D6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5012F" w14:paraId="6998B9EB" w14:textId="77777777" w:rsidTr="00FC4B16">
        <w:tc>
          <w:tcPr>
            <w:tcW w:w="9061" w:type="dxa"/>
            <w:gridSpan w:val="3"/>
            <w:vAlign w:val="center"/>
          </w:tcPr>
          <w:p w14:paraId="67CE1F6E" w14:textId="77777777" w:rsidR="0075012F" w:rsidRPr="0075012F" w:rsidRDefault="0075012F" w:rsidP="00B356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5012F" w14:paraId="4EF9B281" w14:textId="77777777" w:rsidTr="00E222B5">
        <w:trPr>
          <w:trHeight w:val="323"/>
        </w:trPr>
        <w:tc>
          <w:tcPr>
            <w:tcW w:w="9061" w:type="dxa"/>
            <w:gridSpan w:val="3"/>
          </w:tcPr>
          <w:p w14:paraId="232148FC" w14:textId="77777777" w:rsidR="0075012F" w:rsidRPr="0075012F" w:rsidRDefault="0075012F" w:rsidP="00A3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5012F" w14:paraId="65376228" w14:textId="77777777" w:rsidTr="00E222B5">
        <w:trPr>
          <w:trHeight w:val="323"/>
        </w:trPr>
        <w:tc>
          <w:tcPr>
            <w:tcW w:w="9061" w:type="dxa"/>
            <w:gridSpan w:val="3"/>
          </w:tcPr>
          <w:p w14:paraId="5C41D93A" w14:textId="77777777" w:rsidR="0075012F" w:rsidRPr="0075012F" w:rsidRDefault="0075012F" w:rsidP="00B356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0655F" w14:paraId="38354889" w14:textId="77777777" w:rsidTr="0010655F">
        <w:trPr>
          <w:trHeight w:val="323"/>
        </w:trPr>
        <w:tc>
          <w:tcPr>
            <w:tcW w:w="551" w:type="dxa"/>
          </w:tcPr>
          <w:p w14:paraId="45260E24" w14:textId="19F39DF7" w:rsidR="0010655F" w:rsidRPr="00DB1330" w:rsidRDefault="0010655F" w:rsidP="00A3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96" w:type="dxa"/>
          </w:tcPr>
          <w:p w14:paraId="5FF9482D" w14:textId="232B9F12" w:rsidR="0010655F" w:rsidRPr="00DB1330" w:rsidRDefault="0010655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514" w:type="dxa"/>
          </w:tcPr>
          <w:p w14:paraId="18BD7B70" w14:textId="38367197" w:rsidR="0010655F" w:rsidRPr="00DB13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Paziņojums par līdzdalības iespējām tiesību akta izstrādes procesā 2019.gada</w:t>
            </w:r>
            <w:r w:rsidR="00677E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februārī </w:t>
            </w:r>
            <w:r w:rsidR="00677E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ievietots Satiksmes ministrijas tīmekļa vietnē.</w:t>
            </w:r>
          </w:p>
        </w:tc>
      </w:tr>
      <w:tr w:rsidR="0010655F" w14:paraId="3C578A4D" w14:textId="77777777" w:rsidTr="0010655F">
        <w:trPr>
          <w:trHeight w:val="323"/>
        </w:trPr>
        <w:tc>
          <w:tcPr>
            <w:tcW w:w="551" w:type="dxa"/>
          </w:tcPr>
          <w:p w14:paraId="380D6308" w14:textId="3E3DC33E" w:rsidR="0010655F" w:rsidRPr="00DB1330" w:rsidRDefault="0010655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96" w:type="dxa"/>
          </w:tcPr>
          <w:p w14:paraId="749D0AB1" w14:textId="12128773" w:rsidR="0010655F" w:rsidRPr="00DB13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514" w:type="dxa"/>
          </w:tcPr>
          <w:p w14:paraId="38E3DDEB" w14:textId="53FDE947" w:rsidR="00F2502F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Paziņojums par līdzdalības iespējām tiesību akta izstrādes procesā 2019.gada 5.februārī tika publicēts Satiksmes ministrijas tīmekļa vietnē </w:t>
            </w:r>
            <w:hyperlink r:id="rId8" w:history="1">
              <w:r w:rsidR="00F2502F" w:rsidRPr="00840C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http://www.sam.gov.lv/satmin/content/?cat=553</w:t>
              </w:r>
            </w:hyperlink>
          </w:p>
          <w:p w14:paraId="23DEFB33" w14:textId="33AAC211" w:rsidR="00F2502F" w:rsidRPr="00DB1330" w:rsidRDefault="00F2502F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655F" w14:paraId="6858B3AA" w14:textId="77777777" w:rsidTr="0010655F">
        <w:trPr>
          <w:trHeight w:val="323"/>
        </w:trPr>
        <w:tc>
          <w:tcPr>
            <w:tcW w:w="551" w:type="dxa"/>
          </w:tcPr>
          <w:p w14:paraId="324CD29B" w14:textId="28979E15" w:rsidR="0010655F" w:rsidRPr="00DB1330" w:rsidRDefault="0010655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96" w:type="dxa"/>
          </w:tcPr>
          <w:p w14:paraId="48386424" w14:textId="754B8E65" w:rsidR="0010655F" w:rsidRPr="00DB13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514" w:type="dxa"/>
          </w:tcPr>
          <w:p w14:paraId="336C99E5" w14:textId="5AA68763" w:rsidR="0010655F" w:rsidRPr="00DB1330" w:rsidRDefault="001B2830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Iebildumi vai priekšlikumi n</w:t>
            </w:r>
            <w:r w:rsidR="00677E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etika saņemti</w:t>
            </w:r>
            <w:r w:rsidR="00E82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0655F" w14:paraId="38644A3A" w14:textId="77777777" w:rsidTr="0010655F">
        <w:trPr>
          <w:trHeight w:val="323"/>
        </w:trPr>
        <w:tc>
          <w:tcPr>
            <w:tcW w:w="551" w:type="dxa"/>
          </w:tcPr>
          <w:p w14:paraId="5B2BDA26" w14:textId="7CCAA8AE" w:rsidR="0010655F" w:rsidRPr="00DB1330" w:rsidRDefault="0010655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96" w:type="dxa"/>
          </w:tcPr>
          <w:p w14:paraId="3C5CC344" w14:textId="11787A25" w:rsidR="0010655F" w:rsidRPr="00DB13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514" w:type="dxa"/>
          </w:tcPr>
          <w:p w14:paraId="054526C0" w14:textId="62184C87" w:rsidR="001B28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  <w:p w14:paraId="4DBBCAEA" w14:textId="3C4D871D" w:rsidR="001B2830" w:rsidRPr="00DB1330" w:rsidRDefault="001B2830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5012F" w14:paraId="1A9997FE" w14:textId="77777777" w:rsidTr="009D5285">
        <w:trPr>
          <w:trHeight w:val="323"/>
        </w:trPr>
        <w:tc>
          <w:tcPr>
            <w:tcW w:w="9061" w:type="dxa"/>
            <w:gridSpan w:val="3"/>
          </w:tcPr>
          <w:p w14:paraId="6F2C893B" w14:textId="77777777" w:rsidR="0075012F" w:rsidRPr="0075012F" w:rsidRDefault="0075012F" w:rsidP="001065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5012F" w14:paraId="3BFAEC2C" w14:textId="77777777" w:rsidTr="0075012F">
        <w:trPr>
          <w:trHeight w:val="323"/>
        </w:trPr>
        <w:tc>
          <w:tcPr>
            <w:tcW w:w="551" w:type="dxa"/>
          </w:tcPr>
          <w:p w14:paraId="1168B2FC" w14:textId="77777777" w:rsidR="0075012F" w:rsidRDefault="0075012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996" w:type="dxa"/>
          </w:tcPr>
          <w:p w14:paraId="78A71A80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514" w:type="dxa"/>
          </w:tcPr>
          <w:p w14:paraId="3DB0A01A" w14:textId="77777777" w:rsidR="0075012F" w:rsidRPr="0075012F" w:rsidRDefault="0022018F" w:rsidP="00B3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ministrija.</w:t>
            </w:r>
          </w:p>
        </w:tc>
      </w:tr>
      <w:tr w:rsidR="0075012F" w14:paraId="3B9C40F1" w14:textId="77777777" w:rsidTr="0075012F">
        <w:trPr>
          <w:trHeight w:val="323"/>
        </w:trPr>
        <w:tc>
          <w:tcPr>
            <w:tcW w:w="551" w:type="dxa"/>
          </w:tcPr>
          <w:p w14:paraId="24432EF3" w14:textId="77777777" w:rsidR="0075012F" w:rsidRDefault="0075012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96" w:type="dxa"/>
          </w:tcPr>
          <w:p w14:paraId="406CE762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CF582E7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ABABC3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514" w:type="dxa"/>
          </w:tcPr>
          <w:p w14:paraId="11E93B7F" w14:textId="77777777" w:rsidR="0075012F" w:rsidRPr="0075012F" w:rsidRDefault="0022018F" w:rsidP="00B3563D">
            <w:pPr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01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 pārvaldes funkcijām un institucionālo struktūru. Nav paredzēta jaunu institūciju izveide, esošu institūciju likvidācija vai reorganizācija, ne arī to ietekme uz institūcijas cilvēkresursiem.</w:t>
            </w:r>
          </w:p>
        </w:tc>
      </w:tr>
      <w:tr w:rsidR="0075012F" w14:paraId="3155D7B5" w14:textId="77777777" w:rsidTr="0075012F">
        <w:trPr>
          <w:trHeight w:val="323"/>
        </w:trPr>
        <w:tc>
          <w:tcPr>
            <w:tcW w:w="551" w:type="dxa"/>
          </w:tcPr>
          <w:p w14:paraId="7474342A" w14:textId="77777777" w:rsidR="0075012F" w:rsidRDefault="0075012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96" w:type="dxa"/>
          </w:tcPr>
          <w:p w14:paraId="29022E90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514" w:type="dxa"/>
          </w:tcPr>
          <w:p w14:paraId="53C1152A" w14:textId="77777777" w:rsidR="0075012F" w:rsidRPr="0075012F" w:rsidRDefault="0022018F" w:rsidP="00B3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541005D" w14:textId="77777777" w:rsidR="0075012F" w:rsidRDefault="0075012F" w:rsidP="0075012F">
      <w:pPr>
        <w:rPr>
          <w:rFonts w:ascii="Times New Roman" w:hAnsi="Times New Roman" w:cs="Times New Roman"/>
          <w:b/>
          <w:sz w:val="24"/>
          <w:szCs w:val="24"/>
        </w:rPr>
      </w:pPr>
    </w:p>
    <w:p w14:paraId="69B7BFCE" w14:textId="6F352F2D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  <w:r w:rsidRPr="0075012F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</w:t>
      </w:r>
      <w:r w:rsidR="00970682">
        <w:rPr>
          <w:rFonts w:ascii="Times New Roman" w:hAnsi="Times New Roman" w:cs="Times New Roman"/>
          <w:sz w:val="24"/>
          <w:szCs w:val="24"/>
        </w:rPr>
        <w:t>T</w:t>
      </w:r>
      <w:r w:rsidRPr="0075012F">
        <w:rPr>
          <w:rFonts w:ascii="Times New Roman" w:hAnsi="Times New Roman" w:cs="Times New Roman"/>
          <w:sz w:val="24"/>
          <w:szCs w:val="24"/>
        </w:rPr>
        <w:t>.</w:t>
      </w:r>
      <w:r w:rsidR="008A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82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494641BD" w14:textId="77777777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</w:p>
    <w:p w14:paraId="2754CBD3" w14:textId="6E7A5410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  <w:r w:rsidRPr="0075012F">
        <w:rPr>
          <w:rFonts w:ascii="Times New Roman" w:hAnsi="Times New Roman" w:cs="Times New Roman"/>
          <w:sz w:val="24"/>
          <w:szCs w:val="24"/>
        </w:rPr>
        <w:t>Vīza:</w:t>
      </w:r>
      <w:r w:rsidRPr="0075012F">
        <w:rPr>
          <w:rFonts w:ascii="Times New Roman" w:hAnsi="Times New Roman" w:cs="Times New Roman"/>
          <w:sz w:val="24"/>
          <w:szCs w:val="24"/>
        </w:rPr>
        <w:br/>
        <w:t>valsts sekretār</w:t>
      </w:r>
      <w:r w:rsidR="008A5359">
        <w:rPr>
          <w:rFonts w:ascii="Times New Roman" w:hAnsi="Times New Roman" w:cs="Times New Roman"/>
          <w:sz w:val="24"/>
          <w:szCs w:val="24"/>
        </w:rPr>
        <w:t xml:space="preserve">a vietā - </w:t>
      </w:r>
      <w:r w:rsidR="008A5359">
        <w:rPr>
          <w:rFonts w:ascii="Times New Roman" w:hAnsi="Times New Roman" w:cs="Times New Roman"/>
          <w:sz w:val="24"/>
          <w:szCs w:val="24"/>
        </w:rPr>
        <w:br/>
        <w:t xml:space="preserve">valsts sekretāra vietniece                                                                              </w:t>
      </w:r>
      <w:proofErr w:type="spellStart"/>
      <w:r w:rsidR="008A5359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8A5359">
        <w:rPr>
          <w:rFonts w:ascii="Times New Roman" w:hAnsi="Times New Roman" w:cs="Times New Roman"/>
          <w:sz w:val="24"/>
          <w:szCs w:val="24"/>
        </w:rPr>
        <w:t>. Innusa</w:t>
      </w:r>
    </w:p>
    <w:p w14:paraId="7B1C2129" w14:textId="77777777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</w:p>
    <w:p w14:paraId="013114FD" w14:textId="060139B3" w:rsid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</w:p>
    <w:p w14:paraId="780F411F" w14:textId="7C422BD5" w:rsidR="00ED176E" w:rsidRDefault="00ED176E" w:rsidP="0075012F">
      <w:pPr>
        <w:rPr>
          <w:rFonts w:ascii="Times New Roman" w:hAnsi="Times New Roman" w:cs="Times New Roman"/>
          <w:sz w:val="24"/>
          <w:szCs w:val="24"/>
        </w:rPr>
      </w:pPr>
    </w:p>
    <w:p w14:paraId="11988809" w14:textId="77777777" w:rsidR="00ED176E" w:rsidRPr="0075012F" w:rsidRDefault="00ED176E" w:rsidP="007501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3E5C9D" w14:textId="38681042" w:rsidR="00677EC8" w:rsidRPr="00ED176E" w:rsidRDefault="00ED176E" w:rsidP="00A50590">
      <w:pPr>
        <w:rPr>
          <w:rFonts w:ascii="Times New Roman" w:hAnsi="Times New Roman" w:cs="Times New Roman"/>
          <w:sz w:val="20"/>
          <w:szCs w:val="20"/>
        </w:rPr>
      </w:pPr>
      <w:r w:rsidRPr="00ED176E">
        <w:rPr>
          <w:rFonts w:ascii="Times New Roman" w:hAnsi="Times New Roman" w:cs="Times New Roman"/>
          <w:sz w:val="20"/>
          <w:szCs w:val="20"/>
        </w:rPr>
        <w:t>Klusa, 67028154</w:t>
      </w:r>
      <w:r w:rsidRPr="00ED176E">
        <w:rPr>
          <w:rFonts w:ascii="Times New Roman" w:hAnsi="Times New Roman" w:cs="Times New Roman"/>
          <w:sz w:val="20"/>
          <w:szCs w:val="20"/>
        </w:rPr>
        <w:br/>
      </w:r>
      <w:hyperlink r:id="rId9" w:history="1">
        <w:r w:rsidRPr="00ED176E">
          <w:rPr>
            <w:rStyle w:val="Hyperlink"/>
            <w:rFonts w:ascii="Times New Roman" w:hAnsi="Times New Roman" w:cs="Times New Roman"/>
            <w:sz w:val="20"/>
            <w:szCs w:val="20"/>
          </w:rPr>
          <w:t>Signe.Klusa@sam.gov.lv</w:t>
        </w:r>
      </w:hyperlink>
    </w:p>
    <w:p w14:paraId="5C8868D3" w14:textId="77777777" w:rsidR="00ED176E" w:rsidRPr="00677EC8" w:rsidRDefault="00ED176E" w:rsidP="00A50590">
      <w:pPr>
        <w:rPr>
          <w:rFonts w:ascii="Times New Roman" w:hAnsi="Times New Roman" w:cs="Times New Roman"/>
          <w:sz w:val="24"/>
          <w:szCs w:val="24"/>
        </w:rPr>
      </w:pPr>
    </w:p>
    <w:sectPr w:rsidR="00ED176E" w:rsidRPr="00677EC8" w:rsidSect="00B3563D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6A06" w14:textId="77777777" w:rsidR="00AE6DA4" w:rsidRDefault="00AE6DA4" w:rsidP="0075012F">
      <w:pPr>
        <w:spacing w:after="0" w:line="240" w:lineRule="auto"/>
      </w:pPr>
      <w:r>
        <w:separator/>
      </w:r>
    </w:p>
  </w:endnote>
  <w:endnote w:type="continuationSeparator" w:id="0">
    <w:p w14:paraId="0928BB1D" w14:textId="77777777" w:rsidR="00AE6DA4" w:rsidRDefault="00AE6DA4" w:rsidP="007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CFC9" w14:textId="349B20AD" w:rsidR="0075012F" w:rsidRPr="0075012F" w:rsidRDefault="0075012F">
    <w:pPr>
      <w:pStyle w:val="Footer"/>
      <w:rPr>
        <w:rFonts w:ascii="Times New Roman" w:hAnsi="Times New Roman" w:cs="Times New Roman"/>
        <w:sz w:val="20"/>
        <w:szCs w:val="20"/>
      </w:rPr>
    </w:pPr>
    <w:r w:rsidRPr="0075012F">
      <w:rPr>
        <w:rFonts w:ascii="Times New Roman" w:hAnsi="Times New Roman" w:cs="Times New Roman"/>
        <w:sz w:val="20"/>
        <w:szCs w:val="20"/>
      </w:rPr>
      <w:t>SManot_</w:t>
    </w:r>
    <w:r w:rsidR="00677EC8">
      <w:rPr>
        <w:rFonts w:ascii="Times New Roman" w:hAnsi="Times New Roman" w:cs="Times New Roman"/>
        <w:sz w:val="20"/>
        <w:szCs w:val="20"/>
      </w:rPr>
      <w:t>2</w:t>
    </w:r>
    <w:r w:rsidR="00ED176E">
      <w:rPr>
        <w:rFonts w:ascii="Times New Roman" w:hAnsi="Times New Roman" w:cs="Times New Roman"/>
        <w:sz w:val="20"/>
        <w:szCs w:val="20"/>
      </w:rPr>
      <w:t>6</w:t>
    </w:r>
    <w:r w:rsidR="00970682">
      <w:rPr>
        <w:rFonts w:ascii="Times New Roman" w:hAnsi="Times New Roman" w:cs="Times New Roman"/>
        <w:sz w:val="20"/>
        <w:szCs w:val="20"/>
      </w:rPr>
      <w:t>0</w:t>
    </w:r>
    <w:r w:rsidR="008A5359">
      <w:rPr>
        <w:rFonts w:ascii="Times New Roman" w:hAnsi="Times New Roman" w:cs="Times New Roman"/>
        <w:sz w:val="20"/>
        <w:szCs w:val="20"/>
      </w:rPr>
      <w:t>3</w:t>
    </w:r>
    <w:r w:rsidRPr="0075012F">
      <w:rPr>
        <w:rFonts w:ascii="Times New Roman" w:hAnsi="Times New Roman" w:cs="Times New Roman"/>
        <w:sz w:val="20"/>
        <w:szCs w:val="20"/>
      </w:rPr>
      <w:t>19_osta</w:t>
    </w:r>
  </w:p>
  <w:p w14:paraId="474A4615" w14:textId="77777777" w:rsidR="0075012F" w:rsidRDefault="00750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5998" w14:textId="593FF75B" w:rsidR="00E55A71" w:rsidRPr="00E55A71" w:rsidRDefault="00E55A71">
    <w:pPr>
      <w:pStyle w:val="Footer"/>
      <w:rPr>
        <w:rFonts w:ascii="Times New Roman" w:hAnsi="Times New Roman" w:cs="Times New Roman"/>
        <w:sz w:val="20"/>
        <w:szCs w:val="20"/>
      </w:rPr>
    </w:pPr>
    <w:r w:rsidRPr="00E55A71">
      <w:rPr>
        <w:rFonts w:ascii="Times New Roman" w:hAnsi="Times New Roman" w:cs="Times New Roman"/>
        <w:sz w:val="20"/>
        <w:szCs w:val="20"/>
      </w:rPr>
      <w:t>SManot_</w:t>
    </w:r>
    <w:r w:rsidR="00677EC8">
      <w:rPr>
        <w:rFonts w:ascii="Times New Roman" w:hAnsi="Times New Roman" w:cs="Times New Roman"/>
        <w:sz w:val="20"/>
        <w:szCs w:val="20"/>
      </w:rPr>
      <w:t>2</w:t>
    </w:r>
    <w:r w:rsidR="00ED176E">
      <w:rPr>
        <w:rFonts w:ascii="Times New Roman" w:hAnsi="Times New Roman" w:cs="Times New Roman"/>
        <w:sz w:val="20"/>
        <w:szCs w:val="20"/>
      </w:rPr>
      <w:t>6</w:t>
    </w:r>
    <w:r w:rsidR="00970682">
      <w:rPr>
        <w:rFonts w:ascii="Times New Roman" w:hAnsi="Times New Roman" w:cs="Times New Roman"/>
        <w:sz w:val="20"/>
        <w:szCs w:val="20"/>
      </w:rPr>
      <w:t>0</w:t>
    </w:r>
    <w:r w:rsidR="008A5359">
      <w:rPr>
        <w:rFonts w:ascii="Times New Roman" w:hAnsi="Times New Roman" w:cs="Times New Roman"/>
        <w:sz w:val="20"/>
        <w:szCs w:val="20"/>
      </w:rPr>
      <w:t>3</w:t>
    </w:r>
    <w:r w:rsidRPr="00E55A71">
      <w:rPr>
        <w:rFonts w:ascii="Times New Roman" w:hAnsi="Times New Roman" w:cs="Times New Roman"/>
        <w:sz w:val="20"/>
        <w:szCs w:val="20"/>
      </w:rPr>
      <w:t>19_osta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9F9B" w14:textId="77777777" w:rsidR="00AE6DA4" w:rsidRDefault="00AE6DA4" w:rsidP="0075012F">
      <w:pPr>
        <w:spacing w:after="0" w:line="240" w:lineRule="auto"/>
      </w:pPr>
      <w:r>
        <w:separator/>
      </w:r>
    </w:p>
  </w:footnote>
  <w:footnote w:type="continuationSeparator" w:id="0">
    <w:p w14:paraId="069B77F9" w14:textId="77777777" w:rsidR="00AE6DA4" w:rsidRDefault="00AE6DA4" w:rsidP="0075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9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8AB3C9" w14:textId="57D59609" w:rsidR="00B3563D" w:rsidRPr="00B3563D" w:rsidRDefault="00B3563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56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6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6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56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6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13D797" w14:textId="77777777" w:rsidR="00B3563D" w:rsidRDefault="00B35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207"/>
    <w:multiLevelType w:val="hybridMultilevel"/>
    <w:tmpl w:val="8A5A01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C13"/>
    <w:multiLevelType w:val="hybridMultilevel"/>
    <w:tmpl w:val="640CA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DB2"/>
    <w:multiLevelType w:val="hybridMultilevel"/>
    <w:tmpl w:val="8F4822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2D9D"/>
    <w:multiLevelType w:val="hybridMultilevel"/>
    <w:tmpl w:val="5E1604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1A8E"/>
    <w:multiLevelType w:val="hybridMultilevel"/>
    <w:tmpl w:val="EFD419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E17EF"/>
    <w:multiLevelType w:val="hybridMultilevel"/>
    <w:tmpl w:val="BB227610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F"/>
    <w:rsid w:val="00002845"/>
    <w:rsid w:val="000132D2"/>
    <w:rsid w:val="00013793"/>
    <w:rsid w:val="000141E8"/>
    <w:rsid w:val="00027D11"/>
    <w:rsid w:val="0003011F"/>
    <w:rsid w:val="00042C07"/>
    <w:rsid w:val="00051E84"/>
    <w:rsid w:val="000533A8"/>
    <w:rsid w:val="000612DA"/>
    <w:rsid w:val="00061F11"/>
    <w:rsid w:val="00064761"/>
    <w:rsid w:val="000673C9"/>
    <w:rsid w:val="00073D08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03B8"/>
    <w:rsid w:val="00104388"/>
    <w:rsid w:val="0010655F"/>
    <w:rsid w:val="001113F7"/>
    <w:rsid w:val="00143F10"/>
    <w:rsid w:val="00146F4D"/>
    <w:rsid w:val="00157BFF"/>
    <w:rsid w:val="00160288"/>
    <w:rsid w:val="00171A7E"/>
    <w:rsid w:val="00176589"/>
    <w:rsid w:val="0017698F"/>
    <w:rsid w:val="00176A84"/>
    <w:rsid w:val="0018263C"/>
    <w:rsid w:val="00182D8F"/>
    <w:rsid w:val="0019214E"/>
    <w:rsid w:val="00196457"/>
    <w:rsid w:val="001A0929"/>
    <w:rsid w:val="001A0D1E"/>
    <w:rsid w:val="001A3EF8"/>
    <w:rsid w:val="001B2830"/>
    <w:rsid w:val="001D0959"/>
    <w:rsid w:val="001D15B1"/>
    <w:rsid w:val="001D1992"/>
    <w:rsid w:val="001D6DC6"/>
    <w:rsid w:val="001E0538"/>
    <w:rsid w:val="001E5DFB"/>
    <w:rsid w:val="001F44D2"/>
    <w:rsid w:val="0020030B"/>
    <w:rsid w:val="00207605"/>
    <w:rsid w:val="00207D88"/>
    <w:rsid w:val="00210F4D"/>
    <w:rsid w:val="0022018F"/>
    <w:rsid w:val="002207E4"/>
    <w:rsid w:val="0022318E"/>
    <w:rsid w:val="0022597F"/>
    <w:rsid w:val="00234F72"/>
    <w:rsid w:val="002411F0"/>
    <w:rsid w:val="00241FE8"/>
    <w:rsid w:val="00245BBD"/>
    <w:rsid w:val="00247099"/>
    <w:rsid w:val="00261CE0"/>
    <w:rsid w:val="00264E80"/>
    <w:rsid w:val="00273D91"/>
    <w:rsid w:val="00282EB3"/>
    <w:rsid w:val="00284D9E"/>
    <w:rsid w:val="00285633"/>
    <w:rsid w:val="0029622F"/>
    <w:rsid w:val="002A4896"/>
    <w:rsid w:val="002C0571"/>
    <w:rsid w:val="002C1CF0"/>
    <w:rsid w:val="002F06DC"/>
    <w:rsid w:val="003022FA"/>
    <w:rsid w:val="00304037"/>
    <w:rsid w:val="003066D3"/>
    <w:rsid w:val="003127B1"/>
    <w:rsid w:val="00320FBA"/>
    <w:rsid w:val="003478BD"/>
    <w:rsid w:val="00347BB3"/>
    <w:rsid w:val="00350691"/>
    <w:rsid w:val="00356304"/>
    <w:rsid w:val="003715C7"/>
    <w:rsid w:val="00384B96"/>
    <w:rsid w:val="00387E05"/>
    <w:rsid w:val="00395366"/>
    <w:rsid w:val="0039770D"/>
    <w:rsid w:val="003B3D8A"/>
    <w:rsid w:val="003B4D04"/>
    <w:rsid w:val="003B52CE"/>
    <w:rsid w:val="003C2303"/>
    <w:rsid w:val="003C57ED"/>
    <w:rsid w:val="003D5AEA"/>
    <w:rsid w:val="003E034D"/>
    <w:rsid w:val="003F15AE"/>
    <w:rsid w:val="003F6C85"/>
    <w:rsid w:val="004113A2"/>
    <w:rsid w:val="00415551"/>
    <w:rsid w:val="0044240A"/>
    <w:rsid w:val="00464D44"/>
    <w:rsid w:val="004A133A"/>
    <w:rsid w:val="004A611D"/>
    <w:rsid w:val="004B09F6"/>
    <w:rsid w:val="004C308A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26BD6"/>
    <w:rsid w:val="005309A1"/>
    <w:rsid w:val="00535DC7"/>
    <w:rsid w:val="00547070"/>
    <w:rsid w:val="00552001"/>
    <w:rsid w:val="00577F28"/>
    <w:rsid w:val="00583F3A"/>
    <w:rsid w:val="005A1193"/>
    <w:rsid w:val="005A40E1"/>
    <w:rsid w:val="005C31FC"/>
    <w:rsid w:val="005C74AF"/>
    <w:rsid w:val="005D057E"/>
    <w:rsid w:val="005D19C1"/>
    <w:rsid w:val="005D3389"/>
    <w:rsid w:val="005E48D6"/>
    <w:rsid w:val="005F13AB"/>
    <w:rsid w:val="005F48D3"/>
    <w:rsid w:val="006073F1"/>
    <w:rsid w:val="00607BA7"/>
    <w:rsid w:val="00616815"/>
    <w:rsid w:val="00616D80"/>
    <w:rsid w:val="0064635F"/>
    <w:rsid w:val="00664E15"/>
    <w:rsid w:val="00665741"/>
    <w:rsid w:val="00672500"/>
    <w:rsid w:val="00677EC8"/>
    <w:rsid w:val="006817EB"/>
    <w:rsid w:val="00681A4C"/>
    <w:rsid w:val="00690617"/>
    <w:rsid w:val="006944A0"/>
    <w:rsid w:val="006A44CC"/>
    <w:rsid w:val="006D0BA5"/>
    <w:rsid w:val="006D11B5"/>
    <w:rsid w:val="006D129E"/>
    <w:rsid w:val="006D256C"/>
    <w:rsid w:val="006D3EAA"/>
    <w:rsid w:val="006D3EEF"/>
    <w:rsid w:val="006D53D6"/>
    <w:rsid w:val="006F7D57"/>
    <w:rsid w:val="00714A42"/>
    <w:rsid w:val="00716E27"/>
    <w:rsid w:val="00721E5A"/>
    <w:rsid w:val="00727CA9"/>
    <w:rsid w:val="00732D62"/>
    <w:rsid w:val="007423AC"/>
    <w:rsid w:val="00742BED"/>
    <w:rsid w:val="0075012F"/>
    <w:rsid w:val="00750162"/>
    <w:rsid w:val="007517A4"/>
    <w:rsid w:val="00760D76"/>
    <w:rsid w:val="007806C8"/>
    <w:rsid w:val="007809D3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7E73DD"/>
    <w:rsid w:val="007F1358"/>
    <w:rsid w:val="007F24DB"/>
    <w:rsid w:val="007F3952"/>
    <w:rsid w:val="008112C4"/>
    <w:rsid w:val="00817A77"/>
    <w:rsid w:val="00836A5F"/>
    <w:rsid w:val="00840467"/>
    <w:rsid w:val="00841405"/>
    <w:rsid w:val="00843AE5"/>
    <w:rsid w:val="00847277"/>
    <w:rsid w:val="00871850"/>
    <w:rsid w:val="00873039"/>
    <w:rsid w:val="0088455F"/>
    <w:rsid w:val="0088517B"/>
    <w:rsid w:val="008901E1"/>
    <w:rsid w:val="00893861"/>
    <w:rsid w:val="008A5359"/>
    <w:rsid w:val="008A5B85"/>
    <w:rsid w:val="008B4642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34C1C"/>
    <w:rsid w:val="00941732"/>
    <w:rsid w:val="00950A47"/>
    <w:rsid w:val="00955841"/>
    <w:rsid w:val="009620A6"/>
    <w:rsid w:val="00963759"/>
    <w:rsid w:val="00966F91"/>
    <w:rsid w:val="00970682"/>
    <w:rsid w:val="00971CD0"/>
    <w:rsid w:val="00975FE7"/>
    <w:rsid w:val="00986645"/>
    <w:rsid w:val="009879D1"/>
    <w:rsid w:val="009909A9"/>
    <w:rsid w:val="009A1BA4"/>
    <w:rsid w:val="009B2539"/>
    <w:rsid w:val="009C0862"/>
    <w:rsid w:val="009C107D"/>
    <w:rsid w:val="009D1105"/>
    <w:rsid w:val="009D1E06"/>
    <w:rsid w:val="009D4B3D"/>
    <w:rsid w:val="009E4941"/>
    <w:rsid w:val="009F5042"/>
    <w:rsid w:val="00A23FBE"/>
    <w:rsid w:val="00A24F4A"/>
    <w:rsid w:val="00A26B37"/>
    <w:rsid w:val="00A26EE9"/>
    <w:rsid w:val="00A3142A"/>
    <w:rsid w:val="00A366CD"/>
    <w:rsid w:val="00A50590"/>
    <w:rsid w:val="00A50C64"/>
    <w:rsid w:val="00A54146"/>
    <w:rsid w:val="00A60054"/>
    <w:rsid w:val="00A61686"/>
    <w:rsid w:val="00A72A5D"/>
    <w:rsid w:val="00A80C67"/>
    <w:rsid w:val="00A97246"/>
    <w:rsid w:val="00AA537F"/>
    <w:rsid w:val="00AA7706"/>
    <w:rsid w:val="00AB32A4"/>
    <w:rsid w:val="00AC0A1F"/>
    <w:rsid w:val="00AC2DC4"/>
    <w:rsid w:val="00AC3478"/>
    <w:rsid w:val="00AD0B25"/>
    <w:rsid w:val="00AD2DB8"/>
    <w:rsid w:val="00AD64FF"/>
    <w:rsid w:val="00AE6DA4"/>
    <w:rsid w:val="00AF01F0"/>
    <w:rsid w:val="00AF084D"/>
    <w:rsid w:val="00AF549A"/>
    <w:rsid w:val="00B02DC0"/>
    <w:rsid w:val="00B04B0A"/>
    <w:rsid w:val="00B1368F"/>
    <w:rsid w:val="00B16685"/>
    <w:rsid w:val="00B1705E"/>
    <w:rsid w:val="00B17730"/>
    <w:rsid w:val="00B21F7A"/>
    <w:rsid w:val="00B32C1B"/>
    <w:rsid w:val="00B33CE4"/>
    <w:rsid w:val="00B3563D"/>
    <w:rsid w:val="00B562BA"/>
    <w:rsid w:val="00B620C1"/>
    <w:rsid w:val="00B81409"/>
    <w:rsid w:val="00BA4767"/>
    <w:rsid w:val="00BB3FD2"/>
    <w:rsid w:val="00BC7F3B"/>
    <w:rsid w:val="00BD1471"/>
    <w:rsid w:val="00BD2E91"/>
    <w:rsid w:val="00BE0E1C"/>
    <w:rsid w:val="00BE52B5"/>
    <w:rsid w:val="00BE579E"/>
    <w:rsid w:val="00BE7665"/>
    <w:rsid w:val="00C00A9D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687B"/>
    <w:rsid w:val="00CB5E0F"/>
    <w:rsid w:val="00CB7F36"/>
    <w:rsid w:val="00CC0F11"/>
    <w:rsid w:val="00CD4749"/>
    <w:rsid w:val="00CF0461"/>
    <w:rsid w:val="00CF2CF5"/>
    <w:rsid w:val="00CF695E"/>
    <w:rsid w:val="00D12F81"/>
    <w:rsid w:val="00D36319"/>
    <w:rsid w:val="00D50BBC"/>
    <w:rsid w:val="00D5782C"/>
    <w:rsid w:val="00D66E62"/>
    <w:rsid w:val="00D66F66"/>
    <w:rsid w:val="00D76F22"/>
    <w:rsid w:val="00D815FB"/>
    <w:rsid w:val="00D83989"/>
    <w:rsid w:val="00DA229A"/>
    <w:rsid w:val="00DA53F7"/>
    <w:rsid w:val="00DB1330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61CD"/>
    <w:rsid w:val="00E3323F"/>
    <w:rsid w:val="00E34506"/>
    <w:rsid w:val="00E348E1"/>
    <w:rsid w:val="00E40308"/>
    <w:rsid w:val="00E4553E"/>
    <w:rsid w:val="00E55A71"/>
    <w:rsid w:val="00E60BDA"/>
    <w:rsid w:val="00E7351F"/>
    <w:rsid w:val="00E82E6C"/>
    <w:rsid w:val="00E82FC9"/>
    <w:rsid w:val="00EA5599"/>
    <w:rsid w:val="00EA59AE"/>
    <w:rsid w:val="00EB3A1F"/>
    <w:rsid w:val="00EB7888"/>
    <w:rsid w:val="00EC0A95"/>
    <w:rsid w:val="00EC4078"/>
    <w:rsid w:val="00ED176E"/>
    <w:rsid w:val="00ED2BE3"/>
    <w:rsid w:val="00ED5AC1"/>
    <w:rsid w:val="00ED6573"/>
    <w:rsid w:val="00EE0E7F"/>
    <w:rsid w:val="00EE6BC8"/>
    <w:rsid w:val="00F0688F"/>
    <w:rsid w:val="00F07143"/>
    <w:rsid w:val="00F2502F"/>
    <w:rsid w:val="00F344E3"/>
    <w:rsid w:val="00F36907"/>
    <w:rsid w:val="00F43D8B"/>
    <w:rsid w:val="00F4712F"/>
    <w:rsid w:val="00F4730A"/>
    <w:rsid w:val="00F55418"/>
    <w:rsid w:val="00F57440"/>
    <w:rsid w:val="00F62F4A"/>
    <w:rsid w:val="00F86462"/>
    <w:rsid w:val="00F8654C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A64A9"/>
  <w15:chartTrackingRefBased/>
  <w15:docId w15:val="{0B4F1CF1-3229-4DF7-8817-66103BA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F"/>
  </w:style>
  <w:style w:type="paragraph" w:styleId="Footer">
    <w:name w:val="footer"/>
    <w:basedOn w:val="Normal"/>
    <w:link w:val="FooterChar"/>
    <w:uiPriority w:val="99"/>
    <w:unhideWhenUsed/>
    <w:rsid w:val="00750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F"/>
  </w:style>
  <w:style w:type="paragraph" w:styleId="ListParagraph">
    <w:name w:val="List Paragraph"/>
    <w:basedOn w:val="Normal"/>
    <w:uiPriority w:val="34"/>
    <w:qFormat/>
    <w:rsid w:val="00100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atmin/content/?cat=5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36502-noteikumi-par-salacgrivas-ostas-robezu-noteiksa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gne.Klusa@s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5521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Salacgrīvas ostas robežu noteikšanu sākotnējās ietekmes novērtējuma ziņojums (anotācija)</vt:lpstr>
    </vt:vector>
  </TitlesOfParts>
  <Company>Satiksmes ministrija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Salacgrīvas ostas robežu noteikšanu sākotnējās ietekmes novērtējuma ziņojums (anotācija)</dc:title>
  <dc:subject>Ministru kabineta noteikumu projekts</dc:subject>
  <dc:creator>Signe Klusa</dc:creator>
  <cp:keywords/>
  <dc:description>Signe.Klusa@sam.gov.lv, 67028154</dc:description>
  <cp:lastModifiedBy>Signe Klusa</cp:lastModifiedBy>
  <cp:revision>5</cp:revision>
  <cp:lastPrinted>2019-02-25T10:14:00Z</cp:lastPrinted>
  <dcterms:created xsi:type="dcterms:W3CDTF">2019-02-26T06:43:00Z</dcterms:created>
  <dcterms:modified xsi:type="dcterms:W3CDTF">2019-03-26T09:13:00Z</dcterms:modified>
</cp:coreProperties>
</file>