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79D7" w14:textId="77777777" w:rsidR="00D115C0" w:rsidRPr="00343D80" w:rsidRDefault="00D115C0" w:rsidP="00D115C0">
      <w:pPr>
        <w:pStyle w:val="Heading2"/>
        <w:rPr>
          <w:i/>
          <w:sz w:val="28"/>
          <w:szCs w:val="28"/>
        </w:rPr>
      </w:pPr>
      <w:r w:rsidRPr="00343D80">
        <w:rPr>
          <w:i/>
          <w:sz w:val="28"/>
          <w:szCs w:val="28"/>
        </w:rPr>
        <w:t>Projekts</w:t>
      </w:r>
    </w:p>
    <w:p w14:paraId="6915D20B" w14:textId="77777777" w:rsidR="00325EBF" w:rsidRDefault="00325EBF" w:rsidP="006F79D1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0527DEE5" w14:textId="77777777" w:rsidR="00C14466" w:rsidRDefault="00C14466" w:rsidP="00D115C0">
      <w:pPr>
        <w:pStyle w:val="Title"/>
        <w:outlineLvl w:val="0"/>
        <w:rPr>
          <w:b w:val="0"/>
          <w:sz w:val="28"/>
          <w:szCs w:val="28"/>
        </w:rPr>
      </w:pPr>
    </w:p>
    <w:p w14:paraId="659EAF89" w14:textId="77777777" w:rsidR="00D115C0" w:rsidRPr="00343D80" w:rsidRDefault="00D115C0" w:rsidP="00D115C0">
      <w:pPr>
        <w:pStyle w:val="Title"/>
        <w:outlineLvl w:val="0"/>
        <w:rPr>
          <w:b w:val="0"/>
          <w:sz w:val="28"/>
          <w:szCs w:val="28"/>
        </w:rPr>
      </w:pPr>
      <w:r w:rsidRPr="00343D80">
        <w:rPr>
          <w:b w:val="0"/>
          <w:sz w:val="28"/>
          <w:szCs w:val="28"/>
        </w:rPr>
        <w:t>LATVIJAS REPUBLIKAS MINISTRU KABINETS</w:t>
      </w:r>
    </w:p>
    <w:p w14:paraId="13C10B64" w14:textId="77777777" w:rsidR="00D115C0" w:rsidRDefault="00D115C0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6FDEAF07" w14:textId="77777777" w:rsidR="00F37DAE" w:rsidRPr="00343D80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4CED861F" w14:textId="77777777" w:rsidR="00D115C0" w:rsidRPr="00343D80" w:rsidRDefault="000E746F" w:rsidP="00D115C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2019</w:t>
      </w:r>
      <w:r w:rsidR="00D115C0" w:rsidRPr="00343D80">
        <w:rPr>
          <w:sz w:val="28"/>
          <w:szCs w:val="28"/>
        </w:rPr>
        <w:t>. gada ___. _________</w:t>
      </w:r>
      <w:r w:rsidR="00D115C0" w:rsidRPr="00343D80">
        <w:rPr>
          <w:sz w:val="28"/>
          <w:szCs w:val="28"/>
        </w:rPr>
        <w:tab/>
        <w:t>Noteikumi Nr.</w:t>
      </w:r>
    </w:p>
    <w:p w14:paraId="4F3F205D" w14:textId="77777777"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343D80">
        <w:rPr>
          <w:sz w:val="28"/>
          <w:szCs w:val="28"/>
        </w:rPr>
        <w:t>Rīgā</w:t>
      </w:r>
      <w:r w:rsidRPr="00343D80">
        <w:rPr>
          <w:sz w:val="28"/>
          <w:szCs w:val="28"/>
        </w:rPr>
        <w:tab/>
        <w:t xml:space="preserve">(prot.      Nr. </w:t>
      </w:r>
      <w:r w:rsidR="000E746F">
        <w:rPr>
          <w:sz w:val="28"/>
          <w:szCs w:val="28"/>
        </w:rPr>
        <w:t xml:space="preserve"> </w:t>
      </w:r>
      <w:r w:rsidRPr="00343D80">
        <w:rPr>
          <w:sz w:val="28"/>
          <w:szCs w:val="28"/>
        </w:rPr>
        <w:t xml:space="preserve"> )</w:t>
      </w:r>
    </w:p>
    <w:p w14:paraId="43C9661A" w14:textId="77777777" w:rsidR="00D115C0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p w14:paraId="205ED6E1" w14:textId="77777777" w:rsidR="007E600A" w:rsidRDefault="007E600A" w:rsidP="00D115C0">
      <w:pPr>
        <w:jc w:val="center"/>
        <w:rPr>
          <w:b/>
          <w:bCs/>
          <w:sz w:val="28"/>
          <w:szCs w:val="28"/>
          <w:lang w:eastAsia="lv-LV"/>
        </w:rPr>
      </w:pPr>
      <w:bookmarkStart w:id="2" w:name="_GoBack"/>
      <w:bookmarkEnd w:id="0"/>
      <w:bookmarkEnd w:id="1"/>
      <w:bookmarkEnd w:id="2"/>
    </w:p>
    <w:p w14:paraId="71662AA3" w14:textId="77777777" w:rsidR="00D115C0" w:rsidRPr="00343D80" w:rsidRDefault="000E746F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Grozījums</w:t>
      </w:r>
      <w:r w:rsidR="00325EBF">
        <w:rPr>
          <w:b/>
          <w:bCs/>
          <w:sz w:val="28"/>
          <w:szCs w:val="28"/>
          <w:lang w:eastAsia="lv-LV"/>
        </w:rPr>
        <w:t xml:space="preserve"> Ministru kabineta 2017</w:t>
      </w:r>
      <w:r w:rsidR="00D115C0" w:rsidRPr="00343D80">
        <w:rPr>
          <w:b/>
          <w:bCs/>
          <w:sz w:val="28"/>
          <w:szCs w:val="28"/>
          <w:lang w:eastAsia="lv-LV"/>
        </w:rPr>
        <w:t>.</w:t>
      </w:r>
      <w:r w:rsidR="00325EBF">
        <w:rPr>
          <w:b/>
          <w:bCs/>
          <w:sz w:val="28"/>
          <w:szCs w:val="28"/>
          <w:lang w:eastAsia="lv-LV"/>
        </w:rPr>
        <w:t xml:space="preserve"> gada 2</w:t>
      </w:r>
      <w:r w:rsidR="00D115C0" w:rsidRPr="00343D80">
        <w:rPr>
          <w:b/>
          <w:bCs/>
          <w:sz w:val="28"/>
          <w:szCs w:val="28"/>
          <w:lang w:eastAsia="lv-LV"/>
        </w:rPr>
        <w:t>4.</w:t>
      </w:r>
      <w:r>
        <w:rPr>
          <w:b/>
          <w:bCs/>
          <w:sz w:val="28"/>
          <w:szCs w:val="28"/>
          <w:lang w:eastAsia="lv-LV"/>
        </w:rPr>
        <w:t xml:space="preserve"> oktobra noteikumos Nr. </w:t>
      </w:r>
      <w:r w:rsidR="00325EBF">
        <w:rPr>
          <w:b/>
          <w:bCs/>
          <w:sz w:val="28"/>
          <w:szCs w:val="28"/>
          <w:lang w:eastAsia="lv-LV"/>
        </w:rPr>
        <w:t>634</w:t>
      </w:r>
      <w:r w:rsidR="00D115C0" w:rsidRPr="00343D80">
        <w:rPr>
          <w:b/>
          <w:bCs/>
          <w:sz w:val="28"/>
          <w:szCs w:val="28"/>
          <w:lang w:eastAsia="lv-LV"/>
        </w:rPr>
        <w:t xml:space="preserve"> </w:t>
      </w:r>
      <w:r w:rsidR="00325EBF">
        <w:rPr>
          <w:b/>
          <w:bCs/>
          <w:color w:val="000000"/>
          <w:sz w:val="28"/>
          <w:szCs w:val="28"/>
        </w:rPr>
        <w:t>“Valsts akciju sabiedrības “Latvijas Jūras administrācija” maksas pakalpojumu cenrādis</w:t>
      </w:r>
      <w:r w:rsidR="00D115C0" w:rsidRPr="00343D80">
        <w:rPr>
          <w:b/>
          <w:bCs/>
          <w:color w:val="000000"/>
          <w:sz w:val="28"/>
          <w:szCs w:val="28"/>
        </w:rPr>
        <w:t>”</w:t>
      </w:r>
    </w:p>
    <w:p w14:paraId="777E9231" w14:textId="77777777"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14:paraId="4DBB600E" w14:textId="77777777" w:rsidR="00D115C0" w:rsidRPr="00343D80" w:rsidRDefault="00D115C0" w:rsidP="00D115C0">
      <w:pPr>
        <w:jc w:val="right"/>
        <w:rPr>
          <w:color w:val="000000"/>
          <w:sz w:val="28"/>
          <w:szCs w:val="28"/>
          <w:lang w:eastAsia="lv-LV"/>
        </w:rPr>
      </w:pPr>
      <w:r w:rsidRPr="00343D80">
        <w:rPr>
          <w:color w:val="000000"/>
          <w:sz w:val="28"/>
          <w:szCs w:val="28"/>
          <w:lang w:eastAsia="lv-LV"/>
        </w:rPr>
        <w:t>Izdoti saskaņā ar Jūrlietu pārvaldes un</w:t>
      </w:r>
    </w:p>
    <w:p w14:paraId="2860D579" w14:textId="77777777" w:rsidR="00D115C0" w:rsidRPr="00343D80" w:rsidRDefault="00D115C0" w:rsidP="00D115C0">
      <w:pPr>
        <w:jc w:val="right"/>
        <w:rPr>
          <w:color w:val="000000"/>
          <w:sz w:val="28"/>
          <w:szCs w:val="28"/>
          <w:lang w:eastAsia="lv-LV"/>
        </w:rPr>
      </w:pPr>
      <w:r w:rsidRPr="00343D80">
        <w:rPr>
          <w:color w:val="000000"/>
          <w:sz w:val="28"/>
          <w:szCs w:val="28"/>
          <w:lang w:eastAsia="lv-LV"/>
        </w:rPr>
        <w:t xml:space="preserve"> jūras drošības likuma </w:t>
      </w:r>
      <w:r w:rsidR="00325EBF">
        <w:rPr>
          <w:color w:val="000000"/>
          <w:sz w:val="28"/>
          <w:szCs w:val="28"/>
          <w:lang w:eastAsia="lv-LV"/>
        </w:rPr>
        <w:t>6</w:t>
      </w:r>
      <w:r w:rsidR="002B5449">
        <w:rPr>
          <w:color w:val="000000"/>
          <w:sz w:val="28"/>
          <w:szCs w:val="28"/>
          <w:lang w:eastAsia="lv-LV"/>
        </w:rPr>
        <w:t>.</w:t>
      </w:r>
      <w:r w:rsidR="00325EBF">
        <w:rPr>
          <w:color w:val="000000"/>
          <w:sz w:val="28"/>
          <w:szCs w:val="28"/>
          <w:lang w:eastAsia="lv-LV"/>
        </w:rPr>
        <w:t xml:space="preserve"> </w:t>
      </w:r>
      <w:r w:rsidR="002B5449">
        <w:rPr>
          <w:color w:val="000000"/>
          <w:sz w:val="28"/>
          <w:szCs w:val="28"/>
          <w:lang w:eastAsia="lv-LV"/>
        </w:rPr>
        <w:t xml:space="preserve">panta </w:t>
      </w:r>
      <w:r w:rsidR="00325EBF">
        <w:rPr>
          <w:color w:val="000000"/>
          <w:sz w:val="28"/>
          <w:szCs w:val="28"/>
          <w:lang w:eastAsia="lv-LV"/>
        </w:rPr>
        <w:t>otro</w:t>
      </w:r>
      <w:r w:rsidRPr="00343D80">
        <w:rPr>
          <w:color w:val="000000"/>
          <w:sz w:val="28"/>
          <w:szCs w:val="28"/>
          <w:lang w:eastAsia="lv-LV"/>
        </w:rPr>
        <w:t xml:space="preserve"> daļu</w:t>
      </w:r>
    </w:p>
    <w:p w14:paraId="25EA5B60" w14:textId="77777777" w:rsidR="00C14466" w:rsidRDefault="00C14466" w:rsidP="00D115C0">
      <w:pPr>
        <w:ind w:firstLine="709"/>
        <w:jc w:val="both"/>
        <w:rPr>
          <w:sz w:val="28"/>
          <w:szCs w:val="28"/>
          <w:lang w:eastAsia="lv-LV"/>
        </w:rPr>
      </w:pPr>
    </w:p>
    <w:p w14:paraId="2AC0323D" w14:textId="77777777" w:rsidR="000E746F" w:rsidRDefault="00325EBF" w:rsidP="000E746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Izdarīt Ministru kabineta 2017</w:t>
      </w:r>
      <w:r w:rsidR="00D115C0" w:rsidRPr="00343D8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gada 24. oktobra</w:t>
      </w:r>
      <w:r w:rsidR="00D115C0" w:rsidRPr="00343D80">
        <w:rPr>
          <w:rFonts w:eastAsia="Calibri"/>
          <w:sz w:val="28"/>
          <w:szCs w:val="28"/>
        </w:rPr>
        <w:t xml:space="preserve"> noteikumos Nr.</w:t>
      </w:r>
      <w:r>
        <w:rPr>
          <w:rFonts w:eastAsia="Calibri"/>
          <w:sz w:val="28"/>
          <w:szCs w:val="28"/>
        </w:rPr>
        <w:t xml:space="preserve"> 634 “Valsts akciju sabiedrības “Latvijas Jūras administrācija” maksas pakalpojumu cenrādis” (Latvijas Vēstnesis, 2017, 213</w:t>
      </w:r>
      <w:r w:rsidR="00D115C0" w:rsidRPr="00343D8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0E746F">
        <w:rPr>
          <w:rFonts w:eastAsia="Calibri"/>
          <w:sz w:val="28"/>
          <w:szCs w:val="28"/>
        </w:rPr>
        <w:t>nr.) grozījumu</w:t>
      </w:r>
      <w:r w:rsidR="00A9015B">
        <w:rPr>
          <w:rFonts w:eastAsia="Calibri"/>
          <w:sz w:val="28"/>
          <w:szCs w:val="28"/>
        </w:rPr>
        <w:t xml:space="preserve"> un i</w:t>
      </w:r>
      <w:r w:rsidR="00A9015B" w:rsidRPr="00A9015B">
        <w:rPr>
          <w:rFonts w:eastAsia="Calibri"/>
          <w:sz w:val="28"/>
          <w:szCs w:val="28"/>
        </w:rPr>
        <w:t>zteikt pielikuma 38. punktu šādā redakcijā:</w:t>
      </w:r>
    </w:p>
    <w:p w14:paraId="2A542920" w14:textId="77777777" w:rsidR="000E746F" w:rsidRDefault="000E746F" w:rsidP="000E746F">
      <w:pPr>
        <w:ind w:firstLine="709"/>
        <w:jc w:val="both"/>
        <w:rPr>
          <w:rFonts w:eastAsia="Calibri"/>
          <w:sz w:val="28"/>
          <w:szCs w:val="28"/>
        </w:rPr>
      </w:pPr>
    </w:p>
    <w:p w14:paraId="79BA77BB" w14:textId="77777777" w:rsidR="00E74257" w:rsidRDefault="00E74257" w:rsidP="00E74257">
      <w:pPr>
        <w:pStyle w:val="BodyTextIndent"/>
        <w:spacing w:line="240" w:lineRule="auto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1096"/>
        <w:gridCol w:w="1096"/>
        <w:gridCol w:w="1096"/>
        <w:gridCol w:w="1096"/>
      </w:tblGrid>
      <w:tr w:rsidR="000E746F" w14:paraId="3AA0DF8D" w14:textId="77777777" w:rsidTr="006F79D1">
        <w:tc>
          <w:tcPr>
            <w:tcW w:w="805" w:type="dxa"/>
          </w:tcPr>
          <w:p w14:paraId="0190293D" w14:textId="77777777" w:rsidR="000E746F" w:rsidRDefault="00A9015B" w:rsidP="00E74257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0E746F">
              <w:rPr>
                <w:sz w:val="28"/>
                <w:szCs w:val="28"/>
              </w:rPr>
              <w:t>38.</w:t>
            </w:r>
          </w:p>
        </w:tc>
        <w:tc>
          <w:tcPr>
            <w:tcW w:w="3870" w:type="dxa"/>
          </w:tcPr>
          <w:p w14:paraId="128AB6A5" w14:textId="77777777" w:rsidR="006F79D1" w:rsidRPr="006F79D1" w:rsidRDefault="006F79D1" w:rsidP="006F79D1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Navigācijas </w:t>
            </w:r>
            <w:r w:rsidRPr="006F79D1">
              <w:rPr>
                <w:sz w:val="28"/>
                <w:szCs w:val="28"/>
              </w:rPr>
              <w:t>pakalpojumi (par</w:t>
            </w:r>
          </w:p>
          <w:p w14:paraId="6E8D953B" w14:textId="77777777" w:rsidR="006F79D1" w:rsidRPr="006F79D1" w:rsidRDefault="006F79D1" w:rsidP="006F79D1">
            <w:pPr>
              <w:pStyle w:val="BodyTextIndent"/>
              <w:ind w:left="0"/>
              <w:rPr>
                <w:sz w:val="28"/>
                <w:szCs w:val="28"/>
              </w:rPr>
            </w:pPr>
            <w:r w:rsidRPr="006F79D1">
              <w:rPr>
                <w:sz w:val="28"/>
                <w:szCs w:val="28"/>
              </w:rPr>
              <w:t>vienu kuģa BT vienību par</w:t>
            </w:r>
          </w:p>
          <w:p w14:paraId="48A2F41A" w14:textId="77777777" w:rsidR="006F79D1" w:rsidRPr="006F79D1" w:rsidRDefault="006F79D1" w:rsidP="006F79D1">
            <w:pPr>
              <w:pStyle w:val="BodyTextIndent"/>
              <w:ind w:left="0"/>
              <w:rPr>
                <w:sz w:val="28"/>
                <w:szCs w:val="28"/>
              </w:rPr>
            </w:pPr>
            <w:r w:rsidRPr="006F79D1">
              <w:rPr>
                <w:sz w:val="28"/>
                <w:szCs w:val="28"/>
              </w:rPr>
              <w:t>pirmajām 10 reizēm kalendāra</w:t>
            </w:r>
          </w:p>
          <w:p w14:paraId="2E7B6ED3" w14:textId="77777777" w:rsidR="006F79D1" w:rsidRPr="006F79D1" w:rsidRDefault="006F79D1" w:rsidP="006F79D1">
            <w:pPr>
              <w:pStyle w:val="BodyTextIndent"/>
              <w:ind w:left="0"/>
              <w:rPr>
                <w:sz w:val="28"/>
                <w:szCs w:val="28"/>
              </w:rPr>
            </w:pPr>
            <w:r w:rsidRPr="006F79D1">
              <w:rPr>
                <w:sz w:val="28"/>
                <w:szCs w:val="28"/>
              </w:rPr>
              <w:t>gadā, kad attiecīgais kuģis</w:t>
            </w:r>
          </w:p>
          <w:p w14:paraId="50576546" w14:textId="77777777" w:rsidR="006F79D1" w:rsidRPr="006F79D1" w:rsidRDefault="006F79D1" w:rsidP="006F79D1">
            <w:pPr>
              <w:pStyle w:val="BodyTextIndent"/>
              <w:ind w:left="0"/>
              <w:rPr>
                <w:sz w:val="28"/>
                <w:szCs w:val="28"/>
              </w:rPr>
            </w:pPr>
            <w:r w:rsidRPr="006F79D1">
              <w:rPr>
                <w:sz w:val="28"/>
                <w:szCs w:val="28"/>
              </w:rPr>
              <w:t>ienāk ostā vai ostas reidā (katrai</w:t>
            </w:r>
          </w:p>
          <w:p w14:paraId="43D5195A" w14:textId="77777777" w:rsidR="000E746F" w:rsidRDefault="006F79D1" w:rsidP="006F79D1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6F79D1">
              <w:rPr>
                <w:sz w:val="28"/>
                <w:szCs w:val="28"/>
              </w:rPr>
              <w:t>ostai atsevišķi))</w:t>
            </w:r>
          </w:p>
        </w:tc>
        <w:tc>
          <w:tcPr>
            <w:tcW w:w="1096" w:type="dxa"/>
          </w:tcPr>
          <w:p w14:paraId="613A7340" w14:textId="77777777" w:rsidR="000E746F" w:rsidRDefault="000E746F" w:rsidP="00E74257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1A644B20" w14:textId="77777777" w:rsidR="000E746F" w:rsidRDefault="000E746F" w:rsidP="00E74257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14A2BB2E" w14:textId="77777777" w:rsidR="000E746F" w:rsidRDefault="000E746F" w:rsidP="00E74257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41F3A229" w14:textId="77777777" w:rsidR="000E746F" w:rsidRDefault="000E746F" w:rsidP="00E74257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0E746F" w14:paraId="749670D4" w14:textId="77777777" w:rsidTr="006F79D1">
        <w:tc>
          <w:tcPr>
            <w:tcW w:w="805" w:type="dxa"/>
          </w:tcPr>
          <w:p w14:paraId="48AD0A33" w14:textId="77777777" w:rsidR="000E746F" w:rsidRDefault="000E746F" w:rsidP="00E74257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38.1.</w:t>
            </w:r>
          </w:p>
        </w:tc>
        <w:tc>
          <w:tcPr>
            <w:tcW w:w="3870" w:type="dxa"/>
          </w:tcPr>
          <w:p w14:paraId="316D2889" w14:textId="77777777" w:rsidR="000E746F" w:rsidRDefault="006F79D1" w:rsidP="006F79D1">
            <w:pPr>
              <w:pStyle w:val="BodyTextIndent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6F79D1">
              <w:rPr>
                <w:sz w:val="28"/>
                <w:szCs w:val="28"/>
              </w:rPr>
              <w:t>isiem kuģiem (izņemot šā</w:t>
            </w:r>
            <w:r>
              <w:rPr>
                <w:sz w:val="28"/>
                <w:szCs w:val="28"/>
              </w:rPr>
              <w:t xml:space="preserve"> </w:t>
            </w:r>
            <w:r w:rsidRPr="006F79D1">
              <w:rPr>
                <w:sz w:val="28"/>
                <w:szCs w:val="28"/>
              </w:rPr>
              <w:t>cenrāža 38.2., 38.3., 38.4.</w:t>
            </w:r>
            <w:r>
              <w:rPr>
                <w:sz w:val="28"/>
                <w:szCs w:val="28"/>
              </w:rPr>
              <w:t xml:space="preserve"> </w:t>
            </w:r>
            <w:r w:rsidRPr="006F79D1">
              <w:rPr>
                <w:sz w:val="28"/>
                <w:szCs w:val="28"/>
              </w:rPr>
              <w:t>apakšpunktā un noteikumu 19.</w:t>
            </w:r>
            <w:r>
              <w:rPr>
                <w:sz w:val="28"/>
                <w:szCs w:val="28"/>
              </w:rPr>
              <w:t xml:space="preserve"> </w:t>
            </w:r>
            <w:r w:rsidRPr="006F79D1">
              <w:rPr>
                <w:sz w:val="28"/>
                <w:szCs w:val="28"/>
              </w:rPr>
              <w:t>punktā minētos kuģus)</w:t>
            </w:r>
          </w:p>
        </w:tc>
        <w:tc>
          <w:tcPr>
            <w:tcW w:w="1096" w:type="dxa"/>
          </w:tcPr>
          <w:p w14:paraId="43B8D9B9" w14:textId="77777777" w:rsidR="000E746F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258572C3" w14:textId="77777777" w:rsidR="000E746F" w:rsidRDefault="00245CF6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45CF6">
              <w:rPr>
                <w:sz w:val="28"/>
                <w:szCs w:val="28"/>
              </w:rPr>
              <w:t>0,075</w:t>
            </w:r>
          </w:p>
        </w:tc>
        <w:tc>
          <w:tcPr>
            <w:tcW w:w="1096" w:type="dxa"/>
          </w:tcPr>
          <w:p w14:paraId="0B90738B" w14:textId="77777777" w:rsidR="000E746F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3FAD40A9" w14:textId="77777777" w:rsidR="000E746F" w:rsidRDefault="00245CF6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45CF6">
              <w:rPr>
                <w:sz w:val="28"/>
                <w:szCs w:val="28"/>
              </w:rPr>
              <w:t>0,075</w:t>
            </w:r>
          </w:p>
        </w:tc>
      </w:tr>
      <w:tr w:rsidR="006F79D1" w14:paraId="33B99973" w14:textId="77777777" w:rsidTr="006F79D1">
        <w:tc>
          <w:tcPr>
            <w:tcW w:w="805" w:type="dxa"/>
          </w:tcPr>
          <w:p w14:paraId="4A736243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38.2.</w:t>
            </w:r>
          </w:p>
        </w:tc>
        <w:tc>
          <w:tcPr>
            <w:tcW w:w="3870" w:type="dxa"/>
          </w:tcPr>
          <w:p w14:paraId="478D77E2" w14:textId="77777777" w:rsidR="006F79D1" w:rsidRPr="00F10004" w:rsidRDefault="006F79D1" w:rsidP="006F79D1">
            <w:pPr>
              <w:pStyle w:val="BodyTextIndent"/>
              <w:ind w:left="0"/>
              <w:jc w:val="left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pasažieru kuģiem (kuģis, kuram ir pasažieru drošības apliecība) un kuģiem, kuri vienlaikus ir pasažieru un ro-ro tipa kuģi</w:t>
            </w:r>
          </w:p>
        </w:tc>
        <w:tc>
          <w:tcPr>
            <w:tcW w:w="1096" w:type="dxa"/>
          </w:tcPr>
          <w:p w14:paraId="193D0740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554BD62D" w14:textId="77777777" w:rsidR="006F79D1" w:rsidRPr="00F10004" w:rsidRDefault="00F10004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0,053</w:t>
            </w:r>
          </w:p>
        </w:tc>
        <w:tc>
          <w:tcPr>
            <w:tcW w:w="1096" w:type="dxa"/>
          </w:tcPr>
          <w:p w14:paraId="59645177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78962941" w14:textId="77777777" w:rsidR="006F79D1" w:rsidRDefault="00F10004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0,053</w:t>
            </w:r>
          </w:p>
        </w:tc>
      </w:tr>
      <w:tr w:rsidR="006F79D1" w14:paraId="1FACC736" w14:textId="77777777" w:rsidTr="006F79D1">
        <w:trPr>
          <w:trHeight w:val="359"/>
        </w:trPr>
        <w:tc>
          <w:tcPr>
            <w:tcW w:w="805" w:type="dxa"/>
          </w:tcPr>
          <w:p w14:paraId="7240ADE9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38.3.</w:t>
            </w:r>
          </w:p>
        </w:tc>
        <w:tc>
          <w:tcPr>
            <w:tcW w:w="3870" w:type="dxa"/>
          </w:tcPr>
          <w:p w14:paraId="365CBB62" w14:textId="77777777" w:rsidR="006F79D1" w:rsidRPr="00F10004" w:rsidRDefault="006F79D1" w:rsidP="006F79D1">
            <w:pPr>
              <w:pStyle w:val="BodyTextIndent"/>
              <w:ind w:left="0"/>
              <w:jc w:val="left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ro-ro tipa kuģiem (kuģis, kuram šāds apzīmējums ir kuģa klasifikācijas apliecībā) un konteineru kuģiem (kuģis, kuram šāds apzīmējums ir kuģa klasifikācijas apliecībā)</w:t>
            </w:r>
          </w:p>
        </w:tc>
        <w:tc>
          <w:tcPr>
            <w:tcW w:w="1096" w:type="dxa"/>
          </w:tcPr>
          <w:p w14:paraId="1E8D5C45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3019895A" w14:textId="77777777" w:rsidR="006F79D1" w:rsidRPr="00F10004" w:rsidRDefault="00F10004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0,060</w:t>
            </w:r>
          </w:p>
        </w:tc>
        <w:tc>
          <w:tcPr>
            <w:tcW w:w="1096" w:type="dxa"/>
          </w:tcPr>
          <w:p w14:paraId="5EB703B5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2E161192" w14:textId="77777777" w:rsidR="006F79D1" w:rsidRDefault="00F10004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0,060</w:t>
            </w:r>
          </w:p>
        </w:tc>
      </w:tr>
      <w:tr w:rsidR="006F79D1" w14:paraId="717B1F63" w14:textId="77777777" w:rsidTr="006F79D1">
        <w:tc>
          <w:tcPr>
            <w:tcW w:w="805" w:type="dxa"/>
          </w:tcPr>
          <w:p w14:paraId="42632CCC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lastRenderedPageBreak/>
              <w:t>38.4.</w:t>
            </w:r>
          </w:p>
        </w:tc>
        <w:tc>
          <w:tcPr>
            <w:tcW w:w="3870" w:type="dxa"/>
          </w:tcPr>
          <w:p w14:paraId="71BA6134" w14:textId="77777777" w:rsidR="006F79D1" w:rsidRPr="00F10004" w:rsidRDefault="006F79D1" w:rsidP="006F79D1">
            <w:pPr>
              <w:pStyle w:val="BodyTextIndent"/>
              <w:ind w:left="0"/>
              <w:jc w:val="left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kabotāžas kuģiem (kuģis, kas veic pārvadājumus tikai starp Latvijas ostām vai iet balastā starp tām)</w:t>
            </w:r>
          </w:p>
        </w:tc>
        <w:tc>
          <w:tcPr>
            <w:tcW w:w="1096" w:type="dxa"/>
          </w:tcPr>
          <w:p w14:paraId="162FF297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1 BT</w:t>
            </w:r>
          </w:p>
        </w:tc>
        <w:tc>
          <w:tcPr>
            <w:tcW w:w="1096" w:type="dxa"/>
          </w:tcPr>
          <w:p w14:paraId="487A5782" w14:textId="77777777" w:rsidR="006F79D1" w:rsidRPr="00F10004" w:rsidRDefault="00F10004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0,038</w:t>
            </w:r>
          </w:p>
        </w:tc>
        <w:tc>
          <w:tcPr>
            <w:tcW w:w="1096" w:type="dxa"/>
          </w:tcPr>
          <w:p w14:paraId="187BE91A" w14:textId="77777777" w:rsidR="006F79D1" w:rsidRPr="00F10004" w:rsidRDefault="006F79D1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0,00</w:t>
            </w:r>
          </w:p>
        </w:tc>
        <w:tc>
          <w:tcPr>
            <w:tcW w:w="1096" w:type="dxa"/>
          </w:tcPr>
          <w:p w14:paraId="64AA39DF" w14:textId="77777777" w:rsidR="006F79D1" w:rsidRDefault="00F10004" w:rsidP="006F79D1">
            <w:pPr>
              <w:pStyle w:val="BodyTextIndent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10004">
              <w:rPr>
                <w:sz w:val="28"/>
                <w:szCs w:val="28"/>
              </w:rPr>
              <w:t>0,038</w:t>
            </w:r>
            <w:r w:rsidR="00A9015B">
              <w:rPr>
                <w:sz w:val="28"/>
                <w:szCs w:val="28"/>
              </w:rPr>
              <w:t>”</w:t>
            </w:r>
          </w:p>
        </w:tc>
      </w:tr>
    </w:tbl>
    <w:p w14:paraId="1B701114" w14:textId="77777777" w:rsidR="000E746F" w:rsidRDefault="000E746F" w:rsidP="00E74257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354BE656" w14:textId="77777777" w:rsidR="000E746F" w:rsidRPr="00343D80" w:rsidRDefault="000E746F" w:rsidP="00E74257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3BD04251" w14:textId="77777777" w:rsidR="00E74257" w:rsidRDefault="00E74257" w:rsidP="00E74257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3F8CE56F" w14:textId="77777777" w:rsidR="00C14466" w:rsidRPr="00725285" w:rsidRDefault="00C14466" w:rsidP="00E74257">
      <w:pPr>
        <w:pStyle w:val="BodyTextIndent"/>
        <w:spacing w:line="240" w:lineRule="auto"/>
        <w:ind w:left="0"/>
        <w:rPr>
          <w:sz w:val="28"/>
          <w:szCs w:val="28"/>
        </w:rPr>
      </w:pPr>
    </w:p>
    <w:p w14:paraId="1B4A9C28" w14:textId="77777777" w:rsidR="00E74257" w:rsidRPr="00312161" w:rsidRDefault="00E74257" w:rsidP="00E7425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 xml:space="preserve">Ministru prezidents            </w:t>
      </w:r>
      <w:r w:rsidRPr="00312161">
        <w:rPr>
          <w:sz w:val="28"/>
          <w:szCs w:val="24"/>
          <w:lang w:eastAsia="en-US"/>
        </w:rPr>
        <w:tab/>
      </w:r>
      <w:r w:rsidR="007E600A">
        <w:rPr>
          <w:sz w:val="28"/>
          <w:szCs w:val="24"/>
          <w:lang w:eastAsia="en-US"/>
        </w:rPr>
        <w:t>A. K. Kariņš</w:t>
      </w:r>
    </w:p>
    <w:p w14:paraId="1855734A" w14:textId="77777777" w:rsidR="00E74257" w:rsidRPr="00312161" w:rsidRDefault="00E74257" w:rsidP="00E7425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1349FAC" w14:textId="77777777" w:rsidR="004864FC" w:rsidRDefault="004864FC" w:rsidP="00E7425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7ADE4F64" w14:textId="77777777" w:rsidR="00C14466" w:rsidRPr="00312161" w:rsidRDefault="00C14466" w:rsidP="00E7425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3D989B3A" w14:textId="77777777" w:rsidR="00E74257" w:rsidRPr="00312161" w:rsidRDefault="007E600A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Satiksmes ministrs</w:t>
      </w:r>
      <w:r>
        <w:rPr>
          <w:sz w:val="28"/>
          <w:szCs w:val="24"/>
          <w:lang w:eastAsia="en-US"/>
        </w:rPr>
        <w:tab/>
        <w:t>T. Linkaits</w:t>
      </w:r>
    </w:p>
    <w:p w14:paraId="2287C921" w14:textId="77777777" w:rsidR="00E74257" w:rsidRPr="00312161" w:rsidRDefault="00E74257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E3BAE49" w14:textId="77777777" w:rsidR="00E74257" w:rsidRPr="00312161" w:rsidRDefault="00E74257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629A024E" w14:textId="77777777" w:rsidR="00E74257" w:rsidRDefault="00E74257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95757BB" w14:textId="77777777" w:rsidR="004864FC" w:rsidRDefault="004864FC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36CD8244" w14:textId="77777777" w:rsidR="00C14466" w:rsidRDefault="00C14466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050B42AC" w14:textId="77777777" w:rsidR="00E74257" w:rsidRDefault="00E74257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Iesniedzējs:</w:t>
      </w:r>
    </w:p>
    <w:p w14:paraId="1C097D67" w14:textId="77777777" w:rsidR="00E74257" w:rsidRPr="00312161" w:rsidRDefault="007E600A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satiksmes ministrs</w:t>
      </w:r>
      <w:r>
        <w:rPr>
          <w:sz w:val="28"/>
          <w:szCs w:val="24"/>
          <w:lang w:eastAsia="en-US"/>
        </w:rPr>
        <w:tab/>
        <w:t>T. Linkaits</w:t>
      </w:r>
    </w:p>
    <w:p w14:paraId="331CA5BF" w14:textId="77777777" w:rsidR="004864FC" w:rsidRDefault="004864FC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6D0F553E" w14:textId="77777777" w:rsidR="00C14466" w:rsidRPr="00312161" w:rsidRDefault="00C14466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004628F5" w14:textId="77777777" w:rsidR="00E74257" w:rsidRPr="002A6840" w:rsidRDefault="00E74257" w:rsidP="00E7425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A6840">
        <w:rPr>
          <w:sz w:val="28"/>
          <w:szCs w:val="24"/>
          <w:lang w:eastAsia="en-US"/>
        </w:rPr>
        <w:t>Vīza:</w:t>
      </w:r>
    </w:p>
    <w:p w14:paraId="1E9DF52E" w14:textId="77777777" w:rsidR="00E74257" w:rsidRDefault="00E74257" w:rsidP="007E600A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A6840">
        <w:rPr>
          <w:sz w:val="28"/>
          <w:szCs w:val="24"/>
          <w:lang w:eastAsia="en-US"/>
        </w:rPr>
        <w:t>valsts sekretār</w:t>
      </w:r>
      <w:r w:rsidR="00A9015B">
        <w:rPr>
          <w:sz w:val="28"/>
          <w:szCs w:val="24"/>
          <w:lang w:eastAsia="en-US"/>
        </w:rPr>
        <w:t xml:space="preserve">a </w:t>
      </w:r>
      <w:proofErr w:type="spellStart"/>
      <w:r w:rsidR="00A9015B">
        <w:rPr>
          <w:sz w:val="28"/>
          <w:szCs w:val="24"/>
          <w:lang w:eastAsia="en-US"/>
        </w:rPr>
        <w:t>p.i</w:t>
      </w:r>
      <w:proofErr w:type="spellEnd"/>
      <w:r w:rsidR="00A9015B">
        <w:rPr>
          <w:sz w:val="28"/>
          <w:szCs w:val="24"/>
          <w:lang w:eastAsia="en-US"/>
        </w:rPr>
        <w:t>.</w:t>
      </w:r>
      <w:r w:rsidRPr="002A6840">
        <w:rPr>
          <w:sz w:val="28"/>
          <w:szCs w:val="24"/>
          <w:lang w:eastAsia="en-US"/>
        </w:rPr>
        <w:tab/>
      </w:r>
      <w:proofErr w:type="spellStart"/>
      <w:r w:rsidR="00A9015B">
        <w:rPr>
          <w:sz w:val="28"/>
          <w:szCs w:val="24"/>
          <w:lang w:eastAsia="en-US"/>
        </w:rPr>
        <w:t>Dž</w:t>
      </w:r>
      <w:proofErr w:type="spellEnd"/>
      <w:r w:rsidR="00A9015B">
        <w:rPr>
          <w:sz w:val="28"/>
          <w:szCs w:val="24"/>
          <w:lang w:eastAsia="en-US"/>
        </w:rPr>
        <w:t>. Innusa</w:t>
      </w:r>
    </w:p>
    <w:p w14:paraId="2CD3A5B4" w14:textId="77777777" w:rsidR="00D0103C" w:rsidRPr="00D0103C" w:rsidRDefault="00D0103C" w:rsidP="00D0103C">
      <w:pPr>
        <w:rPr>
          <w:sz w:val="28"/>
          <w:szCs w:val="24"/>
          <w:lang w:eastAsia="en-US"/>
        </w:rPr>
      </w:pPr>
    </w:p>
    <w:p w14:paraId="4E88B0E6" w14:textId="77777777" w:rsidR="00D0103C" w:rsidRPr="00D0103C" w:rsidRDefault="00D0103C" w:rsidP="00D0103C">
      <w:pPr>
        <w:rPr>
          <w:sz w:val="28"/>
          <w:szCs w:val="24"/>
          <w:lang w:eastAsia="en-US"/>
        </w:rPr>
      </w:pPr>
    </w:p>
    <w:p w14:paraId="6CF73E78" w14:textId="77777777" w:rsidR="00D0103C" w:rsidRPr="00D0103C" w:rsidRDefault="00D0103C" w:rsidP="00D0103C">
      <w:pPr>
        <w:rPr>
          <w:sz w:val="28"/>
          <w:szCs w:val="24"/>
          <w:lang w:eastAsia="en-US"/>
        </w:rPr>
      </w:pPr>
    </w:p>
    <w:p w14:paraId="64247668" w14:textId="77777777" w:rsidR="00D0103C" w:rsidRPr="00D0103C" w:rsidRDefault="00D0103C" w:rsidP="00D0103C">
      <w:pPr>
        <w:rPr>
          <w:sz w:val="28"/>
          <w:szCs w:val="24"/>
          <w:lang w:eastAsia="en-US"/>
        </w:rPr>
      </w:pPr>
    </w:p>
    <w:p w14:paraId="65DF5483" w14:textId="77777777" w:rsidR="00D0103C" w:rsidRPr="00D0103C" w:rsidRDefault="00D0103C" w:rsidP="00D0103C">
      <w:pPr>
        <w:rPr>
          <w:sz w:val="28"/>
          <w:szCs w:val="24"/>
          <w:lang w:eastAsia="en-US"/>
        </w:rPr>
      </w:pPr>
    </w:p>
    <w:sectPr w:rsidR="00D0103C" w:rsidRPr="00D0103C" w:rsidSect="00B33BC6">
      <w:headerReference w:type="default" r:id="rId8"/>
      <w:footerReference w:type="default" r:id="rId9"/>
      <w:footerReference w:type="first" r:id="rId10"/>
      <w:pgSz w:w="11906" w:h="16838" w:code="9"/>
      <w:pgMar w:top="1620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D3B2" w14:textId="77777777" w:rsidR="00C56E6C" w:rsidRDefault="00C56E6C" w:rsidP="002B7079">
      <w:r>
        <w:separator/>
      </w:r>
    </w:p>
  </w:endnote>
  <w:endnote w:type="continuationSeparator" w:id="0">
    <w:p w14:paraId="0F0B51D9" w14:textId="77777777" w:rsidR="00C56E6C" w:rsidRDefault="00C56E6C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489C" w14:textId="77777777" w:rsidR="000E746F" w:rsidRPr="00FA3901" w:rsidRDefault="00CC1280" w:rsidP="00BF6CE2">
    <w:pPr>
      <w:pStyle w:val="Footer"/>
      <w:jc w:val="both"/>
    </w:pPr>
    <w:r>
      <w:t>SMnot_</w:t>
    </w:r>
    <w:r w:rsidR="003A6402">
      <w:t>09</w:t>
    </w:r>
    <w:r w:rsidR="002A6840">
      <w:t>04</w:t>
    </w:r>
    <w:r w:rsidR="006F79D1">
      <w:t>19</w:t>
    </w:r>
    <w:r w:rsidR="000E746F">
      <w:t>_groz634</w:t>
    </w:r>
  </w:p>
  <w:p w14:paraId="0B52759F" w14:textId="77777777" w:rsidR="000E746F" w:rsidRPr="00BF6CE2" w:rsidRDefault="000E746F" w:rsidP="00BF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16D8" w14:textId="77777777" w:rsidR="000E746F" w:rsidRPr="00FA3901" w:rsidRDefault="00CC1280" w:rsidP="002B7079">
    <w:pPr>
      <w:pStyle w:val="Footer"/>
      <w:jc w:val="both"/>
    </w:pPr>
    <w:r>
      <w:t>SMnot_</w:t>
    </w:r>
    <w:r w:rsidR="003A6402">
      <w:t>09</w:t>
    </w:r>
    <w:r w:rsidR="002A6840">
      <w:t>04</w:t>
    </w:r>
    <w:r w:rsidR="006F79D1">
      <w:t>19</w:t>
    </w:r>
    <w:r w:rsidR="000E746F">
      <w:t>_groz634</w:t>
    </w:r>
  </w:p>
  <w:p w14:paraId="0ABC63DE" w14:textId="77777777" w:rsidR="000E746F" w:rsidRPr="002B7079" w:rsidRDefault="000E746F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E085" w14:textId="77777777" w:rsidR="00C56E6C" w:rsidRDefault="00C56E6C" w:rsidP="002B7079">
      <w:r>
        <w:separator/>
      </w:r>
    </w:p>
  </w:footnote>
  <w:footnote w:type="continuationSeparator" w:id="0">
    <w:p w14:paraId="7298C32E" w14:textId="77777777" w:rsidR="00C56E6C" w:rsidRDefault="00C56E6C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147633"/>
      <w:docPartObj>
        <w:docPartGallery w:val="Page Numbers (Top of Page)"/>
        <w:docPartUnique/>
      </w:docPartObj>
    </w:sdtPr>
    <w:sdtEndPr/>
    <w:sdtContent>
      <w:p w14:paraId="5FE8BF74" w14:textId="77777777" w:rsidR="000E746F" w:rsidRDefault="000E746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5B95A" w14:textId="77777777" w:rsidR="000E746F" w:rsidRDefault="000E7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E76"/>
    <w:multiLevelType w:val="hybridMultilevel"/>
    <w:tmpl w:val="47F27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6D2"/>
    <w:multiLevelType w:val="hybridMultilevel"/>
    <w:tmpl w:val="55806DC4"/>
    <w:lvl w:ilvl="0" w:tplc="C902C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3040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62C9"/>
    <w:multiLevelType w:val="hybridMultilevel"/>
    <w:tmpl w:val="AA56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465"/>
    <w:multiLevelType w:val="hybridMultilevel"/>
    <w:tmpl w:val="3154BFF0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1E5095F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207F"/>
    <w:multiLevelType w:val="hybridMultilevel"/>
    <w:tmpl w:val="A8FEC7C0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A04E5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2994"/>
    <w:multiLevelType w:val="hybridMultilevel"/>
    <w:tmpl w:val="98C4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0864"/>
    <w:multiLevelType w:val="hybridMultilevel"/>
    <w:tmpl w:val="275E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4564"/>
    <w:multiLevelType w:val="hybridMultilevel"/>
    <w:tmpl w:val="7AA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65DE7"/>
    <w:multiLevelType w:val="hybridMultilevel"/>
    <w:tmpl w:val="9B7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76689"/>
    <w:multiLevelType w:val="hybridMultilevel"/>
    <w:tmpl w:val="811EBA18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3AD72E1"/>
    <w:multiLevelType w:val="hybridMultilevel"/>
    <w:tmpl w:val="969EDA6C"/>
    <w:lvl w:ilvl="0" w:tplc="9DB8191C">
      <w:start w:val="1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2F9"/>
    <w:multiLevelType w:val="hybridMultilevel"/>
    <w:tmpl w:val="3300E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9"/>
  </w:num>
  <w:num w:numId="12">
    <w:abstractNumId w:val="21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4956"/>
    <w:rsid w:val="000050EF"/>
    <w:rsid w:val="000069E9"/>
    <w:rsid w:val="000149C6"/>
    <w:rsid w:val="00015E0E"/>
    <w:rsid w:val="00026C3E"/>
    <w:rsid w:val="000308D6"/>
    <w:rsid w:val="0003124F"/>
    <w:rsid w:val="0003435A"/>
    <w:rsid w:val="0005478F"/>
    <w:rsid w:val="00055C22"/>
    <w:rsid w:val="00056BE3"/>
    <w:rsid w:val="00057386"/>
    <w:rsid w:val="00057CB3"/>
    <w:rsid w:val="0006216F"/>
    <w:rsid w:val="000643C2"/>
    <w:rsid w:val="000730AD"/>
    <w:rsid w:val="000774AF"/>
    <w:rsid w:val="0009014C"/>
    <w:rsid w:val="000A6BC2"/>
    <w:rsid w:val="000B1490"/>
    <w:rsid w:val="000B2730"/>
    <w:rsid w:val="000B3605"/>
    <w:rsid w:val="000B52EA"/>
    <w:rsid w:val="000C3398"/>
    <w:rsid w:val="000C6032"/>
    <w:rsid w:val="000D328F"/>
    <w:rsid w:val="000E147B"/>
    <w:rsid w:val="000E1E37"/>
    <w:rsid w:val="000E3EF8"/>
    <w:rsid w:val="000E675A"/>
    <w:rsid w:val="000E72D9"/>
    <w:rsid w:val="000E746F"/>
    <w:rsid w:val="000F1F7E"/>
    <w:rsid w:val="000F38F1"/>
    <w:rsid w:val="000F734A"/>
    <w:rsid w:val="00101611"/>
    <w:rsid w:val="0011042E"/>
    <w:rsid w:val="00115AA4"/>
    <w:rsid w:val="00125549"/>
    <w:rsid w:val="00132010"/>
    <w:rsid w:val="001326E6"/>
    <w:rsid w:val="001475BB"/>
    <w:rsid w:val="001535EC"/>
    <w:rsid w:val="001628BC"/>
    <w:rsid w:val="00164A5F"/>
    <w:rsid w:val="00171CE7"/>
    <w:rsid w:val="0017353C"/>
    <w:rsid w:val="0018305C"/>
    <w:rsid w:val="00185628"/>
    <w:rsid w:val="00191934"/>
    <w:rsid w:val="001A3E33"/>
    <w:rsid w:val="001A4DFF"/>
    <w:rsid w:val="001B1204"/>
    <w:rsid w:val="001B18AC"/>
    <w:rsid w:val="001B2FD0"/>
    <w:rsid w:val="001C0BC9"/>
    <w:rsid w:val="001C2A90"/>
    <w:rsid w:val="001C4B38"/>
    <w:rsid w:val="001D1447"/>
    <w:rsid w:val="001D650B"/>
    <w:rsid w:val="001E2A5C"/>
    <w:rsid w:val="00205EC5"/>
    <w:rsid w:val="002069C7"/>
    <w:rsid w:val="002100A4"/>
    <w:rsid w:val="00211872"/>
    <w:rsid w:val="0021312D"/>
    <w:rsid w:val="00213ED9"/>
    <w:rsid w:val="00216B24"/>
    <w:rsid w:val="00223E16"/>
    <w:rsid w:val="00227812"/>
    <w:rsid w:val="00240306"/>
    <w:rsid w:val="00240EC7"/>
    <w:rsid w:val="00241104"/>
    <w:rsid w:val="00245B8D"/>
    <w:rsid w:val="00245CF6"/>
    <w:rsid w:val="00255EDD"/>
    <w:rsid w:val="002600AD"/>
    <w:rsid w:val="00264691"/>
    <w:rsid w:val="0026664B"/>
    <w:rsid w:val="00285740"/>
    <w:rsid w:val="00294792"/>
    <w:rsid w:val="00295D9C"/>
    <w:rsid w:val="00296E66"/>
    <w:rsid w:val="002A1BD1"/>
    <w:rsid w:val="002A6840"/>
    <w:rsid w:val="002B2C74"/>
    <w:rsid w:val="002B5449"/>
    <w:rsid w:val="002B7079"/>
    <w:rsid w:val="002C11E0"/>
    <w:rsid w:val="002D2E00"/>
    <w:rsid w:val="002D5269"/>
    <w:rsid w:val="002E2057"/>
    <w:rsid w:val="002E32E2"/>
    <w:rsid w:val="002F1798"/>
    <w:rsid w:val="002F1A7F"/>
    <w:rsid w:val="003012C6"/>
    <w:rsid w:val="00312161"/>
    <w:rsid w:val="00320D23"/>
    <w:rsid w:val="00325EBF"/>
    <w:rsid w:val="003373BB"/>
    <w:rsid w:val="00340221"/>
    <w:rsid w:val="00343D80"/>
    <w:rsid w:val="00344248"/>
    <w:rsid w:val="0034684D"/>
    <w:rsid w:val="00354DCF"/>
    <w:rsid w:val="0036659A"/>
    <w:rsid w:val="00374A26"/>
    <w:rsid w:val="0037581F"/>
    <w:rsid w:val="00380EB5"/>
    <w:rsid w:val="003862B1"/>
    <w:rsid w:val="003A6402"/>
    <w:rsid w:val="003C5F0D"/>
    <w:rsid w:val="003D59D3"/>
    <w:rsid w:val="003E02D6"/>
    <w:rsid w:val="003E3E33"/>
    <w:rsid w:val="003E4792"/>
    <w:rsid w:val="003E492E"/>
    <w:rsid w:val="003E5AC6"/>
    <w:rsid w:val="003E6E58"/>
    <w:rsid w:val="003F09A7"/>
    <w:rsid w:val="003F61FD"/>
    <w:rsid w:val="003F6763"/>
    <w:rsid w:val="00402E2F"/>
    <w:rsid w:val="00405DDA"/>
    <w:rsid w:val="00407069"/>
    <w:rsid w:val="004103D7"/>
    <w:rsid w:val="0041082F"/>
    <w:rsid w:val="004118C0"/>
    <w:rsid w:val="00413FCC"/>
    <w:rsid w:val="00417D5F"/>
    <w:rsid w:val="00427A4E"/>
    <w:rsid w:val="004321C1"/>
    <w:rsid w:val="004518AA"/>
    <w:rsid w:val="00452D32"/>
    <w:rsid w:val="00453747"/>
    <w:rsid w:val="004542AB"/>
    <w:rsid w:val="004670E9"/>
    <w:rsid w:val="004747A6"/>
    <w:rsid w:val="00476C9D"/>
    <w:rsid w:val="00484157"/>
    <w:rsid w:val="004864FC"/>
    <w:rsid w:val="00493C39"/>
    <w:rsid w:val="00493E79"/>
    <w:rsid w:val="004A720F"/>
    <w:rsid w:val="004B05AB"/>
    <w:rsid w:val="004B60C5"/>
    <w:rsid w:val="004B7248"/>
    <w:rsid w:val="004C41F7"/>
    <w:rsid w:val="004D6673"/>
    <w:rsid w:val="004E0530"/>
    <w:rsid w:val="004E1335"/>
    <w:rsid w:val="004E2B3C"/>
    <w:rsid w:val="004F7176"/>
    <w:rsid w:val="00505B84"/>
    <w:rsid w:val="00506199"/>
    <w:rsid w:val="00510285"/>
    <w:rsid w:val="00510DB0"/>
    <w:rsid w:val="0051387C"/>
    <w:rsid w:val="00516402"/>
    <w:rsid w:val="0051776E"/>
    <w:rsid w:val="0054277E"/>
    <w:rsid w:val="00546A7A"/>
    <w:rsid w:val="0054732D"/>
    <w:rsid w:val="00583375"/>
    <w:rsid w:val="0059274C"/>
    <w:rsid w:val="00592C49"/>
    <w:rsid w:val="0059385D"/>
    <w:rsid w:val="00595D1E"/>
    <w:rsid w:val="005B0315"/>
    <w:rsid w:val="005C1EA5"/>
    <w:rsid w:val="005D466F"/>
    <w:rsid w:val="005E0D6F"/>
    <w:rsid w:val="005E51A7"/>
    <w:rsid w:val="006075E4"/>
    <w:rsid w:val="00614287"/>
    <w:rsid w:val="00622B6D"/>
    <w:rsid w:val="006273E1"/>
    <w:rsid w:val="00631663"/>
    <w:rsid w:val="00635B54"/>
    <w:rsid w:val="00640805"/>
    <w:rsid w:val="00660D79"/>
    <w:rsid w:val="00662062"/>
    <w:rsid w:val="00671B62"/>
    <w:rsid w:val="00683F8C"/>
    <w:rsid w:val="006A016D"/>
    <w:rsid w:val="006A3423"/>
    <w:rsid w:val="006A3DFE"/>
    <w:rsid w:val="006A78B1"/>
    <w:rsid w:val="006C45C2"/>
    <w:rsid w:val="006C5F0A"/>
    <w:rsid w:val="006D1AE4"/>
    <w:rsid w:val="006D482B"/>
    <w:rsid w:val="006E455A"/>
    <w:rsid w:val="006E4E8F"/>
    <w:rsid w:val="006F21A3"/>
    <w:rsid w:val="006F79D1"/>
    <w:rsid w:val="006F7FEE"/>
    <w:rsid w:val="00707D82"/>
    <w:rsid w:val="0071026E"/>
    <w:rsid w:val="0071449D"/>
    <w:rsid w:val="00716B0C"/>
    <w:rsid w:val="00725285"/>
    <w:rsid w:val="00726E84"/>
    <w:rsid w:val="0076246B"/>
    <w:rsid w:val="00770130"/>
    <w:rsid w:val="00770906"/>
    <w:rsid w:val="0077164F"/>
    <w:rsid w:val="00774815"/>
    <w:rsid w:val="007750B7"/>
    <w:rsid w:val="0078396A"/>
    <w:rsid w:val="00784F42"/>
    <w:rsid w:val="00790D51"/>
    <w:rsid w:val="007A4C85"/>
    <w:rsid w:val="007A4D5B"/>
    <w:rsid w:val="007A6099"/>
    <w:rsid w:val="007B73F5"/>
    <w:rsid w:val="007C1967"/>
    <w:rsid w:val="007C45D0"/>
    <w:rsid w:val="007E600A"/>
    <w:rsid w:val="007F2524"/>
    <w:rsid w:val="00800AE1"/>
    <w:rsid w:val="00802C69"/>
    <w:rsid w:val="008129AF"/>
    <w:rsid w:val="00813C40"/>
    <w:rsid w:val="00816F6C"/>
    <w:rsid w:val="008203EB"/>
    <w:rsid w:val="00822C61"/>
    <w:rsid w:val="0082578D"/>
    <w:rsid w:val="00826F1A"/>
    <w:rsid w:val="00830544"/>
    <w:rsid w:val="008335D8"/>
    <w:rsid w:val="008346A6"/>
    <w:rsid w:val="00835ECF"/>
    <w:rsid w:val="008360C9"/>
    <w:rsid w:val="00836F7F"/>
    <w:rsid w:val="0086151C"/>
    <w:rsid w:val="00870368"/>
    <w:rsid w:val="008839D4"/>
    <w:rsid w:val="008A0197"/>
    <w:rsid w:val="008A07EA"/>
    <w:rsid w:val="008A7915"/>
    <w:rsid w:val="008B4FD5"/>
    <w:rsid w:val="008B6744"/>
    <w:rsid w:val="008C5F59"/>
    <w:rsid w:val="008D670B"/>
    <w:rsid w:val="008F626A"/>
    <w:rsid w:val="008F7D1E"/>
    <w:rsid w:val="0090209F"/>
    <w:rsid w:val="00914ADE"/>
    <w:rsid w:val="00924F82"/>
    <w:rsid w:val="00926225"/>
    <w:rsid w:val="00927C9E"/>
    <w:rsid w:val="0093339A"/>
    <w:rsid w:val="00933711"/>
    <w:rsid w:val="00935B99"/>
    <w:rsid w:val="009510E7"/>
    <w:rsid w:val="00953A01"/>
    <w:rsid w:val="009569C0"/>
    <w:rsid w:val="00961D51"/>
    <w:rsid w:val="00963707"/>
    <w:rsid w:val="009639EC"/>
    <w:rsid w:val="00991EF2"/>
    <w:rsid w:val="00991F73"/>
    <w:rsid w:val="009A0479"/>
    <w:rsid w:val="009A22E5"/>
    <w:rsid w:val="009A450F"/>
    <w:rsid w:val="009A6CBC"/>
    <w:rsid w:val="009B2865"/>
    <w:rsid w:val="009B48A1"/>
    <w:rsid w:val="009C0776"/>
    <w:rsid w:val="009C0B4A"/>
    <w:rsid w:val="009C3DB9"/>
    <w:rsid w:val="009C470E"/>
    <w:rsid w:val="009E2EF5"/>
    <w:rsid w:val="009E3303"/>
    <w:rsid w:val="009E7A29"/>
    <w:rsid w:val="009F06B9"/>
    <w:rsid w:val="00A022F7"/>
    <w:rsid w:val="00A07DB3"/>
    <w:rsid w:val="00A13C51"/>
    <w:rsid w:val="00A1477E"/>
    <w:rsid w:val="00A16A48"/>
    <w:rsid w:val="00A17014"/>
    <w:rsid w:val="00A232B3"/>
    <w:rsid w:val="00A23E92"/>
    <w:rsid w:val="00A267FC"/>
    <w:rsid w:val="00A305C4"/>
    <w:rsid w:val="00A37616"/>
    <w:rsid w:val="00A41D2F"/>
    <w:rsid w:val="00A4235D"/>
    <w:rsid w:val="00A4587C"/>
    <w:rsid w:val="00A57C2A"/>
    <w:rsid w:val="00A63DE5"/>
    <w:rsid w:val="00A6603B"/>
    <w:rsid w:val="00A75173"/>
    <w:rsid w:val="00A8186E"/>
    <w:rsid w:val="00A9015B"/>
    <w:rsid w:val="00A9422D"/>
    <w:rsid w:val="00A95EE5"/>
    <w:rsid w:val="00A96912"/>
    <w:rsid w:val="00AA0C4A"/>
    <w:rsid w:val="00AA0FD9"/>
    <w:rsid w:val="00AA11C2"/>
    <w:rsid w:val="00AB5D44"/>
    <w:rsid w:val="00AD07B7"/>
    <w:rsid w:val="00AD3812"/>
    <w:rsid w:val="00AD3FAE"/>
    <w:rsid w:val="00AD627A"/>
    <w:rsid w:val="00AE10FE"/>
    <w:rsid w:val="00AF1FDD"/>
    <w:rsid w:val="00B03DBA"/>
    <w:rsid w:val="00B128BA"/>
    <w:rsid w:val="00B1305E"/>
    <w:rsid w:val="00B20FED"/>
    <w:rsid w:val="00B33BC6"/>
    <w:rsid w:val="00B46387"/>
    <w:rsid w:val="00B46D95"/>
    <w:rsid w:val="00B53E5C"/>
    <w:rsid w:val="00B550F8"/>
    <w:rsid w:val="00B676CC"/>
    <w:rsid w:val="00B71D3A"/>
    <w:rsid w:val="00B764A4"/>
    <w:rsid w:val="00B85814"/>
    <w:rsid w:val="00BA1C23"/>
    <w:rsid w:val="00BA4D54"/>
    <w:rsid w:val="00BB1E73"/>
    <w:rsid w:val="00BB2DF9"/>
    <w:rsid w:val="00BC269B"/>
    <w:rsid w:val="00BC4C12"/>
    <w:rsid w:val="00BE411D"/>
    <w:rsid w:val="00BF283C"/>
    <w:rsid w:val="00BF5B32"/>
    <w:rsid w:val="00BF5BF7"/>
    <w:rsid w:val="00BF6132"/>
    <w:rsid w:val="00BF6CE2"/>
    <w:rsid w:val="00C02B8A"/>
    <w:rsid w:val="00C04440"/>
    <w:rsid w:val="00C133D4"/>
    <w:rsid w:val="00C14466"/>
    <w:rsid w:val="00C21F1F"/>
    <w:rsid w:val="00C22780"/>
    <w:rsid w:val="00C27438"/>
    <w:rsid w:val="00C3426E"/>
    <w:rsid w:val="00C4768B"/>
    <w:rsid w:val="00C52143"/>
    <w:rsid w:val="00C53C8E"/>
    <w:rsid w:val="00C56E6C"/>
    <w:rsid w:val="00C62AB6"/>
    <w:rsid w:val="00C70807"/>
    <w:rsid w:val="00C7184D"/>
    <w:rsid w:val="00C750E5"/>
    <w:rsid w:val="00CA71CF"/>
    <w:rsid w:val="00CB4C9E"/>
    <w:rsid w:val="00CC1280"/>
    <w:rsid w:val="00CC46DE"/>
    <w:rsid w:val="00CC503E"/>
    <w:rsid w:val="00CC6FB1"/>
    <w:rsid w:val="00CD5B39"/>
    <w:rsid w:val="00CD7B9D"/>
    <w:rsid w:val="00CE1449"/>
    <w:rsid w:val="00CF4D98"/>
    <w:rsid w:val="00CF71A4"/>
    <w:rsid w:val="00CF7243"/>
    <w:rsid w:val="00D0103C"/>
    <w:rsid w:val="00D115C0"/>
    <w:rsid w:val="00D2243C"/>
    <w:rsid w:val="00D449E6"/>
    <w:rsid w:val="00D55EC7"/>
    <w:rsid w:val="00D64E89"/>
    <w:rsid w:val="00D90154"/>
    <w:rsid w:val="00D9691B"/>
    <w:rsid w:val="00D96E9A"/>
    <w:rsid w:val="00D97275"/>
    <w:rsid w:val="00D97D49"/>
    <w:rsid w:val="00DA0003"/>
    <w:rsid w:val="00DA173C"/>
    <w:rsid w:val="00DA3343"/>
    <w:rsid w:val="00DA3E9F"/>
    <w:rsid w:val="00DA7D5C"/>
    <w:rsid w:val="00DB1145"/>
    <w:rsid w:val="00DC2F2C"/>
    <w:rsid w:val="00DC4291"/>
    <w:rsid w:val="00DC4AE6"/>
    <w:rsid w:val="00DD7B42"/>
    <w:rsid w:val="00DE52DE"/>
    <w:rsid w:val="00E07622"/>
    <w:rsid w:val="00E2776F"/>
    <w:rsid w:val="00E3006C"/>
    <w:rsid w:val="00E30D70"/>
    <w:rsid w:val="00E347D8"/>
    <w:rsid w:val="00E367D8"/>
    <w:rsid w:val="00E54FD3"/>
    <w:rsid w:val="00E5741A"/>
    <w:rsid w:val="00E576B8"/>
    <w:rsid w:val="00E653E3"/>
    <w:rsid w:val="00E6769E"/>
    <w:rsid w:val="00E70B32"/>
    <w:rsid w:val="00E72DB7"/>
    <w:rsid w:val="00E74257"/>
    <w:rsid w:val="00E74BC9"/>
    <w:rsid w:val="00E97336"/>
    <w:rsid w:val="00EA15D3"/>
    <w:rsid w:val="00EB6C01"/>
    <w:rsid w:val="00EC1ABF"/>
    <w:rsid w:val="00EC3003"/>
    <w:rsid w:val="00EC65A1"/>
    <w:rsid w:val="00ED7EB9"/>
    <w:rsid w:val="00EE338C"/>
    <w:rsid w:val="00EE6CE1"/>
    <w:rsid w:val="00EF21C9"/>
    <w:rsid w:val="00EF4AD8"/>
    <w:rsid w:val="00EF6D3E"/>
    <w:rsid w:val="00F00665"/>
    <w:rsid w:val="00F02DE7"/>
    <w:rsid w:val="00F053F1"/>
    <w:rsid w:val="00F10004"/>
    <w:rsid w:val="00F12B33"/>
    <w:rsid w:val="00F13575"/>
    <w:rsid w:val="00F14087"/>
    <w:rsid w:val="00F16796"/>
    <w:rsid w:val="00F370B2"/>
    <w:rsid w:val="00F371F1"/>
    <w:rsid w:val="00F37D2E"/>
    <w:rsid w:val="00F37DAE"/>
    <w:rsid w:val="00F554A8"/>
    <w:rsid w:val="00F61CF9"/>
    <w:rsid w:val="00F639EC"/>
    <w:rsid w:val="00F64CB7"/>
    <w:rsid w:val="00F65344"/>
    <w:rsid w:val="00F74ED8"/>
    <w:rsid w:val="00F752D0"/>
    <w:rsid w:val="00F76397"/>
    <w:rsid w:val="00F84016"/>
    <w:rsid w:val="00F87C01"/>
    <w:rsid w:val="00F90780"/>
    <w:rsid w:val="00F94DEF"/>
    <w:rsid w:val="00F96BC6"/>
    <w:rsid w:val="00FA0BA7"/>
    <w:rsid w:val="00FA26DE"/>
    <w:rsid w:val="00FA2901"/>
    <w:rsid w:val="00FA4E24"/>
    <w:rsid w:val="00FB71FF"/>
    <w:rsid w:val="00FC1846"/>
    <w:rsid w:val="00FD5F5C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FE7D"/>
  <w15:docId w15:val="{57BE3CBD-8269-40F9-83A3-8C4D758A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E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3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57BB-52B9-4321-9F4B-EECA8743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2017.gada 24.oktobra noteikumos Nr.634 "Valsts akciju sabiedrības "Latvijas Jūras administrācija" maksas pakalpojumu cenrādis"</vt:lpstr>
      <vt:lpstr>Grozījumi Ministru kabineta 2014. gada 2. septembra noteikumos Nr. 529 „Ēku būvnoteikumi”</vt:lpstr>
    </vt:vector>
  </TitlesOfParts>
  <Company>Satiksmes ministrija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2017.gada 24.oktobra noteikumos Nr.634 "Valsts akciju sabiedrības "Latvijas Jūras administrācija" maksas pakalpojumu cenrādis"</dc:title>
  <dc:subject>Noteikumu projekts</dc:subject>
  <dc:creator>aija.liepina@lja.lv;anete.logina@lja.lv</dc:creator>
  <dc:description>67062103, aija.liepina@lja.lv; 67062133, anete.logina@lja.lv</dc:description>
  <cp:lastModifiedBy>Laima Rituma</cp:lastModifiedBy>
  <cp:revision>8</cp:revision>
  <cp:lastPrinted>2019-04-15T13:14:00Z</cp:lastPrinted>
  <dcterms:created xsi:type="dcterms:W3CDTF">2019-03-26T14:39:00Z</dcterms:created>
  <dcterms:modified xsi:type="dcterms:W3CDTF">2019-04-15T13:31:00Z</dcterms:modified>
</cp:coreProperties>
</file>