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96EF0" w:rsidR="00496EF0" w:rsidP="007D0F8D" w:rsidRDefault="00496EF0" w14:paraId="7CE945FE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  <w:r w:rsidRPr="00496EF0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Ministru kabineta rīkojuma projekta</w:t>
      </w:r>
    </w:p>
    <w:p w:rsidRPr="00BC2633" w:rsidR="004D15A9" w:rsidP="00B73EAC" w:rsidRDefault="00080375" w14:paraId="1C2F2E24" w14:textId="3B4D8E02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  <w:bookmarkStart w:name="_Hlk527172" w:id="0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"</w:t>
      </w:r>
      <w:r w:rsidRPr="00DB20AB" w:rsidR="00DB20AB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Par Latvijas Republikas pilnvarotajiem pārstāvjiem Eiropas Drošības un sadarbības organizācijas Samierināšanas un arbitrāžas tiesā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"</w:t>
      </w:r>
      <w:r w:rsidRPr="00BC2633" w:rsidR="004D15A9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bookmarkEnd w:id="0"/>
    <w:p w:rsidR="00DA596D" w:rsidP="00DA596D" w:rsidRDefault="00DA596D" w14:paraId="5909E123" w14:textId="4F1099EC">
      <w:pPr>
        <w:spacing w:after="0" w:line="240" w:lineRule="auto"/>
        <w:ind w:firstLine="30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Pr="002D7166" w:rsidR="000718CD" w:rsidTr="00AF7D58" w14:paraId="16FE6BA4" w14:textId="77777777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:rsidRPr="002D7166" w:rsidR="000718CD" w:rsidP="00AF7D58" w:rsidRDefault="000718CD" w14:paraId="64B1E080" w14:textId="77777777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2D7166" w:rsidR="000718CD" w:rsidTr="00E470C0" w14:paraId="2F7C0639" w14:textId="77777777">
        <w:trPr>
          <w:cantSplit/>
        </w:trPr>
        <w:tc>
          <w:tcPr>
            <w:tcW w:w="3256" w:type="dxa"/>
            <w:shd w:val="clear" w:color="auto" w:fill="FFFFFF"/>
            <w:hideMark/>
          </w:tcPr>
          <w:p w:rsidRPr="00A1552F" w:rsidR="000718CD" w:rsidP="00AF7D58" w:rsidRDefault="000718CD" w14:paraId="39741D96" w14:textId="2647BB9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Mērķis, risinājums un projekta spēkā stāšanās laiks (500</w:t>
            </w:r>
            <w:r w:rsidR="00E470C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zīmes bez atstarpēm)</w:t>
            </w:r>
          </w:p>
        </w:tc>
        <w:tc>
          <w:tcPr>
            <w:tcW w:w="5805" w:type="dxa"/>
            <w:shd w:val="clear" w:color="auto" w:fill="FFFFFF"/>
            <w:hideMark/>
          </w:tcPr>
          <w:p w:rsidRPr="00A1552F" w:rsidR="000718CD" w:rsidP="00E470C0" w:rsidRDefault="000718CD" w14:paraId="369FE75F" w14:textId="1132B141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:rsidR="000718CD" w:rsidP="00DA596D" w:rsidRDefault="000718CD" w14:paraId="3E9106FE" w14:textId="77777777">
      <w:pPr>
        <w:spacing w:after="0" w:line="240" w:lineRule="auto"/>
        <w:ind w:firstLine="30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2900"/>
        <w:gridCol w:w="5800"/>
      </w:tblGrid>
      <w:tr w:rsidRPr="00BC2633" w:rsidR="00BC2633" w:rsidTr="0059057E" w14:paraId="55B4E6BC" w14:textId="77777777">
        <w:trPr>
          <w:trHeight w:val="405"/>
        </w:trPr>
        <w:tc>
          <w:tcPr>
            <w:tcW w:w="5000" w:type="pct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322F2540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BC2633" w:rsidR="00DA326E" w:rsidTr="00FD23CD" w14:paraId="1740737E" w14:textId="77777777">
        <w:trPr>
          <w:trHeight w:val="40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180496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02FBB1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E470C0" w:rsidRDefault="008770BC" w14:paraId="714C4D5A" w14:textId="33FE2FD2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770B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Pr="00DB20AB" w:rsidR="00DB20A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1992.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DB20AB" w:rsidR="00DB20A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 15.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DB20AB" w:rsidR="00DB20A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decembra Konvencijas par samierināšanu un arbitrāžu EDSA ietvaros </w:t>
            </w:r>
            <w:r w:rsidR="00DB20A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(turpmāk - Konvencija) </w:t>
            </w:r>
            <w:r w:rsidRPr="00DB20AB" w:rsidR="00DB20A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 un 4.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DB20AB" w:rsidR="00DB20A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pantu un likuma "Par </w:t>
            </w:r>
            <w:r w:rsidR="0087064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</w:t>
            </w:r>
            <w:r w:rsidRPr="00DB20AB" w:rsidR="00DB20A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onvencij</w:t>
            </w:r>
            <w:r w:rsidR="00BE306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</w:t>
            </w:r>
            <w:r w:rsidRPr="00DB20AB" w:rsidR="00DB20A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par samierināšanu un arbitrāžu EDSA ietvaros"</w:t>
            </w:r>
            <w:r w:rsidR="00DB20A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(turpmāk - Likums)</w:t>
            </w:r>
            <w:r w:rsidRPr="00DB20AB" w:rsidR="00DB20A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3.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DB20AB" w:rsidR="00DB20A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pantu</w:t>
            </w:r>
            <w:r w:rsidR="00F0047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</w:t>
            </w:r>
            <w:bookmarkStart w:name="_Hlk536779135" w:id="1"/>
            <w:r w:rsidR="00F0047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kā arī Eiropas Drošības un sadarbības organizācijas (turpmāk – EDSO) Samierināšanas un arbitrāžas tiesas not</w:t>
            </w:r>
            <w:r w:rsidR="00BE306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</w:t>
            </w:r>
            <w:r w:rsidR="00F0047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Nr.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="00F0047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1841/15.01.2019.</w:t>
            </w:r>
            <w:bookmarkEnd w:id="1"/>
            <w:r w:rsidR="00050BE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(turpmāk – Nota)</w:t>
            </w:r>
            <w:r w:rsidRPr="008770B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Latvijai kā </w:t>
            </w:r>
            <w:r w:rsidR="00F0047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EDSO</w:t>
            </w:r>
            <w:r w:rsidRPr="008770B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dalībvalstij ir tiesības no</w:t>
            </w:r>
            <w:r w:rsidR="00DB20A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zīm</w:t>
            </w:r>
            <w:r w:rsidRPr="008770B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ēt </w:t>
            </w:r>
            <w:r w:rsidR="00DB20A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divus samierinātājus un arbitru</w:t>
            </w:r>
            <w:r w:rsidR="003F39C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</w:t>
            </w:r>
            <w:r w:rsidR="00DB20A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arbitra vietnieku </w:t>
            </w:r>
            <w:r w:rsidRPr="008770B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pārstāvības nodrošināšanai </w:t>
            </w:r>
            <w:r w:rsidR="00DB20A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EDSO Samierināšanas un arbitrāžas tiesā</w:t>
            </w:r>
            <w:r w:rsidRPr="008770B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BC2633" w:rsidR="00DA326E" w:rsidTr="00FD23CD" w14:paraId="7141642B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1E9B72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B06B1" w:rsidP="004B06B1" w:rsidRDefault="004D15A9" w14:paraId="5CA044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D13139" w:rsidR="00D13139" w:rsidP="00D13139" w:rsidRDefault="00D13139" w14:paraId="116539B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020607D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6404346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3D02A09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50D2125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772123D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292AC03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3A22505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5FC3053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0BDE595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2BD39B5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="00D13139" w:rsidP="00D13139" w:rsidRDefault="00D13139" w14:paraId="0C535B9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4C81AEA4" w14:textId="6FFB0748">
            <w:pPr>
              <w:ind w:firstLine="72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A24B12" w:rsidP="00E470C0" w:rsidRDefault="00445859" w14:paraId="54C53655" w14:textId="177D5203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585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3B24C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Konvencijas </w:t>
            </w:r>
            <w:r w:rsidR="00A24B1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="00A24B1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pantu samierinātāji, kas nozīmēti atbilstoši Konvencijas 3.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="00A24B1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pantam, un arbitri, kas nozīmēti atbilstoši Konvencijas 4.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="00A24B1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pantam, kopā veido Samierināšanas un arbitrāžas tiesu. </w:t>
            </w:r>
          </w:p>
          <w:p w:rsidR="00BF3035" w:rsidP="00BF3035" w:rsidRDefault="00445859" w14:paraId="63E5B3F7" w14:textId="77777777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585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Pašreizēj</w:t>
            </w:r>
            <w:r w:rsidR="00A24B1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o</w:t>
            </w:r>
            <w:r w:rsidRPr="0044585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Latvijas </w:t>
            </w:r>
            <w:r w:rsidR="00A24B1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samierinātāju un arbitru pilnvaru</w:t>
            </w:r>
            <w:r w:rsidRPr="0044585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termiņš </w:t>
            </w:r>
            <w:r w:rsidR="00A24B1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EDSO Samierināšanas un arbitrāžas tiesā </w:t>
            </w:r>
            <w:r w:rsidRPr="0044585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beidzas 201</w:t>
            </w:r>
            <w:r w:rsidR="00A24B1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9</w:t>
            </w:r>
            <w:r w:rsidRPr="0044585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 gada 3</w:t>
            </w:r>
            <w:r w:rsidR="00BF303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  <w:r w:rsidRPr="0044585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 </w:t>
            </w:r>
            <w:r w:rsidR="00BF303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aprīl</w:t>
            </w:r>
            <w:r w:rsidRPr="0044585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ī</w:t>
            </w:r>
            <w:r w:rsidR="00D01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Pr="00445859" w:rsidR="00445859" w:rsidP="00BF3035" w:rsidRDefault="00050BE4" w14:paraId="7D74B426" w14:textId="397D5445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Atsaucoties uz Notu</w:t>
            </w:r>
            <w:r w:rsidR="003F39C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</w:t>
            </w:r>
            <w:r w:rsidRPr="00445859" w:rsidR="0044585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Latvijai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līdz 2019.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 30.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aprīlim</w:t>
            </w:r>
            <w:r w:rsidRPr="00445859" w:rsidR="00D01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45859" w:rsidR="0044585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nepieciešams paziņot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EDSO Samierināšanas un arbitrāžas tiesai </w:t>
            </w:r>
            <w:r w:rsidRPr="00445859" w:rsidR="0044585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par Latvijas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nozīmētajiem samierinātājiem un arbitriem </w:t>
            </w:r>
            <w:r w:rsidRPr="00445859" w:rsidR="0044585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laika periodam no 2019. gada 1.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maija</w:t>
            </w:r>
            <w:r w:rsidRPr="00445859" w:rsidR="0044585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līdz 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</w:t>
            </w:r>
            <w:r w:rsidRPr="00445859" w:rsidR="0044585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 gada 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  <w:r w:rsidRPr="00445859" w:rsidR="0044585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aprīl</w:t>
            </w:r>
            <w:r w:rsidRPr="00445859" w:rsidR="0044585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im.</w:t>
            </w:r>
          </w:p>
          <w:p w:rsidR="004D15A9" w:rsidP="00050BE4" w:rsidRDefault="00445859" w14:paraId="2BA1B05A" w14:textId="1F5BD315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 w:rsidRPr="0044585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050BE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Likuma</w:t>
            </w:r>
            <w:r w:rsidR="00D01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50BE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</w:t>
            </w:r>
            <w:r w:rsidRPr="00200100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. pantu </w:t>
            </w:r>
            <w:r w:rsidR="00050BE4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Konvencijā paredzētos samierinātājus un arbitrus ieceļ Ministru kabinets pēc tieslietu ministra ieteikuma.</w:t>
            </w:r>
          </w:p>
          <w:p w:rsidR="00C6319F" w:rsidP="00050BE4" w:rsidRDefault="00C6319F" w14:paraId="20BD7E29" w14:textId="3DBFF2BD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</w:t>
            </w:r>
            <w:r w:rsidRPr="00435B4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amatojoties uz Konvencijas 3.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435B4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pantu samierinātājam ir atkārtotas nozīmēšanas iespēja. </w:t>
            </w:r>
            <w:r w:rsidRPr="00F065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Ņemot vērā 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gila </w:t>
            </w:r>
            <w:r w:rsidRPr="00F065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Levita ilggadējo Eiropas un nacionālo pieredzi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F065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viņa kandidatūras apstiprināšana samierinātāja amat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ā tiek virzīta atkārtoti.</w:t>
            </w:r>
          </w:p>
          <w:p w:rsidR="00490EE3" w:rsidP="00490EE3" w:rsidRDefault="00490EE3" w14:paraId="74F7317A" w14:textId="1816B1C3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Lai nozīmētu Latvijas samierinātāju un arbitru</w:t>
            </w:r>
            <w:r w:rsidR="003F39C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arbitra vietnieku EDSO Samierināšanas un arbitrāžas tiesā, </w:t>
            </w:r>
            <w:r w:rsidRPr="00FA133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Tieslietu ministrija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organizēja atklātu konkursu. Konkursa atlases komisijā tika deleģēti pārstāvji no Ārlietu</w:t>
            </w:r>
            <w:r w:rsidR="008F2C7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ministrijas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Iekšlietu</w:t>
            </w:r>
            <w:r w:rsidR="008F2C7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ministrijas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Kultūras</w:t>
            </w:r>
            <w:r w:rsidR="008F2C7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ministrijas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Satiksmes </w:t>
            </w:r>
            <w:r w:rsidR="008F2C7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ministrijas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un Vides aizsardzības un reģionālās attīstības ministrij</w:t>
            </w:r>
            <w:r w:rsidR="008F2C7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Pr="00352174" w:rsidR="00490EE3" w:rsidP="00490EE3" w:rsidRDefault="00490EE3" w14:paraId="7CFAD83C" w14:textId="0EB3A860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 xml:space="preserve">Konkurss tika izsludināts </w:t>
            </w:r>
            <w:r w:rsidR="003F39C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oficiālajā izdevumā "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Latvijas Vēstnes</w:t>
            </w:r>
            <w:r w:rsidR="003F39C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is"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2018.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 28.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novembrī un konkursa pieteikšanās termiņš noslēdzās 2018.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 19.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decembrī.</w:t>
            </w:r>
            <w:r w:rsidR="007912E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5217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Uz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trijām</w:t>
            </w:r>
            <w:r w:rsidRPr="0035217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vakantajām vietām pieteicās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trīs</w:t>
            </w:r>
            <w:r w:rsidRPr="0035217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pretendenti. Konkurss norisinājās divās kārtās. </w:t>
            </w:r>
          </w:p>
          <w:p w:rsidRPr="00352174" w:rsidR="00490EE3" w:rsidP="00490EE3" w:rsidRDefault="00C6319F" w14:paraId="30F006C0" w14:textId="6B6253B7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Pirmajā kārtā k</w:t>
            </w:r>
            <w:r w:rsidRPr="00352174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onkursa komisija izvērtēja pretendentu iesniegtos pieteikuma dokumentus un tiem pievienotajos dokumentos sniegto informāciju un pamatojumu pretendenta atbilstībai</w:t>
            </w:r>
            <w:r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  <w:r w:rsidRPr="00352174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Vērtējot pretendentu iesniegtos dokumentus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tika ņemta vērā pretendentu atbilstība Konvencijas 3., 4. un 5.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pantā noteiktajām prasībām, tai skaitā</w:t>
            </w:r>
            <w:r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augstākā izglītība</w:t>
            </w:r>
            <w:r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angļu valodas un citu oficiālo EDSO darba valod</w:t>
            </w:r>
            <w:r w:rsidR="00AD5E0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zināšanas prasmes</w:t>
            </w:r>
            <w:r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laba reputācija.</w:t>
            </w:r>
          </w:p>
          <w:p w:rsidRPr="00352174" w:rsidR="00490EE3" w:rsidP="00490EE3" w:rsidRDefault="00490EE3" w14:paraId="3F4F2797" w14:textId="6C26AAA0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35217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Konkursa otraj</w:t>
            </w:r>
            <w:r w:rsidR="00D41C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ā</w:t>
            </w:r>
            <w:r w:rsidRPr="0035217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kārt</w:t>
            </w:r>
            <w:r w:rsidR="00D41C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ā</w:t>
            </w:r>
            <w:r w:rsidRPr="0035217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B7B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atbilstoši augstākminēt</w:t>
            </w:r>
            <w:r w:rsidR="00D41C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o</w:t>
            </w:r>
            <w:r w:rsidRPr="004B7B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kritēriju formālajām p</w:t>
            </w:r>
            <w:r w:rsidR="00D41C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rasībām</w:t>
            </w:r>
            <w:r w:rsidRPr="004B7B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5217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konkursa atlases komisija izvirzīja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trīs</w:t>
            </w:r>
            <w:r w:rsidRPr="0035217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pretendentus. Konkursa otrajā kārtā </w:t>
            </w:r>
            <w:r w:rsidRPr="00C6319F" w:rsidR="00C6319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norisinājās pārrunas ar amatu pretendentiem </w:t>
            </w:r>
            <w:r w:rsidR="00C6319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35217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tika izvērtēta pretendentu atbilstība konkursa atlases komisijas nolikumā noteiktajiem vērtēšanas kritērijiem:</w:t>
            </w:r>
          </w:p>
          <w:p w:rsidRPr="004B7BDF" w:rsidR="00490EE3" w:rsidP="00490EE3" w:rsidRDefault="00490EE3" w14:paraId="5AAEB129" w14:textId="77777777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B7B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Samierinātāja amata kandidātam:</w:t>
            </w:r>
          </w:p>
          <w:p w:rsidRPr="004B7BDF" w:rsidR="00490EE3" w:rsidP="00490EE3" w:rsidRDefault="00490EE3" w14:paraId="7ACF528C" w14:textId="77777777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B7B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1)</w:t>
            </w:r>
            <w:r w:rsidRPr="004B7B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ab/>
              <w:t>pieredze augstā valstiskā vai starptautiskā amatā;</w:t>
            </w:r>
          </w:p>
          <w:p w:rsidRPr="004B7BDF" w:rsidR="00490EE3" w:rsidP="00490EE3" w:rsidRDefault="00490EE3" w14:paraId="7E9ED132" w14:textId="77777777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B7B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2)</w:t>
            </w:r>
            <w:r w:rsidRPr="004B7B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ab/>
              <w:t>atzīta kvalifikācija starptautisko tiesību, starptautisko attiecību vai strīdu noregulēšanas jomā;</w:t>
            </w:r>
          </w:p>
          <w:p w:rsidRPr="004B7BDF" w:rsidR="00490EE3" w:rsidP="00490EE3" w:rsidRDefault="00490EE3" w14:paraId="2DCC739C" w14:textId="77777777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B7B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3)</w:t>
            </w:r>
            <w:r w:rsidRPr="004B7B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ab/>
              <w:t>spējas savas funkcijas pildīt neatkarīgi, objektīvi un apzinīgi;</w:t>
            </w:r>
          </w:p>
          <w:p w:rsidRPr="004B7BDF" w:rsidR="00490EE3" w:rsidP="00490EE3" w:rsidRDefault="005B05C3" w14:paraId="2E97A4A2" w14:textId="1E088DE3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)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ab/>
              <w:t>zināšanas par EDSO;</w:t>
            </w:r>
          </w:p>
          <w:p w:rsidRPr="004B7BDF" w:rsidR="00490EE3" w:rsidP="00490EE3" w:rsidRDefault="005B05C3" w14:paraId="0A93A33C" w14:textId="06FCE75C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)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ab/>
              <w:t>izpratne par EDSO Samierināšanas un arbitrāžas tiesu;</w:t>
            </w:r>
          </w:p>
          <w:p w:rsidRPr="004B7BDF" w:rsidR="00490EE3" w:rsidP="00490EE3" w:rsidRDefault="005B05C3" w14:paraId="5CE9FA1B" w14:textId="6BEB8FE6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6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)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ab/>
              <w:t>prasme formulēt un aizstāvēt savu viedokli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  <w:p w:rsidRPr="004B7BDF" w:rsidR="00490EE3" w:rsidP="00490EE3" w:rsidRDefault="00490EE3" w14:paraId="2EDA053A" w14:textId="6A2DE9BA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B7B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Arbitra un arbitra vietnieka amata kandidātam:</w:t>
            </w:r>
          </w:p>
          <w:p w:rsidRPr="004B7BDF" w:rsidR="00490EE3" w:rsidP="00490EE3" w:rsidRDefault="00490EE3" w14:paraId="7D0753AA" w14:textId="77777777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B7B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1)</w:t>
            </w:r>
            <w:r w:rsidRPr="004B7B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ab/>
              <w:t>kvalifikācija, kas nepieciešama, lai tiktu iecelts Latvijas visaugstākajos amatos tiesu institūcijās, vai jurists ar atzītu kompetenci starptautisko tiesību jomā;</w:t>
            </w:r>
          </w:p>
          <w:p w:rsidRPr="004B7BDF" w:rsidR="00490EE3" w:rsidP="00490EE3" w:rsidRDefault="00490EE3" w14:paraId="1D21998B" w14:textId="77777777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B7B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2)</w:t>
            </w:r>
            <w:r w:rsidRPr="004B7B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ab/>
              <w:t>spējas savas funkcijas pildīt neatkarīgi, objektīvi un apzinīgi;</w:t>
            </w:r>
          </w:p>
          <w:p w:rsidRPr="004B7BDF" w:rsidR="00490EE3" w:rsidP="00490EE3" w:rsidRDefault="005B05C3" w14:paraId="19D48C55" w14:textId="5C75E7C6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)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ab/>
              <w:t xml:space="preserve">zināšanas par EDSO; </w:t>
            </w:r>
          </w:p>
          <w:p w:rsidRPr="004B7BDF" w:rsidR="00490EE3" w:rsidP="00490EE3" w:rsidRDefault="005B05C3" w14:paraId="0A186802" w14:textId="491B88D9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)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ab/>
              <w:t>izpratne par EDSO Samierināšanas un arbitrāžas tiesu;</w:t>
            </w:r>
          </w:p>
          <w:p w:rsidRPr="004B7BDF" w:rsidR="00490EE3" w:rsidP="00490EE3" w:rsidRDefault="005B05C3" w14:paraId="655AC102" w14:textId="7AEF7265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)</w:t>
            </w:r>
            <w:r w:rsidRPr="004B7BDF" w:rsid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ab/>
              <w:t>prasme formulēt un aizstāvēt savu viedokli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  <w:p w:rsidR="00F065E1" w:rsidP="00C6319F" w:rsidRDefault="00490EE3" w14:paraId="7B0D49B7" w14:textId="73A702B8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35217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Pēc pretendentu izvērtēšanas atbilstoši augstākminētajiem kritērijiem, </w:t>
            </w:r>
            <w:r w:rsidRP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konkursa atlases komisija </w:t>
            </w:r>
            <w:r w:rsidRPr="005F0658" w:rsidR="005F065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nolēma piedāvāt tieslietu ministram </w:t>
            </w:r>
            <w:r w:rsidR="007969F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ieteikt</w:t>
            </w:r>
            <w:r w:rsidRPr="005F0658" w:rsidR="005F065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apstiprināšanai Ministru kabinetā </w:t>
            </w:r>
            <w:r w:rsidRP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Mārtiņa Paparinska kandidatūru samierinātāja amatā, ņemot vērā viņa akadēmisko pieredzi, savukārt Ingas Reines kandidatūru </w:t>
            </w:r>
            <w:r w:rsidR="00EA545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ieteikt</w:t>
            </w:r>
            <w:r w:rsidRP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arbitra amatā, ņemot vērā viņas tiesu institūciju pieredzi.</w:t>
            </w:r>
          </w:p>
          <w:p w:rsidRPr="00490EE3" w:rsidR="005B05C3" w:rsidP="00C6319F" w:rsidRDefault="005B05C3" w14:paraId="2844C4DF" w14:textId="302CF894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Ņemot vērā </w:t>
            </w:r>
            <w:r w:rsidRPr="005B05C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līdzšinēj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o</w:t>
            </w:r>
            <w:r w:rsidRPr="005B05C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situācij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</w:t>
            </w:r>
            <w:r w:rsidRPr="005B05C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ka EDSO Samierināšanas un arbitrāžas tiesa līdz šim vēl nav tikusi iedarbināta,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tika atzīmēts, ka </w:t>
            </w:r>
            <w:r w:rsidRPr="005B05C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arbitra vietnieka vietas aizpildīšana nav primāri nepieciešama.</w:t>
            </w:r>
          </w:p>
        </w:tc>
      </w:tr>
      <w:tr w:rsidRPr="00BC2633" w:rsidR="00DA326E" w:rsidTr="00FD23CD" w14:paraId="1DCF307C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74ACB8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352174" w:rsidR="00352174" w:rsidP="00D41C27" w:rsidRDefault="004D15A9" w14:paraId="2131385E" w14:textId="4D90B6F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552F" w:rsid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un publiskas personas kapitālsabiedrības</w:t>
            </w:r>
          </w:p>
        </w:tc>
        <w:tc>
          <w:tcPr>
            <w:tcW w:w="32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A748AE" w:rsidP="00F065E1" w:rsidRDefault="00490EE3" w14:paraId="784C2FB5" w14:textId="43C8E4AC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Ar tieslietu ministra 2018.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 6.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novembra rīkojumu Nr.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1-1/281 tika izveidota </w:t>
            </w:r>
            <w:r w:rsidRP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starpinstitucionāla konkursa atlases komisija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Latvijas samierinātāja un arbitra</w:t>
            </w:r>
            <w:r w:rsidR="00BE306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arbitra vietnieka </w:t>
            </w:r>
            <w:r w:rsidRP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EDSO Samierināšanas un arbitrāžas ties</w:t>
            </w:r>
            <w:r w:rsidR="00A748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ā</w:t>
            </w:r>
            <w:r w:rsidRPr="00490EE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izvirzīšanai.</w:t>
            </w:r>
            <w:r w:rsidR="00A748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748AE" w:rsidR="00A748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Darbam konkursa atlases komisijā tika deleģēti Tieslietu ministrijas, Ārlietu ministrijas</w:t>
            </w:r>
            <w:r w:rsidR="00A748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Iekšlietu ministrijas,</w:t>
            </w:r>
            <w:r w:rsidRPr="00A748AE" w:rsidR="00A748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Kultūras ministrijas</w:t>
            </w:r>
            <w:r w:rsidR="00A748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Satiksmes ministrijas un Vides aizsardzības un reģionālās attīstības ministrijas</w:t>
            </w:r>
            <w:r w:rsidRPr="00A748AE" w:rsidR="00A748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pārstāvji.</w:t>
            </w:r>
          </w:p>
        </w:tc>
      </w:tr>
      <w:tr w:rsidRPr="00BC2633" w:rsidR="00DA326E" w:rsidTr="00FD23CD" w14:paraId="50FA58F2" w14:textId="77777777"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4D15A9" w:rsidP="00DA596D" w:rsidRDefault="004D15A9" w14:paraId="3083D7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4D15A9" w:rsidP="00DA596D" w:rsidRDefault="004D15A9" w14:paraId="4CDF89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1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4D15A9" w:rsidP="00E470C0" w:rsidRDefault="00205711" w14:paraId="36AE1F7A" w14:textId="77777777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BC2633" w:rsidR="005D4E8A" w:rsidTr="00FD23CD" w14:paraId="56DED2E3" w14:textId="77777777">
        <w:trPr>
          <w:trHeight w:val="128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C2633" w:rsidR="00031256" w:rsidP="0081203F" w:rsidRDefault="0081203F" w14:paraId="2F331CA6" w14:textId="7777777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Pr="00BC2633" w:rsidR="00BC2633" w:rsidTr="00FD23CD" w14:paraId="54AB4306" w14:textId="77777777">
        <w:trPr>
          <w:trHeight w:val="555"/>
        </w:trPr>
        <w:tc>
          <w:tcPr>
            <w:tcW w:w="5000" w:type="pct"/>
            <w:gridSpan w:val="3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3D4D2C5A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BC2633" w:rsidR="00DA326E" w:rsidTr="00FD23CD" w14:paraId="3FF9AA2A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49371E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628EE0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E470C0" w:rsidRDefault="006A6300" w14:paraId="1E37064E" w14:textId="6A90343F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Izvirzītie </w:t>
            </w:r>
            <w:r w:rsidR="00205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Latvijas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samierinātāji un arbitrs pārstāvībai EDSO Samierināšanas un arbitrāžas tiesā. </w:t>
            </w:r>
          </w:p>
        </w:tc>
      </w:tr>
      <w:tr w:rsidRPr="00BC2633" w:rsidR="00DA326E" w:rsidTr="00FD23CD" w14:paraId="50F0746F" w14:textId="77777777">
        <w:trPr>
          <w:trHeight w:val="510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6801E0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2B0307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E470C0" w:rsidRDefault="00B00372" w14:paraId="2E496690" w14:textId="0CF96F62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Rīkojuma p</w:t>
            </w:r>
            <w:r w:rsidR="00F3144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rojektam nav ietekme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</w:t>
            </w:r>
            <w:r w:rsidR="00F3144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uz tautsaimniecību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. Rīkojuma projekts </w:t>
            </w:r>
            <w:r w:rsidR="00205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nemaina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nevienai sabiedrības grupai </w:t>
            </w:r>
            <w:r w:rsidR="00205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tiesības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</w:t>
            </w:r>
            <w:r w:rsidR="00205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pienākumus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205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veicamās darbības.</w:t>
            </w:r>
          </w:p>
        </w:tc>
      </w:tr>
      <w:tr w:rsidRPr="00BC2633" w:rsidR="00DA326E" w:rsidTr="00FD23CD" w14:paraId="0C46B49C" w14:textId="77777777">
        <w:trPr>
          <w:trHeight w:val="510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33AFA3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741337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E470C0" w:rsidRDefault="00F31444" w14:paraId="204EDB7B" w14:textId="47BFC630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F3144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pārstāvju i</w:t>
            </w:r>
            <w:r w:rsidRPr="00F3144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zvirzīšana </w:t>
            </w:r>
            <w:r w:rsid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EDSO Samierināšanas un arbitrāžas tiesas</w:t>
            </w:r>
            <w:r w:rsidRPr="00F3144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amat</w:t>
            </w:r>
            <w:r w:rsid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iem</w:t>
            </w:r>
            <w:r w:rsidRPr="00F3144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rīkojuma projekta izpilde nav saistīta ar papildu finanšu līdzekļu nepieciešamību</w:t>
            </w:r>
            <w:r w:rsid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BC2633" w:rsidR="00DA326E" w:rsidTr="00FD23CD" w14:paraId="59D9234B" w14:textId="77777777">
        <w:trPr>
          <w:trHeight w:val="510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BC2633" w:rsidR="00A1552F" w:rsidP="00DA596D" w:rsidRDefault="00A1552F" w14:paraId="0F8B7D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BC2633" w:rsidR="00A1552F" w:rsidP="00DA596D" w:rsidRDefault="00A1552F" w14:paraId="755EF2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BC2633" w:rsidR="00A1552F" w:rsidP="00E470C0" w:rsidRDefault="00136A5F" w14:paraId="567822BA" w14:textId="77777777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Nav attiecināms. </w:t>
            </w:r>
          </w:p>
        </w:tc>
      </w:tr>
      <w:tr w:rsidRPr="00BC2633" w:rsidR="00DA326E" w:rsidTr="00FD23CD" w14:paraId="4831A098" w14:textId="77777777">
        <w:trPr>
          <w:trHeight w:val="34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4D15A9" w:rsidP="00DA596D" w:rsidRDefault="00A1552F" w14:paraId="7A2BD9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</w:t>
            </w:r>
            <w:r w:rsidRPr="00BC2633" w:rsidR="004D15A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4D15A9" w:rsidP="00DA596D" w:rsidRDefault="004D15A9" w14:paraId="7F4000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1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4D15A9" w:rsidP="00E470C0" w:rsidRDefault="00136A5F" w14:paraId="55520FB6" w14:textId="77777777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BC2633" w:rsidR="0059057E" w:rsidTr="00B00372" w14:paraId="721A1856" w14:textId="77777777">
        <w:trPr>
          <w:trHeight w:val="165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59057E" w:rsidP="00B00372" w:rsidRDefault="0059057E" w14:paraId="32EABB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Pr="00BC2633" w:rsidR="00BC2633" w:rsidTr="00EE039C" w14:paraId="0A66F907" w14:textId="77777777">
        <w:trPr>
          <w:trHeight w:val="360"/>
        </w:trPr>
        <w:tc>
          <w:tcPr>
            <w:tcW w:w="5000" w:type="pct"/>
            <w:gridSpan w:val="3"/>
            <w:tcBorders>
              <w:top w:val="single" w:color="auto" w:sz="4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6E248749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BC2633" w:rsidR="00EE039C" w:rsidTr="0059057E" w14:paraId="72AAC1EF" w14:textId="77777777">
        <w:trPr>
          <w:trHeight w:val="360"/>
        </w:trPr>
        <w:tc>
          <w:tcPr>
            <w:tcW w:w="5000" w:type="pct"/>
            <w:gridSpan w:val="3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C2633" w:rsidR="00EE039C" w:rsidP="00136A5F" w:rsidRDefault="00B00372" w14:paraId="2B6C3E9C" w14:textId="7AD14ADE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name="_Hlk520732560" w:id="2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Rīkojuma p</w:t>
            </w:r>
            <w:r w:rsidR="00EE039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bookmarkEnd w:id="2"/>
    </w:tbl>
    <w:p w:rsidR="00EE039C" w:rsidP="00DA596D" w:rsidRDefault="00EE039C" w14:paraId="1BDED0C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BC2633" w:rsidR="00BC2633" w:rsidTr="004D15A9" w14:paraId="088F29E3" w14:textId="77777777">
        <w:trPr>
          <w:trHeight w:val="450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4DFD46BA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BC2633" w:rsidR="00445859" w:rsidTr="00B00372" w14:paraId="756F8300" w14:textId="77777777">
        <w:trPr>
          <w:trHeight w:val="247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45859" w:rsidR="00445859" w:rsidP="00E32071" w:rsidRDefault="00B00372" w14:paraId="3FF6AD9F" w14:textId="44325A73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Rīkojuma p</w:t>
            </w:r>
            <w:r w:rsidRPr="00445859" w:rsidR="00445859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:rsidRPr="00BC2633" w:rsidR="00445859" w:rsidP="00DA596D" w:rsidRDefault="00445859" w14:paraId="2277133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374"/>
        <w:gridCol w:w="6228"/>
      </w:tblGrid>
      <w:tr w:rsidRPr="00BC2633" w:rsidR="00BC2633" w:rsidTr="001C5969" w14:paraId="350C90F5" w14:textId="77777777">
        <w:tc>
          <w:tcPr>
            <w:tcW w:w="5000" w:type="pct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0EB79CF1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BC2633" w:rsidR="00BC2633" w:rsidTr="004C3B12" w14:paraId="2553FA91" w14:textId="77777777"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3E21E4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3553E9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4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E470C0" w:rsidRDefault="00B00372" w14:paraId="6F297AAC" w14:textId="2978DD79">
            <w:pPr>
              <w:spacing w:after="0" w:line="240" w:lineRule="auto"/>
              <w:ind w:firstLine="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Rīkojuma p</w:t>
            </w:r>
            <w:r w:rsidR="00D61D9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rojekts šo jomu neskar. </w:t>
            </w:r>
          </w:p>
        </w:tc>
      </w:tr>
      <w:tr w:rsidRPr="00BC2633" w:rsidR="00BC2633" w:rsidTr="004C3B12" w14:paraId="289F604A" w14:textId="77777777"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21C05D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EB62BF" w:rsidR="004D15A9" w:rsidP="00D41C27" w:rsidRDefault="004D15A9" w14:paraId="34321679" w14:textId="5C32251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4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6A6300" w:rsidP="00E470C0" w:rsidRDefault="006A6300" w14:paraId="4390B342" w14:textId="5DB3DC7C">
            <w:pPr>
              <w:spacing w:after="0" w:line="240" w:lineRule="auto"/>
              <w:ind w:firstLine="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1992.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 15.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decembra Konvencija par samierināšanu un arbitrāžu EDSA ietvaros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  <w:p w:rsidRPr="00BC2633" w:rsidR="00A74502" w:rsidP="006A6300" w:rsidRDefault="006A6300" w14:paraId="7C06B6CA" w14:textId="7FC1C049">
            <w:pPr>
              <w:spacing w:after="0" w:line="240" w:lineRule="auto"/>
              <w:ind w:firstLine="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Pašreizējo Latvijas samierinātāju un arbitru pilnvaru termiņš beidzas 2019.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 30.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aprīlī. Latvijai līdz 2019.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 30.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aprīl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 nepieciešams paziņot EDSO Samierināšanas un arbitrāžas tiesai par Latvijas nozīmētajiem samierinātājiem un arbitriem EDSO Samierināšanas un arbitrāžas tiesā pilnvaru termiņam līdz 2025.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 30.aprīlim.</w:t>
            </w:r>
            <w:r w:rsidRPr="00122267" w:rsidR="0012226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BC2633" w:rsidR="004D15A9" w:rsidTr="004C3B12" w14:paraId="18ED4221" w14:textId="77777777"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053DC8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2E5228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E470C0" w:rsidRDefault="00122267" w14:paraId="20E1FE80" w14:textId="77777777">
            <w:pPr>
              <w:spacing w:after="0" w:line="240" w:lineRule="auto"/>
              <w:ind w:firstLine="252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BC2633" w:rsidR="004D15A9" w:rsidP="00DA596D" w:rsidRDefault="004D15A9" w14:paraId="610EA65B" w14:textId="77777777"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7"/>
        <w:gridCol w:w="2544"/>
        <w:gridCol w:w="3684"/>
      </w:tblGrid>
      <w:tr w:rsidRPr="00BC2633" w:rsidR="00BC2633" w:rsidTr="004D15A9" w14:paraId="4421AA40" w14:textId="77777777"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0A10DE02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1.</w:t>
            </w:r>
            <w:r w:rsid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Pr="00BC2633" w:rsidR="00122267" w:rsidTr="004D15A9" w14:paraId="739AC5CC" w14:textId="77777777"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22267" w:rsidR="00122267" w:rsidP="00DA596D" w:rsidRDefault="00B00372" w14:paraId="5A8D2394" w14:textId="2683CE9F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Rīkojuma p</w:t>
            </w:r>
            <w:r w:rsidRPr="00122267" w:rsidR="00122267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  <w:tr w:rsidRPr="00BC2633" w:rsidR="00BC2633" w:rsidTr="004D15A9" w14:paraId="70195939" w14:textId="77777777"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13A30591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  <w:r w:rsid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Pr="00BC2633" w:rsidR="00BC2633" w:rsidTr="009046E0" w14:paraId="4CEB26BB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1780DF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3439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6A6300" w:rsidP="00E470C0" w:rsidRDefault="006A6300" w14:paraId="412E69CF" w14:textId="1B2971A5">
            <w:pPr>
              <w:spacing w:after="0" w:line="240" w:lineRule="auto"/>
              <w:ind w:firstLine="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1992.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 15.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decembra Konvencijas par samierināšanu un arbitrāžu EDSA ietvaros.</w:t>
            </w:r>
          </w:p>
          <w:p w:rsidRPr="00BC2633" w:rsidR="004A18BE" w:rsidP="00982805" w:rsidRDefault="004A18BE" w14:paraId="1CE9B5AB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BC2633" w:rsidR="00BC2633" w:rsidTr="009046E0" w14:paraId="7D3825C6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7439A3F4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6253C78B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03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431AFBBC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</w:tr>
      <w:tr w:rsidRPr="00BC2633" w:rsidR="00BC2633" w:rsidTr="009046E0" w14:paraId="0AFAF093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1C5969" w:rsidRDefault="004D15A9" w14:paraId="6E0E0B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Starptautiskās saistības (pēc būtības), kas izriet no norādītā starptautiskā dokumenta.</w:t>
            </w:r>
            <w:r w:rsidR="00964EA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Konkrēti veicamie pasākumi vai uzdevumi, kas nepieciešami šo starptautisko saistību izpildei</w:t>
            </w:r>
            <w:r w:rsidR="000E42F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0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0E42FD" w:rsidRDefault="004D15A9" w14:paraId="2BEB50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  <w:r w:rsidR="000E42F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3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1C5969" w:rsidRDefault="004D15A9" w14:paraId="7D8943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Informācija par to, vai starptautiskās saistības, kas minētas šīs tabulas A ailē, tiek izpildītas pilnībā vai daļēji.</w:t>
            </w:r>
          </w:p>
          <w:p w:rsidRPr="00BC2633" w:rsidR="004D15A9" w:rsidP="001C5969" w:rsidRDefault="004D15A9" w14:paraId="15F598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:rsidRPr="00BC2633" w:rsidR="004D15A9" w:rsidP="001C5969" w:rsidRDefault="004D15A9" w14:paraId="09E400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Norāda institūciju, kas ir atbildīga par šo saistību izpildi pilnībā</w:t>
            </w:r>
            <w:r w:rsidR="00E5586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BC2633" w:rsidR="00BC2633" w:rsidTr="009046E0" w14:paraId="24379BA8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1C5969" w:rsidRDefault="002A2F27" w14:paraId="57EBF751" w14:textId="6C3DE85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Pr="006A6300" w:rsid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1992.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6A6300" w:rsid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 15.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6A6300" w:rsid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decembra Konvencijas par samierināšanu un arbitrāžu EDSA ietvaros</w:t>
            </w:r>
            <w:r w:rsid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3. un 4.</w:t>
            </w:r>
            <w:r w:rsidR="003310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pantu</w:t>
            </w:r>
            <w:r w:rsidRP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Latvijai kā </w:t>
            </w:r>
            <w:r w:rsid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EDSO </w:t>
            </w:r>
            <w:r w:rsidR="0093153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Samierināšanas un arbitrāžas tiesas </w:t>
            </w:r>
            <w:r w:rsidRP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dalībvalstij ir </w:t>
            </w:r>
            <w:r w:rsid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nepieciešams </w:t>
            </w:r>
            <w:r w:rsidR="0093153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nozīmēt samierinātājus un arbitrus</w:t>
            </w:r>
            <w:r w:rsidRP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pārstāvības nodrošināšanai </w:t>
            </w:r>
            <w:r w:rsidR="0093153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EDSO Samierināšanas un arbitrāžas tiesā</w:t>
            </w:r>
            <w:r w:rsidRP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  <w:r w:rsidRPr="008770B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Lai Latvija varētu </w:t>
            </w:r>
            <w:r w:rsidR="0093153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nozīmēt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savu</w:t>
            </w:r>
            <w:r w:rsidR="0093153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3153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pārstāvjus</w:t>
            </w:r>
            <w:r w:rsidR="00AD478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t</w:t>
            </w:r>
            <w:r w:rsidR="0093153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ir jāapstiprina Ministru kabinetā. </w:t>
            </w:r>
          </w:p>
        </w:tc>
        <w:tc>
          <w:tcPr>
            <w:tcW w:w="140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1C5969" w:rsidRDefault="00B00372" w14:paraId="127BB5F2" w14:textId="2885B19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Rīkojuma</w:t>
            </w:r>
            <w:r w:rsid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projekts.</w:t>
            </w:r>
          </w:p>
        </w:tc>
        <w:tc>
          <w:tcPr>
            <w:tcW w:w="203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1C5969" w:rsidRDefault="002A2F27" w14:paraId="2EFFBE6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Ieviests pilnībā.</w:t>
            </w:r>
          </w:p>
        </w:tc>
      </w:tr>
      <w:tr w:rsidRPr="00BC2633" w:rsidR="00BC2633" w:rsidTr="009046E0" w14:paraId="130D61DC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045B3E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439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1C5969" w:rsidRDefault="002A2F27" w14:paraId="3B7F05C6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BC2633" w:rsidR="004D15A9" w:rsidTr="009046E0" w14:paraId="49B73375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037002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9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1C5969" w:rsidRDefault="002A2F27" w14:paraId="7B0D565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:rsidRPr="00BC2633" w:rsidR="004D15A9" w:rsidP="00DA596D" w:rsidRDefault="004D15A9" w14:paraId="143DEB2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082"/>
        <w:gridCol w:w="5520"/>
      </w:tblGrid>
      <w:tr w:rsidRPr="00BC2633" w:rsidR="00BC2633" w:rsidTr="004D15A9" w14:paraId="16F8A859" w14:textId="77777777">
        <w:trPr>
          <w:trHeight w:val="420"/>
        </w:trPr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2672A38A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BC2633" w:rsidR="00BC2633" w:rsidTr="005A4BBB" w14:paraId="37591219" w14:textId="77777777">
        <w:trPr>
          <w:trHeight w:val="54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5C5F0F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45D668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4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1C5969" w:rsidR="001C5969" w:rsidP="00331047" w:rsidRDefault="002F34F4" w14:paraId="7BC7B433" w14:textId="1D4F21A6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Informācija p</w:t>
            </w:r>
            <w:r w:rsidR="0010514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ar valsts </w:t>
            </w:r>
            <w:r w:rsidR="0093153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nozīmētu pārstāvju apstiprināšanu</w:t>
            </w:r>
            <w:r w:rsidR="0010514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tiks publicēta </w:t>
            </w:r>
            <w:r w:rsidR="000177F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Tieslietu ministrijas </w:t>
            </w:r>
            <w:r w:rsidR="0010514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mājaslapā</w:t>
            </w:r>
            <w:r w:rsidR="00EA545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kā arī </w:t>
            </w:r>
            <w:r w:rsidR="003F39C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oficiālajā izdevumā "</w:t>
            </w:r>
            <w:r w:rsidR="00EA545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Latvijas Vēstnes</w:t>
            </w:r>
            <w:r w:rsidR="003F39C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is"</w:t>
            </w:r>
            <w:r w:rsidR="00EA545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ar Ministru kabineta lēmuma publicēšanu</w:t>
            </w:r>
            <w:r w:rsidR="0010514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BC2633" w:rsidR="00875528" w:rsidTr="005A4BBB" w14:paraId="5BF6953B" w14:textId="77777777">
        <w:trPr>
          <w:trHeight w:val="33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875528" w:rsidRDefault="00875528" w14:paraId="6F180F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875528" w:rsidRDefault="00875528" w14:paraId="09152B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4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E470C0" w:rsidRDefault="00875528" w14:paraId="0C20A8C0" w14:textId="77777777">
            <w:pPr>
              <w:spacing w:after="0" w:line="240" w:lineRule="auto"/>
              <w:ind w:firstLine="2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Pr="00BC2633" w:rsidR="00875528" w:rsidTr="005A4BBB" w14:paraId="0092C493" w14:textId="77777777">
        <w:trPr>
          <w:trHeight w:val="465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875528" w:rsidRDefault="00875528" w14:paraId="1DC7DD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875528" w:rsidRDefault="00875528" w14:paraId="177E46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4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E470C0" w:rsidRDefault="00875528" w14:paraId="6258B7DF" w14:textId="77777777">
            <w:pPr>
              <w:spacing w:after="0" w:line="240" w:lineRule="auto"/>
              <w:ind w:firstLine="2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Pr="00BC2633" w:rsidR="00875528" w:rsidTr="005A4BBB" w14:paraId="1EE1E212" w14:textId="77777777">
        <w:trPr>
          <w:trHeight w:val="465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875528" w:rsidRDefault="00875528" w14:paraId="198BF7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875528" w:rsidRDefault="00875528" w14:paraId="29AB30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4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E470C0" w:rsidRDefault="00875528" w14:paraId="27631323" w14:textId="77777777">
            <w:pPr>
              <w:spacing w:after="0" w:line="240" w:lineRule="auto"/>
              <w:ind w:firstLine="2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BC2633" w:rsidR="004D15A9" w:rsidP="00DA596D" w:rsidRDefault="004D15A9" w14:paraId="5AAA9F2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792"/>
        <w:gridCol w:w="4810"/>
      </w:tblGrid>
      <w:tr w:rsidRPr="00BC2633" w:rsidR="00BC2633" w:rsidTr="004D15A9" w14:paraId="787AE18B" w14:textId="77777777">
        <w:trPr>
          <w:trHeight w:val="375"/>
        </w:trPr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5EA84563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BC2633" w:rsidR="00BC2633" w:rsidTr="005A4BBB" w14:paraId="6FB4A704" w14:textId="77777777">
        <w:trPr>
          <w:trHeight w:val="42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1D2B97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9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2C72C6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65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B84E83" w:rsidRDefault="008B446D" w14:paraId="4A45B81A" w14:textId="47773B1B">
            <w:pPr>
              <w:spacing w:after="0" w:line="240" w:lineRule="auto"/>
              <w:ind w:firstLine="25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Tieslietu ministrija</w:t>
            </w:r>
            <w:r w:rsidR="00E23AC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  <w:r w:rsidR="004965F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  <w:tr w:rsidRPr="00BC2633" w:rsidR="00BC2633" w:rsidTr="005A4BBB" w14:paraId="28DFBE34" w14:textId="77777777">
        <w:trPr>
          <w:trHeight w:val="45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007842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9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208A17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Pr="00BC2633" w:rsidR="004D15A9" w:rsidP="0042645D" w:rsidRDefault="004D15A9" w14:paraId="6CAA02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65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E470C0" w:rsidRDefault="008B446D" w14:paraId="5132E749" w14:textId="77777777">
            <w:pPr>
              <w:spacing w:after="0" w:line="240" w:lineRule="auto"/>
              <w:ind w:firstLine="25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  <w:tr w:rsidRPr="00BC2633" w:rsidR="004D15A9" w:rsidTr="005A4BBB" w14:paraId="0892A85A" w14:textId="77777777">
        <w:trPr>
          <w:trHeight w:val="39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2A908C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9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0677AD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65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E470C0" w:rsidRDefault="008B446D" w14:paraId="383C9E53" w14:textId="77777777">
            <w:pPr>
              <w:spacing w:after="0" w:line="240" w:lineRule="auto"/>
              <w:ind w:firstLine="25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BC2633" w:rsidR="00BB1F46" w:rsidP="00DA596D" w:rsidRDefault="00BB1F46" w14:paraId="7D51422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C2633" w:rsidR="004D15A9" w:rsidP="00DA596D" w:rsidRDefault="004D15A9" w14:paraId="407B26F4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BC2633">
        <w:rPr>
          <w:sz w:val="24"/>
          <w:szCs w:val="24"/>
        </w:rPr>
        <w:t>Iesniedzējs:</w:t>
      </w:r>
    </w:p>
    <w:p w:rsidRPr="00BC2633" w:rsidR="004D15A9" w:rsidP="00E470C0" w:rsidRDefault="007036EE" w14:paraId="4F923F4C" w14:textId="3D5DB239">
      <w:pPr>
        <w:pStyle w:val="StyleRight"/>
        <w:tabs>
          <w:tab w:val="left" w:pos="7371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B446D">
        <w:rPr>
          <w:sz w:val="24"/>
          <w:szCs w:val="24"/>
        </w:rPr>
        <w:t>ieslietu ministr</w:t>
      </w:r>
      <w:r w:rsidR="00BB11D0">
        <w:rPr>
          <w:sz w:val="24"/>
          <w:szCs w:val="24"/>
        </w:rPr>
        <w:t>s</w:t>
      </w:r>
      <w:r w:rsidR="00E470C0">
        <w:rPr>
          <w:sz w:val="24"/>
          <w:szCs w:val="24"/>
        </w:rPr>
        <w:tab/>
      </w:r>
      <w:r w:rsidR="00BB11D0">
        <w:rPr>
          <w:sz w:val="24"/>
          <w:szCs w:val="24"/>
        </w:rPr>
        <w:t xml:space="preserve">Jānis </w:t>
      </w:r>
      <w:proofErr w:type="spellStart"/>
      <w:r w:rsidR="00BB11D0">
        <w:rPr>
          <w:sz w:val="24"/>
          <w:szCs w:val="24"/>
        </w:rPr>
        <w:t>Bordāns</w:t>
      </w:r>
      <w:proofErr w:type="spellEnd"/>
    </w:p>
    <w:p w:rsidR="004D15A9" w:rsidP="00DA596D" w:rsidRDefault="004D15A9" w14:paraId="38932C96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Pr="00220682" w:rsidR="003A2A0B" w:rsidP="00DA596D" w:rsidRDefault="003A2A0B" w14:paraId="1B7A76B3" w14:textId="77777777">
      <w:pPr>
        <w:pStyle w:val="StyleRight"/>
        <w:spacing w:after="0"/>
        <w:ind w:firstLine="0"/>
        <w:jc w:val="both"/>
        <w:rPr>
          <w:sz w:val="22"/>
          <w:szCs w:val="22"/>
        </w:rPr>
      </w:pPr>
    </w:p>
    <w:p w:rsidRPr="00220682" w:rsidR="00BC2633" w:rsidP="00BC2633" w:rsidRDefault="008B446D" w14:paraId="442866DD" w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Stungrevica</w:t>
      </w:r>
      <w:r w:rsidRPr="00220682" w:rsidR="00BC2633">
        <w:rPr>
          <w:rFonts w:ascii="Times New Roman" w:hAnsi="Times New Roman" w:cs="Times New Roman"/>
        </w:rPr>
        <w:t xml:space="preserve"> 67036</w:t>
      </w:r>
      <w:r>
        <w:rPr>
          <w:rFonts w:ascii="Times New Roman" w:hAnsi="Times New Roman" w:cs="Times New Roman"/>
        </w:rPr>
        <w:t>705</w:t>
      </w:r>
    </w:p>
    <w:p w:rsidRPr="00220682" w:rsidR="007C66CC" w:rsidP="00DA596D" w:rsidRDefault="008B446D" w14:paraId="3EA7BAAE" w14:textId="65D45667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</w:rPr>
        <w:t>Elina.Stungrevica</w:t>
      </w:r>
      <w:r w:rsidRPr="00220682" w:rsidR="00BC2633">
        <w:rPr>
          <w:rFonts w:ascii="Times New Roman" w:hAnsi="Times New Roman" w:cs="Times New Roman"/>
        </w:rPr>
        <w:t>@tm.gov.lv</w:t>
      </w:r>
    </w:p>
    <w:sectPr w:rsidRPr="00220682" w:rsidR="007C66CC" w:rsidSect="004D15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97A6B" w14:textId="77777777" w:rsidR="007D5D77" w:rsidRDefault="007D5D77" w:rsidP="004D15A9">
      <w:pPr>
        <w:spacing w:after="0" w:line="240" w:lineRule="auto"/>
      </w:pPr>
      <w:r>
        <w:separator/>
      </w:r>
    </w:p>
  </w:endnote>
  <w:endnote w:type="continuationSeparator" w:id="0">
    <w:p w14:paraId="5A4E9EA3" w14:textId="77777777" w:rsidR="007D5D77" w:rsidRDefault="007D5D77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BFF2" w14:textId="77777777" w:rsidR="00A92385" w:rsidRDefault="00A9238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952C" w14:textId="77777777" w:rsidR="0042645D" w:rsidRDefault="0042645D" w:rsidP="0042645D">
    <w:pPr>
      <w:pStyle w:val="Kjene"/>
      <w:rPr>
        <w:rFonts w:ascii="Times New Roman" w:hAnsi="Times New Roman" w:cs="Times New Roman"/>
        <w:sz w:val="20"/>
        <w:szCs w:val="20"/>
      </w:rPr>
    </w:pPr>
  </w:p>
  <w:p w14:paraId="195A91ED" w14:textId="1CE21CBE" w:rsidR="008B446D" w:rsidRPr="008B446D" w:rsidRDefault="00352174" w:rsidP="00352174">
    <w:pPr>
      <w:pStyle w:val="Kjene"/>
      <w:rPr>
        <w:rFonts w:ascii="Times New Roman" w:hAnsi="Times New Roman" w:cs="Times New Roman"/>
        <w:noProof/>
        <w:sz w:val="20"/>
        <w:szCs w:val="20"/>
      </w:rPr>
    </w:pPr>
    <w:r w:rsidRPr="002F34F4">
      <w:rPr>
        <w:rFonts w:ascii="Times New Roman" w:hAnsi="Times New Roman" w:cs="Times New Roman"/>
        <w:sz w:val="20"/>
        <w:szCs w:val="20"/>
      </w:rPr>
      <w:fldChar w:fldCharType="begin"/>
    </w:r>
    <w:r w:rsidRPr="002F34F4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F34F4">
      <w:rPr>
        <w:rFonts w:ascii="Times New Roman" w:hAnsi="Times New Roman" w:cs="Times New Roman"/>
        <w:sz w:val="20"/>
        <w:szCs w:val="20"/>
      </w:rPr>
      <w:fldChar w:fldCharType="separate"/>
    </w:r>
    <w:r w:rsidR="002F34F4" w:rsidRPr="002F34F4">
      <w:rPr>
        <w:rFonts w:ascii="Times New Roman" w:hAnsi="Times New Roman" w:cs="Times New Roman"/>
        <w:noProof/>
        <w:sz w:val="20"/>
        <w:szCs w:val="20"/>
      </w:rPr>
      <w:t>TMAnot_</w:t>
    </w:r>
    <w:r w:rsidR="00A92385">
      <w:rPr>
        <w:rFonts w:ascii="Times New Roman" w:hAnsi="Times New Roman" w:cs="Times New Roman"/>
        <w:noProof/>
        <w:sz w:val="20"/>
        <w:szCs w:val="20"/>
      </w:rPr>
      <w:t>20</w:t>
    </w:r>
    <w:bookmarkStart w:id="3" w:name="_GoBack"/>
    <w:bookmarkEnd w:id="3"/>
    <w:r w:rsidR="00D13139">
      <w:rPr>
        <w:rFonts w:ascii="Times New Roman" w:hAnsi="Times New Roman" w:cs="Times New Roman"/>
        <w:noProof/>
        <w:sz w:val="20"/>
        <w:szCs w:val="20"/>
      </w:rPr>
      <w:t>03</w:t>
    </w:r>
    <w:r w:rsidR="002F34F4" w:rsidRPr="00D41C27">
      <w:rPr>
        <w:rFonts w:ascii="Times New Roman" w:hAnsi="Times New Roman" w:cs="Times New Roman"/>
        <w:noProof/>
        <w:sz w:val="20"/>
        <w:szCs w:val="20"/>
      </w:rPr>
      <w:t>19</w:t>
    </w:r>
    <w:r w:rsidR="002F34F4" w:rsidRPr="002F34F4">
      <w:rPr>
        <w:rFonts w:ascii="Times New Roman" w:hAnsi="Times New Roman" w:cs="Times New Roman"/>
        <w:noProof/>
        <w:sz w:val="20"/>
        <w:szCs w:val="20"/>
      </w:rPr>
      <w:t>_EDSO_SAT</w:t>
    </w:r>
    <w:r w:rsidRPr="002F34F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A4DB" w14:textId="707A6112" w:rsidR="004D15A9" w:rsidRPr="0042645D" w:rsidRDefault="0042645D" w:rsidP="0042645D">
    <w:pPr>
      <w:pStyle w:val="Kjene"/>
      <w:rPr>
        <w:rFonts w:ascii="Times New Roman" w:hAnsi="Times New Roman" w:cs="Times New Roman"/>
        <w:noProof/>
        <w:sz w:val="20"/>
        <w:szCs w:val="20"/>
      </w:rPr>
    </w:pPr>
    <w:r w:rsidRPr="002F34F4">
      <w:rPr>
        <w:rFonts w:ascii="Times New Roman" w:hAnsi="Times New Roman" w:cs="Times New Roman"/>
        <w:sz w:val="20"/>
        <w:szCs w:val="20"/>
      </w:rPr>
      <w:fldChar w:fldCharType="begin"/>
    </w:r>
    <w:r w:rsidRPr="002F34F4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F34F4">
      <w:rPr>
        <w:rFonts w:ascii="Times New Roman" w:hAnsi="Times New Roman" w:cs="Times New Roman"/>
        <w:sz w:val="20"/>
        <w:szCs w:val="20"/>
      </w:rPr>
      <w:fldChar w:fldCharType="separate"/>
    </w:r>
    <w:r w:rsidR="002F34F4" w:rsidRPr="002F34F4">
      <w:rPr>
        <w:rFonts w:ascii="Times New Roman" w:hAnsi="Times New Roman" w:cs="Times New Roman"/>
        <w:noProof/>
        <w:sz w:val="20"/>
        <w:szCs w:val="20"/>
      </w:rPr>
      <w:t>TMAnot_</w:t>
    </w:r>
    <w:r w:rsidR="00A92385">
      <w:rPr>
        <w:rFonts w:ascii="Times New Roman" w:hAnsi="Times New Roman" w:cs="Times New Roman"/>
        <w:noProof/>
        <w:sz w:val="20"/>
        <w:szCs w:val="20"/>
      </w:rPr>
      <w:t>20</w:t>
    </w:r>
    <w:r w:rsidR="00D13139">
      <w:rPr>
        <w:rFonts w:ascii="Times New Roman" w:hAnsi="Times New Roman" w:cs="Times New Roman"/>
        <w:noProof/>
        <w:sz w:val="20"/>
        <w:szCs w:val="20"/>
      </w:rPr>
      <w:t>03</w:t>
    </w:r>
    <w:r w:rsidR="002F34F4" w:rsidRPr="00D41C27">
      <w:rPr>
        <w:rFonts w:ascii="Times New Roman" w:hAnsi="Times New Roman" w:cs="Times New Roman"/>
        <w:noProof/>
        <w:sz w:val="20"/>
        <w:szCs w:val="20"/>
      </w:rPr>
      <w:t>19</w:t>
    </w:r>
    <w:r w:rsidR="002F34F4" w:rsidRPr="002F34F4">
      <w:rPr>
        <w:rFonts w:ascii="Times New Roman" w:hAnsi="Times New Roman" w:cs="Times New Roman"/>
        <w:noProof/>
        <w:sz w:val="20"/>
        <w:szCs w:val="20"/>
      </w:rPr>
      <w:t>_EDSO_SAT</w:t>
    </w:r>
    <w:r w:rsidRPr="002F34F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BFE4" w14:textId="77777777" w:rsidR="007D5D77" w:rsidRDefault="007D5D77" w:rsidP="004D15A9">
      <w:pPr>
        <w:spacing w:after="0" w:line="240" w:lineRule="auto"/>
      </w:pPr>
      <w:r>
        <w:separator/>
      </w:r>
    </w:p>
  </w:footnote>
  <w:footnote w:type="continuationSeparator" w:id="0">
    <w:p w14:paraId="4757F3AB" w14:textId="77777777" w:rsidR="007D5D77" w:rsidRDefault="007D5D77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85" w:rsidRDefault="00A92385" w14:paraId="5EFA4F5C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4D15A9" w:rsidR="004D15A9" w:rsidRDefault="004D15A9" w14:paraId="6541DBCB" w14:textId="7777777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3C8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15A9" w:rsidRDefault="004D15A9" w14:paraId="2A99E60C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85" w:rsidRDefault="00A92385" w14:paraId="4A73EDF3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9"/>
    <w:rsid w:val="00013999"/>
    <w:rsid w:val="000177FA"/>
    <w:rsid w:val="00031256"/>
    <w:rsid w:val="00032DF5"/>
    <w:rsid w:val="00050BE4"/>
    <w:rsid w:val="000548EB"/>
    <w:rsid w:val="000718CD"/>
    <w:rsid w:val="00080375"/>
    <w:rsid w:val="00084207"/>
    <w:rsid w:val="000E3461"/>
    <w:rsid w:val="000E42FD"/>
    <w:rsid w:val="000F339F"/>
    <w:rsid w:val="00101CD5"/>
    <w:rsid w:val="00105142"/>
    <w:rsid w:val="00122267"/>
    <w:rsid w:val="00122E54"/>
    <w:rsid w:val="00136A5F"/>
    <w:rsid w:val="00141BF8"/>
    <w:rsid w:val="00144A84"/>
    <w:rsid w:val="001C5969"/>
    <w:rsid w:val="001E105A"/>
    <w:rsid w:val="001F303F"/>
    <w:rsid w:val="001F333A"/>
    <w:rsid w:val="001F68D7"/>
    <w:rsid w:val="001F7945"/>
    <w:rsid w:val="00200100"/>
    <w:rsid w:val="00205711"/>
    <w:rsid w:val="00215537"/>
    <w:rsid w:val="00220682"/>
    <w:rsid w:val="00242C3B"/>
    <w:rsid w:val="00266432"/>
    <w:rsid w:val="002A2F27"/>
    <w:rsid w:val="002F34F4"/>
    <w:rsid w:val="00331047"/>
    <w:rsid w:val="00352174"/>
    <w:rsid w:val="00353EFE"/>
    <w:rsid w:val="003803BC"/>
    <w:rsid w:val="003922B0"/>
    <w:rsid w:val="003A2A0B"/>
    <w:rsid w:val="003B079A"/>
    <w:rsid w:val="003B24C1"/>
    <w:rsid w:val="003F39CA"/>
    <w:rsid w:val="0042645D"/>
    <w:rsid w:val="0043541A"/>
    <w:rsid w:val="00435B4C"/>
    <w:rsid w:val="00445859"/>
    <w:rsid w:val="00461275"/>
    <w:rsid w:val="00490EE3"/>
    <w:rsid w:val="00492827"/>
    <w:rsid w:val="004965FD"/>
    <w:rsid w:val="00496EF0"/>
    <w:rsid w:val="004A18BE"/>
    <w:rsid w:val="004B06B1"/>
    <w:rsid w:val="004B7BDF"/>
    <w:rsid w:val="004C3B12"/>
    <w:rsid w:val="004D15A9"/>
    <w:rsid w:val="00515CEE"/>
    <w:rsid w:val="00516734"/>
    <w:rsid w:val="00516C11"/>
    <w:rsid w:val="00532700"/>
    <w:rsid w:val="0056459F"/>
    <w:rsid w:val="0059057E"/>
    <w:rsid w:val="005A4BBB"/>
    <w:rsid w:val="005B05C3"/>
    <w:rsid w:val="005B2EA8"/>
    <w:rsid w:val="005C0266"/>
    <w:rsid w:val="005D4E8A"/>
    <w:rsid w:val="005F0658"/>
    <w:rsid w:val="00602583"/>
    <w:rsid w:val="00610F4F"/>
    <w:rsid w:val="00612A92"/>
    <w:rsid w:val="00636508"/>
    <w:rsid w:val="00646F08"/>
    <w:rsid w:val="006641E1"/>
    <w:rsid w:val="006A6300"/>
    <w:rsid w:val="006A6C09"/>
    <w:rsid w:val="006D3725"/>
    <w:rsid w:val="006E7340"/>
    <w:rsid w:val="007030F6"/>
    <w:rsid w:val="007036EE"/>
    <w:rsid w:val="007047F3"/>
    <w:rsid w:val="0073730D"/>
    <w:rsid w:val="007912EF"/>
    <w:rsid w:val="007969FB"/>
    <w:rsid w:val="007A77A9"/>
    <w:rsid w:val="007C66CC"/>
    <w:rsid w:val="007C76FD"/>
    <w:rsid w:val="007D0F8D"/>
    <w:rsid w:val="007D5D77"/>
    <w:rsid w:val="007E7AA6"/>
    <w:rsid w:val="007F7D1A"/>
    <w:rsid w:val="0081203F"/>
    <w:rsid w:val="00841836"/>
    <w:rsid w:val="00870645"/>
    <w:rsid w:val="00875528"/>
    <w:rsid w:val="008770BC"/>
    <w:rsid w:val="008826E9"/>
    <w:rsid w:val="008B446D"/>
    <w:rsid w:val="008E4E93"/>
    <w:rsid w:val="008E78B2"/>
    <w:rsid w:val="008F2C79"/>
    <w:rsid w:val="009046E0"/>
    <w:rsid w:val="00925F29"/>
    <w:rsid w:val="00931539"/>
    <w:rsid w:val="00955A78"/>
    <w:rsid w:val="00964EA7"/>
    <w:rsid w:val="0097690A"/>
    <w:rsid w:val="00982805"/>
    <w:rsid w:val="009838B0"/>
    <w:rsid w:val="00997954"/>
    <w:rsid w:val="009D60A2"/>
    <w:rsid w:val="00A068B1"/>
    <w:rsid w:val="00A12F89"/>
    <w:rsid w:val="00A1552F"/>
    <w:rsid w:val="00A24B12"/>
    <w:rsid w:val="00A36CD3"/>
    <w:rsid w:val="00A74502"/>
    <w:rsid w:val="00A748AE"/>
    <w:rsid w:val="00A92385"/>
    <w:rsid w:val="00AB0163"/>
    <w:rsid w:val="00AB6562"/>
    <w:rsid w:val="00AD478B"/>
    <w:rsid w:val="00AD5E03"/>
    <w:rsid w:val="00B00372"/>
    <w:rsid w:val="00B72C4F"/>
    <w:rsid w:val="00B73EAC"/>
    <w:rsid w:val="00B81C6E"/>
    <w:rsid w:val="00B83C87"/>
    <w:rsid w:val="00B84E83"/>
    <w:rsid w:val="00BB11D0"/>
    <w:rsid w:val="00BB1F46"/>
    <w:rsid w:val="00BC2633"/>
    <w:rsid w:val="00BE3068"/>
    <w:rsid w:val="00BF3035"/>
    <w:rsid w:val="00BF327D"/>
    <w:rsid w:val="00BF3A34"/>
    <w:rsid w:val="00C12934"/>
    <w:rsid w:val="00C34CBC"/>
    <w:rsid w:val="00C3693E"/>
    <w:rsid w:val="00C6319F"/>
    <w:rsid w:val="00D01EE3"/>
    <w:rsid w:val="00D1107A"/>
    <w:rsid w:val="00D13139"/>
    <w:rsid w:val="00D149D5"/>
    <w:rsid w:val="00D313D5"/>
    <w:rsid w:val="00D41C27"/>
    <w:rsid w:val="00D61D91"/>
    <w:rsid w:val="00D707CC"/>
    <w:rsid w:val="00D93A89"/>
    <w:rsid w:val="00DA326E"/>
    <w:rsid w:val="00DA52AC"/>
    <w:rsid w:val="00DA596D"/>
    <w:rsid w:val="00DB20AB"/>
    <w:rsid w:val="00DE78C6"/>
    <w:rsid w:val="00E23AC8"/>
    <w:rsid w:val="00E44C94"/>
    <w:rsid w:val="00E470C0"/>
    <w:rsid w:val="00E557CC"/>
    <w:rsid w:val="00E5586E"/>
    <w:rsid w:val="00E758BA"/>
    <w:rsid w:val="00E9181C"/>
    <w:rsid w:val="00EA2AAE"/>
    <w:rsid w:val="00EA5458"/>
    <w:rsid w:val="00EB62BF"/>
    <w:rsid w:val="00ED5104"/>
    <w:rsid w:val="00ED573E"/>
    <w:rsid w:val="00EE039C"/>
    <w:rsid w:val="00F00478"/>
    <w:rsid w:val="00F065E1"/>
    <w:rsid w:val="00F11AF3"/>
    <w:rsid w:val="00F26308"/>
    <w:rsid w:val="00F31444"/>
    <w:rsid w:val="00F7282E"/>
    <w:rsid w:val="00F776A5"/>
    <w:rsid w:val="00F91583"/>
    <w:rsid w:val="00FA1330"/>
    <w:rsid w:val="00FB2959"/>
    <w:rsid w:val="00FD23CD"/>
    <w:rsid w:val="00FD3D09"/>
    <w:rsid w:val="00FD6B5B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9CCCFF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78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78B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78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78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78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3422-F4B5-43A3-BE7F-D051BAA28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D6242-A83E-4090-B96E-927CEECDC4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2A84B5-313B-43AF-91CE-D0D90A3B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1F1F23-E6B2-487B-9BD5-784D8502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6314</Words>
  <Characters>3599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projekta "Par Latvijas Republikas pilnvarotajiem pārstāvjiem Eiropas Drošības un sadarbības  organizācijas Samierināšanas un arbitrāžas tiesā" sākotnējās ietekmes novērtējuma ziņojums (anotācija)</vt:lpstr>
    </vt:vector>
  </TitlesOfParts>
  <Manager/>
  <Company>Tieslietu ministrija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Latvijas Republikas pilnvarotajiem pārstāvjiem Eiropas Drošības un sadarbības  organizācijas Samierināšanas un arbitrāžas tiesā" sākotnējās ietekmes novērtējuma ziņojums (anotācija)</dc:title>
  <dc:subject>Anotācija</dc:subject>
  <dc:creator>Elīna Stungrevica</dc:creator>
  <dc:description>67036705, Elina.Stungrevica@tm.gov.lv</dc:description>
  <cp:lastModifiedBy>Elīna Stungrevica</cp:lastModifiedBy>
  <cp:revision>5</cp:revision>
  <cp:lastPrinted>2018-08-09T05:03:00Z</cp:lastPrinted>
  <dcterms:created xsi:type="dcterms:W3CDTF">2019-02-13T14:00:00Z</dcterms:created>
  <dcterms:modified xsi:type="dcterms:W3CDTF">2019-03-20T07:48:00Z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