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086445" w:rsidRPr="00E80417" w14:paraId="3171AA01" w14:textId="77777777" w:rsidTr="00885D66">
        <w:trPr>
          <w:tblCellSpacing w:w="0" w:type="dxa"/>
          <w:jc w:val="center"/>
        </w:trPr>
        <w:tc>
          <w:tcPr>
            <w:tcW w:w="10185" w:type="dxa"/>
          </w:tcPr>
          <w:p w14:paraId="1BCC8F0F" w14:textId="77777777" w:rsidR="000B228E" w:rsidRDefault="00EB2EDA" w:rsidP="006854E5">
            <w:pPr>
              <w:pStyle w:val="naisc"/>
              <w:spacing w:before="0" w:after="0"/>
              <w:rPr>
                <w:sz w:val="22"/>
                <w:szCs w:val="22"/>
              </w:rPr>
            </w:pPr>
            <w:smartTag w:uri="schemas-tilde-lv/tildestengine" w:element="veidnes">
              <w:smartTagPr>
                <w:attr w:name="id" w:val="-1"/>
                <w:attr w:name="baseform" w:val="Izziņa"/>
                <w:attr w:name="text" w:val="Izziņa"/>
              </w:smartTagPr>
              <w:r w:rsidRPr="00E80417">
                <w:rPr>
                  <w:sz w:val="22"/>
                  <w:szCs w:val="22"/>
                </w:rPr>
                <w:t>Izziņa</w:t>
              </w:r>
            </w:smartTag>
            <w:r w:rsidRPr="00E80417">
              <w:rPr>
                <w:sz w:val="22"/>
                <w:szCs w:val="22"/>
              </w:rPr>
              <w:t xml:space="preserve"> par atzinumos sniegtajiem iebildumiem</w:t>
            </w:r>
          </w:p>
          <w:p w14:paraId="30D2FD7E" w14:textId="77777777" w:rsidR="00773B34" w:rsidRPr="00667411" w:rsidRDefault="00773B34" w:rsidP="00773B34">
            <w:pPr>
              <w:tabs>
                <w:tab w:val="left" w:pos="3544"/>
              </w:tabs>
              <w:jc w:val="center"/>
              <w:rPr>
                <w:b/>
              </w:rPr>
            </w:pPr>
            <w:r w:rsidRPr="00667411">
              <w:rPr>
                <w:b/>
              </w:rPr>
              <w:t xml:space="preserve">Informatīvais ziņojums </w:t>
            </w:r>
          </w:p>
          <w:p w14:paraId="295387B1" w14:textId="77777777" w:rsidR="00773B34" w:rsidRPr="00667411" w:rsidRDefault="00773B34" w:rsidP="00773B34">
            <w:pPr>
              <w:tabs>
                <w:tab w:val="left" w:pos="3544"/>
              </w:tabs>
              <w:jc w:val="center"/>
              <w:rPr>
                <w:b/>
              </w:rPr>
            </w:pPr>
            <w:r w:rsidRPr="00667411">
              <w:rPr>
                <w:b/>
              </w:rPr>
              <w:t xml:space="preserve">par </w:t>
            </w:r>
            <w:r w:rsidRPr="00667411">
              <w:rPr>
                <w:rFonts w:eastAsia="Calibri"/>
                <w:b/>
              </w:rPr>
              <w:t xml:space="preserve">Valsts pārvaldes reformu plāna 2020 sadaļas “Pasākumi mērķu sasniegšanai” 4.4. apakšpunktā </w:t>
            </w:r>
            <w:r w:rsidRPr="00667411">
              <w:rPr>
                <w:b/>
              </w:rPr>
              <w:t>dotā uzdevuma izpildi</w:t>
            </w:r>
          </w:p>
          <w:p w14:paraId="1198E40E" w14:textId="25F5A9EB" w:rsidR="00EB2EDA" w:rsidRPr="00E80417" w:rsidRDefault="00EB2EDA" w:rsidP="00773B34">
            <w:pPr>
              <w:pStyle w:val="naisc"/>
              <w:spacing w:before="0" w:after="0"/>
              <w:rPr>
                <w:sz w:val="22"/>
                <w:szCs w:val="22"/>
              </w:rPr>
            </w:pPr>
          </w:p>
        </w:tc>
      </w:tr>
    </w:tbl>
    <w:p w14:paraId="6DAE0C28" w14:textId="77777777" w:rsidR="00EB2EDA" w:rsidRPr="00E80417" w:rsidRDefault="00EB2EDA" w:rsidP="006854E5">
      <w:pPr>
        <w:pStyle w:val="naisnod"/>
        <w:spacing w:before="0" w:after="0"/>
        <w:rPr>
          <w:sz w:val="22"/>
          <w:szCs w:val="22"/>
        </w:rPr>
      </w:pPr>
      <w:r w:rsidRPr="00E80417">
        <w:rPr>
          <w:sz w:val="22"/>
          <w:szCs w:val="22"/>
        </w:rPr>
        <w:t>I. Jautājumi, par kuriem saskaņošanā vienošanās nav panākta</w:t>
      </w:r>
    </w:p>
    <w:tbl>
      <w:tblPr>
        <w:tblW w:w="13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3"/>
        <w:gridCol w:w="4111"/>
        <w:gridCol w:w="1605"/>
        <w:gridCol w:w="2099"/>
        <w:gridCol w:w="2464"/>
      </w:tblGrid>
      <w:tr w:rsidR="00086445" w:rsidRPr="00E80417" w14:paraId="54D6AD2A" w14:textId="77777777" w:rsidTr="00667411">
        <w:tc>
          <w:tcPr>
            <w:tcW w:w="709" w:type="dxa"/>
          </w:tcPr>
          <w:p w14:paraId="49155809" w14:textId="77777777" w:rsidR="00EB2EDA" w:rsidRPr="00E80417" w:rsidRDefault="00EB2EDA" w:rsidP="006854E5">
            <w:pPr>
              <w:jc w:val="center"/>
              <w:rPr>
                <w:sz w:val="22"/>
                <w:szCs w:val="22"/>
              </w:rPr>
            </w:pPr>
            <w:r w:rsidRPr="00E80417">
              <w:rPr>
                <w:sz w:val="22"/>
                <w:szCs w:val="22"/>
              </w:rPr>
              <w:t>Nr.</w:t>
            </w:r>
          </w:p>
          <w:p w14:paraId="52DF34B3" w14:textId="77777777" w:rsidR="00EB2EDA" w:rsidRPr="00E80417" w:rsidRDefault="00EB2EDA" w:rsidP="006854E5">
            <w:pPr>
              <w:jc w:val="center"/>
              <w:rPr>
                <w:sz w:val="22"/>
                <w:szCs w:val="22"/>
              </w:rPr>
            </w:pPr>
            <w:r w:rsidRPr="00E80417">
              <w:rPr>
                <w:sz w:val="22"/>
                <w:szCs w:val="22"/>
              </w:rPr>
              <w:t>p.k.</w:t>
            </w:r>
          </w:p>
        </w:tc>
        <w:tc>
          <w:tcPr>
            <w:tcW w:w="2693" w:type="dxa"/>
          </w:tcPr>
          <w:p w14:paraId="57F5924A" w14:textId="77777777" w:rsidR="00EB2EDA" w:rsidRPr="00E80417" w:rsidRDefault="00EB2EDA" w:rsidP="006854E5">
            <w:pPr>
              <w:jc w:val="center"/>
              <w:rPr>
                <w:sz w:val="22"/>
                <w:szCs w:val="22"/>
              </w:rPr>
            </w:pPr>
            <w:r w:rsidRPr="00E80417">
              <w:rPr>
                <w:sz w:val="22"/>
                <w:szCs w:val="22"/>
              </w:rPr>
              <w:t>Saskaņošanai nosūtītā projekta redakcija (konkrēta punkta (panta) redakcija)</w:t>
            </w:r>
          </w:p>
        </w:tc>
        <w:tc>
          <w:tcPr>
            <w:tcW w:w="4111" w:type="dxa"/>
          </w:tcPr>
          <w:p w14:paraId="02FA03DE" w14:textId="58892AF8" w:rsidR="00EB2EDA" w:rsidRPr="00E80417" w:rsidRDefault="002F42B3" w:rsidP="006854E5">
            <w:pPr>
              <w:jc w:val="center"/>
              <w:rPr>
                <w:sz w:val="22"/>
                <w:szCs w:val="22"/>
              </w:rPr>
            </w:pPr>
            <w:r w:rsidRPr="00E80417">
              <w:rPr>
                <w:sz w:val="22"/>
                <w:szCs w:val="22"/>
              </w:rPr>
              <w:t>Atzinumā norādītais ministrijas (citas institūcijas) iebildums, kā arī saskaņošanā papildus izteiktais iebildums par projekta konkrēto punktu (pantu)</w:t>
            </w:r>
          </w:p>
          <w:p w14:paraId="4C730D1A" w14:textId="77777777" w:rsidR="005603FD" w:rsidRPr="00E80417" w:rsidRDefault="005603FD" w:rsidP="006854E5">
            <w:pPr>
              <w:jc w:val="center"/>
              <w:rPr>
                <w:sz w:val="22"/>
                <w:szCs w:val="22"/>
              </w:rPr>
            </w:pPr>
          </w:p>
        </w:tc>
        <w:tc>
          <w:tcPr>
            <w:tcW w:w="1605" w:type="dxa"/>
          </w:tcPr>
          <w:p w14:paraId="74CA73CA" w14:textId="77777777" w:rsidR="00EB2EDA" w:rsidRPr="00E80417" w:rsidRDefault="00EB2EDA" w:rsidP="006854E5">
            <w:pPr>
              <w:pStyle w:val="naisc"/>
              <w:spacing w:before="0" w:after="0"/>
              <w:rPr>
                <w:sz w:val="22"/>
                <w:szCs w:val="22"/>
              </w:rPr>
            </w:pPr>
            <w:r w:rsidRPr="00E80417">
              <w:rPr>
                <w:sz w:val="22"/>
                <w:szCs w:val="22"/>
              </w:rPr>
              <w:t>Atbildīgās ministrijas pamatojums iebilduma noraidījumam</w:t>
            </w:r>
          </w:p>
        </w:tc>
        <w:tc>
          <w:tcPr>
            <w:tcW w:w="2099" w:type="dxa"/>
          </w:tcPr>
          <w:p w14:paraId="15C8F8F5" w14:textId="77777777" w:rsidR="00EB2EDA" w:rsidRPr="00E80417" w:rsidRDefault="00EB2EDA" w:rsidP="006854E5">
            <w:pPr>
              <w:pStyle w:val="naisc"/>
              <w:spacing w:before="0" w:after="0"/>
              <w:rPr>
                <w:sz w:val="22"/>
                <w:szCs w:val="22"/>
              </w:rPr>
            </w:pPr>
            <w:r w:rsidRPr="00E80417">
              <w:rPr>
                <w:sz w:val="22"/>
                <w:szCs w:val="22"/>
              </w:rPr>
              <w:t>Atzinuma sniedzēja uzturētais iebildums, ja tas atšķiras no atzinumā norādītā iebilduma pamatojuma</w:t>
            </w:r>
          </w:p>
        </w:tc>
        <w:tc>
          <w:tcPr>
            <w:tcW w:w="2464" w:type="dxa"/>
          </w:tcPr>
          <w:p w14:paraId="5A038A1F" w14:textId="77777777" w:rsidR="00EB2EDA" w:rsidRPr="00E80417" w:rsidRDefault="00EB2EDA" w:rsidP="006854E5">
            <w:pPr>
              <w:tabs>
                <w:tab w:val="left" w:pos="1483"/>
              </w:tabs>
              <w:jc w:val="center"/>
              <w:rPr>
                <w:sz w:val="22"/>
                <w:szCs w:val="22"/>
              </w:rPr>
            </w:pPr>
            <w:r w:rsidRPr="00E80417">
              <w:rPr>
                <w:sz w:val="22"/>
                <w:szCs w:val="22"/>
              </w:rPr>
              <w:t>Projekta attiecīgā punkta (panta) galīgā redakcija</w:t>
            </w:r>
          </w:p>
        </w:tc>
      </w:tr>
      <w:tr w:rsidR="00086445" w:rsidRPr="00E80417" w14:paraId="7A6A7B5C" w14:textId="77777777" w:rsidTr="00667411">
        <w:tc>
          <w:tcPr>
            <w:tcW w:w="709" w:type="dxa"/>
          </w:tcPr>
          <w:p w14:paraId="4ABDFF4C" w14:textId="77777777" w:rsidR="00EB2EDA" w:rsidRPr="00E80417" w:rsidRDefault="00EB2EDA" w:rsidP="006854E5">
            <w:pPr>
              <w:tabs>
                <w:tab w:val="left" w:pos="71"/>
                <w:tab w:val="left" w:pos="360"/>
              </w:tabs>
              <w:jc w:val="center"/>
              <w:rPr>
                <w:sz w:val="22"/>
                <w:szCs w:val="22"/>
              </w:rPr>
            </w:pPr>
            <w:r w:rsidRPr="00E80417">
              <w:rPr>
                <w:sz w:val="22"/>
                <w:szCs w:val="22"/>
              </w:rPr>
              <w:t>1.</w:t>
            </w:r>
          </w:p>
        </w:tc>
        <w:tc>
          <w:tcPr>
            <w:tcW w:w="2693" w:type="dxa"/>
          </w:tcPr>
          <w:p w14:paraId="75F7D4AF" w14:textId="77777777" w:rsidR="00EB2EDA" w:rsidRPr="00E80417" w:rsidRDefault="00EB2EDA" w:rsidP="006854E5">
            <w:pPr>
              <w:pStyle w:val="Default"/>
              <w:ind w:firstLine="199"/>
              <w:jc w:val="center"/>
              <w:rPr>
                <w:color w:val="auto"/>
                <w:sz w:val="22"/>
                <w:szCs w:val="22"/>
              </w:rPr>
            </w:pPr>
            <w:r w:rsidRPr="00E80417">
              <w:rPr>
                <w:color w:val="auto"/>
                <w:sz w:val="22"/>
                <w:szCs w:val="22"/>
              </w:rPr>
              <w:t>2.</w:t>
            </w:r>
          </w:p>
        </w:tc>
        <w:tc>
          <w:tcPr>
            <w:tcW w:w="4111" w:type="dxa"/>
          </w:tcPr>
          <w:p w14:paraId="3FA721C1" w14:textId="77777777" w:rsidR="00EB2EDA" w:rsidRPr="00E80417" w:rsidRDefault="00EB2EDA" w:rsidP="006854E5">
            <w:pPr>
              <w:pStyle w:val="NoSpacing"/>
              <w:ind w:firstLine="82"/>
              <w:jc w:val="center"/>
              <w:rPr>
                <w:rFonts w:eastAsia="Times New Roman"/>
                <w:sz w:val="22"/>
                <w:szCs w:val="22"/>
                <w:lang w:eastAsia="lv-LV"/>
              </w:rPr>
            </w:pPr>
            <w:r w:rsidRPr="00E80417">
              <w:rPr>
                <w:rFonts w:eastAsia="Times New Roman"/>
                <w:sz w:val="22"/>
                <w:szCs w:val="22"/>
                <w:lang w:eastAsia="lv-LV"/>
              </w:rPr>
              <w:t>3.</w:t>
            </w:r>
          </w:p>
        </w:tc>
        <w:tc>
          <w:tcPr>
            <w:tcW w:w="1605" w:type="dxa"/>
          </w:tcPr>
          <w:p w14:paraId="09C6BD69" w14:textId="77777777" w:rsidR="00EB2EDA" w:rsidRPr="00E80417" w:rsidRDefault="00EB2EDA" w:rsidP="006854E5">
            <w:pPr>
              <w:jc w:val="center"/>
              <w:rPr>
                <w:sz w:val="22"/>
                <w:szCs w:val="22"/>
              </w:rPr>
            </w:pPr>
            <w:r w:rsidRPr="00E80417">
              <w:rPr>
                <w:sz w:val="22"/>
                <w:szCs w:val="22"/>
              </w:rPr>
              <w:t>4.</w:t>
            </w:r>
          </w:p>
        </w:tc>
        <w:tc>
          <w:tcPr>
            <w:tcW w:w="2099" w:type="dxa"/>
          </w:tcPr>
          <w:p w14:paraId="285D25E2" w14:textId="77777777" w:rsidR="00EB2EDA" w:rsidRPr="00E80417" w:rsidRDefault="00EB2EDA" w:rsidP="006854E5">
            <w:pPr>
              <w:jc w:val="center"/>
              <w:rPr>
                <w:sz w:val="22"/>
                <w:szCs w:val="22"/>
              </w:rPr>
            </w:pPr>
            <w:r w:rsidRPr="00E80417">
              <w:rPr>
                <w:sz w:val="22"/>
                <w:szCs w:val="22"/>
              </w:rPr>
              <w:t>5.</w:t>
            </w:r>
          </w:p>
        </w:tc>
        <w:tc>
          <w:tcPr>
            <w:tcW w:w="2464" w:type="dxa"/>
          </w:tcPr>
          <w:p w14:paraId="1883268C" w14:textId="77777777" w:rsidR="00EB2EDA" w:rsidRPr="00E80417" w:rsidRDefault="00EB2EDA" w:rsidP="006854E5">
            <w:pPr>
              <w:pStyle w:val="Default"/>
              <w:ind w:firstLine="199"/>
              <w:jc w:val="center"/>
              <w:rPr>
                <w:color w:val="auto"/>
                <w:sz w:val="22"/>
                <w:szCs w:val="22"/>
              </w:rPr>
            </w:pPr>
            <w:r w:rsidRPr="00E80417">
              <w:rPr>
                <w:color w:val="auto"/>
                <w:sz w:val="22"/>
                <w:szCs w:val="22"/>
              </w:rPr>
              <w:t>6.</w:t>
            </w:r>
          </w:p>
        </w:tc>
      </w:tr>
      <w:tr w:rsidR="002F42B3" w:rsidRPr="00E80417" w14:paraId="262E9B4B" w14:textId="77777777" w:rsidTr="00667411">
        <w:tc>
          <w:tcPr>
            <w:tcW w:w="709" w:type="dxa"/>
          </w:tcPr>
          <w:p w14:paraId="69D249E4" w14:textId="77777777" w:rsidR="002F42B3" w:rsidRPr="00E80417" w:rsidRDefault="002F42B3" w:rsidP="002F42B3">
            <w:pPr>
              <w:tabs>
                <w:tab w:val="left" w:pos="71"/>
                <w:tab w:val="left" w:pos="360"/>
              </w:tabs>
              <w:jc w:val="center"/>
              <w:rPr>
                <w:sz w:val="22"/>
                <w:szCs w:val="22"/>
              </w:rPr>
            </w:pPr>
          </w:p>
        </w:tc>
        <w:tc>
          <w:tcPr>
            <w:tcW w:w="2693" w:type="dxa"/>
          </w:tcPr>
          <w:p w14:paraId="4369A684" w14:textId="5F3F8840" w:rsidR="002F42B3" w:rsidRPr="00E80417" w:rsidRDefault="002F42B3" w:rsidP="002F42B3">
            <w:pPr>
              <w:tabs>
                <w:tab w:val="left" w:pos="5638"/>
              </w:tabs>
              <w:rPr>
                <w:sz w:val="22"/>
                <w:szCs w:val="22"/>
              </w:rPr>
            </w:pPr>
          </w:p>
        </w:tc>
        <w:tc>
          <w:tcPr>
            <w:tcW w:w="4111" w:type="dxa"/>
          </w:tcPr>
          <w:p w14:paraId="4725E501" w14:textId="77777777" w:rsidR="002F42B3" w:rsidRPr="00E80417" w:rsidRDefault="002F42B3" w:rsidP="002F42B3">
            <w:pPr>
              <w:pStyle w:val="NoSpacing"/>
              <w:ind w:firstLine="82"/>
              <w:rPr>
                <w:b/>
                <w:sz w:val="22"/>
                <w:szCs w:val="22"/>
              </w:rPr>
            </w:pPr>
          </w:p>
        </w:tc>
        <w:tc>
          <w:tcPr>
            <w:tcW w:w="1605" w:type="dxa"/>
          </w:tcPr>
          <w:p w14:paraId="13CF230B" w14:textId="02DBDCC8" w:rsidR="00056EAE" w:rsidRPr="002F42B3" w:rsidRDefault="00056EAE" w:rsidP="00F95CE3">
            <w:pPr>
              <w:spacing w:after="160" w:line="259" w:lineRule="auto"/>
              <w:contextualSpacing/>
              <w:jc w:val="both"/>
              <w:rPr>
                <w:b/>
                <w:sz w:val="22"/>
                <w:szCs w:val="22"/>
              </w:rPr>
            </w:pPr>
          </w:p>
        </w:tc>
        <w:tc>
          <w:tcPr>
            <w:tcW w:w="2099" w:type="dxa"/>
          </w:tcPr>
          <w:p w14:paraId="0C802202" w14:textId="77777777" w:rsidR="002F42B3" w:rsidRPr="00E80417" w:rsidRDefault="002F42B3" w:rsidP="002F42B3">
            <w:pPr>
              <w:jc w:val="center"/>
              <w:rPr>
                <w:sz w:val="22"/>
                <w:szCs w:val="22"/>
              </w:rPr>
            </w:pPr>
          </w:p>
        </w:tc>
        <w:tc>
          <w:tcPr>
            <w:tcW w:w="2464" w:type="dxa"/>
          </w:tcPr>
          <w:p w14:paraId="2AA5655E" w14:textId="47B18CAB" w:rsidR="002F42B3" w:rsidRPr="00E80417" w:rsidRDefault="00D927B7" w:rsidP="005A6860">
            <w:pPr>
              <w:tabs>
                <w:tab w:val="left" w:pos="5638"/>
              </w:tabs>
              <w:ind w:firstLine="20"/>
              <w:rPr>
                <w:sz w:val="22"/>
                <w:szCs w:val="22"/>
              </w:rPr>
            </w:pPr>
            <w:r>
              <w:rPr>
                <w:sz w:val="22"/>
                <w:szCs w:val="22"/>
              </w:rPr>
              <w:t>S</w:t>
            </w:r>
          </w:p>
        </w:tc>
      </w:tr>
    </w:tbl>
    <w:p w14:paraId="65086569" w14:textId="190E69EA" w:rsidR="00EB2EDA" w:rsidRPr="00E80417" w:rsidRDefault="00EB2EDA" w:rsidP="006854E5">
      <w:pPr>
        <w:pStyle w:val="naisf"/>
        <w:spacing w:before="0" w:after="0"/>
        <w:rPr>
          <w:sz w:val="22"/>
          <w:szCs w:val="22"/>
        </w:rPr>
      </w:pPr>
    </w:p>
    <w:p w14:paraId="0E274CD5" w14:textId="77777777" w:rsidR="00EB2EDA" w:rsidRPr="00E80417" w:rsidRDefault="00EB2EDA" w:rsidP="006854E5">
      <w:pPr>
        <w:pStyle w:val="naiskr"/>
        <w:spacing w:before="0" w:after="0"/>
        <w:ind w:firstLine="180"/>
        <w:rPr>
          <w:sz w:val="22"/>
          <w:szCs w:val="22"/>
        </w:rPr>
      </w:pPr>
      <w:r w:rsidRPr="00E80417">
        <w:rPr>
          <w:sz w:val="22"/>
          <w:szCs w:val="22"/>
        </w:rPr>
        <w:t>Informācija par starpministriju (starpinstitūciju) sanāksmi vai elektronisko saskaņošanu </w:t>
      </w:r>
    </w:p>
    <w:tbl>
      <w:tblPr>
        <w:tblW w:w="12960" w:type="dxa"/>
        <w:tblCellSpacing w:w="0" w:type="dxa"/>
        <w:tblInd w:w="180" w:type="dxa"/>
        <w:tblCellMar>
          <w:left w:w="0" w:type="dxa"/>
          <w:right w:w="0" w:type="dxa"/>
        </w:tblCellMar>
        <w:tblLook w:val="0000" w:firstRow="0" w:lastRow="0" w:firstColumn="0" w:lastColumn="0" w:noHBand="0" w:noVBand="0"/>
      </w:tblPr>
      <w:tblGrid>
        <w:gridCol w:w="2520"/>
        <w:gridCol w:w="10440"/>
      </w:tblGrid>
      <w:tr w:rsidR="00086445" w:rsidRPr="00E80417" w14:paraId="1F5AEE57" w14:textId="77777777" w:rsidTr="00885D66">
        <w:trPr>
          <w:tblCellSpacing w:w="0" w:type="dxa"/>
        </w:trPr>
        <w:tc>
          <w:tcPr>
            <w:tcW w:w="2520" w:type="dxa"/>
          </w:tcPr>
          <w:p w14:paraId="14BB3922" w14:textId="77777777" w:rsidR="00EB2EDA" w:rsidRPr="00E80417" w:rsidRDefault="00EB2EDA" w:rsidP="006854E5">
            <w:pPr>
              <w:pStyle w:val="naiskr"/>
              <w:spacing w:before="0" w:after="0"/>
              <w:rPr>
                <w:sz w:val="22"/>
                <w:szCs w:val="22"/>
              </w:rPr>
            </w:pPr>
            <w:r w:rsidRPr="00E80417">
              <w:rPr>
                <w:sz w:val="22"/>
                <w:szCs w:val="22"/>
              </w:rPr>
              <w:t>Datums</w:t>
            </w:r>
          </w:p>
        </w:tc>
        <w:tc>
          <w:tcPr>
            <w:tcW w:w="10440" w:type="dxa"/>
            <w:tcBorders>
              <w:top w:val="nil"/>
              <w:left w:val="nil"/>
              <w:bottom w:val="single" w:sz="8" w:space="0" w:color="000000"/>
              <w:right w:val="nil"/>
            </w:tcBorders>
          </w:tcPr>
          <w:p w14:paraId="3DE41DAE" w14:textId="2931AFAC" w:rsidR="00EB2EDA" w:rsidRPr="00E80417" w:rsidRDefault="005A6860" w:rsidP="006854E5">
            <w:pPr>
              <w:pStyle w:val="naisf"/>
              <w:spacing w:before="0" w:after="0"/>
              <w:ind w:firstLine="0"/>
              <w:rPr>
                <w:sz w:val="22"/>
                <w:szCs w:val="22"/>
              </w:rPr>
            </w:pPr>
            <w:r>
              <w:rPr>
                <w:sz w:val="22"/>
                <w:szCs w:val="22"/>
              </w:rPr>
              <w:t>2019</w:t>
            </w:r>
            <w:r w:rsidR="002A0A83" w:rsidRPr="00E80417">
              <w:rPr>
                <w:sz w:val="22"/>
                <w:szCs w:val="22"/>
              </w:rPr>
              <w:t>.</w:t>
            </w:r>
            <w:r w:rsidR="0081736E" w:rsidRPr="00E80417">
              <w:rPr>
                <w:sz w:val="22"/>
                <w:szCs w:val="22"/>
              </w:rPr>
              <w:t> </w:t>
            </w:r>
            <w:r w:rsidR="002A0A83" w:rsidRPr="00E80417">
              <w:rPr>
                <w:sz w:val="22"/>
                <w:szCs w:val="22"/>
              </w:rPr>
              <w:t xml:space="preserve">gada </w:t>
            </w:r>
            <w:r w:rsidR="00667411">
              <w:rPr>
                <w:sz w:val="22"/>
                <w:szCs w:val="22"/>
              </w:rPr>
              <w:t>11. janvāris</w:t>
            </w:r>
            <w:r w:rsidR="00252A5D" w:rsidRPr="00E80417">
              <w:rPr>
                <w:sz w:val="22"/>
                <w:szCs w:val="22"/>
              </w:rPr>
              <w:t xml:space="preserve"> – </w:t>
            </w:r>
            <w:r w:rsidR="004508ED" w:rsidRPr="00E80417">
              <w:rPr>
                <w:sz w:val="22"/>
                <w:szCs w:val="22"/>
              </w:rPr>
              <w:t>elektroniskā saskaņošana</w:t>
            </w:r>
            <w:r w:rsidR="00BB54D2">
              <w:rPr>
                <w:sz w:val="22"/>
                <w:szCs w:val="22"/>
              </w:rPr>
              <w:t>;</w:t>
            </w:r>
          </w:p>
          <w:p w14:paraId="6D8B9834" w14:textId="46DB1994" w:rsidR="00E87B45" w:rsidRPr="00E80417" w:rsidRDefault="00BB54D2" w:rsidP="006854E5">
            <w:pPr>
              <w:pStyle w:val="naisf"/>
              <w:spacing w:before="0" w:after="0"/>
              <w:ind w:firstLine="0"/>
              <w:rPr>
                <w:sz w:val="22"/>
                <w:szCs w:val="22"/>
              </w:rPr>
            </w:pPr>
            <w:r>
              <w:rPr>
                <w:sz w:val="22"/>
                <w:szCs w:val="22"/>
              </w:rPr>
              <w:t>2019. gada 28. februāris – elektroniskā saskaņošana.</w:t>
            </w:r>
          </w:p>
        </w:tc>
      </w:tr>
      <w:tr w:rsidR="00FC2EAA" w:rsidRPr="00E80417" w14:paraId="052116D6" w14:textId="77777777" w:rsidTr="00885D66">
        <w:trPr>
          <w:tblCellSpacing w:w="0" w:type="dxa"/>
        </w:trPr>
        <w:tc>
          <w:tcPr>
            <w:tcW w:w="2520" w:type="dxa"/>
            <w:vAlign w:val="center"/>
          </w:tcPr>
          <w:p w14:paraId="7E76455C" w14:textId="77777777" w:rsidR="00EB2EDA" w:rsidRPr="00E80417" w:rsidRDefault="00EB2EDA" w:rsidP="006854E5">
            <w:pPr>
              <w:pStyle w:val="naiskr"/>
              <w:spacing w:before="0" w:after="0"/>
              <w:rPr>
                <w:sz w:val="22"/>
                <w:szCs w:val="22"/>
              </w:rPr>
            </w:pPr>
            <w:r w:rsidRPr="00E80417">
              <w:rPr>
                <w:sz w:val="22"/>
                <w:szCs w:val="22"/>
              </w:rPr>
              <w:t>Saskaņošanas dalībnieki</w:t>
            </w:r>
          </w:p>
        </w:tc>
        <w:tc>
          <w:tcPr>
            <w:tcW w:w="10440" w:type="dxa"/>
            <w:vAlign w:val="center"/>
          </w:tcPr>
          <w:p w14:paraId="1A4FDEBF" w14:textId="67FC4378" w:rsidR="00EB2EDA" w:rsidRPr="00E80417" w:rsidRDefault="005A6860" w:rsidP="005A6860">
            <w:pPr>
              <w:pStyle w:val="naisf"/>
              <w:spacing w:before="0" w:after="0"/>
              <w:ind w:firstLine="0"/>
              <w:rPr>
                <w:sz w:val="22"/>
                <w:szCs w:val="22"/>
              </w:rPr>
            </w:pPr>
            <w:r>
              <w:rPr>
                <w:sz w:val="22"/>
                <w:szCs w:val="22"/>
              </w:rPr>
              <w:t>Finanšu ministrija, Valsts kanceleja</w:t>
            </w:r>
            <w:r w:rsidR="007A7777" w:rsidRPr="00E80417">
              <w:rPr>
                <w:sz w:val="22"/>
                <w:szCs w:val="22"/>
              </w:rPr>
              <w:t>.</w:t>
            </w:r>
          </w:p>
        </w:tc>
      </w:tr>
    </w:tbl>
    <w:p w14:paraId="6175D43A" w14:textId="77777777" w:rsidR="00EB2EDA" w:rsidRPr="00E80417" w:rsidRDefault="00EB2EDA" w:rsidP="006854E5">
      <w:pPr>
        <w:rPr>
          <w:sz w:val="22"/>
          <w:szCs w:val="22"/>
        </w:rPr>
      </w:pPr>
    </w:p>
    <w:tbl>
      <w:tblPr>
        <w:tblW w:w="12645" w:type="dxa"/>
        <w:tblCellSpacing w:w="0" w:type="dxa"/>
        <w:tblInd w:w="180" w:type="dxa"/>
        <w:tblCellMar>
          <w:left w:w="0" w:type="dxa"/>
          <w:right w:w="0" w:type="dxa"/>
        </w:tblCellMar>
        <w:tblLook w:val="0000" w:firstRow="0" w:lastRow="0" w:firstColumn="0" w:lastColumn="0" w:noHBand="0" w:noVBand="0"/>
      </w:tblPr>
      <w:tblGrid>
        <w:gridCol w:w="6624"/>
        <w:gridCol w:w="6021"/>
      </w:tblGrid>
      <w:tr w:rsidR="00086445" w:rsidRPr="00E80417" w14:paraId="36A33E91" w14:textId="77777777" w:rsidTr="00965D9D">
        <w:trPr>
          <w:tblCellSpacing w:w="0" w:type="dxa"/>
        </w:trPr>
        <w:tc>
          <w:tcPr>
            <w:tcW w:w="6624" w:type="dxa"/>
          </w:tcPr>
          <w:p w14:paraId="53A31106" w14:textId="77777777" w:rsidR="00EB2EDA" w:rsidRPr="00E80417" w:rsidRDefault="00EB2EDA" w:rsidP="006854E5">
            <w:pPr>
              <w:pStyle w:val="naiskr"/>
              <w:spacing w:before="0" w:after="0"/>
              <w:rPr>
                <w:sz w:val="22"/>
                <w:szCs w:val="22"/>
              </w:rPr>
            </w:pPr>
            <w:r w:rsidRPr="00E80417">
              <w:rPr>
                <w:sz w:val="22"/>
                <w:szCs w:val="22"/>
              </w:rPr>
              <w:t>Saskaņošanas dalībnieki izskatīja šādu ministriju (citu institūciju) iebildumus</w:t>
            </w:r>
          </w:p>
        </w:tc>
        <w:tc>
          <w:tcPr>
            <w:tcW w:w="6021" w:type="dxa"/>
          </w:tcPr>
          <w:p w14:paraId="31D0E9B9" w14:textId="14A877F1" w:rsidR="00EB2EDA" w:rsidRPr="00E80417" w:rsidRDefault="005A6860" w:rsidP="006854E5">
            <w:pPr>
              <w:jc w:val="both"/>
              <w:rPr>
                <w:sz w:val="22"/>
                <w:szCs w:val="22"/>
              </w:rPr>
            </w:pPr>
            <w:r>
              <w:rPr>
                <w:sz w:val="22"/>
                <w:szCs w:val="22"/>
              </w:rPr>
              <w:t>Valsts kanceleja</w:t>
            </w:r>
            <w:r w:rsidR="006854E5" w:rsidRPr="00E80417">
              <w:rPr>
                <w:sz w:val="22"/>
                <w:szCs w:val="22"/>
              </w:rPr>
              <w:t>.</w:t>
            </w:r>
          </w:p>
        </w:tc>
      </w:tr>
      <w:tr w:rsidR="00086445" w:rsidRPr="00E80417" w14:paraId="0E8864FA" w14:textId="77777777" w:rsidTr="00965D9D">
        <w:trPr>
          <w:trHeight w:val="1052"/>
          <w:tblCellSpacing w:w="0" w:type="dxa"/>
        </w:trPr>
        <w:tc>
          <w:tcPr>
            <w:tcW w:w="6624" w:type="dxa"/>
            <w:vAlign w:val="center"/>
          </w:tcPr>
          <w:p w14:paraId="2FA40AC8" w14:textId="77777777" w:rsidR="00EB2EDA" w:rsidRPr="00E80417" w:rsidRDefault="00EB2EDA" w:rsidP="006854E5">
            <w:pPr>
              <w:pStyle w:val="naiskr"/>
              <w:spacing w:before="0" w:after="0"/>
              <w:rPr>
                <w:sz w:val="22"/>
                <w:szCs w:val="22"/>
              </w:rPr>
            </w:pPr>
            <w:r w:rsidRPr="00E80417">
              <w:rPr>
                <w:sz w:val="22"/>
                <w:szCs w:val="22"/>
              </w:rPr>
              <w:t>Ministrijas (citas institūcijas), kuras nav ieradušās uz sanāksmi vai kuras nav atbildējušas uz uzaicinājumu piedalīties elektroniskajā saskaņošanā</w:t>
            </w:r>
          </w:p>
          <w:p w14:paraId="4BF9F57A" w14:textId="77777777" w:rsidR="004508ED" w:rsidRPr="00E80417" w:rsidRDefault="004508ED" w:rsidP="006854E5">
            <w:pPr>
              <w:pStyle w:val="naiskr"/>
              <w:spacing w:before="0" w:after="0"/>
              <w:rPr>
                <w:sz w:val="22"/>
                <w:szCs w:val="22"/>
              </w:rPr>
            </w:pPr>
          </w:p>
        </w:tc>
        <w:tc>
          <w:tcPr>
            <w:tcW w:w="6021" w:type="dxa"/>
            <w:vAlign w:val="center"/>
          </w:tcPr>
          <w:p w14:paraId="4F4B1599" w14:textId="77777777" w:rsidR="00EB2EDA" w:rsidRPr="00E80417" w:rsidRDefault="00EB2EDA" w:rsidP="006854E5">
            <w:pPr>
              <w:pStyle w:val="naiskr"/>
              <w:spacing w:before="0" w:after="0"/>
              <w:rPr>
                <w:sz w:val="22"/>
                <w:szCs w:val="22"/>
              </w:rPr>
            </w:pPr>
          </w:p>
        </w:tc>
      </w:tr>
    </w:tbl>
    <w:p w14:paraId="21968EDB" w14:textId="77777777" w:rsidR="00EB2EDA" w:rsidRPr="00E80417" w:rsidRDefault="00EB2EDA" w:rsidP="006854E5">
      <w:pPr>
        <w:pStyle w:val="naisnod"/>
        <w:spacing w:before="0" w:after="0"/>
        <w:rPr>
          <w:sz w:val="22"/>
          <w:szCs w:val="22"/>
        </w:rPr>
      </w:pPr>
      <w:r w:rsidRPr="00E80417">
        <w:rPr>
          <w:sz w:val="22"/>
          <w:szCs w:val="22"/>
        </w:rPr>
        <w:t>II. Jautājumi, par kuriem saskaņošanā vienošanās ir panākta</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352"/>
        <w:gridCol w:w="4110"/>
        <w:gridCol w:w="2695"/>
        <w:gridCol w:w="4376"/>
      </w:tblGrid>
      <w:tr w:rsidR="00086445" w:rsidRPr="00A9326E" w14:paraId="2ACA45A6" w14:textId="77777777" w:rsidTr="00A9326E">
        <w:tc>
          <w:tcPr>
            <w:tcW w:w="219" w:type="pct"/>
          </w:tcPr>
          <w:p w14:paraId="27F33EB4" w14:textId="77777777" w:rsidR="00EB2EDA" w:rsidRPr="00A9326E" w:rsidRDefault="00EB2EDA" w:rsidP="006854E5">
            <w:pPr>
              <w:jc w:val="center"/>
              <w:rPr>
                <w:sz w:val="22"/>
                <w:szCs w:val="22"/>
              </w:rPr>
            </w:pPr>
            <w:r w:rsidRPr="00A9326E">
              <w:rPr>
                <w:sz w:val="22"/>
                <w:szCs w:val="22"/>
              </w:rPr>
              <w:t>Nr.</w:t>
            </w:r>
          </w:p>
          <w:p w14:paraId="39B93C62" w14:textId="77777777" w:rsidR="00EB2EDA" w:rsidRPr="00A9326E" w:rsidRDefault="00EB2EDA" w:rsidP="006854E5">
            <w:pPr>
              <w:jc w:val="center"/>
              <w:rPr>
                <w:sz w:val="22"/>
                <w:szCs w:val="22"/>
              </w:rPr>
            </w:pPr>
            <w:r w:rsidRPr="00A9326E">
              <w:rPr>
                <w:sz w:val="22"/>
                <w:szCs w:val="22"/>
              </w:rPr>
              <w:t>p.k.</w:t>
            </w:r>
          </w:p>
        </w:tc>
        <w:tc>
          <w:tcPr>
            <w:tcW w:w="831" w:type="pct"/>
          </w:tcPr>
          <w:p w14:paraId="124E4FE6" w14:textId="77777777" w:rsidR="00EB2EDA" w:rsidRPr="00A9326E" w:rsidRDefault="00EB2EDA" w:rsidP="006854E5">
            <w:pPr>
              <w:jc w:val="center"/>
              <w:rPr>
                <w:sz w:val="22"/>
                <w:szCs w:val="22"/>
              </w:rPr>
            </w:pPr>
            <w:r w:rsidRPr="00A9326E">
              <w:rPr>
                <w:sz w:val="22"/>
                <w:szCs w:val="22"/>
              </w:rPr>
              <w:t>Saskaņošanai nosūtītā projekta redakcija (konkrēta punkta (panta) redakcija)</w:t>
            </w:r>
          </w:p>
        </w:tc>
        <w:tc>
          <w:tcPr>
            <w:tcW w:w="1452" w:type="pct"/>
          </w:tcPr>
          <w:p w14:paraId="615BEB4B" w14:textId="77777777" w:rsidR="00EB2EDA" w:rsidRPr="00A9326E" w:rsidRDefault="00EB2EDA" w:rsidP="006854E5">
            <w:pPr>
              <w:jc w:val="both"/>
              <w:rPr>
                <w:sz w:val="22"/>
                <w:szCs w:val="22"/>
              </w:rPr>
            </w:pPr>
            <w:r w:rsidRPr="00A9326E">
              <w:rPr>
                <w:sz w:val="22"/>
                <w:szCs w:val="22"/>
              </w:rPr>
              <w:t>Atzinumā norādītais ministrijas (citas institūcijas) iebildums, kā arī saskaņošanā papildus izteiktais iebildums par projekta konkrēto punktu (pantu)</w:t>
            </w:r>
          </w:p>
        </w:tc>
        <w:tc>
          <w:tcPr>
            <w:tcW w:w="952" w:type="pct"/>
          </w:tcPr>
          <w:p w14:paraId="1E5E73B1" w14:textId="77777777" w:rsidR="00EB2EDA" w:rsidRPr="00A9326E" w:rsidRDefault="00EB2EDA" w:rsidP="006854E5">
            <w:pPr>
              <w:jc w:val="both"/>
              <w:rPr>
                <w:sz w:val="22"/>
                <w:szCs w:val="22"/>
              </w:rPr>
            </w:pPr>
            <w:r w:rsidRPr="00A9326E">
              <w:rPr>
                <w:sz w:val="22"/>
                <w:szCs w:val="22"/>
              </w:rPr>
              <w:t>Atbildīgās ministrijas norāde par to, ka iebildums ir ņemts vērā, vai informācija par saskaņošanā panākto alternatīvo risinājumu</w:t>
            </w:r>
          </w:p>
        </w:tc>
        <w:tc>
          <w:tcPr>
            <w:tcW w:w="1546" w:type="pct"/>
          </w:tcPr>
          <w:p w14:paraId="2888FFCE" w14:textId="77777777" w:rsidR="00EB2EDA" w:rsidRPr="00A9326E" w:rsidRDefault="00EB2EDA" w:rsidP="006854E5">
            <w:pPr>
              <w:jc w:val="center"/>
              <w:rPr>
                <w:sz w:val="22"/>
                <w:szCs w:val="22"/>
              </w:rPr>
            </w:pPr>
            <w:r w:rsidRPr="00A9326E">
              <w:rPr>
                <w:sz w:val="22"/>
                <w:szCs w:val="22"/>
              </w:rPr>
              <w:t>Projekta attiecīgā punkta (panta) galīgā redakcija</w:t>
            </w:r>
          </w:p>
        </w:tc>
      </w:tr>
      <w:tr w:rsidR="00086445" w:rsidRPr="00A9326E" w14:paraId="2B27F4D1" w14:textId="77777777" w:rsidTr="00A9326E">
        <w:tc>
          <w:tcPr>
            <w:tcW w:w="219" w:type="pct"/>
          </w:tcPr>
          <w:p w14:paraId="2CDEB38B" w14:textId="77777777" w:rsidR="00B71F67" w:rsidRPr="00A9326E" w:rsidRDefault="00651D54" w:rsidP="006854E5">
            <w:pPr>
              <w:rPr>
                <w:sz w:val="22"/>
                <w:szCs w:val="22"/>
              </w:rPr>
            </w:pPr>
            <w:r w:rsidRPr="00A9326E">
              <w:rPr>
                <w:sz w:val="22"/>
                <w:szCs w:val="22"/>
              </w:rPr>
              <w:t>1.</w:t>
            </w:r>
          </w:p>
          <w:p w14:paraId="769AA4D9" w14:textId="77777777" w:rsidR="00B71F67" w:rsidRPr="00A9326E" w:rsidRDefault="00B71F67" w:rsidP="006854E5">
            <w:pPr>
              <w:rPr>
                <w:sz w:val="22"/>
                <w:szCs w:val="22"/>
              </w:rPr>
            </w:pPr>
          </w:p>
        </w:tc>
        <w:tc>
          <w:tcPr>
            <w:tcW w:w="831" w:type="pct"/>
          </w:tcPr>
          <w:p w14:paraId="3F08A780" w14:textId="77777777" w:rsidR="00667411" w:rsidRPr="00A9326E" w:rsidRDefault="00667411" w:rsidP="00667411">
            <w:pPr>
              <w:tabs>
                <w:tab w:val="left" w:pos="3544"/>
              </w:tabs>
              <w:rPr>
                <w:sz w:val="22"/>
                <w:szCs w:val="22"/>
              </w:rPr>
            </w:pPr>
            <w:r w:rsidRPr="00A9326E">
              <w:rPr>
                <w:sz w:val="22"/>
                <w:szCs w:val="22"/>
              </w:rPr>
              <w:t xml:space="preserve">Informatīvais ziņojums </w:t>
            </w:r>
          </w:p>
          <w:p w14:paraId="4A0EAEB1" w14:textId="0A25B22B" w:rsidR="00667411" w:rsidRPr="00A9326E" w:rsidRDefault="00667411" w:rsidP="00667411">
            <w:pPr>
              <w:tabs>
                <w:tab w:val="left" w:pos="3544"/>
              </w:tabs>
              <w:rPr>
                <w:sz w:val="22"/>
                <w:szCs w:val="22"/>
              </w:rPr>
            </w:pPr>
            <w:r w:rsidRPr="00A9326E">
              <w:rPr>
                <w:sz w:val="22"/>
                <w:szCs w:val="22"/>
              </w:rPr>
              <w:t xml:space="preserve">par </w:t>
            </w:r>
            <w:r w:rsidRPr="00A9326E">
              <w:rPr>
                <w:rFonts w:eastAsia="Calibri"/>
                <w:sz w:val="22"/>
                <w:szCs w:val="22"/>
              </w:rPr>
              <w:t xml:space="preserve">Valsts pārvaldes reformu plāna 2020 sadaļas “Pasākumi mērķu sasniegšanai” 4.4. apakšpunktā </w:t>
            </w:r>
            <w:r w:rsidRPr="00A9326E">
              <w:rPr>
                <w:sz w:val="22"/>
                <w:szCs w:val="22"/>
              </w:rPr>
              <w:t xml:space="preserve">dotā </w:t>
            </w:r>
            <w:r w:rsidRPr="00A9326E">
              <w:rPr>
                <w:sz w:val="22"/>
                <w:szCs w:val="22"/>
              </w:rPr>
              <w:lastRenderedPageBreak/>
              <w:t>uzdevuma izpildi (turpmāk – Projekts)</w:t>
            </w:r>
          </w:p>
          <w:p w14:paraId="2D30C96A" w14:textId="64EDDC08" w:rsidR="004508ED" w:rsidRPr="00A9326E" w:rsidRDefault="004508ED" w:rsidP="006854E5">
            <w:pPr>
              <w:rPr>
                <w:sz w:val="22"/>
                <w:szCs w:val="22"/>
              </w:rPr>
            </w:pPr>
          </w:p>
        </w:tc>
        <w:tc>
          <w:tcPr>
            <w:tcW w:w="1452" w:type="pct"/>
          </w:tcPr>
          <w:p w14:paraId="6664FEC6" w14:textId="4B8ED296" w:rsidR="005A6860" w:rsidRPr="00A9326E" w:rsidRDefault="005A6860" w:rsidP="005A6860">
            <w:pPr>
              <w:widowControl w:val="0"/>
              <w:rPr>
                <w:b/>
                <w:sz w:val="22"/>
                <w:szCs w:val="22"/>
              </w:rPr>
            </w:pPr>
            <w:r w:rsidRPr="00A9326E">
              <w:rPr>
                <w:b/>
                <w:sz w:val="22"/>
                <w:szCs w:val="22"/>
              </w:rPr>
              <w:lastRenderedPageBreak/>
              <w:t>Valsts kanceleja</w:t>
            </w:r>
          </w:p>
          <w:p w14:paraId="795F2A66" w14:textId="68D71A17" w:rsidR="00B71F67" w:rsidRPr="00A9326E" w:rsidRDefault="005A6860" w:rsidP="005A6860">
            <w:pPr>
              <w:widowControl w:val="0"/>
              <w:rPr>
                <w:i/>
                <w:sz w:val="22"/>
                <w:szCs w:val="22"/>
              </w:rPr>
            </w:pPr>
            <w:r w:rsidRPr="00A9326E">
              <w:rPr>
                <w:sz w:val="22"/>
                <w:szCs w:val="22"/>
              </w:rPr>
              <w:t xml:space="preserve">1. Izskatot informatīvajā ziņojumā norādīto, var secināt, ka tiek veiksmīgi uzlabota Elektronisko iepirkumu sistēmas (turpmāk – EIS) darbība, tajā skaitā papildinot ar dinamiskā iepirkuma sistēmas principa </w:t>
            </w:r>
            <w:r w:rsidRPr="00A9326E">
              <w:rPr>
                <w:sz w:val="22"/>
                <w:szCs w:val="22"/>
              </w:rPr>
              <w:lastRenderedPageBreak/>
              <w:t xml:space="preserve">izmantošanu valsts pārvaldes iepirkumos. Taču informatīvajā ziņojumā netiek norādīts, kādi būs turpmākie darbības soļi, lai virzītos uz iepirkumu funkciju konsolidāciju un centralizāciju resoros, un kāds varētu būt sadarbības modelis starp dažādiem resoriem. </w:t>
            </w:r>
            <w:r w:rsidRPr="00A9326E">
              <w:rPr>
                <w:sz w:val="22"/>
                <w:szCs w:val="22"/>
              </w:rPr>
              <w:br/>
              <w:t>Lūdzam papildināt informatīvo ziņojumu ar informāciju par iepirkumu funkciju konsolidāciju un centralizāciju resoros, un kāds varētu būt sadarbības modelis starp dažādiem resoriem.</w:t>
            </w:r>
            <w:r w:rsidRPr="00A9326E">
              <w:rPr>
                <w:sz w:val="22"/>
                <w:szCs w:val="22"/>
              </w:rPr>
              <w:br/>
            </w:r>
          </w:p>
        </w:tc>
        <w:tc>
          <w:tcPr>
            <w:tcW w:w="952" w:type="pct"/>
          </w:tcPr>
          <w:p w14:paraId="52EA8231" w14:textId="77777777" w:rsidR="00B71F67" w:rsidRPr="00A9326E" w:rsidRDefault="006328D7" w:rsidP="006854E5">
            <w:pPr>
              <w:rPr>
                <w:b/>
                <w:sz w:val="22"/>
                <w:szCs w:val="22"/>
              </w:rPr>
            </w:pPr>
            <w:r w:rsidRPr="00A9326E">
              <w:rPr>
                <w:b/>
                <w:sz w:val="22"/>
                <w:szCs w:val="22"/>
              </w:rPr>
              <w:lastRenderedPageBreak/>
              <w:t>Ņemts vērā</w:t>
            </w:r>
          </w:p>
          <w:p w14:paraId="09916473" w14:textId="031FF082" w:rsidR="004508ED" w:rsidRPr="00A9326E" w:rsidRDefault="004508ED" w:rsidP="006854E5">
            <w:pPr>
              <w:rPr>
                <w:sz w:val="22"/>
                <w:szCs w:val="22"/>
              </w:rPr>
            </w:pPr>
            <w:r w:rsidRPr="00A9326E">
              <w:rPr>
                <w:sz w:val="22"/>
                <w:szCs w:val="22"/>
              </w:rPr>
              <w:t xml:space="preserve">Projekts </w:t>
            </w:r>
            <w:r w:rsidR="00DA473B" w:rsidRPr="00A9326E">
              <w:rPr>
                <w:sz w:val="22"/>
                <w:szCs w:val="22"/>
              </w:rPr>
              <w:t>papildināts.</w:t>
            </w:r>
          </w:p>
          <w:p w14:paraId="29C750AB" w14:textId="77777777" w:rsidR="009A55FF" w:rsidRPr="00A9326E" w:rsidRDefault="009A55FF" w:rsidP="006854E5">
            <w:pPr>
              <w:rPr>
                <w:sz w:val="22"/>
                <w:szCs w:val="22"/>
              </w:rPr>
            </w:pPr>
          </w:p>
        </w:tc>
        <w:tc>
          <w:tcPr>
            <w:tcW w:w="1546" w:type="pct"/>
          </w:tcPr>
          <w:p w14:paraId="5F1EE023" w14:textId="518EBB32" w:rsidR="00667411" w:rsidRPr="00A9326E" w:rsidRDefault="00667411" w:rsidP="00667411">
            <w:pPr>
              <w:jc w:val="both"/>
              <w:rPr>
                <w:color w:val="000000"/>
                <w:sz w:val="22"/>
                <w:szCs w:val="22"/>
                <w:lang w:eastAsia="en-US"/>
              </w:rPr>
            </w:pPr>
            <w:r w:rsidRPr="00A9326E">
              <w:rPr>
                <w:color w:val="000000"/>
                <w:sz w:val="22"/>
                <w:szCs w:val="22"/>
                <w:lang w:eastAsia="en-US"/>
              </w:rPr>
              <w:t>Projekts:</w:t>
            </w:r>
          </w:p>
          <w:p w14:paraId="7E7281B6" w14:textId="77777777" w:rsidR="00DF0535" w:rsidRPr="00A9326E" w:rsidRDefault="00DF0535" w:rsidP="00DF0535">
            <w:pPr>
              <w:jc w:val="both"/>
              <w:rPr>
                <w:color w:val="000000"/>
                <w:sz w:val="22"/>
                <w:szCs w:val="22"/>
                <w:lang w:eastAsia="en-US"/>
              </w:rPr>
            </w:pPr>
            <w:r w:rsidRPr="00A9326E">
              <w:rPr>
                <w:color w:val="000000"/>
                <w:sz w:val="22"/>
                <w:szCs w:val="22"/>
                <w:lang w:eastAsia="en-US"/>
              </w:rPr>
              <w:t xml:space="preserve">Lai izvērtētu iepirkumu centralizācijas iespējas, 2018. gada 22. novembrī Valsts sekretāru sanāksmē tika izskatīta Finanšu ministrijas sagatavotā prezentācija “Resoru iepirkumu portfelis 2017”, kurā cita starpā, pamatojoties </w:t>
            </w:r>
            <w:r w:rsidRPr="00A9326E">
              <w:rPr>
                <w:color w:val="000000"/>
                <w:sz w:val="22"/>
                <w:szCs w:val="22"/>
                <w:lang w:eastAsia="en-US"/>
              </w:rPr>
              <w:lastRenderedPageBreak/>
              <w:t>uz Iepirkumu uzraudzības biroja sniegto informāciju un analīzi, tika sniegti priekšlikumi iepirkumu funkciju konsolidācijai un centralizācijai. Ņemot vērā šos priekšlikumus, 2018. gada 13. decembra Valsts sekretāru sanāksmes protokola Nr.49 36.§ “Valsts pārvaldes cilvēkresursu politikas aktualitātes un atbalsta funkciju centralizācija” 7.punktā, paredzot konkrētu atbildības sadalījumu, ir noteikta šādu iepirkumu centralizēšana un atbildīgās institūcijas:</w:t>
            </w:r>
          </w:p>
          <w:p w14:paraId="09E71C5B" w14:textId="77777777" w:rsidR="00DF0535" w:rsidRPr="00A9326E" w:rsidRDefault="00DF0535" w:rsidP="00DF0535">
            <w:pPr>
              <w:jc w:val="both"/>
              <w:rPr>
                <w:color w:val="000000"/>
                <w:sz w:val="22"/>
                <w:szCs w:val="22"/>
                <w:lang w:eastAsia="en-US"/>
              </w:rPr>
            </w:pPr>
            <w:r w:rsidRPr="00A9326E">
              <w:rPr>
                <w:color w:val="000000"/>
                <w:sz w:val="22"/>
                <w:szCs w:val="22"/>
                <w:lang w:eastAsia="en-US"/>
              </w:rPr>
              <w:t>-</w:t>
            </w:r>
            <w:r w:rsidRPr="00A9326E">
              <w:rPr>
                <w:color w:val="000000"/>
                <w:sz w:val="22"/>
                <w:szCs w:val="22"/>
                <w:lang w:eastAsia="en-US"/>
              </w:rPr>
              <w:tab/>
              <w:t>degvielas (atbildīgās institūcijas: Aizsardzības ministrija, Valsts aizsardzības militāro objektu un iepirkumu centrs);</w:t>
            </w:r>
          </w:p>
          <w:p w14:paraId="02377EA4" w14:textId="77777777" w:rsidR="00DF0535" w:rsidRPr="00A9326E" w:rsidRDefault="00DF0535" w:rsidP="00DF0535">
            <w:pPr>
              <w:jc w:val="both"/>
              <w:rPr>
                <w:color w:val="000000"/>
                <w:sz w:val="22"/>
                <w:szCs w:val="22"/>
                <w:lang w:eastAsia="en-US"/>
              </w:rPr>
            </w:pPr>
            <w:r w:rsidRPr="00A9326E">
              <w:rPr>
                <w:color w:val="000000"/>
                <w:sz w:val="22"/>
                <w:szCs w:val="22"/>
                <w:lang w:eastAsia="en-US"/>
              </w:rPr>
              <w:t>-</w:t>
            </w:r>
            <w:r w:rsidRPr="00A9326E">
              <w:rPr>
                <w:color w:val="000000"/>
                <w:sz w:val="22"/>
                <w:szCs w:val="22"/>
                <w:lang w:eastAsia="en-US"/>
              </w:rPr>
              <w:tab/>
              <w:t>laboratorijas materiālu, reaģentu un ķimikāliju (atbildīgās institūcijas: Izglītības un zinātnes ministrija, Veselības ministrija, Zemkopības ministrija, augstskolas, zinātniskie institūti);</w:t>
            </w:r>
          </w:p>
          <w:p w14:paraId="26021A2B" w14:textId="77777777" w:rsidR="00DF0535" w:rsidRPr="00A9326E" w:rsidRDefault="00DF0535" w:rsidP="00DF0535">
            <w:pPr>
              <w:jc w:val="both"/>
              <w:rPr>
                <w:color w:val="000000"/>
                <w:sz w:val="22"/>
                <w:szCs w:val="22"/>
                <w:lang w:eastAsia="en-US"/>
              </w:rPr>
            </w:pPr>
            <w:r w:rsidRPr="00A9326E">
              <w:rPr>
                <w:color w:val="000000"/>
                <w:sz w:val="22"/>
                <w:szCs w:val="22"/>
                <w:lang w:eastAsia="en-US"/>
              </w:rPr>
              <w:t>-</w:t>
            </w:r>
            <w:r w:rsidRPr="00A9326E">
              <w:rPr>
                <w:color w:val="000000"/>
                <w:sz w:val="22"/>
                <w:szCs w:val="22"/>
                <w:lang w:eastAsia="en-US"/>
              </w:rPr>
              <w:tab/>
              <w:t>elektroenerģijas (atbildīgās institūcijas: Ekonomikas ministrija, Iepirkumu uzraudzības birojs, Valsts reģionālās attīstības aģentūra).</w:t>
            </w:r>
          </w:p>
          <w:p w14:paraId="13080070" w14:textId="77777777" w:rsidR="004508ED" w:rsidRPr="00A9326E" w:rsidRDefault="00DF0535" w:rsidP="007941FB">
            <w:pPr>
              <w:rPr>
                <w:sz w:val="22"/>
                <w:szCs w:val="22"/>
              </w:rPr>
            </w:pPr>
            <w:r w:rsidRPr="00A9326E">
              <w:rPr>
                <w:color w:val="000000"/>
                <w:sz w:val="22"/>
                <w:szCs w:val="22"/>
                <w:lang w:eastAsia="en-US"/>
              </w:rPr>
              <w:t xml:space="preserve">Minētās sanāksmes laikā </w:t>
            </w:r>
            <w:r w:rsidR="007941FB" w:rsidRPr="00A9326E">
              <w:rPr>
                <w:color w:val="000000"/>
                <w:sz w:val="22"/>
                <w:szCs w:val="22"/>
                <w:lang w:eastAsia="en-US"/>
              </w:rPr>
              <w:t>M</w:t>
            </w:r>
            <w:r w:rsidRPr="00A9326E">
              <w:rPr>
                <w:color w:val="000000"/>
                <w:sz w:val="22"/>
                <w:szCs w:val="22"/>
                <w:lang w:eastAsia="en-US"/>
              </w:rPr>
              <w:t>inistrijām tika uzdots izvērtēt iespēju 2019. gadā iesaistīties iepriekšminētajos centralizētajos iepirkumos, kuros viens resors ir iepirkuma veicējs, bet citi resori pievienojas iepirkumam, ja šāds i</w:t>
            </w:r>
            <w:r w:rsidR="008E34AF" w:rsidRPr="00A9326E">
              <w:rPr>
                <w:color w:val="000000"/>
                <w:sz w:val="22"/>
                <w:szCs w:val="22"/>
                <w:lang w:eastAsia="en-US"/>
              </w:rPr>
              <w:t>epirkums ir viņiem nepieciešams, t</w:t>
            </w:r>
            <w:r w:rsidR="008E34AF" w:rsidRPr="00A9326E">
              <w:rPr>
                <w:sz w:val="22"/>
                <w:szCs w:val="22"/>
              </w:rPr>
              <w:t>ādejādi veicinot sadarbību un resursu ekonomiju.</w:t>
            </w:r>
          </w:p>
          <w:p w14:paraId="1C8B682B" w14:textId="70006F7F" w:rsidR="007941FB" w:rsidRPr="00A9326E" w:rsidRDefault="007941FB" w:rsidP="007941FB">
            <w:pPr>
              <w:rPr>
                <w:sz w:val="22"/>
                <w:szCs w:val="22"/>
              </w:rPr>
            </w:pPr>
          </w:p>
        </w:tc>
      </w:tr>
      <w:tr w:rsidR="00086445" w:rsidRPr="00A9326E" w14:paraId="7CF5548A" w14:textId="77777777" w:rsidTr="00A9326E">
        <w:tc>
          <w:tcPr>
            <w:tcW w:w="219" w:type="pct"/>
          </w:tcPr>
          <w:p w14:paraId="4FF06C9D" w14:textId="0C13820F" w:rsidR="00CC3C71" w:rsidRPr="00A9326E" w:rsidRDefault="00C158AC" w:rsidP="006854E5">
            <w:pPr>
              <w:jc w:val="center"/>
              <w:rPr>
                <w:sz w:val="22"/>
                <w:szCs w:val="22"/>
              </w:rPr>
            </w:pPr>
            <w:r w:rsidRPr="00A9326E">
              <w:rPr>
                <w:sz w:val="22"/>
                <w:szCs w:val="22"/>
              </w:rPr>
              <w:lastRenderedPageBreak/>
              <w:t>2.</w:t>
            </w:r>
          </w:p>
        </w:tc>
        <w:tc>
          <w:tcPr>
            <w:tcW w:w="831" w:type="pct"/>
          </w:tcPr>
          <w:p w14:paraId="41876442" w14:textId="48FE2C95" w:rsidR="00CC3C71" w:rsidRPr="00A9326E" w:rsidRDefault="00DA473B" w:rsidP="006854E5">
            <w:pPr>
              <w:tabs>
                <w:tab w:val="left" w:pos="5638"/>
              </w:tabs>
              <w:jc w:val="both"/>
              <w:rPr>
                <w:sz w:val="22"/>
                <w:szCs w:val="22"/>
              </w:rPr>
            </w:pPr>
            <w:r w:rsidRPr="00A9326E">
              <w:rPr>
                <w:sz w:val="22"/>
                <w:szCs w:val="22"/>
              </w:rPr>
              <w:t>Projekts.</w:t>
            </w:r>
          </w:p>
        </w:tc>
        <w:tc>
          <w:tcPr>
            <w:tcW w:w="1452" w:type="pct"/>
          </w:tcPr>
          <w:p w14:paraId="5572295E" w14:textId="53755AF9" w:rsidR="007F539C" w:rsidRPr="00A9326E" w:rsidRDefault="005A6860" w:rsidP="00667411">
            <w:pPr>
              <w:rPr>
                <w:b/>
                <w:sz w:val="22"/>
                <w:szCs w:val="22"/>
              </w:rPr>
            </w:pPr>
            <w:r w:rsidRPr="00A9326E">
              <w:rPr>
                <w:b/>
                <w:sz w:val="22"/>
                <w:szCs w:val="22"/>
              </w:rPr>
              <w:t>Valsts kanceleja</w:t>
            </w:r>
          </w:p>
          <w:p w14:paraId="43725192" w14:textId="6CD98087" w:rsidR="00667411" w:rsidRPr="00A9326E" w:rsidRDefault="005A6860" w:rsidP="00667411">
            <w:pPr>
              <w:widowControl w:val="0"/>
              <w:jc w:val="both"/>
              <w:rPr>
                <w:rFonts w:eastAsia="Calibri"/>
                <w:sz w:val="22"/>
                <w:szCs w:val="22"/>
              </w:rPr>
            </w:pPr>
            <w:r w:rsidRPr="00A9326E">
              <w:rPr>
                <w:rFonts w:eastAsia="Calibri"/>
                <w:sz w:val="22"/>
                <w:szCs w:val="22"/>
              </w:rPr>
              <w:t>2. Informatīvajā ziņojumā tiek norādīts, ka ir veikta ministriju aptauja par iespējām paplašināt preču un pakalpojumu centralizēto iegādi EIS, taču netiek sniegts pārskats par konstatēto situāciju un turpmāko rīcību, kas veicinātu sadarbību starp viena resora iestādēm, gan starp dažādu resoru iestādēm.</w:t>
            </w:r>
            <w:r w:rsidR="00667411" w:rsidRPr="00A9326E">
              <w:rPr>
                <w:rFonts w:eastAsia="Calibri"/>
                <w:sz w:val="22"/>
                <w:szCs w:val="22"/>
              </w:rPr>
              <w:t xml:space="preserve"> </w:t>
            </w:r>
            <w:r w:rsidRPr="00A9326E">
              <w:rPr>
                <w:rFonts w:eastAsia="Calibri"/>
                <w:sz w:val="22"/>
                <w:szCs w:val="22"/>
              </w:rPr>
              <w:t xml:space="preserve">Lūdzam iekļaut </w:t>
            </w:r>
            <w:r w:rsidRPr="00A9326E">
              <w:rPr>
                <w:rFonts w:eastAsia="Calibri"/>
                <w:sz w:val="22"/>
                <w:szCs w:val="22"/>
              </w:rPr>
              <w:lastRenderedPageBreak/>
              <w:t>informatīvajā ziņojumā anketēšanas rezultātus, kā arī sniegt komentāru par saņemtajām atbildēm.</w:t>
            </w:r>
          </w:p>
          <w:p w14:paraId="24BCE183" w14:textId="74542E40" w:rsidR="008540E2" w:rsidRPr="00A9326E" w:rsidRDefault="005A6860" w:rsidP="005A6860">
            <w:pPr>
              <w:widowControl w:val="0"/>
              <w:ind w:firstLine="709"/>
              <w:jc w:val="both"/>
              <w:rPr>
                <w:b/>
                <w:sz w:val="22"/>
                <w:szCs w:val="22"/>
                <w:lang w:bidi="lo-LA"/>
              </w:rPr>
            </w:pPr>
            <w:r w:rsidRPr="00A9326E">
              <w:rPr>
                <w:rFonts w:eastAsia="Calibri"/>
                <w:sz w:val="22"/>
                <w:szCs w:val="22"/>
              </w:rPr>
              <w:t xml:space="preserve">Vēršam uzmanību uz 2018. gada 13. decembrī Valsts sekretāru sanāksmes protokola Nr. 49 36.§ “Valsts pārvaldes cilvēkresursu politikas aktualitātes un atbalsta funkciju centralizācija” 7. un 8. punktā norādīto. Proti, sanāksmes laikā tika panākta vienošanās par sadarbību atsevišķu iepirkumu rīkošanā, kur viens resors ir iepirkuma veicējs, bet citi resori pievienojas iepirkumam, ja šāds iepirkums ir viņiem nepieciešams. Tādējādi tiek veicināta sadarbība un, kas nav mazsvarīgi, arī līdzekļu ekonomija. </w:t>
            </w:r>
            <w:r w:rsidRPr="00A9326E">
              <w:rPr>
                <w:rFonts w:eastAsia="Calibri"/>
                <w:sz w:val="22"/>
                <w:szCs w:val="22"/>
              </w:rPr>
              <w:br/>
            </w:r>
          </w:p>
        </w:tc>
        <w:tc>
          <w:tcPr>
            <w:tcW w:w="952" w:type="pct"/>
          </w:tcPr>
          <w:p w14:paraId="7D242EC2" w14:textId="77777777" w:rsidR="00465BE5" w:rsidRPr="00A9326E" w:rsidRDefault="006328D7" w:rsidP="006854E5">
            <w:pPr>
              <w:jc w:val="both"/>
              <w:rPr>
                <w:b/>
                <w:sz w:val="22"/>
                <w:szCs w:val="22"/>
              </w:rPr>
            </w:pPr>
            <w:r w:rsidRPr="00A9326E">
              <w:rPr>
                <w:b/>
                <w:sz w:val="22"/>
                <w:szCs w:val="22"/>
              </w:rPr>
              <w:lastRenderedPageBreak/>
              <w:t>Ņemts vērā</w:t>
            </w:r>
          </w:p>
          <w:p w14:paraId="6145DBB3" w14:textId="532B8E47" w:rsidR="00DF0535" w:rsidRPr="00A9326E" w:rsidRDefault="00DF0535" w:rsidP="00DF0535">
            <w:pPr>
              <w:jc w:val="both"/>
              <w:rPr>
                <w:sz w:val="22"/>
                <w:szCs w:val="22"/>
              </w:rPr>
            </w:pPr>
            <w:r w:rsidRPr="00A9326E">
              <w:rPr>
                <w:sz w:val="22"/>
                <w:szCs w:val="22"/>
              </w:rPr>
              <w:t>Projekts p</w:t>
            </w:r>
            <w:r w:rsidR="00DA473B" w:rsidRPr="00A9326E">
              <w:rPr>
                <w:sz w:val="22"/>
                <w:szCs w:val="22"/>
              </w:rPr>
              <w:t>apildināts</w:t>
            </w:r>
            <w:r w:rsidRPr="00A9326E">
              <w:rPr>
                <w:sz w:val="22"/>
                <w:szCs w:val="22"/>
              </w:rPr>
              <w:t>.</w:t>
            </w:r>
          </w:p>
          <w:p w14:paraId="3F5DB543" w14:textId="60D12AD9" w:rsidR="00DF0535" w:rsidRPr="00A9326E" w:rsidRDefault="00DF0535" w:rsidP="00DF0535">
            <w:pPr>
              <w:jc w:val="both"/>
              <w:rPr>
                <w:sz w:val="22"/>
                <w:szCs w:val="22"/>
              </w:rPr>
            </w:pPr>
            <w:r w:rsidRPr="00A9326E">
              <w:rPr>
                <w:sz w:val="22"/>
                <w:szCs w:val="22"/>
              </w:rPr>
              <w:t>Ministriju aptauja vei</w:t>
            </w:r>
            <w:r w:rsidR="00102C2F" w:rsidRPr="00A9326E">
              <w:rPr>
                <w:sz w:val="22"/>
                <w:szCs w:val="22"/>
              </w:rPr>
              <w:t>kta sarunu rezultātā, rakstveida</w:t>
            </w:r>
            <w:r w:rsidRPr="00A9326E">
              <w:rPr>
                <w:sz w:val="22"/>
                <w:szCs w:val="22"/>
              </w:rPr>
              <w:t xml:space="preserve"> anketēšana nav notikusi, tās rezultāti atspoguļojas projektā, kā arī Ministru kabineta 2018. gada 3. aprīļa noteikumos Nr. 201 </w:t>
            </w:r>
            <w:r w:rsidRPr="00A9326E">
              <w:rPr>
                <w:sz w:val="22"/>
                <w:szCs w:val="22"/>
              </w:rPr>
              <w:lastRenderedPageBreak/>
              <w:t>“Grozījumi Ministru kabineta 2017. gada 28. februāra noteikumos Nr. 108 “Publisko elektronisko iepirkumu noteikumi”” un to anotācijā.</w:t>
            </w:r>
          </w:p>
          <w:p w14:paraId="64522B8D" w14:textId="77777777" w:rsidR="00DF0535" w:rsidRPr="00A9326E" w:rsidRDefault="00DF0535" w:rsidP="006854E5">
            <w:pPr>
              <w:jc w:val="both"/>
              <w:rPr>
                <w:b/>
                <w:sz w:val="22"/>
                <w:szCs w:val="22"/>
              </w:rPr>
            </w:pPr>
          </w:p>
          <w:p w14:paraId="0384B56D" w14:textId="77777777" w:rsidR="00801573" w:rsidRPr="00A9326E" w:rsidRDefault="00801573" w:rsidP="00DF0535">
            <w:pPr>
              <w:jc w:val="both"/>
              <w:rPr>
                <w:sz w:val="22"/>
                <w:szCs w:val="22"/>
              </w:rPr>
            </w:pPr>
          </w:p>
        </w:tc>
        <w:tc>
          <w:tcPr>
            <w:tcW w:w="1546" w:type="pct"/>
          </w:tcPr>
          <w:p w14:paraId="6BB04607" w14:textId="16A89CBD" w:rsidR="000B1981" w:rsidRPr="00A9326E" w:rsidRDefault="00667411" w:rsidP="006854E5">
            <w:pPr>
              <w:jc w:val="both"/>
              <w:rPr>
                <w:sz w:val="22"/>
                <w:szCs w:val="22"/>
              </w:rPr>
            </w:pPr>
            <w:r w:rsidRPr="00A9326E">
              <w:rPr>
                <w:sz w:val="22"/>
                <w:szCs w:val="22"/>
              </w:rPr>
              <w:lastRenderedPageBreak/>
              <w:t>Projekts</w:t>
            </w:r>
            <w:r w:rsidR="00DF0535" w:rsidRPr="00A9326E">
              <w:rPr>
                <w:sz w:val="22"/>
                <w:szCs w:val="22"/>
              </w:rPr>
              <w:t>:</w:t>
            </w:r>
          </w:p>
          <w:p w14:paraId="07652F99" w14:textId="77777777" w:rsidR="00A9326E" w:rsidRPr="00A9326E" w:rsidRDefault="002022D8" w:rsidP="00A9326E">
            <w:pPr>
              <w:ind w:firstLine="720"/>
              <w:jc w:val="both"/>
              <w:rPr>
                <w:rFonts w:eastAsia="Calibri"/>
                <w:sz w:val="22"/>
                <w:szCs w:val="22"/>
                <w:lang w:eastAsia="en-US"/>
              </w:rPr>
            </w:pPr>
            <w:r w:rsidRPr="00A9326E">
              <w:rPr>
                <w:rFonts w:eastAsia="Calibri"/>
                <w:sz w:val="22"/>
                <w:szCs w:val="22"/>
                <w:lang w:eastAsia="en-US"/>
              </w:rPr>
              <w:t xml:space="preserve">Kopumā ministrijas atbalsta EIS attīstību un saredz iespēju līdzekļu ietaupījumam, izmantojot šo sistēmu. EIS piedāvāto pakalpojumu groza paplašināšana radītu cilvēkresursu ietaupījumu valsts pārvaldes iestādēs (mazāks iepirkuma procedūru skaits katrā iestādē, līdz ar to administratīvo resursu ietaupījums, kā arī </w:t>
            </w:r>
            <w:r w:rsidRPr="00A9326E">
              <w:rPr>
                <w:rFonts w:eastAsia="Calibri"/>
                <w:sz w:val="22"/>
                <w:szCs w:val="22"/>
                <w:lang w:eastAsia="en-US"/>
              </w:rPr>
              <w:lastRenderedPageBreak/>
              <w:t xml:space="preserve">iespējamas apjoma atlaides). </w:t>
            </w:r>
            <w:r w:rsidRPr="00A9326E">
              <w:rPr>
                <w:sz w:val="22"/>
                <w:szCs w:val="22"/>
              </w:rPr>
              <w:t>Izvērtējot pozitīvo pieredzi centralizēto iepirkumu veikšanā, efektīvāk un racionālāk ir veikt iepirkumus, kuriem ir vienāds iepirkuma priekšmets, teritoriālais izvietojums un maksimāli līdzīgs piegādes termiņš nepieciešamajai precei/pakalpojumam.</w:t>
            </w:r>
          </w:p>
          <w:p w14:paraId="6A2DFBFD" w14:textId="77777777" w:rsidR="00A9326E" w:rsidRDefault="00A9326E" w:rsidP="00A9326E">
            <w:pPr>
              <w:ind w:firstLine="720"/>
              <w:jc w:val="both"/>
              <w:rPr>
                <w:rFonts w:eastAsia="Calibri"/>
                <w:sz w:val="22"/>
                <w:szCs w:val="22"/>
                <w:lang w:eastAsia="en-US"/>
              </w:rPr>
            </w:pPr>
            <w:r w:rsidRPr="00A9326E">
              <w:rPr>
                <w:rFonts w:eastAsia="Calibri"/>
                <w:sz w:val="22"/>
                <w:szCs w:val="22"/>
                <w:lang w:eastAsia="en-US"/>
              </w:rPr>
              <w:t>Tomēr, neskatoties uz to, ministrijas ir norādījušas, ka pastāv gadījumi, kad ārpus EIS veiktais iepirkums ir finansiāli izdevīgāks vai par to pašu cenu, par kādu ir iespējams iegādāties preces vai pakalpojumus EIS, ir iespēja iegūt augstākas kvalitātes preci vai pakalpojumu. Vienlaikus jāatzīmē, ka ne visos centralizētajos iepirkumos sagaidāma līdzekļu ekonomija, jo ir arī objektīvi apstākļi tirgū un ekonomikā kopumā, kuri ietekmē cenu samazinājumu iepirkuma rezultātā, kaut arī tiek iepirkts paliel</w:t>
            </w:r>
            <w:r>
              <w:rPr>
                <w:rFonts w:eastAsia="Calibri"/>
                <w:sz w:val="22"/>
                <w:szCs w:val="22"/>
                <w:lang w:eastAsia="en-US"/>
              </w:rPr>
              <w:t>ināts preču/pakalpojumu apjoms.</w:t>
            </w:r>
          </w:p>
          <w:p w14:paraId="4BF7D00D" w14:textId="4824E944" w:rsidR="00A9326E" w:rsidRPr="00A9326E" w:rsidRDefault="00A9326E" w:rsidP="00A9326E">
            <w:pPr>
              <w:ind w:firstLine="720"/>
              <w:jc w:val="both"/>
              <w:rPr>
                <w:rFonts w:eastAsia="Calibri"/>
                <w:sz w:val="22"/>
                <w:szCs w:val="22"/>
                <w:lang w:eastAsia="en-US"/>
              </w:rPr>
            </w:pPr>
          </w:p>
        </w:tc>
      </w:tr>
      <w:tr w:rsidR="00BB54D2" w:rsidRPr="00A9326E" w14:paraId="085EF2D2" w14:textId="77777777" w:rsidTr="00A9326E">
        <w:tc>
          <w:tcPr>
            <w:tcW w:w="219" w:type="pct"/>
          </w:tcPr>
          <w:p w14:paraId="5D4C9B1C" w14:textId="6D44F93D" w:rsidR="00BB54D2" w:rsidRPr="00A9326E" w:rsidRDefault="00BB54D2" w:rsidP="006854E5">
            <w:pPr>
              <w:jc w:val="center"/>
              <w:rPr>
                <w:sz w:val="22"/>
                <w:szCs w:val="22"/>
              </w:rPr>
            </w:pPr>
            <w:r>
              <w:rPr>
                <w:sz w:val="22"/>
                <w:szCs w:val="22"/>
              </w:rPr>
              <w:lastRenderedPageBreak/>
              <w:t>3.</w:t>
            </w:r>
          </w:p>
        </w:tc>
        <w:tc>
          <w:tcPr>
            <w:tcW w:w="831" w:type="pct"/>
          </w:tcPr>
          <w:p w14:paraId="5EE769FF" w14:textId="3ECE7913" w:rsidR="00BB54D2" w:rsidRPr="00A9326E" w:rsidRDefault="00341FD8" w:rsidP="006854E5">
            <w:pPr>
              <w:tabs>
                <w:tab w:val="left" w:pos="5638"/>
              </w:tabs>
              <w:jc w:val="both"/>
              <w:rPr>
                <w:sz w:val="22"/>
                <w:szCs w:val="22"/>
              </w:rPr>
            </w:pPr>
            <w:r>
              <w:rPr>
                <w:sz w:val="22"/>
                <w:szCs w:val="22"/>
              </w:rPr>
              <w:t xml:space="preserve">Ministru kabineta sēdes </w:t>
            </w:r>
            <w:proofErr w:type="spellStart"/>
            <w:r>
              <w:rPr>
                <w:sz w:val="22"/>
                <w:szCs w:val="22"/>
              </w:rPr>
              <w:t>protokollēmuma</w:t>
            </w:r>
            <w:proofErr w:type="spellEnd"/>
            <w:r>
              <w:rPr>
                <w:sz w:val="22"/>
                <w:szCs w:val="22"/>
              </w:rPr>
              <w:t xml:space="preserve"> projekts (turpmāk – </w:t>
            </w:r>
            <w:proofErr w:type="spellStart"/>
            <w:r>
              <w:rPr>
                <w:sz w:val="22"/>
                <w:szCs w:val="22"/>
              </w:rPr>
              <w:t>protokollēmums</w:t>
            </w:r>
            <w:proofErr w:type="spellEnd"/>
            <w:r>
              <w:rPr>
                <w:sz w:val="22"/>
                <w:szCs w:val="22"/>
              </w:rPr>
              <w:t>)</w:t>
            </w:r>
          </w:p>
        </w:tc>
        <w:tc>
          <w:tcPr>
            <w:tcW w:w="1452" w:type="pct"/>
          </w:tcPr>
          <w:p w14:paraId="384D0C61" w14:textId="77777777" w:rsidR="00BB54D2" w:rsidRDefault="00BB54D2" w:rsidP="00667411">
            <w:pPr>
              <w:rPr>
                <w:b/>
                <w:sz w:val="22"/>
                <w:szCs w:val="22"/>
              </w:rPr>
            </w:pPr>
            <w:r>
              <w:rPr>
                <w:b/>
                <w:sz w:val="22"/>
                <w:szCs w:val="22"/>
              </w:rPr>
              <w:t>Iepirkumu uzraudzības birojs</w:t>
            </w:r>
          </w:p>
          <w:p w14:paraId="1979E2ED" w14:textId="77777777" w:rsidR="00341FD8" w:rsidRPr="00341FD8" w:rsidRDefault="00341FD8" w:rsidP="00341FD8">
            <w:pPr>
              <w:widowControl w:val="0"/>
              <w:spacing w:line="276" w:lineRule="auto"/>
              <w:ind w:firstLine="720"/>
              <w:jc w:val="both"/>
              <w:rPr>
                <w:rFonts w:eastAsia="Calibri"/>
                <w:sz w:val="22"/>
                <w:szCs w:val="22"/>
                <w:lang w:eastAsia="en-US"/>
              </w:rPr>
            </w:pPr>
            <w:r w:rsidRPr="00341FD8">
              <w:rPr>
                <w:rFonts w:eastAsia="Calibri"/>
                <w:sz w:val="22"/>
                <w:szCs w:val="22"/>
                <w:lang w:eastAsia="en-US"/>
              </w:rPr>
              <w:t xml:space="preserve">Iepirkumu uzraudzības birojs ir izskatījis Vides aizsardzības un reģionālās attīstības ministrijas (turpmāk – VARAM) sagatavoto informatīvo ziņojumu un </w:t>
            </w:r>
            <w:proofErr w:type="spellStart"/>
            <w:r w:rsidRPr="00341FD8">
              <w:rPr>
                <w:rFonts w:eastAsia="Calibri"/>
                <w:sz w:val="22"/>
                <w:szCs w:val="22"/>
                <w:lang w:eastAsia="en-US"/>
              </w:rPr>
              <w:t>protokollēmuma</w:t>
            </w:r>
            <w:proofErr w:type="spellEnd"/>
            <w:r w:rsidRPr="00341FD8">
              <w:rPr>
                <w:rFonts w:eastAsia="Calibri"/>
                <w:sz w:val="22"/>
                <w:szCs w:val="22"/>
                <w:lang w:eastAsia="en-US"/>
              </w:rPr>
              <w:t xml:space="preserve"> projektu un iebilst pret piedāvāto </w:t>
            </w:r>
            <w:proofErr w:type="spellStart"/>
            <w:r w:rsidRPr="00341FD8">
              <w:rPr>
                <w:rFonts w:eastAsia="Calibri"/>
                <w:sz w:val="22"/>
                <w:szCs w:val="22"/>
                <w:lang w:eastAsia="en-US"/>
              </w:rPr>
              <w:t>protokollēmuma</w:t>
            </w:r>
            <w:proofErr w:type="spellEnd"/>
            <w:r w:rsidRPr="00341FD8">
              <w:rPr>
                <w:rFonts w:eastAsia="Calibri"/>
                <w:sz w:val="22"/>
                <w:szCs w:val="22"/>
                <w:lang w:eastAsia="en-US"/>
              </w:rPr>
              <w:t xml:space="preserve"> 3.punkta redakciju.</w:t>
            </w:r>
          </w:p>
          <w:p w14:paraId="7403705E" w14:textId="77777777" w:rsidR="00341FD8" w:rsidRPr="00341FD8" w:rsidRDefault="00341FD8" w:rsidP="00341FD8">
            <w:pPr>
              <w:widowControl w:val="0"/>
              <w:spacing w:line="276" w:lineRule="auto"/>
              <w:ind w:firstLine="720"/>
              <w:jc w:val="both"/>
              <w:rPr>
                <w:color w:val="000000"/>
                <w:sz w:val="22"/>
                <w:szCs w:val="22"/>
                <w:lang w:eastAsia="en-US"/>
              </w:rPr>
            </w:pPr>
            <w:r w:rsidRPr="00341FD8">
              <w:rPr>
                <w:rFonts w:eastAsia="Calibri"/>
                <w:sz w:val="22"/>
                <w:szCs w:val="22"/>
                <w:lang w:eastAsia="en-US"/>
              </w:rPr>
              <w:t xml:space="preserve">Norādām, ka </w:t>
            </w:r>
            <w:proofErr w:type="gramStart"/>
            <w:r w:rsidRPr="00341FD8">
              <w:rPr>
                <w:rFonts w:eastAsia="Calibri"/>
                <w:sz w:val="22"/>
                <w:szCs w:val="22"/>
                <w:lang w:eastAsia="en-US"/>
              </w:rPr>
              <w:t>2018.gada</w:t>
            </w:r>
            <w:proofErr w:type="gramEnd"/>
            <w:r w:rsidRPr="00341FD8">
              <w:rPr>
                <w:rFonts w:eastAsia="Calibri"/>
                <w:sz w:val="22"/>
                <w:szCs w:val="22"/>
                <w:lang w:eastAsia="en-US"/>
              </w:rPr>
              <w:t xml:space="preserve"> 13.decembra Valsts sekretāru sanāksmes protokolā Nr.49 36.</w:t>
            </w:r>
            <w:r w:rsidRPr="00341FD8">
              <w:rPr>
                <w:color w:val="000000"/>
                <w:sz w:val="22"/>
                <w:szCs w:val="22"/>
                <w:lang w:eastAsia="en-US"/>
              </w:rPr>
              <w:t xml:space="preserve">§ „Valsts pārvaldes cilvēkresursu politikas aktualitātes un atbalsta funkciju centralizācija”  noteiktie uzdevumi Iepirkumu uzraudzības birojam, ministrijām un Valsts reģionālās attīstības aģentūrai izriet no Valsts pārvaldes reformu plāna 2020 sadaļas „Pasākumi mērķu </w:t>
            </w:r>
            <w:r w:rsidRPr="00341FD8">
              <w:rPr>
                <w:color w:val="000000"/>
                <w:sz w:val="22"/>
                <w:szCs w:val="22"/>
                <w:lang w:eastAsia="en-US"/>
              </w:rPr>
              <w:lastRenderedPageBreak/>
              <w:t xml:space="preserve">sasniegšanai” 4.1.apakšpunktā iekļautā pasākuma – </w:t>
            </w:r>
            <w:r w:rsidRPr="00341FD8">
              <w:rPr>
                <w:i/>
                <w:color w:val="000000"/>
                <w:sz w:val="22"/>
                <w:szCs w:val="22"/>
                <w:lang w:eastAsia="en-US"/>
              </w:rPr>
              <w:t xml:space="preserve">ik gadu veikt valsts pārvaldes atbalsta funkciju mērījumus un izstrādāt funkciju konsolidācijas piedāvājumu, balstoties uz kvalitātes un produktivitātes ieguvumu izvērtējumu.  </w:t>
            </w:r>
            <w:r w:rsidRPr="00341FD8">
              <w:rPr>
                <w:color w:val="000000"/>
                <w:sz w:val="22"/>
                <w:szCs w:val="22"/>
                <w:lang w:eastAsia="en-US"/>
              </w:rPr>
              <w:t xml:space="preserve">Atbilstoši minētā pasākuma īstenošanai noteiktajam plānam Iepirkumu uzraudzības birojs </w:t>
            </w:r>
            <w:proofErr w:type="gramStart"/>
            <w:r w:rsidRPr="00341FD8">
              <w:rPr>
                <w:color w:val="000000"/>
                <w:sz w:val="22"/>
                <w:szCs w:val="22"/>
                <w:lang w:eastAsia="en-US"/>
              </w:rPr>
              <w:t>2018.gada</w:t>
            </w:r>
            <w:proofErr w:type="gramEnd"/>
            <w:r w:rsidRPr="00341FD8">
              <w:rPr>
                <w:color w:val="000000"/>
                <w:sz w:val="22"/>
                <w:szCs w:val="22"/>
                <w:lang w:eastAsia="en-US"/>
              </w:rPr>
              <w:t xml:space="preserve"> 22.novembrī sniedza prezentāciju Valsts sekretāru sanāksmē un 2018.gada 13.decembra Valsts sekretāru sanāksmē tika noteikti konkrētie izmēģinājuma projekti centralizētu iepirkumu veikšanai tiešās pārvaldes iestāžu vajadzībām, kā arī pienākums izmēģinājuma projektu dalībniekiem apkopot centralizēto iepirkumu rezultātus un noteikt turpmākos pasākumus centralizēto iepirkumu attīstībai. Ņemot vērā, ka uzdevuma īstenošanā iesaistītas tiešās pārvaldes iestādes ar ministriju valsts sekretāru tiešu atbalstu, uzskatām, ka centralizēto iepirkumu rezultātu apkopojuma analīze veicama valsts sekretāru sanāksmē.</w:t>
            </w:r>
          </w:p>
          <w:p w14:paraId="42FAB0EC" w14:textId="77777777" w:rsidR="00341FD8" w:rsidRPr="00341FD8" w:rsidRDefault="00341FD8" w:rsidP="00341FD8">
            <w:pPr>
              <w:widowControl w:val="0"/>
              <w:spacing w:line="276" w:lineRule="auto"/>
              <w:ind w:firstLine="720"/>
              <w:jc w:val="both"/>
              <w:rPr>
                <w:color w:val="000000"/>
                <w:sz w:val="22"/>
                <w:szCs w:val="22"/>
                <w:lang w:eastAsia="en-US"/>
              </w:rPr>
            </w:pPr>
            <w:r w:rsidRPr="00341FD8">
              <w:rPr>
                <w:color w:val="000000"/>
                <w:sz w:val="22"/>
                <w:szCs w:val="22"/>
                <w:lang w:eastAsia="en-US"/>
              </w:rPr>
              <w:t xml:space="preserve">Ierosinām </w:t>
            </w:r>
            <w:proofErr w:type="spellStart"/>
            <w:r w:rsidRPr="00341FD8">
              <w:rPr>
                <w:color w:val="000000"/>
                <w:sz w:val="22"/>
                <w:szCs w:val="22"/>
                <w:lang w:eastAsia="en-US"/>
              </w:rPr>
              <w:t>protokollēmuma</w:t>
            </w:r>
            <w:proofErr w:type="spellEnd"/>
            <w:r w:rsidRPr="00341FD8">
              <w:rPr>
                <w:color w:val="000000"/>
                <w:sz w:val="22"/>
                <w:szCs w:val="22"/>
                <w:lang w:eastAsia="en-US"/>
              </w:rPr>
              <w:t xml:space="preserve"> 3.punktu izteikt šādā redakcijā:</w:t>
            </w:r>
          </w:p>
          <w:p w14:paraId="2662216E" w14:textId="77777777" w:rsidR="00341FD8" w:rsidRPr="00341FD8" w:rsidRDefault="00341FD8" w:rsidP="00341FD8">
            <w:pPr>
              <w:widowControl w:val="0"/>
              <w:spacing w:line="276" w:lineRule="auto"/>
              <w:ind w:firstLine="720"/>
              <w:jc w:val="both"/>
              <w:rPr>
                <w:color w:val="000000"/>
                <w:sz w:val="22"/>
                <w:szCs w:val="22"/>
                <w:lang w:eastAsia="en-US"/>
              </w:rPr>
            </w:pPr>
            <w:r w:rsidRPr="00341FD8">
              <w:rPr>
                <w:color w:val="000000"/>
                <w:sz w:val="22"/>
                <w:szCs w:val="22"/>
                <w:lang w:eastAsia="en-US"/>
              </w:rPr>
              <w:t xml:space="preserve">Ievērojot, ka atbilstoši Valsts pārvaldes reformu plāna 2020 sadaļas „Pasākumi mērķu sasniegšanai” 4.1.apakšpunktā un </w:t>
            </w:r>
            <w:proofErr w:type="gramStart"/>
            <w:r w:rsidRPr="00341FD8">
              <w:rPr>
                <w:color w:val="000000"/>
                <w:sz w:val="22"/>
                <w:szCs w:val="22"/>
                <w:lang w:eastAsia="en-US"/>
              </w:rPr>
              <w:t>2018.gada</w:t>
            </w:r>
            <w:proofErr w:type="gramEnd"/>
            <w:r w:rsidRPr="00341FD8">
              <w:rPr>
                <w:color w:val="000000"/>
                <w:sz w:val="22"/>
                <w:szCs w:val="22"/>
                <w:lang w:eastAsia="en-US"/>
              </w:rPr>
              <w:t xml:space="preserve"> 13.decembra Valsts sekretāru sanāksmes protokolā Nr.49 36.§ „Valsts pārvaldes cilvēkresursu politikas aktualitātes un atbalsta funkciju centralizācija” noteiktajiem uzdevumiem </w:t>
            </w:r>
            <w:r w:rsidRPr="00341FD8">
              <w:rPr>
                <w:color w:val="000000"/>
                <w:sz w:val="22"/>
                <w:szCs w:val="22"/>
                <w:lang w:eastAsia="en-US"/>
              </w:rPr>
              <w:lastRenderedPageBreak/>
              <w:t xml:space="preserve">paredzēts realizēt vairākus centralizētu iepirkumu  izmēģinājuma projektus tiešās pārvaldes iestāžu vajadzībām, Iepirkumu uzraudzības birojam sadarbībā ar ministrijām un Valsts reģionālās attīstības aģentūru pēc minēto izmēģinājuma projektu pabeigšanas veikt rezultātu apkopojumu un iesniegt diskusijai Valsts sekretāru sanāksmē.   </w:t>
            </w:r>
          </w:p>
          <w:p w14:paraId="6EDA39E5" w14:textId="245A53C9" w:rsidR="00BB54D2" w:rsidRPr="00A9326E" w:rsidRDefault="00BB54D2" w:rsidP="00667411">
            <w:pPr>
              <w:rPr>
                <w:b/>
                <w:sz w:val="22"/>
                <w:szCs w:val="22"/>
              </w:rPr>
            </w:pPr>
          </w:p>
        </w:tc>
        <w:tc>
          <w:tcPr>
            <w:tcW w:w="952" w:type="pct"/>
          </w:tcPr>
          <w:p w14:paraId="258D1FA9" w14:textId="77777777" w:rsidR="00341FD8" w:rsidRPr="00A9326E" w:rsidRDefault="00341FD8" w:rsidP="00341FD8">
            <w:pPr>
              <w:jc w:val="both"/>
              <w:rPr>
                <w:b/>
                <w:sz w:val="22"/>
                <w:szCs w:val="22"/>
              </w:rPr>
            </w:pPr>
            <w:r w:rsidRPr="00A9326E">
              <w:rPr>
                <w:b/>
                <w:sz w:val="22"/>
                <w:szCs w:val="22"/>
              </w:rPr>
              <w:lastRenderedPageBreak/>
              <w:t>Ņemts vērā</w:t>
            </w:r>
          </w:p>
          <w:p w14:paraId="44EBF35D" w14:textId="69862B78" w:rsidR="00BB54D2" w:rsidRPr="00341FD8" w:rsidRDefault="00341FD8" w:rsidP="00341FD8">
            <w:pPr>
              <w:jc w:val="both"/>
              <w:rPr>
                <w:sz w:val="22"/>
                <w:szCs w:val="22"/>
              </w:rPr>
            </w:pPr>
            <w:r w:rsidRPr="00341FD8">
              <w:rPr>
                <w:sz w:val="22"/>
                <w:szCs w:val="22"/>
              </w:rPr>
              <w:t xml:space="preserve">Attiecīgi precizēts </w:t>
            </w:r>
            <w:proofErr w:type="spellStart"/>
            <w:r w:rsidRPr="00341FD8">
              <w:rPr>
                <w:sz w:val="22"/>
                <w:szCs w:val="22"/>
              </w:rPr>
              <w:t>protokollēmuma</w:t>
            </w:r>
            <w:proofErr w:type="spellEnd"/>
            <w:r w:rsidRPr="00341FD8">
              <w:rPr>
                <w:sz w:val="22"/>
                <w:szCs w:val="22"/>
              </w:rPr>
              <w:t xml:space="preserve"> 3.punkts</w:t>
            </w:r>
          </w:p>
        </w:tc>
        <w:tc>
          <w:tcPr>
            <w:tcW w:w="1546" w:type="pct"/>
          </w:tcPr>
          <w:p w14:paraId="54C9B0BF" w14:textId="70364934" w:rsidR="00341FD8" w:rsidRDefault="00341FD8" w:rsidP="006854E5">
            <w:pPr>
              <w:jc w:val="both"/>
              <w:rPr>
                <w:sz w:val="22"/>
                <w:szCs w:val="22"/>
              </w:rPr>
            </w:pPr>
            <w:proofErr w:type="spellStart"/>
            <w:r>
              <w:rPr>
                <w:sz w:val="22"/>
                <w:szCs w:val="22"/>
              </w:rPr>
              <w:t>P</w:t>
            </w:r>
            <w:r w:rsidRPr="00341FD8">
              <w:rPr>
                <w:sz w:val="22"/>
                <w:szCs w:val="22"/>
              </w:rPr>
              <w:t>rotokollēmuma</w:t>
            </w:r>
            <w:proofErr w:type="spellEnd"/>
            <w:r w:rsidRPr="00341FD8">
              <w:rPr>
                <w:sz w:val="22"/>
                <w:szCs w:val="22"/>
              </w:rPr>
              <w:t xml:space="preserve"> 3.punkts</w:t>
            </w:r>
          </w:p>
          <w:p w14:paraId="588E6AB9" w14:textId="77777777" w:rsidR="00341FD8" w:rsidRDefault="00341FD8" w:rsidP="006854E5">
            <w:pPr>
              <w:jc w:val="both"/>
              <w:rPr>
                <w:sz w:val="22"/>
                <w:szCs w:val="22"/>
              </w:rPr>
            </w:pPr>
          </w:p>
          <w:p w14:paraId="2AE4034A" w14:textId="2C1F47A9" w:rsidR="00BB54D2" w:rsidRPr="00A9326E" w:rsidRDefault="00341FD8" w:rsidP="006854E5">
            <w:pPr>
              <w:jc w:val="both"/>
              <w:rPr>
                <w:sz w:val="22"/>
                <w:szCs w:val="22"/>
              </w:rPr>
            </w:pPr>
            <w:r w:rsidRPr="00341FD8">
              <w:rPr>
                <w:sz w:val="22"/>
                <w:szCs w:val="22"/>
              </w:rPr>
              <w:t>3.</w:t>
            </w:r>
            <w:r w:rsidRPr="00341FD8">
              <w:rPr>
                <w:sz w:val="22"/>
                <w:szCs w:val="22"/>
              </w:rPr>
              <w:tab/>
              <w:t xml:space="preserve">Ievērojot, ka atbilstoši Valsts pārvaldes reformu plāna 2020 sadaļas „Pasākumi mērķu sasniegšanai” 4.1.apakšpunktā un </w:t>
            </w:r>
            <w:proofErr w:type="gramStart"/>
            <w:r w:rsidRPr="00341FD8">
              <w:rPr>
                <w:sz w:val="22"/>
                <w:szCs w:val="22"/>
              </w:rPr>
              <w:t>2018.gada</w:t>
            </w:r>
            <w:proofErr w:type="gramEnd"/>
            <w:r w:rsidRPr="00341FD8">
              <w:rPr>
                <w:sz w:val="22"/>
                <w:szCs w:val="22"/>
              </w:rPr>
              <w:t xml:space="preserve"> 13.decembra Valsts sekretāru sanāksmes protokolā Nr.49 36.§ „Valsts pārvaldes cilvēkresursu politikas aktualitātes un atbalsta funkciju centralizācija” noteiktajiem uzdevumiem paredzēts realizēt v</w:t>
            </w:r>
            <w:r>
              <w:rPr>
                <w:sz w:val="22"/>
                <w:szCs w:val="22"/>
              </w:rPr>
              <w:t xml:space="preserve">airākus centralizētu iepirkumu </w:t>
            </w:r>
            <w:r w:rsidRPr="00341FD8">
              <w:rPr>
                <w:sz w:val="22"/>
                <w:szCs w:val="22"/>
              </w:rPr>
              <w:t>izmēģinājuma projektus tiešās pārvaldes iestāžu vajadzībām, Iepirkumu uzraudzības birojam sadarbībā ar ministrijām un Valsts reģionālās attīstības aģentūru pēc minēto izmēģinājuma projektu pabeigšanas veikt r</w:t>
            </w:r>
            <w:bookmarkStart w:id="0" w:name="_GoBack"/>
            <w:bookmarkEnd w:id="0"/>
            <w:r w:rsidRPr="00341FD8">
              <w:rPr>
                <w:sz w:val="22"/>
                <w:szCs w:val="22"/>
              </w:rPr>
              <w:t>ezultātu apkopojumu un iesniegt diskusijai Valsts sekretāru sanāksmē.</w:t>
            </w:r>
          </w:p>
        </w:tc>
      </w:tr>
    </w:tbl>
    <w:p w14:paraId="67EBA362" w14:textId="7EE0AE37" w:rsidR="002C37ED" w:rsidRPr="00E80417" w:rsidRDefault="002C37ED" w:rsidP="006854E5">
      <w:pPr>
        <w:rPr>
          <w:sz w:val="22"/>
          <w:szCs w:val="22"/>
        </w:rPr>
      </w:pPr>
    </w:p>
    <w:tbl>
      <w:tblPr>
        <w:tblW w:w="0" w:type="auto"/>
        <w:tblLayout w:type="fixed"/>
        <w:tblLook w:val="0000" w:firstRow="0" w:lastRow="0" w:firstColumn="0" w:lastColumn="0" w:noHBand="0" w:noVBand="0"/>
      </w:tblPr>
      <w:tblGrid>
        <w:gridCol w:w="3528"/>
        <w:gridCol w:w="8640"/>
      </w:tblGrid>
      <w:tr w:rsidR="00C158AC" w:rsidRPr="00E80417" w14:paraId="3D8E74D9" w14:textId="77777777" w:rsidTr="00F56E0D">
        <w:tc>
          <w:tcPr>
            <w:tcW w:w="3528" w:type="dxa"/>
            <w:shd w:val="clear" w:color="auto" w:fill="auto"/>
          </w:tcPr>
          <w:p w14:paraId="652BD508" w14:textId="77777777" w:rsidR="00C158AC" w:rsidRPr="00E80417" w:rsidRDefault="00C158AC" w:rsidP="006854E5">
            <w:pPr>
              <w:snapToGrid w:val="0"/>
              <w:jc w:val="both"/>
              <w:rPr>
                <w:sz w:val="22"/>
                <w:szCs w:val="22"/>
              </w:rPr>
            </w:pPr>
            <w:r w:rsidRPr="00E80417">
              <w:rPr>
                <w:sz w:val="22"/>
                <w:szCs w:val="22"/>
              </w:rPr>
              <w:t>Atbildīgā amatpersona</w:t>
            </w:r>
          </w:p>
        </w:tc>
        <w:tc>
          <w:tcPr>
            <w:tcW w:w="8640" w:type="dxa"/>
            <w:tcBorders>
              <w:bottom w:val="single" w:sz="4" w:space="0" w:color="000000"/>
            </w:tcBorders>
            <w:shd w:val="clear" w:color="auto" w:fill="auto"/>
          </w:tcPr>
          <w:p w14:paraId="5D987A08" w14:textId="77777777" w:rsidR="00C158AC" w:rsidRPr="00E80417" w:rsidRDefault="00C158AC" w:rsidP="006854E5">
            <w:pPr>
              <w:snapToGrid w:val="0"/>
              <w:jc w:val="both"/>
              <w:rPr>
                <w:sz w:val="22"/>
                <w:szCs w:val="22"/>
              </w:rPr>
            </w:pPr>
          </w:p>
        </w:tc>
      </w:tr>
      <w:tr w:rsidR="00C158AC" w:rsidRPr="00E80417" w14:paraId="6C66AF7C" w14:textId="77777777" w:rsidTr="00F56E0D">
        <w:tc>
          <w:tcPr>
            <w:tcW w:w="3528" w:type="dxa"/>
            <w:shd w:val="clear" w:color="auto" w:fill="auto"/>
          </w:tcPr>
          <w:p w14:paraId="1D2590E9" w14:textId="77777777" w:rsidR="00C158AC" w:rsidRPr="00E80417" w:rsidRDefault="00C158AC" w:rsidP="006854E5">
            <w:pPr>
              <w:snapToGrid w:val="0"/>
              <w:jc w:val="both"/>
              <w:rPr>
                <w:sz w:val="22"/>
                <w:szCs w:val="22"/>
              </w:rPr>
            </w:pPr>
          </w:p>
        </w:tc>
        <w:tc>
          <w:tcPr>
            <w:tcW w:w="8640" w:type="dxa"/>
            <w:tcBorders>
              <w:top w:val="single" w:sz="4" w:space="0" w:color="000000"/>
            </w:tcBorders>
            <w:shd w:val="clear" w:color="auto" w:fill="auto"/>
          </w:tcPr>
          <w:p w14:paraId="4534F996" w14:textId="77777777" w:rsidR="00C158AC" w:rsidRPr="00E80417" w:rsidRDefault="00C158AC" w:rsidP="006854E5">
            <w:pPr>
              <w:snapToGrid w:val="0"/>
              <w:jc w:val="both"/>
              <w:rPr>
                <w:sz w:val="22"/>
                <w:szCs w:val="22"/>
              </w:rPr>
            </w:pPr>
            <w:r w:rsidRPr="00E80417">
              <w:rPr>
                <w:sz w:val="22"/>
                <w:szCs w:val="22"/>
              </w:rPr>
              <w:tab/>
              <w:t>(paraksts)*</w:t>
            </w:r>
          </w:p>
          <w:p w14:paraId="1C57B926" w14:textId="77777777" w:rsidR="00C158AC" w:rsidRPr="00E80417" w:rsidRDefault="00C158AC" w:rsidP="006854E5">
            <w:pPr>
              <w:snapToGrid w:val="0"/>
              <w:jc w:val="both"/>
              <w:rPr>
                <w:sz w:val="22"/>
                <w:szCs w:val="22"/>
              </w:rPr>
            </w:pPr>
            <w:r w:rsidRPr="00E80417">
              <w:rPr>
                <w:sz w:val="22"/>
                <w:szCs w:val="22"/>
              </w:rPr>
              <w:t>Piezīme. * Dokumenta rekvizītu "paraksts" neaizpilda, ja elektroniskais dokuments ir sagatavots atbilstoši normatīvajiem aktiem par elektronisko dokumentu noformēšanu.</w:t>
            </w:r>
          </w:p>
        </w:tc>
      </w:tr>
      <w:tr w:rsidR="00C158AC" w:rsidRPr="00E80417" w14:paraId="4B6E0842" w14:textId="77777777" w:rsidTr="00F56E0D">
        <w:tc>
          <w:tcPr>
            <w:tcW w:w="3528" w:type="dxa"/>
            <w:shd w:val="clear" w:color="auto" w:fill="auto"/>
          </w:tcPr>
          <w:p w14:paraId="3A67093B" w14:textId="77777777" w:rsidR="00C158AC" w:rsidRPr="00E80417" w:rsidRDefault="00C158AC" w:rsidP="006854E5">
            <w:pPr>
              <w:snapToGrid w:val="0"/>
              <w:jc w:val="both"/>
              <w:rPr>
                <w:sz w:val="22"/>
                <w:szCs w:val="22"/>
              </w:rPr>
            </w:pPr>
          </w:p>
        </w:tc>
        <w:tc>
          <w:tcPr>
            <w:tcW w:w="8640" w:type="dxa"/>
            <w:shd w:val="clear" w:color="auto" w:fill="auto"/>
          </w:tcPr>
          <w:p w14:paraId="1DD9E68A" w14:textId="77777777" w:rsidR="00C158AC" w:rsidRPr="00E80417" w:rsidRDefault="00C158AC" w:rsidP="006854E5">
            <w:pPr>
              <w:snapToGrid w:val="0"/>
              <w:jc w:val="both"/>
              <w:rPr>
                <w:sz w:val="22"/>
                <w:szCs w:val="22"/>
              </w:rPr>
            </w:pPr>
          </w:p>
        </w:tc>
      </w:tr>
      <w:tr w:rsidR="00C158AC" w:rsidRPr="00E80417" w14:paraId="3D2BDC5C" w14:textId="77777777" w:rsidTr="00F56E0D">
        <w:tc>
          <w:tcPr>
            <w:tcW w:w="3528" w:type="dxa"/>
            <w:shd w:val="clear" w:color="auto" w:fill="auto"/>
          </w:tcPr>
          <w:p w14:paraId="573FBACB" w14:textId="77777777" w:rsidR="00C158AC" w:rsidRPr="00E80417" w:rsidRDefault="00C158AC" w:rsidP="006854E5">
            <w:pPr>
              <w:snapToGrid w:val="0"/>
              <w:jc w:val="both"/>
              <w:rPr>
                <w:sz w:val="22"/>
                <w:szCs w:val="22"/>
              </w:rPr>
            </w:pPr>
          </w:p>
        </w:tc>
        <w:tc>
          <w:tcPr>
            <w:tcW w:w="8640" w:type="dxa"/>
            <w:tcBorders>
              <w:bottom w:val="single" w:sz="4" w:space="0" w:color="000000"/>
            </w:tcBorders>
            <w:shd w:val="clear" w:color="auto" w:fill="auto"/>
          </w:tcPr>
          <w:p w14:paraId="42EDF063" w14:textId="77777777" w:rsidR="00C158AC" w:rsidRPr="00E80417" w:rsidRDefault="00C158AC" w:rsidP="006854E5">
            <w:pPr>
              <w:snapToGrid w:val="0"/>
              <w:jc w:val="both"/>
              <w:rPr>
                <w:sz w:val="22"/>
                <w:szCs w:val="22"/>
              </w:rPr>
            </w:pPr>
            <w:r w:rsidRPr="00E80417">
              <w:rPr>
                <w:sz w:val="22"/>
                <w:szCs w:val="22"/>
              </w:rPr>
              <w:t>Uģis Bisenieks</w:t>
            </w:r>
          </w:p>
        </w:tc>
      </w:tr>
      <w:tr w:rsidR="00C158AC" w:rsidRPr="00E80417" w14:paraId="55F5214C" w14:textId="77777777" w:rsidTr="00F56E0D">
        <w:tc>
          <w:tcPr>
            <w:tcW w:w="3528" w:type="dxa"/>
            <w:shd w:val="clear" w:color="auto" w:fill="auto"/>
          </w:tcPr>
          <w:p w14:paraId="56B17975" w14:textId="77777777" w:rsidR="00C158AC" w:rsidRPr="00E80417" w:rsidRDefault="00C158AC" w:rsidP="006854E5">
            <w:pPr>
              <w:snapToGrid w:val="0"/>
              <w:jc w:val="both"/>
              <w:rPr>
                <w:sz w:val="22"/>
                <w:szCs w:val="22"/>
              </w:rPr>
            </w:pPr>
          </w:p>
        </w:tc>
        <w:tc>
          <w:tcPr>
            <w:tcW w:w="8640" w:type="dxa"/>
            <w:tcBorders>
              <w:top w:val="single" w:sz="4" w:space="0" w:color="000000"/>
            </w:tcBorders>
            <w:shd w:val="clear" w:color="auto" w:fill="auto"/>
          </w:tcPr>
          <w:p w14:paraId="718D54A5" w14:textId="77777777" w:rsidR="00C158AC" w:rsidRPr="00E80417" w:rsidRDefault="00C158AC" w:rsidP="006854E5">
            <w:pPr>
              <w:snapToGrid w:val="0"/>
              <w:jc w:val="both"/>
              <w:rPr>
                <w:sz w:val="22"/>
                <w:szCs w:val="22"/>
              </w:rPr>
            </w:pPr>
            <w:r w:rsidRPr="00E80417">
              <w:rPr>
                <w:sz w:val="22"/>
                <w:szCs w:val="22"/>
              </w:rPr>
              <w:t>(par projektu atbildīgās amatpersonas vārds un uzvārds)</w:t>
            </w:r>
          </w:p>
        </w:tc>
      </w:tr>
      <w:tr w:rsidR="00C158AC" w:rsidRPr="00E80417" w14:paraId="77CB9009" w14:textId="77777777" w:rsidTr="00F56E0D">
        <w:tc>
          <w:tcPr>
            <w:tcW w:w="3528" w:type="dxa"/>
            <w:shd w:val="clear" w:color="auto" w:fill="auto"/>
          </w:tcPr>
          <w:p w14:paraId="380B350E" w14:textId="77777777" w:rsidR="00C158AC" w:rsidRPr="00E80417" w:rsidRDefault="00C158AC" w:rsidP="006854E5">
            <w:pPr>
              <w:snapToGrid w:val="0"/>
              <w:jc w:val="both"/>
              <w:rPr>
                <w:sz w:val="22"/>
                <w:szCs w:val="22"/>
              </w:rPr>
            </w:pPr>
          </w:p>
        </w:tc>
        <w:tc>
          <w:tcPr>
            <w:tcW w:w="8640" w:type="dxa"/>
            <w:shd w:val="clear" w:color="auto" w:fill="auto"/>
          </w:tcPr>
          <w:p w14:paraId="20FF28C3" w14:textId="77777777" w:rsidR="00C158AC" w:rsidRPr="00E80417" w:rsidRDefault="00C158AC" w:rsidP="006854E5">
            <w:pPr>
              <w:snapToGrid w:val="0"/>
              <w:jc w:val="both"/>
              <w:rPr>
                <w:sz w:val="22"/>
                <w:szCs w:val="22"/>
              </w:rPr>
            </w:pPr>
          </w:p>
        </w:tc>
      </w:tr>
      <w:tr w:rsidR="00C158AC" w:rsidRPr="00E80417" w14:paraId="0F14B436" w14:textId="77777777" w:rsidTr="00F56E0D">
        <w:tc>
          <w:tcPr>
            <w:tcW w:w="3528" w:type="dxa"/>
            <w:shd w:val="clear" w:color="auto" w:fill="auto"/>
          </w:tcPr>
          <w:p w14:paraId="5761A93F" w14:textId="77777777" w:rsidR="00C158AC" w:rsidRPr="00E80417" w:rsidRDefault="00C158AC" w:rsidP="006854E5">
            <w:pPr>
              <w:snapToGrid w:val="0"/>
              <w:jc w:val="both"/>
              <w:rPr>
                <w:sz w:val="22"/>
                <w:szCs w:val="22"/>
              </w:rPr>
            </w:pPr>
          </w:p>
        </w:tc>
        <w:tc>
          <w:tcPr>
            <w:tcW w:w="8640" w:type="dxa"/>
            <w:tcBorders>
              <w:bottom w:val="single" w:sz="4" w:space="0" w:color="000000"/>
            </w:tcBorders>
            <w:shd w:val="clear" w:color="auto" w:fill="auto"/>
          </w:tcPr>
          <w:p w14:paraId="58A6B904" w14:textId="77777777" w:rsidR="00C158AC" w:rsidRPr="00E80417" w:rsidRDefault="00C158AC" w:rsidP="006854E5">
            <w:pPr>
              <w:snapToGrid w:val="0"/>
              <w:jc w:val="both"/>
              <w:rPr>
                <w:sz w:val="22"/>
                <w:szCs w:val="22"/>
              </w:rPr>
            </w:pPr>
            <w:r w:rsidRPr="00E80417">
              <w:rPr>
                <w:sz w:val="22"/>
                <w:szCs w:val="22"/>
              </w:rPr>
              <w:t>Elektroniskās pārvaldes departamenta direktors</w:t>
            </w:r>
          </w:p>
        </w:tc>
      </w:tr>
      <w:tr w:rsidR="00C158AC" w:rsidRPr="00E80417" w14:paraId="0B45ED4F" w14:textId="77777777" w:rsidTr="00F56E0D">
        <w:tc>
          <w:tcPr>
            <w:tcW w:w="3528" w:type="dxa"/>
            <w:shd w:val="clear" w:color="auto" w:fill="auto"/>
          </w:tcPr>
          <w:p w14:paraId="2852225B" w14:textId="77777777" w:rsidR="00C158AC" w:rsidRPr="00E80417" w:rsidRDefault="00C158AC" w:rsidP="006854E5">
            <w:pPr>
              <w:snapToGrid w:val="0"/>
              <w:jc w:val="both"/>
              <w:rPr>
                <w:sz w:val="22"/>
                <w:szCs w:val="22"/>
              </w:rPr>
            </w:pPr>
          </w:p>
        </w:tc>
        <w:tc>
          <w:tcPr>
            <w:tcW w:w="8640" w:type="dxa"/>
            <w:tcBorders>
              <w:top w:val="single" w:sz="4" w:space="0" w:color="000000"/>
            </w:tcBorders>
            <w:shd w:val="clear" w:color="auto" w:fill="auto"/>
          </w:tcPr>
          <w:p w14:paraId="71FCD360" w14:textId="77777777" w:rsidR="00C158AC" w:rsidRPr="00E80417" w:rsidRDefault="00C158AC" w:rsidP="006854E5">
            <w:pPr>
              <w:snapToGrid w:val="0"/>
              <w:jc w:val="both"/>
              <w:rPr>
                <w:sz w:val="22"/>
                <w:szCs w:val="22"/>
              </w:rPr>
            </w:pPr>
            <w:r w:rsidRPr="00E80417">
              <w:rPr>
                <w:sz w:val="22"/>
                <w:szCs w:val="22"/>
              </w:rPr>
              <w:t>(amats)</w:t>
            </w:r>
          </w:p>
        </w:tc>
      </w:tr>
      <w:tr w:rsidR="00C158AC" w:rsidRPr="00E80417" w14:paraId="00B52A06" w14:textId="77777777" w:rsidTr="00F56E0D">
        <w:tc>
          <w:tcPr>
            <w:tcW w:w="3528" w:type="dxa"/>
            <w:shd w:val="clear" w:color="auto" w:fill="auto"/>
          </w:tcPr>
          <w:p w14:paraId="14ADA4AD" w14:textId="77777777" w:rsidR="00C158AC" w:rsidRPr="00E80417" w:rsidRDefault="00C158AC" w:rsidP="006854E5">
            <w:pPr>
              <w:snapToGrid w:val="0"/>
              <w:jc w:val="both"/>
              <w:rPr>
                <w:sz w:val="22"/>
                <w:szCs w:val="22"/>
              </w:rPr>
            </w:pPr>
          </w:p>
        </w:tc>
        <w:tc>
          <w:tcPr>
            <w:tcW w:w="8640" w:type="dxa"/>
            <w:shd w:val="clear" w:color="auto" w:fill="auto"/>
          </w:tcPr>
          <w:p w14:paraId="6493446E" w14:textId="77777777" w:rsidR="00C158AC" w:rsidRPr="00E80417" w:rsidRDefault="00C158AC" w:rsidP="006854E5">
            <w:pPr>
              <w:snapToGrid w:val="0"/>
              <w:jc w:val="both"/>
              <w:rPr>
                <w:sz w:val="22"/>
                <w:szCs w:val="22"/>
              </w:rPr>
            </w:pPr>
          </w:p>
        </w:tc>
      </w:tr>
      <w:tr w:rsidR="00C158AC" w:rsidRPr="00E80417" w14:paraId="03845743" w14:textId="77777777" w:rsidTr="00F56E0D">
        <w:tc>
          <w:tcPr>
            <w:tcW w:w="3528" w:type="dxa"/>
            <w:shd w:val="clear" w:color="auto" w:fill="auto"/>
          </w:tcPr>
          <w:p w14:paraId="4119D789" w14:textId="77777777" w:rsidR="00C158AC" w:rsidRPr="00E80417" w:rsidRDefault="00C158AC" w:rsidP="006854E5">
            <w:pPr>
              <w:snapToGrid w:val="0"/>
              <w:jc w:val="both"/>
              <w:rPr>
                <w:sz w:val="22"/>
                <w:szCs w:val="22"/>
              </w:rPr>
            </w:pPr>
          </w:p>
        </w:tc>
        <w:tc>
          <w:tcPr>
            <w:tcW w:w="8640" w:type="dxa"/>
            <w:tcBorders>
              <w:bottom w:val="single" w:sz="4" w:space="0" w:color="000000"/>
            </w:tcBorders>
            <w:shd w:val="clear" w:color="auto" w:fill="auto"/>
          </w:tcPr>
          <w:p w14:paraId="176E74D2" w14:textId="77777777" w:rsidR="00C158AC" w:rsidRPr="00E80417" w:rsidRDefault="00C158AC" w:rsidP="006854E5">
            <w:pPr>
              <w:snapToGrid w:val="0"/>
              <w:jc w:val="both"/>
              <w:rPr>
                <w:sz w:val="22"/>
                <w:szCs w:val="22"/>
              </w:rPr>
            </w:pPr>
            <w:r w:rsidRPr="00E80417">
              <w:rPr>
                <w:sz w:val="22"/>
                <w:szCs w:val="22"/>
              </w:rPr>
              <w:t>67026933; 67820442</w:t>
            </w:r>
          </w:p>
        </w:tc>
      </w:tr>
      <w:tr w:rsidR="00C158AC" w:rsidRPr="00E80417" w14:paraId="7E6F3EB4" w14:textId="77777777" w:rsidTr="00F56E0D">
        <w:tc>
          <w:tcPr>
            <w:tcW w:w="3528" w:type="dxa"/>
            <w:shd w:val="clear" w:color="auto" w:fill="auto"/>
          </w:tcPr>
          <w:p w14:paraId="071456F2" w14:textId="77777777" w:rsidR="00C158AC" w:rsidRPr="00E80417" w:rsidRDefault="00C158AC" w:rsidP="006854E5">
            <w:pPr>
              <w:snapToGrid w:val="0"/>
              <w:jc w:val="both"/>
              <w:rPr>
                <w:sz w:val="22"/>
                <w:szCs w:val="22"/>
              </w:rPr>
            </w:pPr>
          </w:p>
        </w:tc>
        <w:tc>
          <w:tcPr>
            <w:tcW w:w="8640" w:type="dxa"/>
            <w:tcBorders>
              <w:top w:val="single" w:sz="4" w:space="0" w:color="000000"/>
            </w:tcBorders>
            <w:shd w:val="clear" w:color="auto" w:fill="auto"/>
          </w:tcPr>
          <w:p w14:paraId="32583ED5" w14:textId="77777777" w:rsidR="00C158AC" w:rsidRPr="00E80417" w:rsidRDefault="00C158AC" w:rsidP="006854E5">
            <w:pPr>
              <w:snapToGrid w:val="0"/>
              <w:jc w:val="both"/>
              <w:rPr>
                <w:sz w:val="22"/>
                <w:szCs w:val="22"/>
              </w:rPr>
            </w:pPr>
            <w:r w:rsidRPr="00E80417">
              <w:rPr>
                <w:sz w:val="22"/>
                <w:szCs w:val="22"/>
              </w:rPr>
              <w:t>(tālruņa un faksa numurs)</w:t>
            </w:r>
          </w:p>
        </w:tc>
      </w:tr>
      <w:tr w:rsidR="00C158AC" w:rsidRPr="00E80417" w14:paraId="398001B4" w14:textId="77777777" w:rsidTr="00F56E0D">
        <w:tc>
          <w:tcPr>
            <w:tcW w:w="3528" w:type="dxa"/>
            <w:shd w:val="clear" w:color="auto" w:fill="auto"/>
          </w:tcPr>
          <w:p w14:paraId="0CC56A9E" w14:textId="77777777" w:rsidR="00C158AC" w:rsidRPr="00E80417" w:rsidRDefault="00C158AC" w:rsidP="006854E5">
            <w:pPr>
              <w:snapToGrid w:val="0"/>
              <w:jc w:val="both"/>
              <w:rPr>
                <w:sz w:val="22"/>
                <w:szCs w:val="22"/>
              </w:rPr>
            </w:pPr>
          </w:p>
        </w:tc>
        <w:tc>
          <w:tcPr>
            <w:tcW w:w="8640" w:type="dxa"/>
            <w:shd w:val="clear" w:color="auto" w:fill="auto"/>
          </w:tcPr>
          <w:p w14:paraId="0C97E02E" w14:textId="77777777" w:rsidR="00C158AC" w:rsidRPr="00E80417" w:rsidRDefault="00C158AC" w:rsidP="006854E5">
            <w:pPr>
              <w:snapToGrid w:val="0"/>
              <w:jc w:val="both"/>
              <w:rPr>
                <w:sz w:val="22"/>
                <w:szCs w:val="22"/>
              </w:rPr>
            </w:pPr>
          </w:p>
        </w:tc>
      </w:tr>
      <w:tr w:rsidR="00C158AC" w:rsidRPr="00E80417" w14:paraId="61FE5E4A" w14:textId="77777777" w:rsidTr="00F56E0D">
        <w:tc>
          <w:tcPr>
            <w:tcW w:w="3528" w:type="dxa"/>
            <w:shd w:val="clear" w:color="auto" w:fill="auto"/>
          </w:tcPr>
          <w:p w14:paraId="7ECE2AAE" w14:textId="77777777" w:rsidR="00C158AC" w:rsidRPr="00E80417" w:rsidRDefault="00C158AC" w:rsidP="006854E5">
            <w:pPr>
              <w:snapToGrid w:val="0"/>
              <w:jc w:val="both"/>
              <w:rPr>
                <w:sz w:val="22"/>
                <w:szCs w:val="22"/>
              </w:rPr>
            </w:pPr>
          </w:p>
        </w:tc>
        <w:tc>
          <w:tcPr>
            <w:tcW w:w="8640" w:type="dxa"/>
            <w:tcBorders>
              <w:bottom w:val="single" w:sz="4" w:space="0" w:color="000000"/>
            </w:tcBorders>
            <w:shd w:val="clear" w:color="auto" w:fill="auto"/>
          </w:tcPr>
          <w:p w14:paraId="464862AD" w14:textId="77777777" w:rsidR="00C158AC" w:rsidRPr="00E80417" w:rsidRDefault="00137D4E" w:rsidP="006854E5">
            <w:pPr>
              <w:snapToGrid w:val="0"/>
              <w:jc w:val="both"/>
              <w:rPr>
                <w:sz w:val="22"/>
                <w:szCs w:val="22"/>
              </w:rPr>
            </w:pPr>
            <w:hyperlink r:id="rId8" w:history="1">
              <w:r w:rsidR="00C158AC" w:rsidRPr="00E80417">
                <w:rPr>
                  <w:sz w:val="22"/>
                  <w:szCs w:val="22"/>
                </w:rPr>
                <w:t>ugis.bisenieks@varam.gov.lv</w:t>
              </w:r>
            </w:hyperlink>
          </w:p>
        </w:tc>
      </w:tr>
      <w:tr w:rsidR="00C158AC" w:rsidRPr="00E80417" w14:paraId="033498A1" w14:textId="77777777" w:rsidTr="00F56E0D">
        <w:tc>
          <w:tcPr>
            <w:tcW w:w="3528" w:type="dxa"/>
            <w:shd w:val="clear" w:color="auto" w:fill="auto"/>
          </w:tcPr>
          <w:p w14:paraId="767415BF" w14:textId="77777777" w:rsidR="00C158AC" w:rsidRPr="00E80417" w:rsidRDefault="00C158AC" w:rsidP="006854E5">
            <w:pPr>
              <w:snapToGrid w:val="0"/>
              <w:jc w:val="both"/>
              <w:rPr>
                <w:sz w:val="22"/>
                <w:szCs w:val="22"/>
              </w:rPr>
            </w:pPr>
          </w:p>
        </w:tc>
        <w:tc>
          <w:tcPr>
            <w:tcW w:w="8640" w:type="dxa"/>
            <w:tcBorders>
              <w:top w:val="single" w:sz="4" w:space="0" w:color="000000"/>
            </w:tcBorders>
            <w:shd w:val="clear" w:color="auto" w:fill="auto"/>
          </w:tcPr>
          <w:p w14:paraId="5E732A8F" w14:textId="77777777" w:rsidR="00C158AC" w:rsidRPr="00E80417" w:rsidRDefault="00C158AC" w:rsidP="006854E5">
            <w:pPr>
              <w:snapToGrid w:val="0"/>
              <w:jc w:val="both"/>
              <w:rPr>
                <w:sz w:val="22"/>
                <w:szCs w:val="22"/>
              </w:rPr>
            </w:pPr>
            <w:r w:rsidRPr="00E80417">
              <w:rPr>
                <w:sz w:val="22"/>
                <w:szCs w:val="22"/>
              </w:rPr>
              <w:t>(e-pasta adrese)</w:t>
            </w:r>
          </w:p>
        </w:tc>
      </w:tr>
    </w:tbl>
    <w:p w14:paraId="67EC668C" w14:textId="01290D5A" w:rsidR="00C158AC" w:rsidRPr="00E11B34" w:rsidRDefault="00C158AC" w:rsidP="00A9326E">
      <w:pPr>
        <w:tabs>
          <w:tab w:val="left" w:pos="1682"/>
        </w:tabs>
        <w:rPr>
          <w:sz w:val="22"/>
          <w:szCs w:val="22"/>
        </w:rPr>
      </w:pPr>
    </w:p>
    <w:sectPr w:rsidR="00C158AC" w:rsidRPr="00E11B34" w:rsidSect="00A9326E">
      <w:headerReference w:type="default" r:id="rId9"/>
      <w:footerReference w:type="default" r:id="rId10"/>
      <w:footerReference w:type="first" r:id="rId11"/>
      <w:pgSz w:w="15840" w:h="12240" w:orient="landscape"/>
      <w:pgMar w:top="1021" w:right="1304" w:bottom="1021" w:left="119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6CF38" w14:textId="77777777" w:rsidR="00137D4E" w:rsidRDefault="00137D4E" w:rsidP="00640F75">
      <w:r>
        <w:separator/>
      </w:r>
    </w:p>
  </w:endnote>
  <w:endnote w:type="continuationSeparator" w:id="0">
    <w:p w14:paraId="2156AFB2" w14:textId="77777777" w:rsidR="00137D4E" w:rsidRDefault="00137D4E" w:rsidP="0064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3500" w14:textId="16741287" w:rsidR="00300F3F" w:rsidRPr="00A9326E" w:rsidRDefault="00773B34" w:rsidP="00A9326E">
    <w:pPr>
      <w:rPr>
        <w:sz w:val="20"/>
        <w:szCs w:val="20"/>
      </w:rPr>
    </w:pPr>
    <w:r w:rsidRPr="00A9326E">
      <w:rPr>
        <w:sz w:val="20"/>
        <w:szCs w:val="20"/>
      </w:rPr>
      <w:t>VARAMIzzina_</w:t>
    </w:r>
    <w:r w:rsidR="00341FD8">
      <w:rPr>
        <w:sz w:val="20"/>
        <w:szCs w:val="20"/>
      </w:rPr>
      <w:t>0603</w:t>
    </w:r>
    <w:r w:rsidRPr="00A9326E">
      <w:rPr>
        <w:sz w:val="20"/>
        <w:szCs w:val="20"/>
      </w:rPr>
      <w:t>19_iepirkumi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1E17D" w14:textId="0606ED68" w:rsidR="00300F3F" w:rsidRPr="00B4533D" w:rsidRDefault="00773B34" w:rsidP="00B4533D">
    <w:pPr>
      <w:pStyle w:val="Footer"/>
    </w:pPr>
    <w:r w:rsidRPr="00773B34">
      <w:rPr>
        <w:sz w:val="20"/>
        <w:szCs w:val="20"/>
      </w:rPr>
      <w:t>VARAMIzzina_</w:t>
    </w:r>
    <w:r w:rsidR="00341FD8">
      <w:rPr>
        <w:sz w:val="20"/>
        <w:szCs w:val="20"/>
      </w:rPr>
      <w:t>0603</w:t>
    </w:r>
    <w:r w:rsidRPr="00773B34">
      <w:rPr>
        <w:sz w:val="20"/>
        <w:szCs w:val="20"/>
      </w:rPr>
      <w:t>19_iepirkumi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A14FF" w14:textId="77777777" w:rsidR="00137D4E" w:rsidRDefault="00137D4E" w:rsidP="00640F75">
      <w:r>
        <w:separator/>
      </w:r>
    </w:p>
  </w:footnote>
  <w:footnote w:type="continuationSeparator" w:id="0">
    <w:p w14:paraId="3AEDB6F0" w14:textId="77777777" w:rsidR="00137D4E" w:rsidRDefault="00137D4E" w:rsidP="00640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833482"/>
      <w:docPartObj>
        <w:docPartGallery w:val="Page Numbers (Top of Page)"/>
        <w:docPartUnique/>
      </w:docPartObj>
    </w:sdtPr>
    <w:sdtEndPr/>
    <w:sdtContent>
      <w:p w14:paraId="21E8F3D0" w14:textId="77777777" w:rsidR="00300F3F" w:rsidRDefault="00300F3F">
        <w:pPr>
          <w:pStyle w:val="Header"/>
          <w:jc w:val="center"/>
        </w:pPr>
        <w:r>
          <w:fldChar w:fldCharType="begin"/>
        </w:r>
        <w:r>
          <w:instrText xml:space="preserve"> PAGE   \* MERGEFORMAT </w:instrText>
        </w:r>
        <w:r>
          <w:fldChar w:fldCharType="separate"/>
        </w:r>
        <w:r w:rsidR="00341FD8">
          <w:rPr>
            <w:noProof/>
          </w:rPr>
          <w:t>5</w:t>
        </w:r>
        <w:r>
          <w:rPr>
            <w:noProof/>
          </w:rPr>
          <w:fldChar w:fldCharType="end"/>
        </w:r>
      </w:p>
    </w:sdtContent>
  </w:sdt>
  <w:p w14:paraId="00DE49B5" w14:textId="77777777" w:rsidR="00300F3F" w:rsidRDefault="00300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9C"/>
    <w:multiLevelType w:val="hybridMultilevel"/>
    <w:tmpl w:val="828A5D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1B4D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E33FF6"/>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1B314D"/>
    <w:multiLevelType w:val="hybridMultilevel"/>
    <w:tmpl w:val="FA32FF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A987EE0"/>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F7691"/>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57001A"/>
    <w:multiLevelType w:val="hybridMultilevel"/>
    <w:tmpl w:val="5EAEA174"/>
    <w:lvl w:ilvl="0" w:tplc="D67E31CA">
      <w:start w:val="1"/>
      <w:numFmt w:val="decimal"/>
      <w:lvlText w:val="%1."/>
      <w:lvlJc w:val="left"/>
      <w:pPr>
        <w:ind w:left="927" w:hanging="360"/>
      </w:pPr>
      <w:rPr>
        <w:rFonts w:hint="default"/>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49017DA9"/>
    <w:multiLevelType w:val="hybridMultilevel"/>
    <w:tmpl w:val="4AA61D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B511D6E"/>
    <w:multiLevelType w:val="hybridMultilevel"/>
    <w:tmpl w:val="F15C206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711C30"/>
    <w:multiLevelType w:val="hybridMultilevel"/>
    <w:tmpl w:val="9BB4B6D4"/>
    <w:lvl w:ilvl="0" w:tplc="4D08A5A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69442782"/>
    <w:multiLevelType w:val="hybridMultilevel"/>
    <w:tmpl w:val="ADBEFE50"/>
    <w:lvl w:ilvl="0" w:tplc="C7DA7342">
      <w:start w:val="1"/>
      <w:numFmt w:val="decimal"/>
      <w:lvlText w:val="%1."/>
      <w:lvlJc w:val="left"/>
      <w:pPr>
        <w:ind w:left="720" w:hanging="360"/>
      </w:pPr>
      <w:rPr>
        <w:rFonts w:hint="default"/>
        <w:u w:val="none"/>
      </w:rPr>
    </w:lvl>
    <w:lvl w:ilvl="1" w:tplc="4C6EA304" w:tentative="1">
      <w:start w:val="1"/>
      <w:numFmt w:val="lowerLetter"/>
      <w:lvlText w:val="%2."/>
      <w:lvlJc w:val="left"/>
      <w:pPr>
        <w:ind w:left="1440" w:hanging="360"/>
      </w:pPr>
    </w:lvl>
    <w:lvl w:ilvl="2" w:tplc="571C5F88" w:tentative="1">
      <w:start w:val="1"/>
      <w:numFmt w:val="lowerRoman"/>
      <w:lvlText w:val="%3."/>
      <w:lvlJc w:val="right"/>
      <w:pPr>
        <w:ind w:left="2160" w:hanging="180"/>
      </w:pPr>
    </w:lvl>
    <w:lvl w:ilvl="3" w:tplc="57DCF570" w:tentative="1">
      <w:start w:val="1"/>
      <w:numFmt w:val="decimal"/>
      <w:lvlText w:val="%4."/>
      <w:lvlJc w:val="left"/>
      <w:pPr>
        <w:ind w:left="2880" w:hanging="360"/>
      </w:pPr>
    </w:lvl>
    <w:lvl w:ilvl="4" w:tplc="55E6C986" w:tentative="1">
      <w:start w:val="1"/>
      <w:numFmt w:val="lowerLetter"/>
      <w:lvlText w:val="%5."/>
      <w:lvlJc w:val="left"/>
      <w:pPr>
        <w:ind w:left="3600" w:hanging="360"/>
      </w:pPr>
    </w:lvl>
    <w:lvl w:ilvl="5" w:tplc="92680E9A" w:tentative="1">
      <w:start w:val="1"/>
      <w:numFmt w:val="lowerRoman"/>
      <w:lvlText w:val="%6."/>
      <w:lvlJc w:val="right"/>
      <w:pPr>
        <w:ind w:left="4320" w:hanging="180"/>
      </w:pPr>
    </w:lvl>
    <w:lvl w:ilvl="6" w:tplc="93BC3A7C" w:tentative="1">
      <w:start w:val="1"/>
      <w:numFmt w:val="decimal"/>
      <w:lvlText w:val="%7."/>
      <w:lvlJc w:val="left"/>
      <w:pPr>
        <w:ind w:left="5040" w:hanging="360"/>
      </w:pPr>
    </w:lvl>
    <w:lvl w:ilvl="7" w:tplc="F10053A2" w:tentative="1">
      <w:start w:val="1"/>
      <w:numFmt w:val="lowerLetter"/>
      <w:lvlText w:val="%8."/>
      <w:lvlJc w:val="left"/>
      <w:pPr>
        <w:ind w:left="5760" w:hanging="360"/>
      </w:pPr>
    </w:lvl>
    <w:lvl w:ilvl="8" w:tplc="DC22BBCA" w:tentative="1">
      <w:start w:val="1"/>
      <w:numFmt w:val="lowerRoman"/>
      <w:lvlText w:val="%9."/>
      <w:lvlJc w:val="right"/>
      <w:pPr>
        <w:ind w:left="6480" w:hanging="180"/>
      </w:pPr>
    </w:lvl>
  </w:abstractNum>
  <w:abstractNum w:abstractNumId="11" w15:restartNumberingAfterBreak="0">
    <w:nsid w:val="710B106D"/>
    <w:multiLevelType w:val="hybridMultilevel"/>
    <w:tmpl w:val="4AA61D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2C545CE"/>
    <w:multiLevelType w:val="hybridMultilevel"/>
    <w:tmpl w:val="C4E66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CD1421"/>
    <w:multiLevelType w:val="hybridMultilevel"/>
    <w:tmpl w:val="EAB49BC6"/>
    <w:lvl w:ilvl="0" w:tplc="7D92BF7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6"/>
  </w:num>
  <w:num w:numId="3">
    <w:abstractNumId w:val="10"/>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11"/>
  </w:num>
  <w:num w:numId="10">
    <w:abstractNumId w:val="4"/>
  </w:num>
  <w:num w:numId="11">
    <w:abstractNumId w:val="5"/>
  </w:num>
  <w:num w:numId="12">
    <w:abstractNumId w:val="12"/>
  </w:num>
  <w:num w:numId="13">
    <w:abstractNumId w:val="8"/>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DA"/>
    <w:rsid w:val="0000170B"/>
    <w:rsid w:val="0000476D"/>
    <w:rsid w:val="00004F6B"/>
    <w:rsid w:val="00006F9E"/>
    <w:rsid w:val="00010420"/>
    <w:rsid w:val="000148C4"/>
    <w:rsid w:val="0001557A"/>
    <w:rsid w:val="00015742"/>
    <w:rsid w:val="00016984"/>
    <w:rsid w:val="00021F56"/>
    <w:rsid w:val="0002378C"/>
    <w:rsid w:val="0002526B"/>
    <w:rsid w:val="00026987"/>
    <w:rsid w:val="000278B3"/>
    <w:rsid w:val="000316F2"/>
    <w:rsid w:val="000332DE"/>
    <w:rsid w:val="00034404"/>
    <w:rsid w:val="00042759"/>
    <w:rsid w:val="000447D3"/>
    <w:rsid w:val="00045363"/>
    <w:rsid w:val="000464C3"/>
    <w:rsid w:val="000507A8"/>
    <w:rsid w:val="00050F10"/>
    <w:rsid w:val="00051424"/>
    <w:rsid w:val="0005407B"/>
    <w:rsid w:val="00054868"/>
    <w:rsid w:val="00055537"/>
    <w:rsid w:val="00056EAE"/>
    <w:rsid w:val="0005769F"/>
    <w:rsid w:val="000612DF"/>
    <w:rsid w:val="000632D7"/>
    <w:rsid w:val="00063DAF"/>
    <w:rsid w:val="000667AC"/>
    <w:rsid w:val="00066FD5"/>
    <w:rsid w:val="00070FC4"/>
    <w:rsid w:val="000710EC"/>
    <w:rsid w:val="000739F3"/>
    <w:rsid w:val="00073A5C"/>
    <w:rsid w:val="00074456"/>
    <w:rsid w:val="00080050"/>
    <w:rsid w:val="00080D2C"/>
    <w:rsid w:val="00081D8C"/>
    <w:rsid w:val="00081F96"/>
    <w:rsid w:val="00086445"/>
    <w:rsid w:val="00086636"/>
    <w:rsid w:val="000908C2"/>
    <w:rsid w:val="000910A0"/>
    <w:rsid w:val="000955D5"/>
    <w:rsid w:val="00095C9C"/>
    <w:rsid w:val="000A1AF5"/>
    <w:rsid w:val="000A252A"/>
    <w:rsid w:val="000A2B89"/>
    <w:rsid w:val="000A3522"/>
    <w:rsid w:val="000A57C1"/>
    <w:rsid w:val="000A6E83"/>
    <w:rsid w:val="000B1981"/>
    <w:rsid w:val="000B228E"/>
    <w:rsid w:val="000B3D17"/>
    <w:rsid w:val="000B4BB4"/>
    <w:rsid w:val="000B4E4F"/>
    <w:rsid w:val="000B5D72"/>
    <w:rsid w:val="000B7472"/>
    <w:rsid w:val="000C35F9"/>
    <w:rsid w:val="000C4F3A"/>
    <w:rsid w:val="000C61B1"/>
    <w:rsid w:val="000D1CA0"/>
    <w:rsid w:val="000D2D89"/>
    <w:rsid w:val="000D431D"/>
    <w:rsid w:val="000D647B"/>
    <w:rsid w:val="000E35DC"/>
    <w:rsid w:val="000E3C1C"/>
    <w:rsid w:val="000E3F2F"/>
    <w:rsid w:val="000E406C"/>
    <w:rsid w:val="000F0778"/>
    <w:rsid w:val="000F0B91"/>
    <w:rsid w:val="000F2D2F"/>
    <w:rsid w:val="000F38DF"/>
    <w:rsid w:val="000F3CC5"/>
    <w:rsid w:val="000F769A"/>
    <w:rsid w:val="000F791D"/>
    <w:rsid w:val="00102A8C"/>
    <w:rsid w:val="00102C2F"/>
    <w:rsid w:val="00111403"/>
    <w:rsid w:val="00112899"/>
    <w:rsid w:val="0011421F"/>
    <w:rsid w:val="00114282"/>
    <w:rsid w:val="00114F3C"/>
    <w:rsid w:val="001161CA"/>
    <w:rsid w:val="00120CD5"/>
    <w:rsid w:val="001212D9"/>
    <w:rsid w:val="00121FEA"/>
    <w:rsid w:val="00123C16"/>
    <w:rsid w:val="0012554C"/>
    <w:rsid w:val="00125C5D"/>
    <w:rsid w:val="00130298"/>
    <w:rsid w:val="00132AF5"/>
    <w:rsid w:val="0013461E"/>
    <w:rsid w:val="00137D4E"/>
    <w:rsid w:val="001429C4"/>
    <w:rsid w:val="0014317A"/>
    <w:rsid w:val="001435DD"/>
    <w:rsid w:val="001439B7"/>
    <w:rsid w:val="00145898"/>
    <w:rsid w:val="00145E31"/>
    <w:rsid w:val="00164E43"/>
    <w:rsid w:val="00170B2C"/>
    <w:rsid w:val="00173625"/>
    <w:rsid w:val="001768B9"/>
    <w:rsid w:val="001808F6"/>
    <w:rsid w:val="00180A46"/>
    <w:rsid w:val="001812C8"/>
    <w:rsid w:val="00184F0E"/>
    <w:rsid w:val="0019021E"/>
    <w:rsid w:val="0019211D"/>
    <w:rsid w:val="00192D71"/>
    <w:rsid w:val="00197521"/>
    <w:rsid w:val="001A0116"/>
    <w:rsid w:val="001A0637"/>
    <w:rsid w:val="001A0A52"/>
    <w:rsid w:val="001A1DBB"/>
    <w:rsid w:val="001A239F"/>
    <w:rsid w:val="001A4CDD"/>
    <w:rsid w:val="001B0358"/>
    <w:rsid w:val="001B1213"/>
    <w:rsid w:val="001B1B70"/>
    <w:rsid w:val="001B776D"/>
    <w:rsid w:val="001C04CA"/>
    <w:rsid w:val="001C19FA"/>
    <w:rsid w:val="001C25EE"/>
    <w:rsid w:val="001C4D70"/>
    <w:rsid w:val="001C52DE"/>
    <w:rsid w:val="001C64E4"/>
    <w:rsid w:val="001D0A2D"/>
    <w:rsid w:val="001D14C0"/>
    <w:rsid w:val="001D2152"/>
    <w:rsid w:val="001D4024"/>
    <w:rsid w:val="001D67E0"/>
    <w:rsid w:val="001D760D"/>
    <w:rsid w:val="001E0F37"/>
    <w:rsid w:val="001E12AF"/>
    <w:rsid w:val="001E4B29"/>
    <w:rsid w:val="001E52AA"/>
    <w:rsid w:val="001E7C47"/>
    <w:rsid w:val="001E7FC7"/>
    <w:rsid w:val="001E7FCD"/>
    <w:rsid w:val="001F4913"/>
    <w:rsid w:val="001F52E4"/>
    <w:rsid w:val="001F79AD"/>
    <w:rsid w:val="001F7F61"/>
    <w:rsid w:val="0020107C"/>
    <w:rsid w:val="002022D8"/>
    <w:rsid w:val="00203392"/>
    <w:rsid w:val="0020436C"/>
    <w:rsid w:val="0021115C"/>
    <w:rsid w:val="002131AC"/>
    <w:rsid w:val="00213540"/>
    <w:rsid w:val="002143C3"/>
    <w:rsid w:val="00214696"/>
    <w:rsid w:val="00215B4C"/>
    <w:rsid w:val="00215C78"/>
    <w:rsid w:val="002200FC"/>
    <w:rsid w:val="00220D78"/>
    <w:rsid w:val="00221F5B"/>
    <w:rsid w:val="002223EC"/>
    <w:rsid w:val="0022308A"/>
    <w:rsid w:val="00224790"/>
    <w:rsid w:val="00230B6D"/>
    <w:rsid w:val="0023112F"/>
    <w:rsid w:val="002333D4"/>
    <w:rsid w:val="00241ECB"/>
    <w:rsid w:val="00242D4C"/>
    <w:rsid w:val="00242FFD"/>
    <w:rsid w:val="00252A5D"/>
    <w:rsid w:val="00253469"/>
    <w:rsid w:val="00254663"/>
    <w:rsid w:val="002547FB"/>
    <w:rsid w:val="00254C7D"/>
    <w:rsid w:val="00256280"/>
    <w:rsid w:val="0026082D"/>
    <w:rsid w:val="002614E8"/>
    <w:rsid w:val="00265C9F"/>
    <w:rsid w:val="00272432"/>
    <w:rsid w:val="00276733"/>
    <w:rsid w:val="0027727C"/>
    <w:rsid w:val="00282F6B"/>
    <w:rsid w:val="00292A70"/>
    <w:rsid w:val="00293AE2"/>
    <w:rsid w:val="002948E6"/>
    <w:rsid w:val="002A053B"/>
    <w:rsid w:val="002A0A83"/>
    <w:rsid w:val="002A26C6"/>
    <w:rsid w:val="002A4AFF"/>
    <w:rsid w:val="002A7E69"/>
    <w:rsid w:val="002B0B46"/>
    <w:rsid w:val="002B2FCA"/>
    <w:rsid w:val="002B44E5"/>
    <w:rsid w:val="002B5A50"/>
    <w:rsid w:val="002B5A6D"/>
    <w:rsid w:val="002C2737"/>
    <w:rsid w:val="002C30DA"/>
    <w:rsid w:val="002C37ED"/>
    <w:rsid w:val="002C3D84"/>
    <w:rsid w:val="002C76BB"/>
    <w:rsid w:val="002D697D"/>
    <w:rsid w:val="002D6B08"/>
    <w:rsid w:val="002D793D"/>
    <w:rsid w:val="002E0865"/>
    <w:rsid w:val="002E16C3"/>
    <w:rsid w:val="002E3C54"/>
    <w:rsid w:val="002E6DB6"/>
    <w:rsid w:val="002E7C31"/>
    <w:rsid w:val="002F0663"/>
    <w:rsid w:val="002F130F"/>
    <w:rsid w:val="002F2C00"/>
    <w:rsid w:val="002F3B5E"/>
    <w:rsid w:val="002F42B3"/>
    <w:rsid w:val="00300F3F"/>
    <w:rsid w:val="00305C2A"/>
    <w:rsid w:val="00311261"/>
    <w:rsid w:val="00312425"/>
    <w:rsid w:val="003127D4"/>
    <w:rsid w:val="00312C2B"/>
    <w:rsid w:val="00313669"/>
    <w:rsid w:val="00316083"/>
    <w:rsid w:val="003162B4"/>
    <w:rsid w:val="00316BBF"/>
    <w:rsid w:val="00320A60"/>
    <w:rsid w:val="00321B5B"/>
    <w:rsid w:val="0032525C"/>
    <w:rsid w:val="003257A2"/>
    <w:rsid w:val="00327025"/>
    <w:rsid w:val="00327EA5"/>
    <w:rsid w:val="00327F88"/>
    <w:rsid w:val="00331E1E"/>
    <w:rsid w:val="00334C9E"/>
    <w:rsid w:val="00335BC4"/>
    <w:rsid w:val="00336A73"/>
    <w:rsid w:val="0034087A"/>
    <w:rsid w:val="00341FD8"/>
    <w:rsid w:val="003439D5"/>
    <w:rsid w:val="00352CEE"/>
    <w:rsid w:val="00353B12"/>
    <w:rsid w:val="003547AF"/>
    <w:rsid w:val="003549DC"/>
    <w:rsid w:val="0035500D"/>
    <w:rsid w:val="00356885"/>
    <w:rsid w:val="00357110"/>
    <w:rsid w:val="00361470"/>
    <w:rsid w:val="0036432D"/>
    <w:rsid w:val="00365742"/>
    <w:rsid w:val="00365755"/>
    <w:rsid w:val="00366606"/>
    <w:rsid w:val="0037005A"/>
    <w:rsid w:val="003729FE"/>
    <w:rsid w:val="00376AB0"/>
    <w:rsid w:val="00381E34"/>
    <w:rsid w:val="00382FD9"/>
    <w:rsid w:val="00383926"/>
    <w:rsid w:val="00383BCF"/>
    <w:rsid w:val="00390A08"/>
    <w:rsid w:val="0039123E"/>
    <w:rsid w:val="00393ACB"/>
    <w:rsid w:val="00395175"/>
    <w:rsid w:val="00397555"/>
    <w:rsid w:val="003A15B5"/>
    <w:rsid w:val="003A2937"/>
    <w:rsid w:val="003A33F9"/>
    <w:rsid w:val="003B1ECE"/>
    <w:rsid w:val="003B4739"/>
    <w:rsid w:val="003B4CBC"/>
    <w:rsid w:val="003B6C52"/>
    <w:rsid w:val="003B7D7E"/>
    <w:rsid w:val="003C1C5C"/>
    <w:rsid w:val="003D50D7"/>
    <w:rsid w:val="003E05A5"/>
    <w:rsid w:val="003E2AA0"/>
    <w:rsid w:val="003E35BA"/>
    <w:rsid w:val="003E60AB"/>
    <w:rsid w:val="003E6CD6"/>
    <w:rsid w:val="003E7015"/>
    <w:rsid w:val="003E7F6D"/>
    <w:rsid w:val="003F03A6"/>
    <w:rsid w:val="003F1D69"/>
    <w:rsid w:val="003F3720"/>
    <w:rsid w:val="003F593E"/>
    <w:rsid w:val="003F7C0A"/>
    <w:rsid w:val="00400170"/>
    <w:rsid w:val="004012FC"/>
    <w:rsid w:val="00401B9D"/>
    <w:rsid w:val="00401DB8"/>
    <w:rsid w:val="00407DD2"/>
    <w:rsid w:val="00416E15"/>
    <w:rsid w:val="00417402"/>
    <w:rsid w:val="00417E3C"/>
    <w:rsid w:val="00426F4F"/>
    <w:rsid w:val="0042728E"/>
    <w:rsid w:val="00432967"/>
    <w:rsid w:val="0043437E"/>
    <w:rsid w:val="00434430"/>
    <w:rsid w:val="0044382F"/>
    <w:rsid w:val="00445847"/>
    <w:rsid w:val="00447779"/>
    <w:rsid w:val="00450217"/>
    <w:rsid w:val="004503CC"/>
    <w:rsid w:val="004508ED"/>
    <w:rsid w:val="00451713"/>
    <w:rsid w:val="00453E9A"/>
    <w:rsid w:val="0045435A"/>
    <w:rsid w:val="00454B9B"/>
    <w:rsid w:val="004563D2"/>
    <w:rsid w:val="0045670F"/>
    <w:rsid w:val="004579E6"/>
    <w:rsid w:val="00457CA3"/>
    <w:rsid w:val="0046245E"/>
    <w:rsid w:val="004633CB"/>
    <w:rsid w:val="00465BE5"/>
    <w:rsid w:val="00466D71"/>
    <w:rsid w:val="00467E34"/>
    <w:rsid w:val="004775F8"/>
    <w:rsid w:val="0048134C"/>
    <w:rsid w:val="00483B2E"/>
    <w:rsid w:val="00485AF6"/>
    <w:rsid w:val="00490489"/>
    <w:rsid w:val="00491C2A"/>
    <w:rsid w:val="00497C67"/>
    <w:rsid w:val="004A094E"/>
    <w:rsid w:val="004A1C5E"/>
    <w:rsid w:val="004A4223"/>
    <w:rsid w:val="004A462F"/>
    <w:rsid w:val="004A54DC"/>
    <w:rsid w:val="004A6410"/>
    <w:rsid w:val="004A7EED"/>
    <w:rsid w:val="004B0F73"/>
    <w:rsid w:val="004B3843"/>
    <w:rsid w:val="004B3C5D"/>
    <w:rsid w:val="004C1FDD"/>
    <w:rsid w:val="004C3592"/>
    <w:rsid w:val="004C4274"/>
    <w:rsid w:val="004C43C1"/>
    <w:rsid w:val="004C632A"/>
    <w:rsid w:val="004C726A"/>
    <w:rsid w:val="004D05F4"/>
    <w:rsid w:val="004D3218"/>
    <w:rsid w:val="004D3DAD"/>
    <w:rsid w:val="004E1B42"/>
    <w:rsid w:val="004E4DE7"/>
    <w:rsid w:val="004E5AB2"/>
    <w:rsid w:val="004F1F06"/>
    <w:rsid w:val="004F611D"/>
    <w:rsid w:val="00505412"/>
    <w:rsid w:val="005066F2"/>
    <w:rsid w:val="00506745"/>
    <w:rsid w:val="00507062"/>
    <w:rsid w:val="00512498"/>
    <w:rsid w:val="00515CAC"/>
    <w:rsid w:val="00516958"/>
    <w:rsid w:val="0052205D"/>
    <w:rsid w:val="00522401"/>
    <w:rsid w:val="00523118"/>
    <w:rsid w:val="00525A56"/>
    <w:rsid w:val="005263C2"/>
    <w:rsid w:val="0052675B"/>
    <w:rsid w:val="00527ECA"/>
    <w:rsid w:val="0053043B"/>
    <w:rsid w:val="00532094"/>
    <w:rsid w:val="005346EA"/>
    <w:rsid w:val="00543203"/>
    <w:rsid w:val="00545FAE"/>
    <w:rsid w:val="00551DD2"/>
    <w:rsid w:val="005603FD"/>
    <w:rsid w:val="005615AC"/>
    <w:rsid w:val="00562A0A"/>
    <w:rsid w:val="00564165"/>
    <w:rsid w:val="00564265"/>
    <w:rsid w:val="00565CAD"/>
    <w:rsid w:val="00574140"/>
    <w:rsid w:val="00574317"/>
    <w:rsid w:val="00577054"/>
    <w:rsid w:val="00583866"/>
    <w:rsid w:val="00583887"/>
    <w:rsid w:val="00583899"/>
    <w:rsid w:val="00586BA6"/>
    <w:rsid w:val="00587684"/>
    <w:rsid w:val="005A03A2"/>
    <w:rsid w:val="005A05D6"/>
    <w:rsid w:val="005A1D80"/>
    <w:rsid w:val="005A25DE"/>
    <w:rsid w:val="005A3554"/>
    <w:rsid w:val="005A3E5B"/>
    <w:rsid w:val="005A5531"/>
    <w:rsid w:val="005A565A"/>
    <w:rsid w:val="005A6860"/>
    <w:rsid w:val="005B00E4"/>
    <w:rsid w:val="005B2ADB"/>
    <w:rsid w:val="005B2B87"/>
    <w:rsid w:val="005B3411"/>
    <w:rsid w:val="005B39B6"/>
    <w:rsid w:val="005B49D0"/>
    <w:rsid w:val="005B626C"/>
    <w:rsid w:val="005C36FC"/>
    <w:rsid w:val="005C3E60"/>
    <w:rsid w:val="005C7E1A"/>
    <w:rsid w:val="005C7F61"/>
    <w:rsid w:val="005D206D"/>
    <w:rsid w:val="005D2FA2"/>
    <w:rsid w:val="005D4104"/>
    <w:rsid w:val="005D4B26"/>
    <w:rsid w:val="005D50B7"/>
    <w:rsid w:val="005E0286"/>
    <w:rsid w:val="005E649A"/>
    <w:rsid w:val="005F6FE9"/>
    <w:rsid w:val="005F7BE2"/>
    <w:rsid w:val="00604A42"/>
    <w:rsid w:val="00604BD6"/>
    <w:rsid w:val="0060539A"/>
    <w:rsid w:val="00610C5F"/>
    <w:rsid w:val="00613D9F"/>
    <w:rsid w:val="00615BB4"/>
    <w:rsid w:val="00620EE1"/>
    <w:rsid w:val="00623C5C"/>
    <w:rsid w:val="006300ED"/>
    <w:rsid w:val="006328D7"/>
    <w:rsid w:val="00633731"/>
    <w:rsid w:val="00634EAB"/>
    <w:rsid w:val="00635C94"/>
    <w:rsid w:val="00637D6B"/>
    <w:rsid w:val="006405A4"/>
    <w:rsid w:val="00640E25"/>
    <w:rsid w:val="00640F75"/>
    <w:rsid w:val="006426A7"/>
    <w:rsid w:val="0064388C"/>
    <w:rsid w:val="00644F1B"/>
    <w:rsid w:val="00647B11"/>
    <w:rsid w:val="0065156C"/>
    <w:rsid w:val="00651D54"/>
    <w:rsid w:val="006540BD"/>
    <w:rsid w:val="006633D6"/>
    <w:rsid w:val="00664D78"/>
    <w:rsid w:val="00665530"/>
    <w:rsid w:val="006671E5"/>
    <w:rsid w:val="00667411"/>
    <w:rsid w:val="006706D4"/>
    <w:rsid w:val="00671B82"/>
    <w:rsid w:val="00675AB2"/>
    <w:rsid w:val="00681E34"/>
    <w:rsid w:val="0068348F"/>
    <w:rsid w:val="006854E5"/>
    <w:rsid w:val="006865FB"/>
    <w:rsid w:val="00687381"/>
    <w:rsid w:val="00687829"/>
    <w:rsid w:val="00687D51"/>
    <w:rsid w:val="00690171"/>
    <w:rsid w:val="00692673"/>
    <w:rsid w:val="006941D8"/>
    <w:rsid w:val="006943B5"/>
    <w:rsid w:val="00694A04"/>
    <w:rsid w:val="00695A97"/>
    <w:rsid w:val="006972B7"/>
    <w:rsid w:val="006A1344"/>
    <w:rsid w:val="006A2D4B"/>
    <w:rsid w:val="006A6CB0"/>
    <w:rsid w:val="006A7DD2"/>
    <w:rsid w:val="006B1DEC"/>
    <w:rsid w:val="006B28DB"/>
    <w:rsid w:val="006B3304"/>
    <w:rsid w:val="006B337D"/>
    <w:rsid w:val="006B454A"/>
    <w:rsid w:val="006B56C9"/>
    <w:rsid w:val="006B6370"/>
    <w:rsid w:val="006B6F8C"/>
    <w:rsid w:val="006B7D6B"/>
    <w:rsid w:val="006C2413"/>
    <w:rsid w:val="006C2C2D"/>
    <w:rsid w:val="006C33E8"/>
    <w:rsid w:val="006C5583"/>
    <w:rsid w:val="006C63A9"/>
    <w:rsid w:val="006D39EC"/>
    <w:rsid w:val="006D6490"/>
    <w:rsid w:val="006E2D66"/>
    <w:rsid w:val="006E3EF0"/>
    <w:rsid w:val="006E6B95"/>
    <w:rsid w:val="006E76FB"/>
    <w:rsid w:val="006F3FF4"/>
    <w:rsid w:val="006F401C"/>
    <w:rsid w:val="006F547C"/>
    <w:rsid w:val="006F669D"/>
    <w:rsid w:val="006F6AD0"/>
    <w:rsid w:val="006F7B06"/>
    <w:rsid w:val="007001CF"/>
    <w:rsid w:val="007005FF"/>
    <w:rsid w:val="00704B27"/>
    <w:rsid w:val="00705A4C"/>
    <w:rsid w:val="007061F5"/>
    <w:rsid w:val="0071046F"/>
    <w:rsid w:val="0071084E"/>
    <w:rsid w:val="00710904"/>
    <w:rsid w:val="00712781"/>
    <w:rsid w:val="007205D3"/>
    <w:rsid w:val="007217B8"/>
    <w:rsid w:val="00721805"/>
    <w:rsid w:val="00722ED3"/>
    <w:rsid w:val="007305BB"/>
    <w:rsid w:val="007310F7"/>
    <w:rsid w:val="0073578F"/>
    <w:rsid w:val="00736659"/>
    <w:rsid w:val="00743C1E"/>
    <w:rsid w:val="007441DC"/>
    <w:rsid w:val="00747C12"/>
    <w:rsid w:val="0075251D"/>
    <w:rsid w:val="007576F7"/>
    <w:rsid w:val="007603B5"/>
    <w:rsid w:val="0076520A"/>
    <w:rsid w:val="007653DF"/>
    <w:rsid w:val="007677C7"/>
    <w:rsid w:val="007706DA"/>
    <w:rsid w:val="00770972"/>
    <w:rsid w:val="0077229E"/>
    <w:rsid w:val="00773B0F"/>
    <w:rsid w:val="00773B34"/>
    <w:rsid w:val="00775227"/>
    <w:rsid w:val="0077662A"/>
    <w:rsid w:val="00780B2D"/>
    <w:rsid w:val="00782432"/>
    <w:rsid w:val="00782525"/>
    <w:rsid w:val="0078575A"/>
    <w:rsid w:val="00790BBC"/>
    <w:rsid w:val="00792C17"/>
    <w:rsid w:val="007941FB"/>
    <w:rsid w:val="007943FF"/>
    <w:rsid w:val="00797162"/>
    <w:rsid w:val="007A14FB"/>
    <w:rsid w:val="007A179D"/>
    <w:rsid w:val="007A1FC8"/>
    <w:rsid w:val="007A24C4"/>
    <w:rsid w:val="007A3BFB"/>
    <w:rsid w:val="007A544F"/>
    <w:rsid w:val="007A7298"/>
    <w:rsid w:val="007A7777"/>
    <w:rsid w:val="007B04B6"/>
    <w:rsid w:val="007B3055"/>
    <w:rsid w:val="007B5D62"/>
    <w:rsid w:val="007B7F86"/>
    <w:rsid w:val="007C08C1"/>
    <w:rsid w:val="007C2456"/>
    <w:rsid w:val="007C4D5F"/>
    <w:rsid w:val="007C66CC"/>
    <w:rsid w:val="007C68E0"/>
    <w:rsid w:val="007C77F9"/>
    <w:rsid w:val="007D1A04"/>
    <w:rsid w:val="007D25EF"/>
    <w:rsid w:val="007D31D0"/>
    <w:rsid w:val="007D4EB8"/>
    <w:rsid w:val="007D510F"/>
    <w:rsid w:val="007E18DD"/>
    <w:rsid w:val="007E1D1A"/>
    <w:rsid w:val="007E39DC"/>
    <w:rsid w:val="007F0CBB"/>
    <w:rsid w:val="007F12A1"/>
    <w:rsid w:val="007F1510"/>
    <w:rsid w:val="007F23E0"/>
    <w:rsid w:val="007F539C"/>
    <w:rsid w:val="007F6F02"/>
    <w:rsid w:val="00800805"/>
    <w:rsid w:val="00801573"/>
    <w:rsid w:val="0080362F"/>
    <w:rsid w:val="00807F69"/>
    <w:rsid w:val="008154A4"/>
    <w:rsid w:val="0081736E"/>
    <w:rsid w:val="00817B19"/>
    <w:rsid w:val="00821DA1"/>
    <w:rsid w:val="00822A79"/>
    <w:rsid w:val="0082415E"/>
    <w:rsid w:val="00827423"/>
    <w:rsid w:val="0083206D"/>
    <w:rsid w:val="00832546"/>
    <w:rsid w:val="008348DB"/>
    <w:rsid w:val="00841BFE"/>
    <w:rsid w:val="00841C85"/>
    <w:rsid w:val="008449A9"/>
    <w:rsid w:val="00847AF6"/>
    <w:rsid w:val="008540E2"/>
    <w:rsid w:val="00855607"/>
    <w:rsid w:val="008600F5"/>
    <w:rsid w:val="0086122D"/>
    <w:rsid w:val="0086205D"/>
    <w:rsid w:val="00866ED4"/>
    <w:rsid w:val="00867119"/>
    <w:rsid w:val="00870336"/>
    <w:rsid w:val="0087490C"/>
    <w:rsid w:val="008754E2"/>
    <w:rsid w:val="00876D93"/>
    <w:rsid w:val="00882D4B"/>
    <w:rsid w:val="00885D66"/>
    <w:rsid w:val="008879FD"/>
    <w:rsid w:val="00887CFD"/>
    <w:rsid w:val="00890403"/>
    <w:rsid w:val="0089041C"/>
    <w:rsid w:val="008904D3"/>
    <w:rsid w:val="00891A7B"/>
    <w:rsid w:val="00894676"/>
    <w:rsid w:val="00896D22"/>
    <w:rsid w:val="008A2C67"/>
    <w:rsid w:val="008A341A"/>
    <w:rsid w:val="008A403D"/>
    <w:rsid w:val="008A4E76"/>
    <w:rsid w:val="008A617F"/>
    <w:rsid w:val="008A7B16"/>
    <w:rsid w:val="008B47C1"/>
    <w:rsid w:val="008B5CC1"/>
    <w:rsid w:val="008C07D2"/>
    <w:rsid w:val="008C10A0"/>
    <w:rsid w:val="008C1EC8"/>
    <w:rsid w:val="008C541A"/>
    <w:rsid w:val="008C774C"/>
    <w:rsid w:val="008D1098"/>
    <w:rsid w:val="008D135D"/>
    <w:rsid w:val="008D3CE6"/>
    <w:rsid w:val="008D3D05"/>
    <w:rsid w:val="008E05CF"/>
    <w:rsid w:val="008E2362"/>
    <w:rsid w:val="008E240B"/>
    <w:rsid w:val="008E2DAA"/>
    <w:rsid w:val="008E323F"/>
    <w:rsid w:val="008E34AF"/>
    <w:rsid w:val="008E40BE"/>
    <w:rsid w:val="008F1518"/>
    <w:rsid w:val="008F2319"/>
    <w:rsid w:val="008F3736"/>
    <w:rsid w:val="008F4D5C"/>
    <w:rsid w:val="008F5842"/>
    <w:rsid w:val="008F6C9D"/>
    <w:rsid w:val="00900A4E"/>
    <w:rsid w:val="0090100A"/>
    <w:rsid w:val="00901820"/>
    <w:rsid w:val="00901ADD"/>
    <w:rsid w:val="0090223F"/>
    <w:rsid w:val="0090340E"/>
    <w:rsid w:val="00903C92"/>
    <w:rsid w:val="00905BF8"/>
    <w:rsid w:val="0090700A"/>
    <w:rsid w:val="009114F9"/>
    <w:rsid w:val="00915239"/>
    <w:rsid w:val="00915E3C"/>
    <w:rsid w:val="0091638A"/>
    <w:rsid w:val="009200B0"/>
    <w:rsid w:val="00921EA0"/>
    <w:rsid w:val="00923C12"/>
    <w:rsid w:val="009253C3"/>
    <w:rsid w:val="00927BDD"/>
    <w:rsid w:val="00931849"/>
    <w:rsid w:val="0093219A"/>
    <w:rsid w:val="00932837"/>
    <w:rsid w:val="009332FD"/>
    <w:rsid w:val="00933674"/>
    <w:rsid w:val="00937CEB"/>
    <w:rsid w:val="0094218D"/>
    <w:rsid w:val="00943064"/>
    <w:rsid w:val="00943A5A"/>
    <w:rsid w:val="00944C6E"/>
    <w:rsid w:val="009451BA"/>
    <w:rsid w:val="009464DF"/>
    <w:rsid w:val="009500A3"/>
    <w:rsid w:val="00951C20"/>
    <w:rsid w:val="00955BAE"/>
    <w:rsid w:val="00956729"/>
    <w:rsid w:val="00956DBB"/>
    <w:rsid w:val="009606FF"/>
    <w:rsid w:val="0096115D"/>
    <w:rsid w:val="0096145E"/>
    <w:rsid w:val="00962341"/>
    <w:rsid w:val="009627A5"/>
    <w:rsid w:val="0096474B"/>
    <w:rsid w:val="009652E5"/>
    <w:rsid w:val="00965D9D"/>
    <w:rsid w:val="00967D25"/>
    <w:rsid w:val="00976350"/>
    <w:rsid w:val="009837B1"/>
    <w:rsid w:val="00986580"/>
    <w:rsid w:val="00990524"/>
    <w:rsid w:val="00991566"/>
    <w:rsid w:val="00995038"/>
    <w:rsid w:val="009956F6"/>
    <w:rsid w:val="00995D17"/>
    <w:rsid w:val="009A3E71"/>
    <w:rsid w:val="009A55FF"/>
    <w:rsid w:val="009B1FCC"/>
    <w:rsid w:val="009B3639"/>
    <w:rsid w:val="009B5F28"/>
    <w:rsid w:val="009C0DFE"/>
    <w:rsid w:val="009C4201"/>
    <w:rsid w:val="009D0C83"/>
    <w:rsid w:val="009D168F"/>
    <w:rsid w:val="009E012A"/>
    <w:rsid w:val="009E377D"/>
    <w:rsid w:val="009E5459"/>
    <w:rsid w:val="009F1523"/>
    <w:rsid w:val="009F1F96"/>
    <w:rsid w:val="009F53BB"/>
    <w:rsid w:val="00A00A07"/>
    <w:rsid w:val="00A0275A"/>
    <w:rsid w:val="00A06F7B"/>
    <w:rsid w:val="00A11817"/>
    <w:rsid w:val="00A11F7D"/>
    <w:rsid w:val="00A12211"/>
    <w:rsid w:val="00A12B2E"/>
    <w:rsid w:val="00A13086"/>
    <w:rsid w:val="00A202A9"/>
    <w:rsid w:val="00A22C28"/>
    <w:rsid w:val="00A243FE"/>
    <w:rsid w:val="00A250A2"/>
    <w:rsid w:val="00A26647"/>
    <w:rsid w:val="00A27303"/>
    <w:rsid w:val="00A2764C"/>
    <w:rsid w:val="00A27A4C"/>
    <w:rsid w:val="00A32693"/>
    <w:rsid w:val="00A339F4"/>
    <w:rsid w:val="00A357DC"/>
    <w:rsid w:val="00A37E6A"/>
    <w:rsid w:val="00A431C4"/>
    <w:rsid w:val="00A44C67"/>
    <w:rsid w:val="00A46B61"/>
    <w:rsid w:val="00A47EA5"/>
    <w:rsid w:val="00A47FDD"/>
    <w:rsid w:val="00A526D3"/>
    <w:rsid w:val="00A53AC5"/>
    <w:rsid w:val="00A57B0B"/>
    <w:rsid w:val="00A60925"/>
    <w:rsid w:val="00A62710"/>
    <w:rsid w:val="00A63BA4"/>
    <w:rsid w:val="00A66C78"/>
    <w:rsid w:val="00A67F78"/>
    <w:rsid w:val="00A74E59"/>
    <w:rsid w:val="00A757AA"/>
    <w:rsid w:val="00A75F9B"/>
    <w:rsid w:val="00A77AFD"/>
    <w:rsid w:val="00A8198D"/>
    <w:rsid w:val="00A8291F"/>
    <w:rsid w:val="00A83514"/>
    <w:rsid w:val="00A87B38"/>
    <w:rsid w:val="00A9090F"/>
    <w:rsid w:val="00A9326E"/>
    <w:rsid w:val="00A9413D"/>
    <w:rsid w:val="00A94F5B"/>
    <w:rsid w:val="00AA547D"/>
    <w:rsid w:val="00AA64F1"/>
    <w:rsid w:val="00AA75DA"/>
    <w:rsid w:val="00AB77B2"/>
    <w:rsid w:val="00AC4857"/>
    <w:rsid w:val="00AC5751"/>
    <w:rsid w:val="00AC7133"/>
    <w:rsid w:val="00AD0375"/>
    <w:rsid w:val="00AE49E0"/>
    <w:rsid w:val="00AE50A5"/>
    <w:rsid w:val="00AE7516"/>
    <w:rsid w:val="00AF1D53"/>
    <w:rsid w:val="00AF314E"/>
    <w:rsid w:val="00AF6C67"/>
    <w:rsid w:val="00AF7444"/>
    <w:rsid w:val="00B02982"/>
    <w:rsid w:val="00B03056"/>
    <w:rsid w:val="00B045E3"/>
    <w:rsid w:val="00B066AF"/>
    <w:rsid w:val="00B10859"/>
    <w:rsid w:val="00B1378C"/>
    <w:rsid w:val="00B15822"/>
    <w:rsid w:val="00B16695"/>
    <w:rsid w:val="00B236F4"/>
    <w:rsid w:val="00B23C52"/>
    <w:rsid w:val="00B23E90"/>
    <w:rsid w:val="00B259A7"/>
    <w:rsid w:val="00B26D2B"/>
    <w:rsid w:val="00B307D6"/>
    <w:rsid w:val="00B336D0"/>
    <w:rsid w:val="00B338E7"/>
    <w:rsid w:val="00B35DD4"/>
    <w:rsid w:val="00B36997"/>
    <w:rsid w:val="00B44E93"/>
    <w:rsid w:val="00B4533D"/>
    <w:rsid w:val="00B45700"/>
    <w:rsid w:val="00B4576A"/>
    <w:rsid w:val="00B45F5C"/>
    <w:rsid w:val="00B46187"/>
    <w:rsid w:val="00B461F1"/>
    <w:rsid w:val="00B54149"/>
    <w:rsid w:val="00B546EF"/>
    <w:rsid w:val="00B54F31"/>
    <w:rsid w:val="00B55068"/>
    <w:rsid w:val="00B573D1"/>
    <w:rsid w:val="00B606CF"/>
    <w:rsid w:val="00B62880"/>
    <w:rsid w:val="00B65123"/>
    <w:rsid w:val="00B656B4"/>
    <w:rsid w:val="00B66C19"/>
    <w:rsid w:val="00B66DBD"/>
    <w:rsid w:val="00B67657"/>
    <w:rsid w:val="00B71F67"/>
    <w:rsid w:val="00B72200"/>
    <w:rsid w:val="00B731D2"/>
    <w:rsid w:val="00B73F7C"/>
    <w:rsid w:val="00B770E9"/>
    <w:rsid w:val="00B7784D"/>
    <w:rsid w:val="00B77A7B"/>
    <w:rsid w:val="00B80A55"/>
    <w:rsid w:val="00B8104E"/>
    <w:rsid w:val="00B8431F"/>
    <w:rsid w:val="00B858DA"/>
    <w:rsid w:val="00B91560"/>
    <w:rsid w:val="00B9217A"/>
    <w:rsid w:val="00B9450E"/>
    <w:rsid w:val="00B953A2"/>
    <w:rsid w:val="00BB032A"/>
    <w:rsid w:val="00BB107A"/>
    <w:rsid w:val="00BB4004"/>
    <w:rsid w:val="00BB54D2"/>
    <w:rsid w:val="00BB7B68"/>
    <w:rsid w:val="00BC0063"/>
    <w:rsid w:val="00BC0BA3"/>
    <w:rsid w:val="00BC49D6"/>
    <w:rsid w:val="00BC5554"/>
    <w:rsid w:val="00BC5699"/>
    <w:rsid w:val="00BC6630"/>
    <w:rsid w:val="00BD08ED"/>
    <w:rsid w:val="00BD0E82"/>
    <w:rsid w:val="00BD1868"/>
    <w:rsid w:val="00BD38E3"/>
    <w:rsid w:val="00BD3B75"/>
    <w:rsid w:val="00BD4D05"/>
    <w:rsid w:val="00BD7B58"/>
    <w:rsid w:val="00BE1792"/>
    <w:rsid w:val="00BE2BAD"/>
    <w:rsid w:val="00BE376A"/>
    <w:rsid w:val="00BE4177"/>
    <w:rsid w:val="00BE4680"/>
    <w:rsid w:val="00BE5721"/>
    <w:rsid w:val="00BE58B4"/>
    <w:rsid w:val="00BF0F55"/>
    <w:rsid w:val="00BF4232"/>
    <w:rsid w:val="00BF52DD"/>
    <w:rsid w:val="00BF55B3"/>
    <w:rsid w:val="00BF56BF"/>
    <w:rsid w:val="00C01661"/>
    <w:rsid w:val="00C01BD1"/>
    <w:rsid w:val="00C0245D"/>
    <w:rsid w:val="00C03E40"/>
    <w:rsid w:val="00C04356"/>
    <w:rsid w:val="00C07F61"/>
    <w:rsid w:val="00C112B7"/>
    <w:rsid w:val="00C11CC2"/>
    <w:rsid w:val="00C11EB2"/>
    <w:rsid w:val="00C14559"/>
    <w:rsid w:val="00C14D9F"/>
    <w:rsid w:val="00C152BD"/>
    <w:rsid w:val="00C158AC"/>
    <w:rsid w:val="00C15B91"/>
    <w:rsid w:val="00C22634"/>
    <w:rsid w:val="00C247DA"/>
    <w:rsid w:val="00C25630"/>
    <w:rsid w:val="00C26363"/>
    <w:rsid w:val="00C31144"/>
    <w:rsid w:val="00C320AA"/>
    <w:rsid w:val="00C35720"/>
    <w:rsid w:val="00C35A2A"/>
    <w:rsid w:val="00C41CF7"/>
    <w:rsid w:val="00C42782"/>
    <w:rsid w:val="00C464E5"/>
    <w:rsid w:val="00C51BEC"/>
    <w:rsid w:val="00C5576C"/>
    <w:rsid w:val="00C57542"/>
    <w:rsid w:val="00C57A6A"/>
    <w:rsid w:val="00C57BBD"/>
    <w:rsid w:val="00C61EBC"/>
    <w:rsid w:val="00C62717"/>
    <w:rsid w:val="00C631DA"/>
    <w:rsid w:val="00C645B4"/>
    <w:rsid w:val="00C65E92"/>
    <w:rsid w:val="00C665F8"/>
    <w:rsid w:val="00C7037E"/>
    <w:rsid w:val="00C71A26"/>
    <w:rsid w:val="00C72EDF"/>
    <w:rsid w:val="00C7395F"/>
    <w:rsid w:val="00C74BF3"/>
    <w:rsid w:val="00C74DC4"/>
    <w:rsid w:val="00C812C4"/>
    <w:rsid w:val="00C83945"/>
    <w:rsid w:val="00C86234"/>
    <w:rsid w:val="00C8641A"/>
    <w:rsid w:val="00C87B04"/>
    <w:rsid w:val="00C90434"/>
    <w:rsid w:val="00C91472"/>
    <w:rsid w:val="00C91604"/>
    <w:rsid w:val="00C916B9"/>
    <w:rsid w:val="00C91BA9"/>
    <w:rsid w:val="00C9296D"/>
    <w:rsid w:val="00C93F3E"/>
    <w:rsid w:val="00C97049"/>
    <w:rsid w:val="00CA191F"/>
    <w:rsid w:val="00CA34CB"/>
    <w:rsid w:val="00CA4A64"/>
    <w:rsid w:val="00CA4B5E"/>
    <w:rsid w:val="00CA68E5"/>
    <w:rsid w:val="00CA6F75"/>
    <w:rsid w:val="00CB2570"/>
    <w:rsid w:val="00CB587A"/>
    <w:rsid w:val="00CB607D"/>
    <w:rsid w:val="00CB74A8"/>
    <w:rsid w:val="00CC05FD"/>
    <w:rsid w:val="00CC21C3"/>
    <w:rsid w:val="00CC2769"/>
    <w:rsid w:val="00CC39A1"/>
    <w:rsid w:val="00CC3C71"/>
    <w:rsid w:val="00CC4E09"/>
    <w:rsid w:val="00CD2A7B"/>
    <w:rsid w:val="00CD4693"/>
    <w:rsid w:val="00CD5382"/>
    <w:rsid w:val="00CD6764"/>
    <w:rsid w:val="00CD6F6D"/>
    <w:rsid w:val="00CD7E9A"/>
    <w:rsid w:val="00CE00F7"/>
    <w:rsid w:val="00CE2FEC"/>
    <w:rsid w:val="00CE3649"/>
    <w:rsid w:val="00CE388F"/>
    <w:rsid w:val="00CF0E03"/>
    <w:rsid w:val="00CF266F"/>
    <w:rsid w:val="00CF2DFC"/>
    <w:rsid w:val="00CF437D"/>
    <w:rsid w:val="00CF6877"/>
    <w:rsid w:val="00CF6D79"/>
    <w:rsid w:val="00D03BE9"/>
    <w:rsid w:val="00D0489B"/>
    <w:rsid w:val="00D060AE"/>
    <w:rsid w:val="00D073FE"/>
    <w:rsid w:val="00D10502"/>
    <w:rsid w:val="00D12371"/>
    <w:rsid w:val="00D145E6"/>
    <w:rsid w:val="00D14E0E"/>
    <w:rsid w:val="00D15BC2"/>
    <w:rsid w:val="00D17CDA"/>
    <w:rsid w:val="00D22293"/>
    <w:rsid w:val="00D226D3"/>
    <w:rsid w:val="00D2306F"/>
    <w:rsid w:val="00D24B5C"/>
    <w:rsid w:val="00D26034"/>
    <w:rsid w:val="00D261AD"/>
    <w:rsid w:val="00D275F2"/>
    <w:rsid w:val="00D30B9E"/>
    <w:rsid w:val="00D33349"/>
    <w:rsid w:val="00D3420C"/>
    <w:rsid w:val="00D34E39"/>
    <w:rsid w:val="00D35950"/>
    <w:rsid w:val="00D41E49"/>
    <w:rsid w:val="00D42D16"/>
    <w:rsid w:val="00D444FD"/>
    <w:rsid w:val="00D5160F"/>
    <w:rsid w:val="00D537CF"/>
    <w:rsid w:val="00D54AF0"/>
    <w:rsid w:val="00D60C74"/>
    <w:rsid w:val="00D63464"/>
    <w:rsid w:val="00D661C3"/>
    <w:rsid w:val="00D67C1F"/>
    <w:rsid w:val="00D72535"/>
    <w:rsid w:val="00D74AAE"/>
    <w:rsid w:val="00D74E99"/>
    <w:rsid w:val="00D772BE"/>
    <w:rsid w:val="00D81330"/>
    <w:rsid w:val="00D8134C"/>
    <w:rsid w:val="00D81DF4"/>
    <w:rsid w:val="00D84F62"/>
    <w:rsid w:val="00D927B7"/>
    <w:rsid w:val="00D947CC"/>
    <w:rsid w:val="00D95422"/>
    <w:rsid w:val="00D96878"/>
    <w:rsid w:val="00DA473B"/>
    <w:rsid w:val="00DA54C8"/>
    <w:rsid w:val="00DA64D9"/>
    <w:rsid w:val="00DA6CE2"/>
    <w:rsid w:val="00DA6E94"/>
    <w:rsid w:val="00DB650A"/>
    <w:rsid w:val="00DB7BEE"/>
    <w:rsid w:val="00DC2294"/>
    <w:rsid w:val="00DC58F6"/>
    <w:rsid w:val="00DC5939"/>
    <w:rsid w:val="00DD0635"/>
    <w:rsid w:val="00DD34D5"/>
    <w:rsid w:val="00DD35EA"/>
    <w:rsid w:val="00DD3A16"/>
    <w:rsid w:val="00DD3C64"/>
    <w:rsid w:val="00DD6089"/>
    <w:rsid w:val="00DE2EBF"/>
    <w:rsid w:val="00DE5FD2"/>
    <w:rsid w:val="00DE6E6A"/>
    <w:rsid w:val="00DF0535"/>
    <w:rsid w:val="00DF2BD8"/>
    <w:rsid w:val="00DF33F9"/>
    <w:rsid w:val="00DF50A0"/>
    <w:rsid w:val="00DF5AC4"/>
    <w:rsid w:val="00DF5EFF"/>
    <w:rsid w:val="00DF6056"/>
    <w:rsid w:val="00E01C92"/>
    <w:rsid w:val="00E02B73"/>
    <w:rsid w:val="00E03416"/>
    <w:rsid w:val="00E034AC"/>
    <w:rsid w:val="00E06CC8"/>
    <w:rsid w:val="00E11B34"/>
    <w:rsid w:val="00E135B1"/>
    <w:rsid w:val="00E1582A"/>
    <w:rsid w:val="00E17249"/>
    <w:rsid w:val="00E175F0"/>
    <w:rsid w:val="00E21BEE"/>
    <w:rsid w:val="00E23EC6"/>
    <w:rsid w:val="00E24235"/>
    <w:rsid w:val="00E25191"/>
    <w:rsid w:val="00E32305"/>
    <w:rsid w:val="00E33506"/>
    <w:rsid w:val="00E338FF"/>
    <w:rsid w:val="00E35228"/>
    <w:rsid w:val="00E359B0"/>
    <w:rsid w:val="00E37385"/>
    <w:rsid w:val="00E376A7"/>
    <w:rsid w:val="00E420D4"/>
    <w:rsid w:val="00E503D3"/>
    <w:rsid w:val="00E5069A"/>
    <w:rsid w:val="00E50CB3"/>
    <w:rsid w:val="00E515B5"/>
    <w:rsid w:val="00E522FA"/>
    <w:rsid w:val="00E52DC6"/>
    <w:rsid w:val="00E53298"/>
    <w:rsid w:val="00E5575F"/>
    <w:rsid w:val="00E63682"/>
    <w:rsid w:val="00E65394"/>
    <w:rsid w:val="00E6732E"/>
    <w:rsid w:val="00E6751B"/>
    <w:rsid w:val="00E75AC3"/>
    <w:rsid w:val="00E76DA3"/>
    <w:rsid w:val="00E77274"/>
    <w:rsid w:val="00E77796"/>
    <w:rsid w:val="00E80417"/>
    <w:rsid w:val="00E819E2"/>
    <w:rsid w:val="00E83EC3"/>
    <w:rsid w:val="00E87B45"/>
    <w:rsid w:val="00E87BD8"/>
    <w:rsid w:val="00EA1670"/>
    <w:rsid w:val="00EA16D2"/>
    <w:rsid w:val="00EA35BA"/>
    <w:rsid w:val="00EA3F0E"/>
    <w:rsid w:val="00EA4780"/>
    <w:rsid w:val="00EA5C44"/>
    <w:rsid w:val="00EA5CB8"/>
    <w:rsid w:val="00EA6321"/>
    <w:rsid w:val="00EA7679"/>
    <w:rsid w:val="00EB2149"/>
    <w:rsid w:val="00EB2A15"/>
    <w:rsid w:val="00EB2EDA"/>
    <w:rsid w:val="00EB5A95"/>
    <w:rsid w:val="00EB5F92"/>
    <w:rsid w:val="00EB68D6"/>
    <w:rsid w:val="00EC0713"/>
    <w:rsid w:val="00EC411C"/>
    <w:rsid w:val="00EC4A09"/>
    <w:rsid w:val="00EC4B2A"/>
    <w:rsid w:val="00EC6CBB"/>
    <w:rsid w:val="00ED2EDF"/>
    <w:rsid w:val="00ED4F31"/>
    <w:rsid w:val="00EE03F6"/>
    <w:rsid w:val="00EE28B6"/>
    <w:rsid w:val="00EE312C"/>
    <w:rsid w:val="00EE49C4"/>
    <w:rsid w:val="00EE6188"/>
    <w:rsid w:val="00EE6EC4"/>
    <w:rsid w:val="00EE78BB"/>
    <w:rsid w:val="00EF0AA7"/>
    <w:rsid w:val="00EF0DFD"/>
    <w:rsid w:val="00EF1371"/>
    <w:rsid w:val="00EF3452"/>
    <w:rsid w:val="00EF4BA6"/>
    <w:rsid w:val="00F00F50"/>
    <w:rsid w:val="00F01D96"/>
    <w:rsid w:val="00F01E3B"/>
    <w:rsid w:val="00F050CD"/>
    <w:rsid w:val="00F10F95"/>
    <w:rsid w:val="00F13E30"/>
    <w:rsid w:val="00F17328"/>
    <w:rsid w:val="00F21B62"/>
    <w:rsid w:val="00F2238B"/>
    <w:rsid w:val="00F2274B"/>
    <w:rsid w:val="00F22A17"/>
    <w:rsid w:val="00F235E1"/>
    <w:rsid w:val="00F2401C"/>
    <w:rsid w:val="00F30295"/>
    <w:rsid w:val="00F326E7"/>
    <w:rsid w:val="00F3337C"/>
    <w:rsid w:val="00F336A9"/>
    <w:rsid w:val="00F337B5"/>
    <w:rsid w:val="00F3477C"/>
    <w:rsid w:val="00F37854"/>
    <w:rsid w:val="00F419FD"/>
    <w:rsid w:val="00F4492B"/>
    <w:rsid w:val="00F4601E"/>
    <w:rsid w:val="00F47B19"/>
    <w:rsid w:val="00F5203E"/>
    <w:rsid w:val="00F57CC9"/>
    <w:rsid w:val="00F6008D"/>
    <w:rsid w:val="00F6342F"/>
    <w:rsid w:val="00F643BA"/>
    <w:rsid w:val="00F67E88"/>
    <w:rsid w:val="00F67E8A"/>
    <w:rsid w:val="00F70160"/>
    <w:rsid w:val="00F714B7"/>
    <w:rsid w:val="00F726E5"/>
    <w:rsid w:val="00F772CC"/>
    <w:rsid w:val="00F7736B"/>
    <w:rsid w:val="00F811D3"/>
    <w:rsid w:val="00F82582"/>
    <w:rsid w:val="00F8687F"/>
    <w:rsid w:val="00F86C28"/>
    <w:rsid w:val="00F8703F"/>
    <w:rsid w:val="00F95CE3"/>
    <w:rsid w:val="00F966BB"/>
    <w:rsid w:val="00F96CB2"/>
    <w:rsid w:val="00FA04A1"/>
    <w:rsid w:val="00FA11DE"/>
    <w:rsid w:val="00FA1F8D"/>
    <w:rsid w:val="00FA2DDE"/>
    <w:rsid w:val="00FA46ED"/>
    <w:rsid w:val="00FA61E4"/>
    <w:rsid w:val="00FB0A86"/>
    <w:rsid w:val="00FB1D97"/>
    <w:rsid w:val="00FB2BB8"/>
    <w:rsid w:val="00FB3149"/>
    <w:rsid w:val="00FB6A2E"/>
    <w:rsid w:val="00FB6D00"/>
    <w:rsid w:val="00FC040A"/>
    <w:rsid w:val="00FC10F6"/>
    <w:rsid w:val="00FC222D"/>
    <w:rsid w:val="00FC2EAA"/>
    <w:rsid w:val="00FC4911"/>
    <w:rsid w:val="00FC74FF"/>
    <w:rsid w:val="00FD2477"/>
    <w:rsid w:val="00FD4631"/>
    <w:rsid w:val="00FD4A66"/>
    <w:rsid w:val="00FD52D3"/>
    <w:rsid w:val="00FD5B11"/>
    <w:rsid w:val="00FD772A"/>
    <w:rsid w:val="00FE6E38"/>
    <w:rsid w:val="00FF022E"/>
    <w:rsid w:val="00FF3881"/>
    <w:rsid w:val="00FF4767"/>
    <w:rsid w:val="00FF6666"/>
    <w:rsid w:val="00FF6C41"/>
    <w:rsid w:val="00FF73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495E01"/>
  <w15:docId w15:val="{C950114C-EA9C-46EC-A9D3-4EE47C01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EDA"/>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A06F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2EDA"/>
    <w:pPr>
      <w:spacing w:after="120"/>
    </w:pPr>
  </w:style>
  <w:style w:type="character" w:customStyle="1" w:styleId="BodyTextChar">
    <w:name w:val="Body Text Char"/>
    <w:basedOn w:val="DefaultParagraphFont"/>
    <w:link w:val="BodyText"/>
    <w:rsid w:val="00EB2EDA"/>
    <w:rPr>
      <w:rFonts w:ascii="Times New Roman" w:eastAsia="Times New Roman" w:hAnsi="Times New Roman" w:cs="Times New Roman"/>
      <w:sz w:val="24"/>
      <w:szCs w:val="24"/>
      <w:lang w:val="lv-LV" w:eastAsia="lv-LV"/>
    </w:rPr>
  </w:style>
  <w:style w:type="paragraph" w:customStyle="1" w:styleId="naisf">
    <w:name w:val="naisf"/>
    <w:basedOn w:val="Normal"/>
    <w:rsid w:val="00EB2EDA"/>
    <w:pPr>
      <w:spacing w:before="75" w:after="75"/>
      <w:ind w:firstLine="375"/>
      <w:jc w:val="both"/>
    </w:pPr>
  </w:style>
  <w:style w:type="paragraph" w:customStyle="1" w:styleId="naisnod">
    <w:name w:val="naisnod"/>
    <w:basedOn w:val="Normal"/>
    <w:rsid w:val="00EB2EDA"/>
    <w:pPr>
      <w:spacing w:before="150" w:after="150"/>
      <w:jc w:val="center"/>
    </w:pPr>
    <w:rPr>
      <w:b/>
      <w:bCs/>
    </w:rPr>
  </w:style>
  <w:style w:type="paragraph" w:customStyle="1" w:styleId="naiskr">
    <w:name w:val="naiskr"/>
    <w:basedOn w:val="Normal"/>
    <w:rsid w:val="00EB2EDA"/>
    <w:pPr>
      <w:spacing w:before="75" w:after="75"/>
    </w:pPr>
  </w:style>
  <w:style w:type="paragraph" w:customStyle="1" w:styleId="naisc">
    <w:name w:val="naisc"/>
    <w:basedOn w:val="Normal"/>
    <w:uiPriority w:val="99"/>
    <w:rsid w:val="00EB2EDA"/>
    <w:pPr>
      <w:spacing w:before="75" w:after="75"/>
      <w:jc w:val="center"/>
    </w:pPr>
  </w:style>
  <w:style w:type="character" w:styleId="Hyperlink">
    <w:name w:val="Hyperlink"/>
    <w:uiPriority w:val="99"/>
    <w:rsid w:val="00EB2EDA"/>
    <w:rPr>
      <w:color w:val="0000FF"/>
      <w:u w:val="single"/>
    </w:rPr>
  </w:style>
  <w:style w:type="paragraph" w:customStyle="1" w:styleId="Default">
    <w:name w:val="Default"/>
    <w:rsid w:val="00EB2ED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NoSpacing">
    <w:name w:val="No Spacing"/>
    <w:uiPriority w:val="1"/>
    <w:qFormat/>
    <w:rsid w:val="00EB2EDA"/>
    <w:pPr>
      <w:spacing w:after="0" w:line="240" w:lineRule="auto"/>
    </w:pPr>
    <w:rPr>
      <w:rFonts w:ascii="Times New Roman" w:eastAsia="Calibri" w:hAnsi="Times New Roman" w:cs="Times New Roman"/>
      <w:sz w:val="20"/>
      <w:szCs w:val="20"/>
      <w:lang w:val="lv-LV"/>
    </w:rPr>
  </w:style>
  <w:style w:type="paragraph" w:styleId="Header">
    <w:name w:val="header"/>
    <w:aliases w:val="encabezado,he,header odd,header odd1,header odd2"/>
    <w:basedOn w:val="Normal"/>
    <w:link w:val="HeaderChar"/>
    <w:unhideWhenUsed/>
    <w:rsid w:val="00640F75"/>
    <w:pPr>
      <w:tabs>
        <w:tab w:val="center" w:pos="4320"/>
        <w:tab w:val="right" w:pos="8640"/>
      </w:tabs>
    </w:pPr>
  </w:style>
  <w:style w:type="character" w:customStyle="1" w:styleId="HeaderChar">
    <w:name w:val="Header Char"/>
    <w:aliases w:val="encabezado Char,he Char,header odd Char,header odd1 Char,header odd2 Char"/>
    <w:basedOn w:val="DefaultParagraphFont"/>
    <w:link w:val="Header"/>
    <w:rsid w:val="00640F75"/>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40F75"/>
    <w:pPr>
      <w:tabs>
        <w:tab w:val="center" w:pos="4320"/>
        <w:tab w:val="right" w:pos="8640"/>
      </w:tabs>
    </w:pPr>
  </w:style>
  <w:style w:type="character" w:customStyle="1" w:styleId="FooterChar">
    <w:name w:val="Footer Char"/>
    <w:basedOn w:val="DefaultParagraphFont"/>
    <w:link w:val="Footer"/>
    <w:uiPriority w:val="99"/>
    <w:rsid w:val="00640F75"/>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DF5AC4"/>
    <w:rPr>
      <w:rFonts w:ascii="Tahoma" w:hAnsi="Tahoma" w:cs="Tahoma"/>
      <w:sz w:val="16"/>
      <w:szCs w:val="16"/>
    </w:rPr>
  </w:style>
  <w:style w:type="character" w:customStyle="1" w:styleId="BalloonTextChar">
    <w:name w:val="Balloon Text Char"/>
    <w:basedOn w:val="DefaultParagraphFont"/>
    <w:link w:val="BalloonText"/>
    <w:uiPriority w:val="99"/>
    <w:semiHidden/>
    <w:rsid w:val="00DF5AC4"/>
    <w:rPr>
      <w:rFonts w:ascii="Tahoma" w:eastAsia="Times New Roman" w:hAnsi="Tahoma" w:cs="Tahoma"/>
      <w:sz w:val="16"/>
      <w:szCs w:val="16"/>
      <w:lang w:val="lv-LV" w:eastAsia="lv-LV"/>
    </w:rPr>
  </w:style>
  <w:style w:type="paragraph" w:styleId="ListParagraph">
    <w:name w:val="List Paragraph"/>
    <w:aliases w:val="H&amp;P List Paragraph,2"/>
    <w:basedOn w:val="Normal"/>
    <w:link w:val="ListParagraphChar"/>
    <w:uiPriority w:val="34"/>
    <w:qFormat/>
    <w:rsid w:val="00CE00F7"/>
    <w:pPr>
      <w:ind w:left="720"/>
      <w:contextualSpacing/>
    </w:pPr>
  </w:style>
  <w:style w:type="character" w:styleId="Strong">
    <w:name w:val="Strong"/>
    <w:basedOn w:val="DefaultParagraphFont"/>
    <w:uiPriority w:val="22"/>
    <w:qFormat/>
    <w:rsid w:val="00FB6D00"/>
    <w:rPr>
      <w:b/>
      <w:bCs/>
    </w:rPr>
  </w:style>
  <w:style w:type="paragraph" w:customStyle="1" w:styleId="tvhtmlmktable">
    <w:name w:val="tv_html mk_table"/>
    <w:basedOn w:val="Normal"/>
    <w:uiPriority w:val="99"/>
    <w:rsid w:val="00293AE2"/>
    <w:pPr>
      <w:spacing w:before="100" w:beforeAutospacing="1" w:after="100" w:afterAutospacing="1"/>
    </w:pPr>
    <w:rPr>
      <w:rFonts w:eastAsia="Calibri"/>
    </w:rPr>
  </w:style>
  <w:style w:type="character" w:customStyle="1" w:styleId="apple-converted-space">
    <w:name w:val="apple-converted-space"/>
    <w:basedOn w:val="DefaultParagraphFont"/>
    <w:rsid w:val="003B7D7E"/>
  </w:style>
  <w:style w:type="character" w:styleId="Emphasis">
    <w:name w:val="Emphasis"/>
    <w:basedOn w:val="DefaultParagraphFont"/>
    <w:uiPriority w:val="20"/>
    <w:qFormat/>
    <w:rsid w:val="0001557A"/>
    <w:rPr>
      <w:i/>
      <w:iCs/>
    </w:rPr>
  </w:style>
  <w:style w:type="paragraph" w:styleId="NormalWeb">
    <w:name w:val="Normal (Web)"/>
    <w:basedOn w:val="Normal"/>
    <w:uiPriority w:val="99"/>
    <w:unhideWhenUsed/>
    <w:rsid w:val="0001557A"/>
    <w:pPr>
      <w:spacing w:before="100" w:beforeAutospacing="1" w:after="100" w:afterAutospacing="1"/>
    </w:pPr>
  </w:style>
  <w:style w:type="paragraph" w:customStyle="1" w:styleId="tvhtml">
    <w:name w:val="tv_html"/>
    <w:basedOn w:val="Normal"/>
    <w:rsid w:val="002131AC"/>
    <w:pPr>
      <w:spacing w:before="100" w:beforeAutospacing="1" w:after="100" w:afterAutospacing="1"/>
    </w:pPr>
  </w:style>
  <w:style w:type="character" w:styleId="CommentReference">
    <w:name w:val="annotation reference"/>
    <w:basedOn w:val="DefaultParagraphFont"/>
    <w:uiPriority w:val="99"/>
    <w:semiHidden/>
    <w:unhideWhenUsed/>
    <w:rsid w:val="00832546"/>
    <w:rPr>
      <w:sz w:val="16"/>
      <w:szCs w:val="16"/>
    </w:rPr>
  </w:style>
  <w:style w:type="paragraph" w:customStyle="1" w:styleId="tv213">
    <w:name w:val="tv213"/>
    <w:basedOn w:val="Normal"/>
    <w:rsid w:val="005A25DE"/>
    <w:pPr>
      <w:spacing w:before="100" w:beforeAutospacing="1" w:after="100" w:afterAutospacing="1"/>
    </w:pPr>
  </w:style>
  <w:style w:type="character" w:customStyle="1" w:styleId="ListParagraphChar">
    <w:name w:val="List Paragraph Char"/>
    <w:aliases w:val="H&amp;P List Paragraph Char,2 Char"/>
    <w:link w:val="ListParagraph"/>
    <w:uiPriority w:val="34"/>
    <w:locked/>
    <w:rsid w:val="00FC222D"/>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A06F7B"/>
    <w:rPr>
      <w:rFonts w:ascii="Arial" w:eastAsia="Times New Roman" w:hAnsi="Arial" w:cs="Arial"/>
      <w:b/>
      <w:bCs/>
      <w:i/>
      <w:iCs/>
      <w:sz w:val="28"/>
      <w:szCs w:val="28"/>
      <w:lang w:val="lv-LV" w:eastAsia="lv-LV"/>
    </w:rPr>
  </w:style>
  <w:style w:type="paragraph" w:styleId="CommentText">
    <w:name w:val="annotation text"/>
    <w:basedOn w:val="Normal"/>
    <w:link w:val="CommentTextChar"/>
    <w:uiPriority w:val="99"/>
    <w:semiHidden/>
    <w:unhideWhenUsed/>
    <w:rsid w:val="006F669D"/>
    <w:pPr>
      <w:widowControl w:val="0"/>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6F669D"/>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03416"/>
    <w:pPr>
      <w:widowControl/>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E03416"/>
    <w:rPr>
      <w:rFonts w:ascii="Times New Roman" w:eastAsia="Times New Roman" w:hAnsi="Times New Roman" w:cs="Times New Roman"/>
      <w:b/>
      <w:bCs/>
      <w:sz w:val="20"/>
      <w:szCs w:val="20"/>
      <w:lang w:val="lv-LV" w:eastAsia="lv-LV"/>
    </w:rPr>
  </w:style>
  <w:style w:type="character" w:styleId="PlaceholderText">
    <w:name w:val="Placeholder Text"/>
    <w:basedOn w:val="DefaultParagraphFont"/>
    <w:uiPriority w:val="99"/>
    <w:semiHidden/>
    <w:rsid w:val="00DD0635"/>
    <w:rPr>
      <w:color w:val="808080"/>
    </w:rPr>
  </w:style>
  <w:style w:type="table" w:styleId="TableGrid">
    <w:name w:val="Table Grid"/>
    <w:basedOn w:val="TableNormal"/>
    <w:uiPriority w:val="59"/>
    <w:rsid w:val="00C1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8529">
      <w:bodyDiv w:val="1"/>
      <w:marLeft w:val="0"/>
      <w:marRight w:val="0"/>
      <w:marTop w:val="0"/>
      <w:marBottom w:val="0"/>
      <w:divBdr>
        <w:top w:val="none" w:sz="0" w:space="0" w:color="auto"/>
        <w:left w:val="none" w:sz="0" w:space="0" w:color="auto"/>
        <w:bottom w:val="none" w:sz="0" w:space="0" w:color="auto"/>
        <w:right w:val="none" w:sz="0" w:space="0" w:color="auto"/>
      </w:divBdr>
    </w:div>
    <w:div w:id="283274384">
      <w:bodyDiv w:val="1"/>
      <w:marLeft w:val="0"/>
      <w:marRight w:val="0"/>
      <w:marTop w:val="0"/>
      <w:marBottom w:val="0"/>
      <w:divBdr>
        <w:top w:val="none" w:sz="0" w:space="0" w:color="auto"/>
        <w:left w:val="none" w:sz="0" w:space="0" w:color="auto"/>
        <w:bottom w:val="none" w:sz="0" w:space="0" w:color="auto"/>
        <w:right w:val="none" w:sz="0" w:space="0" w:color="auto"/>
      </w:divBdr>
    </w:div>
    <w:div w:id="322398165">
      <w:bodyDiv w:val="1"/>
      <w:marLeft w:val="0"/>
      <w:marRight w:val="0"/>
      <w:marTop w:val="0"/>
      <w:marBottom w:val="0"/>
      <w:divBdr>
        <w:top w:val="none" w:sz="0" w:space="0" w:color="auto"/>
        <w:left w:val="none" w:sz="0" w:space="0" w:color="auto"/>
        <w:bottom w:val="none" w:sz="0" w:space="0" w:color="auto"/>
        <w:right w:val="none" w:sz="0" w:space="0" w:color="auto"/>
      </w:divBdr>
    </w:div>
    <w:div w:id="605117581">
      <w:bodyDiv w:val="1"/>
      <w:marLeft w:val="0"/>
      <w:marRight w:val="0"/>
      <w:marTop w:val="0"/>
      <w:marBottom w:val="0"/>
      <w:divBdr>
        <w:top w:val="none" w:sz="0" w:space="0" w:color="auto"/>
        <w:left w:val="none" w:sz="0" w:space="0" w:color="auto"/>
        <w:bottom w:val="none" w:sz="0" w:space="0" w:color="auto"/>
        <w:right w:val="none" w:sz="0" w:space="0" w:color="auto"/>
      </w:divBdr>
    </w:div>
    <w:div w:id="800534652">
      <w:bodyDiv w:val="1"/>
      <w:marLeft w:val="0"/>
      <w:marRight w:val="0"/>
      <w:marTop w:val="0"/>
      <w:marBottom w:val="0"/>
      <w:divBdr>
        <w:top w:val="none" w:sz="0" w:space="0" w:color="auto"/>
        <w:left w:val="none" w:sz="0" w:space="0" w:color="auto"/>
        <w:bottom w:val="none" w:sz="0" w:space="0" w:color="auto"/>
        <w:right w:val="none" w:sz="0" w:space="0" w:color="auto"/>
      </w:divBdr>
    </w:div>
    <w:div w:id="893270271">
      <w:bodyDiv w:val="1"/>
      <w:marLeft w:val="0"/>
      <w:marRight w:val="0"/>
      <w:marTop w:val="0"/>
      <w:marBottom w:val="0"/>
      <w:divBdr>
        <w:top w:val="none" w:sz="0" w:space="0" w:color="auto"/>
        <w:left w:val="none" w:sz="0" w:space="0" w:color="auto"/>
        <w:bottom w:val="none" w:sz="0" w:space="0" w:color="auto"/>
        <w:right w:val="none" w:sz="0" w:space="0" w:color="auto"/>
      </w:divBdr>
    </w:div>
    <w:div w:id="1005282313">
      <w:bodyDiv w:val="1"/>
      <w:marLeft w:val="0"/>
      <w:marRight w:val="0"/>
      <w:marTop w:val="0"/>
      <w:marBottom w:val="0"/>
      <w:divBdr>
        <w:top w:val="none" w:sz="0" w:space="0" w:color="auto"/>
        <w:left w:val="none" w:sz="0" w:space="0" w:color="auto"/>
        <w:bottom w:val="none" w:sz="0" w:space="0" w:color="auto"/>
        <w:right w:val="none" w:sz="0" w:space="0" w:color="auto"/>
      </w:divBdr>
    </w:div>
    <w:div w:id="1199316748">
      <w:bodyDiv w:val="1"/>
      <w:marLeft w:val="0"/>
      <w:marRight w:val="0"/>
      <w:marTop w:val="0"/>
      <w:marBottom w:val="0"/>
      <w:divBdr>
        <w:top w:val="none" w:sz="0" w:space="0" w:color="auto"/>
        <w:left w:val="none" w:sz="0" w:space="0" w:color="auto"/>
        <w:bottom w:val="none" w:sz="0" w:space="0" w:color="auto"/>
        <w:right w:val="none" w:sz="0" w:space="0" w:color="auto"/>
      </w:divBdr>
    </w:div>
    <w:div w:id="1202671455">
      <w:bodyDiv w:val="1"/>
      <w:marLeft w:val="0"/>
      <w:marRight w:val="0"/>
      <w:marTop w:val="0"/>
      <w:marBottom w:val="0"/>
      <w:divBdr>
        <w:top w:val="none" w:sz="0" w:space="0" w:color="auto"/>
        <w:left w:val="none" w:sz="0" w:space="0" w:color="auto"/>
        <w:bottom w:val="none" w:sz="0" w:space="0" w:color="auto"/>
        <w:right w:val="none" w:sz="0" w:space="0" w:color="auto"/>
      </w:divBdr>
    </w:div>
    <w:div w:id="1379433926">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6">
          <w:marLeft w:val="0"/>
          <w:marRight w:val="0"/>
          <w:marTop w:val="0"/>
          <w:marBottom w:val="0"/>
          <w:divBdr>
            <w:top w:val="none" w:sz="0" w:space="0" w:color="auto"/>
            <w:left w:val="none" w:sz="0" w:space="0" w:color="auto"/>
            <w:bottom w:val="none" w:sz="0" w:space="0" w:color="auto"/>
            <w:right w:val="none" w:sz="0" w:space="0" w:color="auto"/>
          </w:divBdr>
          <w:divsChild>
            <w:div w:id="1756126668">
              <w:marLeft w:val="0"/>
              <w:marRight w:val="0"/>
              <w:marTop w:val="0"/>
              <w:marBottom w:val="0"/>
              <w:divBdr>
                <w:top w:val="none" w:sz="0" w:space="0" w:color="auto"/>
                <w:left w:val="none" w:sz="0" w:space="0" w:color="auto"/>
                <w:bottom w:val="none" w:sz="0" w:space="0" w:color="auto"/>
                <w:right w:val="none" w:sz="0" w:space="0" w:color="auto"/>
              </w:divBdr>
              <w:divsChild>
                <w:div w:id="788822624">
                  <w:marLeft w:val="0"/>
                  <w:marRight w:val="0"/>
                  <w:marTop w:val="0"/>
                  <w:marBottom w:val="0"/>
                  <w:divBdr>
                    <w:top w:val="none" w:sz="0" w:space="0" w:color="auto"/>
                    <w:left w:val="none" w:sz="0" w:space="0" w:color="auto"/>
                    <w:bottom w:val="none" w:sz="0" w:space="0" w:color="auto"/>
                    <w:right w:val="none" w:sz="0" w:space="0" w:color="auto"/>
                  </w:divBdr>
                  <w:divsChild>
                    <w:div w:id="1117259037">
                      <w:marLeft w:val="0"/>
                      <w:marRight w:val="0"/>
                      <w:marTop w:val="0"/>
                      <w:marBottom w:val="0"/>
                      <w:divBdr>
                        <w:top w:val="none" w:sz="0" w:space="0" w:color="auto"/>
                        <w:left w:val="none" w:sz="0" w:space="0" w:color="auto"/>
                        <w:bottom w:val="none" w:sz="0" w:space="0" w:color="auto"/>
                        <w:right w:val="none" w:sz="0" w:space="0" w:color="auto"/>
                      </w:divBdr>
                      <w:divsChild>
                        <w:div w:id="1871382790">
                          <w:marLeft w:val="0"/>
                          <w:marRight w:val="0"/>
                          <w:marTop w:val="0"/>
                          <w:marBottom w:val="0"/>
                          <w:divBdr>
                            <w:top w:val="none" w:sz="0" w:space="0" w:color="auto"/>
                            <w:left w:val="none" w:sz="0" w:space="0" w:color="auto"/>
                            <w:bottom w:val="none" w:sz="0" w:space="0" w:color="auto"/>
                            <w:right w:val="none" w:sz="0" w:space="0" w:color="auto"/>
                          </w:divBdr>
                          <w:divsChild>
                            <w:div w:id="10060098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125110">
      <w:bodyDiv w:val="1"/>
      <w:marLeft w:val="0"/>
      <w:marRight w:val="0"/>
      <w:marTop w:val="0"/>
      <w:marBottom w:val="0"/>
      <w:divBdr>
        <w:top w:val="none" w:sz="0" w:space="0" w:color="auto"/>
        <w:left w:val="none" w:sz="0" w:space="0" w:color="auto"/>
        <w:bottom w:val="none" w:sz="0" w:space="0" w:color="auto"/>
        <w:right w:val="none" w:sz="0" w:space="0" w:color="auto"/>
      </w:divBdr>
    </w:div>
    <w:div w:id="1761876196">
      <w:bodyDiv w:val="1"/>
      <w:marLeft w:val="0"/>
      <w:marRight w:val="0"/>
      <w:marTop w:val="0"/>
      <w:marBottom w:val="0"/>
      <w:divBdr>
        <w:top w:val="none" w:sz="0" w:space="0" w:color="auto"/>
        <w:left w:val="none" w:sz="0" w:space="0" w:color="auto"/>
        <w:bottom w:val="none" w:sz="0" w:space="0" w:color="auto"/>
        <w:right w:val="none" w:sz="0" w:space="0" w:color="auto"/>
      </w:divBdr>
    </w:div>
    <w:div w:id="1787968390">
      <w:bodyDiv w:val="1"/>
      <w:marLeft w:val="0"/>
      <w:marRight w:val="0"/>
      <w:marTop w:val="0"/>
      <w:marBottom w:val="0"/>
      <w:divBdr>
        <w:top w:val="none" w:sz="0" w:space="0" w:color="auto"/>
        <w:left w:val="none" w:sz="0" w:space="0" w:color="auto"/>
        <w:bottom w:val="none" w:sz="0" w:space="0" w:color="auto"/>
        <w:right w:val="none" w:sz="0" w:space="0" w:color="auto"/>
      </w:divBdr>
    </w:div>
    <w:div w:id="1918513982">
      <w:bodyDiv w:val="1"/>
      <w:marLeft w:val="0"/>
      <w:marRight w:val="0"/>
      <w:marTop w:val="0"/>
      <w:marBottom w:val="0"/>
      <w:divBdr>
        <w:top w:val="none" w:sz="0" w:space="0" w:color="auto"/>
        <w:left w:val="none" w:sz="0" w:space="0" w:color="auto"/>
        <w:bottom w:val="none" w:sz="0" w:space="0" w:color="auto"/>
        <w:right w:val="none" w:sz="0" w:space="0" w:color="auto"/>
      </w:divBdr>
    </w:div>
    <w:div w:id="2042781998">
      <w:bodyDiv w:val="1"/>
      <w:marLeft w:val="0"/>
      <w:marRight w:val="0"/>
      <w:marTop w:val="0"/>
      <w:marBottom w:val="0"/>
      <w:divBdr>
        <w:top w:val="none" w:sz="0" w:space="0" w:color="auto"/>
        <w:left w:val="none" w:sz="0" w:space="0" w:color="auto"/>
        <w:bottom w:val="none" w:sz="0" w:space="0" w:color="auto"/>
        <w:right w:val="none" w:sz="0" w:space="0" w:color="auto"/>
      </w:divBdr>
    </w:div>
    <w:div w:id="21375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biseniek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0B91-B956-4F3B-A62B-E17BAAF9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6381</Words>
  <Characters>3638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Informatīvais ziņojums par Valsts pārvaldes reformu plāna 2020 sadaļas “Pasākumi mērķu sasniegšanai” 4.4. apakšpunktā dotā uzdevuma izpildi</vt:lpstr>
    </vt:vector>
  </TitlesOfParts>
  <Company>VARAM</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pārvaldes reformu plāna 2020 sadaļas “Pasākumi mērķu sasniegšanai” 4.4. apakšpunktā dotā uzdevuma izpildi</dc:title>
  <dc:subject>Izziņa par atzinumos sniegtajiem iebildumiem</dc:subject>
  <dc:creator>Ingrida Igaune</dc:creator>
  <dc:description>Igaune 66016780_x000d_
ingrida.igaune@varam.gov.lv</dc:description>
  <cp:lastModifiedBy>Ingrīda Igaune</cp:lastModifiedBy>
  <cp:revision>3</cp:revision>
  <cp:lastPrinted>2017-10-13T06:35:00Z</cp:lastPrinted>
  <dcterms:created xsi:type="dcterms:W3CDTF">2019-03-08T12:40:00Z</dcterms:created>
  <dcterms:modified xsi:type="dcterms:W3CDTF">2019-03-08T12:44:00Z</dcterms:modified>
</cp:coreProperties>
</file>