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9D7E" w14:textId="1D27793D" w:rsidR="00894C55" w:rsidRPr="006534A9" w:rsidRDefault="00270B83" w:rsidP="00C12687">
      <w:pPr>
        <w:shd w:val="clear" w:color="auto" w:fill="FFFFFF"/>
        <w:spacing w:after="0" w:line="240" w:lineRule="auto"/>
        <w:jc w:val="center"/>
        <w:rPr>
          <w:rFonts w:ascii="Times New Roman" w:eastAsia="Times New Roman" w:hAnsi="Times New Roman" w:cs="Times New Roman"/>
          <w:b/>
          <w:bCs/>
          <w:spacing w:val="-2"/>
          <w:sz w:val="26"/>
          <w:szCs w:val="26"/>
          <w:lang w:eastAsia="lv-LV"/>
        </w:rPr>
      </w:pPr>
      <w:r w:rsidRPr="006534A9">
        <w:rPr>
          <w:rFonts w:ascii="Times New Roman" w:eastAsia="Times New Roman" w:hAnsi="Times New Roman" w:cs="Times New Roman"/>
          <w:b/>
          <w:bCs/>
          <w:spacing w:val="-2"/>
          <w:sz w:val="26"/>
          <w:szCs w:val="26"/>
          <w:lang w:eastAsia="lv-LV"/>
        </w:rPr>
        <w:t xml:space="preserve">Ministru kabineta noteikumu projekta </w:t>
      </w:r>
      <w:r w:rsidR="0028175F" w:rsidRPr="006534A9">
        <w:rPr>
          <w:rFonts w:ascii="Times New Roman" w:eastAsia="Times New Roman" w:hAnsi="Times New Roman" w:cs="Times New Roman"/>
          <w:b/>
          <w:bCs/>
          <w:spacing w:val="-2"/>
          <w:sz w:val="26"/>
          <w:szCs w:val="26"/>
          <w:lang w:eastAsia="lv-LV"/>
        </w:rPr>
        <w:t xml:space="preserve">“Grozījumi Ministru kabineta 2010.gada 30.marta noteikumos Nr.300 “Noteikumi par akcīzes nodokļa deklarācijas veidlapām un to aizpildīšanas kārtību”” </w:t>
      </w:r>
      <w:r w:rsidR="00894C55" w:rsidRPr="006534A9">
        <w:rPr>
          <w:rFonts w:ascii="Times New Roman" w:eastAsia="Times New Roman" w:hAnsi="Times New Roman" w:cs="Times New Roman"/>
          <w:b/>
          <w:bCs/>
          <w:spacing w:val="-2"/>
          <w:sz w:val="26"/>
          <w:szCs w:val="26"/>
          <w:lang w:eastAsia="lv-LV"/>
        </w:rPr>
        <w:t>sākotnējās ietekmes novērtējuma ziņojums (anotācija)</w:t>
      </w:r>
    </w:p>
    <w:p w14:paraId="14CDAD9D" w14:textId="77777777" w:rsidR="00E5323B" w:rsidRPr="006534A9" w:rsidRDefault="00E5323B" w:rsidP="00C12687">
      <w:pPr>
        <w:shd w:val="clear" w:color="auto" w:fill="FFFFFF"/>
        <w:spacing w:after="0" w:line="240" w:lineRule="auto"/>
        <w:jc w:val="center"/>
        <w:rPr>
          <w:rFonts w:ascii="Times New Roman" w:eastAsia="Times New Roman" w:hAnsi="Times New Roman" w:cs="Times New Roman"/>
          <w:b/>
          <w:bCs/>
          <w:spacing w:val="-2"/>
          <w:sz w:val="26"/>
          <w:szCs w:val="26"/>
          <w:lang w:eastAsia="lv-LV"/>
        </w:rPr>
      </w:pP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5"/>
        <w:gridCol w:w="7674"/>
      </w:tblGrid>
      <w:tr w:rsidR="00185337" w:rsidRPr="006534A9" w14:paraId="193DD8B6" w14:textId="77777777" w:rsidTr="0015184D">
        <w:trPr>
          <w:tblCellSpacing w:w="15" w:type="dxa"/>
        </w:trPr>
        <w:tc>
          <w:tcPr>
            <w:tcW w:w="4970" w:type="pct"/>
            <w:gridSpan w:val="2"/>
            <w:vAlign w:val="center"/>
            <w:hideMark/>
          </w:tcPr>
          <w:p w14:paraId="318A1469" w14:textId="77777777" w:rsidR="00655F2C" w:rsidRPr="006534A9" w:rsidRDefault="00E5323B" w:rsidP="00C12687">
            <w:pPr>
              <w:spacing w:after="0" w:line="240" w:lineRule="auto"/>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Tiesību akta projekta anotācijas kopsavilkums</w:t>
            </w:r>
          </w:p>
        </w:tc>
      </w:tr>
      <w:tr w:rsidR="00185337" w:rsidRPr="006534A9" w14:paraId="69520A13" w14:textId="77777777" w:rsidTr="0015184D">
        <w:trPr>
          <w:tblCellSpacing w:w="15" w:type="dxa"/>
        </w:trPr>
        <w:tc>
          <w:tcPr>
            <w:tcW w:w="1116" w:type="pct"/>
            <w:hideMark/>
          </w:tcPr>
          <w:p w14:paraId="74AF8C6A"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Mērķis, risinājums un projekta spēkā stāšanās laiks (500 zīmes bez atstarpēm)</w:t>
            </w:r>
          </w:p>
        </w:tc>
        <w:tc>
          <w:tcPr>
            <w:tcW w:w="3839" w:type="pct"/>
            <w:hideMark/>
          </w:tcPr>
          <w:p w14:paraId="0F453080" w14:textId="77777777" w:rsidR="0035517A" w:rsidRPr="006534A9" w:rsidRDefault="008F7B4E" w:rsidP="00D26050">
            <w:pPr>
              <w:spacing w:after="0" w:line="240" w:lineRule="auto"/>
              <w:jc w:val="both"/>
              <w:rPr>
                <w:rFonts w:ascii="Times New Roman" w:hAnsi="Times New Roman" w:cs="Times New Roman"/>
                <w:spacing w:val="-2"/>
                <w:sz w:val="26"/>
                <w:szCs w:val="26"/>
                <w:shd w:val="clear" w:color="auto" w:fill="FFFFFF"/>
              </w:rPr>
            </w:pPr>
            <w:r w:rsidRPr="006534A9">
              <w:rPr>
                <w:rFonts w:ascii="Times New Roman" w:hAnsi="Times New Roman" w:cs="Times New Roman"/>
                <w:spacing w:val="-2"/>
                <w:sz w:val="26"/>
                <w:szCs w:val="26"/>
                <w:shd w:val="clear" w:color="auto" w:fill="FFFFFF"/>
              </w:rPr>
              <w:t xml:space="preserve">Ministru kabineta noteikumu projekts “Grozījumi Ministru kabineta 2010.gada 30.marta noteikumos Nr.300 “Noteikumi par akcīzes nodokļa deklarācijas veidlapām un to aizpildīšanas kārtību”” </w:t>
            </w:r>
            <w:r w:rsidR="00742160" w:rsidRPr="006534A9">
              <w:rPr>
                <w:rFonts w:ascii="Times New Roman" w:hAnsi="Times New Roman" w:cs="Times New Roman"/>
                <w:spacing w:val="-2"/>
                <w:sz w:val="26"/>
                <w:szCs w:val="26"/>
                <w:shd w:val="clear" w:color="auto" w:fill="FFFFFF"/>
              </w:rPr>
              <w:t>(turpmāk –</w:t>
            </w:r>
            <w:r w:rsidR="00D26050" w:rsidRPr="006534A9">
              <w:rPr>
                <w:rFonts w:ascii="Times New Roman" w:hAnsi="Times New Roman" w:cs="Times New Roman"/>
                <w:spacing w:val="-2"/>
                <w:sz w:val="26"/>
                <w:szCs w:val="26"/>
                <w:shd w:val="clear" w:color="auto" w:fill="FFFFFF"/>
              </w:rPr>
              <w:t xml:space="preserve"> </w:t>
            </w:r>
            <w:r w:rsidR="00270B83" w:rsidRPr="006534A9">
              <w:rPr>
                <w:rFonts w:ascii="Times New Roman" w:hAnsi="Times New Roman" w:cs="Times New Roman"/>
                <w:spacing w:val="-2"/>
                <w:sz w:val="26"/>
                <w:szCs w:val="26"/>
                <w:shd w:val="clear" w:color="auto" w:fill="FFFFFF"/>
              </w:rPr>
              <w:t>noteikumu projekts</w:t>
            </w:r>
            <w:r w:rsidR="00742160" w:rsidRPr="006534A9">
              <w:rPr>
                <w:rFonts w:ascii="Times New Roman" w:hAnsi="Times New Roman" w:cs="Times New Roman"/>
                <w:spacing w:val="-2"/>
                <w:sz w:val="26"/>
                <w:szCs w:val="26"/>
                <w:shd w:val="clear" w:color="auto" w:fill="FFFFFF"/>
              </w:rPr>
              <w:t>) izstrādāts, lai</w:t>
            </w:r>
            <w:r w:rsidR="002C722D" w:rsidRPr="006534A9">
              <w:rPr>
                <w:rFonts w:ascii="Times New Roman" w:hAnsi="Times New Roman" w:cs="Times New Roman"/>
                <w:spacing w:val="-2"/>
                <w:sz w:val="26"/>
                <w:szCs w:val="26"/>
                <w:shd w:val="clear" w:color="auto" w:fill="FFFFFF"/>
              </w:rPr>
              <w:t xml:space="preserve"> </w:t>
            </w:r>
            <w:r w:rsidR="00257851" w:rsidRPr="006534A9">
              <w:rPr>
                <w:rFonts w:ascii="Times New Roman" w:hAnsi="Times New Roman" w:cs="Times New Roman"/>
                <w:spacing w:val="-2"/>
                <w:sz w:val="26"/>
                <w:szCs w:val="26"/>
                <w:shd w:val="clear" w:color="auto" w:fill="FFFFFF"/>
              </w:rPr>
              <w:t>nodrošinātu</w:t>
            </w:r>
            <w:r w:rsidR="00154686" w:rsidRPr="006534A9">
              <w:rPr>
                <w:rFonts w:ascii="Times New Roman" w:hAnsi="Times New Roman" w:cs="Times New Roman"/>
                <w:spacing w:val="-2"/>
                <w:sz w:val="26"/>
                <w:szCs w:val="26"/>
                <w:shd w:val="clear" w:color="auto" w:fill="FFFFFF"/>
              </w:rPr>
              <w:t>, ka alkoholisko dzērienu akcīzes nodokļa deklarācijā tiktu norādīta informācija par mazo alkoholisko dzērienu darītavā saražotajiem pārējiem alkoholiskajiem dzērieniem, kuriem piemēro akcīzes nodokļa likmi 50 procentu apmērā no pārējo alkoholisko dzērienu pamatlikmes.</w:t>
            </w:r>
          </w:p>
          <w:p w14:paraId="0DAAB798" w14:textId="3E6630DB" w:rsidR="00742160" w:rsidRPr="006534A9" w:rsidRDefault="00D26050" w:rsidP="00D26050">
            <w:pPr>
              <w:spacing w:after="0" w:line="240" w:lineRule="auto"/>
              <w:jc w:val="both"/>
              <w:rPr>
                <w:rFonts w:ascii="Times New Roman" w:hAnsi="Times New Roman" w:cs="Times New Roman"/>
                <w:spacing w:val="-2"/>
                <w:sz w:val="26"/>
                <w:szCs w:val="26"/>
                <w:shd w:val="clear" w:color="auto" w:fill="FFFFFF"/>
              </w:rPr>
            </w:pPr>
            <w:r w:rsidRPr="006534A9">
              <w:rPr>
                <w:rFonts w:ascii="Times New Roman" w:hAnsi="Times New Roman" w:cs="Times New Roman"/>
                <w:spacing w:val="-2"/>
                <w:sz w:val="26"/>
                <w:szCs w:val="26"/>
                <w:shd w:val="clear" w:color="auto" w:fill="FFFFFF"/>
              </w:rPr>
              <w:t xml:space="preserve">Noteikumu </w:t>
            </w:r>
            <w:r w:rsidRPr="006534A9">
              <w:rPr>
                <w:rFonts w:ascii="Times New Roman" w:hAnsi="Times New Roman" w:cs="Times New Roman"/>
                <w:iCs/>
                <w:spacing w:val="-2"/>
                <w:sz w:val="26"/>
                <w:szCs w:val="26"/>
                <w:shd w:val="clear" w:color="auto" w:fill="FFFFFF"/>
              </w:rPr>
              <w:t>p</w:t>
            </w:r>
            <w:r w:rsidR="00780165" w:rsidRPr="006534A9">
              <w:rPr>
                <w:rFonts w:ascii="Times New Roman" w:hAnsi="Times New Roman" w:cs="Times New Roman"/>
                <w:iCs/>
                <w:spacing w:val="-2"/>
                <w:sz w:val="26"/>
                <w:szCs w:val="26"/>
                <w:shd w:val="clear" w:color="auto" w:fill="FFFFFF"/>
              </w:rPr>
              <w:t xml:space="preserve">rojekts stāsies spēkā </w:t>
            </w:r>
            <w:r w:rsidRPr="006534A9">
              <w:rPr>
                <w:rFonts w:ascii="Times New Roman" w:hAnsi="Times New Roman" w:cs="Times New Roman"/>
                <w:iCs/>
                <w:spacing w:val="-2"/>
                <w:sz w:val="26"/>
                <w:szCs w:val="26"/>
                <w:shd w:val="clear" w:color="auto" w:fill="FFFFFF"/>
              </w:rPr>
              <w:t>nākamajā dienā pēc tā izsludināšanas.</w:t>
            </w:r>
          </w:p>
        </w:tc>
      </w:tr>
    </w:tbl>
    <w:p w14:paraId="0B595C2A"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  </w:t>
      </w: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5"/>
        <w:gridCol w:w="1952"/>
        <w:gridCol w:w="7572"/>
      </w:tblGrid>
      <w:tr w:rsidR="00637709" w:rsidRPr="006534A9" w14:paraId="47854F3B" w14:textId="77777777" w:rsidTr="0015184D">
        <w:trPr>
          <w:tblCellSpacing w:w="15" w:type="dxa"/>
        </w:trPr>
        <w:tc>
          <w:tcPr>
            <w:tcW w:w="4970" w:type="pct"/>
            <w:gridSpan w:val="3"/>
            <w:vAlign w:val="center"/>
            <w:hideMark/>
          </w:tcPr>
          <w:p w14:paraId="7E3161E3" w14:textId="5CE26533" w:rsidR="00655F2C" w:rsidRPr="006534A9" w:rsidRDefault="00E5323B" w:rsidP="007A4829">
            <w:pPr>
              <w:spacing w:after="0" w:line="240" w:lineRule="auto"/>
              <w:jc w:val="center"/>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I. Tiesību akta projekta izstrādes nepieciešamība</w:t>
            </w:r>
          </w:p>
        </w:tc>
      </w:tr>
      <w:tr w:rsidR="00637709" w:rsidRPr="006534A9" w14:paraId="2D7AA261" w14:textId="77777777" w:rsidTr="0015184D">
        <w:trPr>
          <w:tblCellSpacing w:w="15" w:type="dxa"/>
        </w:trPr>
        <w:tc>
          <w:tcPr>
            <w:tcW w:w="219" w:type="pct"/>
            <w:hideMark/>
          </w:tcPr>
          <w:p w14:paraId="603D5762"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1.</w:t>
            </w:r>
          </w:p>
        </w:tc>
        <w:tc>
          <w:tcPr>
            <w:tcW w:w="901" w:type="pct"/>
            <w:hideMark/>
          </w:tcPr>
          <w:p w14:paraId="2C4E3959"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Pamatojums</w:t>
            </w:r>
          </w:p>
        </w:tc>
        <w:tc>
          <w:tcPr>
            <w:tcW w:w="3820" w:type="pct"/>
            <w:hideMark/>
          </w:tcPr>
          <w:p w14:paraId="6422FE17" w14:textId="175BAF4A" w:rsidR="00542323" w:rsidRPr="006534A9" w:rsidRDefault="00B674AB" w:rsidP="00CD58B3">
            <w:pPr>
              <w:spacing w:after="0" w:line="240" w:lineRule="auto"/>
              <w:jc w:val="both"/>
              <w:rPr>
                <w:rFonts w:ascii="Times New Roman" w:hAnsi="Times New Roman" w:cs="Times New Roman"/>
                <w:spacing w:val="-2"/>
                <w:sz w:val="26"/>
                <w:szCs w:val="26"/>
              </w:rPr>
            </w:pPr>
            <w:r w:rsidRPr="006534A9">
              <w:rPr>
                <w:rFonts w:ascii="Times New Roman" w:hAnsi="Times New Roman" w:cs="Times New Roman"/>
                <w:spacing w:val="-2"/>
                <w:sz w:val="26"/>
                <w:szCs w:val="26"/>
              </w:rPr>
              <w:t>L</w:t>
            </w:r>
            <w:r w:rsidR="009135F1" w:rsidRPr="006534A9">
              <w:rPr>
                <w:rFonts w:ascii="Times New Roman" w:hAnsi="Times New Roman" w:cs="Times New Roman"/>
                <w:spacing w:val="-2"/>
                <w:sz w:val="26"/>
                <w:szCs w:val="26"/>
              </w:rPr>
              <w:t>ikum</w:t>
            </w:r>
            <w:r w:rsidR="00E92A40" w:rsidRPr="006534A9">
              <w:rPr>
                <w:rFonts w:ascii="Times New Roman" w:hAnsi="Times New Roman" w:cs="Times New Roman"/>
                <w:spacing w:val="-2"/>
                <w:sz w:val="26"/>
                <w:szCs w:val="26"/>
              </w:rPr>
              <w:t>a</w:t>
            </w:r>
            <w:r w:rsidR="009135F1" w:rsidRPr="006534A9">
              <w:rPr>
                <w:rFonts w:ascii="Times New Roman" w:hAnsi="Times New Roman" w:cs="Times New Roman"/>
                <w:spacing w:val="-2"/>
                <w:sz w:val="26"/>
                <w:szCs w:val="26"/>
              </w:rPr>
              <w:t xml:space="preserve"> </w:t>
            </w:r>
            <w:r w:rsidR="00274767" w:rsidRPr="006534A9">
              <w:rPr>
                <w:rFonts w:ascii="Times New Roman" w:hAnsi="Times New Roman" w:cs="Times New Roman"/>
                <w:spacing w:val="-2"/>
                <w:sz w:val="26"/>
                <w:szCs w:val="26"/>
              </w:rPr>
              <w:t xml:space="preserve">“Par akcīzes nodokli” </w:t>
            </w:r>
            <w:r w:rsidR="00542323" w:rsidRPr="006534A9">
              <w:rPr>
                <w:rFonts w:ascii="Times New Roman" w:hAnsi="Times New Roman" w:cs="Times New Roman"/>
                <w:spacing w:val="-2"/>
                <w:sz w:val="26"/>
                <w:szCs w:val="26"/>
              </w:rPr>
              <w:t>12.panta ceturtā daļ</w:t>
            </w:r>
            <w:r w:rsidR="00274767" w:rsidRPr="006534A9">
              <w:rPr>
                <w:rFonts w:ascii="Times New Roman" w:hAnsi="Times New Roman" w:cs="Times New Roman"/>
                <w:spacing w:val="-2"/>
                <w:sz w:val="26"/>
                <w:szCs w:val="26"/>
              </w:rPr>
              <w:t xml:space="preserve">a </w:t>
            </w:r>
            <w:r w:rsidR="00274767" w:rsidRPr="006534A9">
              <w:rPr>
                <w:rFonts w:ascii="Times New Roman" w:hAnsi="Times New Roman" w:cs="Times New Roman"/>
                <w:i/>
                <w:spacing w:val="-2"/>
                <w:sz w:val="26"/>
                <w:szCs w:val="26"/>
              </w:rPr>
              <w:t>(redakcijā, kas stāsies spēkā 2019.gada 1. martā</w:t>
            </w:r>
            <w:r w:rsidR="00274767" w:rsidRPr="006534A9">
              <w:rPr>
                <w:rFonts w:ascii="Times New Roman" w:hAnsi="Times New Roman" w:cs="Times New Roman"/>
                <w:spacing w:val="-2"/>
                <w:sz w:val="26"/>
                <w:szCs w:val="26"/>
              </w:rPr>
              <w:t>), kas paredz</w:t>
            </w:r>
            <w:r w:rsidR="00542323" w:rsidRPr="006534A9">
              <w:rPr>
                <w:rFonts w:ascii="Times New Roman" w:hAnsi="Times New Roman" w:cs="Times New Roman"/>
                <w:spacing w:val="-2"/>
                <w:sz w:val="26"/>
                <w:szCs w:val="26"/>
              </w:rPr>
              <w:t>, ka par vienā kalendāra gadā mazo alkoholisko dzērienu darītavu saražotajiem pārējiem alkoholiskajiem dzērieniem par 1000 litriem absolūtā spirta piemēro likmi 50 procentu apmērā no noteiktās likmes - pārējiem alkoholiskajiem dzērieniem (p</w:t>
            </w:r>
            <w:r w:rsidR="00CD58B3" w:rsidRPr="006534A9">
              <w:rPr>
                <w:rFonts w:ascii="Times New Roman" w:hAnsi="Times New Roman" w:cs="Times New Roman"/>
                <w:spacing w:val="-2"/>
                <w:sz w:val="26"/>
                <w:szCs w:val="26"/>
              </w:rPr>
              <w:t>ar 100 litriem absolūtā spirta).</w:t>
            </w:r>
          </w:p>
        </w:tc>
      </w:tr>
      <w:tr w:rsidR="00637709" w:rsidRPr="006534A9" w14:paraId="7ADFEDC6" w14:textId="77777777" w:rsidTr="0015184D">
        <w:trPr>
          <w:tblCellSpacing w:w="15" w:type="dxa"/>
        </w:trPr>
        <w:tc>
          <w:tcPr>
            <w:tcW w:w="219" w:type="pct"/>
            <w:hideMark/>
          </w:tcPr>
          <w:p w14:paraId="54B43DE7"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2.</w:t>
            </w:r>
          </w:p>
        </w:tc>
        <w:tc>
          <w:tcPr>
            <w:tcW w:w="901" w:type="pct"/>
            <w:hideMark/>
          </w:tcPr>
          <w:p w14:paraId="272FB129" w14:textId="3E5CAB80" w:rsidR="00E5323B" w:rsidRPr="006534A9" w:rsidRDefault="00E5323B" w:rsidP="008A3A66">
            <w:pPr>
              <w:spacing w:after="0" w:line="240" w:lineRule="auto"/>
              <w:rPr>
                <w:rFonts w:ascii="Times New Roman" w:eastAsia="Times New Roman" w:hAnsi="Times New Roman" w:cs="Times New Roman"/>
                <w:spacing w:val="-2"/>
                <w:sz w:val="26"/>
                <w:szCs w:val="26"/>
                <w:lang w:eastAsia="lv-LV"/>
              </w:rPr>
            </w:pPr>
            <w:r w:rsidRPr="006534A9">
              <w:rPr>
                <w:rFonts w:ascii="Times New Roman" w:eastAsia="Times New Roman" w:hAnsi="Times New Roman" w:cs="Times New Roman"/>
                <w:iCs/>
                <w:spacing w:val="-2"/>
                <w:sz w:val="26"/>
                <w:szCs w:val="26"/>
                <w:lang w:eastAsia="lv-LV"/>
              </w:rPr>
              <w:t>Pašreizējā situācija un problēmas, kuru risināšanai tiesību akta projekts izstrādāts, tiesiskā regulējuma mērķis un būtība</w:t>
            </w:r>
          </w:p>
        </w:tc>
        <w:tc>
          <w:tcPr>
            <w:tcW w:w="3820" w:type="pct"/>
            <w:hideMark/>
          </w:tcPr>
          <w:p w14:paraId="7000DFFD" w14:textId="18E3704C" w:rsidR="00302780" w:rsidRPr="006534A9" w:rsidRDefault="00302780" w:rsidP="00026353">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 xml:space="preserve">2018.gada 25.oktobrī </w:t>
            </w:r>
            <w:r w:rsidR="009135F1" w:rsidRPr="006534A9">
              <w:rPr>
                <w:rFonts w:ascii="Times New Roman" w:eastAsia="Calibri" w:hAnsi="Times New Roman" w:cs="Times New Roman"/>
                <w:sz w:val="26"/>
                <w:szCs w:val="26"/>
              </w:rPr>
              <w:t xml:space="preserve">tika </w:t>
            </w:r>
            <w:r w:rsidRPr="006534A9">
              <w:rPr>
                <w:rFonts w:ascii="Times New Roman" w:eastAsia="Calibri" w:hAnsi="Times New Roman" w:cs="Times New Roman"/>
                <w:sz w:val="26"/>
                <w:szCs w:val="26"/>
              </w:rPr>
              <w:t>pie</w:t>
            </w:r>
            <w:r w:rsidR="009135F1" w:rsidRPr="006534A9">
              <w:rPr>
                <w:rFonts w:ascii="Times New Roman" w:eastAsia="Calibri" w:hAnsi="Times New Roman" w:cs="Times New Roman"/>
                <w:sz w:val="26"/>
                <w:szCs w:val="26"/>
              </w:rPr>
              <w:t>ņe</w:t>
            </w:r>
            <w:r w:rsidRPr="006534A9">
              <w:rPr>
                <w:rFonts w:ascii="Times New Roman" w:eastAsia="Calibri" w:hAnsi="Times New Roman" w:cs="Times New Roman"/>
                <w:sz w:val="26"/>
                <w:szCs w:val="26"/>
              </w:rPr>
              <w:t>m</w:t>
            </w:r>
            <w:r w:rsidR="009135F1" w:rsidRPr="006534A9">
              <w:rPr>
                <w:rFonts w:ascii="Times New Roman" w:eastAsia="Calibri" w:hAnsi="Times New Roman" w:cs="Times New Roman"/>
                <w:sz w:val="26"/>
                <w:szCs w:val="26"/>
              </w:rPr>
              <w:t>ts</w:t>
            </w:r>
            <w:r w:rsidRPr="006534A9">
              <w:rPr>
                <w:rFonts w:ascii="Times New Roman" w:eastAsia="Calibri" w:hAnsi="Times New Roman" w:cs="Times New Roman"/>
                <w:sz w:val="26"/>
                <w:szCs w:val="26"/>
              </w:rPr>
              <w:t xml:space="preserve"> likum</w:t>
            </w:r>
            <w:r w:rsidR="009135F1" w:rsidRPr="006534A9">
              <w:rPr>
                <w:rFonts w:ascii="Times New Roman" w:eastAsia="Calibri" w:hAnsi="Times New Roman" w:cs="Times New Roman"/>
                <w:sz w:val="26"/>
                <w:szCs w:val="26"/>
              </w:rPr>
              <w:t>s</w:t>
            </w:r>
            <w:r w:rsidRPr="006534A9">
              <w:rPr>
                <w:rFonts w:ascii="Times New Roman" w:eastAsia="Calibri" w:hAnsi="Times New Roman" w:cs="Times New Roman"/>
                <w:sz w:val="26"/>
                <w:szCs w:val="26"/>
              </w:rPr>
              <w:t xml:space="preserve"> „Grozījumi likumā „Par </w:t>
            </w:r>
            <w:r w:rsidR="00CD4BD2" w:rsidRPr="006534A9">
              <w:rPr>
                <w:rFonts w:ascii="Times New Roman" w:eastAsia="Calibri" w:hAnsi="Times New Roman" w:cs="Times New Roman"/>
                <w:sz w:val="26"/>
                <w:szCs w:val="26"/>
              </w:rPr>
              <w:t>akcīzes nodokli””</w:t>
            </w:r>
            <w:r w:rsidRPr="006534A9">
              <w:rPr>
                <w:rFonts w:ascii="Times New Roman" w:eastAsia="Calibri" w:hAnsi="Times New Roman" w:cs="Times New Roman"/>
                <w:sz w:val="26"/>
                <w:szCs w:val="26"/>
              </w:rPr>
              <w:t>, papildin</w:t>
            </w:r>
            <w:r w:rsidR="009135F1" w:rsidRPr="006534A9">
              <w:rPr>
                <w:rFonts w:ascii="Times New Roman" w:eastAsia="Calibri" w:hAnsi="Times New Roman" w:cs="Times New Roman"/>
                <w:sz w:val="26"/>
                <w:szCs w:val="26"/>
              </w:rPr>
              <w:t>ot</w:t>
            </w:r>
            <w:r w:rsidRPr="006534A9">
              <w:rPr>
                <w:rFonts w:ascii="Times New Roman" w:eastAsia="Calibri" w:hAnsi="Times New Roman" w:cs="Times New Roman"/>
                <w:sz w:val="26"/>
                <w:szCs w:val="26"/>
              </w:rPr>
              <w:t xml:space="preserve"> likumu “Par akcīzes nodokli” ar 12.panta ceturto un piekto daļu un pārejas noteikumu 108.punktu, </w:t>
            </w:r>
            <w:r w:rsidR="009135F1" w:rsidRPr="006534A9">
              <w:rPr>
                <w:rFonts w:ascii="Times New Roman" w:eastAsia="Calibri" w:hAnsi="Times New Roman" w:cs="Times New Roman"/>
                <w:sz w:val="26"/>
                <w:szCs w:val="26"/>
              </w:rPr>
              <w:t xml:space="preserve">tādējādi </w:t>
            </w:r>
            <w:r w:rsidRPr="006534A9">
              <w:rPr>
                <w:rFonts w:ascii="Times New Roman" w:eastAsia="Calibri" w:hAnsi="Times New Roman" w:cs="Times New Roman"/>
                <w:sz w:val="26"/>
                <w:szCs w:val="26"/>
              </w:rPr>
              <w:t>nosakot, ka no 2019.gada 1.marta mazo alkoholisko dzērienu darītavu vienā kalendāra gadā saražotajiem pārējiem alkoholiskajiem dzērieniem (par 1000 litriem absolūtā spirta) piemērojama akcīzes nodokļa likme 50 procentu apmērā no pārējo alkoholisko dzērienu pamatlikmes.</w:t>
            </w:r>
          </w:p>
          <w:p w14:paraId="6857DE16" w14:textId="71186B16" w:rsidR="0099244C" w:rsidRPr="006534A9" w:rsidRDefault="00274767" w:rsidP="00A20FDC">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Noteikumu projekts paredz precizēt alkoholisko dzērienu akcīzes nodokļa deklarācijas veidlapu un tajā norādāmo informāciju.</w:t>
            </w:r>
          </w:p>
          <w:p w14:paraId="50D1159D" w14:textId="77777777" w:rsidR="00274767" w:rsidRPr="006534A9" w:rsidRDefault="00274767" w:rsidP="00A20FDC">
            <w:pPr>
              <w:spacing w:after="0" w:line="240" w:lineRule="auto"/>
              <w:jc w:val="both"/>
              <w:rPr>
                <w:rFonts w:ascii="Times New Roman" w:eastAsia="Calibri" w:hAnsi="Times New Roman" w:cs="Times New Roman"/>
                <w:sz w:val="26"/>
                <w:szCs w:val="26"/>
              </w:rPr>
            </w:pPr>
          </w:p>
          <w:p w14:paraId="724718A5" w14:textId="6865D667" w:rsidR="0099244C" w:rsidRPr="006534A9" w:rsidRDefault="00302780" w:rsidP="0018033D">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 xml:space="preserve">Šobrīd Ministru kabineta 2010.gada 30.marta noteikumu Nr.300 </w:t>
            </w:r>
            <w:r w:rsidRPr="006534A9">
              <w:rPr>
                <w:rFonts w:ascii="Times New Roman" w:eastAsia="Times New Roman" w:hAnsi="Times New Roman" w:cs="Times New Roman"/>
                <w:sz w:val="26"/>
                <w:szCs w:val="26"/>
                <w:lang w:eastAsia="lv-LV"/>
              </w:rPr>
              <w:t>"</w:t>
            </w:r>
            <w:r w:rsidRPr="006534A9">
              <w:rPr>
                <w:rFonts w:ascii="Times New Roman" w:eastAsia="Calibri" w:hAnsi="Times New Roman" w:cs="Times New Roman"/>
                <w:sz w:val="26"/>
                <w:szCs w:val="26"/>
              </w:rPr>
              <w:t>Noteikumi par akcīzes nodokļa deklarācijas veidlapām un to aizpildīšanas kārtību</w:t>
            </w:r>
            <w:r w:rsidRPr="006534A9">
              <w:rPr>
                <w:rFonts w:ascii="Times New Roman" w:eastAsia="Times New Roman" w:hAnsi="Times New Roman" w:cs="Times New Roman"/>
                <w:sz w:val="26"/>
                <w:szCs w:val="26"/>
                <w:lang w:eastAsia="lv-LV"/>
              </w:rPr>
              <w:t>"</w:t>
            </w:r>
            <w:r w:rsidRPr="006534A9">
              <w:rPr>
                <w:rFonts w:ascii="Times New Roman" w:eastAsia="Calibri" w:hAnsi="Times New Roman" w:cs="Times New Roman"/>
                <w:sz w:val="26"/>
                <w:szCs w:val="26"/>
              </w:rPr>
              <w:t xml:space="preserve"> (turpmāk – Ministru kabineta 2010.gada 30.marta noteikumi Nr.300) 2.pielikumā "Alkoholisko dzērienu akcīzes nodokļa deklarācija" nav iekļauta aile ar </w:t>
            </w:r>
            <w:r w:rsidR="0018033D" w:rsidRPr="006534A9">
              <w:rPr>
                <w:rFonts w:ascii="Times New Roman" w:eastAsia="Calibri" w:hAnsi="Times New Roman" w:cs="Times New Roman"/>
                <w:sz w:val="26"/>
                <w:szCs w:val="26"/>
              </w:rPr>
              <w:t xml:space="preserve">aprēķināmo </w:t>
            </w:r>
            <w:r w:rsidRPr="006534A9">
              <w:rPr>
                <w:rFonts w:ascii="Times New Roman" w:eastAsia="Calibri" w:hAnsi="Times New Roman" w:cs="Times New Roman"/>
                <w:sz w:val="26"/>
                <w:szCs w:val="26"/>
              </w:rPr>
              <w:t xml:space="preserve">akcīzes nodokli </w:t>
            </w:r>
            <w:r w:rsidR="00907B89" w:rsidRPr="006534A9">
              <w:rPr>
                <w:rFonts w:ascii="Times New Roman" w:eastAsia="Calibri" w:hAnsi="Times New Roman" w:cs="Times New Roman"/>
                <w:sz w:val="26"/>
                <w:szCs w:val="26"/>
              </w:rPr>
              <w:t xml:space="preserve">par </w:t>
            </w:r>
            <w:r w:rsidRPr="006534A9">
              <w:rPr>
                <w:rFonts w:ascii="Times New Roman" w:eastAsia="Calibri" w:hAnsi="Times New Roman" w:cs="Times New Roman"/>
                <w:sz w:val="26"/>
                <w:szCs w:val="26"/>
              </w:rPr>
              <w:t>mazo alkoholisko dzērienu darītavu vienā kalendāra gadā saražotajiem pārējiem alkoholiskajiem dzērieniem</w:t>
            </w:r>
            <w:r w:rsidR="00907B89" w:rsidRPr="006534A9">
              <w:rPr>
                <w:rFonts w:ascii="Times New Roman" w:eastAsia="Calibri" w:hAnsi="Times New Roman" w:cs="Times New Roman"/>
                <w:sz w:val="26"/>
                <w:szCs w:val="26"/>
              </w:rPr>
              <w:t>, kuriem piemērojama akcīzes nodokļa likme 50 p</w:t>
            </w:r>
            <w:r w:rsidR="005F46AE" w:rsidRPr="006534A9">
              <w:rPr>
                <w:rFonts w:ascii="Times New Roman" w:eastAsia="Calibri" w:hAnsi="Times New Roman" w:cs="Times New Roman"/>
                <w:sz w:val="26"/>
                <w:szCs w:val="26"/>
              </w:rPr>
              <w:t>rocentu apmērā</w:t>
            </w:r>
            <w:r w:rsidR="00907B89" w:rsidRPr="006534A9">
              <w:rPr>
                <w:rFonts w:ascii="Times New Roman" w:eastAsia="Calibri" w:hAnsi="Times New Roman" w:cs="Times New Roman"/>
                <w:sz w:val="26"/>
                <w:szCs w:val="26"/>
              </w:rPr>
              <w:t xml:space="preserve"> no pārējo alkoholisko dzērienu pamatlikmes</w:t>
            </w:r>
            <w:r w:rsidRPr="006534A9">
              <w:rPr>
                <w:rFonts w:ascii="Times New Roman" w:eastAsia="Calibri" w:hAnsi="Times New Roman" w:cs="Times New Roman"/>
                <w:sz w:val="26"/>
                <w:szCs w:val="26"/>
              </w:rPr>
              <w:t xml:space="preserve">. </w:t>
            </w:r>
            <w:r w:rsidR="00CF6050" w:rsidRPr="006534A9">
              <w:rPr>
                <w:rFonts w:ascii="Times New Roman" w:eastAsia="Calibri" w:hAnsi="Times New Roman" w:cs="Times New Roman"/>
                <w:sz w:val="26"/>
                <w:szCs w:val="26"/>
              </w:rPr>
              <w:t>Ievērojot</w:t>
            </w:r>
            <w:r w:rsidRPr="006534A9">
              <w:rPr>
                <w:rFonts w:ascii="Times New Roman" w:eastAsia="Calibri" w:hAnsi="Times New Roman" w:cs="Times New Roman"/>
                <w:sz w:val="26"/>
                <w:szCs w:val="26"/>
              </w:rPr>
              <w:t xml:space="preserve"> minēto, noteikumu projekts paredz izteikt jaunā redakcijā Ministru kabineta 2010.gada 30.marta noteikumu Nr.300 2.</w:t>
            </w:r>
            <w:r w:rsidR="00D24F91" w:rsidRPr="006534A9">
              <w:rPr>
                <w:rFonts w:ascii="Times New Roman" w:eastAsia="Calibri" w:hAnsi="Times New Roman" w:cs="Times New Roman"/>
                <w:sz w:val="26"/>
                <w:szCs w:val="26"/>
              </w:rPr>
              <w:t> </w:t>
            </w:r>
            <w:r w:rsidRPr="006534A9">
              <w:rPr>
                <w:rFonts w:ascii="Times New Roman" w:eastAsia="Calibri" w:hAnsi="Times New Roman" w:cs="Times New Roman"/>
                <w:sz w:val="26"/>
                <w:szCs w:val="26"/>
              </w:rPr>
              <w:t xml:space="preserve">pielikumu, paredzot </w:t>
            </w:r>
            <w:r w:rsidR="009135F1" w:rsidRPr="006534A9">
              <w:rPr>
                <w:rFonts w:ascii="Times New Roman" w:eastAsia="Calibri" w:hAnsi="Times New Roman" w:cs="Times New Roman"/>
                <w:sz w:val="26"/>
                <w:szCs w:val="26"/>
              </w:rPr>
              <w:t xml:space="preserve">iespēju </w:t>
            </w:r>
            <w:r w:rsidRPr="006534A9">
              <w:rPr>
                <w:rFonts w:ascii="Times New Roman" w:eastAsia="Calibri" w:hAnsi="Times New Roman" w:cs="Times New Roman"/>
                <w:sz w:val="26"/>
                <w:szCs w:val="26"/>
              </w:rPr>
              <w:t xml:space="preserve">aprēķināt akcīzes nodokli mazo </w:t>
            </w:r>
            <w:r w:rsidRPr="006534A9">
              <w:rPr>
                <w:rFonts w:ascii="Times New Roman" w:eastAsia="Calibri" w:hAnsi="Times New Roman" w:cs="Times New Roman"/>
                <w:sz w:val="26"/>
                <w:szCs w:val="26"/>
              </w:rPr>
              <w:lastRenderedPageBreak/>
              <w:t>alkoholisko dzērienu darītavu vienā kalendāra gadā saražotajiem pārējiem alkoholiskajiem dzērieniem.</w:t>
            </w:r>
          </w:p>
          <w:p w14:paraId="604C30F3" w14:textId="49913AC7" w:rsidR="00E47E99" w:rsidRPr="006534A9" w:rsidRDefault="00E47E99" w:rsidP="0018033D">
            <w:pPr>
              <w:spacing w:after="0" w:line="240" w:lineRule="auto"/>
              <w:jc w:val="both"/>
              <w:rPr>
                <w:rFonts w:ascii="Times New Roman" w:eastAsia="Calibri" w:hAnsi="Times New Roman" w:cs="Times New Roman"/>
                <w:sz w:val="26"/>
                <w:szCs w:val="26"/>
              </w:rPr>
            </w:pPr>
          </w:p>
          <w:p w14:paraId="44EAB3D5" w14:textId="4A9E7EB7" w:rsidR="00F74DA8" w:rsidRPr="006534A9" w:rsidRDefault="00D26050" w:rsidP="00B52F1B">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N</w:t>
            </w:r>
            <w:r w:rsidR="003F4E44" w:rsidRPr="006534A9">
              <w:rPr>
                <w:rFonts w:ascii="Times New Roman" w:eastAsia="Calibri" w:hAnsi="Times New Roman" w:cs="Times New Roman"/>
                <w:sz w:val="26"/>
                <w:szCs w:val="26"/>
              </w:rPr>
              <w:t>oteikumu p</w:t>
            </w:r>
            <w:r w:rsidR="00C52258" w:rsidRPr="006534A9">
              <w:rPr>
                <w:rFonts w:ascii="Times New Roman" w:eastAsia="Calibri" w:hAnsi="Times New Roman" w:cs="Times New Roman"/>
                <w:sz w:val="26"/>
                <w:szCs w:val="26"/>
              </w:rPr>
              <w:t xml:space="preserve">rojekts paredz, ka </w:t>
            </w:r>
            <w:r w:rsidR="00C73B99" w:rsidRPr="006534A9">
              <w:rPr>
                <w:rFonts w:ascii="Times New Roman" w:eastAsia="Calibri" w:hAnsi="Times New Roman" w:cs="Times New Roman"/>
                <w:sz w:val="26"/>
                <w:szCs w:val="26"/>
              </w:rPr>
              <w:t xml:space="preserve">Alkoholisko dzērienu akcīzes nodokļa </w:t>
            </w:r>
            <w:r w:rsidR="00F9404B" w:rsidRPr="006534A9">
              <w:rPr>
                <w:rFonts w:ascii="Times New Roman" w:eastAsia="Calibri" w:hAnsi="Times New Roman" w:cs="Times New Roman"/>
                <w:sz w:val="26"/>
                <w:szCs w:val="26"/>
              </w:rPr>
              <w:t>deklarācijas 11.</w:t>
            </w:r>
            <w:r w:rsidR="00B52F1B" w:rsidRPr="006534A9">
              <w:rPr>
                <w:rFonts w:ascii="Times New Roman" w:eastAsia="Calibri" w:hAnsi="Times New Roman" w:cs="Times New Roman"/>
                <w:sz w:val="26"/>
                <w:szCs w:val="26"/>
              </w:rPr>
              <w:t>ailē “Pārējie alkoholiskie dzērieni, kas saražoti mazajā alkoholisko dzērienu darītavā”</w:t>
            </w:r>
            <w:r w:rsidR="00780165" w:rsidRPr="006534A9">
              <w:rPr>
                <w:rFonts w:ascii="Times New Roman" w:eastAsia="Calibri" w:hAnsi="Times New Roman" w:cs="Times New Roman"/>
                <w:sz w:val="26"/>
                <w:szCs w:val="26"/>
              </w:rPr>
              <w:t xml:space="preserve">, </w:t>
            </w:r>
            <w:r w:rsidR="009A2913" w:rsidRPr="006534A9">
              <w:rPr>
                <w:rFonts w:ascii="Times New Roman" w:eastAsia="Calibri" w:hAnsi="Times New Roman" w:cs="Times New Roman"/>
                <w:sz w:val="26"/>
                <w:szCs w:val="26"/>
              </w:rPr>
              <w:t xml:space="preserve">iekļauj arī no citas dalībvalsts mazās alkoholisko dzērienu darītavas saņemto pārējo alkoholisko dzērienu daudzumu, </w:t>
            </w:r>
            <w:r w:rsidR="00F9404B" w:rsidRPr="006534A9">
              <w:rPr>
                <w:rFonts w:ascii="Times New Roman" w:eastAsia="Calibri" w:hAnsi="Times New Roman" w:cs="Times New Roman"/>
                <w:sz w:val="26"/>
                <w:szCs w:val="26"/>
              </w:rPr>
              <w:t xml:space="preserve"> </w:t>
            </w:r>
            <w:r w:rsidR="00C52258" w:rsidRPr="006534A9">
              <w:rPr>
                <w:rFonts w:ascii="Times New Roman" w:eastAsia="Calibri" w:hAnsi="Times New Roman" w:cs="Times New Roman"/>
                <w:sz w:val="26"/>
                <w:szCs w:val="26"/>
              </w:rPr>
              <w:t xml:space="preserve">ja </w:t>
            </w:r>
            <w:r w:rsidR="00F74DA8" w:rsidRPr="006534A9">
              <w:rPr>
                <w:rFonts w:ascii="Times New Roman" w:eastAsia="Calibri" w:hAnsi="Times New Roman" w:cs="Times New Roman"/>
                <w:sz w:val="26"/>
                <w:szCs w:val="26"/>
              </w:rPr>
              <w:t xml:space="preserve">šo alkoholisko dzērienu pārvietošanai </w:t>
            </w:r>
            <w:r w:rsidR="00780165" w:rsidRPr="006534A9">
              <w:rPr>
                <w:rFonts w:ascii="Times New Roman" w:eastAsia="Calibri" w:hAnsi="Times New Roman" w:cs="Times New Roman"/>
                <w:sz w:val="26"/>
                <w:szCs w:val="26"/>
              </w:rPr>
              <w:t>ir</w:t>
            </w:r>
            <w:r w:rsidR="00F74DA8" w:rsidRPr="006534A9">
              <w:rPr>
                <w:rFonts w:ascii="Times New Roman" w:eastAsia="Calibri" w:hAnsi="Times New Roman" w:cs="Times New Roman"/>
                <w:sz w:val="26"/>
                <w:szCs w:val="26"/>
              </w:rPr>
              <w:t xml:space="preserve"> noformēts dokuments, kas noteikts Eiropas Komisijas 2009. gada 24. jūlija Regulā (EK) Nr. 684/2009, ar ko īsteno Padomes Direktīvu 2008/118/EK attiecībā uz datorizētām procedūrām akcīzes preču pārvietošanai atliktās nodokļa maksāšanas režīmā (turpmāk – regula Nr. 684/2009), kura 17. “l” ailē "Izcelsmes apraksts" un 17.”n” ailē "Ražotāja lielums" ir norādīta informācija atbilstoši regulā Nr. 684/2009 noteiktajām prasībām vai dokuments, kas noteikts Komisijas 1992. gada 17. decembra Regulā (EEK) Nr. 3649/92 par vienkāršotiem pavaddokumentiem (turpmāk –</w:t>
            </w:r>
            <w:r w:rsidR="00780165" w:rsidRPr="006534A9">
              <w:rPr>
                <w:rFonts w:ascii="Times New Roman" w:eastAsia="Calibri" w:hAnsi="Times New Roman" w:cs="Times New Roman"/>
                <w:sz w:val="26"/>
                <w:szCs w:val="26"/>
              </w:rPr>
              <w:t xml:space="preserve"> </w:t>
            </w:r>
            <w:r w:rsidR="00F74DA8" w:rsidRPr="006534A9">
              <w:rPr>
                <w:rFonts w:ascii="Times New Roman" w:eastAsia="Calibri" w:hAnsi="Times New Roman" w:cs="Times New Roman"/>
                <w:sz w:val="26"/>
                <w:szCs w:val="26"/>
              </w:rPr>
              <w:t>regula Nr. 3649/92), kura 14. ailē "Sertifikāti (dažiem vīniem, stipriem alkoholiskiem dzērieniem, mazām alus darītavām un spirta rūpnīcām)" ir norādīta informācija atbilstoši regulā Nr. 3649/92 noteiktajām prasībām un akcīzes nodokļa maksātājs akcīzes nodokļa deklarācijai ir pievienojis</w:t>
            </w:r>
            <w:r w:rsidR="00780165" w:rsidRPr="006534A9">
              <w:rPr>
                <w:rFonts w:ascii="Times New Roman" w:eastAsia="Calibri" w:hAnsi="Times New Roman" w:cs="Times New Roman"/>
                <w:sz w:val="26"/>
                <w:szCs w:val="26"/>
              </w:rPr>
              <w:t xml:space="preserve"> (norādījis alkoholisko dzērienu deklarācijas 44.rindā)</w:t>
            </w:r>
            <w:r w:rsidR="00F74DA8" w:rsidRPr="006534A9">
              <w:rPr>
                <w:rFonts w:ascii="Times New Roman" w:eastAsia="Calibri" w:hAnsi="Times New Roman" w:cs="Times New Roman"/>
                <w:sz w:val="26"/>
                <w:szCs w:val="26"/>
              </w:rPr>
              <w:t xml:space="preserve"> </w:t>
            </w:r>
            <w:r w:rsidR="0099244C" w:rsidRPr="006534A9">
              <w:rPr>
                <w:rFonts w:ascii="Times New Roman" w:eastAsia="Calibri" w:hAnsi="Times New Roman" w:cs="Times New Roman"/>
                <w:sz w:val="26"/>
                <w:szCs w:val="26"/>
              </w:rPr>
              <w:t xml:space="preserve">dokumenta </w:t>
            </w:r>
            <w:r w:rsidR="00F74DA8" w:rsidRPr="006534A9">
              <w:rPr>
                <w:rFonts w:ascii="Times New Roman" w:eastAsia="Calibri" w:hAnsi="Times New Roman" w:cs="Times New Roman"/>
                <w:sz w:val="26"/>
                <w:szCs w:val="26"/>
              </w:rPr>
              <w:t>numuru, ar kuru no citas dalībvalsts mazās alkoholisko dzērienu darītavas saņemti pārējie alkoholiskie dzērieni</w:t>
            </w:r>
            <w:r w:rsidR="00780165" w:rsidRPr="006534A9">
              <w:rPr>
                <w:rFonts w:ascii="Times New Roman" w:eastAsia="Calibri" w:hAnsi="Times New Roman" w:cs="Times New Roman"/>
                <w:sz w:val="26"/>
                <w:szCs w:val="26"/>
              </w:rPr>
              <w:t>.</w:t>
            </w:r>
          </w:p>
          <w:p w14:paraId="743B158D" w14:textId="7299C3CF" w:rsidR="00F74DA8" w:rsidRPr="006534A9" w:rsidRDefault="00F74DA8" w:rsidP="0018033D">
            <w:pPr>
              <w:spacing w:after="0" w:line="240" w:lineRule="auto"/>
              <w:jc w:val="both"/>
              <w:rPr>
                <w:rFonts w:ascii="Times New Roman" w:eastAsia="Calibri" w:hAnsi="Times New Roman" w:cs="Times New Roman"/>
                <w:sz w:val="26"/>
                <w:szCs w:val="26"/>
              </w:rPr>
            </w:pPr>
          </w:p>
          <w:p w14:paraId="638EC8A5" w14:textId="614F942C" w:rsidR="001C59AE" w:rsidRPr="006534A9" w:rsidRDefault="009F77FB" w:rsidP="00090A20">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 xml:space="preserve">Šobrīd </w:t>
            </w:r>
            <w:r w:rsidR="00036A3C" w:rsidRPr="006534A9">
              <w:rPr>
                <w:rFonts w:ascii="Times New Roman" w:eastAsia="Calibri" w:hAnsi="Times New Roman" w:cs="Times New Roman"/>
                <w:sz w:val="26"/>
                <w:szCs w:val="26"/>
              </w:rPr>
              <w:t xml:space="preserve">nav noteikts, kurā </w:t>
            </w:r>
            <w:r w:rsidRPr="006534A9">
              <w:rPr>
                <w:rFonts w:ascii="Times New Roman" w:eastAsia="Calibri" w:hAnsi="Times New Roman" w:cs="Times New Roman"/>
                <w:sz w:val="26"/>
                <w:szCs w:val="26"/>
              </w:rPr>
              <w:t>Ministru kabineta 2010.gada 30.marta noteikum</w:t>
            </w:r>
            <w:r w:rsidR="00580EB8" w:rsidRPr="006534A9">
              <w:rPr>
                <w:rFonts w:ascii="Times New Roman" w:eastAsia="Calibri" w:hAnsi="Times New Roman" w:cs="Times New Roman"/>
                <w:sz w:val="26"/>
                <w:szCs w:val="26"/>
              </w:rPr>
              <w:t>u</w:t>
            </w:r>
            <w:r w:rsidR="00036A3C" w:rsidRPr="006534A9">
              <w:rPr>
                <w:rFonts w:ascii="Times New Roman" w:eastAsia="Calibri" w:hAnsi="Times New Roman" w:cs="Times New Roman"/>
                <w:sz w:val="26"/>
                <w:szCs w:val="26"/>
              </w:rPr>
              <w:t xml:space="preserve"> Nr.300 2.pielikuma</w:t>
            </w:r>
            <w:r w:rsidRPr="006534A9">
              <w:rPr>
                <w:rFonts w:ascii="Times New Roman" w:eastAsia="Calibri" w:hAnsi="Times New Roman" w:cs="Times New Roman"/>
                <w:sz w:val="26"/>
                <w:szCs w:val="26"/>
              </w:rPr>
              <w:t xml:space="preserve"> "Alkoholisko dzērienu akcīzes nodokļa deklarācija"</w:t>
            </w:r>
            <w:r w:rsidR="00036A3C" w:rsidRPr="006534A9">
              <w:rPr>
                <w:rFonts w:ascii="Times New Roman" w:eastAsia="Calibri" w:hAnsi="Times New Roman" w:cs="Times New Roman"/>
                <w:sz w:val="26"/>
                <w:szCs w:val="26"/>
              </w:rPr>
              <w:t xml:space="preserve"> </w:t>
            </w:r>
            <w:r w:rsidR="000A61F9" w:rsidRPr="006534A9">
              <w:rPr>
                <w:rFonts w:ascii="Times New Roman" w:eastAsia="Calibri" w:hAnsi="Times New Roman" w:cs="Times New Roman"/>
                <w:sz w:val="26"/>
                <w:szCs w:val="26"/>
              </w:rPr>
              <w:t>un</w:t>
            </w:r>
            <w:r w:rsidR="00476454" w:rsidRPr="006534A9">
              <w:rPr>
                <w:rFonts w:ascii="Times New Roman" w:eastAsia="Calibri" w:hAnsi="Times New Roman" w:cs="Times New Roman"/>
                <w:sz w:val="26"/>
                <w:szCs w:val="26"/>
              </w:rPr>
              <w:t xml:space="preserve"> 3.pielikuma</w:t>
            </w:r>
            <w:r w:rsidR="000A61F9" w:rsidRPr="006534A9">
              <w:rPr>
                <w:rFonts w:ascii="Times New Roman" w:eastAsia="Calibri" w:hAnsi="Times New Roman" w:cs="Times New Roman"/>
                <w:sz w:val="26"/>
                <w:szCs w:val="26"/>
              </w:rPr>
              <w:t xml:space="preserve"> “Tabakas izstrādājumu akcīzes nodokļa deklarācij</w:t>
            </w:r>
            <w:r w:rsidR="00F70D79" w:rsidRPr="006534A9">
              <w:rPr>
                <w:rFonts w:ascii="Times New Roman" w:eastAsia="Calibri" w:hAnsi="Times New Roman" w:cs="Times New Roman"/>
                <w:sz w:val="26"/>
                <w:szCs w:val="26"/>
              </w:rPr>
              <w:t>a</w:t>
            </w:r>
            <w:r w:rsidR="000A61F9" w:rsidRPr="006534A9">
              <w:rPr>
                <w:rFonts w:ascii="Times New Roman" w:eastAsia="Calibri" w:hAnsi="Times New Roman" w:cs="Times New Roman"/>
                <w:sz w:val="26"/>
                <w:szCs w:val="26"/>
              </w:rPr>
              <w:t xml:space="preserve">” </w:t>
            </w:r>
            <w:r w:rsidR="00036A3C" w:rsidRPr="006534A9">
              <w:rPr>
                <w:rFonts w:ascii="Times New Roman" w:eastAsia="Calibri" w:hAnsi="Times New Roman" w:cs="Times New Roman"/>
                <w:sz w:val="26"/>
                <w:szCs w:val="26"/>
              </w:rPr>
              <w:t>rindā</w:t>
            </w:r>
            <w:r w:rsidR="00476AD5" w:rsidRPr="006534A9">
              <w:rPr>
                <w:rFonts w:ascii="Times New Roman" w:eastAsia="Calibri" w:hAnsi="Times New Roman" w:cs="Times New Roman"/>
                <w:sz w:val="26"/>
                <w:szCs w:val="26"/>
              </w:rPr>
              <w:t xml:space="preserve"> </w:t>
            </w:r>
            <w:r w:rsidR="009A2913" w:rsidRPr="006534A9">
              <w:rPr>
                <w:rFonts w:ascii="Times New Roman" w:eastAsia="Calibri" w:hAnsi="Times New Roman" w:cs="Times New Roman"/>
                <w:sz w:val="26"/>
                <w:szCs w:val="26"/>
              </w:rPr>
              <w:t>jā</w:t>
            </w:r>
            <w:r w:rsidR="000A61F9" w:rsidRPr="006534A9">
              <w:rPr>
                <w:rFonts w:ascii="Times New Roman" w:eastAsia="Calibri" w:hAnsi="Times New Roman" w:cs="Times New Roman"/>
                <w:sz w:val="26"/>
                <w:szCs w:val="26"/>
              </w:rPr>
              <w:t>nor</w:t>
            </w:r>
            <w:r w:rsidR="00411592" w:rsidRPr="006534A9">
              <w:rPr>
                <w:rFonts w:ascii="Times New Roman" w:eastAsia="Calibri" w:hAnsi="Times New Roman" w:cs="Times New Roman"/>
                <w:sz w:val="26"/>
                <w:szCs w:val="26"/>
              </w:rPr>
              <w:t>ā</w:t>
            </w:r>
            <w:r w:rsidR="000A61F9" w:rsidRPr="006534A9">
              <w:rPr>
                <w:rFonts w:ascii="Times New Roman" w:eastAsia="Calibri" w:hAnsi="Times New Roman" w:cs="Times New Roman"/>
                <w:sz w:val="26"/>
                <w:szCs w:val="26"/>
              </w:rPr>
              <w:t>d</w:t>
            </w:r>
            <w:r w:rsidR="009A2913" w:rsidRPr="006534A9">
              <w:rPr>
                <w:rFonts w:ascii="Times New Roman" w:eastAsia="Calibri" w:hAnsi="Times New Roman" w:cs="Times New Roman"/>
                <w:sz w:val="26"/>
                <w:szCs w:val="26"/>
              </w:rPr>
              <w:t>a</w:t>
            </w:r>
            <w:r w:rsidR="000A61F9" w:rsidRPr="006534A9">
              <w:rPr>
                <w:rFonts w:ascii="Times New Roman" w:eastAsia="Calibri" w:hAnsi="Times New Roman" w:cs="Times New Roman"/>
                <w:sz w:val="26"/>
                <w:szCs w:val="26"/>
              </w:rPr>
              <w:t xml:space="preserve"> akcīzes preču noliktavā iznīcināto alkoholisko dzērienu un</w:t>
            </w:r>
            <w:r w:rsidR="00FA055F" w:rsidRPr="006534A9">
              <w:rPr>
                <w:rFonts w:ascii="Times New Roman" w:eastAsia="Calibri" w:hAnsi="Times New Roman" w:cs="Times New Roman"/>
                <w:sz w:val="26"/>
                <w:szCs w:val="26"/>
              </w:rPr>
              <w:t xml:space="preserve"> tabakas izstrādājumu daudzumu. </w:t>
            </w:r>
            <w:r w:rsidRPr="006534A9">
              <w:rPr>
                <w:rFonts w:ascii="Times New Roman" w:eastAsia="Calibri" w:hAnsi="Times New Roman" w:cs="Times New Roman"/>
                <w:sz w:val="26"/>
                <w:szCs w:val="26"/>
              </w:rPr>
              <w:t xml:space="preserve"> </w:t>
            </w:r>
            <w:r w:rsidR="001B11B7" w:rsidRPr="006534A9">
              <w:rPr>
                <w:rFonts w:ascii="Times New Roman" w:eastAsia="Calibri" w:hAnsi="Times New Roman" w:cs="Times New Roman"/>
                <w:sz w:val="26"/>
                <w:szCs w:val="26"/>
              </w:rPr>
              <w:t>Noteikumu p</w:t>
            </w:r>
            <w:r w:rsidR="000A61F9" w:rsidRPr="006534A9">
              <w:rPr>
                <w:rFonts w:ascii="Times New Roman" w:eastAsia="Calibri" w:hAnsi="Times New Roman" w:cs="Times New Roman"/>
                <w:sz w:val="26"/>
                <w:szCs w:val="26"/>
              </w:rPr>
              <w:t xml:space="preserve">rojekts paredz papildināt Ministru kabineta 2010.gada 30.marta noteikumu Nr.300 23.5 </w:t>
            </w:r>
            <w:r w:rsidR="00B02341" w:rsidRPr="006534A9">
              <w:rPr>
                <w:rFonts w:ascii="Times New Roman" w:eastAsia="Calibri" w:hAnsi="Times New Roman" w:cs="Times New Roman"/>
                <w:sz w:val="26"/>
                <w:szCs w:val="26"/>
              </w:rPr>
              <w:t>apakš</w:t>
            </w:r>
            <w:r w:rsidR="000A61F9" w:rsidRPr="006534A9">
              <w:rPr>
                <w:rFonts w:ascii="Times New Roman" w:eastAsia="Calibri" w:hAnsi="Times New Roman" w:cs="Times New Roman"/>
                <w:sz w:val="26"/>
                <w:szCs w:val="26"/>
              </w:rPr>
              <w:t>punkt</w:t>
            </w:r>
            <w:r w:rsidR="00295592" w:rsidRPr="006534A9">
              <w:rPr>
                <w:rFonts w:ascii="Times New Roman" w:eastAsia="Calibri" w:hAnsi="Times New Roman" w:cs="Times New Roman"/>
                <w:sz w:val="26"/>
                <w:szCs w:val="26"/>
              </w:rPr>
              <w:t>u</w:t>
            </w:r>
            <w:r w:rsidR="000A61F9" w:rsidRPr="006534A9">
              <w:rPr>
                <w:rFonts w:ascii="Times New Roman" w:eastAsia="Calibri" w:hAnsi="Times New Roman" w:cs="Times New Roman"/>
                <w:sz w:val="26"/>
                <w:szCs w:val="26"/>
              </w:rPr>
              <w:t xml:space="preserve"> </w:t>
            </w:r>
            <w:r w:rsidR="0009132F" w:rsidRPr="006534A9">
              <w:rPr>
                <w:rFonts w:ascii="Times New Roman" w:eastAsia="Calibri" w:hAnsi="Times New Roman" w:cs="Times New Roman"/>
                <w:sz w:val="26"/>
                <w:szCs w:val="26"/>
              </w:rPr>
              <w:t xml:space="preserve">un 37.5 </w:t>
            </w:r>
            <w:r w:rsidR="00F33910" w:rsidRPr="006534A9">
              <w:rPr>
                <w:rFonts w:ascii="Times New Roman" w:eastAsia="Calibri" w:hAnsi="Times New Roman" w:cs="Times New Roman"/>
                <w:sz w:val="26"/>
                <w:szCs w:val="26"/>
              </w:rPr>
              <w:t>apakš</w:t>
            </w:r>
            <w:r w:rsidR="0009132F" w:rsidRPr="006534A9">
              <w:rPr>
                <w:rFonts w:ascii="Times New Roman" w:eastAsia="Calibri" w:hAnsi="Times New Roman" w:cs="Times New Roman"/>
                <w:sz w:val="26"/>
                <w:szCs w:val="26"/>
              </w:rPr>
              <w:t>punkt</w:t>
            </w:r>
            <w:r w:rsidR="00295592" w:rsidRPr="006534A9">
              <w:rPr>
                <w:rFonts w:ascii="Times New Roman" w:eastAsia="Calibri" w:hAnsi="Times New Roman" w:cs="Times New Roman"/>
                <w:sz w:val="26"/>
                <w:szCs w:val="26"/>
              </w:rPr>
              <w:t>u</w:t>
            </w:r>
            <w:r w:rsidR="0009132F" w:rsidRPr="006534A9">
              <w:rPr>
                <w:rFonts w:ascii="Times New Roman" w:eastAsia="Calibri" w:hAnsi="Times New Roman" w:cs="Times New Roman"/>
                <w:sz w:val="26"/>
                <w:szCs w:val="26"/>
              </w:rPr>
              <w:t xml:space="preserve"> ar </w:t>
            </w:r>
            <w:r w:rsidR="00D13D07" w:rsidRPr="006534A9">
              <w:rPr>
                <w:rFonts w:ascii="Times New Roman" w:eastAsia="Calibri" w:hAnsi="Times New Roman" w:cs="Times New Roman"/>
                <w:sz w:val="26"/>
                <w:szCs w:val="26"/>
              </w:rPr>
              <w:t xml:space="preserve">vārdiem </w:t>
            </w:r>
            <w:r w:rsidR="0009132F" w:rsidRPr="006534A9">
              <w:rPr>
                <w:rFonts w:ascii="Times New Roman" w:eastAsia="Calibri" w:hAnsi="Times New Roman" w:cs="Times New Roman"/>
                <w:sz w:val="26"/>
                <w:szCs w:val="26"/>
              </w:rPr>
              <w:t>“akcīzes preču nolikta</w:t>
            </w:r>
            <w:r w:rsidR="00D13D07" w:rsidRPr="006534A9">
              <w:rPr>
                <w:rFonts w:ascii="Times New Roman" w:eastAsia="Calibri" w:hAnsi="Times New Roman" w:cs="Times New Roman"/>
                <w:sz w:val="26"/>
                <w:szCs w:val="26"/>
              </w:rPr>
              <w:t>vā iznīcināto</w:t>
            </w:r>
            <w:r w:rsidR="0009132F" w:rsidRPr="006534A9">
              <w:rPr>
                <w:rFonts w:ascii="Times New Roman" w:eastAsia="Calibri" w:hAnsi="Times New Roman" w:cs="Times New Roman"/>
                <w:sz w:val="26"/>
                <w:szCs w:val="26"/>
              </w:rPr>
              <w:t>”</w:t>
            </w:r>
            <w:r w:rsidR="00295592" w:rsidRPr="006534A9">
              <w:rPr>
                <w:rFonts w:ascii="Times New Roman" w:eastAsia="Calibri" w:hAnsi="Times New Roman" w:cs="Times New Roman"/>
                <w:sz w:val="26"/>
                <w:szCs w:val="26"/>
              </w:rPr>
              <w:t>, tādējādi nosakot, ka akcīzes preču noliktavā iznīcināto alkoholisko dzērienu daudzumu norāda alkoholisko dzērienu akcīzes nodokļa deklarācijas 17.</w:t>
            </w:r>
            <w:r w:rsidR="00964B76" w:rsidRPr="006534A9">
              <w:rPr>
                <w:rFonts w:ascii="Times New Roman" w:eastAsia="Calibri" w:hAnsi="Times New Roman" w:cs="Times New Roman"/>
                <w:sz w:val="26"/>
                <w:szCs w:val="26"/>
              </w:rPr>
              <w:t>rindā, bet akcīzes preču noliktavā iznīcināto tabakas izstrādājumu daudzumu norāda tabakas izstrādājumu akcīzes nodokļa deklarācijas 22.rindā.</w:t>
            </w:r>
          </w:p>
          <w:p w14:paraId="44F44DA7" w14:textId="77777777" w:rsidR="001C59AE" w:rsidRPr="006534A9" w:rsidRDefault="001C59AE" w:rsidP="00090A20">
            <w:pPr>
              <w:spacing w:after="0" w:line="240" w:lineRule="auto"/>
              <w:jc w:val="both"/>
              <w:rPr>
                <w:rFonts w:ascii="Times New Roman" w:eastAsia="Calibri" w:hAnsi="Times New Roman" w:cs="Times New Roman"/>
                <w:sz w:val="26"/>
                <w:szCs w:val="26"/>
              </w:rPr>
            </w:pPr>
          </w:p>
          <w:p w14:paraId="68B65DA7" w14:textId="168A6788" w:rsidR="00E00E94" w:rsidRPr="006534A9" w:rsidRDefault="007C6929" w:rsidP="006B32BB">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G</w:t>
            </w:r>
            <w:r w:rsidR="00090A20" w:rsidRPr="006534A9">
              <w:rPr>
                <w:rFonts w:ascii="Times New Roman" w:eastAsia="Calibri" w:hAnsi="Times New Roman" w:cs="Times New Roman"/>
                <w:sz w:val="26"/>
                <w:szCs w:val="26"/>
              </w:rPr>
              <w:t>adījumos, kad</w:t>
            </w:r>
            <w:r w:rsidR="001D5364" w:rsidRPr="006534A9">
              <w:rPr>
                <w:rFonts w:ascii="Times New Roman" w:eastAsia="Calibri" w:hAnsi="Times New Roman" w:cs="Times New Roman"/>
                <w:sz w:val="26"/>
                <w:szCs w:val="26"/>
              </w:rPr>
              <w:t xml:space="preserve"> </w:t>
            </w:r>
            <w:r w:rsidRPr="006534A9">
              <w:rPr>
                <w:rFonts w:ascii="Times New Roman" w:eastAsia="Calibri" w:hAnsi="Times New Roman" w:cs="Times New Roman"/>
                <w:sz w:val="26"/>
                <w:szCs w:val="26"/>
              </w:rPr>
              <w:t xml:space="preserve">dabasgāzes </w:t>
            </w:r>
            <w:r w:rsidR="001D5364" w:rsidRPr="006534A9">
              <w:rPr>
                <w:rFonts w:ascii="Times New Roman" w:eastAsia="Calibri" w:hAnsi="Times New Roman" w:cs="Times New Roman"/>
                <w:sz w:val="26"/>
                <w:szCs w:val="26"/>
              </w:rPr>
              <w:t xml:space="preserve">galalietotājs vienlaicīgi </w:t>
            </w:r>
            <w:r w:rsidRPr="006534A9">
              <w:rPr>
                <w:rFonts w:ascii="Times New Roman" w:eastAsia="Calibri" w:hAnsi="Times New Roman" w:cs="Times New Roman"/>
                <w:sz w:val="26"/>
                <w:szCs w:val="26"/>
              </w:rPr>
              <w:t xml:space="preserve">ir dabasgāzes </w:t>
            </w:r>
            <w:r w:rsidR="001D5364" w:rsidRPr="006534A9">
              <w:rPr>
                <w:rFonts w:ascii="Times New Roman" w:eastAsia="Calibri" w:hAnsi="Times New Roman" w:cs="Times New Roman"/>
                <w:sz w:val="26"/>
                <w:szCs w:val="26"/>
              </w:rPr>
              <w:t>pārvades</w:t>
            </w:r>
            <w:r w:rsidR="003503D7" w:rsidRPr="006534A9">
              <w:rPr>
                <w:rFonts w:ascii="Times New Roman" w:eastAsia="Calibri" w:hAnsi="Times New Roman" w:cs="Times New Roman"/>
                <w:sz w:val="26"/>
                <w:szCs w:val="26"/>
              </w:rPr>
              <w:t xml:space="preserve"> un uzglabāšanas</w:t>
            </w:r>
            <w:r w:rsidR="001D5364" w:rsidRPr="006534A9">
              <w:rPr>
                <w:rFonts w:ascii="Times New Roman" w:eastAsia="Calibri" w:hAnsi="Times New Roman" w:cs="Times New Roman"/>
                <w:sz w:val="26"/>
                <w:szCs w:val="26"/>
              </w:rPr>
              <w:t xml:space="preserve"> sistēmas operators, tam kā </w:t>
            </w:r>
            <w:r w:rsidRPr="006534A9">
              <w:rPr>
                <w:rFonts w:ascii="Times New Roman" w:eastAsia="Calibri" w:hAnsi="Times New Roman" w:cs="Times New Roman"/>
                <w:sz w:val="26"/>
                <w:szCs w:val="26"/>
              </w:rPr>
              <w:t xml:space="preserve">dabasgāzes </w:t>
            </w:r>
            <w:r w:rsidR="001D5364" w:rsidRPr="006534A9">
              <w:rPr>
                <w:rFonts w:ascii="Times New Roman" w:eastAsia="Calibri" w:hAnsi="Times New Roman" w:cs="Times New Roman"/>
                <w:sz w:val="26"/>
                <w:szCs w:val="26"/>
              </w:rPr>
              <w:t>galalietotājam ir jāsniedz dabasgāzes akcīzes nodokļa</w:t>
            </w:r>
            <w:r w:rsidR="002F5CF0" w:rsidRPr="006534A9">
              <w:rPr>
                <w:rFonts w:ascii="Times New Roman" w:eastAsia="Calibri" w:hAnsi="Times New Roman" w:cs="Times New Roman"/>
                <w:sz w:val="26"/>
                <w:szCs w:val="26"/>
              </w:rPr>
              <w:t xml:space="preserve"> deklarācija</w:t>
            </w:r>
            <w:r w:rsidRPr="006534A9">
              <w:rPr>
                <w:rFonts w:ascii="Times New Roman" w:eastAsia="Calibri" w:hAnsi="Times New Roman" w:cs="Times New Roman"/>
                <w:sz w:val="26"/>
                <w:szCs w:val="26"/>
              </w:rPr>
              <w:t xml:space="preserve">. Savukārt, atbilstoši </w:t>
            </w:r>
            <w:r w:rsidR="003503D7" w:rsidRPr="006534A9">
              <w:rPr>
                <w:rFonts w:ascii="Times New Roman" w:eastAsia="Calibri" w:hAnsi="Times New Roman" w:cs="Times New Roman"/>
                <w:sz w:val="26"/>
                <w:szCs w:val="26"/>
              </w:rPr>
              <w:t>Ministru</w:t>
            </w:r>
            <w:r w:rsidR="00B34486" w:rsidRPr="006534A9">
              <w:rPr>
                <w:rFonts w:ascii="Times New Roman" w:eastAsia="Calibri" w:hAnsi="Times New Roman" w:cs="Times New Roman"/>
                <w:sz w:val="26"/>
                <w:szCs w:val="26"/>
              </w:rPr>
              <w:t xml:space="preserve"> Kabineta 2017.gada </w:t>
            </w:r>
            <w:r w:rsidR="00515B1A" w:rsidRPr="006534A9">
              <w:rPr>
                <w:rFonts w:ascii="Times New Roman" w:eastAsia="Calibri" w:hAnsi="Times New Roman" w:cs="Times New Roman"/>
                <w:sz w:val="26"/>
                <w:szCs w:val="26"/>
              </w:rPr>
              <w:t>4.</w:t>
            </w:r>
            <w:r w:rsidR="00B34486" w:rsidRPr="006534A9">
              <w:rPr>
                <w:rFonts w:ascii="Times New Roman" w:eastAsia="Calibri" w:hAnsi="Times New Roman" w:cs="Times New Roman"/>
                <w:sz w:val="26"/>
                <w:szCs w:val="26"/>
              </w:rPr>
              <w:t xml:space="preserve">aprīļa noteikumu </w:t>
            </w:r>
            <w:r w:rsidR="006B32BB" w:rsidRPr="006534A9">
              <w:rPr>
                <w:rFonts w:ascii="Times New Roman" w:eastAsia="Calibri" w:hAnsi="Times New Roman" w:cs="Times New Roman"/>
                <w:sz w:val="26"/>
                <w:szCs w:val="26"/>
              </w:rPr>
              <w:t xml:space="preserve">Nr.199 </w:t>
            </w:r>
            <w:r w:rsidR="00B34486" w:rsidRPr="006534A9">
              <w:rPr>
                <w:rFonts w:ascii="Times New Roman" w:eastAsia="Calibri" w:hAnsi="Times New Roman" w:cs="Times New Roman"/>
                <w:sz w:val="26"/>
                <w:szCs w:val="26"/>
              </w:rPr>
              <w:t>“Noteikumi par dabasgāzes apriti un akcīzes nodokļa piemērošanas kārtību” 5.1.</w:t>
            </w:r>
            <w:r w:rsidR="006B32BB" w:rsidRPr="006534A9">
              <w:rPr>
                <w:rFonts w:ascii="Times New Roman" w:eastAsia="Calibri" w:hAnsi="Times New Roman" w:cs="Times New Roman"/>
                <w:sz w:val="26"/>
                <w:szCs w:val="26"/>
              </w:rPr>
              <w:t>apakš</w:t>
            </w:r>
            <w:r w:rsidR="00B34486" w:rsidRPr="006534A9">
              <w:rPr>
                <w:rFonts w:ascii="Times New Roman" w:eastAsia="Calibri" w:hAnsi="Times New Roman" w:cs="Times New Roman"/>
                <w:sz w:val="26"/>
                <w:szCs w:val="26"/>
              </w:rPr>
              <w:t>punkt</w:t>
            </w:r>
            <w:r w:rsidRPr="006534A9">
              <w:rPr>
                <w:rFonts w:ascii="Times New Roman" w:eastAsia="Calibri" w:hAnsi="Times New Roman" w:cs="Times New Roman"/>
                <w:sz w:val="26"/>
                <w:szCs w:val="26"/>
              </w:rPr>
              <w:t xml:space="preserve">am </w:t>
            </w:r>
            <w:r w:rsidR="00B34486" w:rsidRPr="006534A9">
              <w:rPr>
                <w:rFonts w:ascii="Times New Roman" w:eastAsia="Calibri" w:hAnsi="Times New Roman" w:cs="Times New Roman"/>
                <w:sz w:val="26"/>
                <w:szCs w:val="26"/>
              </w:rPr>
              <w:t xml:space="preserve"> </w:t>
            </w:r>
            <w:r w:rsidRPr="006534A9">
              <w:rPr>
                <w:rFonts w:ascii="Times New Roman" w:eastAsia="Calibri" w:hAnsi="Times New Roman" w:cs="Times New Roman"/>
                <w:sz w:val="26"/>
                <w:szCs w:val="26"/>
              </w:rPr>
              <w:t xml:space="preserve">dabasgāzes pārvades un uzglabāšanas sistēmas operatoram katru mēnesi līdz taksācijas periodam sekojošā mēneša piecpadsmitajam datumam Valsts ieņēmumu dienestā jāiesniedz informāciju par katra dabasgāzes </w:t>
            </w:r>
            <w:r w:rsidR="006B32BB" w:rsidRPr="006534A9">
              <w:rPr>
                <w:rFonts w:ascii="Times New Roman" w:eastAsia="Calibri" w:hAnsi="Times New Roman" w:cs="Times New Roman"/>
                <w:sz w:val="26"/>
                <w:szCs w:val="26"/>
              </w:rPr>
              <w:t xml:space="preserve">tirgotāja galalietotājam </w:t>
            </w:r>
            <w:r w:rsidR="006B32BB" w:rsidRPr="006534A9">
              <w:rPr>
                <w:rFonts w:ascii="Times New Roman" w:eastAsia="Calibri" w:hAnsi="Times New Roman" w:cs="Times New Roman"/>
                <w:sz w:val="26"/>
                <w:szCs w:val="26"/>
              </w:rPr>
              <w:lastRenderedPageBreak/>
              <w:t>tirgoto un piegādāto kopējo dabasgāzes apjomu taksācijas periodā, neizmantojot dabasgāzes sadales sistēmu. Lai gadījumā, kad dabasgāzes pārvades un uzglabāšanas sistēmas operators iesniedz dabasgāzes akcīzes nodokļa deklarāciju, vienlaicīgi varētu iesniegt arī Ministru Kabineta 2017.gada 4.aprīļa noteikumu Nr.199 5.1.</w:t>
            </w:r>
            <w:r w:rsidR="00FA055F" w:rsidRPr="006534A9">
              <w:rPr>
                <w:rFonts w:ascii="Times New Roman" w:eastAsia="Calibri" w:hAnsi="Times New Roman" w:cs="Times New Roman"/>
                <w:sz w:val="26"/>
                <w:szCs w:val="26"/>
              </w:rPr>
              <w:t> </w:t>
            </w:r>
            <w:r w:rsidR="006B32BB" w:rsidRPr="006534A9">
              <w:rPr>
                <w:rFonts w:ascii="Times New Roman" w:eastAsia="Calibri" w:hAnsi="Times New Roman" w:cs="Times New Roman"/>
                <w:sz w:val="26"/>
                <w:szCs w:val="26"/>
              </w:rPr>
              <w:t xml:space="preserve">apakšpunktā noteikto informāciju,   </w:t>
            </w:r>
            <w:r w:rsidR="00975E8D" w:rsidRPr="006534A9">
              <w:rPr>
                <w:rFonts w:ascii="Times New Roman" w:eastAsia="Calibri" w:hAnsi="Times New Roman" w:cs="Times New Roman"/>
                <w:sz w:val="26"/>
                <w:szCs w:val="26"/>
              </w:rPr>
              <w:t>noteikumu projekts paredz izteikt jaunā redakcijā Ministru kabineta 2010</w:t>
            </w:r>
            <w:r w:rsidR="005F7F5F" w:rsidRPr="006534A9">
              <w:rPr>
                <w:rFonts w:ascii="Times New Roman" w:eastAsia="Calibri" w:hAnsi="Times New Roman" w:cs="Times New Roman"/>
                <w:sz w:val="26"/>
                <w:szCs w:val="26"/>
              </w:rPr>
              <w:t>.gada 30.marta noteikumu Nr.300</w:t>
            </w:r>
            <w:r w:rsidR="007916DE" w:rsidRPr="006534A9">
              <w:rPr>
                <w:rFonts w:ascii="Times New Roman" w:eastAsia="Calibri" w:hAnsi="Times New Roman" w:cs="Times New Roman"/>
                <w:sz w:val="26"/>
                <w:szCs w:val="26"/>
              </w:rPr>
              <w:t xml:space="preserve"> </w:t>
            </w:r>
            <w:r w:rsidR="00975E8D" w:rsidRPr="006534A9">
              <w:rPr>
                <w:rFonts w:ascii="Times New Roman" w:eastAsia="Calibri" w:hAnsi="Times New Roman" w:cs="Times New Roman"/>
                <w:sz w:val="26"/>
                <w:szCs w:val="26"/>
              </w:rPr>
              <w:t>5.pielikumu</w:t>
            </w:r>
            <w:r w:rsidR="001C0B92" w:rsidRPr="006534A9">
              <w:rPr>
                <w:rFonts w:ascii="Times New Roman" w:eastAsia="Calibri" w:hAnsi="Times New Roman" w:cs="Times New Roman"/>
                <w:sz w:val="26"/>
                <w:szCs w:val="26"/>
              </w:rPr>
              <w:t xml:space="preserve"> “Dabasgāzes akcīzes nodokļa deklarācija”</w:t>
            </w:r>
            <w:r w:rsidR="00975E8D" w:rsidRPr="006534A9">
              <w:rPr>
                <w:rFonts w:ascii="Times New Roman" w:eastAsia="Calibri" w:hAnsi="Times New Roman" w:cs="Times New Roman"/>
                <w:sz w:val="26"/>
                <w:szCs w:val="26"/>
              </w:rPr>
              <w:t xml:space="preserve">, </w:t>
            </w:r>
            <w:r w:rsidR="00451557" w:rsidRPr="006534A9">
              <w:rPr>
                <w:rFonts w:ascii="Times New Roman" w:eastAsia="Calibri" w:hAnsi="Times New Roman" w:cs="Times New Roman"/>
                <w:sz w:val="26"/>
                <w:szCs w:val="26"/>
              </w:rPr>
              <w:t xml:space="preserve">paredzot </w:t>
            </w:r>
            <w:r w:rsidR="006B32BB" w:rsidRPr="006534A9">
              <w:rPr>
                <w:rFonts w:ascii="Times New Roman" w:eastAsia="Calibri" w:hAnsi="Times New Roman" w:cs="Times New Roman"/>
                <w:sz w:val="26"/>
                <w:szCs w:val="26"/>
              </w:rPr>
              <w:t xml:space="preserve">dabasgāzes </w:t>
            </w:r>
            <w:r w:rsidR="007916DE" w:rsidRPr="006534A9">
              <w:rPr>
                <w:rFonts w:ascii="Times New Roman" w:eastAsia="Calibri" w:hAnsi="Times New Roman" w:cs="Times New Roman"/>
                <w:sz w:val="26"/>
                <w:szCs w:val="26"/>
              </w:rPr>
              <w:t>pārvades</w:t>
            </w:r>
            <w:r w:rsidR="003503D7" w:rsidRPr="006534A9">
              <w:rPr>
                <w:rFonts w:ascii="Times New Roman" w:eastAsia="Calibri" w:hAnsi="Times New Roman" w:cs="Times New Roman"/>
                <w:sz w:val="26"/>
                <w:szCs w:val="26"/>
              </w:rPr>
              <w:t xml:space="preserve"> un uzglabāšanas</w:t>
            </w:r>
            <w:r w:rsidR="007916DE" w:rsidRPr="006534A9">
              <w:rPr>
                <w:rFonts w:ascii="Times New Roman" w:eastAsia="Calibri" w:hAnsi="Times New Roman" w:cs="Times New Roman"/>
                <w:sz w:val="26"/>
                <w:szCs w:val="26"/>
              </w:rPr>
              <w:t xml:space="preserve"> sistēmas operatoram </w:t>
            </w:r>
            <w:r w:rsidR="006B32BB" w:rsidRPr="006534A9">
              <w:rPr>
                <w:rFonts w:ascii="Times New Roman" w:eastAsia="Calibri" w:hAnsi="Times New Roman" w:cs="Times New Roman"/>
                <w:sz w:val="26"/>
                <w:szCs w:val="26"/>
              </w:rPr>
              <w:t xml:space="preserve">iespēju vienlaicīgi iesniegt Ministru Kabineta 2017.gada 4.aprīļa noteikumu Nr.199 5.1.apakšpunktā </w:t>
            </w:r>
            <w:r w:rsidR="007916DE" w:rsidRPr="006534A9">
              <w:rPr>
                <w:rFonts w:ascii="Times New Roman" w:eastAsia="Calibri" w:hAnsi="Times New Roman" w:cs="Times New Roman"/>
                <w:sz w:val="26"/>
                <w:szCs w:val="26"/>
              </w:rPr>
              <w:t>noteikto informāciju.</w:t>
            </w:r>
          </w:p>
          <w:p w14:paraId="633ECA33" w14:textId="3CAC87A1" w:rsidR="00EE0A05" w:rsidRPr="006534A9" w:rsidRDefault="00EE0A05" w:rsidP="00ED0F09">
            <w:pPr>
              <w:spacing w:after="0" w:line="240" w:lineRule="auto"/>
              <w:jc w:val="both"/>
              <w:rPr>
                <w:rFonts w:ascii="Times New Roman" w:eastAsia="Calibri" w:hAnsi="Times New Roman" w:cs="Times New Roman"/>
                <w:sz w:val="26"/>
                <w:szCs w:val="26"/>
              </w:rPr>
            </w:pPr>
            <w:r w:rsidRPr="006534A9">
              <w:rPr>
                <w:rFonts w:ascii="Times New Roman" w:eastAsia="Calibri" w:hAnsi="Times New Roman" w:cs="Times New Roman"/>
                <w:sz w:val="26"/>
                <w:szCs w:val="26"/>
              </w:rPr>
              <w:t>Novēršot pārrakstīšanās kļūdu, Ministru kabineta 2010.gada 30.marta noteikumos Nr.300 uzskatīt V</w:t>
            </w:r>
            <w:r w:rsidRPr="006534A9">
              <w:rPr>
                <w:rFonts w:ascii="Times New Roman" w:eastAsia="Calibri" w:hAnsi="Times New Roman" w:cs="Times New Roman"/>
                <w:sz w:val="26"/>
                <w:szCs w:val="26"/>
                <w:vertAlign w:val="superscript"/>
              </w:rPr>
              <w:t>2</w:t>
            </w:r>
            <w:r w:rsidRPr="006534A9">
              <w:rPr>
                <w:rFonts w:ascii="Times New Roman" w:eastAsia="Calibri" w:hAnsi="Times New Roman" w:cs="Times New Roman"/>
                <w:sz w:val="26"/>
                <w:szCs w:val="26"/>
              </w:rPr>
              <w:t xml:space="preserve"> nodaļas līdzšinējo 55.</w:t>
            </w:r>
            <w:r w:rsidRPr="006534A9">
              <w:rPr>
                <w:rFonts w:ascii="Times New Roman" w:eastAsia="Calibri" w:hAnsi="Times New Roman" w:cs="Times New Roman"/>
                <w:sz w:val="26"/>
                <w:szCs w:val="26"/>
                <w:vertAlign w:val="superscript"/>
              </w:rPr>
              <w:t>7</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8</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9</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10</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11</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12</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13</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14</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15</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16</w:t>
            </w:r>
            <w:r w:rsidRPr="006534A9">
              <w:rPr>
                <w:rFonts w:ascii="Times New Roman" w:eastAsia="Calibri" w:hAnsi="Times New Roman" w:cs="Times New Roman"/>
                <w:sz w:val="26"/>
                <w:szCs w:val="26"/>
              </w:rPr>
              <w:t>.punktu attiecīgi par V</w:t>
            </w:r>
            <w:r w:rsidRPr="006534A9">
              <w:rPr>
                <w:rFonts w:ascii="Times New Roman" w:eastAsia="Calibri" w:hAnsi="Times New Roman" w:cs="Times New Roman"/>
                <w:sz w:val="26"/>
                <w:szCs w:val="26"/>
                <w:vertAlign w:val="superscript"/>
              </w:rPr>
              <w:t>2</w:t>
            </w:r>
            <w:r w:rsidRPr="006534A9">
              <w:rPr>
                <w:rFonts w:ascii="Times New Roman" w:eastAsia="Calibri" w:hAnsi="Times New Roman" w:cs="Times New Roman"/>
                <w:sz w:val="26"/>
                <w:szCs w:val="26"/>
              </w:rPr>
              <w:t xml:space="preserve"> nodaļas 55.</w:t>
            </w:r>
            <w:r w:rsidRPr="006534A9">
              <w:rPr>
                <w:rFonts w:ascii="Times New Roman" w:eastAsia="Calibri" w:hAnsi="Times New Roman" w:cs="Times New Roman"/>
                <w:sz w:val="26"/>
                <w:szCs w:val="26"/>
                <w:vertAlign w:val="superscript"/>
              </w:rPr>
              <w:t>21</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22</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23</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24</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25</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26</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27</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28</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29</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30</w:t>
            </w:r>
            <w:r w:rsidRPr="006534A9">
              <w:rPr>
                <w:rFonts w:ascii="Times New Roman" w:eastAsia="Calibri" w:hAnsi="Times New Roman" w:cs="Times New Roman"/>
                <w:sz w:val="26"/>
                <w:szCs w:val="26"/>
              </w:rPr>
              <w:t>.punktu. Tādējādi</w:t>
            </w:r>
            <w:r w:rsidR="00ED0F09" w:rsidRPr="006534A9">
              <w:rPr>
                <w:rFonts w:ascii="Times New Roman" w:eastAsia="Calibri" w:hAnsi="Times New Roman" w:cs="Times New Roman"/>
                <w:sz w:val="26"/>
                <w:szCs w:val="26"/>
              </w:rPr>
              <w:t xml:space="preserve"> ir</w:t>
            </w:r>
            <w:r w:rsidRPr="006534A9">
              <w:rPr>
                <w:rFonts w:ascii="Times New Roman" w:eastAsia="Calibri" w:hAnsi="Times New Roman" w:cs="Times New Roman"/>
                <w:sz w:val="26"/>
                <w:szCs w:val="26"/>
              </w:rPr>
              <w:t xml:space="preserve"> novērsta dublēšanās 55.</w:t>
            </w:r>
            <w:r w:rsidRPr="006534A9">
              <w:rPr>
                <w:rFonts w:ascii="Times New Roman" w:eastAsia="Calibri" w:hAnsi="Times New Roman" w:cs="Times New Roman"/>
                <w:sz w:val="26"/>
                <w:szCs w:val="26"/>
                <w:vertAlign w:val="superscript"/>
              </w:rPr>
              <w:t>7</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8</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9</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10</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11</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12</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13</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14</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15</w:t>
            </w:r>
            <w:r w:rsidRPr="006534A9">
              <w:rPr>
                <w:rFonts w:ascii="Times New Roman" w:eastAsia="Calibri" w:hAnsi="Times New Roman" w:cs="Times New Roman"/>
                <w:sz w:val="26"/>
                <w:szCs w:val="26"/>
              </w:rPr>
              <w:t>., 55.</w:t>
            </w:r>
            <w:r w:rsidRPr="006534A9">
              <w:rPr>
                <w:rFonts w:ascii="Times New Roman" w:eastAsia="Calibri" w:hAnsi="Times New Roman" w:cs="Times New Roman"/>
                <w:sz w:val="26"/>
                <w:szCs w:val="26"/>
                <w:vertAlign w:val="superscript"/>
              </w:rPr>
              <w:t>16</w:t>
            </w:r>
            <w:r w:rsidR="0005074D" w:rsidRPr="006534A9">
              <w:rPr>
                <w:rFonts w:ascii="Times New Roman" w:eastAsia="Calibri" w:hAnsi="Times New Roman" w:cs="Times New Roman"/>
                <w:sz w:val="26"/>
                <w:szCs w:val="26"/>
              </w:rPr>
              <w:t>.punktā</w:t>
            </w:r>
            <w:r w:rsidR="00ED0F09" w:rsidRPr="006534A9">
              <w:rPr>
                <w:rFonts w:ascii="Times New Roman" w:eastAsia="Calibri" w:hAnsi="Times New Roman" w:cs="Times New Roman"/>
                <w:sz w:val="26"/>
                <w:szCs w:val="26"/>
              </w:rPr>
              <w:t>.</w:t>
            </w:r>
          </w:p>
        </w:tc>
      </w:tr>
      <w:tr w:rsidR="00637709" w:rsidRPr="006534A9" w14:paraId="1FE02E54" w14:textId="77777777" w:rsidTr="0015184D">
        <w:trPr>
          <w:tblCellSpacing w:w="15" w:type="dxa"/>
        </w:trPr>
        <w:tc>
          <w:tcPr>
            <w:tcW w:w="219" w:type="pct"/>
            <w:hideMark/>
          </w:tcPr>
          <w:p w14:paraId="7BB1D0AB"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lastRenderedPageBreak/>
              <w:t>3.</w:t>
            </w:r>
          </w:p>
        </w:tc>
        <w:tc>
          <w:tcPr>
            <w:tcW w:w="901" w:type="pct"/>
            <w:hideMark/>
          </w:tcPr>
          <w:p w14:paraId="6F9F272E"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Projekta izstrādē iesaistītās institūcijas un publiskas personas kapitālsabiedrības</w:t>
            </w:r>
          </w:p>
        </w:tc>
        <w:tc>
          <w:tcPr>
            <w:tcW w:w="3820" w:type="pct"/>
            <w:hideMark/>
          </w:tcPr>
          <w:p w14:paraId="47AF01AD" w14:textId="3A692874" w:rsidR="00066888" w:rsidRPr="006534A9" w:rsidRDefault="00066888" w:rsidP="00C12687">
            <w:pPr>
              <w:spacing w:after="0" w:line="240" w:lineRule="auto"/>
              <w:jc w:val="both"/>
              <w:rPr>
                <w:rFonts w:ascii="Times New Roman" w:eastAsia="Times New Roman" w:hAnsi="Times New Roman" w:cs="Times New Roman"/>
                <w:iCs/>
                <w:spacing w:val="-2"/>
                <w:sz w:val="26"/>
                <w:szCs w:val="26"/>
                <w:lang w:eastAsia="lv-LV"/>
              </w:rPr>
            </w:pPr>
            <w:r w:rsidRPr="006534A9">
              <w:rPr>
                <w:rFonts w:ascii="Times New Roman" w:hAnsi="Times New Roman" w:cs="Times New Roman"/>
                <w:spacing w:val="-2"/>
                <w:sz w:val="26"/>
                <w:szCs w:val="26"/>
              </w:rPr>
              <w:t xml:space="preserve">Finanšu ministrija, </w:t>
            </w:r>
            <w:r w:rsidR="00614977" w:rsidRPr="006534A9">
              <w:rPr>
                <w:rFonts w:ascii="Times New Roman" w:hAnsi="Times New Roman" w:cs="Times New Roman"/>
                <w:spacing w:val="-2"/>
                <w:sz w:val="26"/>
                <w:szCs w:val="26"/>
              </w:rPr>
              <w:t>Valsts ieņēmumu dienests</w:t>
            </w:r>
          </w:p>
        </w:tc>
      </w:tr>
      <w:tr w:rsidR="00637709" w:rsidRPr="006534A9" w14:paraId="4FE797A7" w14:textId="77777777" w:rsidTr="0015184D">
        <w:trPr>
          <w:tblCellSpacing w:w="15" w:type="dxa"/>
        </w:trPr>
        <w:tc>
          <w:tcPr>
            <w:tcW w:w="219" w:type="pct"/>
            <w:hideMark/>
          </w:tcPr>
          <w:p w14:paraId="765E163E"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4.</w:t>
            </w:r>
          </w:p>
        </w:tc>
        <w:tc>
          <w:tcPr>
            <w:tcW w:w="901" w:type="pct"/>
            <w:hideMark/>
          </w:tcPr>
          <w:p w14:paraId="12883E8A"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Cita informācija</w:t>
            </w:r>
          </w:p>
        </w:tc>
        <w:tc>
          <w:tcPr>
            <w:tcW w:w="3820" w:type="pct"/>
            <w:hideMark/>
          </w:tcPr>
          <w:p w14:paraId="0FD3EAE9" w14:textId="77777777" w:rsidR="00066888" w:rsidRPr="006534A9" w:rsidRDefault="00066888"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Nav</w:t>
            </w:r>
          </w:p>
        </w:tc>
      </w:tr>
    </w:tbl>
    <w:p w14:paraId="02B1C58D"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  </w:t>
      </w: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1836"/>
        <w:gridCol w:w="7531"/>
      </w:tblGrid>
      <w:tr w:rsidR="00185337" w:rsidRPr="006534A9" w14:paraId="53A92D4B" w14:textId="77777777" w:rsidTr="0015184D">
        <w:trPr>
          <w:tblCellSpacing w:w="15" w:type="dxa"/>
        </w:trPr>
        <w:tc>
          <w:tcPr>
            <w:tcW w:w="4970" w:type="pct"/>
            <w:gridSpan w:val="3"/>
            <w:vAlign w:val="center"/>
            <w:hideMark/>
          </w:tcPr>
          <w:p w14:paraId="78F46A91" w14:textId="77777777" w:rsidR="00655F2C" w:rsidRPr="006534A9" w:rsidRDefault="00E5323B" w:rsidP="00083570">
            <w:pPr>
              <w:spacing w:after="0" w:line="240" w:lineRule="auto"/>
              <w:ind w:left="52"/>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II. Tiesību akta projekta ietekme uz sabiedrību, tautsaimniecības attīstību un administratīvo slogu</w:t>
            </w:r>
          </w:p>
        </w:tc>
      </w:tr>
      <w:tr w:rsidR="00185337" w:rsidRPr="006534A9" w14:paraId="63CE5E0E" w14:textId="77777777" w:rsidTr="0015184D">
        <w:trPr>
          <w:tblCellSpacing w:w="15" w:type="dxa"/>
        </w:trPr>
        <w:tc>
          <w:tcPr>
            <w:tcW w:w="262" w:type="pct"/>
            <w:hideMark/>
          </w:tcPr>
          <w:p w14:paraId="1C3B8751"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1.</w:t>
            </w:r>
          </w:p>
        </w:tc>
        <w:tc>
          <w:tcPr>
            <w:tcW w:w="915" w:type="pct"/>
            <w:hideMark/>
          </w:tcPr>
          <w:p w14:paraId="32C2E593" w14:textId="6890EE9E"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Sabiedrības </w:t>
            </w:r>
            <w:proofErr w:type="spellStart"/>
            <w:r w:rsidRPr="006534A9">
              <w:rPr>
                <w:rFonts w:ascii="Times New Roman" w:eastAsia="Times New Roman" w:hAnsi="Times New Roman" w:cs="Times New Roman"/>
                <w:iCs/>
                <w:spacing w:val="-2"/>
                <w:sz w:val="26"/>
                <w:szCs w:val="26"/>
                <w:lang w:eastAsia="lv-LV"/>
              </w:rPr>
              <w:t>mēr</w:t>
            </w:r>
            <w:r w:rsidR="00614977" w:rsidRPr="006534A9">
              <w:rPr>
                <w:rFonts w:ascii="Times New Roman" w:eastAsia="Times New Roman" w:hAnsi="Times New Roman" w:cs="Times New Roman"/>
                <w:iCs/>
                <w:spacing w:val="-2"/>
                <w:sz w:val="26"/>
                <w:szCs w:val="26"/>
                <w:lang w:eastAsia="lv-LV"/>
              </w:rPr>
              <w:t>ķ</w:t>
            </w:r>
            <w:r w:rsidRPr="006534A9">
              <w:rPr>
                <w:rFonts w:ascii="Times New Roman" w:eastAsia="Times New Roman" w:hAnsi="Times New Roman" w:cs="Times New Roman"/>
                <w:iCs/>
                <w:spacing w:val="-2"/>
                <w:sz w:val="26"/>
                <w:szCs w:val="26"/>
                <w:lang w:eastAsia="lv-LV"/>
              </w:rPr>
              <w:t>grupas</w:t>
            </w:r>
            <w:proofErr w:type="spellEnd"/>
            <w:r w:rsidRPr="006534A9">
              <w:rPr>
                <w:rFonts w:ascii="Times New Roman" w:eastAsia="Times New Roman" w:hAnsi="Times New Roman" w:cs="Times New Roman"/>
                <w:iCs/>
                <w:spacing w:val="-2"/>
                <w:sz w:val="26"/>
                <w:szCs w:val="26"/>
                <w:lang w:eastAsia="lv-LV"/>
              </w:rPr>
              <w:t>, kuras tiesiskais regulējums ietekmē vai varētu ietekmēt</w:t>
            </w:r>
          </w:p>
        </w:tc>
        <w:tc>
          <w:tcPr>
            <w:tcW w:w="3763" w:type="pct"/>
            <w:hideMark/>
          </w:tcPr>
          <w:p w14:paraId="76A170B8" w14:textId="3D6FFCBC" w:rsidR="006B32BB" w:rsidRPr="006534A9" w:rsidRDefault="00D26050" w:rsidP="00897CB8">
            <w:pPr>
              <w:spacing w:after="0" w:line="240" w:lineRule="auto"/>
              <w:jc w:val="both"/>
              <w:rPr>
                <w:rFonts w:ascii="Times New Roman" w:hAnsi="Times New Roman" w:cs="Times New Roman"/>
                <w:spacing w:val="-2"/>
                <w:sz w:val="26"/>
                <w:szCs w:val="26"/>
              </w:rPr>
            </w:pPr>
            <w:r w:rsidRPr="006534A9">
              <w:rPr>
                <w:rFonts w:ascii="Times New Roman" w:hAnsi="Times New Roman" w:cs="Times New Roman"/>
                <w:spacing w:val="-2"/>
                <w:sz w:val="26"/>
                <w:szCs w:val="26"/>
              </w:rPr>
              <w:t>Noteikumu p</w:t>
            </w:r>
            <w:r w:rsidR="00EF3434" w:rsidRPr="006534A9">
              <w:rPr>
                <w:rFonts w:ascii="Times New Roman" w:hAnsi="Times New Roman" w:cs="Times New Roman"/>
                <w:spacing w:val="-2"/>
                <w:sz w:val="26"/>
                <w:szCs w:val="26"/>
              </w:rPr>
              <w:t>rojekta tiesiskais regulējums attiecas uz</w:t>
            </w:r>
            <w:r w:rsidR="006B32BB" w:rsidRPr="006534A9">
              <w:rPr>
                <w:rFonts w:ascii="Times New Roman" w:hAnsi="Times New Roman" w:cs="Times New Roman"/>
                <w:spacing w:val="-2"/>
                <w:sz w:val="26"/>
                <w:szCs w:val="26"/>
              </w:rPr>
              <w:t>:</w:t>
            </w:r>
          </w:p>
          <w:p w14:paraId="6B1C3CEC" w14:textId="295C91DB" w:rsidR="00B674AB" w:rsidRPr="006534A9" w:rsidRDefault="00614977" w:rsidP="001E5671">
            <w:pPr>
              <w:pStyle w:val="ListParagraph"/>
              <w:numPr>
                <w:ilvl w:val="0"/>
                <w:numId w:val="5"/>
              </w:numPr>
              <w:spacing w:after="0" w:line="240" w:lineRule="auto"/>
              <w:jc w:val="both"/>
              <w:rPr>
                <w:rFonts w:ascii="Times New Roman" w:hAnsi="Times New Roman" w:cs="Times New Roman"/>
                <w:spacing w:val="-2"/>
                <w:sz w:val="26"/>
                <w:szCs w:val="26"/>
              </w:rPr>
            </w:pPr>
            <w:r w:rsidRPr="006534A9">
              <w:rPr>
                <w:rFonts w:ascii="Times New Roman" w:hAnsi="Times New Roman" w:cs="Times New Roman"/>
                <w:spacing w:val="-2"/>
                <w:sz w:val="26"/>
                <w:szCs w:val="26"/>
              </w:rPr>
              <w:t xml:space="preserve">komersantiem, kas </w:t>
            </w:r>
            <w:r w:rsidR="00B674AB" w:rsidRPr="006534A9">
              <w:rPr>
                <w:rFonts w:ascii="Times New Roman" w:hAnsi="Times New Roman" w:cs="Times New Roman"/>
                <w:spacing w:val="-2"/>
                <w:sz w:val="26"/>
                <w:szCs w:val="26"/>
              </w:rPr>
              <w:t xml:space="preserve">atbilstoši speciālajai atļaujai (licencei) apstiprināta noliktavas turētāja darbībai, </w:t>
            </w:r>
            <w:r w:rsidRPr="006534A9">
              <w:rPr>
                <w:rFonts w:ascii="Times New Roman" w:hAnsi="Times New Roman" w:cs="Times New Roman"/>
                <w:spacing w:val="-2"/>
                <w:sz w:val="26"/>
                <w:szCs w:val="26"/>
              </w:rPr>
              <w:t xml:space="preserve">veic darbības ar </w:t>
            </w:r>
            <w:r w:rsidR="00897CB8" w:rsidRPr="006534A9">
              <w:rPr>
                <w:rFonts w:ascii="Times New Roman" w:hAnsi="Times New Roman" w:cs="Times New Roman"/>
                <w:spacing w:val="-2"/>
                <w:sz w:val="26"/>
                <w:szCs w:val="26"/>
              </w:rPr>
              <w:t>pārējiem alkoholiskajiem dzērieniem, kas saražoti mazajā alkoholisko dzērienu darītav</w:t>
            </w:r>
            <w:r w:rsidR="00B674AB" w:rsidRPr="006534A9">
              <w:rPr>
                <w:rFonts w:ascii="Times New Roman" w:hAnsi="Times New Roman" w:cs="Times New Roman"/>
                <w:spacing w:val="-2"/>
                <w:sz w:val="26"/>
                <w:szCs w:val="26"/>
              </w:rPr>
              <w:t>ā</w:t>
            </w:r>
            <w:r w:rsidR="00AE0D44" w:rsidRPr="006534A9">
              <w:rPr>
                <w:rFonts w:ascii="Times New Roman" w:hAnsi="Times New Roman" w:cs="Times New Roman"/>
                <w:spacing w:val="-2"/>
                <w:sz w:val="26"/>
                <w:szCs w:val="26"/>
              </w:rPr>
              <w:t xml:space="preserve">. </w:t>
            </w:r>
            <w:r w:rsidR="00D24F91" w:rsidRPr="006534A9">
              <w:rPr>
                <w:rFonts w:ascii="Times New Roman" w:hAnsi="Times New Roman" w:cs="Times New Roman"/>
                <w:spacing w:val="-2"/>
                <w:sz w:val="26"/>
                <w:szCs w:val="26"/>
              </w:rPr>
              <w:t>Šobrīd</w:t>
            </w:r>
            <w:r w:rsidR="001E5671" w:rsidRPr="006534A9">
              <w:rPr>
                <w:rFonts w:ascii="Times New Roman" w:hAnsi="Times New Roman" w:cs="Times New Roman"/>
                <w:spacing w:val="-2"/>
                <w:sz w:val="26"/>
                <w:szCs w:val="26"/>
              </w:rPr>
              <w:t xml:space="preserve"> ir 60 komersanti,</w:t>
            </w:r>
            <w:r w:rsidR="001E5671" w:rsidRPr="006534A9">
              <w:rPr>
                <w:rFonts w:ascii="Times New Roman" w:hAnsi="Times New Roman" w:cs="Times New Roman"/>
                <w:sz w:val="26"/>
                <w:szCs w:val="26"/>
              </w:rPr>
              <w:t xml:space="preserve"> </w:t>
            </w:r>
            <w:r w:rsidR="001E5671" w:rsidRPr="006534A9">
              <w:rPr>
                <w:rFonts w:ascii="Times New Roman" w:hAnsi="Times New Roman" w:cs="Times New Roman"/>
                <w:spacing w:val="-2"/>
                <w:sz w:val="26"/>
                <w:szCs w:val="26"/>
              </w:rPr>
              <w:t>kas atbilstoši speciālajai atļaujai (licencei) apstiprināta noliktavas turētāja darbībai, veic darbības ar pārējiem alkoholiskajiem dzērieniem, kas saražoti mazajā alkoholisko dzērienu darītavā</w:t>
            </w:r>
            <w:r w:rsidR="00B674AB" w:rsidRPr="006534A9">
              <w:rPr>
                <w:rFonts w:ascii="Times New Roman" w:hAnsi="Times New Roman" w:cs="Times New Roman"/>
                <w:spacing w:val="-2"/>
                <w:sz w:val="26"/>
                <w:szCs w:val="26"/>
              </w:rPr>
              <w:t>;</w:t>
            </w:r>
          </w:p>
          <w:p w14:paraId="4C2CF74A" w14:textId="68B00838" w:rsidR="00B674AB" w:rsidRPr="006534A9" w:rsidRDefault="00614977" w:rsidP="00FE2D52">
            <w:pPr>
              <w:pStyle w:val="ListParagraph"/>
              <w:numPr>
                <w:ilvl w:val="0"/>
                <w:numId w:val="5"/>
              </w:numPr>
              <w:spacing w:after="0" w:line="240" w:lineRule="auto"/>
              <w:jc w:val="both"/>
              <w:rPr>
                <w:rFonts w:ascii="Times New Roman" w:hAnsi="Times New Roman" w:cs="Times New Roman"/>
                <w:spacing w:val="-2"/>
                <w:sz w:val="26"/>
                <w:szCs w:val="26"/>
              </w:rPr>
            </w:pPr>
            <w:r w:rsidRPr="006534A9">
              <w:rPr>
                <w:rFonts w:ascii="Times New Roman" w:hAnsi="Times New Roman" w:cs="Times New Roman"/>
                <w:spacing w:val="-2"/>
                <w:sz w:val="26"/>
                <w:szCs w:val="26"/>
              </w:rPr>
              <w:t xml:space="preserve">komersantiem, kas </w:t>
            </w:r>
            <w:r w:rsidR="00B674AB" w:rsidRPr="006534A9">
              <w:rPr>
                <w:rFonts w:ascii="Times New Roman" w:hAnsi="Times New Roman" w:cs="Times New Roman"/>
                <w:spacing w:val="-2"/>
                <w:sz w:val="26"/>
                <w:szCs w:val="26"/>
              </w:rPr>
              <w:t xml:space="preserve">atbilstoši speciālajai atļaujai (licencei) apstiprināta noliktavas turētāja darbībai, </w:t>
            </w:r>
            <w:r w:rsidRPr="006534A9">
              <w:rPr>
                <w:rFonts w:ascii="Times New Roman" w:hAnsi="Times New Roman" w:cs="Times New Roman"/>
                <w:spacing w:val="-2"/>
                <w:sz w:val="26"/>
                <w:szCs w:val="26"/>
              </w:rPr>
              <w:t xml:space="preserve">veic darbības ar </w:t>
            </w:r>
            <w:r w:rsidR="00897CB8" w:rsidRPr="006534A9">
              <w:rPr>
                <w:rFonts w:ascii="Times New Roman" w:hAnsi="Times New Roman" w:cs="Times New Roman"/>
                <w:spacing w:val="-2"/>
                <w:sz w:val="26"/>
                <w:szCs w:val="26"/>
              </w:rPr>
              <w:t>alkoholiskajiem dzērieniem</w:t>
            </w:r>
            <w:r w:rsidR="0000586F" w:rsidRPr="006534A9">
              <w:rPr>
                <w:rFonts w:ascii="Times New Roman" w:hAnsi="Times New Roman" w:cs="Times New Roman"/>
                <w:spacing w:val="-2"/>
                <w:sz w:val="26"/>
                <w:szCs w:val="26"/>
              </w:rPr>
              <w:t xml:space="preserve">. Šobrīd </w:t>
            </w:r>
            <w:r w:rsidR="00234CBE" w:rsidRPr="006534A9">
              <w:rPr>
                <w:rFonts w:ascii="Times New Roman" w:hAnsi="Times New Roman" w:cs="Times New Roman"/>
                <w:spacing w:val="-2"/>
                <w:sz w:val="26"/>
                <w:szCs w:val="26"/>
              </w:rPr>
              <w:t xml:space="preserve"> </w:t>
            </w:r>
            <w:r w:rsidR="00FE2D52" w:rsidRPr="006534A9">
              <w:rPr>
                <w:rFonts w:ascii="Times New Roman" w:hAnsi="Times New Roman" w:cs="Times New Roman"/>
                <w:spacing w:val="-2"/>
                <w:sz w:val="26"/>
                <w:szCs w:val="26"/>
              </w:rPr>
              <w:t xml:space="preserve">ir 213 komersanti, kas ir saņēmuši </w:t>
            </w:r>
            <w:r w:rsidR="00D24F91" w:rsidRPr="006534A9">
              <w:rPr>
                <w:rFonts w:ascii="Times New Roman" w:hAnsi="Times New Roman" w:cs="Times New Roman"/>
                <w:spacing w:val="-2"/>
                <w:sz w:val="26"/>
                <w:szCs w:val="26"/>
              </w:rPr>
              <w:t>speciālo atļauju (licenci) apstiprināta nol</w:t>
            </w:r>
            <w:r w:rsidR="00B51EE1" w:rsidRPr="006534A9">
              <w:rPr>
                <w:rFonts w:ascii="Times New Roman" w:hAnsi="Times New Roman" w:cs="Times New Roman"/>
                <w:spacing w:val="-2"/>
                <w:sz w:val="26"/>
                <w:szCs w:val="26"/>
              </w:rPr>
              <w:t>iktavas turētāja</w:t>
            </w:r>
            <w:r w:rsidR="00D24F91" w:rsidRPr="006534A9">
              <w:rPr>
                <w:rFonts w:ascii="Times New Roman" w:hAnsi="Times New Roman" w:cs="Times New Roman"/>
                <w:spacing w:val="-2"/>
                <w:sz w:val="26"/>
                <w:szCs w:val="26"/>
              </w:rPr>
              <w:t xml:space="preserve"> darbībai</w:t>
            </w:r>
            <w:r w:rsidR="00FE2D52" w:rsidRPr="006534A9">
              <w:rPr>
                <w:rFonts w:ascii="Times New Roman" w:hAnsi="Times New Roman" w:cs="Times New Roman"/>
                <w:spacing w:val="-2"/>
                <w:sz w:val="26"/>
                <w:szCs w:val="26"/>
              </w:rPr>
              <w:t xml:space="preserve"> ar alkoholiskajiem dzērieniem</w:t>
            </w:r>
            <w:r w:rsidR="00B674AB" w:rsidRPr="006534A9">
              <w:rPr>
                <w:rFonts w:ascii="Times New Roman" w:hAnsi="Times New Roman" w:cs="Times New Roman"/>
                <w:spacing w:val="-2"/>
                <w:sz w:val="26"/>
                <w:szCs w:val="26"/>
              </w:rPr>
              <w:t>;</w:t>
            </w:r>
          </w:p>
          <w:p w14:paraId="555B1F7D" w14:textId="7F2ECF5A" w:rsidR="00B674AB" w:rsidRPr="006534A9" w:rsidRDefault="00B674AB" w:rsidP="00026353">
            <w:pPr>
              <w:pStyle w:val="ListParagraph"/>
              <w:numPr>
                <w:ilvl w:val="0"/>
                <w:numId w:val="5"/>
              </w:numPr>
              <w:jc w:val="both"/>
              <w:rPr>
                <w:rFonts w:ascii="Times New Roman" w:hAnsi="Times New Roman" w:cs="Times New Roman"/>
                <w:spacing w:val="-2"/>
                <w:sz w:val="26"/>
                <w:szCs w:val="26"/>
              </w:rPr>
            </w:pPr>
            <w:r w:rsidRPr="006534A9">
              <w:rPr>
                <w:rFonts w:ascii="Times New Roman" w:hAnsi="Times New Roman" w:cs="Times New Roman"/>
                <w:spacing w:val="-2"/>
                <w:sz w:val="26"/>
                <w:szCs w:val="26"/>
              </w:rPr>
              <w:t>komersantiem, kas atbilstoši speciālajai atļaujai (licencei) apstiprināta noliktavas turētāja darbībai, veic darbības ar tabakas izstrādājumiem</w:t>
            </w:r>
            <w:r w:rsidR="00234CBE" w:rsidRPr="006534A9">
              <w:rPr>
                <w:rFonts w:ascii="Times New Roman" w:hAnsi="Times New Roman" w:cs="Times New Roman"/>
                <w:spacing w:val="-2"/>
                <w:sz w:val="26"/>
                <w:szCs w:val="26"/>
              </w:rPr>
              <w:t xml:space="preserve">. Šobrīd  </w:t>
            </w:r>
            <w:r w:rsidR="00FE2D52" w:rsidRPr="006534A9">
              <w:rPr>
                <w:rFonts w:ascii="Times New Roman" w:hAnsi="Times New Roman" w:cs="Times New Roman"/>
                <w:spacing w:val="-2"/>
                <w:sz w:val="26"/>
                <w:szCs w:val="26"/>
              </w:rPr>
              <w:t xml:space="preserve">ir 23 komersanti, kas ir </w:t>
            </w:r>
            <w:r w:rsidR="00DA020D" w:rsidRPr="006534A9">
              <w:rPr>
                <w:rFonts w:ascii="Times New Roman" w:hAnsi="Times New Roman" w:cs="Times New Roman"/>
                <w:spacing w:val="-2"/>
                <w:sz w:val="26"/>
                <w:szCs w:val="26"/>
              </w:rPr>
              <w:t xml:space="preserve">saņēmuši speciālo atļauju (licenci) apstiprināta noliktavas turētāja  darbībai </w:t>
            </w:r>
            <w:r w:rsidR="00FE2D52" w:rsidRPr="006534A9">
              <w:rPr>
                <w:rFonts w:ascii="Times New Roman" w:hAnsi="Times New Roman" w:cs="Times New Roman"/>
                <w:spacing w:val="-2"/>
                <w:sz w:val="26"/>
                <w:szCs w:val="26"/>
              </w:rPr>
              <w:t>ar tabakas izstrādājumiem</w:t>
            </w:r>
            <w:r w:rsidRPr="006534A9">
              <w:rPr>
                <w:rFonts w:ascii="Times New Roman" w:hAnsi="Times New Roman" w:cs="Times New Roman"/>
                <w:spacing w:val="-2"/>
                <w:sz w:val="26"/>
                <w:szCs w:val="26"/>
              </w:rPr>
              <w:t>;</w:t>
            </w:r>
          </w:p>
          <w:p w14:paraId="1781A61D" w14:textId="32B8CC9A" w:rsidR="00897CB8" w:rsidRPr="006534A9" w:rsidRDefault="00B674AB" w:rsidP="00B674AB">
            <w:pPr>
              <w:pStyle w:val="ListParagraph"/>
              <w:numPr>
                <w:ilvl w:val="0"/>
                <w:numId w:val="5"/>
              </w:numPr>
              <w:spacing w:after="0" w:line="240" w:lineRule="auto"/>
              <w:jc w:val="both"/>
              <w:rPr>
                <w:rFonts w:ascii="Times New Roman" w:hAnsi="Times New Roman" w:cs="Times New Roman"/>
                <w:spacing w:val="-2"/>
                <w:sz w:val="26"/>
                <w:szCs w:val="26"/>
              </w:rPr>
            </w:pPr>
            <w:r w:rsidRPr="006534A9">
              <w:rPr>
                <w:rFonts w:ascii="Times New Roman" w:hAnsi="Times New Roman" w:cs="Times New Roman"/>
                <w:spacing w:val="-2"/>
                <w:sz w:val="26"/>
                <w:szCs w:val="26"/>
              </w:rPr>
              <w:lastRenderedPageBreak/>
              <w:t>dabasgāzes pārvades un uzglabāšanas sistēmas operatoru.</w:t>
            </w:r>
          </w:p>
        </w:tc>
      </w:tr>
      <w:tr w:rsidR="00185337" w:rsidRPr="006534A9" w14:paraId="11D34DF2" w14:textId="77777777" w:rsidTr="0015184D">
        <w:trPr>
          <w:tblCellSpacing w:w="15" w:type="dxa"/>
        </w:trPr>
        <w:tc>
          <w:tcPr>
            <w:tcW w:w="262" w:type="pct"/>
            <w:hideMark/>
          </w:tcPr>
          <w:p w14:paraId="7EFB2FC6"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lastRenderedPageBreak/>
              <w:t>2.</w:t>
            </w:r>
          </w:p>
        </w:tc>
        <w:tc>
          <w:tcPr>
            <w:tcW w:w="915" w:type="pct"/>
            <w:hideMark/>
          </w:tcPr>
          <w:p w14:paraId="0564C654"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Tiesiskā regulējuma ietekme uz tautsaimniecību un administratīvo slogu</w:t>
            </w:r>
          </w:p>
        </w:tc>
        <w:tc>
          <w:tcPr>
            <w:tcW w:w="3763" w:type="pct"/>
            <w:hideMark/>
          </w:tcPr>
          <w:p w14:paraId="061940B0" w14:textId="190076EF" w:rsidR="00EF3434" w:rsidRPr="006534A9" w:rsidRDefault="00897CB8" w:rsidP="00B674AB">
            <w:pPr>
              <w:pStyle w:val="naisnod"/>
              <w:spacing w:before="0" w:after="0"/>
              <w:jc w:val="both"/>
              <w:rPr>
                <w:b w:val="0"/>
                <w:iCs/>
                <w:spacing w:val="-2"/>
                <w:sz w:val="26"/>
                <w:szCs w:val="26"/>
              </w:rPr>
            </w:pPr>
            <w:r w:rsidRPr="006534A9">
              <w:rPr>
                <w:b w:val="0"/>
                <w:iCs/>
                <w:spacing w:val="-2"/>
                <w:sz w:val="26"/>
                <w:szCs w:val="26"/>
              </w:rPr>
              <w:t>Tiesiskais regulējums administratīvo slogu ne</w:t>
            </w:r>
            <w:r w:rsidR="00B674AB" w:rsidRPr="006534A9">
              <w:rPr>
                <w:b w:val="0"/>
                <w:iCs/>
                <w:spacing w:val="-2"/>
                <w:sz w:val="26"/>
                <w:szCs w:val="26"/>
              </w:rPr>
              <w:t>palielina, bet dabasgāzes pārvades un uzglabāšanas sistēmas operatoram samazina administratīvo slogu</w:t>
            </w:r>
            <w:r w:rsidR="00781CEF" w:rsidRPr="006534A9">
              <w:rPr>
                <w:b w:val="0"/>
                <w:iCs/>
                <w:spacing w:val="-2"/>
                <w:sz w:val="26"/>
                <w:szCs w:val="26"/>
              </w:rPr>
              <w:t>,</w:t>
            </w:r>
            <w:r w:rsidR="00B674AB" w:rsidRPr="006534A9">
              <w:rPr>
                <w:b w:val="0"/>
                <w:iCs/>
                <w:spacing w:val="-2"/>
                <w:sz w:val="26"/>
                <w:szCs w:val="26"/>
              </w:rPr>
              <w:t xml:space="preserve"> jo divu dokumentu vietā Valsts ieņēmumu dienestā </w:t>
            </w:r>
            <w:r w:rsidR="000D0752" w:rsidRPr="006534A9">
              <w:rPr>
                <w:b w:val="0"/>
                <w:iCs/>
                <w:spacing w:val="-2"/>
                <w:sz w:val="26"/>
                <w:szCs w:val="26"/>
              </w:rPr>
              <w:t xml:space="preserve">būs </w:t>
            </w:r>
            <w:r w:rsidR="00B674AB" w:rsidRPr="006534A9">
              <w:rPr>
                <w:b w:val="0"/>
                <w:iCs/>
                <w:spacing w:val="-2"/>
                <w:sz w:val="26"/>
                <w:szCs w:val="26"/>
              </w:rPr>
              <w:t>jāiesniedz viens dokuments.</w:t>
            </w:r>
          </w:p>
        </w:tc>
      </w:tr>
      <w:tr w:rsidR="00185337" w:rsidRPr="006534A9" w14:paraId="62CDA44C" w14:textId="77777777" w:rsidTr="0015184D">
        <w:trPr>
          <w:tblCellSpacing w:w="15" w:type="dxa"/>
        </w:trPr>
        <w:tc>
          <w:tcPr>
            <w:tcW w:w="262" w:type="pct"/>
            <w:hideMark/>
          </w:tcPr>
          <w:p w14:paraId="7262049E"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3.</w:t>
            </w:r>
          </w:p>
        </w:tc>
        <w:tc>
          <w:tcPr>
            <w:tcW w:w="915" w:type="pct"/>
            <w:hideMark/>
          </w:tcPr>
          <w:p w14:paraId="35581B15"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Administratīvo izmaksu monetārs novērtējums</w:t>
            </w:r>
          </w:p>
        </w:tc>
        <w:tc>
          <w:tcPr>
            <w:tcW w:w="3763" w:type="pct"/>
            <w:hideMark/>
          </w:tcPr>
          <w:p w14:paraId="1013CDDF" w14:textId="46E77525" w:rsidR="00EF3434" w:rsidRPr="006534A9" w:rsidRDefault="00F476A5" w:rsidP="00C12687">
            <w:pPr>
              <w:pStyle w:val="naisnod"/>
              <w:spacing w:before="0" w:after="0"/>
              <w:jc w:val="both"/>
              <w:rPr>
                <w:iCs/>
                <w:spacing w:val="-2"/>
                <w:sz w:val="26"/>
                <w:szCs w:val="26"/>
              </w:rPr>
            </w:pPr>
            <w:r w:rsidRPr="006534A9">
              <w:rPr>
                <w:b w:val="0"/>
                <w:spacing w:val="-2"/>
                <w:sz w:val="26"/>
                <w:szCs w:val="26"/>
              </w:rPr>
              <w:t>Nav</w:t>
            </w:r>
          </w:p>
        </w:tc>
      </w:tr>
      <w:tr w:rsidR="00185337" w:rsidRPr="006534A9" w14:paraId="55B022D9" w14:textId="77777777" w:rsidTr="0015184D">
        <w:trPr>
          <w:tblCellSpacing w:w="15" w:type="dxa"/>
        </w:trPr>
        <w:tc>
          <w:tcPr>
            <w:tcW w:w="262" w:type="pct"/>
            <w:hideMark/>
          </w:tcPr>
          <w:p w14:paraId="0624F1F9"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4.</w:t>
            </w:r>
          </w:p>
        </w:tc>
        <w:tc>
          <w:tcPr>
            <w:tcW w:w="915" w:type="pct"/>
            <w:hideMark/>
          </w:tcPr>
          <w:p w14:paraId="52638252" w14:textId="77777777" w:rsidR="00E5323B" w:rsidRPr="006534A9" w:rsidRDefault="00E5323B" w:rsidP="00AE0B3F">
            <w:pPr>
              <w:spacing w:after="0" w:line="240" w:lineRule="auto"/>
              <w:ind w:hanging="9"/>
              <w:jc w:val="both"/>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Atbilstības izmaksu monetārs novērtējums</w:t>
            </w:r>
          </w:p>
        </w:tc>
        <w:tc>
          <w:tcPr>
            <w:tcW w:w="3763" w:type="pct"/>
            <w:hideMark/>
          </w:tcPr>
          <w:p w14:paraId="4E8B6BB7" w14:textId="4345FFC8" w:rsidR="00EF3434" w:rsidRPr="006534A9" w:rsidRDefault="005F7F5F" w:rsidP="00F920B6">
            <w:pPr>
              <w:spacing w:after="0" w:line="240" w:lineRule="auto"/>
              <w:jc w:val="both"/>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Noteikumu p</w:t>
            </w:r>
            <w:r w:rsidR="007E75B9" w:rsidRPr="006534A9">
              <w:rPr>
                <w:rFonts w:ascii="Times New Roman" w:eastAsia="Times New Roman" w:hAnsi="Times New Roman" w:cs="Times New Roman"/>
                <w:iCs/>
                <w:spacing w:val="-2"/>
                <w:sz w:val="26"/>
                <w:szCs w:val="26"/>
                <w:lang w:eastAsia="lv-LV"/>
              </w:rPr>
              <w:t>rojekts šo jomu neskar</w:t>
            </w:r>
          </w:p>
        </w:tc>
      </w:tr>
      <w:tr w:rsidR="00185337" w:rsidRPr="006534A9" w14:paraId="1CAB0178" w14:textId="77777777" w:rsidTr="0015184D">
        <w:trPr>
          <w:tblCellSpacing w:w="15" w:type="dxa"/>
        </w:trPr>
        <w:tc>
          <w:tcPr>
            <w:tcW w:w="262" w:type="pct"/>
            <w:hideMark/>
          </w:tcPr>
          <w:p w14:paraId="6135B0BA"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5.</w:t>
            </w:r>
          </w:p>
        </w:tc>
        <w:tc>
          <w:tcPr>
            <w:tcW w:w="915" w:type="pct"/>
            <w:hideMark/>
          </w:tcPr>
          <w:p w14:paraId="63C9BDDD"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Cita informācija</w:t>
            </w:r>
          </w:p>
        </w:tc>
        <w:tc>
          <w:tcPr>
            <w:tcW w:w="3763" w:type="pct"/>
            <w:hideMark/>
          </w:tcPr>
          <w:p w14:paraId="4D85AF83" w14:textId="77777777" w:rsidR="00E5323B" w:rsidRPr="006534A9" w:rsidRDefault="00B00E49"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Nav</w:t>
            </w:r>
          </w:p>
        </w:tc>
      </w:tr>
    </w:tbl>
    <w:p w14:paraId="67641A01" w14:textId="744C9326"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  </w:t>
      </w: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29"/>
      </w:tblGrid>
      <w:tr w:rsidR="00185337" w:rsidRPr="006534A9" w14:paraId="5AE240AB" w14:textId="77777777" w:rsidTr="0015184D">
        <w:trPr>
          <w:tblCellSpacing w:w="15" w:type="dxa"/>
        </w:trPr>
        <w:tc>
          <w:tcPr>
            <w:tcW w:w="4970" w:type="pct"/>
            <w:vAlign w:val="center"/>
            <w:hideMark/>
          </w:tcPr>
          <w:p w14:paraId="06468829" w14:textId="77777777" w:rsidR="00655F2C" w:rsidRPr="006534A9" w:rsidRDefault="00E5323B" w:rsidP="00C12687">
            <w:pPr>
              <w:spacing w:after="0" w:line="240" w:lineRule="auto"/>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III. Tiesību akta projekta ietekme uz valsts budžetu un pašvaldību budžetiem</w:t>
            </w:r>
          </w:p>
        </w:tc>
      </w:tr>
      <w:tr w:rsidR="00185337" w:rsidRPr="006534A9" w14:paraId="55F9E206" w14:textId="77777777" w:rsidTr="0015184D">
        <w:trPr>
          <w:trHeight w:val="61"/>
          <w:tblCellSpacing w:w="15" w:type="dxa"/>
        </w:trPr>
        <w:tc>
          <w:tcPr>
            <w:tcW w:w="4970" w:type="pct"/>
            <w:vAlign w:val="center"/>
            <w:hideMark/>
          </w:tcPr>
          <w:p w14:paraId="34D7CDAB" w14:textId="0C3F925D" w:rsidR="00B00E49" w:rsidRPr="006534A9" w:rsidRDefault="00CC2B6E" w:rsidP="00D46459">
            <w:pPr>
              <w:spacing w:after="0" w:line="240" w:lineRule="auto"/>
              <w:ind w:left="-132" w:firstLine="132"/>
              <w:jc w:val="center"/>
              <w:rPr>
                <w:rFonts w:ascii="Times New Roman" w:hAnsi="Times New Roman" w:cs="Times New Roman"/>
                <w:spacing w:val="-2"/>
                <w:sz w:val="26"/>
                <w:szCs w:val="26"/>
              </w:rPr>
            </w:pPr>
            <w:r w:rsidRPr="006534A9">
              <w:rPr>
                <w:rFonts w:ascii="Times New Roman" w:hAnsi="Times New Roman" w:cs="Times New Roman"/>
                <w:spacing w:val="-2"/>
                <w:sz w:val="26"/>
                <w:szCs w:val="26"/>
              </w:rPr>
              <w:t>Noteikumu p</w:t>
            </w:r>
            <w:r w:rsidR="00B00E49" w:rsidRPr="006534A9">
              <w:rPr>
                <w:rFonts w:ascii="Times New Roman" w:hAnsi="Times New Roman" w:cs="Times New Roman"/>
                <w:spacing w:val="-2"/>
                <w:sz w:val="26"/>
                <w:szCs w:val="26"/>
              </w:rPr>
              <w:t>rojekts šo jomu neskar</w:t>
            </w:r>
            <w:r w:rsidR="00686C4A" w:rsidRPr="006534A9">
              <w:rPr>
                <w:rFonts w:ascii="Times New Roman" w:hAnsi="Times New Roman" w:cs="Times New Roman"/>
                <w:spacing w:val="-2"/>
                <w:sz w:val="26"/>
                <w:szCs w:val="26"/>
              </w:rPr>
              <w:t>.</w:t>
            </w:r>
          </w:p>
        </w:tc>
      </w:tr>
    </w:tbl>
    <w:p w14:paraId="39962388" w14:textId="1A5C4FCB" w:rsidR="00B61FBD" w:rsidRPr="006534A9" w:rsidRDefault="001372E0"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w:t>
      </w: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29"/>
      </w:tblGrid>
      <w:tr w:rsidR="00185337" w:rsidRPr="006534A9" w14:paraId="29425CA8" w14:textId="77777777" w:rsidTr="0015184D">
        <w:trPr>
          <w:tblCellSpacing w:w="15" w:type="dxa"/>
        </w:trPr>
        <w:tc>
          <w:tcPr>
            <w:tcW w:w="4970" w:type="pct"/>
            <w:vAlign w:val="center"/>
            <w:hideMark/>
          </w:tcPr>
          <w:p w14:paraId="18D472BC" w14:textId="77777777" w:rsidR="00655F2C" w:rsidRPr="006534A9" w:rsidRDefault="00E5323B" w:rsidP="00083570">
            <w:pPr>
              <w:spacing w:after="0" w:line="240" w:lineRule="auto"/>
              <w:ind w:left="194" w:hanging="194"/>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IV. Tiesību akta projekta ietekme uz spēkā esošo tiesību normu sistēmu</w:t>
            </w:r>
          </w:p>
        </w:tc>
      </w:tr>
      <w:tr w:rsidR="00185337" w:rsidRPr="006534A9" w14:paraId="2D381435" w14:textId="77777777" w:rsidTr="0015184D">
        <w:trPr>
          <w:tblCellSpacing w:w="15" w:type="dxa"/>
        </w:trPr>
        <w:tc>
          <w:tcPr>
            <w:tcW w:w="4970" w:type="pct"/>
          </w:tcPr>
          <w:p w14:paraId="436C4FA4" w14:textId="64925F06" w:rsidR="002B0C82" w:rsidRPr="006534A9" w:rsidRDefault="00CC2B6E" w:rsidP="007D3444">
            <w:pPr>
              <w:spacing w:after="0" w:line="240" w:lineRule="auto"/>
              <w:jc w:val="center"/>
              <w:rPr>
                <w:rFonts w:ascii="Times New Roman" w:hAnsi="Times New Roman" w:cs="Times New Roman"/>
                <w:spacing w:val="-2"/>
                <w:sz w:val="26"/>
                <w:szCs w:val="26"/>
              </w:rPr>
            </w:pPr>
            <w:r w:rsidRPr="006534A9">
              <w:rPr>
                <w:rFonts w:ascii="Times New Roman" w:hAnsi="Times New Roman" w:cs="Times New Roman"/>
                <w:spacing w:val="-2"/>
                <w:sz w:val="26"/>
                <w:szCs w:val="26"/>
              </w:rPr>
              <w:t>Noteikumu p</w:t>
            </w:r>
            <w:r w:rsidR="002B0C82" w:rsidRPr="006534A9">
              <w:rPr>
                <w:rFonts w:ascii="Times New Roman" w:hAnsi="Times New Roman" w:cs="Times New Roman"/>
                <w:spacing w:val="-2"/>
                <w:sz w:val="26"/>
                <w:szCs w:val="26"/>
              </w:rPr>
              <w:t>rojekts šo jomu neskar</w:t>
            </w:r>
          </w:p>
        </w:tc>
      </w:tr>
    </w:tbl>
    <w:p w14:paraId="73D4B2BB" w14:textId="39799092" w:rsidR="00B61FBD"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  </w:t>
      </w: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29"/>
      </w:tblGrid>
      <w:tr w:rsidR="00185337" w:rsidRPr="006534A9" w14:paraId="2DE0D711" w14:textId="77777777" w:rsidTr="0015184D">
        <w:trPr>
          <w:tblCellSpacing w:w="15" w:type="dxa"/>
        </w:trPr>
        <w:tc>
          <w:tcPr>
            <w:tcW w:w="4970" w:type="pct"/>
            <w:vAlign w:val="center"/>
            <w:hideMark/>
          </w:tcPr>
          <w:p w14:paraId="648DC58E" w14:textId="77777777" w:rsidR="00655F2C" w:rsidRPr="006534A9" w:rsidRDefault="00E5323B" w:rsidP="00C12687">
            <w:pPr>
              <w:spacing w:after="0" w:line="240" w:lineRule="auto"/>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V. Tiesību akta projekta atbilstība Latvijas Republikas starptautiskajām saistībām</w:t>
            </w:r>
          </w:p>
        </w:tc>
      </w:tr>
      <w:tr w:rsidR="00185337" w:rsidRPr="006534A9" w14:paraId="6A58450C" w14:textId="77777777" w:rsidTr="0015184D">
        <w:trPr>
          <w:tblCellSpacing w:w="15" w:type="dxa"/>
        </w:trPr>
        <w:tc>
          <w:tcPr>
            <w:tcW w:w="4970" w:type="pct"/>
            <w:hideMark/>
          </w:tcPr>
          <w:p w14:paraId="019C759A" w14:textId="7384BC20" w:rsidR="009C6516" w:rsidRPr="006534A9" w:rsidRDefault="00CC2B6E" w:rsidP="007D3444">
            <w:pPr>
              <w:spacing w:after="0" w:line="240" w:lineRule="auto"/>
              <w:jc w:val="center"/>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Noteikumu p</w:t>
            </w:r>
            <w:r w:rsidR="009C6516" w:rsidRPr="006534A9">
              <w:rPr>
                <w:rFonts w:ascii="Times New Roman" w:eastAsia="Times New Roman" w:hAnsi="Times New Roman" w:cs="Times New Roman"/>
                <w:iCs/>
                <w:spacing w:val="-2"/>
                <w:sz w:val="26"/>
                <w:szCs w:val="26"/>
                <w:lang w:eastAsia="lv-LV"/>
              </w:rPr>
              <w:t>rojekts šo jomu neskar</w:t>
            </w:r>
          </w:p>
        </w:tc>
      </w:tr>
    </w:tbl>
    <w:p w14:paraId="6B0D253A" w14:textId="3C9B0DE5" w:rsidR="00B61FBD"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  </w:t>
      </w: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547"/>
        <w:gridCol w:w="5815"/>
      </w:tblGrid>
      <w:tr w:rsidR="00185337" w:rsidRPr="006534A9" w14:paraId="393B9913" w14:textId="77777777" w:rsidTr="0015184D">
        <w:trPr>
          <w:tblCellSpacing w:w="15" w:type="dxa"/>
        </w:trPr>
        <w:tc>
          <w:tcPr>
            <w:tcW w:w="9862" w:type="dxa"/>
            <w:gridSpan w:val="3"/>
            <w:vAlign w:val="center"/>
            <w:hideMark/>
          </w:tcPr>
          <w:p w14:paraId="4167768B" w14:textId="77777777" w:rsidR="009142BA" w:rsidRPr="006534A9" w:rsidRDefault="009142BA" w:rsidP="00083570">
            <w:pPr>
              <w:spacing w:after="0" w:line="240" w:lineRule="auto"/>
              <w:ind w:firstLine="194"/>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VI. Sabiedrības līdzdalība un komunikācijas aktivitātes</w:t>
            </w:r>
          </w:p>
        </w:tc>
      </w:tr>
      <w:tr w:rsidR="00185337" w:rsidRPr="006534A9" w14:paraId="7BF77FA2" w14:textId="77777777" w:rsidTr="0015184D">
        <w:trPr>
          <w:tblCellSpacing w:w="15" w:type="dxa"/>
        </w:trPr>
        <w:tc>
          <w:tcPr>
            <w:tcW w:w="522" w:type="dxa"/>
            <w:hideMark/>
          </w:tcPr>
          <w:p w14:paraId="3E6C3AEE"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1.</w:t>
            </w:r>
          </w:p>
        </w:tc>
        <w:tc>
          <w:tcPr>
            <w:tcW w:w="3514" w:type="dxa"/>
            <w:hideMark/>
          </w:tcPr>
          <w:p w14:paraId="591D8BCF"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Plānotās sabiedrības līdzdalības un komunikācijas aktivitātes saistībā ar projektu</w:t>
            </w:r>
          </w:p>
        </w:tc>
        <w:tc>
          <w:tcPr>
            <w:tcW w:w="5766" w:type="dxa"/>
            <w:hideMark/>
          </w:tcPr>
          <w:p w14:paraId="4B44D34E" w14:textId="738680AD" w:rsidR="00743483" w:rsidRPr="006534A9" w:rsidRDefault="00A23F3B" w:rsidP="00590A25">
            <w:pPr>
              <w:spacing w:after="0" w:line="240" w:lineRule="auto"/>
              <w:jc w:val="both"/>
              <w:rPr>
                <w:rFonts w:ascii="Times New Roman" w:hAnsi="Times New Roman" w:cs="Times New Roman"/>
                <w:iCs/>
                <w:sz w:val="26"/>
                <w:szCs w:val="26"/>
              </w:rPr>
            </w:pPr>
            <w:r w:rsidRPr="006534A9">
              <w:rPr>
                <w:rFonts w:ascii="Times New Roman" w:hAnsi="Times New Roman" w:cs="Times New Roman"/>
                <w:noProof/>
                <w:spacing w:val="-2"/>
                <w:sz w:val="26"/>
                <w:szCs w:val="26"/>
              </w:rPr>
              <w:t>Informācija par noteikumu projekta izstrādi publicēta Finanšu ministrijas mājas lapā http://www.fm.gov.lv sadaļā</w:t>
            </w:r>
            <w:r w:rsidR="00743483" w:rsidRPr="006534A9">
              <w:rPr>
                <w:rFonts w:ascii="Times New Roman" w:hAnsi="Times New Roman" w:cs="Times New Roman"/>
                <w:noProof/>
                <w:spacing w:val="-2"/>
                <w:sz w:val="26"/>
                <w:szCs w:val="26"/>
              </w:rPr>
              <w:t xml:space="preserve"> </w:t>
            </w:r>
            <w:r w:rsidR="00743483" w:rsidRPr="006534A9">
              <w:rPr>
                <w:rFonts w:ascii="Times New Roman" w:hAnsi="Times New Roman" w:cs="Times New Roman"/>
                <w:sz w:val="26"/>
                <w:szCs w:val="26"/>
              </w:rPr>
              <w:t>„</w:t>
            </w:r>
            <w:r w:rsidR="00743483" w:rsidRPr="006534A9">
              <w:rPr>
                <w:rFonts w:ascii="Times New Roman" w:hAnsi="Times New Roman" w:cs="Times New Roman"/>
                <w:iCs/>
                <w:sz w:val="26"/>
                <w:szCs w:val="26"/>
              </w:rPr>
              <w:t xml:space="preserve">Sabiedrības līdzdalība” – </w:t>
            </w:r>
            <w:r w:rsidR="00743483" w:rsidRPr="006534A9">
              <w:rPr>
                <w:rFonts w:ascii="Times New Roman" w:hAnsi="Times New Roman" w:cs="Times New Roman"/>
                <w:sz w:val="26"/>
                <w:szCs w:val="26"/>
              </w:rPr>
              <w:t>„</w:t>
            </w:r>
            <w:r w:rsidR="00743483" w:rsidRPr="006534A9">
              <w:rPr>
                <w:rFonts w:ascii="Times New Roman" w:hAnsi="Times New Roman" w:cs="Times New Roman"/>
                <w:iCs/>
                <w:sz w:val="26"/>
                <w:szCs w:val="26"/>
              </w:rPr>
              <w:t xml:space="preserve">Tiesību aktu projekti” – </w:t>
            </w:r>
            <w:r w:rsidR="00743483" w:rsidRPr="006534A9">
              <w:rPr>
                <w:rFonts w:ascii="Times New Roman" w:hAnsi="Times New Roman" w:cs="Times New Roman"/>
                <w:sz w:val="26"/>
                <w:szCs w:val="26"/>
              </w:rPr>
              <w:t>„</w:t>
            </w:r>
            <w:r w:rsidR="00743483" w:rsidRPr="006534A9">
              <w:rPr>
                <w:rFonts w:ascii="Times New Roman" w:hAnsi="Times New Roman" w:cs="Times New Roman"/>
                <w:iCs/>
                <w:sz w:val="26"/>
                <w:szCs w:val="26"/>
              </w:rPr>
              <w:t>Nodokļu politika”.</w:t>
            </w:r>
          </w:p>
          <w:p w14:paraId="5D896BC0" w14:textId="06120ED5" w:rsidR="00743483" w:rsidRPr="006534A9" w:rsidRDefault="00743483" w:rsidP="00743483">
            <w:pPr>
              <w:spacing w:after="0" w:line="240" w:lineRule="auto"/>
              <w:jc w:val="both"/>
              <w:rPr>
                <w:rFonts w:ascii="Times New Roman" w:hAnsi="Times New Roman" w:cs="Times New Roman"/>
                <w:noProof/>
                <w:spacing w:val="-2"/>
                <w:sz w:val="26"/>
                <w:szCs w:val="26"/>
              </w:rPr>
            </w:pPr>
            <w:r w:rsidRPr="006534A9">
              <w:rPr>
                <w:rFonts w:ascii="Times New Roman" w:hAnsi="Times New Roman" w:cs="Times New Roman"/>
                <w:iCs/>
                <w:sz w:val="26"/>
                <w:szCs w:val="26"/>
              </w:rPr>
              <w:t>L</w:t>
            </w:r>
            <w:r w:rsidRPr="006534A9">
              <w:rPr>
                <w:rFonts w:ascii="Times New Roman" w:hAnsi="Times New Roman" w:cs="Times New Roman"/>
                <w:iCs/>
                <w:spacing w:val="-2"/>
                <w:sz w:val="26"/>
                <w:szCs w:val="26"/>
              </w:rPr>
              <w:t xml:space="preserve">īdz ar to sabiedrības pārstāvji varēja līdzdarboties projekta izstrādē, </w:t>
            </w:r>
            <w:proofErr w:type="spellStart"/>
            <w:r w:rsidRPr="006534A9">
              <w:rPr>
                <w:rFonts w:ascii="Times New Roman" w:hAnsi="Times New Roman" w:cs="Times New Roman"/>
                <w:iCs/>
                <w:spacing w:val="-2"/>
                <w:sz w:val="26"/>
                <w:szCs w:val="26"/>
              </w:rPr>
              <w:t>rakstveidā</w:t>
            </w:r>
            <w:proofErr w:type="spellEnd"/>
            <w:r w:rsidRPr="006534A9">
              <w:rPr>
                <w:rFonts w:ascii="Times New Roman" w:hAnsi="Times New Roman" w:cs="Times New Roman"/>
                <w:iCs/>
                <w:spacing w:val="-2"/>
                <w:sz w:val="26"/>
                <w:szCs w:val="26"/>
              </w:rPr>
              <w:t xml:space="preserve"> sniedzot viedokļus par projektu.</w:t>
            </w:r>
            <w:r w:rsidRPr="006534A9">
              <w:rPr>
                <w:rFonts w:ascii="Times New Roman" w:hAnsi="Times New Roman" w:cs="Times New Roman"/>
                <w:iCs/>
                <w:sz w:val="26"/>
                <w:szCs w:val="26"/>
              </w:rPr>
              <w:t xml:space="preserve"> </w:t>
            </w:r>
            <w:r w:rsidRPr="006534A9">
              <w:rPr>
                <w:rFonts w:ascii="Times New Roman" w:hAnsi="Times New Roman" w:cs="Times New Roman"/>
                <w:iCs/>
                <w:spacing w:val="-2"/>
                <w:sz w:val="26"/>
                <w:szCs w:val="26"/>
              </w:rPr>
              <w:t>Tāpat sabiedrības pārstāvji varēja sniegt viedokļus par projektu pēc tā izsludināšanas Valsts sekretāru sanāksmē.</w:t>
            </w:r>
            <w:r w:rsidRPr="006534A9">
              <w:rPr>
                <w:rFonts w:ascii="Times New Roman" w:eastAsia="Times New Roman" w:hAnsi="Times New Roman" w:cs="Times New Roman"/>
                <w:sz w:val="26"/>
                <w:szCs w:val="26"/>
                <w:lang w:eastAsia="lv-LV"/>
              </w:rPr>
              <w:t xml:space="preserve"> </w:t>
            </w:r>
          </w:p>
        </w:tc>
      </w:tr>
      <w:tr w:rsidR="00185337" w:rsidRPr="006534A9" w14:paraId="39ACB37D" w14:textId="77777777" w:rsidTr="00890C28">
        <w:trPr>
          <w:trHeight w:val="872"/>
          <w:tblCellSpacing w:w="15" w:type="dxa"/>
        </w:trPr>
        <w:tc>
          <w:tcPr>
            <w:tcW w:w="522" w:type="dxa"/>
            <w:hideMark/>
          </w:tcPr>
          <w:p w14:paraId="60E876B7"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2.</w:t>
            </w:r>
          </w:p>
        </w:tc>
        <w:tc>
          <w:tcPr>
            <w:tcW w:w="3514" w:type="dxa"/>
            <w:hideMark/>
          </w:tcPr>
          <w:p w14:paraId="511F36E7"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Sabiedrības līdzdalība projekta izstrādē</w:t>
            </w:r>
          </w:p>
        </w:tc>
        <w:tc>
          <w:tcPr>
            <w:tcW w:w="5766" w:type="dxa"/>
          </w:tcPr>
          <w:p w14:paraId="150C24D1" w14:textId="575A5BE1" w:rsidR="00743483" w:rsidRPr="006534A9" w:rsidRDefault="00743483" w:rsidP="00890C28">
            <w:pPr>
              <w:spacing w:after="0" w:line="240" w:lineRule="auto"/>
              <w:ind w:right="34"/>
              <w:jc w:val="both"/>
              <w:rPr>
                <w:rFonts w:ascii="Times New Roman" w:hAnsi="Times New Roman" w:cs="Times New Roman"/>
                <w:iCs/>
                <w:sz w:val="26"/>
                <w:szCs w:val="26"/>
              </w:rPr>
            </w:pPr>
            <w:r w:rsidRPr="006534A9">
              <w:rPr>
                <w:rFonts w:ascii="Times New Roman" w:hAnsi="Times New Roman" w:cs="Times New Roman"/>
                <w:iCs/>
                <w:sz w:val="26"/>
                <w:szCs w:val="26"/>
              </w:rPr>
              <w:t xml:space="preserve">Informācija par noteikumu projektu 2019.gada 11.februārī ir publicēta Finanšu ministrijas tīmekļvietnē sadaļā </w:t>
            </w:r>
            <w:r w:rsidRPr="006534A9">
              <w:rPr>
                <w:rFonts w:ascii="Times New Roman" w:hAnsi="Times New Roman" w:cs="Times New Roman"/>
                <w:sz w:val="26"/>
                <w:szCs w:val="26"/>
              </w:rPr>
              <w:t>„</w:t>
            </w:r>
            <w:r w:rsidRPr="006534A9">
              <w:rPr>
                <w:rFonts w:ascii="Times New Roman" w:hAnsi="Times New Roman" w:cs="Times New Roman"/>
                <w:iCs/>
                <w:sz w:val="26"/>
                <w:szCs w:val="26"/>
              </w:rPr>
              <w:t xml:space="preserve">Sabiedrības līdzdalība” – </w:t>
            </w:r>
            <w:r w:rsidRPr="006534A9">
              <w:rPr>
                <w:rFonts w:ascii="Times New Roman" w:hAnsi="Times New Roman" w:cs="Times New Roman"/>
                <w:sz w:val="26"/>
                <w:szCs w:val="26"/>
              </w:rPr>
              <w:t>„</w:t>
            </w:r>
            <w:r w:rsidRPr="006534A9">
              <w:rPr>
                <w:rFonts w:ascii="Times New Roman" w:hAnsi="Times New Roman" w:cs="Times New Roman"/>
                <w:iCs/>
                <w:sz w:val="26"/>
                <w:szCs w:val="26"/>
              </w:rPr>
              <w:t xml:space="preserve">Tiesību aktu projekti” – </w:t>
            </w:r>
            <w:r w:rsidRPr="006534A9">
              <w:rPr>
                <w:rFonts w:ascii="Times New Roman" w:hAnsi="Times New Roman" w:cs="Times New Roman"/>
                <w:sz w:val="26"/>
                <w:szCs w:val="26"/>
              </w:rPr>
              <w:t>„</w:t>
            </w:r>
            <w:r w:rsidRPr="006534A9">
              <w:rPr>
                <w:rFonts w:ascii="Times New Roman" w:hAnsi="Times New Roman" w:cs="Times New Roman"/>
                <w:iCs/>
                <w:sz w:val="26"/>
                <w:szCs w:val="26"/>
              </w:rPr>
              <w:t>Nodokļu politika”, adrese:</w:t>
            </w:r>
          </w:p>
          <w:p w14:paraId="0C7D3025" w14:textId="5016F467" w:rsidR="009142BA" w:rsidRPr="006534A9" w:rsidRDefault="00B93652" w:rsidP="00026353">
            <w:pPr>
              <w:spacing w:after="0" w:line="240" w:lineRule="auto"/>
              <w:jc w:val="both"/>
              <w:rPr>
                <w:rFonts w:ascii="Times New Roman" w:eastAsia="Times New Roman" w:hAnsi="Times New Roman" w:cs="Times New Roman"/>
                <w:iCs/>
                <w:spacing w:val="-2"/>
                <w:sz w:val="26"/>
                <w:szCs w:val="26"/>
                <w:u w:val="single"/>
                <w:lang w:eastAsia="lv-LV"/>
              </w:rPr>
            </w:pPr>
            <w:hyperlink r:id="rId11" w:anchor="project538" w:history="1">
              <w:r w:rsidR="00743483" w:rsidRPr="006534A9">
                <w:rPr>
                  <w:rStyle w:val="Hyperlink"/>
                  <w:rFonts w:ascii="Times New Roman" w:eastAsia="Times New Roman" w:hAnsi="Times New Roman" w:cs="Times New Roman"/>
                  <w:iCs/>
                  <w:color w:val="auto"/>
                  <w:spacing w:val="-2"/>
                  <w:sz w:val="26"/>
                  <w:szCs w:val="26"/>
                  <w:lang w:eastAsia="lv-LV"/>
                </w:rPr>
                <w:t>http://www.fm.gov.lv/lv/sabiedribas_lidzdaliba/tiesibu_aktu_projekti/nodoklu_politika#project538</w:t>
              </w:r>
            </w:hyperlink>
          </w:p>
        </w:tc>
      </w:tr>
      <w:tr w:rsidR="00185337" w:rsidRPr="006534A9" w14:paraId="021E4083" w14:textId="77777777" w:rsidTr="0015184D">
        <w:trPr>
          <w:tblCellSpacing w:w="15" w:type="dxa"/>
        </w:trPr>
        <w:tc>
          <w:tcPr>
            <w:tcW w:w="522" w:type="dxa"/>
            <w:hideMark/>
          </w:tcPr>
          <w:p w14:paraId="316E9728"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lastRenderedPageBreak/>
              <w:t>3.</w:t>
            </w:r>
          </w:p>
        </w:tc>
        <w:tc>
          <w:tcPr>
            <w:tcW w:w="3514" w:type="dxa"/>
            <w:hideMark/>
          </w:tcPr>
          <w:p w14:paraId="7AA99DB6"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Sabiedrības līdzdalības rezultāti</w:t>
            </w:r>
          </w:p>
        </w:tc>
        <w:tc>
          <w:tcPr>
            <w:tcW w:w="5766" w:type="dxa"/>
            <w:hideMark/>
          </w:tcPr>
          <w:p w14:paraId="61C949BA" w14:textId="7CA33420" w:rsidR="009142BA" w:rsidRPr="006534A9" w:rsidRDefault="009142BA" w:rsidP="00C12687">
            <w:pPr>
              <w:spacing w:after="0" w:line="240" w:lineRule="auto"/>
              <w:jc w:val="both"/>
              <w:rPr>
                <w:rFonts w:ascii="Times New Roman" w:eastAsia="Times New Roman" w:hAnsi="Times New Roman" w:cs="Times New Roman"/>
                <w:iCs/>
                <w:spacing w:val="-2"/>
                <w:sz w:val="26"/>
                <w:szCs w:val="26"/>
                <w:lang w:eastAsia="lv-LV"/>
              </w:rPr>
            </w:pPr>
          </w:p>
        </w:tc>
      </w:tr>
      <w:tr w:rsidR="00185337" w:rsidRPr="006534A9" w14:paraId="1CCB880E" w14:textId="77777777" w:rsidTr="0015184D">
        <w:trPr>
          <w:tblCellSpacing w:w="15" w:type="dxa"/>
        </w:trPr>
        <w:tc>
          <w:tcPr>
            <w:tcW w:w="522" w:type="dxa"/>
            <w:hideMark/>
          </w:tcPr>
          <w:p w14:paraId="5D9D9032"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4.</w:t>
            </w:r>
          </w:p>
        </w:tc>
        <w:tc>
          <w:tcPr>
            <w:tcW w:w="3514" w:type="dxa"/>
            <w:hideMark/>
          </w:tcPr>
          <w:p w14:paraId="00B1A743" w14:textId="77777777" w:rsidR="009142BA" w:rsidRPr="006534A9" w:rsidRDefault="009142BA"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Cita informācija</w:t>
            </w:r>
          </w:p>
        </w:tc>
        <w:tc>
          <w:tcPr>
            <w:tcW w:w="5766" w:type="dxa"/>
            <w:hideMark/>
          </w:tcPr>
          <w:p w14:paraId="3A6A5855" w14:textId="0039DA9B" w:rsidR="009142BA" w:rsidRPr="006534A9" w:rsidRDefault="000D0752" w:rsidP="00C12687">
            <w:pPr>
              <w:spacing w:after="0" w:line="240" w:lineRule="auto"/>
              <w:jc w:val="both"/>
              <w:rPr>
                <w:rFonts w:ascii="Times New Roman" w:eastAsia="Times New Roman" w:hAnsi="Times New Roman" w:cs="Times New Roman"/>
                <w:iCs/>
                <w:spacing w:val="-2"/>
                <w:sz w:val="26"/>
                <w:szCs w:val="26"/>
                <w:lang w:eastAsia="lv-LV"/>
              </w:rPr>
            </w:pPr>
            <w:r w:rsidRPr="006534A9">
              <w:rPr>
                <w:rFonts w:ascii="Times New Roman" w:hAnsi="Times New Roman" w:cs="Times New Roman"/>
                <w:spacing w:val="-2"/>
                <w:sz w:val="26"/>
                <w:szCs w:val="26"/>
              </w:rPr>
              <w:t xml:space="preserve">Sabiedrība pēc normatīvā akta pieņemšanas tiks informēta par publikāciju Latvijas Republikas oficiālajā elektroniskajā izdevumā „Latvijas Vēstnesis”, kā arī tas tiks ievietos bezmaksas normatīvo aktu datubāzē </w:t>
            </w:r>
            <w:hyperlink r:id="rId12" w:history="1">
              <w:r w:rsidRPr="006534A9">
                <w:rPr>
                  <w:rStyle w:val="Hyperlink"/>
                  <w:rFonts w:ascii="Times New Roman" w:hAnsi="Times New Roman" w:cs="Times New Roman"/>
                  <w:color w:val="auto"/>
                  <w:spacing w:val="-2"/>
                  <w:sz w:val="26"/>
                  <w:szCs w:val="26"/>
                </w:rPr>
                <w:t>www.likumi.lv</w:t>
              </w:r>
            </w:hyperlink>
          </w:p>
        </w:tc>
      </w:tr>
    </w:tbl>
    <w:p w14:paraId="30E5222D" w14:textId="11834251" w:rsidR="00B61FBD" w:rsidRPr="006534A9" w:rsidRDefault="00B61FBD" w:rsidP="00C12687">
      <w:pPr>
        <w:spacing w:after="0" w:line="240" w:lineRule="auto"/>
        <w:rPr>
          <w:rFonts w:ascii="Times New Roman" w:eastAsia="Times New Roman" w:hAnsi="Times New Roman" w:cs="Times New Roman"/>
          <w:iCs/>
          <w:spacing w:val="-2"/>
          <w:sz w:val="26"/>
          <w:szCs w:val="26"/>
          <w:lang w:eastAsia="lv-LV"/>
        </w:rPr>
      </w:pPr>
    </w:p>
    <w:tbl>
      <w:tblPr>
        <w:tblW w:w="5479" w:type="pct"/>
        <w:tblCellSpacing w:w="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590"/>
        <w:gridCol w:w="5775"/>
      </w:tblGrid>
      <w:tr w:rsidR="00185337" w:rsidRPr="006534A9" w14:paraId="4A0CF672" w14:textId="77777777" w:rsidTr="0015184D">
        <w:trPr>
          <w:tblCellSpacing w:w="15" w:type="dxa"/>
        </w:trPr>
        <w:tc>
          <w:tcPr>
            <w:tcW w:w="4970" w:type="pct"/>
            <w:gridSpan w:val="3"/>
            <w:vAlign w:val="center"/>
            <w:hideMark/>
          </w:tcPr>
          <w:p w14:paraId="33046113" w14:textId="77777777" w:rsidR="00655F2C" w:rsidRPr="006534A9" w:rsidRDefault="00E5323B" w:rsidP="00C12687">
            <w:pPr>
              <w:spacing w:after="0" w:line="240" w:lineRule="auto"/>
              <w:rPr>
                <w:rFonts w:ascii="Times New Roman" w:eastAsia="Times New Roman" w:hAnsi="Times New Roman" w:cs="Times New Roman"/>
                <w:b/>
                <w:bCs/>
                <w:iCs/>
                <w:spacing w:val="-2"/>
                <w:sz w:val="26"/>
                <w:szCs w:val="26"/>
                <w:lang w:eastAsia="lv-LV"/>
              </w:rPr>
            </w:pPr>
            <w:r w:rsidRPr="006534A9">
              <w:rPr>
                <w:rFonts w:ascii="Times New Roman" w:eastAsia="Times New Roman" w:hAnsi="Times New Roman" w:cs="Times New Roman"/>
                <w:b/>
                <w:bCs/>
                <w:iCs/>
                <w:spacing w:val="-2"/>
                <w:sz w:val="26"/>
                <w:szCs w:val="26"/>
                <w:lang w:eastAsia="lv-LV"/>
              </w:rPr>
              <w:t>VII. Tiesību akta projekta izpildes nodrošināšana un tās ietekme uz institūcijām</w:t>
            </w:r>
          </w:p>
        </w:tc>
      </w:tr>
      <w:tr w:rsidR="00185337" w:rsidRPr="006534A9" w14:paraId="0A375124" w14:textId="77777777" w:rsidTr="0015184D">
        <w:trPr>
          <w:tblCellSpacing w:w="15" w:type="dxa"/>
        </w:trPr>
        <w:tc>
          <w:tcPr>
            <w:tcW w:w="263" w:type="pct"/>
            <w:hideMark/>
          </w:tcPr>
          <w:p w14:paraId="6E57621E"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1.</w:t>
            </w:r>
          </w:p>
        </w:tc>
        <w:tc>
          <w:tcPr>
            <w:tcW w:w="1804" w:type="pct"/>
            <w:hideMark/>
          </w:tcPr>
          <w:p w14:paraId="295C143B"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Projekta izpildē iesaistītās institūcijas</w:t>
            </w:r>
          </w:p>
        </w:tc>
        <w:tc>
          <w:tcPr>
            <w:tcW w:w="2873" w:type="pct"/>
            <w:hideMark/>
          </w:tcPr>
          <w:p w14:paraId="4C80F4AC" w14:textId="03874A24" w:rsidR="00925E9A" w:rsidRPr="006534A9" w:rsidRDefault="00D441EA" w:rsidP="00B52A7C">
            <w:pPr>
              <w:spacing w:after="0" w:line="240" w:lineRule="auto"/>
              <w:jc w:val="both"/>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Finanšu ministrija, Valsts ieņēmumu dienests</w:t>
            </w:r>
          </w:p>
        </w:tc>
      </w:tr>
      <w:tr w:rsidR="00185337" w:rsidRPr="006534A9" w14:paraId="486BDAD8" w14:textId="77777777" w:rsidTr="0015184D">
        <w:trPr>
          <w:tblCellSpacing w:w="15" w:type="dxa"/>
        </w:trPr>
        <w:tc>
          <w:tcPr>
            <w:tcW w:w="263" w:type="pct"/>
            <w:hideMark/>
          </w:tcPr>
          <w:p w14:paraId="07307FB7"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2.</w:t>
            </w:r>
          </w:p>
        </w:tc>
        <w:tc>
          <w:tcPr>
            <w:tcW w:w="1804" w:type="pct"/>
            <w:hideMark/>
          </w:tcPr>
          <w:p w14:paraId="6AA03458"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Projekta izpildes ietekme uz pārvaldes funkcijām un institucionālo struktūru.</w:t>
            </w:r>
            <w:r w:rsidRPr="006534A9">
              <w:rPr>
                <w:rFonts w:ascii="Times New Roman" w:eastAsia="Times New Roman" w:hAnsi="Times New Roman" w:cs="Times New Roman"/>
                <w:iCs/>
                <w:spacing w:val="-2"/>
                <w:sz w:val="26"/>
                <w:szCs w:val="26"/>
                <w:lang w:eastAsia="lv-LV"/>
              </w:rPr>
              <w:br/>
              <w:t>Jaunu institūciju izveide, esošu institūciju likvidācija vai reorganizācija, to ietekme uz institūcijas cilvēkresursiem</w:t>
            </w:r>
          </w:p>
        </w:tc>
        <w:tc>
          <w:tcPr>
            <w:tcW w:w="2873" w:type="pct"/>
            <w:hideMark/>
          </w:tcPr>
          <w:p w14:paraId="4CB53135" w14:textId="4631FE20" w:rsidR="0002462B" w:rsidRPr="006534A9" w:rsidRDefault="00D26050" w:rsidP="00C12687">
            <w:pPr>
              <w:spacing w:after="0" w:line="240" w:lineRule="auto"/>
              <w:jc w:val="both"/>
              <w:rPr>
                <w:rFonts w:ascii="Times New Roman" w:eastAsia="Times New Roman" w:hAnsi="Times New Roman" w:cs="Times New Roman"/>
                <w:noProof/>
                <w:spacing w:val="-2"/>
                <w:sz w:val="26"/>
                <w:szCs w:val="26"/>
                <w:lang w:eastAsia="lv-LV"/>
              </w:rPr>
            </w:pPr>
            <w:r w:rsidRPr="006534A9">
              <w:rPr>
                <w:rFonts w:ascii="Times New Roman" w:eastAsia="Times New Roman" w:hAnsi="Times New Roman" w:cs="Times New Roman"/>
                <w:iCs/>
                <w:spacing w:val="-2"/>
                <w:sz w:val="26"/>
                <w:szCs w:val="26"/>
                <w:lang w:eastAsia="lv-LV"/>
              </w:rPr>
              <w:t xml:space="preserve">Noteikumu </w:t>
            </w:r>
            <w:r w:rsidRPr="006534A9">
              <w:rPr>
                <w:rFonts w:ascii="Times New Roman" w:eastAsia="Times New Roman" w:hAnsi="Times New Roman" w:cs="Times New Roman"/>
                <w:noProof/>
                <w:spacing w:val="-2"/>
                <w:sz w:val="26"/>
                <w:szCs w:val="26"/>
                <w:lang w:eastAsia="lv-LV"/>
              </w:rPr>
              <w:t>p</w:t>
            </w:r>
            <w:r w:rsidR="00705B3C" w:rsidRPr="006534A9">
              <w:rPr>
                <w:rFonts w:ascii="Times New Roman" w:eastAsia="Times New Roman" w:hAnsi="Times New Roman" w:cs="Times New Roman"/>
                <w:noProof/>
                <w:spacing w:val="-2"/>
                <w:sz w:val="26"/>
                <w:szCs w:val="26"/>
                <w:lang w:eastAsia="lv-LV"/>
              </w:rPr>
              <w:t>rojekta izpilde pēc būtības neietekmē</w:t>
            </w:r>
            <w:r w:rsidRPr="006534A9">
              <w:rPr>
                <w:rFonts w:ascii="Times New Roman" w:eastAsia="Times New Roman" w:hAnsi="Times New Roman" w:cs="Times New Roman"/>
                <w:iCs/>
                <w:spacing w:val="-2"/>
                <w:sz w:val="26"/>
                <w:szCs w:val="26"/>
                <w:lang w:eastAsia="lv-LV"/>
              </w:rPr>
              <w:t xml:space="preserve"> noteikumu</w:t>
            </w:r>
            <w:r w:rsidR="00705B3C" w:rsidRPr="006534A9">
              <w:rPr>
                <w:rFonts w:ascii="Times New Roman" w:eastAsia="Times New Roman" w:hAnsi="Times New Roman" w:cs="Times New Roman"/>
                <w:noProof/>
                <w:spacing w:val="-2"/>
                <w:sz w:val="26"/>
                <w:szCs w:val="26"/>
                <w:lang w:eastAsia="lv-LV"/>
              </w:rPr>
              <w:t xml:space="preserve"> projekta izstrādē iesaistītās institūcijas un uzdevumus, kā arī tam nav ietekmes uz institūcijā</w:t>
            </w:r>
            <w:r w:rsidR="00EE32A5" w:rsidRPr="006534A9">
              <w:rPr>
                <w:rFonts w:ascii="Times New Roman" w:eastAsia="Times New Roman" w:hAnsi="Times New Roman" w:cs="Times New Roman"/>
                <w:noProof/>
                <w:spacing w:val="-2"/>
                <w:sz w:val="26"/>
                <w:szCs w:val="26"/>
                <w:lang w:eastAsia="lv-LV"/>
              </w:rPr>
              <w:t>m pieejamajiem cilvēkresursiem.</w:t>
            </w:r>
          </w:p>
          <w:p w14:paraId="1D40578F" w14:textId="06EEFE0D" w:rsidR="00E5323B" w:rsidRPr="006534A9" w:rsidRDefault="00D26050" w:rsidP="00C12687">
            <w:pPr>
              <w:spacing w:after="0" w:line="240" w:lineRule="auto"/>
              <w:jc w:val="both"/>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 xml:space="preserve">Noteikumu </w:t>
            </w:r>
            <w:r w:rsidRPr="006534A9">
              <w:rPr>
                <w:rFonts w:ascii="Times New Roman" w:eastAsia="Times New Roman" w:hAnsi="Times New Roman" w:cs="Times New Roman"/>
                <w:noProof/>
                <w:spacing w:val="-2"/>
                <w:sz w:val="26"/>
                <w:szCs w:val="26"/>
                <w:lang w:eastAsia="lv-LV"/>
              </w:rPr>
              <w:t>p</w:t>
            </w:r>
            <w:r w:rsidR="00705B3C" w:rsidRPr="006534A9">
              <w:rPr>
                <w:rFonts w:ascii="Times New Roman" w:eastAsia="Times New Roman" w:hAnsi="Times New Roman" w:cs="Times New Roman"/>
                <w:noProof/>
                <w:spacing w:val="-2"/>
                <w:sz w:val="26"/>
                <w:szCs w:val="26"/>
                <w:lang w:eastAsia="lv-LV"/>
              </w:rPr>
              <w:t>rojekta izpildei nav nepieciešams reorganizēt esošās institūcijas, veidot jaunas institūcijas vai likvidēt esošās institūcijas.</w:t>
            </w:r>
          </w:p>
        </w:tc>
      </w:tr>
      <w:tr w:rsidR="00185337" w:rsidRPr="006534A9" w14:paraId="18516E5F" w14:textId="77777777" w:rsidTr="0015184D">
        <w:trPr>
          <w:tblCellSpacing w:w="15" w:type="dxa"/>
        </w:trPr>
        <w:tc>
          <w:tcPr>
            <w:tcW w:w="263" w:type="pct"/>
            <w:hideMark/>
          </w:tcPr>
          <w:p w14:paraId="6CB77EC3" w14:textId="77777777" w:rsidR="00655F2C"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3.</w:t>
            </w:r>
          </w:p>
        </w:tc>
        <w:tc>
          <w:tcPr>
            <w:tcW w:w="1804" w:type="pct"/>
            <w:hideMark/>
          </w:tcPr>
          <w:p w14:paraId="5686E710" w14:textId="77777777" w:rsidR="00E5323B" w:rsidRPr="006534A9" w:rsidRDefault="00E5323B" w:rsidP="00C12687">
            <w:pPr>
              <w:spacing w:after="0" w:line="240" w:lineRule="auto"/>
              <w:rPr>
                <w:rFonts w:ascii="Times New Roman" w:eastAsia="Times New Roman" w:hAnsi="Times New Roman" w:cs="Times New Roman"/>
                <w:iCs/>
                <w:spacing w:val="-2"/>
                <w:sz w:val="26"/>
                <w:szCs w:val="26"/>
                <w:lang w:eastAsia="lv-LV"/>
              </w:rPr>
            </w:pPr>
            <w:r w:rsidRPr="006534A9">
              <w:rPr>
                <w:rFonts w:ascii="Times New Roman" w:eastAsia="Times New Roman" w:hAnsi="Times New Roman" w:cs="Times New Roman"/>
                <w:iCs/>
                <w:spacing w:val="-2"/>
                <w:sz w:val="26"/>
                <w:szCs w:val="26"/>
                <w:lang w:eastAsia="lv-LV"/>
              </w:rPr>
              <w:t>Cita informācija</w:t>
            </w:r>
          </w:p>
        </w:tc>
        <w:tc>
          <w:tcPr>
            <w:tcW w:w="2873" w:type="pct"/>
            <w:hideMark/>
          </w:tcPr>
          <w:p w14:paraId="105B4421" w14:textId="019E6B48" w:rsidR="00E5323B" w:rsidRPr="006534A9" w:rsidRDefault="003F4AE2" w:rsidP="00B52A7C">
            <w:pPr>
              <w:spacing w:after="0" w:line="240" w:lineRule="auto"/>
              <w:jc w:val="both"/>
              <w:rPr>
                <w:rFonts w:ascii="Times New Roman" w:eastAsia="Times New Roman" w:hAnsi="Times New Roman" w:cs="Times New Roman"/>
                <w:iCs/>
                <w:spacing w:val="-2"/>
                <w:sz w:val="26"/>
                <w:szCs w:val="26"/>
                <w:lang w:eastAsia="lv-LV"/>
              </w:rPr>
            </w:pPr>
            <w:r w:rsidRPr="006534A9">
              <w:rPr>
                <w:rFonts w:ascii="Times New Roman" w:hAnsi="Times New Roman" w:cs="Times New Roman"/>
                <w:sz w:val="26"/>
                <w:szCs w:val="26"/>
              </w:rPr>
              <w:t>Noteikumu projekts tiks realizēts Valsts ieņēmumu dienesta esošo finanšu līdzekļu ietvaros.</w:t>
            </w:r>
          </w:p>
        </w:tc>
      </w:tr>
    </w:tbl>
    <w:p w14:paraId="3D2DA8B9" w14:textId="0B52B6B6" w:rsidR="002517E6" w:rsidRPr="006534A9" w:rsidRDefault="002517E6" w:rsidP="007F7B60">
      <w:pPr>
        <w:pStyle w:val="naisf"/>
        <w:tabs>
          <w:tab w:val="right" w:pos="9000"/>
        </w:tabs>
        <w:spacing w:before="0" w:after="0"/>
        <w:ind w:firstLine="709"/>
        <w:rPr>
          <w:sz w:val="26"/>
          <w:szCs w:val="26"/>
        </w:rPr>
      </w:pPr>
    </w:p>
    <w:p w14:paraId="043B6B02" w14:textId="77777777" w:rsidR="0020231D" w:rsidRPr="006534A9" w:rsidRDefault="0020231D" w:rsidP="0020231D">
      <w:pPr>
        <w:tabs>
          <w:tab w:val="left" w:pos="6521"/>
          <w:tab w:val="right" w:pos="8820"/>
        </w:tabs>
        <w:spacing w:after="0" w:line="240" w:lineRule="auto"/>
        <w:rPr>
          <w:rFonts w:ascii="Times New Roman" w:eastAsia="Times New Roman" w:hAnsi="Times New Roman" w:cs="Times New Roman"/>
          <w:sz w:val="26"/>
          <w:szCs w:val="26"/>
          <w:lang w:eastAsia="lv-LV"/>
        </w:rPr>
      </w:pPr>
    </w:p>
    <w:p w14:paraId="1BAE93C8" w14:textId="22F74C6B" w:rsidR="002517E6" w:rsidRPr="006534A9" w:rsidRDefault="004C6576" w:rsidP="0020231D">
      <w:pPr>
        <w:tabs>
          <w:tab w:val="left" w:pos="6521"/>
          <w:tab w:val="right" w:pos="8820"/>
        </w:tabs>
        <w:spacing w:after="0" w:line="240" w:lineRule="auto"/>
        <w:rPr>
          <w:rFonts w:ascii="Times New Roman" w:hAnsi="Times New Roman" w:cs="Times New Roman"/>
          <w:sz w:val="26"/>
          <w:szCs w:val="26"/>
        </w:rPr>
      </w:pPr>
      <w:r w:rsidRPr="006534A9">
        <w:rPr>
          <w:rFonts w:ascii="Times New Roman" w:hAnsi="Times New Roman" w:cs="Times New Roman"/>
          <w:sz w:val="26"/>
          <w:szCs w:val="26"/>
        </w:rPr>
        <w:t>Finanšu ministrs</w:t>
      </w:r>
      <w:r w:rsidR="002517E6" w:rsidRPr="006534A9">
        <w:rPr>
          <w:rFonts w:ascii="Times New Roman" w:hAnsi="Times New Roman" w:cs="Times New Roman"/>
          <w:sz w:val="26"/>
          <w:szCs w:val="26"/>
        </w:rPr>
        <w:tab/>
      </w:r>
      <w:r w:rsidRPr="006534A9">
        <w:rPr>
          <w:rFonts w:ascii="Times New Roman" w:hAnsi="Times New Roman" w:cs="Times New Roman"/>
          <w:sz w:val="26"/>
          <w:szCs w:val="26"/>
        </w:rPr>
        <w:t>J</w:t>
      </w:r>
      <w:r w:rsidR="0035517A" w:rsidRPr="006534A9">
        <w:rPr>
          <w:rFonts w:ascii="Times New Roman" w:hAnsi="Times New Roman" w:cs="Times New Roman"/>
          <w:sz w:val="26"/>
          <w:szCs w:val="26"/>
        </w:rPr>
        <w:t>.</w:t>
      </w:r>
      <w:r w:rsidR="00AE0D44" w:rsidRPr="006534A9">
        <w:rPr>
          <w:rFonts w:ascii="Times New Roman" w:hAnsi="Times New Roman" w:cs="Times New Roman"/>
          <w:sz w:val="26"/>
          <w:szCs w:val="26"/>
        </w:rPr>
        <w:t> </w:t>
      </w:r>
      <w:r w:rsidRPr="006534A9">
        <w:rPr>
          <w:rFonts w:ascii="Times New Roman" w:hAnsi="Times New Roman" w:cs="Times New Roman"/>
          <w:sz w:val="26"/>
          <w:szCs w:val="26"/>
        </w:rPr>
        <w:t>Reirs</w:t>
      </w:r>
    </w:p>
    <w:p w14:paraId="6F071E01" w14:textId="2FED1E58" w:rsidR="00894C55" w:rsidRPr="006534A9" w:rsidRDefault="00894C55" w:rsidP="00C12687">
      <w:pPr>
        <w:tabs>
          <w:tab w:val="left" w:pos="6237"/>
        </w:tabs>
        <w:spacing w:after="0" w:line="240" w:lineRule="auto"/>
        <w:ind w:firstLine="720"/>
        <w:rPr>
          <w:rFonts w:ascii="Times New Roman" w:hAnsi="Times New Roman" w:cs="Times New Roman"/>
          <w:spacing w:val="-2"/>
          <w:sz w:val="26"/>
          <w:szCs w:val="26"/>
        </w:rPr>
      </w:pPr>
    </w:p>
    <w:p w14:paraId="36B1EFA9" w14:textId="54453DED" w:rsidR="00890C28" w:rsidRPr="006534A9" w:rsidRDefault="00890C28" w:rsidP="00C12687">
      <w:pPr>
        <w:tabs>
          <w:tab w:val="left" w:pos="6237"/>
        </w:tabs>
        <w:spacing w:after="0" w:line="240" w:lineRule="auto"/>
        <w:ind w:firstLine="720"/>
        <w:rPr>
          <w:rFonts w:ascii="Times New Roman" w:hAnsi="Times New Roman" w:cs="Times New Roman"/>
          <w:spacing w:val="-2"/>
          <w:sz w:val="26"/>
          <w:szCs w:val="26"/>
        </w:rPr>
      </w:pPr>
    </w:p>
    <w:p w14:paraId="7F658EF3" w14:textId="77777777" w:rsidR="00890C28" w:rsidRPr="006534A9" w:rsidRDefault="00890C28" w:rsidP="00C12687">
      <w:pPr>
        <w:tabs>
          <w:tab w:val="left" w:pos="6237"/>
        </w:tabs>
        <w:spacing w:after="0" w:line="240" w:lineRule="auto"/>
        <w:ind w:firstLine="720"/>
        <w:rPr>
          <w:rFonts w:ascii="Times New Roman" w:hAnsi="Times New Roman" w:cs="Times New Roman"/>
          <w:spacing w:val="-2"/>
          <w:sz w:val="26"/>
          <w:szCs w:val="26"/>
        </w:rPr>
      </w:pPr>
    </w:p>
    <w:p w14:paraId="083832CE" w14:textId="77777777" w:rsidR="00FD3156" w:rsidRPr="006534A9" w:rsidRDefault="00FD3156" w:rsidP="00C12687">
      <w:pPr>
        <w:tabs>
          <w:tab w:val="left" w:pos="6237"/>
        </w:tabs>
        <w:spacing w:after="0" w:line="240" w:lineRule="auto"/>
        <w:ind w:firstLine="720"/>
        <w:rPr>
          <w:rFonts w:ascii="Times New Roman" w:hAnsi="Times New Roman" w:cs="Times New Roman"/>
          <w:spacing w:val="-2"/>
          <w:sz w:val="26"/>
          <w:szCs w:val="26"/>
        </w:rPr>
      </w:pPr>
    </w:p>
    <w:p w14:paraId="3B06D73A" w14:textId="6A6C3C79" w:rsidR="000F3A62" w:rsidRPr="00B93652" w:rsidRDefault="004C6576" w:rsidP="00C12687">
      <w:pPr>
        <w:tabs>
          <w:tab w:val="left" w:pos="1965"/>
        </w:tabs>
        <w:spacing w:after="0" w:line="240" w:lineRule="auto"/>
        <w:rPr>
          <w:rFonts w:ascii="Times New Roman" w:hAnsi="Times New Roman" w:cs="Times New Roman"/>
          <w:spacing w:val="-2"/>
        </w:rPr>
      </w:pPr>
      <w:r w:rsidRPr="00B93652">
        <w:rPr>
          <w:rFonts w:ascii="Times New Roman" w:hAnsi="Times New Roman" w:cs="Times New Roman"/>
          <w:spacing w:val="-2"/>
        </w:rPr>
        <w:t>Rudzīte 6712013</w:t>
      </w:r>
      <w:r w:rsidR="005D41AB" w:rsidRPr="00B93652">
        <w:rPr>
          <w:rFonts w:ascii="Times New Roman" w:hAnsi="Times New Roman" w:cs="Times New Roman"/>
          <w:spacing w:val="-2"/>
        </w:rPr>
        <w:t>7</w:t>
      </w:r>
      <w:bookmarkStart w:id="0" w:name="_GoBack"/>
      <w:bookmarkEnd w:id="0"/>
    </w:p>
    <w:p w14:paraId="5F8DA726" w14:textId="68B79EE1" w:rsidR="00894C55" w:rsidRPr="006534A9" w:rsidRDefault="004C6576" w:rsidP="001372E0">
      <w:pPr>
        <w:tabs>
          <w:tab w:val="left" w:pos="1965"/>
        </w:tabs>
        <w:spacing w:after="0" w:line="240" w:lineRule="auto"/>
        <w:rPr>
          <w:rFonts w:ascii="Times New Roman" w:hAnsi="Times New Roman" w:cs="Times New Roman"/>
          <w:spacing w:val="-2"/>
          <w:sz w:val="26"/>
          <w:szCs w:val="26"/>
        </w:rPr>
      </w:pPr>
      <w:r w:rsidRPr="00B93652">
        <w:rPr>
          <w:rStyle w:val="Hyperlink"/>
          <w:rFonts w:ascii="Times New Roman" w:hAnsi="Times New Roman" w:cs="Times New Roman"/>
          <w:color w:val="auto"/>
          <w:spacing w:val="-2"/>
        </w:rPr>
        <w:t>Inga.Rudzite</w:t>
      </w:r>
      <w:r w:rsidR="005D41AB" w:rsidRPr="00B93652">
        <w:rPr>
          <w:rStyle w:val="Hyperlink"/>
          <w:rFonts w:ascii="Times New Roman" w:hAnsi="Times New Roman" w:cs="Times New Roman"/>
          <w:color w:val="auto"/>
          <w:spacing w:val="-2"/>
        </w:rPr>
        <w:t>@vid.gov.lv</w:t>
      </w:r>
      <w:r w:rsidR="003648DD" w:rsidRPr="006534A9">
        <w:rPr>
          <w:rFonts w:ascii="Times New Roman" w:hAnsi="Times New Roman" w:cs="Times New Roman"/>
          <w:spacing w:val="-2"/>
          <w:sz w:val="26"/>
          <w:szCs w:val="26"/>
        </w:rPr>
        <w:tab/>
      </w:r>
    </w:p>
    <w:sectPr w:rsidR="00894C55" w:rsidRPr="006534A9"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A991B" w14:textId="77777777" w:rsidR="00BF4692" w:rsidRDefault="00BF4692" w:rsidP="00894C55">
      <w:pPr>
        <w:spacing w:after="0" w:line="240" w:lineRule="auto"/>
      </w:pPr>
      <w:r>
        <w:separator/>
      </w:r>
    </w:p>
  </w:endnote>
  <w:endnote w:type="continuationSeparator" w:id="0">
    <w:p w14:paraId="1D97E711" w14:textId="77777777" w:rsidR="00BF4692" w:rsidRDefault="00BF46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F63" w14:textId="23F047A6"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93652">
      <w:rPr>
        <w:rFonts w:ascii="Times New Roman" w:hAnsi="Times New Roman" w:cs="Times New Roman"/>
        <w:noProof/>
        <w:sz w:val="20"/>
        <w:szCs w:val="20"/>
      </w:rPr>
      <w:t>FMAnot_130219_MK300</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C31" w14:textId="23E64B9A"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93652">
      <w:rPr>
        <w:rFonts w:ascii="Times New Roman" w:hAnsi="Times New Roman" w:cs="Times New Roman"/>
        <w:noProof/>
        <w:sz w:val="20"/>
        <w:szCs w:val="20"/>
      </w:rPr>
      <w:t>FMAnot_130219_MK300</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450D" w14:textId="77777777" w:rsidR="00BF4692" w:rsidRDefault="00BF4692" w:rsidP="00894C55">
      <w:pPr>
        <w:spacing w:after="0" w:line="240" w:lineRule="auto"/>
      </w:pPr>
      <w:r>
        <w:separator/>
      </w:r>
    </w:p>
  </w:footnote>
  <w:footnote w:type="continuationSeparator" w:id="0">
    <w:p w14:paraId="79D62613" w14:textId="77777777" w:rsidR="00BF4692" w:rsidRDefault="00BF469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647AC9A5" w:rsidR="00B87AB1" w:rsidRPr="00C25B49" w:rsidRDefault="00B87AB1" w:rsidP="007D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365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3FE0"/>
    <w:multiLevelType w:val="hybridMultilevel"/>
    <w:tmpl w:val="588C5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A6263"/>
    <w:multiLevelType w:val="hybridMultilevel"/>
    <w:tmpl w:val="8D660B7E"/>
    <w:lvl w:ilvl="0" w:tplc="F2DEB9B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1F5C5B"/>
    <w:multiLevelType w:val="hybridMultilevel"/>
    <w:tmpl w:val="45B49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253A9"/>
    <w:multiLevelType w:val="multilevel"/>
    <w:tmpl w:val="A2E844E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8124952"/>
    <w:multiLevelType w:val="hybridMultilevel"/>
    <w:tmpl w:val="E8627F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C1549A1"/>
    <w:multiLevelType w:val="hybridMultilevel"/>
    <w:tmpl w:val="D1FE9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B84A59"/>
    <w:multiLevelType w:val="hybridMultilevel"/>
    <w:tmpl w:val="EDAA3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58"/>
    <w:rsid w:val="0000586F"/>
    <w:rsid w:val="0002462B"/>
    <w:rsid w:val="00026353"/>
    <w:rsid w:val="00036A3C"/>
    <w:rsid w:val="000454F6"/>
    <w:rsid w:val="0004720A"/>
    <w:rsid w:val="0005074D"/>
    <w:rsid w:val="00056A21"/>
    <w:rsid w:val="000665CF"/>
    <w:rsid w:val="00066888"/>
    <w:rsid w:val="00067CEB"/>
    <w:rsid w:val="00070B97"/>
    <w:rsid w:val="00083570"/>
    <w:rsid w:val="00090A20"/>
    <w:rsid w:val="00090F63"/>
    <w:rsid w:val="0009132F"/>
    <w:rsid w:val="00096CDA"/>
    <w:rsid w:val="000A0EC4"/>
    <w:rsid w:val="000A61F9"/>
    <w:rsid w:val="000B60F4"/>
    <w:rsid w:val="000C462C"/>
    <w:rsid w:val="000D0752"/>
    <w:rsid w:val="000D229D"/>
    <w:rsid w:val="000D7054"/>
    <w:rsid w:val="000E0CF9"/>
    <w:rsid w:val="000F2C9E"/>
    <w:rsid w:val="000F3A62"/>
    <w:rsid w:val="000F3B7D"/>
    <w:rsid w:val="00100965"/>
    <w:rsid w:val="00101D98"/>
    <w:rsid w:val="00105ACD"/>
    <w:rsid w:val="001134FF"/>
    <w:rsid w:val="00114E92"/>
    <w:rsid w:val="001157F5"/>
    <w:rsid w:val="0011667E"/>
    <w:rsid w:val="0012437F"/>
    <w:rsid w:val="00131FF5"/>
    <w:rsid w:val="001372E0"/>
    <w:rsid w:val="001459F7"/>
    <w:rsid w:val="001470E7"/>
    <w:rsid w:val="0015184D"/>
    <w:rsid w:val="00154686"/>
    <w:rsid w:val="0017242F"/>
    <w:rsid w:val="00173C1B"/>
    <w:rsid w:val="0017780E"/>
    <w:rsid w:val="0018033D"/>
    <w:rsid w:val="00185337"/>
    <w:rsid w:val="001930D2"/>
    <w:rsid w:val="0019490B"/>
    <w:rsid w:val="00195E14"/>
    <w:rsid w:val="001A19AF"/>
    <w:rsid w:val="001A2B68"/>
    <w:rsid w:val="001B11B7"/>
    <w:rsid w:val="001B49BE"/>
    <w:rsid w:val="001B7EDB"/>
    <w:rsid w:val="001C0B92"/>
    <w:rsid w:val="001C4E9B"/>
    <w:rsid w:val="001C59AE"/>
    <w:rsid w:val="001D5364"/>
    <w:rsid w:val="001D5504"/>
    <w:rsid w:val="001D6B75"/>
    <w:rsid w:val="001D6C4F"/>
    <w:rsid w:val="001E2B4A"/>
    <w:rsid w:val="001E3888"/>
    <w:rsid w:val="001E5671"/>
    <w:rsid w:val="001E756E"/>
    <w:rsid w:val="001F26FE"/>
    <w:rsid w:val="0020231D"/>
    <w:rsid w:val="00207289"/>
    <w:rsid w:val="00213F54"/>
    <w:rsid w:val="0022203A"/>
    <w:rsid w:val="00222773"/>
    <w:rsid w:val="00230F37"/>
    <w:rsid w:val="00231C85"/>
    <w:rsid w:val="00234CBE"/>
    <w:rsid w:val="00236574"/>
    <w:rsid w:val="002400D4"/>
    <w:rsid w:val="00240629"/>
    <w:rsid w:val="00243426"/>
    <w:rsid w:val="0024757E"/>
    <w:rsid w:val="00251219"/>
    <w:rsid w:val="002517E6"/>
    <w:rsid w:val="00251E68"/>
    <w:rsid w:val="00254B10"/>
    <w:rsid w:val="00257851"/>
    <w:rsid w:val="00260B72"/>
    <w:rsid w:val="002622E4"/>
    <w:rsid w:val="00267AAF"/>
    <w:rsid w:val="0027078C"/>
    <w:rsid w:val="00270B83"/>
    <w:rsid w:val="0027182A"/>
    <w:rsid w:val="00272B28"/>
    <w:rsid w:val="00274767"/>
    <w:rsid w:val="002806F8"/>
    <w:rsid w:val="0028175F"/>
    <w:rsid w:val="002820D0"/>
    <w:rsid w:val="00285904"/>
    <w:rsid w:val="00295592"/>
    <w:rsid w:val="00297F08"/>
    <w:rsid w:val="002B0C82"/>
    <w:rsid w:val="002B6E45"/>
    <w:rsid w:val="002C1645"/>
    <w:rsid w:val="002C2124"/>
    <w:rsid w:val="002C3145"/>
    <w:rsid w:val="002C544D"/>
    <w:rsid w:val="002C6ECC"/>
    <w:rsid w:val="002C722D"/>
    <w:rsid w:val="002E183F"/>
    <w:rsid w:val="002E1C05"/>
    <w:rsid w:val="002E51B4"/>
    <w:rsid w:val="002F4479"/>
    <w:rsid w:val="002F5CF0"/>
    <w:rsid w:val="0030167E"/>
    <w:rsid w:val="00302780"/>
    <w:rsid w:val="003065BE"/>
    <w:rsid w:val="00306800"/>
    <w:rsid w:val="003147EE"/>
    <w:rsid w:val="003158D9"/>
    <w:rsid w:val="00316E0C"/>
    <w:rsid w:val="0031775E"/>
    <w:rsid w:val="003272D1"/>
    <w:rsid w:val="00331A76"/>
    <w:rsid w:val="00340A27"/>
    <w:rsid w:val="00340D96"/>
    <w:rsid w:val="00344D97"/>
    <w:rsid w:val="003503D7"/>
    <w:rsid w:val="00351617"/>
    <w:rsid w:val="0035517A"/>
    <w:rsid w:val="00355E47"/>
    <w:rsid w:val="003610BD"/>
    <w:rsid w:val="00363001"/>
    <w:rsid w:val="00364828"/>
    <w:rsid w:val="003648DD"/>
    <w:rsid w:val="00366195"/>
    <w:rsid w:val="00366749"/>
    <w:rsid w:val="00370991"/>
    <w:rsid w:val="00374F0B"/>
    <w:rsid w:val="00385D04"/>
    <w:rsid w:val="003974DF"/>
    <w:rsid w:val="003B096D"/>
    <w:rsid w:val="003B0BF9"/>
    <w:rsid w:val="003B69F3"/>
    <w:rsid w:val="003B7B57"/>
    <w:rsid w:val="003D1946"/>
    <w:rsid w:val="003D2D0C"/>
    <w:rsid w:val="003D36FF"/>
    <w:rsid w:val="003D7C30"/>
    <w:rsid w:val="003E0791"/>
    <w:rsid w:val="003E1069"/>
    <w:rsid w:val="003E1ADD"/>
    <w:rsid w:val="003F28AC"/>
    <w:rsid w:val="003F4AE2"/>
    <w:rsid w:val="003F4E44"/>
    <w:rsid w:val="003F6BE3"/>
    <w:rsid w:val="00400163"/>
    <w:rsid w:val="00401FEC"/>
    <w:rsid w:val="00411592"/>
    <w:rsid w:val="004135D6"/>
    <w:rsid w:val="0041754F"/>
    <w:rsid w:val="004307A3"/>
    <w:rsid w:val="00430A89"/>
    <w:rsid w:val="00433E60"/>
    <w:rsid w:val="004454FE"/>
    <w:rsid w:val="00451557"/>
    <w:rsid w:val="00456E40"/>
    <w:rsid w:val="00466901"/>
    <w:rsid w:val="0046712B"/>
    <w:rsid w:val="00471F27"/>
    <w:rsid w:val="00476454"/>
    <w:rsid w:val="00476AD5"/>
    <w:rsid w:val="004842A6"/>
    <w:rsid w:val="004950DD"/>
    <w:rsid w:val="004A4DF3"/>
    <w:rsid w:val="004A7A41"/>
    <w:rsid w:val="004C081C"/>
    <w:rsid w:val="004C3FC4"/>
    <w:rsid w:val="004C6576"/>
    <w:rsid w:val="004D1426"/>
    <w:rsid w:val="004D35D6"/>
    <w:rsid w:val="004D7FD2"/>
    <w:rsid w:val="004E40EB"/>
    <w:rsid w:val="004E4C43"/>
    <w:rsid w:val="0050178F"/>
    <w:rsid w:val="00503DB9"/>
    <w:rsid w:val="00504DF6"/>
    <w:rsid w:val="005154A1"/>
    <w:rsid w:val="00515B1A"/>
    <w:rsid w:val="00516A81"/>
    <w:rsid w:val="005240DF"/>
    <w:rsid w:val="00541E4B"/>
    <w:rsid w:val="00542323"/>
    <w:rsid w:val="00544C35"/>
    <w:rsid w:val="00546F10"/>
    <w:rsid w:val="00551B3E"/>
    <w:rsid w:val="00556292"/>
    <w:rsid w:val="0056437C"/>
    <w:rsid w:val="005658B6"/>
    <w:rsid w:val="00565E56"/>
    <w:rsid w:val="00580EB8"/>
    <w:rsid w:val="00583631"/>
    <w:rsid w:val="00590A25"/>
    <w:rsid w:val="005920DA"/>
    <w:rsid w:val="00593811"/>
    <w:rsid w:val="005973FF"/>
    <w:rsid w:val="005A04B4"/>
    <w:rsid w:val="005A27F2"/>
    <w:rsid w:val="005B49AB"/>
    <w:rsid w:val="005B516E"/>
    <w:rsid w:val="005B742A"/>
    <w:rsid w:val="005C226B"/>
    <w:rsid w:val="005C73FF"/>
    <w:rsid w:val="005D41AB"/>
    <w:rsid w:val="005E0292"/>
    <w:rsid w:val="005F38D0"/>
    <w:rsid w:val="005F46AE"/>
    <w:rsid w:val="005F7F5F"/>
    <w:rsid w:val="005F7F8E"/>
    <w:rsid w:val="0060087E"/>
    <w:rsid w:val="00614977"/>
    <w:rsid w:val="00615076"/>
    <w:rsid w:val="006157AF"/>
    <w:rsid w:val="00637709"/>
    <w:rsid w:val="0064468B"/>
    <w:rsid w:val="00647298"/>
    <w:rsid w:val="00650C3A"/>
    <w:rsid w:val="006534A9"/>
    <w:rsid w:val="00655F2C"/>
    <w:rsid w:val="00656A23"/>
    <w:rsid w:val="00664239"/>
    <w:rsid w:val="00672BC0"/>
    <w:rsid w:val="006750E4"/>
    <w:rsid w:val="0067548D"/>
    <w:rsid w:val="00683387"/>
    <w:rsid w:val="0068411E"/>
    <w:rsid w:val="00686C4A"/>
    <w:rsid w:val="00687CD9"/>
    <w:rsid w:val="006A3D4E"/>
    <w:rsid w:val="006A6764"/>
    <w:rsid w:val="006A744F"/>
    <w:rsid w:val="006B32BB"/>
    <w:rsid w:val="006C1650"/>
    <w:rsid w:val="006C3617"/>
    <w:rsid w:val="006C7074"/>
    <w:rsid w:val="006D2708"/>
    <w:rsid w:val="006D7FDB"/>
    <w:rsid w:val="006E1081"/>
    <w:rsid w:val="006E302B"/>
    <w:rsid w:val="00705B3C"/>
    <w:rsid w:val="00707EC0"/>
    <w:rsid w:val="00720585"/>
    <w:rsid w:val="00721A10"/>
    <w:rsid w:val="0072231D"/>
    <w:rsid w:val="0072482E"/>
    <w:rsid w:val="00726DD2"/>
    <w:rsid w:val="00742160"/>
    <w:rsid w:val="00743483"/>
    <w:rsid w:val="00743B2E"/>
    <w:rsid w:val="00773AF6"/>
    <w:rsid w:val="007758F5"/>
    <w:rsid w:val="00780165"/>
    <w:rsid w:val="00781CEF"/>
    <w:rsid w:val="0079076B"/>
    <w:rsid w:val="007916DE"/>
    <w:rsid w:val="0079285E"/>
    <w:rsid w:val="00795F71"/>
    <w:rsid w:val="007A4829"/>
    <w:rsid w:val="007B62DA"/>
    <w:rsid w:val="007C0C6A"/>
    <w:rsid w:val="007C6929"/>
    <w:rsid w:val="007D3444"/>
    <w:rsid w:val="007D3D0D"/>
    <w:rsid w:val="007D45B6"/>
    <w:rsid w:val="007E314F"/>
    <w:rsid w:val="007E4DF6"/>
    <w:rsid w:val="007E5F7A"/>
    <w:rsid w:val="007E73AB"/>
    <w:rsid w:val="007E75B9"/>
    <w:rsid w:val="007E771A"/>
    <w:rsid w:val="007F5F8C"/>
    <w:rsid w:val="0081128D"/>
    <w:rsid w:val="00811920"/>
    <w:rsid w:val="00816C11"/>
    <w:rsid w:val="00827C8F"/>
    <w:rsid w:val="008303D2"/>
    <w:rsid w:val="00833FB1"/>
    <w:rsid w:val="0083413B"/>
    <w:rsid w:val="008352A5"/>
    <w:rsid w:val="00835515"/>
    <w:rsid w:val="00835F7E"/>
    <w:rsid w:val="00850EAA"/>
    <w:rsid w:val="008524B2"/>
    <w:rsid w:val="00856A1B"/>
    <w:rsid w:val="00857ACD"/>
    <w:rsid w:val="00860520"/>
    <w:rsid w:val="0086293F"/>
    <w:rsid w:val="00865592"/>
    <w:rsid w:val="00875149"/>
    <w:rsid w:val="008764F3"/>
    <w:rsid w:val="00877048"/>
    <w:rsid w:val="00877CE4"/>
    <w:rsid w:val="0088249E"/>
    <w:rsid w:val="008826BF"/>
    <w:rsid w:val="008832E5"/>
    <w:rsid w:val="00883827"/>
    <w:rsid w:val="00890BA1"/>
    <w:rsid w:val="00890C28"/>
    <w:rsid w:val="00893181"/>
    <w:rsid w:val="00894C55"/>
    <w:rsid w:val="00896311"/>
    <w:rsid w:val="00897CB8"/>
    <w:rsid w:val="008A3249"/>
    <w:rsid w:val="008A3A66"/>
    <w:rsid w:val="008A7B2D"/>
    <w:rsid w:val="008B5CF8"/>
    <w:rsid w:val="008C0AC6"/>
    <w:rsid w:val="008C4DBF"/>
    <w:rsid w:val="008D1BF9"/>
    <w:rsid w:val="008D23F4"/>
    <w:rsid w:val="008D68D4"/>
    <w:rsid w:val="008E0FF3"/>
    <w:rsid w:val="008E5058"/>
    <w:rsid w:val="008F6236"/>
    <w:rsid w:val="008F6478"/>
    <w:rsid w:val="008F7B4E"/>
    <w:rsid w:val="009061D1"/>
    <w:rsid w:val="00907444"/>
    <w:rsid w:val="00907B89"/>
    <w:rsid w:val="009135F1"/>
    <w:rsid w:val="009142BA"/>
    <w:rsid w:val="00925E9A"/>
    <w:rsid w:val="00930DC6"/>
    <w:rsid w:val="0093264B"/>
    <w:rsid w:val="009422EF"/>
    <w:rsid w:val="009432AC"/>
    <w:rsid w:val="00944D4D"/>
    <w:rsid w:val="00944DA7"/>
    <w:rsid w:val="00944F07"/>
    <w:rsid w:val="00955077"/>
    <w:rsid w:val="009563A0"/>
    <w:rsid w:val="00964225"/>
    <w:rsid w:val="00964B76"/>
    <w:rsid w:val="00975E8D"/>
    <w:rsid w:val="0099244C"/>
    <w:rsid w:val="00994CC6"/>
    <w:rsid w:val="009A2654"/>
    <w:rsid w:val="009A2913"/>
    <w:rsid w:val="009A3FBE"/>
    <w:rsid w:val="009A6627"/>
    <w:rsid w:val="009A66C8"/>
    <w:rsid w:val="009A6E91"/>
    <w:rsid w:val="009B2BC3"/>
    <w:rsid w:val="009C59A7"/>
    <w:rsid w:val="009C6516"/>
    <w:rsid w:val="009D5EA9"/>
    <w:rsid w:val="009E40CD"/>
    <w:rsid w:val="009E7678"/>
    <w:rsid w:val="009F0D7D"/>
    <w:rsid w:val="009F3464"/>
    <w:rsid w:val="009F77FB"/>
    <w:rsid w:val="00A01294"/>
    <w:rsid w:val="00A032BD"/>
    <w:rsid w:val="00A06F05"/>
    <w:rsid w:val="00A07768"/>
    <w:rsid w:val="00A10FC3"/>
    <w:rsid w:val="00A11BBD"/>
    <w:rsid w:val="00A201EF"/>
    <w:rsid w:val="00A209DD"/>
    <w:rsid w:val="00A20FA4"/>
    <w:rsid w:val="00A20FDC"/>
    <w:rsid w:val="00A214AF"/>
    <w:rsid w:val="00A22F05"/>
    <w:rsid w:val="00A23F3B"/>
    <w:rsid w:val="00A3000A"/>
    <w:rsid w:val="00A33F06"/>
    <w:rsid w:val="00A35A40"/>
    <w:rsid w:val="00A405F6"/>
    <w:rsid w:val="00A419E0"/>
    <w:rsid w:val="00A46921"/>
    <w:rsid w:val="00A553CB"/>
    <w:rsid w:val="00A6073E"/>
    <w:rsid w:val="00A654DA"/>
    <w:rsid w:val="00A830A6"/>
    <w:rsid w:val="00A835D1"/>
    <w:rsid w:val="00AA1577"/>
    <w:rsid w:val="00AA5B4A"/>
    <w:rsid w:val="00AB0C9A"/>
    <w:rsid w:val="00AC12E3"/>
    <w:rsid w:val="00AC7703"/>
    <w:rsid w:val="00AD5D1A"/>
    <w:rsid w:val="00AE097A"/>
    <w:rsid w:val="00AE0B3F"/>
    <w:rsid w:val="00AE0D44"/>
    <w:rsid w:val="00AE5567"/>
    <w:rsid w:val="00AF1239"/>
    <w:rsid w:val="00AF51FB"/>
    <w:rsid w:val="00AF6565"/>
    <w:rsid w:val="00B00E49"/>
    <w:rsid w:val="00B02341"/>
    <w:rsid w:val="00B055CF"/>
    <w:rsid w:val="00B0663A"/>
    <w:rsid w:val="00B07F29"/>
    <w:rsid w:val="00B14C57"/>
    <w:rsid w:val="00B15F00"/>
    <w:rsid w:val="00B16480"/>
    <w:rsid w:val="00B17AE7"/>
    <w:rsid w:val="00B200D7"/>
    <w:rsid w:val="00B2165C"/>
    <w:rsid w:val="00B218F9"/>
    <w:rsid w:val="00B24CF3"/>
    <w:rsid w:val="00B34486"/>
    <w:rsid w:val="00B42DE5"/>
    <w:rsid w:val="00B51EE1"/>
    <w:rsid w:val="00B52A7C"/>
    <w:rsid w:val="00B52F1B"/>
    <w:rsid w:val="00B53630"/>
    <w:rsid w:val="00B536FF"/>
    <w:rsid w:val="00B54704"/>
    <w:rsid w:val="00B61FBD"/>
    <w:rsid w:val="00B674AB"/>
    <w:rsid w:val="00B81D24"/>
    <w:rsid w:val="00B87AB1"/>
    <w:rsid w:val="00B90762"/>
    <w:rsid w:val="00B93652"/>
    <w:rsid w:val="00B96013"/>
    <w:rsid w:val="00BA20AA"/>
    <w:rsid w:val="00BA2D7D"/>
    <w:rsid w:val="00BB0971"/>
    <w:rsid w:val="00BB38C0"/>
    <w:rsid w:val="00BC0063"/>
    <w:rsid w:val="00BD0B2D"/>
    <w:rsid w:val="00BD4425"/>
    <w:rsid w:val="00BF19DE"/>
    <w:rsid w:val="00BF1D8F"/>
    <w:rsid w:val="00BF3656"/>
    <w:rsid w:val="00BF4692"/>
    <w:rsid w:val="00BF786F"/>
    <w:rsid w:val="00C04D20"/>
    <w:rsid w:val="00C12687"/>
    <w:rsid w:val="00C14C7F"/>
    <w:rsid w:val="00C15B6E"/>
    <w:rsid w:val="00C21644"/>
    <w:rsid w:val="00C25B49"/>
    <w:rsid w:val="00C25DCA"/>
    <w:rsid w:val="00C25E2B"/>
    <w:rsid w:val="00C35777"/>
    <w:rsid w:val="00C40050"/>
    <w:rsid w:val="00C52258"/>
    <w:rsid w:val="00C53C8D"/>
    <w:rsid w:val="00C60D71"/>
    <w:rsid w:val="00C704AF"/>
    <w:rsid w:val="00C73B99"/>
    <w:rsid w:val="00C8721E"/>
    <w:rsid w:val="00C924DA"/>
    <w:rsid w:val="00C96AB2"/>
    <w:rsid w:val="00CB2766"/>
    <w:rsid w:val="00CC0D2D"/>
    <w:rsid w:val="00CC2B6E"/>
    <w:rsid w:val="00CD2E18"/>
    <w:rsid w:val="00CD4BD2"/>
    <w:rsid w:val="00CD58B3"/>
    <w:rsid w:val="00CE0066"/>
    <w:rsid w:val="00CE176A"/>
    <w:rsid w:val="00CE5657"/>
    <w:rsid w:val="00CE6AA6"/>
    <w:rsid w:val="00CF4E47"/>
    <w:rsid w:val="00CF6050"/>
    <w:rsid w:val="00CF7C4B"/>
    <w:rsid w:val="00D01834"/>
    <w:rsid w:val="00D07835"/>
    <w:rsid w:val="00D07BDA"/>
    <w:rsid w:val="00D11393"/>
    <w:rsid w:val="00D133F8"/>
    <w:rsid w:val="00D13D07"/>
    <w:rsid w:val="00D14173"/>
    <w:rsid w:val="00D14A3E"/>
    <w:rsid w:val="00D16A34"/>
    <w:rsid w:val="00D24235"/>
    <w:rsid w:val="00D24F91"/>
    <w:rsid w:val="00D26050"/>
    <w:rsid w:val="00D26529"/>
    <w:rsid w:val="00D343C3"/>
    <w:rsid w:val="00D41FE3"/>
    <w:rsid w:val="00D441EA"/>
    <w:rsid w:val="00D44B73"/>
    <w:rsid w:val="00D46459"/>
    <w:rsid w:val="00D518E3"/>
    <w:rsid w:val="00D55BC5"/>
    <w:rsid w:val="00D57652"/>
    <w:rsid w:val="00D63EC9"/>
    <w:rsid w:val="00D7167C"/>
    <w:rsid w:val="00D71BB6"/>
    <w:rsid w:val="00D72212"/>
    <w:rsid w:val="00D748B8"/>
    <w:rsid w:val="00D763EA"/>
    <w:rsid w:val="00D80F95"/>
    <w:rsid w:val="00D8533A"/>
    <w:rsid w:val="00D86963"/>
    <w:rsid w:val="00D86BC3"/>
    <w:rsid w:val="00D91ED5"/>
    <w:rsid w:val="00D92704"/>
    <w:rsid w:val="00D92A44"/>
    <w:rsid w:val="00D951C2"/>
    <w:rsid w:val="00D9659B"/>
    <w:rsid w:val="00D97C2A"/>
    <w:rsid w:val="00DA020D"/>
    <w:rsid w:val="00DA45E3"/>
    <w:rsid w:val="00DB5B0F"/>
    <w:rsid w:val="00DC38D3"/>
    <w:rsid w:val="00DD75D8"/>
    <w:rsid w:val="00DF0E8E"/>
    <w:rsid w:val="00DF13C7"/>
    <w:rsid w:val="00DF5BF6"/>
    <w:rsid w:val="00DF5CE1"/>
    <w:rsid w:val="00E00E16"/>
    <w:rsid w:val="00E00E94"/>
    <w:rsid w:val="00E15056"/>
    <w:rsid w:val="00E151BD"/>
    <w:rsid w:val="00E151DD"/>
    <w:rsid w:val="00E3716B"/>
    <w:rsid w:val="00E40D0A"/>
    <w:rsid w:val="00E47E99"/>
    <w:rsid w:val="00E5323B"/>
    <w:rsid w:val="00E56767"/>
    <w:rsid w:val="00E63F19"/>
    <w:rsid w:val="00E64221"/>
    <w:rsid w:val="00E80CD3"/>
    <w:rsid w:val="00E8749E"/>
    <w:rsid w:val="00E90C01"/>
    <w:rsid w:val="00E92A40"/>
    <w:rsid w:val="00EA1169"/>
    <w:rsid w:val="00EA486E"/>
    <w:rsid w:val="00EA6FEE"/>
    <w:rsid w:val="00EB16F5"/>
    <w:rsid w:val="00EB208F"/>
    <w:rsid w:val="00EB66A2"/>
    <w:rsid w:val="00EC0EAC"/>
    <w:rsid w:val="00EC4831"/>
    <w:rsid w:val="00EC665A"/>
    <w:rsid w:val="00ED0D84"/>
    <w:rsid w:val="00ED0F09"/>
    <w:rsid w:val="00ED3E0D"/>
    <w:rsid w:val="00ED733A"/>
    <w:rsid w:val="00ED77E5"/>
    <w:rsid w:val="00EE0A05"/>
    <w:rsid w:val="00EE32A5"/>
    <w:rsid w:val="00EF2B79"/>
    <w:rsid w:val="00EF2DC6"/>
    <w:rsid w:val="00EF3434"/>
    <w:rsid w:val="00EF6ED5"/>
    <w:rsid w:val="00EF71DC"/>
    <w:rsid w:val="00F1346A"/>
    <w:rsid w:val="00F16641"/>
    <w:rsid w:val="00F26E2E"/>
    <w:rsid w:val="00F33910"/>
    <w:rsid w:val="00F33FE1"/>
    <w:rsid w:val="00F363CF"/>
    <w:rsid w:val="00F43F69"/>
    <w:rsid w:val="00F45B57"/>
    <w:rsid w:val="00F476A5"/>
    <w:rsid w:val="00F50E12"/>
    <w:rsid w:val="00F57B0C"/>
    <w:rsid w:val="00F57EC9"/>
    <w:rsid w:val="00F6639F"/>
    <w:rsid w:val="00F70D79"/>
    <w:rsid w:val="00F7114B"/>
    <w:rsid w:val="00F74DA8"/>
    <w:rsid w:val="00F83DAC"/>
    <w:rsid w:val="00F84C16"/>
    <w:rsid w:val="00F87155"/>
    <w:rsid w:val="00F920B6"/>
    <w:rsid w:val="00F9404B"/>
    <w:rsid w:val="00FA055F"/>
    <w:rsid w:val="00FA3025"/>
    <w:rsid w:val="00FA3F9B"/>
    <w:rsid w:val="00FA5FC0"/>
    <w:rsid w:val="00FB32B1"/>
    <w:rsid w:val="00FC37B3"/>
    <w:rsid w:val="00FC415C"/>
    <w:rsid w:val="00FC56B7"/>
    <w:rsid w:val="00FC7B5D"/>
    <w:rsid w:val="00FD3156"/>
    <w:rsid w:val="00FD41CB"/>
    <w:rsid w:val="00FD7362"/>
    <w:rsid w:val="00FE1C93"/>
    <w:rsid w:val="00FE2D52"/>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1C077"/>
  <w15:docId w15:val="{EABD4AC5-2D8D-40EF-8A13-BD4337C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 w:type="paragraph" w:styleId="ListParagraph">
    <w:name w:val="List Paragraph"/>
    <w:basedOn w:val="Normal"/>
    <w:uiPriority w:val="34"/>
    <w:qFormat/>
    <w:rsid w:val="00565E56"/>
    <w:pPr>
      <w:ind w:left="720"/>
      <w:contextualSpacing/>
    </w:pPr>
  </w:style>
  <w:style w:type="paragraph" w:customStyle="1" w:styleId="naisf">
    <w:name w:val="naisf"/>
    <w:basedOn w:val="Normal"/>
    <w:rsid w:val="002517E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D07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6434052">
      <w:bodyDiv w:val="1"/>
      <w:marLeft w:val="0"/>
      <w:marRight w:val="0"/>
      <w:marTop w:val="0"/>
      <w:marBottom w:val="0"/>
      <w:divBdr>
        <w:top w:val="none" w:sz="0" w:space="0" w:color="auto"/>
        <w:left w:val="none" w:sz="0" w:space="0" w:color="auto"/>
        <w:bottom w:val="none" w:sz="0" w:space="0" w:color="auto"/>
        <w:right w:val="none" w:sz="0" w:space="0" w:color="auto"/>
      </w:divBdr>
      <w:divsChild>
        <w:div w:id="699939655">
          <w:marLeft w:val="0"/>
          <w:marRight w:val="0"/>
          <w:marTop w:val="0"/>
          <w:marBottom w:val="0"/>
          <w:divBdr>
            <w:top w:val="none" w:sz="0" w:space="0" w:color="auto"/>
            <w:left w:val="none" w:sz="0" w:space="0" w:color="auto"/>
            <w:bottom w:val="none" w:sz="0" w:space="0" w:color="auto"/>
            <w:right w:val="none" w:sz="0" w:space="0" w:color="auto"/>
          </w:divBdr>
          <w:divsChild>
            <w:div w:id="78065782">
              <w:marLeft w:val="0"/>
              <w:marRight w:val="0"/>
              <w:marTop w:val="0"/>
              <w:marBottom w:val="0"/>
              <w:divBdr>
                <w:top w:val="none" w:sz="0" w:space="0" w:color="auto"/>
                <w:left w:val="none" w:sz="0" w:space="0" w:color="auto"/>
                <w:bottom w:val="none" w:sz="0" w:space="0" w:color="auto"/>
                <w:right w:val="none" w:sz="0" w:space="0" w:color="auto"/>
              </w:divBdr>
              <w:divsChild>
                <w:div w:id="1958877092">
                  <w:marLeft w:val="0"/>
                  <w:marRight w:val="0"/>
                  <w:marTop w:val="0"/>
                  <w:marBottom w:val="0"/>
                  <w:divBdr>
                    <w:top w:val="none" w:sz="0" w:space="0" w:color="auto"/>
                    <w:left w:val="none" w:sz="0" w:space="0" w:color="auto"/>
                    <w:bottom w:val="none" w:sz="0" w:space="0" w:color="auto"/>
                    <w:right w:val="none" w:sz="0" w:space="0" w:color="auto"/>
                  </w:divBdr>
                  <w:divsChild>
                    <w:div w:id="1410153816">
                      <w:marLeft w:val="0"/>
                      <w:marRight w:val="0"/>
                      <w:marTop w:val="0"/>
                      <w:marBottom w:val="0"/>
                      <w:divBdr>
                        <w:top w:val="none" w:sz="0" w:space="0" w:color="auto"/>
                        <w:left w:val="none" w:sz="0" w:space="0" w:color="auto"/>
                        <w:bottom w:val="none" w:sz="0" w:space="0" w:color="auto"/>
                        <w:right w:val="none" w:sz="0" w:space="0" w:color="auto"/>
                      </w:divBdr>
                      <w:divsChild>
                        <w:div w:id="385570693">
                          <w:marLeft w:val="0"/>
                          <w:marRight w:val="0"/>
                          <w:marTop w:val="0"/>
                          <w:marBottom w:val="0"/>
                          <w:divBdr>
                            <w:top w:val="none" w:sz="0" w:space="0" w:color="auto"/>
                            <w:left w:val="none" w:sz="0" w:space="0" w:color="auto"/>
                            <w:bottom w:val="none" w:sz="0" w:space="0" w:color="auto"/>
                            <w:right w:val="none" w:sz="0" w:space="0" w:color="auto"/>
                          </w:divBdr>
                          <w:divsChild>
                            <w:div w:id="15432491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77615">
      <w:bodyDiv w:val="1"/>
      <w:marLeft w:val="0"/>
      <w:marRight w:val="0"/>
      <w:marTop w:val="0"/>
      <w:marBottom w:val="0"/>
      <w:divBdr>
        <w:top w:val="none" w:sz="0" w:space="0" w:color="auto"/>
        <w:left w:val="none" w:sz="0" w:space="0" w:color="auto"/>
        <w:bottom w:val="none" w:sz="0" w:space="0" w:color="auto"/>
        <w:right w:val="none" w:sz="0" w:space="0" w:color="auto"/>
      </w:divBdr>
    </w:div>
    <w:div w:id="706178352">
      <w:bodyDiv w:val="1"/>
      <w:marLeft w:val="0"/>
      <w:marRight w:val="0"/>
      <w:marTop w:val="0"/>
      <w:marBottom w:val="0"/>
      <w:divBdr>
        <w:top w:val="none" w:sz="0" w:space="0" w:color="auto"/>
        <w:left w:val="none" w:sz="0" w:space="0" w:color="auto"/>
        <w:bottom w:val="none" w:sz="0" w:space="0" w:color="auto"/>
        <w:right w:val="none" w:sz="0" w:space="0" w:color="auto"/>
      </w:divBdr>
    </w:div>
    <w:div w:id="829756922">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185824060">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181495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6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Baiba Šmite-Roķe</Vad_x012b_t_x0101_js>
    <TAP xmlns="49b0bb89-35b3-4114-9b1c-a376ef2ba045" xsi:nil="true"/>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674E-1387-4039-9922-8D9856D01A51}">
  <ds:schemaRefs>
    <ds:schemaRef ds:uri="49b0bb89-35b3-4114-9b1c-a376ef2ba045"/>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2e5bb04e-596e-45bd-9003-43ca78b1ba16"/>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DC286B-D4F2-4DDD-9C46-1146BF237CC3}">
  <ds:schemaRefs>
    <ds:schemaRef ds:uri="http://schemas.microsoft.com/sharepoint/v3/contenttype/forms"/>
  </ds:schemaRefs>
</ds:datastoreItem>
</file>

<file path=customXml/itemProps3.xml><?xml version="1.0" encoding="utf-8"?>
<ds:datastoreItem xmlns:ds="http://schemas.openxmlformats.org/officeDocument/2006/customXml" ds:itemID="{6168FD7D-98AE-4AF1-A115-4369EBD3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458A8-3CCD-4C97-B4E3-387731C4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7196</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Nr.300 “Noteikumi par akcīzes nodokļa deklarācijas veidlapām un to aizpildīšanas kārtību”” sākotnējās ietekmes novērtējuma ziņojums (anotācija)</vt:lpstr>
    </vt:vector>
  </TitlesOfParts>
  <Company>Finanšu ministrija (VID)</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Nr.300 “Noteikumi par akcīzes nodokļa deklarācijas veidlapām un to aizpildīšanas kārtību”” sākotnējās ietekmes novērtējuma ziņojums (anotācija)</dc:title>
  <dc:subject>Anotācija</dc:subject>
  <dc:creator>Inga  Rudzīte</dc:creator>
  <dc:description>67120137,  Inga.rudzite@vid.gov.lv</dc:description>
  <cp:lastModifiedBy>Inga Rudzīte</cp:lastModifiedBy>
  <cp:revision>4</cp:revision>
  <cp:lastPrinted>2019-04-12T08:12:00Z</cp:lastPrinted>
  <dcterms:created xsi:type="dcterms:W3CDTF">2019-04-12T07:05:00Z</dcterms:created>
  <dcterms:modified xsi:type="dcterms:W3CDTF">2019-04-12T08:19:00Z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