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462616115"/>
        <w:docPartObj>
          <w:docPartGallery w:val="Cover Pages"/>
          <w:docPartUnique/>
        </w:docPartObj>
      </w:sdtPr>
      <w:sdtEndPr>
        <w:rPr>
          <w:rFonts w:ascii="Times New Roman" w:hAnsi="Times New Roman" w:cs="Times New Roman"/>
          <w:b/>
          <w:bCs/>
          <w:smallCaps/>
        </w:rPr>
      </w:sdtEndPr>
      <w:sdtContent>
        <w:p w:rsidR="00620243" w:rsidRDefault="00620243" w:rsidP="00620243">
          <w:pPr>
            <w:ind w:left="1701" w:right="1134"/>
          </w:pPr>
        </w:p>
        <w:p w:rsidR="00620243" w:rsidRDefault="00620243" w:rsidP="00620243">
          <w:pPr>
            <w:rPr>
              <w:rFonts w:ascii="Times New Roman" w:hAnsi="Times New Roman" w:cs="Times New Roman"/>
            </w:rPr>
          </w:pPr>
          <w:r w:rsidRPr="00AC1747">
            <w:rPr>
              <w:rFonts w:ascii="Times New Roman" w:hAnsi="Times New Roman" w:cs="Times New Roman"/>
              <w:b/>
              <w:bCs/>
              <w:smallCaps/>
              <w:noProof/>
              <w:lang w:eastAsia="lv-LV"/>
            </w:rPr>
            <w:drawing>
              <wp:anchor distT="0" distB="0" distL="114300" distR="114300" simplePos="0" relativeHeight="251662336" behindDoc="0" locked="0" layoutInCell="1" allowOverlap="1" wp14:anchorId="24BF6402" wp14:editId="5D6C58EC">
                <wp:simplePos x="0" y="0"/>
                <wp:positionH relativeFrom="column">
                  <wp:posOffset>4351020</wp:posOffset>
                </wp:positionH>
                <wp:positionV relativeFrom="paragraph">
                  <wp:posOffset>7890510</wp:posOffset>
                </wp:positionV>
                <wp:extent cx="1751330" cy="548640"/>
                <wp:effectExtent l="0" t="0" r="1270" b="3810"/>
                <wp:wrapNone/>
                <wp:docPr id="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1330" cy="548640"/>
                        </a:xfrm>
                        <a:prstGeom prst="rect">
                          <a:avLst/>
                        </a:prstGeom>
                        <a:noFill/>
                        <a:ln>
                          <a:noFill/>
                        </a:ln>
                      </pic:spPr>
                    </pic:pic>
                  </a:graphicData>
                </a:graphic>
              </wp:anchor>
            </w:drawing>
          </w:r>
          <w:r>
            <w:rPr>
              <w:noProof/>
              <w:lang w:eastAsia="lv-LV"/>
            </w:rPr>
            <mc:AlternateContent>
              <mc:Choice Requires="wps">
                <w:drawing>
                  <wp:anchor distT="0" distB="0" distL="114300" distR="114300" simplePos="0" relativeHeight="251661312" behindDoc="0" locked="0" layoutInCell="1" allowOverlap="1" wp14:anchorId="209C386B" wp14:editId="242D1CD1">
                    <wp:simplePos x="0" y="0"/>
                    <wp:positionH relativeFrom="page">
                      <wp:posOffset>456565</wp:posOffset>
                    </wp:positionH>
                    <wp:positionV relativeFrom="page">
                      <wp:posOffset>9075420</wp:posOffset>
                    </wp:positionV>
                    <wp:extent cx="6646545" cy="497840"/>
                    <wp:effectExtent l="0" t="0" r="0" b="0"/>
                    <wp:wrapSquare wrapText="bothSides"/>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6545" cy="497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Subtitle"/>
                                  <w:tag w:val=""/>
                                  <w:id w:val="-220053192"/>
                                  <w:showingPlcHdr/>
                                  <w:dataBinding w:prefixMappings="xmlns:ns0='http://purl.org/dc/elements/1.1/' xmlns:ns1='http://schemas.openxmlformats.org/package/2006/metadata/core-properties' " w:xpath="/ns1:coreProperties[1]/ns0:subject[1]" w:storeItemID="{6C3C8BC8-F283-45AE-878A-BAB7291924A1}"/>
                                  <w:text/>
                                </w:sdtPr>
                                <w:sdtEndPr/>
                                <w:sdtContent>
                                  <w:p w:rsidR="00730998" w:rsidRDefault="00730998" w:rsidP="00620243">
                                    <w:pPr>
                                      <w:pStyle w:val="NoSpacing"/>
                                      <w:spacing w:before="40" w:after="40"/>
                                      <w:rPr>
                                        <w:caps/>
                                        <w:color w:val="5B9BD5" w:themeColor="accent1"/>
                                        <w:sz w:val="28"/>
                                        <w:szCs w:val="28"/>
                                      </w:rPr>
                                    </w:pPr>
                                    <w:r>
                                      <w:rPr>
                                        <w:caps/>
                                        <w:color w:val="5B9BD5" w:themeColor="accent1"/>
                                        <w:sz w:val="28"/>
                                        <w:szCs w:val="28"/>
                                      </w:rPr>
                                      <w:t xml:space="preserve">     </w:t>
                                    </w:r>
                                  </w:p>
                                </w:sdtContent>
                              </w:sdt>
                              <w:p w:rsidR="00730998" w:rsidRPr="0043197A" w:rsidRDefault="00730998" w:rsidP="00620243">
                                <w:pPr>
                                  <w:pStyle w:val="NoSpacing"/>
                                  <w:spacing w:before="40" w:after="40"/>
                                  <w:rPr>
                                    <w:rFonts w:ascii="Times New Roman" w:hAnsi="Times New Roman" w:cs="Times New Roman"/>
                                    <w:b/>
                                    <w:caps/>
                                    <w:sz w:val="28"/>
                                    <w:szCs w:val="24"/>
                                  </w:rPr>
                                </w:pPr>
                                <w:r>
                                  <w:rPr>
                                    <w:rFonts w:ascii="Times New Roman" w:hAnsi="Times New Roman" w:cs="Times New Roman"/>
                                    <w:b/>
                                    <w:caps/>
                                    <w:sz w:val="28"/>
                                    <w:szCs w:val="24"/>
                                  </w:rPr>
                                  <w:t>Rīga, 2019</w:t>
                                </w: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209C386B" id="_x0000_t202" coordsize="21600,21600" o:spt="202" path="m,l,21600r21600,l21600,xe">
                    <v:stroke joinstyle="miter"/>
                    <v:path gradientshapeok="t" o:connecttype="rect"/>
                  </v:shapetype>
                  <v:shape id="Text Box 129" o:spid="_x0000_s1026" type="#_x0000_t202" style="position:absolute;margin-left:35.95pt;margin-top:714.6pt;width:523.35pt;height:39.2pt;z-index:251661312;visibility:visible;mso-wrap-style:square;mso-width-percent:1154;mso-height-percent:0;mso-wrap-distance-left:9pt;mso-wrap-distance-top:0;mso-wrap-distance-right:9pt;mso-wrap-distance-bottom:0;mso-position-horizontal:absolute;mso-position-horizontal-relative:page;mso-position-vertical:absolute;mso-position-vertical-relative:page;mso-width-percent:1154;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" filled="f" stroked="f" strokeweight=".5pt">
                    <v:path arrowok="t"/>
                    <v:textbox style="mso-fit-shape-to-text:t" inset="1in,0,86.4pt,0">
                      <w:txbxContent>
                        <w:sdt>
                          <w:sdtPr>
                            <w:rPr>
                              <w:caps/>
                              <w:color w:val="5B9BD5" w:themeColor="accent1"/>
                              <w:sz w:val="28"/>
                              <w:szCs w:val="28"/>
                            </w:rPr>
                            <w:alias w:val="Subtitle"/>
                            <w:tag w:val=""/>
                            <w:id w:val="-220053192"/>
                            <w:showingPlcHdr/>
                            <w:dataBinding w:prefixMappings="xmlns:ns0='http://purl.org/dc/elements/1.1/' xmlns:ns1='http://schemas.openxmlformats.org/package/2006/metadata/core-properties' " w:xpath="/ns1:coreProperties[1]/ns0:subject[1]" w:storeItemID="{6C3C8BC8-F283-45AE-878A-BAB7291924A1}"/>
                            <w:text/>
                          </w:sdtPr>
                          <w:sdtEndPr/>
                          <w:sdtContent>
                            <w:p w:rsidR="00730998" w:rsidRDefault="00730998" w:rsidP="00620243">
                              <w:pPr>
                                <w:pStyle w:val="NoSpacing"/>
                                <w:spacing w:before="40" w:after="40"/>
                                <w:rPr>
                                  <w:caps/>
                                  <w:color w:val="5B9BD5" w:themeColor="accent1"/>
                                  <w:sz w:val="28"/>
                                  <w:szCs w:val="28"/>
                                </w:rPr>
                              </w:pPr>
                              <w:r>
                                <w:rPr>
                                  <w:caps/>
                                  <w:color w:val="5B9BD5" w:themeColor="accent1"/>
                                  <w:sz w:val="28"/>
                                  <w:szCs w:val="28"/>
                                </w:rPr>
                                <w:t xml:space="preserve">     </w:t>
                              </w:r>
                            </w:p>
                          </w:sdtContent>
                        </w:sdt>
                        <w:p w:rsidR="00730998" w:rsidRPr="0043197A" w:rsidRDefault="00730998" w:rsidP="00620243">
                          <w:pPr>
                            <w:pStyle w:val="NoSpacing"/>
                            <w:spacing w:before="40" w:after="40"/>
                            <w:rPr>
                              <w:rFonts w:ascii="Times New Roman" w:hAnsi="Times New Roman" w:cs="Times New Roman"/>
                              <w:b/>
                              <w:caps/>
                              <w:sz w:val="28"/>
                              <w:szCs w:val="24"/>
                            </w:rPr>
                          </w:pPr>
                          <w:r>
                            <w:rPr>
                              <w:rFonts w:ascii="Times New Roman" w:hAnsi="Times New Roman" w:cs="Times New Roman"/>
                              <w:b/>
                              <w:caps/>
                              <w:sz w:val="28"/>
                              <w:szCs w:val="24"/>
                            </w:rPr>
                            <w:t>Rīga, 2019</w:t>
                          </w:r>
                        </w:p>
                      </w:txbxContent>
                    </v:textbox>
                    <w10:wrap type="square" anchorx="page" anchory="page"/>
                  </v:shape>
                </w:pict>
              </mc:Fallback>
            </mc:AlternateContent>
          </w:r>
          <w:r w:rsidR="001549FD">
            <w:rPr>
              <w:noProof/>
              <w:lang w:eastAsia="lv-LV"/>
            </w:rPr>
            <mc:AlternateContent>
              <mc:Choice Requires="wpg">
                <w:drawing>
                  <wp:anchor distT="0" distB="0" distL="114300" distR="114300" simplePos="0" relativeHeight="251659264" behindDoc="1" locked="0" layoutInCell="1" allowOverlap="1" wp14:anchorId="71B73D63" wp14:editId="1DBAF96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647180" cy="715454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647180" cy="7154545"/>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730998" w:rsidRPr="00F56FE6" w:rsidRDefault="00F56FE6" w:rsidP="00620243">
                                  <w:pPr>
                                    <w:rPr>
                                      <w:rFonts w:ascii="Times New Roman" w:hAnsi="Times New Roman" w:cs="Times New Roman"/>
                                      <w:color w:val="FFFFFF" w:themeColor="background1"/>
                                      <w:sz w:val="56"/>
                                      <w:szCs w:val="56"/>
                                    </w:rPr>
                                  </w:pPr>
                                  <w:sdt>
                                    <w:sdtPr>
                                      <w:rPr>
                                        <w:rFonts w:ascii="Times New Roman" w:hAnsi="Times New Roman" w:cs="Times New Roman"/>
                                        <w:color w:val="FFFFFF" w:themeColor="background1"/>
                                        <w:sz w:val="56"/>
                                        <w:szCs w:val="56"/>
                                      </w:rPr>
                                      <w:alias w:val="Title"/>
                                      <w:tag w:val=""/>
                                      <w:id w:val="650335279"/>
                                      <w:dataBinding w:prefixMappings="xmlns:ns0='http://purl.org/dc/elements/1.1/' xmlns:ns1='http://schemas.openxmlformats.org/package/2006/metadata/core-properties' " w:xpath="/ns1:coreProperties[1]/ns0:title[1]" w:storeItemID="{6C3C8BC8-F283-45AE-878A-BAB7291924A1}"/>
                                      <w:text/>
                                    </w:sdtPr>
                                    <w:sdtEndPr/>
                                    <w:sdtContent>
                                      <w:r w:rsidR="00730998" w:rsidRPr="00F56FE6">
                                        <w:rPr>
                                          <w:rFonts w:ascii="Times New Roman" w:hAnsi="Times New Roman" w:cs="Times New Roman"/>
                                          <w:color w:val="FFFFFF" w:themeColor="background1"/>
                                          <w:sz w:val="56"/>
                                          <w:szCs w:val="56"/>
                                        </w:rPr>
                                        <w:t>Grozījumi Latvijas Stabilitātes programmā 2019. -</w:t>
                                      </w:r>
                                      <w:r w:rsidR="00DC580E" w:rsidRPr="00F56FE6">
                                        <w:rPr>
                                          <w:rFonts w:ascii="Times New Roman" w:hAnsi="Times New Roman" w:cs="Times New Roman"/>
                                          <w:color w:val="FFFFFF" w:themeColor="background1"/>
                                          <w:sz w:val="56"/>
                                          <w:szCs w:val="56"/>
                                        </w:rPr>
                                        <w:t xml:space="preserve"> </w:t>
                                      </w:r>
                                      <w:r w:rsidR="00730998" w:rsidRPr="00F56FE6">
                                        <w:rPr>
                                          <w:rFonts w:ascii="Times New Roman" w:hAnsi="Times New Roman" w:cs="Times New Roman"/>
                                          <w:color w:val="FFFFFF" w:themeColor="background1"/>
                                          <w:sz w:val="56"/>
                                          <w:szCs w:val="56"/>
                                        </w:rPr>
                                        <w:t>2022.gadam.</w:t>
                                      </w:r>
                                    </w:sdtContent>
                                  </w:sdt>
                                </w:p>
                                <w:p w:rsidR="00730998" w:rsidRDefault="00730998"/>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0</wp14:pctHeight>
                    </wp14:sizeRelV>
                  </wp:anchor>
                </w:drawing>
              </mc:Choice>
              <mc:Fallback>
                <w:pict>
                  <v:group w14:anchorId="71B73D63" id="Group 125" o:spid="_x0000_s1027" style="position:absolute;margin-left:0;margin-top:0;width:523.4pt;height:563.35pt;z-index:-251657216;mso-width-percent:1154;mso-top-percent:45;mso-position-horizontal:center;mso-position-horizontal-relative:margin;mso-position-vertical-relative:page;mso-width-percent:1154;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">
                    <o:lock v:ext="edit" aspectratio="t"/>
                    <v:shape id="Freeform 10" o:spid="_x0000_s1028"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rsidR="00730998" w:rsidRPr="00F56FE6" w:rsidRDefault="00F56FE6" w:rsidP="00620243">
                            <w:pPr>
                              <w:rPr>
                                <w:rFonts w:ascii="Times New Roman" w:hAnsi="Times New Roman" w:cs="Times New Roman"/>
                                <w:color w:val="FFFFFF" w:themeColor="background1"/>
                                <w:sz w:val="56"/>
                                <w:szCs w:val="56"/>
                              </w:rPr>
                            </w:pPr>
                            <w:sdt>
                              <w:sdtPr>
                                <w:rPr>
                                  <w:rFonts w:ascii="Times New Roman" w:hAnsi="Times New Roman" w:cs="Times New Roman"/>
                                  <w:color w:val="FFFFFF" w:themeColor="background1"/>
                                  <w:sz w:val="56"/>
                                  <w:szCs w:val="56"/>
                                </w:rPr>
                                <w:alias w:val="Title"/>
                                <w:tag w:val=""/>
                                <w:id w:val="650335279"/>
                                <w:dataBinding w:prefixMappings="xmlns:ns0='http://purl.org/dc/elements/1.1/' xmlns:ns1='http://schemas.openxmlformats.org/package/2006/metadata/core-properties' " w:xpath="/ns1:coreProperties[1]/ns0:title[1]" w:storeItemID="{6C3C8BC8-F283-45AE-878A-BAB7291924A1}"/>
                                <w:text/>
                              </w:sdtPr>
                              <w:sdtEndPr/>
                              <w:sdtContent>
                                <w:r w:rsidR="00730998" w:rsidRPr="00F56FE6">
                                  <w:rPr>
                                    <w:rFonts w:ascii="Times New Roman" w:hAnsi="Times New Roman" w:cs="Times New Roman"/>
                                    <w:color w:val="FFFFFF" w:themeColor="background1"/>
                                    <w:sz w:val="56"/>
                                    <w:szCs w:val="56"/>
                                  </w:rPr>
                                  <w:t>Grozījumi Latvijas Stabilitātes programmā 2019. -</w:t>
                                </w:r>
                                <w:r w:rsidR="00DC580E" w:rsidRPr="00F56FE6">
                                  <w:rPr>
                                    <w:rFonts w:ascii="Times New Roman" w:hAnsi="Times New Roman" w:cs="Times New Roman"/>
                                    <w:color w:val="FFFFFF" w:themeColor="background1"/>
                                    <w:sz w:val="56"/>
                                    <w:szCs w:val="56"/>
                                  </w:rPr>
                                  <w:t xml:space="preserve"> </w:t>
                                </w:r>
                                <w:r w:rsidR="00730998" w:rsidRPr="00F56FE6">
                                  <w:rPr>
                                    <w:rFonts w:ascii="Times New Roman" w:hAnsi="Times New Roman" w:cs="Times New Roman"/>
                                    <w:color w:val="FFFFFF" w:themeColor="background1"/>
                                    <w:sz w:val="56"/>
                                    <w:szCs w:val="56"/>
                                  </w:rPr>
                                  <w:t>2022.gadam.</w:t>
                                </w:r>
                              </w:sdtContent>
                            </w:sdt>
                          </w:p>
                          <w:p w:rsidR="00730998" w:rsidRDefault="00730998"/>
                        </w:txbxContent>
                      </v:textbox>
                    </v:shape>
                    <v:shape id="Freeform 11" o:spid="_x0000_s1029"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lang w:eastAsia="lv-LV"/>
            </w:rPr>
            <mc:AlternateContent>
              <mc:Choice Requires="wps">
                <w:drawing>
                  <wp:anchor distT="0" distB="0" distL="114300" distR="114300" simplePos="0" relativeHeight="251660288" behindDoc="0" locked="0" layoutInCell="1" allowOverlap="1" wp14:anchorId="28FE9067" wp14:editId="48F68ACC">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68960" cy="1044575"/>
                    <wp:effectExtent l="0" t="0" r="0" b="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68960" cy="10445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hAnsi="Times New Roman" w:cs="Times New Roman"/>
                                    <w:color w:val="FFFFFF" w:themeColor="background1"/>
                                    <w:sz w:val="24"/>
                                    <w:szCs w:val="24"/>
                                  </w:rPr>
                                  <w:alias w:val="Year"/>
                                  <w:tag w:val=""/>
                                  <w:id w:val="-571654576"/>
                                  <w:showingPlcHdr/>
                                  <w:dataBinding w:prefixMappings="xmlns:ns0='http://schemas.microsoft.com/office/2006/coverPageProps' " w:xpath="/ns0:CoverPageProperties[1]/ns0:PublishDate[1]" w:storeItemID="{55AF091B-3C7A-41E3-B477-F2FDAA23CFDA}"/>
                                  <w:date w:fullDate="2019-01-01T00:00:00Z">
                                    <w:dateFormat w:val="yyyy"/>
                                    <w:lid w:val="en-US"/>
                                    <w:storeMappedDataAs w:val="dateTime"/>
                                    <w:calendar w:val="gregorian"/>
                                  </w:date>
                                </w:sdtPr>
                                <w:sdtEndPr/>
                                <w:sdtContent>
                                  <w:p w:rsidR="00730998" w:rsidRDefault="00730998" w:rsidP="00620243">
                                    <w:pPr>
                                      <w:pStyle w:val="NoSpacing"/>
                                      <w:jc w:val="right"/>
                                      <w:rPr>
                                        <w:color w:val="FFFFFF" w:themeColor="background1"/>
                                        <w:sz w:val="24"/>
                                        <w:szCs w:val="24"/>
                                      </w:rPr>
                                    </w:pPr>
                                    <w:r>
                                      <w:rPr>
                                        <w:rFonts w:ascii="Times New Roman" w:hAnsi="Times New Roman" w:cs="Times New Roman"/>
                                        <w:color w:val="FFFFFF" w:themeColor="background1"/>
                                        <w:sz w:val="24"/>
                                        <w:szCs w:val="24"/>
                                      </w:rPr>
                                      <w:t xml:space="preserve">     </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28FE9067" id="Rectangle 130" o:spid="_x0000_s1030" style="position:absolute;margin-left:-6.4pt;margin-top:0;width:44.8pt;height:82.2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" fillcolor="#5b9bd5 [3204]" stroked="f" strokeweight="1pt">
                    <v:path arrowok="t"/>
                    <o:lock v:ext="edit" aspectratio="t"/>
                    <v:textbox inset="3.6pt,,3.6pt">
                      <w:txbxContent>
                        <w:sdt>
                          <w:sdtPr>
                            <w:rPr>
                              <w:rFonts w:ascii="Times New Roman" w:hAnsi="Times New Roman" w:cs="Times New Roman"/>
                              <w:color w:val="FFFFFF" w:themeColor="background1"/>
                              <w:sz w:val="24"/>
                              <w:szCs w:val="24"/>
                            </w:rPr>
                            <w:alias w:val="Year"/>
                            <w:tag w:val=""/>
                            <w:id w:val="-571654576"/>
                            <w:showingPlcHdr/>
                            <w:dataBinding w:prefixMappings="xmlns:ns0='http://schemas.microsoft.com/office/2006/coverPageProps' " w:xpath="/ns0:CoverPageProperties[1]/ns0:PublishDate[1]" w:storeItemID="{55AF091B-3C7A-41E3-B477-F2FDAA23CFDA}"/>
                            <w:date w:fullDate="2019-01-01T00:00:00Z">
                              <w:dateFormat w:val="yyyy"/>
                              <w:lid w:val="en-US"/>
                              <w:storeMappedDataAs w:val="dateTime"/>
                              <w:calendar w:val="gregorian"/>
                            </w:date>
                          </w:sdtPr>
                          <w:sdtEndPr/>
                          <w:sdtContent>
                            <w:p w:rsidR="00730998" w:rsidRDefault="00730998" w:rsidP="00620243">
                              <w:pPr>
                                <w:pStyle w:val="NoSpacing"/>
                                <w:jc w:val="right"/>
                                <w:rPr>
                                  <w:color w:val="FFFFFF" w:themeColor="background1"/>
                                  <w:sz w:val="24"/>
                                  <w:szCs w:val="24"/>
                                </w:rPr>
                              </w:pPr>
                              <w:r>
                                <w:rPr>
                                  <w:rFonts w:ascii="Times New Roman" w:hAnsi="Times New Roman" w:cs="Times New Roman"/>
                                  <w:color w:val="FFFFFF" w:themeColor="background1"/>
                                  <w:sz w:val="24"/>
                                  <w:szCs w:val="24"/>
                                </w:rPr>
                                <w:t xml:space="preserve">     </w:t>
                              </w:r>
                            </w:p>
                          </w:sdtContent>
                        </w:sdt>
                      </w:txbxContent>
                    </v:textbox>
                    <w10:wrap anchorx="margin" anchory="page"/>
                  </v:rect>
                </w:pict>
              </mc:Fallback>
            </mc:AlternateContent>
          </w:r>
          <w:r>
            <w:rPr>
              <w:rFonts w:ascii="Times New Roman" w:hAnsi="Times New Roman" w:cs="Times New Roman"/>
              <w:b/>
              <w:bCs/>
              <w:smallCaps/>
            </w:rPr>
            <w:br w:type="page"/>
          </w:r>
        </w:p>
      </w:sdtContent>
    </w:sdt>
    <w:p w:rsidR="00620243" w:rsidRPr="001549FD" w:rsidRDefault="00774588" w:rsidP="00774588">
      <w:pPr>
        <w:spacing w:after="0" w:line="240" w:lineRule="auto"/>
        <w:jc w:val="center"/>
        <w:rPr>
          <w:rFonts w:ascii="Times New Roman" w:hAnsi="Times New Roman" w:cs="Times New Roman"/>
          <w:b/>
          <w:noProof/>
          <w:sz w:val="28"/>
          <w:szCs w:val="28"/>
        </w:rPr>
      </w:pPr>
      <w:r w:rsidRPr="001549FD">
        <w:rPr>
          <w:rFonts w:ascii="Times New Roman" w:hAnsi="Times New Roman" w:cs="Times New Roman"/>
          <w:b/>
          <w:noProof/>
          <w:sz w:val="28"/>
          <w:szCs w:val="28"/>
        </w:rPr>
        <w:lastRenderedPageBreak/>
        <w:t>Saturs</w:t>
      </w:r>
    </w:p>
    <w:p w:rsidR="001549FD" w:rsidRDefault="001549FD" w:rsidP="00774588">
      <w:pPr>
        <w:spacing w:after="0" w:line="240" w:lineRule="auto"/>
        <w:jc w:val="center"/>
        <w:rPr>
          <w:noProof/>
        </w:rPr>
      </w:pPr>
    </w:p>
    <w:p w:rsidR="001549FD" w:rsidRDefault="001549FD" w:rsidP="00774588">
      <w:pPr>
        <w:spacing w:after="0" w:line="240" w:lineRule="auto"/>
        <w:jc w:val="center"/>
        <w:rPr>
          <w:noProof/>
        </w:rPr>
      </w:pPr>
    </w:p>
    <w:sdt>
      <w:sdtPr>
        <w:rPr>
          <w:rFonts w:asciiTheme="minorHAnsi" w:eastAsiaTheme="minorEastAsia" w:hAnsiTheme="minorHAnsi" w:cstheme="minorBidi"/>
          <w:sz w:val="22"/>
          <w:szCs w:val="22"/>
        </w:rPr>
        <w:id w:val="-1899883606"/>
        <w:docPartObj>
          <w:docPartGallery w:val="Table of Contents"/>
          <w:docPartUnique/>
        </w:docPartObj>
      </w:sdtPr>
      <w:sdtEndPr>
        <w:rPr>
          <w:b/>
          <w:bCs/>
          <w:noProof/>
        </w:rPr>
      </w:sdtEndPr>
      <w:sdtContent>
        <w:p w:rsidR="00DC580E" w:rsidRDefault="0071501E">
          <w:pPr>
            <w:pStyle w:val="TOC1"/>
            <w:rPr>
              <w:rFonts w:asciiTheme="minorHAnsi" w:eastAsiaTheme="minorEastAsia" w:hAnsiTheme="minorHAnsi" w:cstheme="minorBidi"/>
              <w:noProof/>
              <w:sz w:val="22"/>
              <w:szCs w:val="22"/>
              <w:lang w:eastAsia="lv-LV"/>
            </w:rPr>
          </w:pPr>
          <w:r>
            <w:fldChar w:fldCharType="begin"/>
          </w:r>
          <w:r>
            <w:instrText xml:space="preserve"> TOC \o "1-3" \h \z \u </w:instrText>
          </w:r>
          <w:r>
            <w:fldChar w:fldCharType="separate"/>
          </w:r>
          <w:hyperlink w:anchor="_Toc8285990" w:history="1">
            <w:r w:rsidR="00DC580E" w:rsidRPr="008B5BA5">
              <w:rPr>
                <w:rStyle w:val="Hyperlink"/>
                <w:noProof/>
              </w:rPr>
              <w:t>1.</w:t>
            </w:r>
            <w:r w:rsidR="00DC580E">
              <w:rPr>
                <w:rFonts w:asciiTheme="minorHAnsi" w:eastAsiaTheme="minorEastAsia" w:hAnsiTheme="minorHAnsi" w:cstheme="minorBidi"/>
                <w:noProof/>
                <w:sz w:val="22"/>
                <w:szCs w:val="22"/>
                <w:lang w:eastAsia="lv-LV"/>
              </w:rPr>
              <w:tab/>
            </w:r>
            <w:r w:rsidR="00DC580E" w:rsidRPr="008B5BA5">
              <w:rPr>
                <w:rStyle w:val="Hyperlink"/>
                <w:noProof/>
              </w:rPr>
              <w:t>Grozījumu būtība</w:t>
            </w:r>
            <w:r w:rsidR="00DC580E">
              <w:rPr>
                <w:noProof/>
                <w:webHidden/>
              </w:rPr>
              <w:tab/>
            </w:r>
            <w:r w:rsidR="00DC580E">
              <w:rPr>
                <w:noProof/>
                <w:webHidden/>
              </w:rPr>
              <w:fldChar w:fldCharType="begin"/>
            </w:r>
            <w:r w:rsidR="00DC580E">
              <w:rPr>
                <w:noProof/>
                <w:webHidden/>
              </w:rPr>
              <w:instrText xml:space="preserve"> PAGEREF _Toc8285990 \h </w:instrText>
            </w:r>
            <w:r w:rsidR="00DC580E">
              <w:rPr>
                <w:noProof/>
                <w:webHidden/>
              </w:rPr>
            </w:r>
            <w:r w:rsidR="00DC580E">
              <w:rPr>
                <w:noProof/>
                <w:webHidden/>
              </w:rPr>
              <w:fldChar w:fldCharType="separate"/>
            </w:r>
            <w:r w:rsidR="00F56FE6">
              <w:rPr>
                <w:noProof/>
                <w:webHidden/>
              </w:rPr>
              <w:t>2</w:t>
            </w:r>
            <w:r w:rsidR="00DC580E">
              <w:rPr>
                <w:noProof/>
                <w:webHidden/>
              </w:rPr>
              <w:fldChar w:fldCharType="end"/>
            </w:r>
          </w:hyperlink>
        </w:p>
        <w:p w:rsidR="00DC580E" w:rsidRDefault="00F56FE6">
          <w:pPr>
            <w:pStyle w:val="TOC1"/>
            <w:rPr>
              <w:rFonts w:asciiTheme="minorHAnsi" w:eastAsiaTheme="minorEastAsia" w:hAnsiTheme="minorHAnsi" w:cstheme="minorBidi"/>
              <w:noProof/>
              <w:sz w:val="22"/>
              <w:szCs w:val="22"/>
              <w:lang w:eastAsia="lv-LV"/>
            </w:rPr>
          </w:pPr>
          <w:hyperlink w:anchor="_Toc8285991" w:history="1">
            <w:r w:rsidR="00DC580E" w:rsidRPr="008B5BA5">
              <w:rPr>
                <w:rStyle w:val="Hyperlink"/>
                <w:noProof/>
              </w:rPr>
              <w:t>1. Pielikums</w:t>
            </w:r>
            <w:r w:rsidR="00DC580E">
              <w:rPr>
                <w:noProof/>
                <w:webHidden/>
              </w:rPr>
              <w:tab/>
            </w:r>
            <w:r w:rsidR="00DC580E">
              <w:rPr>
                <w:noProof/>
                <w:webHidden/>
              </w:rPr>
              <w:fldChar w:fldCharType="begin"/>
            </w:r>
            <w:r w:rsidR="00DC580E">
              <w:rPr>
                <w:noProof/>
                <w:webHidden/>
              </w:rPr>
              <w:instrText xml:space="preserve"> PAGEREF _Toc8285991 \h </w:instrText>
            </w:r>
            <w:r w:rsidR="00DC580E">
              <w:rPr>
                <w:noProof/>
                <w:webHidden/>
              </w:rPr>
            </w:r>
            <w:r w:rsidR="00DC580E">
              <w:rPr>
                <w:noProof/>
                <w:webHidden/>
              </w:rPr>
              <w:fldChar w:fldCharType="separate"/>
            </w:r>
            <w:r>
              <w:rPr>
                <w:noProof/>
                <w:webHidden/>
              </w:rPr>
              <w:t>2</w:t>
            </w:r>
            <w:r w:rsidR="00DC580E">
              <w:rPr>
                <w:noProof/>
                <w:webHidden/>
              </w:rPr>
              <w:fldChar w:fldCharType="end"/>
            </w:r>
          </w:hyperlink>
        </w:p>
        <w:p w:rsidR="00DC580E" w:rsidRDefault="00F56FE6">
          <w:pPr>
            <w:pStyle w:val="TOC1"/>
            <w:rPr>
              <w:rFonts w:asciiTheme="minorHAnsi" w:eastAsiaTheme="minorEastAsia" w:hAnsiTheme="minorHAnsi" w:cstheme="minorBidi"/>
              <w:noProof/>
              <w:sz w:val="22"/>
              <w:szCs w:val="22"/>
              <w:lang w:eastAsia="lv-LV"/>
            </w:rPr>
          </w:pPr>
          <w:hyperlink w:anchor="_Toc8285992" w:history="1">
            <w:r w:rsidR="00DC580E" w:rsidRPr="008B5BA5">
              <w:rPr>
                <w:rStyle w:val="Hyperlink"/>
                <w:noProof/>
              </w:rPr>
              <w:t>2. Pielikums</w:t>
            </w:r>
            <w:r w:rsidR="00DC580E">
              <w:rPr>
                <w:noProof/>
                <w:webHidden/>
              </w:rPr>
              <w:tab/>
            </w:r>
            <w:r w:rsidR="00DC580E">
              <w:rPr>
                <w:noProof/>
                <w:webHidden/>
              </w:rPr>
              <w:fldChar w:fldCharType="begin"/>
            </w:r>
            <w:r w:rsidR="00DC580E">
              <w:rPr>
                <w:noProof/>
                <w:webHidden/>
              </w:rPr>
              <w:instrText xml:space="preserve"> PAGEREF _Toc8285992 \h </w:instrText>
            </w:r>
            <w:r w:rsidR="00DC580E">
              <w:rPr>
                <w:noProof/>
                <w:webHidden/>
              </w:rPr>
            </w:r>
            <w:r w:rsidR="00DC580E">
              <w:rPr>
                <w:noProof/>
                <w:webHidden/>
              </w:rPr>
              <w:fldChar w:fldCharType="separate"/>
            </w:r>
            <w:r>
              <w:rPr>
                <w:noProof/>
                <w:webHidden/>
              </w:rPr>
              <w:t>2</w:t>
            </w:r>
            <w:r w:rsidR="00DC580E">
              <w:rPr>
                <w:noProof/>
                <w:webHidden/>
              </w:rPr>
              <w:fldChar w:fldCharType="end"/>
            </w:r>
          </w:hyperlink>
        </w:p>
        <w:p w:rsidR="00DC580E" w:rsidRDefault="00F56FE6">
          <w:pPr>
            <w:pStyle w:val="TOC1"/>
            <w:rPr>
              <w:rFonts w:asciiTheme="minorHAnsi" w:eastAsiaTheme="minorEastAsia" w:hAnsiTheme="minorHAnsi" w:cstheme="minorBidi"/>
              <w:noProof/>
              <w:sz w:val="22"/>
              <w:szCs w:val="22"/>
              <w:lang w:eastAsia="lv-LV"/>
            </w:rPr>
          </w:pPr>
          <w:hyperlink w:anchor="_Toc8285993" w:history="1">
            <w:r w:rsidR="00DC580E" w:rsidRPr="008B5BA5">
              <w:rPr>
                <w:rStyle w:val="Hyperlink"/>
                <w:noProof/>
              </w:rPr>
              <w:t>3. Pielikums</w:t>
            </w:r>
            <w:r w:rsidR="00DC580E">
              <w:rPr>
                <w:noProof/>
                <w:webHidden/>
              </w:rPr>
              <w:tab/>
            </w:r>
            <w:r w:rsidR="00DC580E">
              <w:rPr>
                <w:noProof/>
                <w:webHidden/>
              </w:rPr>
              <w:fldChar w:fldCharType="begin"/>
            </w:r>
            <w:r w:rsidR="00DC580E">
              <w:rPr>
                <w:noProof/>
                <w:webHidden/>
              </w:rPr>
              <w:instrText xml:space="preserve"> PAGEREF _Toc8285993 \h </w:instrText>
            </w:r>
            <w:r w:rsidR="00DC580E">
              <w:rPr>
                <w:noProof/>
                <w:webHidden/>
              </w:rPr>
            </w:r>
            <w:r w:rsidR="00DC580E">
              <w:rPr>
                <w:noProof/>
                <w:webHidden/>
              </w:rPr>
              <w:fldChar w:fldCharType="separate"/>
            </w:r>
            <w:r>
              <w:rPr>
                <w:noProof/>
                <w:webHidden/>
              </w:rPr>
              <w:t>2</w:t>
            </w:r>
            <w:r w:rsidR="00DC580E">
              <w:rPr>
                <w:noProof/>
                <w:webHidden/>
              </w:rPr>
              <w:fldChar w:fldCharType="end"/>
            </w:r>
          </w:hyperlink>
        </w:p>
        <w:p w:rsidR="00DC580E" w:rsidRDefault="00F56FE6">
          <w:pPr>
            <w:pStyle w:val="TOC1"/>
            <w:rPr>
              <w:rFonts w:asciiTheme="minorHAnsi" w:eastAsiaTheme="minorEastAsia" w:hAnsiTheme="minorHAnsi" w:cstheme="minorBidi"/>
              <w:noProof/>
              <w:sz w:val="22"/>
              <w:szCs w:val="22"/>
              <w:lang w:eastAsia="lv-LV"/>
            </w:rPr>
          </w:pPr>
          <w:hyperlink w:anchor="_Toc8285994" w:history="1">
            <w:r w:rsidR="00DC580E" w:rsidRPr="008B5BA5">
              <w:rPr>
                <w:rStyle w:val="Hyperlink"/>
                <w:noProof/>
              </w:rPr>
              <w:t>4. Pielikums</w:t>
            </w:r>
            <w:r w:rsidR="00DC580E">
              <w:rPr>
                <w:noProof/>
                <w:webHidden/>
              </w:rPr>
              <w:tab/>
            </w:r>
            <w:r w:rsidR="00DC580E">
              <w:rPr>
                <w:noProof/>
                <w:webHidden/>
              </w:rPr>
              <w:fldChar w:fldCharType="begin"/>
            </w:r>
            <w:r w:rsidR="00DC580E">
              <w:rPr>
                <w:noProof/>
                <w:webHidden/>
              </w:rPr>
              <w:instrText xml:space="preserve"> PAGEREF _Toc8285994 \h </w:instrText>
            </w:r>
            <w:r w:rsidR="00DC580E">
              <w:rPr>
                <w:noProof/>
                <w:webHidden/>
              </w:rPr>
            </w:r>
            <w:r w:rsidR="00DC580E">
              <w:rPr>
                <w:noProof/>
                <w:webHidden/>
              </w:rPr>
              <w:fldChar w:fldCharType="separate"/>
            </w:r>
            <w:r>
              <w:rPr>
                <w:noProof/>
                <w:webHidden/>
              </w:rPr>
              <w:t>2</w:t>
            </w:r>
            <w:r w:rsidR="00DC580E">
              <w:rPr>
                <w:noProof/>
                <w:webHidden/>
              </w:rPr>
              <w:fldChar w:fldCharType="end"/>
            </w:r>
          </w:hyperlink>
        </w:p>
        <w:p w:rsidR="00DC580E" w:rsidRDefault="00F56FE6">
          <w:pPr>
            <w:pStyle w:val="TOC1"/>
            <w:rPr>
              <w:rFonts w:asciiTheme="minorHAnsi" w:eastAsiaTheme="minorEastAsia" w:hAnsiTheme="minorHAnsi" w:cstheme="minorBidi"/>
              <w:noProof/>
              <w:sz w:val="22"/>
              <w:szCs w:val="22"/>
              <w:lang w:eastAsia="lv-LV"/>
            </w:rPr>
          </w:pPr>
          <w:hyperlink w:anchor="_Toc8285995" w:history="1">
            <w:r w:rsidR="00DC580E" w:rsidRPr="008B5BA5">
              <w:rPr>
                <w:rStyle w:val="Hyperlink"/>
                <w:noProof/>
              </w:rPr>
              <w:t>5. Pielikums</w:t>
            </w:r>
            <w:r w:rsidR="00DC580E">
              <w:rPr>
                <w:noProof/>
                <w:webHidden/>
              </w:rPr>
              <w:tab/>
            </w:r>
            <w:r w:rsidR="00DC580E">
              <w:rPr>
                <w:noProof/>
                <w:webHidden/>
              </w:rPr>
              <w:fldChar w:fldCharType="begin"/>
            </w:r>
            <w:r w:rsidR="00DC580E">
              <w:rPr>
                <w:noProof/>
                <w:webHidden/>
              </w:rPr>
              <w:instrText xml:space="preserve"> PAGEREF _Toc8285995 \h </w:instrText>
            </w:r>
            <w:r w:rsidR="00DC580E">
              <w:rPr>
                <w:noProof/>
                <w:webHidden/>
              </w:rPr>
            </w:r>
            <w:r w:rsidR="00DC580E">
              <w:rPr>
                <w:noProof/>
                <w:webHidden/>
              </w:rPr>
              <w:fldChar w:fldCharType="separate"/>
            </w:r>
            <w:r>
              <w:rPr>
                <w:noProof/>
                <w:webHidden/>
              </w:rPr>
              <w:t>2</w:t>
            </w:r>
            <w:r w:rsidR="00DC580E">
              <w:rPr>
                <w:noProof/>
                <w:webHidden/>
              </w:rPr>
              <w:fldChar w:fldCharType="end"/>
            </w:r>
          </w:hyperlink>
        </w:p>
        <w:p w:rsidR="0071501E" w:rsidRDefault="0071501E">
          <w:r>
            <w:rPr>
              <w:b/>
              <w:bCs/>
              <w:noProof/>
            </w:rPr>
            <w:fldChar w:fldCharType="end"/>
          </w:r>
        </w:p>
      </w:sdtContent>
    </w:sdt>
    <w:p w:rsidR="0071501E" w:rsidRDefault="0071501E" w:rsidP="00774588">
      <w:pPr>
        <w:spacing w:after="0" w:line="240" w:lineRule="auto"/>
        <w:jc w:val="center"/>
        <w:rPr>
          <w:noProof/>
        </w:rPr>
      </w:pPr>
    </w:p>
    <w:p w:rsidR="00620243" w:rsidRPr="00F51615" w:rsidRDefault="00620243" w:rsidP="00620243">
      <w:pPr>
        <w:spacing w:after="0" w:line="240" w:lineRule="auto"/>
        <w:ind w:left="3544" w:hanging="3544"/>
        <w:jc w:val="both"/>
        <w:rPr>
          <w:rFonts w:ascii="Times New Roman" w:hAnsi="Times New Roman" w:cs="Times New Roman"/>
          <w:color w:val="000000"/>
        </w:rPr>
      </w:pPr>
      <w:r w:rsidRPr="00F51615">
        <w:rPr>
          <w:rFonts w:ascii="Times New Roman" w:hAnsi="Times New Roman" w:cs="Times New Roman"/>
          <w:color w:val="000000"/>
        </w:rPr>
        <w:br w:type="page"/>
      </w:r>
    </w:p>
    <w:p w:rsidR="00620243" w:rsidRPr="00230CFF" w:rsidRDefault="0082255C" w:rsidP="00620243">
      <w:pPr>
        <w:pStyle w:val="Heading1"/>
        <w:numPr>
          <w:ilvl w:val="0"/>
          <w:numId w:val="1"/>
        </w:numPr>
        <w:spacing w:before="0" w:after="0" w:line="240" w:lineRule="auto"/>
        <w:ind w:left="284" w:hanging="283"/>
        <w:jc w:val="center"/>
        <w:rPr>
          <w:rFonts w:ascii="Times New Roman" w:hAnsi="Times New Roman" w:cs="Times New Roman"/>
          <w:sz w:val="32"/>
        </w:rPr>
      </w:pPr>
      <w:bookmarkStart w:id="0" w:name="_Toc8285990"/>
      <w:r>
        <w:rPr>
          <w:rFonts w:ascii="Times New Roman" w:hAnsi="Times New Roman" w:cs="Times New Roman"/>
          <w:sz w:val="32"/>
        </w:rPr>
        <w:lastRenderedPageBreak/>
        <w:t>Grozījumu būtība</w:t>
      </w:r>
      <w:bookmarkEnd w:id="0"/>
    </w:p>
    <w:p w:rsidR="00620243" w:rsidRDefault="00620243" w:rsidP="00620243">
      <w:pPr>
        <w:spacing w:after="0" w:line="240" w:lineRule="auto"/>
        <w:ind w:firstLine="720"/>
        <w:jc w:val="both"/>
        <w:rPr>
          <w:rFonts w:ascii="Times New Roman" w:eastAsia="Times New Roman" w:hAnsi="Times New Roman" w:cs="Times New Roman"/>
          <w:color w:val="000000"/>
          <w:sz w:val="24"/>
          <w:szCs w:val="23"/>
          <w:lang w:eastAsia="lv-LV"/>
        </w:rPr>
      </w:pPr>
    </w:p>
    <w:p w:rsidR="00A1238D" w:rsidRDefault="00A1238D" w:rsidP="00A1238D">
      <w:pPr>
        <w:spacing w:after="0" w:line="240" w:lineRule="auto"/>
        <w:ind w:firstLine="720"/>
        <w:jc w:val="both"/>
        <w:rPr>
          <w:rFonts w:ascii="Times New Roman" w:eastAsia="Times New Roman" w:hAnsi="Times New Roman" w:cs="Times New Roman"/>
          <w:color w:val="000000"/>
          <w:sz w:val="24"/>
          <w:szCs w:val="23"/>
          <w:lang w:eastAsia="lv-LV"/>
        </w:rPr>
      </w:pPr>
      <w:bookmarkStart w:id="1" w:name="_Toc510790684"/>
      <w:bookmarkStart w:id="2" w:name="_Toc5627394"/>
      <w:bookmarkStart w:id="3" w:name="_Toc5798649"/>
      <w:r>
        <w:rPr>
          <w:rFonts w:ascii="Times New Roman" w:eastAsia="Times New Roman" w:hAnsi="Times New Roman" w:cs="Times New Roman"/>
          <w:color w:val="000000"/>
          <w:sz w:val="24"/>
          <w:szCs w:val="23"/>
          <w:lang w:eastAsia="lv-LV"/>
        </w:rPr>
        <w:t>Latvija iesniedz grozījumus Latvijas Stabilitātes programmā 2019.</w:t>
      </w:r>
      <w:r w:rsidR="00DC580E" w:rsidRPr="00EE1979">
        <w:rPr>
          <w:rFonts w:ascii="Times New Roman" w:eastAsia="Calibri" w:hAnsi="Times New Roman" w:cs="Times New Roman"/>
          <w:sz w:val="24"/>
          <w:szCs w:val="24"/>
        </w:rPr>
        <w:t xml:space="preserve"> – </w:t>
      </w:r>
      <w:r>
        <w:rPr>
          <w:rFonts w:ascii="Times New Roman" w:eastAsia="Times New Roman" w:hAnsi="Times New Roman" w:cs="Times New Roman"/>
          <w:color w:val="000000"/>
          <w:sz w:val="24"/>
          <w:szCs w:val="23"/>
          <w:lang w:eastAsia="lv-LV"/>
        </w:rPr>
        <w:t xml:space="preserve">2022.gadam (Stabilitātes programma), kura 2019.gada 15.aprīlī tika iesniegta Eiropas Komisijai (EK) un Eurogrupai. </w:t>
      </w:r>
    </w:p>
    <w:p w:rsidR="00A1238D" w:rsidRDefault="00A1238D" w:rsidP="00A1238D">
      <w:pPr>
        <w:spacing w:after="0" w:line="240" w:lineRule="auto"/>
        <w:ind w:firstLine="720"/>
        <w:jc w:val="both"/>
        <w:rPr>
          <w:rFonts w:ascii="Times New Roman" w:eastAsia="Times New Roman" w:hAnsi="Times New Roman" w:cs="Times New Roman"/>
          <w:color w:val="000000"/>
          <w:sz w:val="24"/>
          <w:szCs w:val="23"/>
          <w:lang w:eastAsia="lv-LV"/>
        </w:rPr>
      </w:pPr>
      <w:r>
        <w:rPr>
          <w:rFonts w:ascii="Times New Roman" w:eastAsia="Times New Roman" w:hAnsi="Times New Roman" w:cs="Times New Roman"/>
          <w:color w:val="000000"/>
          <w:sz w:val="24"/>
          <w:szCs w:val="23"/>
          <w:lang w:eastAsia="lv-LV"/>
        </w:rPr>
        <w:t xml:space="preserve">Finanšu ministrija, gatavojot Stabilitātes programmu, savā novērtējumā </w:t>
      </w:r>
      <w:r w:rsidRPr="00D64093">
        <w:rPr>
          <w:rFonts w:ascii="Times New Roman" w:eastAsia="Times New Roman" w:hAnsi="Times New Roman" w:cs="Times New Roman"/>
          <w:color w:val="000000"/>
          <w:sz w:val="24"/>
          <w:szCs w:val="23"/>
          <w:lang w:eastAsia="lv-LV"/>
        </w:rPr>
        <w:t>paredzēja, ka vispārējās valdības budžeta deficīts 2018.gadā būs 0,7% no</w:t>
      </w:r>
      <w:r>
        <w:rPr>
          <w:rFonts w:ascii="Times New Roman" w:eastAsia="Times New Roman" w:hAnsi="Times New Roman" w:cs="Times New Roman"/>
          <w:color w:val="000000"/>
          <w:sz w:val="24"/>
          <w:szCs w:val="23"/>
          <w:lang w:eastAsia="lv-LV"/>
        </w:rPr>
        <w:t xml:space="preserve"> iekšzemes kopprodukta</w:t>
      </w:r>
      <w:r w:rsidRPr="00D64093">
        <w:rPr>
          <w:rFonts w:ascii="Times New Roman" w:eastAsia="Times New Roman" w:hAnsi="Times New Roman" w:cs="Times New Roman"/>
          <w:color w:val="000000"/>
          <w:sz w:val="24"/>
          <w:szCs w:val="23"/>
          <w:lang w:eastAsia="lv-LV"/>
        </w:rPr>
        <w:t xml:space="preserve"> </w:t>
      </w:r>
      <w:r>
        <w:rPr>
          <w:rFonts w:ascii="Times New Roman" w:eastAsia="Times New Roman" w:hAnsi="Times New Roman" w:cs="Times New Roman"/>
          <w:color w:val="000000"/>
          <w:sz w:val="24"/>
          <w:szCs w:val="23"/>
          <w:lang w:eastAsia="lv-LV"/>
        </w:rPr>
        <w:t>(</w:t>
      </w:r>
      <w:r w:rsidRPr="00D64093">
        <w:rPr>
          <w:rFonts w:ascii="Times New Roman" w:eastAsia="Times New Roman" w:hAnsi="Times New Roman" w:cs="Times New Roman"/>
          <w:color w:val="000000"/>
          <w:sz w:val="24"/>
          <w:szCs w:val="23"/>
          <w:lang w:eastAsia="lv-LV"/>
        </w:rPr>
        <w:t>IKP</w:t>
      </w:r>
      <w:r>
        <w:rPr>
          <w:rFonts w:ascii="Times New Roman" w:eastAsia="Times New Roman" w:hAnsi="Times New Roman" w:cs="Times New Roman"/>
          <w:color w:val="000000"/>
          <w:sz w:val="24"/>
          <w:szCs w:val="23"/>
          <w:lang w:eastAsia="lv-LV"/>
        </w:rPr>
        <w:t>)</w:t>
      </w:r>
      <w:r w:rsidRPr="00D64093">
        <w:rPr>
          <w:rFonts w:ascii="Times New Roman" w:eastAsia="Times New Roman" w:hAnsi="Times New Roman" w:cs="Times New Roman"/>
          <w:color w:val="000000"/>
          <w:sz w:val="24"/>
          <w:szCs w:val="23"/>
          <w:lang w:eastAsia="lv-LV"/>
        </w:rPr>
        <w:t>.</w:t>
      </w:r>
      <w:r>
        <w:rPr>
          <w:rFonts w:ascii="Times New Roman" w:eastAsia="Times New Roman" w:hAnsi="Times New Roman" w:cs="Times New Roman"/>
          <w:color w:val="000000"/>
          <w:sz w:val="24"/>
          <w:szCs w:val="23"/>
          <w:lang w:eastAsia="lv-LV"/>
        </w:rPr>
        <w:t xml:space="preserve"> Savukārt</w:t>
      </w:r>
      <w:r w:rsidR="00135E60">
        <w:rPr>
          <w:rFonts w:ascii="Times New Roman" w:eastAsia="Times New Roman" w:hAnsi="Times New Roman" w:cs="Times New Roman"/>
          <w:color w:val="000000"/>
          <w:sz w:val="24"/>
          <w:szCs w:val="23"/>
          <w:lang w:eastAsia="lv-LV"/>
        </w:rPr>
        <w:t xml:space="preserve">, </w:t>
      </w:r>
      <w:r>
        <w:rPr>
          <w:rFonts w:ascii="Times New Roman" w:eastAsia="Times New Roman" w:hAnsi="Times New Roman" w:cs="Times New Roman"/>
          <w:color w:val="000000"/>
          <w:sz w:val="24"/>
          <w:szCs w:val="23"/>
          <w:lang w:eastAsia="lv-LV"/>
        </w:rPr>
        <w:t>a</w:t>
      </w:r>
      <w:r w:rsidRPr="00D64093">
        <w:rPr>
          <w:rFonts w:ascii="Times New Roman" w:eastAsia="Times New Roman" w:hAnsi="Times New Roman" w:cs="Times New Roman"/>
          <w:color w:val="000000"/>
          <w:sz w:val="24"/>
          <w:szCs w:val="23"/>
          <w:lang w:eastAsia="lv-LV"/>
        </w:rPr>
        <w:t xml:space="preserve">tbilstoši </w:t>
      </w:r>
      <w:r>
        <w:rPr>
          <w:rFonts w:ascii="Times New Roman" w:eastAsia="Times New Roman" w:hAnsi="Times New Roman" w:cs="Times New Roman"/>
          <w:color w:val="000000"/>
          <w:sz w:val="24"/>
          <w:szCs w:val="23"/>
          <w:lang w:eastAsia="lv-LV"/>
        </w:rPr>
        <w:t xml:space="preserve">2019.gada 18.aprīlī </w:t>
      </w:r>
      <w:r w:rsidRPr="00D64093">
        <w:rPr>
          <w:rFonts w:ascii="Times New Roman" w:eastAsia="Times New Roman" w:hAnsi="Times New Roman" w:cs="Times New Roman"/>
          <w:color w:val="000000"/>
          <w:sz w:val="24"/>
          <w:szCs w:val="23"/>
          <w:lang w:eastAsia="lv-LV"/>
        </w:rPr>
        <w:t xml:space="preserve">Centrālās statistikas pārvaldes (CSP) publicētajai informācijai par vispārējās valdības budžeta deficīta </w:t>
      </w:r>
      <w:r>
        <w:rPr>
          <w:rFonts w:ascii="Times New Roman" w:eastAsia="Times New Roman" w:hAnsi="Times New Roman" w:cs="Times New Roman"/>
          <w:color w:val="000000"/>
          <w:sz w:val="24"/>
          <w:szCs w:val="23"/>
          <w:lang w:eastAsia="lv-LV"/>
        </w:rPr>
        <w:t>un parāda rezultātiem par 2018.</w:t>
      </w:r>
      <w:r w:rsidRPr="00D64093">
        <w:rPr>
          <w:rFonts w:ascii="Times New Roman" w:eastAsia="Times New Roman" w:hAnsi="Times New Roman" w:cs="Times New Roman"/>
          <w:color w:val="000000"/>
          <w:sz w:val="24"/>
          <w:szCs w:val="23"/>
          <w:lang w:eastAsia="lv-LV"/>
        </w:rPr>
        <w:t xml:space="preserve">gadu, Latvijas vispārējās </w:t>
      </w:r>
      <w:r>
        <w:rPr>
          <w:rFonts w:ascii="Times New Roman" w:eastAsia="Times New Roman" w:hAnsi="Times New Roman" w:cs="Times New Roman"/>
          <w:color w:val="000000"/>
          <w:sz w:val="24"/>
          <w:szCs w:val="23"/>
          <w:lang w:eastAsia="lv-LV"/>
        </w:rPr>
        <w:t>valdības budžeta deficīts 2018.</w:t>
      </w:r>
      <w:r w:rsidRPr="00D64093">
        <w:rPr>
          <w:rFonts w:ascii="Times New Roman" w:eastAsia="Times New Roman" w:hAnsi="Times New Roman" w:cs="Times New Roman"/>
          <w:color w:val="000000"/>
          <w:sz w:val="24"/>
          <w:szCs w:val="23"/>
          <w:lang w:eastAsia="lv-LV"/>
        </w:rPr>
        <w:t>gad</w:t>
      </w:r>
      <w:r>
        <w:rPr>
          <w:rFonts w:ascii="Times New Roman" w:eastAsia="Times New Roman" w:hAnsi="Times New Roman" w:cs="Times New Roman"/>
          <w:color w:val="000000"/>
          <w:sz w:val="24"/>
          <w:szCs w:val="23"/>
          <w:lang w:eastAsia="lv-LV"/>
        </w:rPr>
        <w:t>ā</w:t>
      </w:r>
      <w:r w:rsidRPr="00D64093">
        <w:rPr>
          <w:rFonts w:ascii="Times New Roman" w:eastAsia="Times New Roman" w:hAnsi="Times New Roman" w:cs="Times New Roman"/>
          <w:color w:val="000000"/>
          <w:sz w:val="24"/>
          <w:szCs w:val="23"/>
          <w:lang w:eastAsia="lv-LV"/>
        </w:rPr>
        <w:t xml:space="preserve"> </w:t>
      </w:r>
      <w:r>
        <w:rPr>
          <w:rFonts w:ascii="Times New Roman" w:eastAsia="Times New Roman" w:hAnsi="Times New Roman" w:cs="Times New Roman"/>
          <w:color w:val="000000"/>
          <w:sz w:val="24"/>
          <w:szCs w:val="23"/>
          <w:lang w:eastAsia="lv-LV"/>
        </w:rPr>
        <w:t>ir</w:t>
      </w:r>
      <w:r w:rsidRPr="00D64093">
        <w:rPr>
          <w:rFonts w:ascii="Times New Roman" w:eastAsia="Times New Roman" w:hAnsi="Times New Roman" w:cs="Times New Roman"/>
          <w:color w:val="000000"/>
          <w:sz w:val="24"/>
          <w:szCs w:val="23"/>
          <w:lang w:eastAsia="lv-LV"/>
        </w:rPr>
        <w:t xml:space="preserve"> 1</w:t>
      </w:r>
      <w:r>
        <w:rPr>
          <w:rFonts w:ascii="Times New Roman" w:eastAsia="Times New Roman" w:hAnsi="Times New Roman" w:cs="Times New Roman"/>
          <w:color w:val="000000"/>
          <w:sz w:val="24"/>
          <w:szCs w:val="23"/>
          <w:lang w:eastAsia="lv-LV"/>
        </w:rPr>
        <w:t>,0</w:t>
      </w:r>
      <w:r w:rsidRPr="00D64093">
        <w:rPr>
          <w:rFonts w:ascii="Times New Roman" w:eastAsia="Times New Roman" w:hAnsi="Times New Roman" w:cs="Times New Roman"/>
          <w:color w:val="000000"/>
          <w:sz w:val="24"/>
          <w:szCs w:val="23"/>
          <w:lang w:eastAsia="lv-LV"/>
        </w:rPr>
        <w:t>% no IKP. Savukārt</w:t>
      </w:r>
      <w:r w:rsidR="00135E60">
        <w:rPr>
          <w:rFonts w:ascii="Times New Roman" w:eastAsia="Times New Roman" w:hAnsi="Times New Roman" w:cs="Times New Roman"/>
          <w:color w:val="000000"/>
          <w:sz w:val="24"/>
          <w:szCs w:val="23"/>
          <w:lang w:eastAsia="lv-LV"/>
        </w:rPr>
        <w:t>,</w:t>
      </w:r>
      <w:r w:rsidRPr="00D64093">
        <w:rPr>
          <w:rFonts w:ascii="Times New Roman" w:eastAsia="Times New Roman" w:hAnsi="Times New Roman" w:cs="Times New Roman"/>
          <w:color w:val="000000"/>
          <w:sz w:val="24"/>
          <w:szCs w:val="23"/>
          <w:lang w:eastAsia="lv-LV"/>
        </w:rPr>
        <w:t xml:space="preserve"> vispārējās valdības konsolidētais bruto pa</w:t>
      </w:r>
      <w:r w:rsidR="007D040E">
        <w:rPr>
          <w:rFonts w:ascii="Times New Roman" w:eastAsia="Times New Roman" w:hAnsi="Times New Roman" w:cs="Times New Roman"/>
          <w:color w:val="000000"/>
          <w:sz w:val="24"/>
          <w:szCs w:val="23"/>
          <w:lang w:eastAsia="lv-LV"/>
        </w:rPr>
        <w:t>rāds 2018.gada beigās bija 35,9</w:t>
      </w:r>
      <w:r w:rsidRPr="00D64093">
        <w:rPr>
          <w:rFonts w:ascii="Times New Roman" w:eastAsia="Times New Roman" w:hAnsi="Times New Roman" w:cs="Times New Roman"/>
          <w:color w:val="000000"/>
          <w:sz w:val="24"/>
          <w:szCs w:val="23"/>
          <w:lang w:eastAsia="lv-LV"/>
        </w:rPr>
        <w:t>% no IKP.</w:t>
      </w:r>
      <w:r>
        <w:rPr>
          <w:rFonts w:ascii="Times New Roman" w:eastAsia="Times New Roman" w:hAnsi="Times New Roman" w:cs="Times New Roman"/>
          <w:color w:val="000000"/>
          <w:sz w:val="24"/>
          <w:szCs w:val="23"/>
          <w:lang w:eastAsia="lv-LV"/>
        </w:rPr>
        <w:t xml:space="preserve"> </w:t>
      </w:r>
    </w:p>
    <w:p w:rsidR="00A1238D" w:rsidRDefault="00A1238D" w:rsidP="00A1238D">
      <w:pPr>
        <w:spacing w:after="0" w:line="240" w:lineRule="auto"/>
        <w:ind w:firstLine="720"/>
        <w:jc w:val="both"/>
        <w:rPr>
          <w:rFonts w:ascii="Times New Roman" w:eastAsia="Times New Roman" w:hAnsi="Times New Roman" w:cs="Times New Roman"/>
          <w:color w:val="000000"/>
          <w:sz w:val="24"/>
          <w:szCs w:val="23"/>
          <w:lang w:eastAsia="lv-LV"/>
        </w:rPr>
      </w:pPr>
      <w:r>
        <w:rPr>
          <w:rFonts w:ascii="Times New Roman" w:eastAsia="Times New Roman" w:hAnsi="Times New Roman" w:cs="Times New Roman"/>
          <w:color w:val="000000"/>
          <w:sz w:val="24"/>
          <w:szCs w:val="23"/>
          <w:lang w:eastAsia="lv-LV"/>
        </w:rPr>
        <w:t>Attiecīgi</w:t>
      </w:r>
      <w:r w:rsidRPr="00D64093">
        <w:rPr>
          <w:rFonts w:ascii="Times New Roman" w:eastAsia="Times New Roman" w:hAnsi="Times New Roman" w:cs="Times New Roman"/>
          <w:color w:val="000000"/>
          <w:sz w:val="24"/>
          <w:szCs w:val="23"/>
          <w:lang w:eastAsia="lv-LV"/>
        </w:rPr>
        <w:t>,</w:t>
      </w:r>
      <w:r>
        <w:rPr>
          <w:rFonts w:ascii="Times New Roman" w:eastAsia="Times New Roman" w:hAnsi="Times New Roman" w:cs="Times New Roman"/>
          <w:color w:val="000000"/>
          <w:sz w:val="24"/>
          <w:szCs w:val="23"/>
          <w:lang w:eastAsia="lv-LV"/>
        </w:rPr>
        <w:t xml:space="preserve"> 2018.gada vispārējās valdības budžeta deficīts, kas ir ietverts Stabilitātes programmā, ir par</w:t>
      </w:r>
      <w:r w:rsidRPr="00D64093">
        <w:rPr>
          <w:rFonts w:ascii="Times New Roman" w:eastAsia="Times New Roman" w:hAnsi="Times New Roman" w:cs="Times New Roman"/>
          <w:color w:val="000000"/>
          <w:sz w:val="24"/>
          <w:szCs w:val="23"/>
          <w:lang w:eastAsia="lv-LV"/>
        </w:rPr>
        <w:t xml:space="preserve"> 0,3 procenta punktiem mazāks nekā CSP apkopotie provizoriskie </w:t>
      </w:r>
      <w:r>
        <w:rPr>
          <w:rFonts w:ascii="Times New Roman" w:eastAsia="Times New Roman" w:hAnsi="Times New Roman" w:cs="Times New Roman"/>
          <w:color w:val="000000"/>
          <w:sz w:val="24"/>
          <w:szCs w:val="23"/>
          <w:lang w:eastAsia="lv-LV"/>
        </w:rPr>
        <w:t xml:space="preserve">2018.gada </w:t>
      </w:r>
      <w:r w:rsidRPr="00D64093">
        <w:rPr>
          <w:rFonts w:ascii="Times New Roman" w:eastAsia="Times New Roman" w:hAnsi="Times New Roman" w:cs="Times New Roman"/>
          <w:color w:val="000000"/>
          <w:sz w:val="24"/>
          <w:szCs w:val="23"/>
          <w:lang w:eastAsia="lv-LV"/>
        </w:rPr>
        <w:t>rezultāti</w:t>
      </w:r>
      <w:r>
        <w:rPr>
          <w:rFonts w:ascii="Times New Roman" w:eastAsia="Times New Roman" w:hAnsi="Times New Roman" w:cs="Times New Roman"/>
          <w:color w:val="000000"/>
          <w:sz w:val="24"/>
          <w:szCs w:val="23"/>
          <w:lang w:eastAsia="lv-LV"/>
        </w:rPr>
        <w:t xml:space="preserve">. </w:t>
      </w:r>
      <w:r w:rsidRPr="00F36AE3">
        <w:rPr>
          <w:rFonts w:ascii="Times New Roman" w:eastAsia="Times New Roman" w:hAnsi="Times New Roman" w:cs="Times New Roman"/>
          <w:color w:val="000000"/>
          <w:sz w:val="24"/>
          <w:szCs w:val="23"/>
          <w:lang w:eastAsia="lv-LV"/>
        </w:rPr>
        <w:t>Būtiskākās atšķirības pamatā ir saistītas ar negatīvāku nekā sākotnēji novērtēts atsevišķu vispārējās valdības sektorā klasificēto kapitālsabiedrību darbību (0,18% no IKP), zemāku nekā iepriekš prognozēts Eiropas Savienības (ES) līdzfinansējumu pašvaldību īstenotajos ES struktūrfondu projektos (0,12% no</w:t>
      </w:r>
      <w:r>
        <w:rPr>
          <w:rFonts w:ascii="Times New Roman" w:eastAsia="Times New Roman" w:hAnsi="Times New Roman" w:cs="Times New Roman"/>
          <w:color w:val="000000"/>
          <w:sz w:val="24"/>
          <w:szCs w:val="23"/>
          <w:lang w:eastAsia="lv-LV"/>
        </w:rPr>
        <w:t xml:space="preserve"> IKP</w:t>
      </w:r>
      <w:r w:rsidRPr="00F36AE3">
        <w:rPr>
          <w:rFonts w:ascii="Times New Roman" w:eastAsia="Times New Roman" w:hAnsi="Times New Roman" w:cs="Times New Roman"/>
          <w:color w:val="000000"/>
          <w:sz w:val="24"/>
          <w:szCs w:val="23"/>
          <w:lang w:eastAsia="lv-LV"/>
        </w:rPr>
        <w:t>), kā arī atšķirībām metodoloģijā, kas tika izmantotas solidaritātes nodokļa pārrēķinā no naudas plūsmas uzskaites principa uz uzkrājumu uzskaites princip</w:t>
      </w:r>
      <w:r>
        <w:rPr>
          <w:rFonts w:ascii="Times New Roman" w:eastAsia="Times New Roman" w:hAnsi="Times New Roman" w:cs="Times New Roman"/>
          <w:color w:val="000000"/>
          <w:sz w:val="24"/>
          <w:szCs w:val="23"/>
          <w:lang w:eastAsia="lv-LV"/>
        </w:rPr>
        <w:t>u</w:t>
      </w:r>
      <w:r w:rsidRPr="00F36AE3">
        <w:rPr>
          <w:rFonts w:ascii="Times New Roman" w:eastAsia="Times New Roman" w:hAnsi="Times New Roman" w:cs="Times New Roman"/>
          <w:color w:val="000000"/>
          <w:sz w:val="24"/>
          <w:szCs w:val="23"/>
          <w:lang w:eastAsia="lv-LV"/>
        </w:rPr>
        <w:t xml:space="preserve"> (0,12% no</w:t>
      </w:r>
      <w:r>
        <w:rPr>
          <w:rFonts w:ascii="Times New Roman" w:eastAsia="Times New Roman" w:hAnsi="Times New Roman" w:cs="Times New Roman"/>
          <w:color w:val="000000"/>
          <w:sz w:val="24"/>
          <w:szCs w:val="23"/>
          <w:lang w:eastAsia="lv-LV"/>
        </w:rPr>
        <w:t xml:space="preserve"> IKP</w:t>
      </w:r>
      <w:r w:rsidRPr="00F36AE3">
        <w:rPr>
          <w:rFonts w:ascii="Times New Roman" w:eastAsia="Times New Roman" w:hAnsi="Times New Roman" w:cs="Times New Roman"/>
          <w:color w:val="000000"/>
          <w:sz w:val="24"/>
          <w:szCs w:val="23"/>
          <w:lang w:eastAsia="lv-LV"/>
        </w:rPr>
        <w:t>).</w:t>
      </w:r>
    </w:p>
    <w:p w:rsidR="00A1238D" w:rsidRPr="003436A8" w:rsidRDefault="00A1238D" w:rsidP="00A1238D">
      <w:pPr>
        <w:spacing w:after="0" w:line="240" w:lineRule="auto"/>
        <w:ind w:firstLine="720"/>
        <w:jc w:val="both"/>
        <w:rPr>
          <w:rFonts w:ascii="Times New Roman" w:eastAsia="Times New Roman" w:hAnsi="Times New Roman" w:cs="Times New Roman"/>
          <w:color w:val="000000"/>
          <w:sz w:val="24"/>
          <w:szCs w:val="24"/>
          <w:lang w:eastAsia="lv-LV"/>
        </w:rPr>
      </w:pPr>
      <w:r w:rsidRPr="003436A8">
        <w:rPr>
          <w:rFonts w:ascii="Times New Roman" w:hAnsi="Times New Roman" w:cs="Times New Roman"/>
          <w:sz w:val="24"/>
          <w:szCs w:val="24"/>
        </w:rPr>
        <w:t>Finanšu ministrija ir identificējusi atsevišķas jomas CSP datu uzskaites metodoloģijā, kurās būtu nepieciešams veikt turpmāku izpēti un pilnveidošanu. Līdz ar to iepriekš minēto atšķirību analīze 2018.gada vispārējās valdības budžeta deficīta novērtējumā tiks turpināta un nepieciešamības gadījumā tiks veiktas korekcijas sagatavojot gala vērtējumu par vispārējās valdības budžeta deficīta un parāda rezultātiem par 2018.</w:t>
      </w:r>
      <w:r>
        <w:rPr>
          <w:rFonts w:ascii="Times New Roman" w:hAnsi="Times New Roman" w:cs="Times New Roman"/>
          <w:sz w:val="24"/>
          <w:szCs w:val="24"/>
        </w:rPr>
        <w:t xml:space="preserve">gadu </w:t>
      </w:r>
      <w:r w:rsidRPr="003436A8">
        <w:rPr>
          <w:rFonts w:ascii="Times New Roman" w:hAnsi="Times New Roman" w:cs="Times New Roman"/>
          <w:sz w:val="24"/>
          <w:szCs w:val="24"/>
        </w:rPr>
        <w:t>šā gada oktobrī rudens notifikācijas ietvaros.</w:t>
      </w:r>
    </w:p>
    <w:p w:rsidR="00A1238D" w:rsidRPr="00C0710F" w:rsidRDefault="00A1238D" w:rsidP="00A1238D">
      <w:pPr>
        <w:spacing w:after="0" w:line="240" w:lineRule="auto"/>
        <w:ind w:firstLine="720"/>
        <w:jc w:val="both"/>
        <w:rPr>
          <w:rFonts w:ascii="Times New Roman" w:eastAsia="Times New Roman" w:hAnsi="Times New Roman" w:cs="Times New Roman"/>
          <w:color w:val="000000"/>
          <w:sz w:val="24"/>
          <w:szCs w:val="23"/>
          <w:lang w:eastAsia="lv-LV"/>
        </w:rPr>
      </w:pPr>
      <w:r>
        <w:rPr>
          <w:rFonts w:ascii="Times New Roman" w:eastAsia="Times New Roman" w:hAnsi="Times New Roman" w:cs="Times New Roman"/>
          <w:color w:val="000000"/>
          <w:sz w:val="24"/>
          <w:szCs w:val="23"/>
          <w:lang w:eastAsia="lv-LV"/>
        </w:rPr>
        <w:t xml:space="preserve">Stabilitātes programmā ietvertā 2018.gada vispārējās valdības budžeta deficīta novērtējuma un notifikācijas rezultātu atšķirība ir vērtējama kā būtiska, tāpēc lai nodrošinātu Stabilitātes programmā ietverto fiskālo rādītāju konsekventu atspoguļošanu, Finanšu ministrija ir sagatavojusi </w:t>
      </w:r>
      <w:r w:rsidR="009D62AC">
        <w:rPr>
          <w:rFonts w:ascii="Times New Roman" w:eastAsia="Times New Roman" w:hAnsi="Times New Roman" w:cs="Times New Roman"/>
          <w:color w:val="000000"/>
          <w:sz w:val="24"/>
          <w:szCs w:val="23"/>
          <w:lang w:eastAsia="lv-LV"/>
        </w:rPr>
        <w:t xml:space="preserve">grozījumus </w:t>
      </w:r>
      <w:r>
        <w:rPr>
          <w:rFonts w:ascii="Times New Roman" w:eastAsia="Times New Roman" w:hAnsi="Times New Roman" w:cs="Times New Roman"/>
          <w:color w:val="000000"/>
          <w:sz w:val="24"/>
          <w:szCs w:val="23"/>
          <w:lang w:eastAsia="lv-LV"/>
        </w:rPr>
        <w:t>Stabilitātes programm</w:t>
      </w:r>
      <w:r w:rsidR="009D62AC">
        <w:rPr>
          <w:rFonts w:ascii="Times New Roman" w:eastAsia="Times New Roman" w:hAnsi="Times New Roman" w:cs="Times New Roman"/>
          <w:color w:val="000000"/>
          <w:sz w:val="24"/>
          <w:szCs w:val="23"/>
          <w:lang w:eastAsia="lv-LV"/>
        </w:rPr>
        <w:t>ā</w:t>
      </w:r>
      <w:r>
        <w:rPr>
          <w:rFonts w:ascii="Times New Roman" w:eastAsia="Times New Roman" w:hAnsi="Times New Roman" w:cs="Times New Roman"/>
          <w:color w:val="000000"/>
          <w:sz w:val="24"/>
          <w:szCs w:val="23"/>
          <w:lang w:eastAsia="lv-LV"/>
        </w:rPr>
        <w:t>, ar kuriem</w:t>
      </w:r>
      <w:r w:rsidRPr="00C0710F">
        <w:rPr>
          <w:rFonts w:ascii="Times New Roman" w:eastAsia="Times New Roman" w:hAnsi="Times New Roman" w:cs="Times New Roman"/>
          <w:color w:val="000000"/>
          <w:sz w:val="24"/>
          <w:szCs w:val="23"/>
          <w:lang w:eastAsia="lv-LV"/>
        </w:rPr>
        <w:t>:</w:t>
      </w:r>
    </w:p>
    <w:p w:rsidR="00A1238D" w:rsidRDefault="00A1238D" w:rsidP="00A1238D">
      <w:pPr>
        <w:pStyle w:val="NormalWeb"/>
        <w:ind w:firstLine="720"/>
        <w:jc w:val="both"/>
        <w:rPr>
          <w:rFonts w:eastAsia="Times New Roman"/>
          <w:color w:val="000000"/>
          <w:szCs w:val="23"/>
        </w:rPr>
      </w:pPr>
    </w:p>
    <w:p w:rsidR="00A1238D" w:rsidRDefault="00A1238D" w:rsidP="00A1238D">
      <w:pPr>
        <w:pStyle w:val="NormalWeb"/>
        <w:numPr>
          <w:ilvl w:val="0"/>
          <w:numId w:val="3"/>
        </w:numPr>
        <w:jc w:val="both"/>
        <w:rPr>
          <w:rFonts w:eastAsia="Times New Roman"/>
          <w:color w:val="000000"/>
          <w:szCs w:val="23"/>
        </w:rPr>
      </w:pPr>
      <w:r>
        <w:rPr>
          <w:rFonts w:eastAsia="Times New Roman"/>
          <w:color w:val="000000"/>
          <w:szCs w:val="23"/>
        </w:rPr>
        <w:t xml:space="preserve">Stabilitātes programmas sadaļa </w:t>
      </w:r>
      <w:r w:rsidRPr="0082255C">
        <w:rPr>
          <w:rFonts w:eastAsia="Times New Roman"/>
          <w:color w:val="000000"/>
          <w:szCs w:val="23"/>
        </w:rPr>
        <w:t xml:space="preserve">3.2. </w:t>
      </w:r>
      <w:r>
        <w:rPr>
          <w:rFonts w:eastAsia="Times New Roman"/>
          <w:color w:val="000000"/>
          <w:szCs w:val="23"/>
        </w:rPr>
        <w:t>“</w:t>
      </w:r>
      <w:r w:rsidRPr="0082255C">
        <w:rPr>
          <w:rFonts w:eastAsia="Times New Roman"/>
          <w:color w:val="000000"/>
          <w:szCs w:val="23"/>
        </w:rPr>
        <w:t>Pašreizējā fiskālā situācija</w:t>
      </w:r>
      <w:r>
        <w:rPr>
          <w:rFonts w:eastAsia="Times New Roman"/>
          <w:color w:val="000000"/>
          <w:szCs w:val="23"/>
        </w:rPr>
        <w:t>” tiek aizstāta ar šo grozījumu 1. pielikumu;</w:t>
      </w:r>
    </w:p>
    <w:p w:rsidR="00A1238D" w:rsidRDefault="00A1238D" w:rsidP="00A1238D">
      <w:pPr>
        <w:pStyle w:val="NormalWeb"/>
        <w:numPr>
          <w:ilvl w:val="0"/>
          <w:numId w:val="3"/>
        </w:numPr>
        <w:jc w:val="both"/>
        <w:rPr>
          <w:rFonts w:eastAsia="Times New Roman"/>
          <w:color w:val="000000"/>
          <w:szCs w:val="23"/>
        </w:rPr>
      </w:pPr>
      <w:r>
        <w:rPr>
          <w:rFonts w:eastAsia="Times New Roman"/>
          <w:color w:val="000000"/>
          <w:szCs w:val="23"/>
        </w:rPr>
        <w:t xml:space="preserve">Stabilitātes programmas sadaļa </w:t>
      </w:r>
      <w:r w:rsidRPr="0082255C">
        <w:rPr>
          <w:rFonts w:eastAsia="Times New Roman"/>
          <w:color w:val="000000"/>
          <w:szCs w:val="23"/>
        </w:rPr>
        <w:t xml:space="preserve">3.3. </w:t>
      </w:r>
      <w:r>
        <w:rPr>
          <w:rFonts w:eastAsia="Times New Roman"/>
          <w:color w:val="000000"/>
          <w:szCs w:val="23"/>
        </w:rPr>
        <w:t>“</w:t>
      </w:r>
      <w:r w:rsidRPr="0082255C">
        <w:rPr>
          <w:rFonts w:eastAsia="Times New Roman"/>
          <w:color w:val="000000"/>
          <w:szCs w:val="23"/>
        </w:rPr>
        <w:t>Fiskālās attīstības scenārijs</w:t>
      </w:r>
      <w:r>
        <w:rPr>
          <w:rFonts w:eastAsia="Times New Roman"/>
          <w:color w:val="000000"/>
          <w:szCs w:val="23"/>
        </w:rPr>
        <w:t>” tiek aizstāta ar šo grozījumu 2. pielikumu;</w:t>
      </w:r>
    </w:p>
    <w:p w:rsidR="00A1238D" w:rsidRPr="005721ED" w:rsidRDefault="00A1238D" w:rsidP="00A1238D">
      <w:pPr>
        <w:pStyle w:val="NormalWeb"/>
        <w:numPr>
          <w:ilvl w:val="0"/>
          <w:numId w:val="3"/>
        </w:numPr>
        <w:jc w:val="both"/>
        <w:rPr>
          <w:rFonts w:eastAsia="Times New Roman"/>
          <w:color w:val="000000"/>
          <w:szCs w:val="23"/>
        </w:rPr>
      </w:pPr>
      <w:r>
        <w:rPr>
          <w:rFonts w:eastAsia="Times New Roman"/>
          <w:color w:val="000000"/>
          <w:szCs w:val="23"/>
        </w:rPr>
        <w:t>Stabilitātes programmas sadaļa 3.4</w:t>
      </w:r>
      <w:r w:rsidRPr="0082255C">
        <w:rPr>
          <w:rFonts w:eastAsia="Times New Roman"/>
          <w:color w:val="000000"/>
          <w:szCs w:val="23"/>
        </w:rPr>
        <w:t xml:space="preserve">. </w:t>
      </w:r>
      <w:r>
        <w:rPr>
          <w:rFonts w:eastAsia="Times New Roman"/>
          <w:color w:val="000000"/>
          <w:szCs w:val="23"/>
        </w:rPr>
        <w:t>“</w:t>
      </w:r>
      <w:r w:rsidRPr="005721ED">
        <w:rPr>
          <w:rFonts w:eastAsia="Times New Roman"/>
          <w:color w:val="000000"/>
          <w:szCs w:val="23"/>
        </w:rPr>
        <w:t>Valdības parāda vidēja termiņa attīstības tendences</w:t>
      </w:r>
      <w:r>
        <w:rPr>
          <w:rFonts w:eastAsia="Times New Roman"/>
          <w:color w:val="000000"/>
          <w:szCs w:val="23"/>
        </w:rPr>
        <w:t>” tiek aizstāta ar šo grozījumu 3. pielikumu;</w:t>
      </w:r>
    </w:p>
    <w:p w:rsidR="00A1238D" w:rsidRDefault="00A1238D" w:rsidP="00A1238D">
      <w:pPr>
        <w:pStyle w:val="NormalWeb"/>
        <w:numPr>
          <w:ilvl w:val="0"/>
          <w:numId w:val="3"/>
        </w:numPr>
        <w:jc w:val="both"/>
        <w:rPr>
          <w:rFonts w:eastAsia="Times New Roman"/>
          <w:color w:val="000000"/>
          <w:szCs w:val="23"/>
        </w:rPr>
      </w:pPr>
      <w:r>
        <w:rPr>
          <w:rFonts w:eastAsia="Times New Roman"/>
          <w:color w:val="000000"/>
          <w:szCs w:val="23"/>
        </w:rPr>
        <w:t xml:space="preserve">Stabilitātes programmas sadaļa </w:t>
      </w:r>
      <w:r w:rsidRPr="00C142C2">
        <w:rPr>
          <w:rFonts w:eastAsia="Times New Roman"/>
          <w:color w:val="000000"/>
          <w:szCs w:val="23"/>
        </w:rPr>
        <w:t xml:space="preserve">4.3. </w:t>
      </w:r>
      <w:r>
        <w:rPr>
          <w:rFonts w:eastAsia="Times New Roman"/>
          <w:color w:val="000000"/>
          <w:szCs w:val="23"/>
        </w:rPr>
        <w:t>“</w:t>
      </w:r>
      <w:r w:rsidRPr="00C142C2">
        <w:rPr>
          <w:rFonts w:eastAsia="Times New Roman"/>
          <w:color w:val="000000"/>
          <w:szCs w:val="23"/>
        </w:rPr>
        <w:t>Vispārējās valdības budžeta bilances un parāda prognožu salīdzinājums ar Latvijas Stabilitātes programmu 2018. – 2021.gadam</w:t>
      </w:r>
      <w:r>
        <w:rPr>
          <w:rFonts w:eastAsia="Times New Roman"/>
          <w:color w:val="000000"/>
          <w:szCs w:val="23"/>
        </w:rPr>
        <w:t>” tiek aizstāta ar šo grozījumu 4. pielikumu;</w:t>
      </w:r>
    </w:p>
    <w:p w:rsidR="00A1238D" w:rsidRPr="0082255C" w:rsidRDefault="00A1238D" w:rsidP="00A1238D">
      <w:pPr>
        <w:pStyle w:val="NormalWeb"/>
        <w:numPr>
          <w:ilvl w:val="0"/>
          <w:numId w:val="3"/>
        </w:numPr>
        <w:jc w:val="both"/>
        <w:rPr>
          <w:rFonts w:eastAsia="Times New Roman"/>
          <w:color w:val="000000"/>
          <w:szCs w:val="23"/>
        </w:rPr>
      </w:pPr>
      <w:r>
        <w:rPr>
          <w:rFonts w:eastAsia="Times New Roman"/>
          <w:color w:val="000000"/>
          <w:szCs w:val="23"/>
        </w:rPr>
        <w:t>Stabilitātes programmas pielikumā ietvertās tabulas Nr. 1d, Nr. 2a, Nr. 2b, Nr. 4, Nr. 5, Nr. 6 un Nr. 7a tiek aizstātas ar šo grozījumu 5. pielikumu.</w:t>
      </w:r>
    </w:p>
    <w:p w:rsidR="00A1238D" w:rsidRPr="0035708F" w:rsidRDefault="00A1238D" w:rsidP="00A1238D">
      <w:pPr>
        <w:pStyle w:val="NormalWeb"/>
        <w:jc w:val="both"/>
        <w:rPr>
          <w:rFonts w:eastAsia="Times New Roman"/>
          <w:color w:val="000000"/>
          <w:szCs w:val="23"/>
        </w:rPr>
      </w:pPr>
    </w:p>
    <w:p w:rsidR="00A1238D" w:rsidRDefault="00A1238D" w:rsidP="00A1238D">
      <w:pPr>
        <w:spacing w:after="0" w:line="240" w:lineRule="auto"/>
        <w:ind w:firstLine="720"/>
        <w:jc w:val="both"/>
        <w:rPr>
          <w:rFonts w:ascii="Times New Roman" w:eastAsia="Times New Roman" w:hAnsi="Times New Roman" w:cs="Times New Roman"/>
          <w:color w:val="000000"/>
          <w:sz w:val="24"/>
          <w:szCs w:val="23"/>
          <w:lang w:eastAsia="lv-LV"/>
        </w:rPr>
      </w:pPr>
      <w:r>
        <w:rPr>
          <w:rFonts w:ascii="Times New Roman" w:eastAsia="Times New Roman" w:hAnsi="Times New Roman" w:cs="Times New Roman"/>
          <w:color w:val="000000"/>
          <w:sz w:val="24"/>
          <w:szCs w:val="23"/>
          <w:lang w:eastAsia="lv-LV"/>
        </w:rPr>
        <w:t xml:space="preserve">Jāatzīmē, ka iemesli, kas noteica izmaiņas 2018.gada fiskālajos rādītājos nerada ietekmi uz turpmāko gadu fiskālajiem rādītājiem, tāpēc grozījumi Stabilitātes </w:t>
      </w:r>
      <w:r w:rsidR="001D776B">
        <w:rPr>
          <w:rFonts w:ascii="Times New Roman" w:eastAsia="Times New Roman" w:hAnsi="Times New Roman" w:cs="Times New Roman"/>
          <w:color w:val="000000"/>
          <w:sz w:val="24"/>
          <w:szCs w:val="23"/>
          <w:lang w:eastAsia="lv-LV"/>
        </w:rPr>
        <w:t>p</w:t>
      </w:r>
      <w:r>
        <w:rPr>
          <w:rFonts w:ascii="Times New Roman" w:eastAsia="Times New Roman" w:hAnsi="Times New Roman" w:cs="Times New Roman"/>
          <w:color w:val="000000"/>
          <w:sz w:val="24"/>
          <w:szCs w:val="23"/>
          <w:lang w:eastAsia="lv-LV"/>
        </w:rPr>
        <w:t>rogrammā nemaina turpmāko gadu fiskālās prognozes.</w:t>
      </w:r>
    </w:p>
    <w:p w:rsidR="0071501E" w:rsidRDefault="0071501E">
      <w:pPr>
        <w:spacing w:after="0" w:line="240" w:lineRule="auto"/>
        <w:rPr>
          <w:rFonts w:ascii="Times New Roman" w:eastAsiaTheme="majorEastAsia" w:hAnsi="Times New Roman" w:cs="Times New Roman"/>
          <w:b/>
          <w:bCs/>
          <w:smallCaps/>
          <w:color w:val="000000" w:themeColor="text1"/>
          <w:sz w:val="32"/>
          <w:szCs w:val="32"/>
        </w:rPr>
      </w:pPr>
      <w:r>
        <w:rPr>
          <w:rFonts w:ascii="Times New Roman" w:hAnsi="Times New Roman" w:cs="Times New Roman"/>
          <w:sz w:val="32"/>
          <w:szCs w:val="32"/>
        </w:rPr>
        <w:br w:type="page"/>
      </w:r>
    </w:p>
    <w:p w:rsidR="0071501E" w:rsidRPr="00AF71D1" w:rsidRDefault="0071501E" w:rsidP="00DF2CC5">
      <w:pPr>
        <w:pStyle w:val="Heading1"/>
        <w:numPr>
          <w:ilvl w:val="0"/>
          <w:numId w:val="0"/>
        </w:numPr>
        <w:jc w:val="center"/>
        <w:rPr>
          <w:rFonts w:ascii="Times New Roman" w:hAnsi="Times New Roman" w:cs="Times New Roman"/>
          <w:sz w:val="32"/>
          <w:szCs w:val="32"/>
        </w:rPr>
      </w:pPr>
      <w:bookmarkStart w:id="4" w:name="_Toc8285991"/>
      <w:r>
        <w:rPr>
          <w:rFonts w:ascii="Times New Roman" w:hAnsi="Times New Roman" w:cs="Times New Roman"/>
          <w:sz w:val="32"/>
          <w:szCs w:val="32"/>
        </w:rPr>
        <w:lastRenderedPageBreak/>
        <w:t xml:space="preserve">1. </w:t>
      </w:r>
      <w:r w:rsidRPr="00AF71D1">
        <w:rPr>
          <w:rFonts w:ascii="Times New Roman" w:hAnsi="Times New Roman" w:cs="Times New Roman"/>
          <w:sz w:val="32"/>
          <w:szCs w:val="32"/>
        </w:rPr>
        <w:t>Pielikum</w:t>
      </w:r>
      <w:r>
        <w:rPr>
          <w:rFonts w:ascii="Times New Roman" w:hAnsi="Times New Roman" w:cs="Times New Roman"/>
          <w:sz w:val="32"/>
          <w:szCs w:val="32"/>
        </w:rPr>
        <w:t>s</w:t>
      </w:r>
      <w:bookmarkEnd w:id="4"/>
    </w:p>
    <w:p w:rsidR="00EE1979" w:rsidRPr="00362E1B" w:rsidRDefault="00EE1979" w:rsidP="00362E1B">
      <w:pPr>
        <w:rPr>
          <w:rFonts w:ascii="Times New Roman" w:hAnsi="Times New Roman" w:cs="Times New Roman"/>
          <w:b/>
          <w:sz w:val="24"/>
          <w:szCs w:val="24"/>
        </w:rPr>
      </w:pPr>
      <w:bookmarkStart w:id="5" w:name="_Toc510790656"/>
      <w:bookmarkStart w:id="6" w:name="_Toc5627370"/>
      <w:bookmarkStart w:id="7" w:name="_Toc5693309"/>
      <w:r w:rsidRPr="00362E1B">
        <w:rPr>
          <w:rFonts w:ascii="Times New Roman" w:hAnsi="Times New Roman" w:cs="Times New Roman"/>
          <w:b/>
          <w:sz w:val="24"/>
          <w:szCs w:val="24"/>
        </w:rPr>
        <w:t>3.2.</w:t>
      </w:r>
      <w:r w:rsidR="00DF2CC5">
        <w:rPr>
          <w:rFonts w:ascii="Times New Roman" w:hAnsi="Times New Roman" w:cs="Times New Roman"/>
          <w:b/>
          <w:sz w:val="24"/>
          <w:szCs w:val="24"/>
        </w:rPr>
        <w:t xml:space="preserve"> </w:t>
      </w:r>
      <w:r w:rsidRPr="00362E1B">
        <w:rPr>
          <w:rFonts w:ascii="Times New Roman" w:hAnsi="Times New Roman" w:cs="Times New Roman"/>
          <w:b/>
          <w:sz w:val="24"/>
          <w:szCs w:val="24"/>
        </w:rPr>
        <w:t>Pašreizējā fiskālā situācija</w:t>
      </w:r>
      <w:bookmarkEnd w:id="5"/>
      <w:bookmarkEnd w:id="6"/>
      <w:bookmarkEnd w:id="7"/>
    </w:p>
    <w:p w:rsidR="00EE1979" w:rsidRDefault="00EE1979" w:rsidP="00EE1979">
      <w:pPr>
        <w:pStyle w:val="teksts"/>
        <w:spacing w:after="0"/>
        <w:ind w:firstLine="720"/>
        <w:rPr>
          <w:rFonts w:ascii="Times New Roman" w:eastAsia="Calibri" w:hAnsi="Times New Roman"/>
          <w:szCs w:val="24"/>
        </w:rPr>
      </w:pPr>
      <w:r>
        <w:rPr>
          <w:rFonts w:ascii="Times New Roman" w:eastAsia="Calibri" w:hAnsi="Times New Roman"/>
          <w:szCs w:val="24"/>
        </w:rPr>
        <w:t xml:space="preserve">Atbilstoši </w:t>
      </w:r>
      <w:r w:rsidR="00730998">
        <w:rPr>
          <w:rFonts w:ascii="Times New Roman" w:eastAsia="Calibri" w:hAnsi="Times New Roman"/>
          <w:szCs w:val="24"/>
        </w:rPr>
        <w:t>CSP</w:t>
      </w:r>
      <w:r>
        <w:rPr>
          <w:rFonts w:ascii="Times New Roman" w:eastAsia="Calibri" w:hAnsi="Times New Roman"/>
          <w:szCs w:val="24"/>
        </w:rPr>
        <w:t xml:space="preserve"> publicētajai informācijai par vispārējās valdības budžeta deficīta un parāda rezultātiem 2018.gadā vispārējās valdības nominālais budžeta deficīts bija 295,4 milj. </w:t>
      </w:r>
      <w:r w:rsidRPr="008C102F">
        <w:rPr>
          <w:rFonts w:ascii="Times New Roman" w:eastAsia="Calibri" w:hAnsi="Times New Roman"/>
          <w:i/>
          <w:color w:val="000000"/>
          <w:szCs w:val="24"/>
        </w:rPr>
        <w:t>euro</w:t>
      </w:r>
      <w:r>
        <w:rPr>
          <w:rFonts w:ascii="Times New Roman" w:eastAsia="Calibri" w:hAnsi="Times New Roman"/>
          <w:szCs w:val="24"/>
        </w:rPr>
        <w:t xml:space="preserve"> jeb 1,0% no IKP. Vispārējās valdības budžeta deficīta apmērs bija par 0,1 procentpunktu lielāks kā tika norādīts iepriekšējā Latvijas Stabilitātes programmā 2018.</w:t>
      </w:r>
      <w:r w:rsidRPr="009B0F5F">
        <w:rPr>
          <w:rFonts w:ascii="Times New Roman" w:hAnsi="Times New Roman"/>
          <w:noProof/>
          <w:color w:val="000000"/>
          <w:szCs w:val="24"/>
        </w:rPr>
        <w:t xml:space="preserve"> – </w:t>
      </w:r>
      <w:r>
        <w:rPr>
          <w:rFonts w:ascii="Times New Roman" w:eastAsia="Calibri" w:hAnsi="Times New Roman"/>
          <w:szCs w:val="24"/>
        </w:rPr>
        <w:t xml:space="preserve">2021.gadam. Augstāks vispārējās valdības budžeta deficīta līmenis skaidrojams ar augstākiem izdevumiem ES fondu projektu līdzfinansējumam, ņemot vērā ka ES fondi realizēti lielākā apjomā kā sākotnēji plānots, kā arī pieklasificēto komersantu saimnieciskās darbības rezultāti bija negatīvāki nekā iepriekš prognozēts. Savukārt vispārējās valdības budžeta ieņēmumi uzrādīja pieaugumu visās pozīcijās. Īpaši jāizceļ ienākuma un mantas kārtējie nodokļi, kuru pieaugumu veicināja augsti ieņēmumi no UIN, kas, savukārt, skaidrojami ar iemaksu straujāku kāpumu pēc deklarāciju datiem par 2017.gada rezultātiem. Augstāki nekā prognozēts bija arī pievienotās vērtības nodokļa un akcīzes nodokļa ieņēmumi, kas auguši līdzās ar straujāku ekonomisko izaugsmi. Salīdzinot ar iepriekšējo Stabilitātes programmu, valsts speciālā budžeta izdevumi tika veikti mazākā apjomā nekā plānots, pamatā ņemot vērā to, ka faktiskais slimības, bezdarbnieku un vecāku pabalstu saņēmēju skaits bija mazāks nekā plānots. </w:t>
      </w:r>
    </w:p>
    <w:p w:rsidR="00EE1979" w:rsidRPr="003D448B" w:rsidRDefault="00EE1979" w:rsidP="00EE1979">
      <w:pPr>
        <w:pStyle w:val="teksts"/>
        <w:spacing w:after="0"/>
        <w:ind w:firstLine="567"/>
        <w:rPr>
          <w:rFonts w:ascii="Times New Roman" w:eastAsia="Calibri" w:hAnsi="Times New Roman"/>
          <w:szCs w:val="24"/>
        </w:rPr>
      </w:pPr>
    </w:p>
    <w:p w:rsidR="00EE1979" w:rsidRDefault="00EE1979" w:rsidP="00EE1979">
      <w:pPr>
        <w:pStyle w:val="teksts"/>
        <w:spacing w:before="120" w:after="60"/>
        <w:jc w:val="center"/>
      </w:pPr>
      <w:r>
        <w:rPr>
          <w:noProof/>
          <w:lang w:eastAsia="lv-LV"/>
        </w:rPr>
        <w:drawing>
          <wp:inline distT="0" distB="0" distL="0" distR="0" wp14:anchorId="4790B268" wp14:editId="151908FD">
            <wp:extent cx="5358795" cy="34349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259" cy="3451285"/>
                    </a:xfrm>
                    <a:prstGeom prst="rect">
                      <a:avLst/>
                    </a:prstGeom>
                    <a:noFill/>
                  </pic:spPr>
                </pic:pic>
              </a:graphicData>
            </a:graphic>
          </wp:inline>
        </w:drawing>
      </w:r>
    </w:p>
    <w:p w:rsidR="00EE1979" w:rsidRPr="00DA204D" w:rsidRDefault="00EE1979" w:rsidP="00EE1979">
      <w:pPr>
        <w:pStyle w:val="teksts"/>
        <w:jc w:val="center"/>
        <w:rPr>
          <w:b/>
          <w:noProof/>
        </w:rPr>
      </w:pPr>
      <w:r w:rsidRPr="00DA204D">
        <w:rPr>
          <w:rFonts w:ascii="Times New Roman" w:eastAsia="Calibri" w:hAnsi="Times New Roman"/>
          <w:b/>
          <w:szCs w:val="24"/>
        </w:rPr>
        <w:t>3.</w:t>
      </w:r>
      <w:r>
        <w:rPr>
          <w:rFonts w:ascii="Times New Roman" w:eastAsia="Calibri" w:hAnsi="Times New Roman"/>
          <w:b/>
          <w:szCs w:val="24"/>
        </w:rPr>
        <w:t>3</w:t>
      </w:r>
      <w:r w:rsidRPr="00DA204D">
        <w:rPr>
          <w:rFonts w:ascii="Times New Roman" w:eastAsia="Calibri" w:hAnsi="Times New Roman"/>
          <w:b/>
          <w:szCs w:val="24"/>
        </w:rPr>
        <w:t>.</w:t>
      </w:r>
      <w:r>
        <w:rPr>
          <w:rFonts w:ascii="Times New Roman" w:eastAsia="Calibri" w:hAnsi="Times New Roman"/>
          <w:b/>
          <w:szCs w:val="24"/>
        </w:rPr>
        <w:t xml:space="preserve"> </w:t>
      </w:r>
      <w:r w:rsidRPr="00DA204D">
        <w:rPr>
          <w:rFonts w:ascii="Times New Roman" w:eastAsia="Calibri" w:hAnsi="Times New Roman"/>
          <w:b/>
          <w:szCs w:val="24"/>
        </w:rPr>
        <w:t>att</w:t>
      </w:r>
      <w:r>
        <w:rPr>
          <w:rFonts w:ascii="Times New Roman" w:eastAsia="Calibri" w:hAnsi="Times New Roman"/>
          <w:b/>
          <w:szCs w:val="24"/>
        </w:rPr>
        <w:t>ēls</w:t>
      </w:r>
      <w:r w:rsidRPr="00DA204D">
        <w:rPr>
          <w:rFonts w:ascii="Times New Roman" w:eastAsia="Calibri" w:hAnsi="Times New Roman"/>
          <w:b/>
          <w:szCs w:val="24"/>
        </w:rPr>
        <w:t xml:space="preserve">. Vispārējās valdības budžeta bilance </w:t>
      </w:r>
      <w:r w:rsidRPr="00DA204D">
        <w:rPr>
          <w:rFonts w:ascii="Times New Roman" w:eastAsia="Calibri" w:hAnsi="Times New Roman"/>
          <w:b/>
          <w:noProof/>
          <w:szCs w:val="24"/>
        </w:rPr>
        <w:t xml:space="preserve">sadalījumā pa apakšsektoriem, % no IKP (Datu avots: </w:t>
      </w:r>
      <w:r w:rsidRPr="00DA204D">
        <w:rPr>
          <w:rFonts w:ascii="Times New Roman" w:eastAsia="Calibri" w:hAnsi="Times New Roman"/>
          <w:b/>
          <w:i/>
          <w:noProof/>
          <w:szCs w:val="24"/>
        </w:rPr>
        <w:t>Eurostat</w:t>
      </w:r>
      <w:r w:rsidRPr="00DA204D">
        <w:rPr>
          <w:rFonts w:ascii="Times New Roman" w:eastAsia="Calibri" w:hAnsi="Times New Roman"/>
          <w:b/>
          <w:noProof/>
          <w:szCs w:val="24"/>
        </w:rPr>
        <w:t>)</w:t>
      </w:r>
    </w:p>
    <w:p w:rsidR="00EE1979" w:rsidRDefault="00EE1979" w:rsidP="00EE1979">
      <w:pPr>
        <w:pStyle w:val="teksts"/>
        <w:spacing w:after="0"/>
        <w:ind w:firstLine="567"/>
        <w:rPr>
          <w:rFonts w:ascii="Times New Roman" w:eastAsia="Calibri" w:hAnsi="Times New Roman"/>
          <w:szCs w:val="24"/>
        </w:rPr>
      </w:pPr>
      <w:r w:rsidRPr="003D448B">
        <w:rPr>
          <w:rFonts w:ascii="Times New Roman" w:eastAsia="Calibri" w:hAnsi="Times New Roman"/>
          <w:szCs w:val="24"/>
        </w:rPr>
        <w:t>Analizējot vispārējās valdības apakšsektoru ieguldījumu kopējā fiskālajā bilancē, jāsecina, ka negatīvo bilanci galvenokārt veidoja centrālās valdības un vietēj</w:t>
      </w:r>
      <w:r>
        <w:rPr>
          <w:rFonts w:ascii="Times New Roman" w:eastAsia="Calibri" w:hAnsi="Times New Roman"/>
          <w:szCs w:val="24"/>
        </w:rPr>
        <w:t>ās valdības deficīts, kas 2018.</w:t>
      </w:r>
      <w:r w:rsidRPr="003D448B">
        <w:rPr>
          <w:rFonts w:ascii="Times New Roman" w:eastAsia="Calibri" w:hAnsi="Times New Roman"/>
          <w:szCs w:val="24"/>
        </w:rPr>
        <w:t xml:space="preserve">gadā bija </w:t>
      </w:r>
      <w:r>
        <w:rPr>
          <w:rFonts w:ascii="Times New Roman" w:eastAsia="Calibri" w:hAnsi="Times New Roman"/>
          <w:szCs w:val="24"/>
        </w:rPr>
        <w:t>1,1</w:t>
      </w:r>
      <w:r w:rsidRPr="003D448B">
        <w:rPr>
          <w:rFonts w:ascii="Times New Roman" w:eastAsia="Calibri" w:hAnsi="Times New Roman"/>
          <w:szCs w:val="24"/>
        </w:rPr>
        <w:t xml:space="preserve">% no IKP un </w:t>
      </w:r>
      <w:r>
        <w:rPr>
          <w:rFonts w:ascii="Times New Roman" w:eastAsia="Calibri" w:hAnsi="Times New Roman"/>
          <w:szCs w:val="24"/>
        </w:rPr>
        <w:t>0,7</w:t>
      </w:r>
      <w:r w:rsidRPr="003D448B">
        <w:rPr>
          <w:rFonts w:ascii="Times New Roman" w:eastAsia="Calibri" w:hAnsi="Times New Roman"/>
          <w:szCs w:val="24"/>
        </w:rPr>
        <w:t>% no IKP attiecīgi. Savukārt sociālās nodroši</w:t>
      </w:r>
      <w:r>
        <w:rPr>
          <w:rFonts w:ascii="Times New Roman" w:eastAsia="Calibri" w:hAnsi="Times New Roman"/>
          <w:szCs w:val="24"/>
        </w:rPr>
        <w:t>nāšanas fonda pārpalikums 2018.</w:t>
      </w:r>
      <w:r w:rsidRPr="003D448B">
        <w:rPr>
          <w:rFonts w:ascii="Times New Roman" w:eastAsia="Calibri" w:hAnsi="Times New Roman"/>
          <w:szCs w:val="24"/>
        </w:rPr>
        <w:t xml:space="preserve">gadā veidoja </w:t>
      </w:r>
      <w:r>
        <w:rPr>
          <w:rFonts w:ascii="Times New Roman" w:eastAsia="Calibri" w:hAnsi="Times New Roman"/>
          <w:szCs w:val="24"/>
        </w:rPr>
        <w:t>0,8</w:t>
      </w:r>
      <w:r w:rsidRPr="003D448B">
        <w:rPr>
          <w:rFonts w:ascii="Times New Roman" w:eastAsia="Calibri" w:hAnsi="Times New Roman"/>
          <w:szCs w:val="24"/>
        </w:rPr>
        <w:t>% no IKP (skat. 3.</w:t>
      </w:r>
      <w:r>
        <w:rPr>
          <w:rFonts w:ascii="Times New Roman" w:eastAsia="Calibri" w:hAnsi="Times New Roman"/>
          <w:szCs w:val="24"/>
        </w:rPr>
        <w:t>3.attēlu</w:t>
      </w:r>
      <w:r w:rsidRPr="003D448B">
        <w:rPr>
          <w:rFonts w:ascii="Times New Roman" w:eastAsia="Calibri" w:hAnsi="Times New Roman"/>
          <w:szCs w:val="24"/>
        </w:rPr>
        <w:t>).</w:t>
      </w:r>
    </w:p>
    <w:p w:rsidR="00EE1979" w:rsidRDefault="00EE1979" w:rsidP="00EE1979">
      <w:pPr>
        <w:pStyle w:val="teksts"/>
        <w:spacing w:after="0"/>
        <w:ind w:firstLine="567"/>
        <w:rPr>
          <w:rFonts w:ascii="Times New Roman" w:eastAsia="Calibri" w:hAnsi="Times New Roman"/>
          <w:noProof/>
          <w:szCs w:val="24"/>
        </w:rPr>
      </w:pPr>
      <w:r>
        <w:rPr>
          <w:rFonts w:ascii="Times New Roman" w:eastAsia="Calibri" w:hAnsi="Times New Roman"/>
          <w:szCs w:val="24"/>
        </w:rPr>
        <w:t>2018.gadā, salīdzinot ar iepriekšējo gadu, vispārējās valdības budžeta deficīts pieaudzis par 0,4 procentpunktiem. Vispārējās valdības budžeta ieņēmumi pieauguši par 1</w:t>
      </w:r>
      <w:r w:rsidR="007D040E">
        <w:rPr>
          <w:rFonts w:ascii="Times New Roman" w:eastAsia="Calibri" w:hAnsi="Times New Roman"/>
          <w:szCs w:val="24"/>
        </w:rPr>
        <w:t> </w:t>
      </w:r>
      <w:r>
        <w:rPr>
          <w:rFonts w:ascii="Times New Roman" w:eastAsia="Calibri" w:hAnsi="Times New Roman"/>
          <w:szCs w:val="24"/>
        </w:rPr>
        <w:t xml:space="preserve">002,0 milj. </w:t>
      </w:r>
      <w:r w:rsidRPr="008C102F">
        <w:rPr>
          <w:rFonts w:ascii="Times New Roman" w:eastAsia="Calibri" w:hAnsi="Times New Roman"/>
          <w:i/>
          <w:color w:val="000000"/>
          <w:szCs w:val="24"/>
        </w:rPr>
        <w:t>euro</w:t>
      </w:r>
      <w:r>
        <w:rPr>
          <w:rFonts w:ascii="Times New Roman" w:eastAsia="Calibri" w:hAnsi="Times New Roman"/>
          <w:szCs w:val="24"/>
        </w:rPr>
        <w:t xml:space="preserve"> jeb 10,0%, sasniedzot 11,1 miljardus </w:t>
      </w:r>
      <w:r w:rsidRPr="008C102F">
        <w:rPr>
          <w:rFonts w:ascii="Times New Roman" w:eastAsia="Calibri" w:hAnsi="Times New Roman"/>
          <w:i/>
          <w:color w:val="000000"/>
          <w:szCs w:val="24"/>
        </w:rPr>
        <w:t>euro</w:t>
      </w:r>
      <w:r>
        <w:rPr>
          <w:rFonts w:ascii="Times New Roman" w:eastAsia="Calibri" w:hAnsi="Times New Roman"/>
          <w:szCs w:val="24"/>
        </w:rPr>
        <w:t xml:space="preserve"> jeb 37,5% no IKP </w:t>
      </w:r>
      <w:r>
        <w:rPr>
          <w:rFonts w:ascii="Times New Roman" w:eastAsia="Calibri" w:hAnsi="Times New Roman"/>
          <w:szCs w:val="24"/>
        </w:rPr>
        <w:lastRenderedPageBreak/>
        <w:t xml:space="preserve">(skat. 3.4.attētu). Ieņēmumu pieaugumu veicināja nodokļu ieņēmumu pieaugums. </w:t>
      </w:r>
      <w:r>
        <w:rPr>
          <w:rFonts w:ascii="Times New Roman" w:eastAsia="Calibri" w:hAnsi="Times New Roman"/>
          <w:color w:val="000000"/>
          <w:szCs w:val="24"/>
        </w:rPr>
        <w:t>Nodokļu ieņēmumi</w:t>
      </w:r>
      <w:r>
        <w:rPr>
          <w:rStyle w:val="FootnoteReference"/>
          <w:rFonts w:ascii="Times New Roman" w:eastAsia="Calibri" w:hAnsi="Times New Roman"/>
          <w:color w:val="000000"/>
          <w:szCs w:val="24"/>
        </w:rPr>
        <w:footnoteReference w:id="1"/>
      </w:r>
      <w:r>
        <w:rPr>
          <w:rFonts w:ascii="Times New Roman" w:eastAsia="Calibri" w:hAnsi="Times New Roman"/>
          <w:color w:val="000000"/>
          <w:szCs w:val="24"/>
        </w:rPr>
        <w:t xml:space="preserve"> 2018.gadā sasniedza 31,0% no IKP, kas ir par 0,4 procentpunktiem mazāk kā 2017.gadā. Nodokļu ieņēmumu īpatsvara kritumu </w:t>
      </w:r>
      <w:r w:rsidRPr="003C7327">
        <w:rPr>
          <w:rFonts w:ascii="Times New Roman" w:hAnsi="Times New Roman"/>
          <w:color w:val="000000"/>
          <w:szCs w:val="24"/>
          <w:lang w:eastAsia="lv-LV"/>
        </w:rPr>
        <w:t>IKP</w:t>
      </w:r>
      <w:r>
        <w:rPr>
          <w:rFonts w:ascii="Times New Roman" w:eastAsia="Calibri" w:hAnsi="Times New Roman"/>
          <w:color w:val="000000"/>
          <w:szCs w:val="24"/>
        </w:rPr>
        <w:t xml:space="preserve"> ietekmēja nodokļu reforma, kuras ietvaros būtiski samazinājās ieņēmumi no ienākuma un mantas kārtējiem nodokļiem (D.5)</w:t>
      </w:r>
      <w:r>
        <w:rPr>
          <w:rFonts w:ascii="Times New Roman" w:eastAsia="Calibri" w:hAnsi="Times New Roman"/>
          <w:szCs w:val="24"/>
        </w:rPr>
        <w:t xml:space="preserve">, kas salīdzinot ar 2017.gadu samazinājušies par 151,4 milj. </w:t>
      </w:r>
      <w:r w:rsidRPr="008C102F">
        <w:rPr>
          <w:rFonts w:ascii="Times New Roman" w:eastAsia="Calibri" w:hAnsi="Times New Roman"/>
          <w:i/>
          <w:color w:val="000000"/>
          <w:szCs w:val="24"/>
        </w:rPr>
        <w:t>euro</w:t>
      </w:r>
      <w:r>
        <w:rPr>
          <w:rFonts w:ascii="Times New Roman" w:eastAsia="Calibri" w:hAnsi="Times New Roman"/>
          <w:szCs w:val="24"/>
        </w:rPr>
        <w:t xml:space="preserve"> jeb 6,6%. Nodokļu reformas rezultātā būtiski tika ietekmēti gan IIN, gan UIN ieņēmumi. Ja iedzīvotāju ienākuma nodokļa ieņēmumi uzrādīja pieaugumu 1,6% jeb 27,7 milj. </w:t>
      </w:r>
      <w:r w:rsidRPr="008C102F">
        <w:rPr>
          <w:rFonts w:ascii="Times New Roman" w:eastAsia="Calibri" w:hAnsi="Times New Roman"/>
          <w:i/>
          <w:color w:val="000000"/>
          <w:szCs w:val="24"/>
        </w:rPr>
        <w:t>euro</w:t>
      </w:r>
      <w:r>
        <w:rPr>
          <w:rFonts w:ascii="Times New Roman" w:eastAsia="Calibri" w:hAnsi="Times New Roman"/>
          <w:szCs w:val="24"/>
        </w:rPr>
        <w:t xml:space="preserve"> apmērā, salīdzinot ar 2017.gadu, tad uzņēmuma ienākuma nodokļa ieņēmumi samazinājās par 28,6% jeb par 121,6 milj. </w:t>
      </w:r>
      <w:r w:rsidRPr="008C102F">
        <w:rPr>
          <w:rFonts w:ascii="Times New Roman" w:eastAsia="Calibri" w:hAnsi="Times New Roman"/>
          <w:i/>
          <w:color w:val="000000"/>
          <w:szCs w:val="24"/>
        </w:rPr>
        <w:t>euro</w:t>
      </w:r>
      <w:r>
        <w:rPr>
          <w:rFonts w:ascii="Times New Roman" w:eastAsia="Calibri" w:hAnsi="Times New Roman"/>
          <w:szCs w:val="24"/>
        </w:rPr>
        <w:t xml:space="preserve">. IIN reformas rezultātā tika veiktas vairākas izmaiņas, piemēram, ieviests progresīvais ienākuma nodoklis, paaugstināts diferencētais neapliekamais minimums, paaugstināts atvieglojums par apgādībā esošām personām, paaugstināts neapliekamais minums pensionāriem un paaugstināta minimālā darba alga no 380 </w:t>
      </w:r>
      <w:r w:rsidRPr="008C102F">
        <w:rPr>
          <w:rFonts w:ascii="Times New Roman" w:eastAsia="Calibri" w:hAnsi="Times New Roman"/>
          <w:i/>
          <w:color w:val="000000"/>
          <w:szCs w:val="24"/>
        </w:rPr>
        <w:t>euro</w:t>
      </w:r>
      <w:r>
        <w:rPr>
          <w:rFonts w:ascii="Times New Roman" w:eastAsia="Calibri" w:hAnsi="Times New Roman"/>
          <w:szCs w:val="24"/>
        </w:rPr>
        <w:t xml:space="preserve"> uz 430 </w:t>
      </w:r>
      <w:r w:rsidRPr="008C102F">
        <w:rPr>
          <w:rFonts w:ascii="Times New Roman" w:eastAsia="Calibri" w:hAnsi="Times New Roman"/>
          <w:i/>
          <w:color w:val="000000"/>
          <w:szCs w:val="24"/>
        </w:rPr>
        <w:t>euro</w:t>
      </w:r>
      <w:r w:rsidR="00730998">
        <w:rPr>
          <w:rFonts w:ascii="Times New Roman" w:eastAsia="Calibri" w:hAnsi="Times New Roman"/>
          <w:szCs w:val="24"/>
        </w:rPr>
        <w:t xml:space="preserve">. Savukārt, </w:t>
      </w:r>
      <w:r>
        <w:rPr>
          <w:rFonts w:ascii="Times New Roman" w:eastAsia="Calibri" w:hAnsi="Times New Roman"/>
          <w:szCs w:val="24"/>
        </w:rPr>
        <w:t xml:space="preserve">UIN reformas rezultātā tika noteikta nulles </w:t>
      </w:r>
      <w:r>
        <w:rPr>
          <w:rFonts w:ascii="Times New Roman" w:eastAsia="Calibri" w:hAnsi="Times New Roman"/>
          <w:noProof/>
          <w:szCs w:val="24"/>
        </w:rPr>
        <w:t>likme reinvestētai peļņai un netika piemērots UIN avansa maksājums pēc 2018.gada 1.jūlija.</w:t>
      </w:r>
    </w:p>
    <w:p w:rsidR="00EE1979" w:rsidRDefault="00EE1979" w:rsidP="00EE1979">
      <w:pPr>
        <w:pStyle w:val="teksts"/>
        <w:spacing w:after="0"/>
        <w:ind w:firstLine="567"/>
        <w:rPr>
          <w:rFonts w:ascii="Times New Roman" w:eastAsia="Calibri" w:hAnsi="Times New Roman"/>
          <w:noProof/>
          <w:szCs w:val="24"/>
        </w:rPr>
      </w:pPr>
      <w:r>
        <w:rPr>
          <w:rFonts w:ascii="Times New Roman" w:eastAsia="Calibri" w:hAnsi="Times New Roman"/>
          <w:color w:val="000000"/>
          <w:szCs w:val="24"/>
        </w:rPr>
        <w:t xml:space="preserve">Ražošanas un importa nodokļi (D.2), salīdzinot ar 2017.gadu, auguši par 402,2 milj. </w:t>
      </w:r>
      <w:r w:rsidRPr="008C102F">
        <w:rPr>
          <w:rFonts w:ascii="Times New Roman" w:eastAsia="Calibri" w:hAnsi="Times New Roman"/>
          <w:i/>
          <w:color w:val="000000"/>
          <w:szCs w:val="24"/>
        </w:rPr>
        <w:t>euro</w:t>
      </w:r>
      <w:r>
        <w:rPr>
          <w:rFonts w:ascii="Times New Roman" w:eastAsia="Calibri" w:hAnsi="Times New Roman"/>
          <w:color w:val="000000"/>
          <w:szCs w:val="24"/>
        </w:rPr>
        <w:t xml:space="preserve"> jeb 10,7%. Attīstoties ekonomikai un palielinoties iedzīvotāju pirktspējai, par 285,3 milj. </w:t>
      </w:r>
      <w:r w:rsidRPr="008C102F">
        <w:rPr>
          <w:rFonts w:ascii="Times New Roman" w:eastAsia="Calibri" w:hAnsi="Times New Roman"/>
          <w:i/>
          <w:color w:val="000000"/>
          <w:szCs w:val="24"/>
        </w:rPr>
        <w:t>euro</w:t>
      </w:r>
      <w:r>
        <w:rPr>
          <w:rFonts w:ascii="Times New Roman" w:eastAsia="Calibri" w:hAnsi="Times New Roman"/>
          <w:color w:val="000000"/>
          <w:szCs w:val="24"/>
        </w:rPr>
        <w:t xml:space="preserve"> jeb 13,2% pieauguši PVN ieņēmumi, savukārt</w:t>
      </w:r>
      <w:r w:rsidR="008D7E1D">
        <w:rPr>
          <w:rFonts w:ascii="Times New Roman" w:eastAsia="Calibri" w:hAnsi="Times New Roman"/>
          <w:color w:val="000000"/>
          <w:szCs w:val="24"/>
        </w:rPr>
        <w:t xml:space="preserve">, </w:t>
      </w:r>
      <w:r>
        <w:rPr>
          <w:rFonts w:ascii="Times New Roman" w:eastAsia="Calibri" w:hAnsi="Times New Roman"/>
          <w:color w:val="000000"/>
          <w:szCs w:val="24"/>
        </w:rPr>
        <w:t xml:space="preserve">akcīzes nodokļa ieņēmumi auguši par 117,4 milj. </w:t>
      </w:r>
      <w:r w:rsidRPr="00124554">
        <w:rPr>
          <w:rFonts w:ascii="Times New Roman" w:eastAsia="Calibri" w:hAnsi="Times New Roman"/>
          <w:i/>
          <w:color w:val="000000"/>
          <w:szCs w:val="24"/>
        </w:rPr>
        <w:t>euro</w:t>
      </w:r>
      <w:r>
        <w:rPr>
          <w:rFonts w:ascii="Times New Roman" w:eastAsia="Calibri" w:hAnsi="Times New Roman"/>
          <w:color w:val="000000"/>
          <w:szCs w:val="24"/>
        </w:rPr>
        <w:t xml:space="preserve"> jeb 12,9%. Akcīzes nodokļa ieņēmumu strauju pieaugumu veicināja arī akcīzes preču nodokļu likmju celšana, aktīva tirdzniecība pierobežā un akcīzes preču nelegālās aprites ierobežošana. Savukārt ražošanas un importa nodokļu pieaugumu palēnināja ieņēmumi no nekustamā īpašuma nodokļa par zemi un ēkām, kas samazinājušies par 7,2 milj. </w:t>
      </w:r>
      <w:r w:rsidRPr="00917436">
        <w:rPr>
          <w:rFonts w:ascii="Times New Roman" w:eastAsia="Calibri" w:hAnsi="Times New Roman"/>
          <w:i/>
          <w:color w:val="000000"/>
          <w:szCs w:val="24"/>
        </w:rPr>
        <w:t>euro</w:t>
      </w:r>
      <w:r>
        <w:rPr>
          <w:rFonts w:ascii="Times New Roman" w:eastAsia="Calibri" w:hAnsi="Times New Roman"/>
          <w:color w:val="000000"/>
          <w:szCs w:val="24"/>
        </w:rPr>
        <w:t xml:space="preserve"> un subsidētās elektroenerģijas nodokļa ieņēmumi, kas samazinājušies par 25,8 milj. </w:t>
      </w:r>
      <w:r w:rsidRPr="008C102F">
        <w:rPr>
          <w:rFonts w:ascii="Times New Roman" w:eastAsia="Calibri" w:hAnsi="Times New Roman"/>
          <w:i/>
          <w:color w:val="000000"/>
          <w:szCs w:val="24"/>
        </w:rPr>
        <w:t>euro</w:t>
      </w:r>
      <w:r>
        <w:rPr>
          <w:rFonts w:ascii="Times New Roman" w:eastAsia="Calibri" w:hAnsi="Times New Roman"/>
          <w:color w:val="000000"/>
          <w:szCs w:val="24"/>
        </w:rPr>
        <w:t>, jo kopš 2018.gada 1.janvāra subsidētās elektroenerģijas nodoklis vairs netiek piemērots.</w:t>
      </w:r>
    </w:p>
    <w:p w:rsidR="00EE1979" w:rsidRDefault="00EE1979" w:rsidP="00EE1979">
      <w:pPr>
        <w:pStyle w:val="teksts"/>
        <w:spacing w:after="0"/>
        <w:ind w:firstLine="567"/>
        <w:rPr>
          <w:rFonts w:ascii="Times New Roman" w:eastAsia="Calibri" w:hAnsi="Times New Roman"/>
          <w:color w:val="000000"/>
          <w:szCs w:val="24"/>
        </w:rPr>
      </w:pPr>
      <w:r>
        <w:rPr>
          <w:rFonts w:ascii="Times New Roman" w:eastAsia="Calibri" w:hAnsi="Times New Roman"/>
          <w:color w:val="000000"/>
          <w:szCs w:val="24"/>
        </w:rPr>
        <w:t xml:space="preserve">Sociālās apdrošināšanas iemaksas (D.61), salīdzinot ar 2017.gadu, pieaugušas par 402,3 milj. </w:t>
      </w:r>
      <w:r w:rsidRPr="008C102F">
        <w:rPr>
          <w:rFonts w:ascii="Times New Roman" w:eastAsia="Calibri" w:hAnsi="Times New Roman"/>
          <w:i/>
          <w:color w:val="000000"/>
          <w:szCs w:val="24"/>
        </w:rPr>
        <w:t>euro</w:t>
      </w:r>
      <w:r>
        <w:rPr>
          <w:rFonts w:ascii="Times New Roman" w:eastAsia="Calibri" w:hAnsi="Times New Roman"/>
          <w:color w:val="000000"/>
          <w:szCs w:val="24"/>
        </w:rPr>
        <w:t xml:space="preserve"> jeb 17,1%. Sociālo apdrošināšanas iemaksu pieaugumu veicināja labvēlīga situācija darba tirgū – 2018.gadā pieauga gan nodarbināto skaits, gan darba samaksas vidējais apmērs, kā arī būtisku pieaugumu nodrošināja valdības lēmums paaugstināt sociālās apdrošināšanas iemaksu likmi par 1 procentpunktu no 2018.gada 1.janvāra. Papildus iegūtie līdzekļi tika novirzīti atalgojuma paaugstināšanai veselības nozarē strādājošiem.</w:t>
      </w:r>
    </w:p>
    <w:p w:rsidR="00EE1979" w:rsidRPr="008946E4" w:rsidRDefault="00EE1979" w:rsidP="00EE1979">
      <w:pPr>
        <w:pStyle w:val="teksts"/>
        <w:spacing w:after="0"/>
        <w:ind w:firstLine="567"/>
        <w:rPr>
          <w:rFonts w:ascii="Times New Roman" w:eastAsia="Calibri" w:hAnsi="Times New Roman"/>
          <w:noProof/>
          <w:szCs w:val="24"/>
        </w:rPr>
      </w:pPr>
    </w:p>
    <w:p w:rsidR="00EE1979" w:rsidRDefault="00EE1979" w:rsidP="00EE1979">
      <w:pPr>
        <w:pStyle w:val="teksts"/>
        <w:spacing w:before="120" w:after="60"/>
        <w:jc w:val="center"/>
        <w:rPr>
          <w:rFonts w:ascii="Times New Roman" w:eastAsia="Calibri" w:hAnsi="Times New Roman"/>
          <w:color w:val="000000"/>
          <w:szCs w:val="24"/>
        </w:rPr>
      </w:pPr>
      <w:r>
        <w:rPr>
          <w:rFonts w:ascii="Times New Roman" w:eastAsia="Calibri" w:hAnsi="Times New Roman"/>
          <w:noProof/>
          <w:color w:val="000000"/>
          <w:szCs w:val="24"/>
          <w:lang w:eastAsia="lv-LV"/>
        </w:rPr>
        <w:lastRenderedPageBreak/>
        <w:drawing>
          <wp:inline distT="0" distB="0" distL="0" distR="0" wp14:anchorId="7C7A9724" wp14:editId="060539FE">
            <wp:extent cx="4823869" cy="314683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38691" cy="3156508"/>
                    </a:xfrm>
                    <a:prstGeom prst="rect">
                      <a:avLst/>
                    </a:prstGeom>
                    <a:noFill/>
                  </pic:spPr>
                </pic:pic>
              </a:graphicData>
            </a:graphic>
          </wp:inline>
        </w:drawing>
      </w:r>
    </w:p>
    <w:p w:rsidR="00EE1979" w:rsidRPr="007E7F6E" w:rsidRDefault="00EE1979" w:rsidP="00EE1979">
      <w:pPr>
        <w:pStyle w:val="teksts"/>
        <w:jc w:val="center"/>
        <w:rPr>
          <w:b/>
        </w:rPr>
      </w:pPr>
      <w:r>
        <w:rPr>
          <w:rFonts w:ascii="Times New Roman" w:eastAsia="Calibri" w:hAnsi="Times New Roman"/>
          <w:b/>
          <w:szCs w:val="24"/>
        </w:rPr>
        <w:t>3.4.</w:t>
      </w:r>
      <w:r w:rsidRPr="007E7F6E">
        <w:rPr>
          <w:rFonts w:ascii="Times New Roman" w:eastAsia="Calibri" w:hAnsi="Times New Roman"/>
          <w:b/>
          <w:szCs w:val="24"/>
        </w:rPr>
        <w:t>att</w:t>
      </w:r>
      <w:r>
        <w:rPr>
          <w:rFonts w:ascii="Times New Roman" w:eastAsia="Calibri" w:hAnsi="Times New Roman"/>
          <w:b/>
          <w:szCs w:val="24"/>
        </w:rPr>
        <w:t>ēls</w:t>
      </w:r>
      <w:r w:rsidRPr="007E7F6E">
        <w:rPr>
          <w:rFonts w:ascii="Times New Roman" w:eastAsia="Calibri" w:hAnsi="Times New Roman"/>
          <w:b/>
          <w:szCs w:val="24"/>
        </w:rPr>
        <w:t>. Vispārējās valdības ieņēmumi un izdevumi, % no IKP</w:t>
      </w:r>
      <w:r w:rsidRPr="007E7F6E">
        <w:rPr>
          <w:rFonts w:ascii="Times New Roman" w:eastAsia="Calibri" w:hAnsi="Times New Roman"/>
          <w:b/>
          <w:szCs w:val="24"/>
        </w:rPr>
        <w:br/>
        <w:t xml:space="preserve">(Datu </w:t>
      </w:r>
      <w:r w:rsidRPr="007E7F6E">
        <w:rPr>
          <w:rFonts w:ascii="Times New Roman" w:eastAsia="Calibri" w:hAnsi="Times New Roman"/>
          <w:b/>
          <w:noProof/>
          <w:szCs w:val="24"/>
        </w:rPr>
        <w:t xml:space="preserve">avots: </w:t>
      </w:r>
      <w:r w:rsidRPr="007E7F6E">
        <w:rPr>
          <w:rFonts w:ascii="Times New Roman" w:eastAsia="Calibri" w:hAnsi="Times New Roman"/>
          <w:b/>
          <w:i/>
          <w:noProof/>
          <w:szCs w:val="24"/>
        </w:rPr>
        <w:t>Eurostat</w:t>
      </w:r>
      <w:r w:rsidRPr="007E7F6E">
        <w:rPr>
          <w:rFonts w:ascii="Times New Roman" w:eastAsia="Calibri" w:hAnsi="Times New Roman"/>
          <w:b/>
          <w:szCs w:val="24"/>
        </w:rPr>
        <w:t>)</w:t>
      </w:r>
    </w:p>
    <w:p w:rsidR="00EE1979" w:rsidRPr="003D448B" w:rsidRDefault="00EE1979" w:rsidP="00EE1979">
      <w:pPr>
        <w:spacing w:after="0" w:line="240" w:lineRule="auto"/>
        <w:ind w:firstLine="720"/>
        <w:jc w:val="both"/>
        <w:rPr>
          <w:rFonts w:ascii="Times New Roman" w:eastAsia="Calibri" w:hAnsi="Times New Roman" w:cs="Times New Roman"/>
          <w:color w:val="000000"/>
          <w:sz w:val="24"/>
          <w:szCs w:val="24"/>
        </w:rPr>
      </w:pPr>
      <w:r w:rsidRPr="003D448B">
        <w:rPr>
          <w:rFonts w:ascii="Times New Roman" w:eastAsia="Calibri" w:hAnsi="Times New Roman" w:cs="Times New Roman"/>
          <w:color w:val="000000"/>
          <w:sz w:val="24"/>
          <w:szCs w:val="24"/>
        </w:rPr>
        <w:t xml:space="preserve">Vispārējās valdības budžeta izdevumi pieauga par </w:t>
      </w:r>
      <w:r>
        <w:rPr>
          <w:rFonts w:ascii="Times New Roman" w:eastAsia="Calibri" w:hAnsi="Times New Roman" w:cs="Times New Roman"/>
          <w:color w:val="000000"/>
          <w:sz w:val="24"/>
          <w:szCs w:val="24"/>
        </w:rPr>
        <w:t>1141,7</w:t>
      </w:r>
      <w:r w:rsidRPr="003D448B">
        <w:rPr>
          <w:rFonts w:ascii="Times New Roman" w:eastAsia="Calibri" w:hAnsi="Times New Roman" w:cs="Times New Roman"/>
          <w:color w:val="000000"/>
          <w:sz w:val="24"/>
          <w:szCs w:val="24"/>
        </w:rPr>
        <w:t xml:space="preserve"> milj. </w:t>
      </w:r>
      <w:r w:rsidRPr="008946E4">
        <w:rPr>
          <w:rFonts w:ascii="Times New Roman" w:eastAsia="Calibri" w:hAnsi="Times New Roman" w:cs="Times New Roman"/>
          <w:i/>
          <w:color w:val="000000"/>
          <w:sz w:val="24"/>
          <w:szCs w:val="24"/>
        </w:rPr>
        <w:t>euro</w:t>
      </w:r>
      <w:r w:rsidRPr="003D448B">
        <w:rPr>
          <w:rFonts w:ascii="Times New Roman" w:eastAsia="Calibri" w:hAnsi="Times New Roman" w:cs="Times New Roman"/>
          <w:color w:val="000000"/>
          <w:sz w:val="24"/>
          <w:szCs w:val="24"/>
        </w:rPr>
        <w:t xml:space="preserve"> jeb </w:t>
      </w:r>
      <w:r>
        <w:rPr>
          <w:rFonts w:ascii="Times New Roman" w:eastAsia="Calibri" w:hAnsi="Times New Roman" w:cs="Times New Roman"/>
          <w:color w:val="000000"/>
          <w:sz w:val="24"/>
          <w:szCs w:val="24"/>
        </w:rPr>
        <w:t>10,0</w:t>
      </w:r>
      <w:r w:rsidRPr="003D448B">
        <w:rPr>
          <w:rFonts w:ascii="Times New Roman" w:eastAsia="Calibri" w:hAnsi="Times New Roman" w:cs="Times New Roman"/>
          <w:color w:val="000000"/>
          <w:sz w:val="24"/>
          <w:szCs w:val="24"/>
        </w:rPr>
        <w:t>%, sasniedzot 11,</w:t>
      </w:r>
      <w:r>
        <w:rPr>
          <w:rFonts w:ascii="Times New Roman" w:eastAsia="Calibri" w:hAnsi="Times New Roman" w:cs="Times New Roman"/>
          <w:color w:val="000000"/>
          <w:sz w:val="24"/>
          <w:szCs w:val="24"/>
        </w:rPr>
        <w:t xml:space="preserve">4 </w:t>
      </w:r>
      <w:r w:rsidR="007D040E">
        <w:rPr>
          <w:rFonts w:ascii="Times New Roman" w:eastAsia="Calibri" w:hAnsi="Times New Roman" w:cs="Times New Roman"/>
          <w:color w:val="000000"/>
          <w:sz w:val="24"/>
          <w:szCs w:val="24"/>
        </w:rPr>
        <w:t>mlj</w:t>
      </w:r>
      <w:r w:rsidRPr="003D448B">
        <w:rPr>
          <w:rFonts w:ascii="Times New Roman" w:eastAsia="Calibri" w:hAnsi="Times New Roman" w:cs="Times New Roman"/>
          <w:color w:val="000000"/>
          <w:sz w:val="24"/>
          <w:szCs w:val="24"/>
        </w:rPr>
        <w:t>rd</w:t>
      </w:r>
      <w:r w:rsidR="007D040E">
        <w:rPr>
          <w:rFonts w:ascii="Times New Roman" w:eastAsia="Calibri" w:hAnsi="Times New Roman" w:cs="Times New Roman"/>
          <w:color w:val="000000"/>
          <w:sz w:val="24"/>
          <w:szCs w:val="24"/>
        </w:rPr>
        <w:t>.</w:t>
      </w:r>
      <w:r w:rsidRPr="003D448B">
        <w:rPr>
          <w:rFonts w:ascii="Times New Roman" w:eastAsia="Calibri" w:hAnsi="Times New Roman" w:cs="Times New Roman"/>
          <w:color w:val="000000"/>
          <w:sz w:val="24"/>
          <w:szCs w:val="24"/>
        </w:rPr>
        <w:t xml:space="preserve"> </w:t>
      </w:r>
      <w:r w:rsidRPr="008C102F">
        <w:rPr>
          <w:rFonts w:ascii="Times New Roman" w:eastAsia="Calibri" w:hAnsi="Times New Roman" w:cs="Times New Roman"/>
          <w:i/>
          <w:color w:val="000000"/>
          <w:sz w:val="24"/>
          <w:szCs w:val="24"/>
        </w:rPr>
        <w:t>euro</w:t>
      </w:r>
      <w:r w:rsidRPr="003D448B">
        <w:rPr>
          <w:rFonts w:ascii="Times New Roman" w:eastAsia="Calibri" w:hAnsi="Times New Roman" w:cs="Times New Roman"/>
          <w:color w:val="000000"/>
          <w:sz w:val="24"/>
          <w:szCs w:val="24"/>
        </w:rPr>
        <w:t xml:space="preserve"> jeb </w:t>
      </w:r>
      <w:r>
        <w:rPr>
          <w:rFonts w:ascii="Times New Roman" w:eastAsia="Calibri" w:hAnsi="Times New Roman" w:cs="Times New Roman"/>
          <w:color w:val="000000"/>
          <w:sz w:val="24"/>
          <w:szCs w:val="24"/>
        </w:rPr>
        <w:t>38,5</w:t>
      </w:r>
      <w:r w:rsidRPr="003D448B">
        <w:rPr>
          <w:rFonts w:ascii="Times New Roman" w:eastAsia="Calibri" w:hAnsi="Times New Roman" w:cs="Times New Roman"/>
          <w:color w:val="000000"/>
          <w:sz w:val="24"/>
          <w:szCs w:val="24"/>
        </w:rPr>
        <w:t xml:space="preserve">% no IKP. Lielāko pieaugumu nodrošināja izdevumi pamatkapitāla veidošanai (P.51G), kas pieauguši par </w:t>
      </w:r>
      <w:r>
        <w:rPr>
          <w:rFonts w:ascii="Times New Roman" w:eastAsia="Calibri" w:hAnsi="Times New Roman" w:cs="Times New Roman"/>
          <w:color w:val="000000"/>
          <w:sz w:val="24"/>
          <w:szCs w:val="24"/>
        </w:rPr>
        <w:t xml:space="preserve">407,1 </w:t>
      </w:r>
      <w:r w:rsidRPr="003D448B">
        <w:rPr>
          <w:rFonts w:ascii="Times New Roman" w:eastAsia="Calibri" w:hAnsi="Times New Roman" w:cs="Times New Roman"/>
          <w:color w:val="000000"/>
          <w:sz w:val="24"/>
          <w:szCs w:val="24"/>
        </w:rPr>
        <w:t xml:space="preserve">milj. </w:t>
      </w:r>
      <w:r w:rsidRPr="008C102F">
        <w:rPr>
          <w:rFonts w:ascii="Times New Roman" w:eastAsia="Calibri" w:hAnsi="Times New Roman" w:cs="Times New Roman"/>
          <w:i/>
          <w:color w:val="000000"/>
          <w:sz w:val="24"/>
          <w:szCs w:val="24"/>
        </w:rPr>
        <w:t>euro</w:t>
      </w:r>
      <w:r w:rsidRPr="003D448B">
        <w:rPr>
          <w:rFonts w:ascii="Times New Roman" w:eastAsia="Calibri" w:hAnsi="Times New Roman" w:cs="Times New Roman"/>
          <w:color w:val="000000"/>
          <w:sz w:val="24"/>
          <w:szCs w:val="24"/>
        </w:rPr>
        <w:t xml:space="preserve"> jeb 34,2% un ko, savukārt, veicināja izdevumu pieaugums ES fondu investīciju projektiem. Kopējie i</w:t>
      </w:r>
      <w:r>
        <w:rPr>
          <w:rFonts w:ascii="Times New Roman" w:eastAsia="Calibri" w:hAnsi="Times New Roman" w:cs="Times New Roman"/>
          <w:color w:val="000000"/>
          <w:sz w:val="24"/>
          <w:szCs w:val="24"/>
        </w:rPr>
        <w:t>zdevumi atalgojumam (D.1) 2018.</w:t>
      </w:r>
      <w:r w:rsidRPr="003D448B">
        <w:rPr>
          <w:rFonts w:ascii="Times New Roman" w:eastAsia="Calibri" w:hAnsi="Times New Roman" w:cs="Times New Roman"/>
          <w:color w:val="000000"/>
          <w:sz w:val="24"/>
          <w:szCs w:val="24"/>
        </w:rPr>
        <w:t xml:space="preserve">gadā pieauguši par </w:t>
      </w:r>
      <w:r>
        <w:rPr>
          <w:rFonts w:ascii="Times New Roman" w:eastAsia="Calibri" w:hAnsi="Times New Roman" w:cs="Times New Roman"/>
          <w:color w:val="000000"/>
          <w:sz w:val="24"/>
          <w:szCs w:val="24"/>
        </w:rPr>
        <w:t>244,3</w:t>
      </w:r>
      <w:r w:rsidRPr="003D448B">
        <w:rPr>
          <w:rFonts w:ascii="Times New Roman" w:eastAsia="Calibri" w:hAnsi="Times New Roman" w:cs="Times New Roman"/>
          <w:color w:val="000000"/>
          <w:sz w:val="24"/>
          <w:szCs w:val="24"/>
        </w:rPr>
        <w:t xml:space="preserve"> milj. </w:t>
      </w:r>
      <w:r w:rsidRPr="008C102F">
        <w:rPr>
          <w:rFonts w:ascii="Times New Roman" w:eastAsia="Calibri" w:hAnsi="Times New Roman" w:cs="Times New Roman"/>
          <w:i/>
          <w:color w:val="000000"/>
          <w:sz w:val="24"/>
          <w:szCs w:val="24"/>
        </w:rPr>
        <w:t>euro</w:t>
      </w:r>
      <w:r w:rsidRPr="003D448B">
        <w:rPr>
          <w:rFonts w:ascii="Times New Roman" w:eastAsia="Calibri" w:hAnsi="Times New Roman" w:cs="Times New Roman"/>
          <w:color w:val="000000"/>
          <w:sz w:val="24"/>
          <w:szCs w:val="24"/>
        </w:rPr>
        <w:t xml:space="preserve"> jeb </w:t>
      </w:r>
      <w:r>
        <w:rPr>
          <w:rFonts w:ascii="Times New Roman" w:eastAsia="Calibri" w:hAnsi="Times New Roman" w:cs="Times New Roman"/>
          <w:color w:val="000000"/>
          <w:sz w:val="24"/>
          <w:szCs w:val="24"/>
        </w:rPr>
        <w:t>8,9</w:t>
      </w:r>
      <w:r w:rsidRPr="003D448B">
        <w:rPr>
          <w:rFonts w:ascii="Times New Roman" w:eastAsia="Calibri" w:hAnsi="Times New Roman" w:cs="Times New Roman"/>
          <w:color w:val="000000"/>
          <w:sz w:val="24"/>
          <w:szCs w:val="24"/>
        </w:rPr>
        <w:t>% un pieaugumu pamatā noteica minimālā</w:t>
      </w:r>
      <w:r>
        <w:rPr>
          <w:rFonts w:ascii="Times New Roman" w:eastAsia="Calibri" w:hAnsi="Times New Roman" w:cs="Times New Roman"/>
          <w:color w:val="000000"/>
          <w:sz w:val="24"/>
          <w:szCs w:val="24"/>
        </w:rPr>
        <w:t>s algas paaugstināšana no 2018.gada 1.</w:t>
      </w:r>
      <w:r w:rsidRPr="003D448B">
        <w:rPr>
          <w:rFonts w:ascii="Times New Roman" w:eastAsia="Calibri" w:hAnsi="Times New Roman" w:cs="Times New Roman"/>
          <w:color w:val="000000"/>
          <w:sz w:val="24"/>
          <w:szCs w:val="24"/>
        </w:rPr>
        <w:t xml:space="preserve">janvāra, atalgojuma pieaugums pedagogiem un papildus finansējuma novirzīšana veselības nozarē strādājošo atalgojuma paaugstināšanai. Izdevumi starppatēriņam (P.2) pieauguši par </w:t>
      </w:r>
      <w:r>
        <w:rPr>
          <w:rFonts w:ascii="Times New Roman" w:eastAsia="Calibri" w:hAnsi="Times New Roman" w:cs="Times New Roman"/>
          <w:color w:val="000000"/>
          <w:sz w:val="24"/>
          <w:szCs w:val="24"/>
        </w:rPr>
        <w:t>195,2</w:t>
      </w:r>
      <w:r w:rsidRPr="003D448B">
        <w:rPr>
          <w:rFonts w:ascii="Times New Roman" w:eastAsia="Calibri" w:hAnsi="Times New Roman" w:cs="Times New Roman"/>
          <w:color w:val="000000"/>
          <w:sz w:val="24"/>
          <w:szCs w:val="24"/>
        </w:rPr>
        <w:t xml:space="preserve"> milj. </w:t>
      </w:r>
      <w:r w:rsidRPr="008C102F">
        <w:rPr>
          <w:rFonts w:ascii="Times New Roman" w:eastAsia="Calibri" w:hAnsi="Times New Roman" w:cs="Times New Roman"/>
          <w:i/>
          <w:color w:val="000000"/>
          <w:sz w:val="24"/>
          <w:szCs w:val="24"/>
        </w:rPr>
        <w:t>euro</w:t>
      </w:r>
      <w:r w:rsidRPr="003D448B">
        <w:rPr>
          <w:rFonts w:ascii="Times New Roman" w:eastAsia="Calibri" w:hAnsi="Times New Roman" w:cs="Times New Roman"/>
          <w:color w:val="000000"/>
          <w:sz w:val="24"/>
          <w:szCs w:val="24"/>
        </w:rPr>
        <w:t xml:space="preserve"> jeb </w:t>
      </w:r>
      <w:r>
        <w:rPr>
          <w:rFonts w:ascii="Times New Roman" w:eastAsia="Calibri" w:hAnsi="Times New Roman" w:cs="Times New Roman"/>
          <w:color w:val="000000"/>
          <w:sz w:val="24"/>
          <w:szCs w:val="24"/>
        </w:rPr>
        <w:t>12,7</w:t>
      </w:r>
      <w:r w:rsidRPr="003D448B">
        <w:rPr>
          <w:rFonts w:ascii="Times New Roman" w:eastAsia="Calibri" w:hAnsi="Times New Roman" w:cs="Times New Roman"/>
          <w:color w:val="000000"/>
          <w:sz w:val="24"/>
          <w:szCs w:val="24"/>
        </w:rPr>
        <w:t>% un galvenais iemesls kāpumam bija izdevumu pieaugums precēm un pakalpojumiem Nacionālajos bruņotajos spēkos un pašvaldībās. Izdevumi sociālajiem pabalstiem (D.6</w:t>
      </w:r>
      <w:r>
        <w:rPr>
          <w:rFonts w:ascii="Times New Roman" w:eastAsia="Calibri" w:hAnsi="Times New Roman" w:cs="Times New Roman"/>
          <w:color w:val="000000"/>
          <w:sz w:val="24"/>
          <w:szCs w:val="24"/>
        </w:rPr>
        <w:t xml:space="preserve">32 un D.62) pieauguši par 225,5 </w:t>
      </w:r>
      <w:r w:rsidRPr="003D448B">
        <w:rPr>
          <w:rFonts w:ascii="Times New Roman" w:eastAsia="Calibri" w:hAnsi="Times New Roman" w:cs="Times New Roman"/>
          <w:color w:val="000000"/>
          <w:sz w:val="24"/>
          <w:szCs w:val="24"/>
        </w:rPr>
        <w:t xml:space="preserve">milj. </w:t>
      </w:r>
      <w:r w:rsidRPr="008C102F">
        <w:rPr>
          <w:rFonts w:ascii="Times New Roman" w:eastAsia="Calibri" w:hAnsi="Times New Roman" w:cs="Times New Roman"/>
          <w:i/>
          <w:color w:val="000000"/>
          <w:sz w:val="24"/>
          <w:szCs w:val="24"/>
        </w:rPr>
        <w:t>euro</w:t>
      </w:r>
      <w:r w:rsidRPr="003D448B">
        <w:rPr>
          <w:rFonts w:ascii="Times New Roman" w:eastAsia="Calibri" w:hAnsi="Times New Roman" w:cs="Times New Roman"/>
          <w:color w:val="000000"/>
          <w:sz w:val="24"/>
          <w:szCs w:val="24"/>
        </w:rPr>
        <w:t xml:space="preserve"> jeb 7</w:t>
      </w:r>
      <w:r>
        <w:rPr>
          <w:rFonts w:ascii="Times New Roman" w:eastAsia="Calibri" w:hAnsi="Times New Roman" w:cs="Times New Roman"/>
          <w:color w:val="000000"/>
          <w:sz w:val="24"/>
          <w:szCs w:val="24"/>
        </w:rPr>
        <w:t>,1</w:t>
      </w:r>
      <w:r w:rsidRPr="003D448B">
        <w:rPr>
          <w:rFonts w:ascii="Times New Roman" w:eastAsia="Calibri" w:hAnsi="Times New Roman" w:cs="Times New Roman"/>
          <w:color w:val="000000"/>
          <w:sz w:val="24"/>
          <w:szCs w:val="24"/>
        </w:rPr>
        <w:t>%, ko noteica izdevumu pieaugums pensijām un pārējiem sociālajiem pabalstiem. Izdevumu kāpumu ietekmēja vidējās pensijas un pabalstu apmēra kāpums, kā a</w:t>
      </w:r>
      <w:r>
        <w:rPr>
          <w:rFonts w:ascii="Times New Roman" w:eastAsia="Calibri" w:hAnsi="Times New Roman" w:cs="Times New Roman"/>
          <w:color w:val="000000"/>
          <w:sz w:val="24"/>
          <w:szCs w:val="24"/>
        </w:rPr>
        <w:t>rī pensiju indeksācija ar 2018.gada 1.</w:t>
      </w:r>
      <w:r w:rsidRPr="003D448B">
        <w:rPr>
          <w:rFonts w:ascii="Times New Roman" w:eastAsia="Calibri" w:hAnsi="Times New Roman" w:cs="Times New Roman"/>
          <w:color w:val="000000"/>
          <w:sz w:val="24"/>
          <w:szCs w:val="24"/>
        </w:rPr>
        <w:t xml:space="preserve">oktobri, piemērojot lielākus indeksus. Ņemot vērā veiksmīgo valsts parāda vadību un zemas procentu likmes, procentu izdevumi (D.41) samazinājušies par </w:t>
      </w:r>
      <w:r>
        <w:rPr>
          <w:rFonts w:ascii="Times New Roman" w:eastAsia="Calibri" w:hAnsi="Times New Roman" w:cs="Times New Roman"/>
          <w:color w:val="000000"/>
          <w:sz w:val="24"/>
          <w:szCs w:val="24"/>
        </w:rPr>
        <w:t xml:space="preserve">41,4 </w:t>
      </w:r>
      <w:r w:rsidRPr="003D448B">
        <w:rPr>
          <w:rFonts w:ascii="Times New Roman" w:eastAsia="Calibri" w:hAnsi="Times New Roman" w:cs="Times New Roman"/>
          <w:color w:val="000000"/>
          <w:sz w:val="24"/>
          <w:szCs w:val="24"/>
        </w:rPr>
        <w:t xml:space="preserve">milj. </w:t>
      </w:r>
      <w:r w:rsidRPr="008C102F">
        <w:rPr>
          <w:rFonts w:ascii="Times New Roman" w:eastAsia="Calibri" w:hAnsi="Times New Roman" w:cs="Times New Roman"/>
          <w:i/>
          <w:color w:val="000000"/>
          <w:sz w:val="24"/>
          <w:szCs w:val="24"/>
        </w:rPr>
        <w:t>euro</w:t>
      </w:r>
      <w:r w:rsidRPr="003D448B">
        <w:rPr>
          <w:rFonts w:ascii="Times New Roman" w:eastAsia="Calibri" w:hAnsi="Times New Roman" w:cs="Times New Roman"/>
          <w:color w:val="000000"/>
          <w:sz w:val="24"/>
          <w:szCs w:val="24"/>
        </w:rPr>
        <w:t xml:space="preserve"> jeb </w:t>
      </w:r>
      <w:r>
        <w:rPr>
          <w:rFonts w:ascii="Times New Roman" w:eastAsia="Calibri" w:hAnsi="Times New Roman" w:cs="Times New Roman"/>
          <w:color w:val="000000"/>
          <w:sz w:val="24"/>
          <w:szCs w:val="24"/>
        </w:rPr>
        <w:t>16,6</w:t>
      </w:r>
      <w:r w:rsidRPr="003D448B">
        <w:rPr>
          <w:rFonts w:ascii="Times New Roman" w:eastAsia="Calibri" w:hAnsi="Times New Roman" w:cs="Times New Roman"/>
          <w:color w:val="000000"/>
          <w:sz w:val="24"/>
          <w:szCs w:val="24"/>
        </w:rPr>
        <w:t xml:space="preserve">%. Subsīdijas (D.3) </w:t>
      </w:r>
      <w:r>
        <w:rPr>
          <w:rFonts w:ascii="Times New Roman" w:eastAsia="Calibri" w:hAnsi="Times New Roman" w:cs="Times New Roman"/>
          <w:color w:val="000000"/>
          <w:sz w:val="24"/>
          <w:szCs w:val="24"/>
        </w:rPr>
        <w:t>samazinājušās</w:t>
      </w:r>
      <w:r w:rsidRPr="003D448B">
        <w:rPr>
          <w:rFonts w:ascii="Times New Roman" w:eastAsia="Calibri" w:hAnsi="Times New Roman" w:cs="Times New Roman"/>
          <w:color w:val="000000"/>
          <w:sz w:val="24"/>
          <w:szCs w:val="24"/>
        </w:rPr>
        <w:t xml:space="preserve"> par </w:t>
      </w:r>
      <w:r>
        <w:rPr>
          <w:rFonts w:ascii="Times New Roman" w:eastAsia="Calibri" w:hAnsi="Times New Roman" w:cs="Times New Roman"/>
          <w:color w:val="000000"/>
          <w:sz w:val="24"/>
          <w:szCs w:val="24"/>
        </w:rPr>
        <w:t>42,5</w:t>
      </w:r>
      <w:r w:rsidRPr="003D448B">
        <w:rPr>
          <w:rFonts w:ascii="Times New Roman" w:eastAsia="Calibri" w:hAnsi="Times New Roman" w:cs="Times New Roman"/>
          <w:color w:val="000000"/>
          <w:sz w:val="24"/>
          <w:szCs w:val="24"/>
        </w:rPr>
        <w:t xml:space="preserve"> milj. </w:t>
      </w:r>
      <w:r w:rsidRPr="008C102F">
        <w:rPr>
          <w:rFonts w:ascii="Times New Roman" w:eastAsia="Calibri" w:hAnsi="Times New Roman" w:cs="Times New Roman"/>
          <w:i/>
          <w:color w:val="000000"/>
          <w:sz w:val="24"/>
          <w:szCs w:val="24"/>
        </w:rPr>
        <w:t>euro</w:t>
      </w:r>
      <w:r w:rsidRPr="003D448B">
        <w:rPr>
          <w:rFonts w:ascii="Times New Roman" w:eastAsia="Calibri" w:hAnsi="Times New Roman" w:cs="Times New Roman"/>
          <w:color w:val="000000"/>
          <w:sz w:val="24"/>
          <w:szCs w:val="24"/>
        </w:rPr>
        <w:t xml:space="preserve"> jeb </w:t>
      </w:r>
      <w:r>
        <w:rPr>
          <w:rFonts w:ascii="Times New Roman" w:eastAsia="Calibri" w:hAnsi="Times New Roman" w:cs="Times New Roman"/>
          <w:color w:val="000000"/>
          <w:sz w:val="24"/>
          <w:szCs w:val="24"/>
        </w:rPr>
        <w:t>12,4</w:t>
      </w:r>
      <w:r w:rsidRPr="003D448B">
        <w:rPr>
          <w:rFonts w:ascii="Times New Roman" w:eastAsia="Calibri" w:hAnsi="Times New Roman" w:cs="Times New Roman"/>
          <w:color w:val="000000"/>
          <w:sz w:val="24"/>
          <w:szCs w:val="24"/>
        </w:rPr>
        <w:t xml:space="preserve">%, kas saistīts ar </w:t>
      </w:r>
      <w:r>
        <w:rPr>
          <w:rFonts w:ascii="Times New Roman" w:eastAsia="Calibri" w:hAnsi="Times New Roman" w:cs="Times New Roman"/>
          <w:color w:val="000000"/>
          <w:sz w:val="24"/>
          <w:szCs w:val="24"/>
        </w:rPr>
        <w:t>zemākām elektroenerģijas obligātā iepirkuma neto izmaksām.</w:t>
      </w:r>
      <w:r w:rsidRPr="003D448B">
        <w:rPr>
          <w:rFonts w:ascii="Times New Roman" w:eastAsia="Calibri" w:hAnsi="Times New Roman" w:cs="Times New Roman"/>
          <w:color w:val="000000"/>
          <w:sz w:val="24"/>
          <w:szCs w:val="24"/>
        </w:rPr>
        <w:t xml:space="preserve"> </w:t>
      </w:r>
    </w:p>
    <w:p w:rsidR="00EE1979" w:rsidRDefault="00EE1979" w:rsidP="00EE1979">
      <w:pPr>
        <w:spacing w:line="240" w:lineRule="auto"/>
        <w:ind w:firstLine="709"/>
        <w:jc w:val="both"/>
      </w:pPr>
      <w:r w:rsidRPr="003D448B">
        <w:rPr>
          <w:rFonts w:ascii="Times New Roman" w:eastAsia="Calibri" w:hAnsi="Times New Roman" w:cs="Times New Roman"/>
          <w:color w:val="000000"/>
          <w:sz w:val="24"/>
          <w:szCs w:val="24"/>
        </w:rPr>
        <w:t xml:space="preserve">Kapitālo transfertu (D.9) izdevumi 2018.gadā samazinājušies par </w:t>
      </w:r>
      <w:r>
        <w:rPr>
          <w:rFonts w:ascii="Times New Roman" w:eastAsia="Calibri" w:hAnsi="Times New Roman" w:cs="Times New Roman"/>
          <w:color w:val="000000"/>
          <w:sz w:val="24"/>
          <w:szCs w:val="24"/>
        </w:rPr>
        <w:t xml:space="preserve">107,4 </w:t>
      </w:r>
      <w:r w:rsidRPr="003D448B">
        <w:rPr>
          <w:rFonts w:ascii="Times New Roman" w:eastAsia="Calibri" w:hAnsi="Times New Roman" w:cs="Times New Roman"/>
          <w:color w:val="000000"/>
          <w:sz w:val="24"/>
          <w:szCs w:val="24"/>
        </w:rPr>
        <w:t xml:space="preserve">milj. </w:t>
      </w:r>
      <w:r w:rsidRPr="008C102F">
        <w:rPr>
          <w:rFonts w:ascii="Times New Roman" w:eastAsia="Calibri" w:hAnsi="Times New Roman" w:cs="Times New Roman"/>
          <w:i/>
          <w:color w:val="000000"/>
          <w:sz w:val="24"/>
          <w:szCs w:val="24"/>
        </w:rPr>
        <w:t>euro</w:t>
      </w:r>
      <w:r w:rsidRPr="003D448B">
        <w:rPr>
          <w:rFonts w:ascii="Times New Roman" w:eastAsia="Calibri" w:hAnsi="Times New Roman" w:cs="Times New Roman"/>
          <w:color w:val="000000"/>
          <w:sz w:val="24"/>
          <w:szCs w:val="24"/>
        </w:rPr>
        <w:t xml:space="preserve"> jeb </w:t>
      </w:r>
      <w:r>
        <w:rPr>
          <w:rFonts w:ascii="Times New Roman" w:eastAsia="Calibri" w:hAnsi="Times New Roman" w:cs="Times New Roman"/>
          <w:color w:val="000000"/>
          <w:sz w:val="24"/>
          <w:szCs w:val="24"/>
        </w:rPr>
        <w:t>64,9</w:t>
      </w:r>
      <w:r w:rsidRPr="003D448B">
        <w:rPr>
          <w:rFonts w:ascii="Times New Roman" w:eastAsia="Calibri" w:hAnsi="Times New Roman" w:cs="Times New Roman"/>
          <w:color w:val="000000"/>
          <w:sz w:val="24"/>
          <w:szCs w:val="24"/>
        </w:rPr>
        <w:t>% ko būtiski ietekmēja 2017.gadā veiktais disko</w:t>
      </w:r>
      <w:r>
        <w:rPr>
          <w:rFonts w:ascii="Times New Roman" w:eastAsia="Calibri" w:hAnsi="Times New Roman" w:cs="Times New Roman"/>
          <w:color w:val="000000"/>
          <w:sz w:val="24"/>
          <w:szCs w:val="24"/>
        </w:rPr>
        <w:t xml:space="preserve">ntētās atlīdzības maksājums 140 </w:t>
      </w:r>
      <w:r w:rsidRPr="003D448B">
        <w:rPr>
          <w:rFonts w:ascii="Times New Roman" w:eastAsia="Calibri" w:hAnsi="Times New Roman" w:cs="Times New Roman"/>
          <w:color w:val="000000"/>
          <w:sz w:val="24"/>
          <w:szCs w:val="24"/>
        </w:rPr>
        <w:t xml:space="preserve">milj. </w:t>
      </w:r>
      <w:r w:rsidRPr="008C102F">
        <w:rPr>
          <w:rFonts w:ascii="Times New Roman" w:eastAsia="Calibri" w:hAnsi="Times New Roman" w:cs="Times New Roman"/>
          <w:i/>
          <w:color w:val="000000"/>
          <w:sz w:val="24"/>
          <w:szCs w:val="24"/>
        </w:rPr>
        <w:t>euro</w:t>
      </w:r>
      <w:r w:rsidRPr="003D448B">
        <w:rPr>
          <w:rFonts w:ascii="Times New Roman" w:eastAsia="Calibri" w:hAnsi="Times New Roman" w:cs="Times New Roman"/>
          <w:color w:val="000000"/>
          <w:sz w:val="24"/>
          <w:szCs w:val="24"/>
        </w:rPr>
        <w:t xml:space="preserve"> apmērā par uzstādītajām elektroenerģijas jaudām atjaunojamās elektroenerģijas ražotājiem. 2018.gadā tika veikts līdzīgs maksājums 51,7</w:t>
      </w:r>
      <w:r>
        <w:rPr>
          <w:rFonts w:ascii="Times New Roman" w:eastAsia="Calibri" w:hAnsi="Times New Roman" w:cs="Times New Roman"/>
          <w:color w:val="000000"/>
          <w:sz w:val="24"/>
          <w:szCs w:val="24"/>
        </w:rPr>
        <w:t xml:space="preserve"> </w:t>
      </w:r>
      <w:r w:rsidRPr="003D448B">
        <w:rPr>
          <w:rFonts w:ascii="Times New Roman" w:eastAsia="Calibri" w:hAnsi="Times New Roman" w:cs="Times New Roman"/>
          <w:color w:val="000000"/>
          <w:sz w:val="24"/>
          <w:szCs w:val="24"/>
        </w:rPr>
        <w:t xml:space="preserve">milj. </w:t>
      </w:r>
      <w:r w:rsidRPr="008C102F">
        <w:rPr>
          <w:rFonts w:ascii="Times New Roman" w:eastAsia="Calibri" w:hAnsi="Times New Roman" w:cs="Times New Roman"/>
          <w:i/>
          <w:color w:val="000000"/>
          <w:sz w:val="24"/>
          <w:szCs w:val="24"/>
        </w:rPr>
        <w:t>euro</w:t>
      </w:r>
      <w:r w:rsidRPr="003D448B">
        <w:rPr>
          <w:rFonts w:ascii="Times New Roman" w:eastAsia="Calibri" w:hAnsi="Times New Roman" w:cs="Times New Roman"/>
          <w:color w:val="000000"/>
          <w:sz w:val="24"/>
          <w:szCs w:val="24"/>
        </w:rPr>
        <w:t xml:space="preserve"> apmērā, kas vidējā </w:t>
      </w:r>
      <w:r>
        <w:rPr>
          <w:rFonts w:ascii="Times New Roman" w:eastAsia="Calibri" w:hAnsi="Times New Roman" w:cs="Times New Roman"/>
          <w:color w:val="000000"/>
          <w:sz w:val="24"/>
          <w:szCs w:val="24"/>
        </w:rPr>
        <w:t>termiņā</w:t>
      </w:r>
      <w:r w:rsidRPr="003D448B">
        <w:rPr>
          <w:rFonts w:ascii="Times New Roman" w:eastAsia="Calibri" w:hAnsi="Times New Roman" w:cs="Times New Roman"/>
          <w:color w:val="000000"/>
          <w:sz w:val="24"/>
          <w:szCs w:val="24"/>
        </w:rPr>
        <w:t xml:space="preserve"> ļaus ietaupīt valsts budžeta līdzekļus. Kopš </w:t>
      </w:r>
      <w:r>
        <w:rPr>
          <w:rFonts w:ascii="Times New Roman" w:eastAsia="Calibri" w:hAnsi="Times New Roman" w:cs="Times New Roman"/>
          <w:color w:val="000000"/>
          <w:sz w:val="24"/>
          <w:szCs w:val="24"/>
        </w:rPr>
        <w:t>OIK</w:t>
      </w:r>
      <w:r w:rsidRPr="003D448B">
        <w:rPr>
          <w:rFonts w:ascii="Times New Roman" w:eastAsia="Calibri" w:hAnsi="Times New Roman" w:cs="Times New Roman"/>
          <w:color w:val="000000"/>
          <w:sz w:val="24"/>
          <w:szCs w:val="24"/>
        </w:rPr>
        <w:t xml:space="preserve"> ieviešanas maksa par elektroenerģiju nemitīgi auga, kā rezultātā Ekonomikas ministrijai atbilstoši valdības dotajam uzdevumam bija sagatavojusi risinājumu OIK turpmākajai pieauguma ierobežošanai pēc subsidētās elektroenerģijas nod</w:t>
      </w:r>
      <w:r>
        <w:rPr>
          <w:rFonts w:ascii="Times New Roman" w:eastAsia="Calibri" w:hAnsi="Times New Roman" w:cs="Times New Roman"/>
          <w:color w:val="000000"/>
          <w:sz w:val="24"/>
          <w:szCs w:val="24"/>
        </w:rPr>
        <w:t xml:space="preserve">okļa atcelšanas. </w:t>
      </w:r>
      <w:r w:rsidRPr="006A5EC3">
        <w:rPr>
          <w:rFonts w:ascii="Times New Roman" w:eastAsia="Calibri" w:hAnsi="Times New Roman" w:cs="Times New Roman"/>
          <w:color w:val="000000"/>
          <w:sz w:val="24"/>
          <w:szCs w:val="24"/>
        </w:rPr>
        <w:t xml:space="preserve">Tādējādi 2017.gadā viens komersants, kurš saņēma garantētu maksu par koģenerācijas elektrostacijā uzstādīto elektrisko jaudu un kura uzstādītā elektriskā jauda bija lielāka par 100 MW, daļēji atteicās no atlikušajā periodā garantētās maksas </w:t>
      </w:r>
      <w:r w:rsidRPr="006A5EC3">
        <w:rPr>
          <w:rFonts w:ascii="Times New Roman" w:eastAsia="Calibri" w:hAnsi="Times New Roman" w:cs="Times New Roman"/>
          <w:color w:val="000000"/>
          <w:sz w:val="24"/>
          <w:szCs w:val="24"/>
        </w:rPr>
        <w:lastRenderedPageBreak/>
        <w:t xml:space="preserve">par koģenerācijas elektrostacijā uzstādīto jaudu, saņemot diskontētu maksājumu, kas tika izteikts kā nākotnē negūto valsts atbalsta ieņēmumu diskontētā vērtība, piemērojot diskontēšanas faktoru 9% apmērā jaudas maksas samazinājumam, un turpmākajā atbalsta periodā ik gadu turpinot saņemt 25% no līdzšinējā atbalsta apmēra. Jāatzīmē, ka diskontētais maksājums (izņemot atlīdzības maksājumu 140 milj. </w:t>
      </w:r>
      <w:r w:rsidRPr="006A5EC3">
        <w:rPr>
          <w:rFonts w:ascii="Times New Roman" w:eastAsia="Calibri" w:hAnsi="Times New Roman" w:cs="Times New Roman"/>
          <w:i/>
          <w:color w:val="000000"/>
          <w:sz w:val="24"/>
          <w:szCs w:val="24"/>
        </w:rPr>
        <w:t>euro</w:t>
      </w:r>
      <w:r>
        <w:rPr>
          <w:rFonts w:ascii="Times New Roman" w:eastAsia="Calibri" w:hAnsi="Times New Roman" w:cs="Times New Roman"/>
          <w:color w:val="000000"/>
          <w:sz w:val="24"/>
          <w:szCs w:val="24"/>
        </w:rPr>
        <w:t xml:space="preserve"> apmērā)</w:t>
      </w:r>
      <w:r w:rsidRPr="006A5EC3">
        <w:rPr>
          <w:rFonts w:ascii="Times New Roman" w:eastAsia="Calibri" w:hAnsi="Times New Roman" w:cs="Times New Roman"/>
          <w:color w:val="000000"/>
          <w:sz w:val="24"/>
          <w:szCs w:val="24"/>
        </w:rPr>
        <w:t xml:space="preserve"> tiek proporcionāli atzīts kā vispārējās valdības budžeta izdevumi un attiecīgi komersanta ieņēmumi līdz atbalsta perioda beigām. Savukārt</w:t>
      </w:r>
      <w:r w:rsidR="00730998">
        <w:rPr>
          <w:rFonts w:ascii="Times New Roman" w:eastAsia="Calibri" w:hAnsi="Times New Roman" w:cs="Times New Roman"/>
          <w:color w:val="000000"/>
          <w:sz w:val="24"/>
          <w:szCs w:val="24"/>
        </w:rPr>
        <w:t>,</w:t>
      </w:r>
      <w:r w:rsidRPr="006A5EC3">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2018.</w:t>
      </w:r>
      <w:r w:rsidRPr="006A5EC3">
        <w:rPr>
          <w:rFonts w:ascii="Times New Roman" w:eastAsia="Calibri" w:hAnsi="Times New Roman" w:cs="Times New Roman"/>
          <w:color w:val="000000"/>
          <w:sz w:val="24"/>
          <w:szCs w:val="24"/>
        </w:rPr>
        <w:t xml:space="preserve">gadā veiktais darījums 51,7 milj. </w:t>
      </w:r>
      <w:r w:rsidRPr="006A5EC3">
        <w:rPr>
          <w:rFonts w:ascii="Times New Roman" w:eastAsia="Calibri" w:hAnsi="Times New Roman" w:cs="Times New Roman"/>
          <w:i/>
          <w:color w:val="000000"/>
          <w:sz w:val="24"/>
          <w:szCs w:val="24"/>
        </w:rPr>
        <w:t>euro</w:t>
      </w:r>
      <w:r w:rsidRPr="006A5EC3">
        <w:rPr>
          <w:rFonts w:ascii="Times New Roman" w:eastAsia="Calibri" w:hAnsi="Times New Roman" w:cs="Times New Roman"/>
          <w:color w:val="000000"/>
          <w:sz w:val="24"/>
          <w:szCs w:val="24"/>
        </w:rPr>
        <w:t xml:space="preserve"> apmērā samazināja atlikušā vienreizējā maksājuma apjomu, ko līdz atbalsta perioda beigām saņems atjaunojamās elektroenerģijas ražotājs.</w:t>
      </w:r>
      <w:r>
        <w:t xml:space="preserve"> </w:t>
      </w:r>
    </w:p>
    <w:p w:rsidR="00EE1979" w:rsidRDefault="00EE1979">
      <w:pPr>
        <w:spacing w:after="0" w:line="240" w:lineRule="auto"/>
        <w:rPr>
          <w:rFonts w:ascii="Times New Roman" w:hAnsi="Times New Roman" w:cs="Times New Roman"/>
          <w:sz w:val="32"/>
          <w:szCs w:val="32"/>
        </w:rPr>
      </w:pPr>
    </w:p>
    <w:p w:rsidR="0071501E" w:rsidRDefault="0071501E">
      <w:pPr>
        <w:spacing w:after="0" w:line="240" w:lineRule="auto"/>
        <w:rPr>
          <w:rFonts w:ascii="Times New Roman" w:eastAsiaTheme="majorEastAsia" w:hAnsi="Times New Roman" w:cs="Times New Roman"/>
          <w:b/>
          <w:bCs/>
          <w:smallCaps/>
          <w:color w:val="000000" w:themeColor="text1"/>
          <w:sz w:val="32"/>
          <w:szCs w:val="32"/>
        </w:rPr>
      </w:pPr>
      <w:r>
        <w:rPr>
          <w:rFonts w:ascii="Times New Roman" w:hAnsi="Times New Roman" w:cs="Times New Roman"/>
          <w:sz w:val="32"/>
          <w:szCs w:val="32"/>
        </w:rPr>
        <w:br w:type="page"/>
      </w:r>
    </w:p>
    <w:p w:rsidR="0071501E" w:rsidRPr="00AF71D1" w:rsidRDefault="0071501E" w:rsidP="00DF2CC5">
      <w:pPr>
        <w:pStyle w:val="Heading1"/>
        <w:numPr>
          <w:ilvl w:val="0"/>
          <w:numId w:val="0"/>
        </w:numPr>
        <w:jc w:val="center"/>
        <w:rPr>
          <w:rFonts w:ascii="Times New Roman" w:hAnsi="Times New Roman" w:cs="Times New Roman"/>
          <w:sz w:val="32"/>
          <w:szCs w:val="32"/>
        </w:rPr>
      </w:pPr>
      <w:bookmarkStart w:id="8" w:name="_Toc8285992"/>
      <w:r>
        <w:rPr>
          <w:rFonts w:ascii="Times New Roman" w:hAnsi="Times New Roman" w:cs="Times New Roman"/>
          <w:sz w:val="32"/>
          <w:szCs w:val="32"/>
        </w:rPr>
        <w:lastRenderedPageBreak/>
        <w:t xml:space="preserve">2. </w:t>
      </w:r>
      <w:r w:rsidRPr="00AF71D1">
        <w:rPr>
          <w:rFonts w:ascii="Times New Roman" w:hAnsi="Times New Roman" w:cs="Times New Roman"/>
          <w:sz w:val="32"/>
          <w:szCs w:val="32"/>
        </w:rPr>
        <w:t>Pielikum</w:t>
      </w:r>
      <w:r>
        <w:rPr>
          <w:rFonts w:ascii="Times New Roman" w:hAnsi="Times New Roman" w:cs="Times New Roman"/>
          <w:sz w:val="32"/>
          <w:szCs w:val="32"/>
        </w:rPr>
        <w:t>s</w:t>
      </w:r>
      <w:bookmarkEnd w:id="8"/>
    </w:p>
    <w:p w:rsidR="00EE1979" w:rsidRDefault="00EE1979" w:rsidP="00362E1B">
      <w:pPr>
        <w:pStyle w:val="NoSpacing"/>
        <w:rPr>
          <w:rFonts w:ascii="Times New Roman" w:hAnsi="Times New Roman" w:cs="Times New Roman"/>
          <w:b/>
          <w:sz w:val="24"/>
          <w:szCs w:val="24"/>
        </w:rPr>
      </w:pPr>
      <w:r w:rsidRPr="00362E1B">
        <w:rPr>
          <w:rFonts w:ascii="Times New Roman" w:hAnsi="Times New Roman" w:cs="Times New Roman"/>
          <w:b/>
          <w:sz w:val="24"/>
          <w:szCs w:val="24"/>
        </w:rPr>
        <w:t>3.3.</w:t>
      </w:r>
      <w:r w:rsidR="00135E60">
        <w:rPr>
          <w:rFonts w:ascii="Times New Roman" w:hAnsi="Times New Roman" w:cs="Times New Roman"/>
          <w:b/>
          <w:sz w:val="24"/>
          <w:szCs w:val="24"/>
        </w:rPr>
        <w:t xml:space="preserve"> </w:t>
      </w:r>
      <w:r w:rsidRPr="00362E1B">
        <w:rPr>
          <w:rFonts w:ascii="Times New Roman" w:hAnsi="Times New Roman" w:cs="Times New Roman"/>
          <w:b/>
          <w:sz w:val="24"/>
          <w:szCs w:val="24"/>
        </w:rPr>
        <w:t>Fiskālās attīstības scenārijs</w:t>
      </w:r>
    </w:p>
    <w:p w:rsidR="00362E1B" w:rsidRPr="00DF2CC5" w:rsidRDefault="00362E1B" w:rsidP="00362E1B">
      <w:pPr>
        <w:pStyle w:val="NoSpacing"/>
        <w:rPr>
          <w:rFonts w:ascii="Times New Roman" w:hAnsi="Times New Roman" w:cs="Times New Roman"/>
          <w:b/>
          <w:sz w:val="16"/>
          <w:szCs w:val="16"/>
        </w:rPr>
      </w:pPr>
    </w:p>
    <w:p w:rsidR="00EE1979" w:rsidRPr="003D448B" w:rsidRDefault="00EE1979" w:rsidP="00EE1979">
      <w:pPr>
        <w:spacing w:after="0" w:line="240" w:lineRule="auto"/>
        <w:ind w:firstLine="720"/>
        <w:jc w:val="both"/>
        <w:rPr>
          <w:rFonts w:ascii="Times New Roman" w:eastAsia="Times New Roman" w:hAnsi="Times New Roman" w:cs="Times New Roman"/>
          <w:sz w:val="24"/>
          <w:szCs w:val="24"/>
          <w:highlight w:val="yellow"/>
        </w:rPr>
      </w:pPr>
      <w:r w:rsidRPr="003D448B">
        <w:rPr>
          <w:rFonts w:ascii="Times New Roman" w:eastAsia="Times New Roman" w:hAnsi="Times New Roman" w:cs="Times New Roman"/>
          <w:color w:val="000000"/>
          <w:sz w:val="24"/>
          <w:szCs w:val="20"/>
        </w:rPr>
        <w:t xml:space="preserve">Vispārējās valdības budžeta prognozes </w:t>
      </w:r>
      <w:r w:rsidRPr="003D448B">
        <w:rPr>
          <w:rFonts w:ascii="Times New Roman" w:eastAsia="Times New Roman" w:hAnsi="Times New Roman" w:cs="Times New Roman"/>
          <w:b/>
          <w:color w:val="000000"/>
          <w:sz w:val="24"/>
          <w:szCs w:val="20"/>
        </w:rPr>
        <w:t>pie nemainīgas politikas</w:t>
      </w:r>
      <w:r w:rsidRPr="003D448B">
        <w:rPr>
          <w:rFonts w:ascii="Times New Roman" w:eastAsia="Times New Roman" w:hAnsi="Times New Roman" w:cs="Times New Roman"/>
          <w:color w:val="000000"/>
          <w:sz w:val="24"/>
          <w:szCs w:val="20"/>
        </w:rPr>
        <w:t xml:space="preserve"> vidējam termiņam tika sagatavotas atbilstoši aktualizētajam makroekonomiskās attīstības scenārijam, kas ir pamatā ieņēmumu un izdevumu prognozēm. Tāpat prognozēs tika ņemti vērā apstiprinātie centrālās valdības bāzes izdevumi turpmākajiem trim gadiem, kā arī sagaidāmā attīstība vietējās valdības budžetā, ņemot vērā aktuālās tendences. Sagaidāms, ka vispārējās </w:t>
      </w:r>
      <w:r>
        <w:rPr>
          <w:rFonts w:ascii="Times New Roman" w:eastAsia="Times New Roman" w:hAnsi="Times New Roman" w:cs="Times New Roman"/>
          <w:color w:val="000000"/>
          <w:sz w:val="24"/>
          <w:szCs w:val="20"/>
        </w:rPr>
        <w:t>valdības budžeta deficīts 2019.</w:t>
      </w:r>
      <w:r w:rsidRPr="003D448B">
        <w:rPr>
          <w:rFonts w:ascii="Times New Roman" w:eastAsia="Times New Roman" w:hAnsi="Times New Roman" w:cs="Times New Roman"/>
          <w:color w:val="000000"/>
          <w:sz w:val="24"/>
          <w:szCs w:val="20"/>
        </w:rPr>
        <w:t>gadā būs 0,5% no IKP un tas ir tādā pašā līmenī kā tika prognozēts, sagatavojot budžetu</w:t>
      </w:r>
      <w:r>
        <w:rPr>
          <w:rFonts w:ascii="Times New Roman" w:eastAsia="Times New Roman" w:hAnsi="Times New Roman" w:cs="Times New Roman"/>
          <w:color w:val="000000"/>
          <w:sz w:val="24"/>
          <w:szCs w:val="20"/>
        </w:rPr>
        <w:t xml:space="preserve"> 2019.</w:t>
      </w:r>
      <w:r w:rsidRPr="003D448B">
        <w:rPr>
          <w:rFonts w:ascii="Times New Roman" w:eastAsia="Times New Roman" w:hAnsi="Times New Roman" w:cs="Times New Roman"/>
          <w:color w:val="000000"/>
          <w:sz w:val="24"/>
          <w:szCs w:val="20"/>
        </w:rPr>
        <w:t xml:space="preserve">gadam. Vidējā termiņā vispārējās valdības budžetā scenārijā </w:t>
      </w:r>
      <w:r>
        <w:rPr>
          <w:rFonts w:ascii="Times New Roman" w:eastAsia="Times New Roman" w:hAnsi="Times New Roman" w:cs="Times New Roman"/>
          <w:color w:val="000000"/>
          <w:sz w:val="24"/>
          <w:szCs w:val="20"/>
        </w:rPr>
        <w:t>pie nemainīgas politikas, 2020.</w:t>
      </w:r>
      <w:r w:rsidRPr="003D448B">
        <w:rPr>
          <w:rFonts w:ascii="Times New Roman" w:eastAsia="Times New Roman" w:hAnsi="Times New Roman" w:cs="Times New Roman"/>
          <w:color w:val="000000"/>
          <w:sz w:val="24"/>
          <w:szCs w:val="20"/>
        </w:rPr>
        <w:t>gadā tiek prognozēts deficīts 0,3%</w:t>
      </w:r>
      <w:r>
        <w:rPr>
          <w:rFonts w:ascii="Times New Roman" w:eastAsia="Times New Roman" w:hAnsi="Times New Roman" w:cs="Times New Roman"/>
          <w:color w:val="000000"/>
          <w:sz w:val="24"/>
          <w:szCs w:val="20"/>
        </w:rPr>
        <w:t xml:space="preserve"> no IKP, 2021.</w:t>
      </w:r>
      <w:r w:rsidRPr="003D448B">
        <w:rPr>
          <w:rFonts w:ascii="Times New Roman" w:eastAsia="Times New Roman" w:hAnsi="Times New Roman" w:cs="Times New Roman"/>
          <w:color w:val="000000"/>
          <w:sz w:val="24"/>
          <w:szCs w:val="20"/>
        </w:rPr>
        <w:t>gadā defic</w:t>
      </w:r>
      <w:r>
        <w:rPr>
          <w:rFonts w:ascii="Times New Roman" w:eastAsia="Times New Roman" w:hAnsi="Times New Roman" w:cs="Times New Roman"/>
          <w:color w:val="000000"/>
          <w:sz w:val="24"/>
          <w:szCs w:val="20"/>
        </w:rPr>
        <w:t>īts 0,4% apmērā no IKP un 2022.</w:t>
      </w:r>
      <w:r w:rsidRPr="003D448B">
        <w:rPr>
          <w:rFonts w:ascii="Times New Roman" w:eastAsia="Times New Roman" w:hAnsi="Times New Roman" w:cs="Times New Roman"/>
          <w:color w:val="000000"/>
          <w:sz w:val="24"/>
          <w:szCs w:val="20"/>
        </w:rPr>
        <w:t>gadā pārpalikums 0,2% apmērā no IKP.</w:t>
      </w:r>
      <w:r w:rsidRPr="003D448B">
        <w:rPr>
          <w:rFonts w:ascii="Times New Roman" w:eastAsia="Times New Roman" w:hAnsi="Times New Roman" w:cs="Times New Roman"/>
          <w:sz w:val="24"/>
          <w:szCs w:val="24"/>
          <w:highlight w:val="yellow"/>
        </w:rPr>
        <w:t xml:space="preserve"> </w:t>
      </w:r>
    </w:p>
    <w:p w:rsidR="00EE1979" w:rsidRPr="003D448B" w:rsidRDefault="00EE1979" w:rsidP="00EE1979">
      <w:pPr>
        <w:spacing w:after="0" w:line="240" w:lineRule="auto"/>
        <w:ind w:firstLine="720"/>
        <w:jc w:val="both"/>
        <w:rPr>
          <w:rFonts w:ascii="Times New Roman" w:eastAsia="Times New Roman" w:hAnsi="Times New Roman" w:cs="Times New Roman"/>
          <w:sz w:val="24"/>
          <w:szCs w:val="24"/>
        </w:rPr>
      </w:pPr>
      <w:r w:rsidRPr="003D448B">
        <w:rPr>
          <w:rFonts w:ascii="Times New Roman" w:eastAsia="Times New Roman" w:hAnsi="Times New Roman" w:cs="Times New Roman"/>
          <w:sz w:val="24"/>
          <w:szCs w:val="24"/>
        </w:rPr>
        <w:t>Atbilstoši prognozēm vispārējās valdīb</w:t>
      </w:r>
      <w:r>
        <w:rPr>
          <w:rFonts w:ascii="Times New Roman" w:eastAsia="Times New Roman" w:hAnsi="Times New Roman" w:cs="Times New Roman"/>
          <w:sz w:val="24"/>
          <w:szCs w:val="24"/>
        </w:rPr>
        <w:t>as ieņēmumu īpatsvars IKP 2019.</w:t>
      </w:r>
      <w:r w:rsidRPr="003D448B">
        <w:rPr>
          <w:rFonts w:ascii="Times New Roman" w:eastAsia="Times New Roman" w:hAnsi="Times New Roman" w:cs="Times New Roman"/>
          <w:sz w:val="24"/>
          <w:szCs w:val="24"/>
        </w:rPr>
        <w:t>gadā būs 36,2% no IKP, savu</w:t>
      </w:r>
      <w:r>
        <w:rPr>
          <w:rFonts w:ascii="Times New Roman" w:eastAsia="Times New Roman" w:hAnsi="Times New Roman" w:cs="Times New Roman"/>
          <w:sz w:val="24"/>
          <w:szCs w:val="24"/>
        </w:rPr>
        <w:t>kārt 2020.gadā, 2021. un 2022.</w:t>
      </w:r>
      <w:r w:rsidRPr="003D448B">
        <w:rPr>
          <w:rFonts w:ascii="Times New Roman" w:eastAsia="Times New Roman" w:hAnsi="Times New Roman" w:cs="Times New Roman"/>
          <w:sz w:val="24"/>
          <w:szCs w:val="24"/>
        </w:rPr>
        <w:t>gadā tas samazināsies attiecīgi līdz 35,9%, 35,4% un 34,9% no IKP. Ieņēmumu īpatsvara samazināšanos ietekmēs prognozēto ieņēmumu kritums lauku un zivsaimniecības programmu finansēju</w:t>
      </w:r>
      <w:r>
        <w:rPr>
          <w:rFonts w:ascii="Times New Roman" w:eastAsia="Times New Roman" w:hAnsi="Times New Roman" w:cs="Times New Roman"/>
          <w:sz w:val="24"/>
          <w:szCs w:val="24"/>
        </w:rPr>
        <w:t>mā, kas saistīts ar 2014.</w:t>
      </w:r>
      <w:r>
        <w:rPr>
          <w:rFonts w:ascii="Times New Roman" w:eastAsia="Calibri" w:hAnsi="Times New Roman"/>
          <w:color w:val="000000"/>
          <w:szCs w:val="24"/>
        </w:rPr>
        <w:t xml:space="preserve"> – </w:t>
      </w:r>
      <w:r>
        <w:rPr>
          <w:rFonts w:ascii="Times New Roman" w:eastAsia="Times New Roman" w:hAnsi="Times New Roman" w:cs="Times New Roman"/>
          <w:sz w:val="24"/>
          <w:szCs w:val="24"/>
        </w:rPr>
        <w:t>2020.</w:t>
      </w:r>
      <w:r w:rsidRPr="003D448B">
        <w:rPr>
          <w:rFonts w:ascii="Times New Roman" w:eastAsia="Times New Roman" w:hAnsi="Times New Roman" w:cs="Times New Roman"/>
          <w:sz w:val="24"/>
          <w:szCs w:val="24"/>
        </w:rPr>
        <w:t xml:space="preserve">gada plānošanas perioda noslēguma posmu. Tāpat samazinās iedzīvotāju ienākuma nodokļa ieņēmumu īpatsvars attiecībā pret IKP un budžetā plānotais saņemto dividenžu apmērs no publiskā sektora kapitālsabiedrībām. Sagaidāms, ka vispārējās valdības izdevumu īpatsvars IKP līdzīgi kā ieņēmumi vidējā termiņā ik gadu samazināsies, lai gan nominālā izteiksmē gan ieņēmumu, gan izdevumu apjoms pieaugs. </w:t>
      </w:r>
    </w:p>
    <w:p w:rsidR="00EE1979" w:rsidRPr="00652E0F" w:rsidRDefault="00EE1979" w:rsidP="00EE1979">
      <w:pPr>
        <w:spacing w:after="0" w:line="276" w:lineRule="auto"/>
        <w:ind w:firstLine="720"/>
        <w:jc w:val="right"/>
        <w:rPr>
          <w:rFonts w:ascii="Times New Roman" w:eastAsiaTheme="minorHAnsi" w:hAnsi="Times New Roman" w:cs="Times New Roman"/>
          <w:b/>
          <w:sz w:val="16"/>
          <w:szCs w:val="16"/>
        </w:rPr>
      </w:pPr>
    </w:p>
    <w:p w:rsidR="00EE1979" w:rsidRPr="003D448B" w:rsidRDefault="00EE1979" w:rsidP="00EE1979">
      <w:pPr>
        <w:jc w:val="right"/>
        <w:rPr>
          <w:rFonts w:ascii="Times New Roman" w:eastAsiaTheme="minorHAnsi" w:hAnsi="Times New Roman" w:cs="Times New Roman"/>
          <w:b/>
          <w:sz w:val="24"/>
          <w:szCs w:val="24"/>
        </w:rPr>
      </w:pPr>
      <w:r w:rsidRPr="003D448B">
        <w:rPr>
          <w:rFonts w:ascii="Times New Roman" w:eastAsiaTheme="minorHAnsi" w:hAnsi="Times New Roman" w:cs="Times New Roman"/>
          <w:b/>
          <w:sz w:val="24"/>
          <w:szCs w:val="24"/>
        </w:rPr>
        <w:t>3.</w:t>
      </w:r>
      <w:r>
        <w:rPr>
          <w:rFonts w:ascii="Times New Roman" w:eastAsiaTheme="minorHAnsi" w:hAnsi="Times New Roman" w:cs="Times New Roman"/>
          <w:b/>
          <w:sz w:val="24"/>
          <w:szCs w:val="24"/>
        </w:rPr>
        <w:t>9</w:t>
      </w:r>
      <w:r w:rsidRPr="003D448B">
        <w:rPr>
          <w:rFonts w:ascii="Times New Roman" w:eastAsiaTheme="minorHAnsi" w:hAnsi="Times New Roman" w:cs="Times New Roman"/>
          <w:b/>
          <w:sz w:val="24"/>
          <w:szCs w:val="24"/>
        </w:rPr>
        <w:t>. tabula. Vidējā termiņa budžeta scenārijs pie nemainīgas politikas</w:t>
      </w:r>
    </w:p>
    <w:tbl>
      <w:tblPr>
        <w:tblStyle w:val="TableGrid62"/>
        <w:tblW w:w="8334" w:type="dxa"/>
        <w:jc w:val="center"/>
        <w:tblBorders>
          <w:top w:val="single" w:sz="12" w:space="0" w:color="5B9BD5"/>
          <w:left w:val="single" w:sz="12" w:space="0" w:color="5B9BD5"/>
          <w:bottom w:val="single" w:sz="12" w:space="0" w:color="5B9BD5"/>
          <w:right w:val="single" w:sz="12" w:space="0" w:color="5B9BD5"/>
          <w:insideH w:val="single" w:sz="12" w:space="0" w:color="5B9BD5"/>
          <w:insideV w:val="single" w:sz="12" w:space="0" w:color="5B9BD5"/>
        </w:tblBorders>
        <w:tblLayout w:type="fixed"/>
        <w:tblLook w:val="0000" w:firstRow="0" w:lastRow="0" w:firstColumn="0" w:lastColumn="0" w:noHBand="0" w:noVBand="0"/>
      </w:tblPr>
      <w:tblGrid>
        <w:gridCol w:w="2991"/>
        <w:gridCol w:w="1134"/>
        <w:gridCol w:w="807"/>
        <w:gridCol w:w="851"/>
        <w:gridCol w:w="850"/>
        <w:gridCol w:w="851"/>
        <w:gridCol w:w="850"/>
      </w:tblGrid>
      <w:tr w:rsidR="00EE1979" w:rsidRPr="00EE1979" w:rsidTr="007D040E">
        <w:trPr>
          <w:jc w:val="center"/>
        </w:trPr>
        <w:tc>
          <w:tcPr>
            <w:tcW w:w="2991" w:type="dxa"/>
            <w:shd w:val="clear" w:color="auto" w:fill="DEEAF6"/>
          </w:tcPr>
          <w:p w:rsidR="00EE1979" w:rsidRPr="00EE1979" w:rsidRDefault="00EE1979" w:rsidP="00EE1979">
            <w:pPr>
              <w:spacing w:after="0" w:line="240" w:lineRule="auto"/>
              <w:jc w:val="center"/>
              <w:rPr>
                <w:rFonts w:ascii="Times New Roman" w:eastAsia="Times New Roman" w:hAnsi="Times New Roman" w:cs="Times New Roman"/>
                <w:b/>
                <w:sz w:val="20"/>
                <w:szCs w:val="20"/>
              </w:rPr>
            </w:pPr>
          </w:p>
        </w:tc>
        <w:tc>
          <w:tcPr>
            <w:tcW w:w="1134" w:type="dxa"/>
            <w:shd w:val="clear" w:color="auto" w:fill="DEEAF6"/>
          </w:tcPr>
          <w:p w:rsidR="00EE1979" w:rsidRPr="00EE1979" w:rsidRDefault="00EE1979" w:rsidP="00EE1979">
            <w:pPr>
              <w:spacing w:after="0" w:line="240" w:lineRule="auto"/>
              <w:jc w:val="center"/>
              <w:rPr>
                <w:rFonts w:ascii="Times New Roman" w:eastAsia="Times New Roman" w:hAnsi="Times New Roman" w:cs="Times New Roman"/>
                <w:b/>
                <w:sz w:val="20"/>
                <w:szCs w:val="20"/>
              </w:rPr>
            </w:pPr>
          </w:p>
        </w:tc>
        <w:tc>
          <w:tcPr>
            <w:tcW w:w="807" w:type="dxa"/>
            <w:shd w:val="clear" w:color="auto" w:fill="DEEAF6"/>
          </w:tcPr>
          <w:p w:rsidR="00EE1979" w:rsidRPr="00EE1979" w:rsidRDefault="00EE1979" w:rsidP="00EE1979">
            <w:pPr>
              <w:spacing w:after="0" w:line="240" w:lineRule="auto"/>
              <w:jc w:val="center"/>
              <w:rPr>
                <w:rFonts w:ascii="Times New Roman" w:eastAsia="Times New Roman" w:hAnsi="Times New Roman" w:cs="Times New Roman"/>
                <w:b/>
                <w:sz w:val="20"/>
                <w:szCs w:val="20"/>
              </w:rPr>
            </w:pPr>
            <w:r w:rsidRPr="00EE1979">
              <w:rPr>
                <w:rFonts w:ascii="Times New Roman" w:eastAsia="Times New Roman" w:hAnsi="Times New Roman" w:cs="Times New Roman"/>
                <w:b/>
                <w:sz w:val="20"/>
                <w:szCs w:val="20"/>
              </w:rPr>
              <w:t>2018</w:t>
            </w:r>
          </w:p>
        </w:tc>
        <w:tc>
          <w:tcPr>
            <w:tcW w:w="851" w:type="dxa"/>
            <w:shd w:val="clear" w:color="auto" w:fill="DEEAF6"/>
          </w:tcPr>
          <w:p w:rsidR="00EE1979" w:rsidRPr="00EE1979" w:rsidRDefault="00EE1979" w:rsidP="00EE1979">
            <w:pPr>
              <w:spacing w:after="0" w:line="240" w:lineRule="auto"/>
              <w:jc w:val="center"/>
              <w:rPr>
                <w:rFonts w:ascii="Times New Roman" w:eastAsia="Times New Roman" w:hAnsi="Times New Roman" w:cs="Times New Roman"/>
                <w:b/>
                <w:sz w:val="20"/>
                <w:szCs w:val="20"/>
              </w:rPr>
            </w:pPr>
            <w:r w:rsidRPr="00EE1979">
              <w:rPr>
                <w:rFonts w:ascii="Times New Roman" w:eastAsia="Times New Roman" w:hAnsi="Times New Roman" w:cs="Times New Roman"/>
                <w:b/>
                <w:sz w:val="20"/>
                <w:szCs w:val="20"/>
              </w:rPr>
              <w:t>2019</w:t>
            </w:r>
          </w:p>
        </w:tc>
        <w:tc>
          <w:tcPr>
            <w:tcW w:w="850" w:type="dxa"/>
            <w:shd w:val="clear" w:color="auto" w:fill="DEEAF6"/>
          </w:tcPr>
          <w:p w:rsidR="00EE1979" w:rsidRPr="00EE1979" w:rsidRDefault="00EE1979" w:rsidP="00EE1979">
            <w:pPr>
              <w:spacing w:after="0" w:line="240" w:lineRule="auto"/>
              <w:jc w:val="center"/>
              <w:rPr>
                <w:rFonts w:ascii="Times New Roman" w:eastAsia="Times New Roman" w:hAnsi="Times New Roman" w:cs="Times New Roman"/>
                <w:b/>
                <w:sz w:val="20"/>
                <w:szCs w:val="20"/>
              </w:rPr>
            </w:pPr>
            <w:r w:rsidRPr="00EE1979">
              <w:rPr>
                <w:rFonts w:ascii="Times New Roman" w:eastAsia="Times New Roman" w:hAnsi="Times New Roman" w:cs="Times New Roman"/>
                <w:b/>
                <w:sz w:val="20"/>
                <w:szCs w:val="20"/>
              </w:rPr>
              <w:t>2020</w:t>
            </w:r>
          </w:p>
        </w:tc>
        <w:tc>
          <w:tcPr>
            <w:tcW w:w="851" w:type="dxa"/>
            <w:shd w:val="clear" w:color="auto" w:fill="DEEAF6"/>
          </w:tcPr>
          <w:p w:rsidR="00EE1979" w:rsidRPr="00EE1979" w:rsidRDefault="00EE1979" w:rsidP="00EE1979">
            <w:pPr>
              <w:spacing w:after="0" w:line="240" w:lineRule="auto"/>
              <w:jc w:val="center"/>
              <w:rPr>
                <w:rFonts w:ascii="Times New Roman" w:eastAsia="Times New Roman" w:hAnsi="Times New Roman" w:cs="Times New Roman"/>
                <w:b/>
                <w:sz w:val="20"/>
                <w:szCs w:val="20"/>
              </w:rPr>
            </w:pPr>
            <w:r w:rsidRPr="00EE1979">
              <w:rPr>
                <w:rFonts w:ascii="Times New Roman" w:eastAsia="Times New Roman" w:hAnsi="Times New Roman" w:cs="Times New Roman"/>
                <w:b/>
                <w:sz w:val="20"/>
                <w:szCs w:val="20"/>
              </w:rPr>
              <w:t>2021</w:t>
            </w:r>
          </w:p>
        </w:tc>
        <w:tc>
          <w:tcPr>
            <w:tcW w:w="850" w:type="dxa"/>
            <w:shd w:val="clear" w:color="auto" w:fill="DEEAF6"/>
          </w:tcPr>
          <w:p w:rsidR="00EE1979" w:rsidRPr="00EE1979" w:rsidRDefault="00EE1979" w:rsidP="00EE1979">
            <w:pPr>
              <w:spacing w:after="0" w:line="240" w:lineRule="auto"/>
              <w:jc w:val="center"/>
              <w:rPr>
                <w:rFonts w:ascii="Times New Roman" w:eastAsia="Times New Roman" w:hAnsi="Times New Roman" w:cs="Times New Roman"/>
                <w:b/>
                <w:sz w:val="20"/>
                <w:szCs w:val="20"/>
              </w:rPr>
            </w:pPr>
            <w:r w:rsidRPr="00EE1979">
              <w:rPr>
                <w:rFonts w:ascii="Times New Roman" w:eastAsia="Times New Roman" w:hAnsi="Times New Roman" w:cs="Times New Roman"/>
                <w:b/>
                <w:sz w:val="20"/>
                <w:szCs w:val="20"/>
              </w:rPr>
              <w:t>2022</w:t>
            </w:r>
          </w:p>
        </w:tc>
      </w:tr>
      <w:tr w:rsidR="00EE1979" w:rsidRPr="00EE1979" w:rsidTr="007D040E">
        <w:trPr>
          <w:jc w:val="center"/>
        </w:trPr>
        <w:tc>
          <w:tcPr>
            <w:tcW w:w="2991" w:type="dxa"/>
          </w:tcPr>
          <w:p w:rsidR="00EE1979" w:rsidRPr="00EE1979" w:rsidRDefault="00EE1979" w:rsidP="00EE1979">
            <w:pPr>
              <w:spacing w:after="0" w:line="240" w:lineRule="auto"/>
              <w:rPr>
                <w:rFonts w:ascii="Times New Roman" w:eastAsia="Times New Roman" w:hAnsi="Times New Roman" w:cs="Times New Roman"/>
                <w:sz w:val="20"/>
                <w:szCs w:val="20"/>
              </w:rPr>
            </w:pPr>
          </w:p>
        </w:tc>
        <w:tc>
          <w:tcPr>
            <w:tcW w:w="1134" w:type="dxa"/>
          </w:tcPr>
          <w:p w:rsidR="00EE1979" w:rsidRPr="00EE1979" w:rsidRDefault="00EE1979" w:rsidP="00EE1979">
            <w:pPr>
              <w:spacing w:after="0" w:line="240" w:lineRule="auto"/>
              <w:jc w:val="center"/>
              <w:rPr>
                <w:rFonts w:ascii="Times New Roman" w:eastAsia="Times New Roman" w:hAnsi="Times New Roman" w:cs="Times New Roman"/>
                <w:sz w:val="20"/>
                <w:szCs w:val="20"/>
              </w:rPr>
            </w:pPr>
            <w:r w:rsidRPr="00EE1979">
              <w:rPr>
                <w:rFonts w:ascii="Times New Roman" w:eastAsia="Times New Roman" w:hAnsi="Times New Roman" w:cs="Times New Roman"/>
                <w:sz w:val="20"/>
                <w:szCs w:val="20"/>
              </w:rPr>
              <w:t>EKS kods</w:t>
            </w:r>
          </w:p>
        </w:tc>
        <w:tc>
          <w:tcPr>
            <w:tcW w:w="4209" w:type="dxa"/>
            <w:gridSpan w:val="5"/>
          </w:tcPr>
          <w:p w:rsidR="00EE1979" w:rsidRPr="00EE1979" w:rsidRDefault="00EE1979" w:rsidP="00EE1979">
            <w:pPr>
              <w:spacing w:after="0" w:line="240" w:lineRule="auto"/>
              <w:jc w:val="center"/>
              <w:rPr>
                <w:rFonts w:ascii="Times New Roman" w:eastAsia="Times New Roman" w:hAnsi="Times New Roman" w:cs="Times New Roman"/>
                <w:sz w:val="20"/>
                <w:szCs w:val="20"/>
              </w:rPr>
            </w:pPr>
            <w:r w:rsidRPr="00EE1979">
              <w:rPr>
                <w:rFonts w:ascii="Times New Roman" w:eastAsia="Times New Roman" w:hAnsi="Times New Roman" w:cs="Times New Roman"/>
                <w:sz w:val="20"/>
                <w:szCs w:val="20"/>
              </w:rPr>
              <w:t>% no IKP</w:t>
            </w:r>
          </w:p>
        </w:tc>
      </w:tr>
      <w:tr w:rsidR="00EE1979" w:rsidRPr="00EE1979" w:rsidTr="007D040E">
        <w:trPr>
          <w:jc w:val="center"/>
        </w:trPr>
        <w:tc>
          <w:tcPr>
            <w:tcW w:w="8334" w:type="dxa"/>
            <w:gridSpan w:val="7"/>
            <w:shd w:val="clear" w:color="auto" w:fill="DEEAF6"/>
          </w:tcPr>
          <w:p w:rsidR="00EE1979" w:rsidRPr="00EE1979" w:rsidRDefault="00EE1979" w:rsidP="00EE1979">
            <w:pPr>
              <w:spacing w:after="0" w:line="240" w:lineRule="auto"/>
              <w:ind w:firstLine="720"/>
              <w:jc w:val="center"/>
              <w:rPr>
                <w:rFonts w:ascii="Times New Roman" w:eastAsia="Times New Roman" w:hAnsi="Times New Roman" w:cs="Times New Roman"/>
                <w:b/>
                <w:noProof/>
                <w:snapToGrid w:val="0"/>
                <w:sz w:val="20"/>
                <w:szCs w:val="20"/>
              </w:rPr>
            </w:pPr>
            <w:r w:rsidRPr="00EE1979">
              <w:rPr>
                <w:rFonts w:ascii="Times New Roman" w:eastAsia="Times New Roman" w:hAnsi="Times New Roman" w:cs="Times New Roman"/>
                <w:b/>
                <w:snapToGrid w:val="0"/>
                <w:sz w:val="20"/>
                <w:szCs w:val="20"/>
              </w:rPr>
              <w:t xml:space="preserve">Neto aizdevumi (+) vai aizņēmumi (-) (B.9) pa </w:t>
            </w:r>
            <w:r w:rsidRPr="00EE1979">
              <w:rPr>
                <w:rFonts w:ascii="Times New Roman" w:eastAsia="Times New Roman" w:hAnsi="Times New Roman" w:cs="Times New Roman"/>
                <w:b/>
                <w:noProof/>
                <w:snapToGrid w:val="0"/>
                <w:sz w:val="20"/>
                <w:szCs w:val="20"/>
              </w:rPr>
              <w:t>apakšsektoriem</w:t>
            </w:r>
          </w:p>
        </w:tc>
      </w:tr>
      <w:tr w:rsidR="00EE1979" w:rsidRPr="00EE1979" w:rsidTr="007D040E">
        <w:trPr>
          <w:jc w:val="center"/>
        </w:trPr>
        <w:tc>
          <w:tcPr>
            <w:tcW w:w="2991" w:type="dxa"/>
          </w:tcPr>
          <w:p w:rsidR="00EE1979" w:rsidRPr="00EE1979" w:rsidRDefault="00EE1979" w:rsidP="00EE1979">
            <w:pPr>
              <w:spacing w:after="0" w:line="240" w:lineRule="auto"/>
              <w:rPr>
                <w:rFonts w:ascii="Times New Roman" w:eastAsia="Times New Roman" w:hAnsi="Times New Roman" w:cs="Times New Roman"/>
                <w:b/>
                <w:snapToGrid w:val="0"/>
                <w:sz w:val="20"/>
                <w:szCs w:val="20"/>
              </w:rPr>
            </w:pPr>
            <w:r w:rsidRPr="00EE1979">
              <w:rPr>
                <w:rFonts w:ascii="Times New Roman" w:eastAsia="Times New Roman" w:hAnsi="Times New Roman" w:cs="Times New Roman"/>
                <w:b/>
                <w:snapToGrid w:val="0"/>
                <w:sz w:val="20"/>
                <w:szCs w:val="20"/>
              </w:rPr>
              <w:t>Vispārējā valdība</w:t>
            </w:r>
          </w:p>
        </w:tc>
        <w:tc>
          <w:tcPr>
            <w:tcW w:w="1134" w:type="dxa"/>
          </w:tcPr>
          <w:p w:rsidR="00EE1979" w:rsidRPr="00EE1979" w:rsidRDefault="00EE1979" w:rsidP="00EE1979">
            <w:pPr>
              <w:spacing w:after="0" w:line="240" w:lineRule="auto"/>
              <w:jc w:val="center"/>
              <w:rPr>
                <w:rFonts w:ascii="Times New Roman" w:eastAsia="Times New Roman" w:hAnsi="Times New Roman" w:cs="Times New Roman"/>
                <w:sz w:val="20"/>
                <w:szCs w:val="20"/>
              </w:rPr>
            </w:pPr>
            <w:r w:rsidRPr="00EE1979">
              <w:rPr>
                <w:rFonts w:ascii="Times New Roman" w:eastAsia="Times New Roman" w:hAnsi="Times New Roman" w:cs="Times New Roman"/>
                <w:sz w:val="20"/>
                <w:szCs w:val="20"/>
              </w:rPr>
              <w:t>S.13</w:t>
            </w:r>
          </w:p>
        </w:tc>
        <w:tc>
          <w:tcPr>
            <w:tcW w:w="807" w:type="dxa"/>
            <w:vAlign w:val="center"/>
          </w:tcPr>
          <w:p w:rsidR="00EE1979" w:rsidRPr="00EE1979" w:rsidRDefault="00EE1979" w:rsidP="00EE1979">
            <w:pPr>
              <w:spacing w:after="0" w:line="240" w:lineRule="auto"/>
              <w:jc w:val="center"/>
              <w:rPr>
                <w:rFonts w:ascii="Times New Roman" w:eastAsia="Times New Roman" w:hAnsi="Times New Roman" w:cs="Times New Roman"/>
                <w:snapToGrid w:val="0"/>
                <w:sz w:val="20"/>
                <w:szCs w:val="20"/>
              </w:rPr>
            </w:pPr>
            <w:r w:rsidRPr="00EE1979">
              <w:rPr>
                <w:rFonts w:ascii="Times New Roman" w:eastAsia="Times New Roman" w:hAnsi="Times New Roman" w:cs="Times New Roman"/>
                <w:snapToGrid w:val="0"/>
                <w:color w:val="000000"/>
                <w:sz w:val="20"/>
                <w:szCs w:val="20"/>
              </w:rPr>
              <w:t>-1,0</w:t>
            </w:r>
          </w:p>
        </w:tc>
        <w:tc>
          <w:tcPr>
            <w:tcW w:w="851" w:type="dxa"/>
            <w:vAlign w:val="center"/>
          </w:tcPr>
          <w:p w:rsidR="00EE1979" w:rsidRPr="00EE1979" w:rsidRDefault="00EE1979" w:rsidP="00EE1979">
            <w:pPr>
              <w:spacing w:after="0" w:line="240" w:lineRule="auto"/>
              <w:jc w:val="center"/>
              <w:rPr>
                <w:rFonts w:ascii="Times New Roman" w:eastAsia="Times New Roman" w:hAnsi="Times New Roman" w:cs="Times New Roman"/>
                <w:snapToGrid w:val="0"/>
                <w:sz w:val="20"/>
                <w:szCs w:val="20"/>
              </w:rPr>
            </w:pPr>
            <w:r w:rsidRPr="00EE1979">
              <w:rPr>
                <w:rFonts w:ascii="Times New Roman" w:eastAsia="Times New Roman" w:hAnsi="Times New Roman" w:cs="Times New Roman"/>
                <w:snapToGrid w:val="0"/>
                <w:color w:val="000000"/>
                <w:sz w:val="20"/>
                <w:szCs w:val="20"/>
              </w:rPr>
              <w:t>-0,5</w:t>
            </w:r>
          </w:p>
        </w:tc>
        <w:tc>
          <w:tcPr>
            <w:tcW w:w="850" w:type="dxa"/>
            <w:vAlign w:val="center"/>
          </w:tcPr>
          <w:p w:rsidR="00EE1979" w:rsidRPr="00EE1979" w:rsidRDefault="00EE1979" w:rsidP="00EE1979">
            <w:pPr>
              <w:spacing w:after="0" w:line="240" w:lineRule="auto"/>
              <w:jc w:val="center"/>
              <w:rPr>
                <w:rFonts w:ascii="Times New Roman" w:eastAsia="Times New Roman" w:hAnsi="Times New Roman" w:cs="Times New Roman"/>
                <w:snapToGrid w:val="0"/>
                <w:sz w:val="20"/>
                <w:szCs w:val="20"/>
              </w:rPr>
            </w:pPr>
            <w:r w:rsidRPr="00EE1979">
              <w:rPr>
                <w:rFonts w:ascii="Times New Roman" w:eastAsia="Times New Roman" w:hAnsi="Times New Roman" w:cs="Times New Roman"/>
                <w:snapToGrid w:val="0"/>
                <w:color w:val="000000"/>
                <w:sz w:val="20"/>
                <w:szCs w:val="20"/>
              </w:rPr>
              <w:t>-0,3</w:t>
            </w:r>
          </w:p>
        </w:tc>
        <w:tc>
          <w:tcPr>
            <w:tcW w:w="851" w:type="dxa"/>
            <w:vAlign w:val="center"/>
          </w:tcPr>
          <w:p w:rsidR="00EE1979" w:rsidRPr="00EE1979" w:rsidRDefault="00EE1979" w:rsidP="00EE1979">
            <w:pPr>
              <w:spacing w:after="0" w:line="240" w:lineRule="auto"/>
              <w:jc w:val="center"/>
              <w:rPr>
                <w:rFonts w:ascii="Times New Roman" w:eastAsia="Times New Roman" w:hAnsi="Times New Roman" w:cs="Times New Roman"/>
                <w:snapToGrid w:val="0"/>
                <w:sz w:val="20"/>
                <w:szCs w:val="20"/>
              </w:rPr>
            </w:pPr>
            <w:r w:rsidRPr="00EE1979">
              <w:rPr>
                <w:rFonts w:ascii="Times New Roman" w:eastAsia="Times New Roman" w:hAnsi="Times New Roman" w:cs="Times New Roman"/>
                <w:snapToGrid w:val="0"/>
                <w:color w:val="000000"/>
                <w:sz w:val="20"/>
                <w:szCs w:val="20"/>
              </w:rPr>
              <w:t>-0,4</w:t>
            </w:r>
          </w:p>
        </w:tc>
        <w:tc>
          <w:tcPr>
            <w:tcW w:w="850" w:type="dxa"/>
            <w:vAlign w:val="center"/>
          </w:tcPr>
          <w:p w:rsidR="00EE1979" w:rsidRPr="00EE1979" w:rsidRDefault="00EE1979" w:rsidP="00EE1979">
            <w:pPr>
              <w:spacing w:after="0" w:line="240" w:lineRule="auto"/>
              <w:jc w:val="center"/>
              <w:rPr>
                <w:rFonts w:ascii="Times New Roman" w:eastAsia="Times New Roman" w:hAnsi="Times New Roman" w:cs="Times New Roman"/>
                <w:snapToGrid w:val="0"/>
                <w:sz w:val="20"/>
                <w:szCs w:val="20"/>
              </w:rPr>
            </w:pPr>
            <w:r w:rsidRPr="00EE1979">
              <w:rPr>
                <w:rFonts w:ascii="Times New Roman" w:eastAsia="Times New Roman" w:hAnsi="Times New Roman" w:cs="Times New Roman"/>
                <w:snapToGrid w:val="0"/>
                <w:color w:val="000000"/>
                <w:sz w:val="20"/>
                <w:szCs w:val="20"/>
              </w:rPr>
              <w:t>0,2</w:t>
            </w:r>
          </w:p>
        </w:tc>
      </w:tr>
      <w:tr w:rsidR="00EE1979" w:rsidRPr="00EE1979" w:rsidTr="007D040E">
        <w:trPr>
          <w:jc w:val="center"/>
        </w:trPr>
        <w:tc>
          <w:tcPr>
            <w:tcW w:w="2991" w:type="dxa"/>
          </w:tcPr>
          <w:p w:rsidR="00EE1979" w:rsidRPr="00EE1979" w:rsidRDefault="00EE1979" w:rsidP="00EE1979">
            <w:pPr>
              <w:spacing w:after="0" w:line="240" w:lineRule="auto"/>
              <w:rPr>
                <w:rFonts w:ascii="Times New Roman" w:eastAsia="Times New Roman" w:hAnsi="Times New Roman" w:cs="Times New Roman"/>
                <w:b/>
                <w:snapToGrid w:val="0"/>
                <w:sz w:val="20"/>
                <w:szCs w:val="20"/>
              </w:rPr>
            </w:pPr>
            <w:r w:rsidRPr="00EE1979">
              <w:rPr>
                <w:rFonts w:ascii="Times New Roman" w:eastAsia="Times New Roman" w:hAnsi="Times New Roman" w:cs="Times New Roman"/>
                <w:b/>
                <w:snapToGrid w:val="0"/>
                <w:sz w:val="20"/>
                <w:szCs w:val="20"/>
              </w:rPr>
              <w:t>Centrālā valdība</w:t>
            </w:r>
          </w:p>
        </w:tc>
        <w:tc>
          <w:tcPr>
            <w:tcW w:w="1134" w:type="dxa"/>
          </w:tcPr>
          <w:p w:rsidR="00EE1979" w:rsidRPr="00EE1979" w:rsidRDefault="00EE1979" w:rsidP="00EE1979">
            <w:pPr>
              <w:spacing w:after="0" w:line="240" w:lineRule="auto"/>
              <w:jc w:val="center"/>
              <w:rPr>
                <w:rFonts w:ascii="Times New Roman" w:eastAsia="Times New Roman" w:hAnsi="Times New Roman" w:cs="Times New Roman"/>
                <w:sz w:val="20"/>
                <w:szCs w:val="20"/>
              </w:rPr>
            </w:pPr>
            <w:r w:rsidRPr="00EE1979">
              <w:rPr>
                <w:rFonts w:ascii="Times New Roman" w:eastAsia="Times New Roman" w:hAnsi="Times New Roman" w:cs="Times New Roman"/>
                <w:sz w:val="20"/>
                <w:szCs w:val="20"/>
              </w:rPr>
              <w:t>S.1311</w:t>
            </w:r>
          </w:p>
        </w:tc>
        <w:tc>
          <w:tcPr>
            <w:tcW w:w="807" w:type="dxa"/>
            <w:vAlign w:val="center"/>
          </w:tcPr>
          <w:p w:rsidR="00EE1979" w:rsidRPr="00EE1979" w:rsidRDefault="00EE1979" w:rsidP="00EE1979">
            <w:pPr>
              <w:spacing w:after="0" w:line="240" w:lineRule="auto"/>
              <w:jc w:val="center"/>
              <w:rPr>
                <w:rFonts w:ascii="Times New Roman" w:eastAsia="Times New Roman" w:hAnsi="Times New Roman" w:cs="Times New Roman"/>
                <w:snapToGrid w:val="0"/>
                <w:sz w:val="20"/>
                <w:szCs w:val="20"/>
              </w:rPr>
            </w:pPr>
            <w:r w:rsidRPr="00EE1979">
              <w:rPr>
                <w:rFonts w:ascii="Times New Roman" w:eastAsia="Times New Roman" w:hAnsi="Times New Roman" w:cs="Times New Roman"/>
                <w:color w:val="000000"/>
                <w:sz w:val="20"/>
                <w:szCs w:val="20"/>
              </w:rPr>
              <w:t>-1,1</w:t>
            </w:r>
          </w:p>
        </w:tc>
        <w:tc>
          <w:tcPr>
            <w:tcW w:w="851" w:type="dxa"/>
            <w:vAlign w:val="center"/>
          </w:tcPr>
          <w:p w:rsidR="00EE1979" w:rsidRPr="00EE1979" w:rsidRDefault="00EE1979" w:rsidP="00EE1979">
            <w:pPr>
              <w:spacing w:after="0" w:line="240" w:lineRule="auto"/>
              <w:jc w:val="center"/>
              <w:rPr>
                <w:rFonts w:ascii="Times New Roman" w:eastAsia="Times New Roman" w:hAnsi="Times New Roman" w:cs="Times New Roman"/>
                <w:snapToGrid w:val="0"/>
                <w:sz w:val="20"/>
                <w:szCs w:val="20"/>
              </w:rPr>
            </w:pPr>
            <w:r w:rsidRPr="00EE1979">
              <w:rPr>
                <w:rFonts w:ascii="Times New Roman" w:eastAsia="Times New Roman" w:hAnsi="Times New Roman" w:cs="Times New Roman"/>
                <w:color w:val="000000"/>
                <w:sz w:val="20"/>
                <w:szCs w:val="20"/>
              </w:rPr>
              <w:t>-0,9</w:t>
            </w:r>
          </w:p>
        </w:tc>
        <w:tc>
          <w:tcPr>
            <w:tcW w:w="850" w:type="dxa"/>
            <w:vAlign w:val="center"/>
          </w:tcPr>
          <w:p w:rsidR="00EE1979" w:rsidRPr="00EE1979" w:rsidRDefault="00EE1979" w:rsidP="00EE1979">
            <w:pPr>
              <w:spacing w:after="0" w:line="240" w:lineRule="auto"/>
              <w:jc w:val="center"/>
              <w:rPr>
                <w:rFonts w:ascii="Times New Roman" w:eastAsia="Times New Roman" w:hAnsi="Times New Roman" w:cs="Times New Roman"/>
                <w:snapToGrid w:val="0"/>
                <w:sz w:val="20"/>
                <w:szCs w:val="20"/>
              </w:rPr>
            </w:pPr>
            <w:r w:rsidRPr="00EE1979">
              <w:rPr>
                <w:rFonts w:ascii="Times New Roman" w:eastAsia="Times New Roman" w:hAnsi="Times New Roman" w:cs="Times New Roman"/>
                <w:color w:val="000000"/>
                <w:sz w:val="20"/>
                <w:szCs w:val="20"/>
              </w:rPr>
              <w:t>-0,7</w:t>
            </w:r>
          </w:p>
        </w:tc>
        <w:tc>
          <w:tcPr>
            <w:tcW w:w="851" w:type="dxa"/>
            <w:vAlign w:val="center"/>
          </w:tcPr>
          <w:p w:rsidR="00EE1979" w:rsidRPr="00EE1979" w:rsidRDefault="00EE1979" w:rsidP="00EE1979">
            <w:pPr>
              <w:spacing w:after="0" w:line="240" w:lineRule="auto"/>
              <w:jc w:val="center"/>
              <w:rPr>
                <w:rFonts w:ascii="Times New Roman" w:eastAsia="Times New Roman" w:hAnsi="Times New Roman" w:cs="Times New Roman"/>
                <w:snapToGrid w:val="0"/>
                <w:sz w:val="20"/>
                <w:szCs w:val="20"/>
              </w:rPr>
            </w:pPr>
            <w:r w:rsidRPr="00EE1979">
              <w:rPr>
                <w:rFonts w:ascii="Times New Roman" w:eastAsia="Times New Roman" w:hAnsi="Times New Roman" w:cs="Times New Roman"/>
                <w:color w:val="000000"/>
                <w:sz w:val="20"/>
                <w:szCs w:val="20"/>
              </w:rPr>
              <w:t>-0,7</w:t>
            </w:r>
          </w:p>
        </w:tc>
        <w:tc>
          <w:tcPr>
            <w:tcW w:w="850" w:type="dxa"/>
            <w:vAlign w:val="center"/>
          </w:tcPr>
          <w:p w:rsidR="00EE1979" w:rsidRPr="00EE1979" w:rsidRDefault="00EE1979" w:rsidP="00EE1979">
            <w:pPr>
              <w:spacing w:after="0" w:line="240" w:lineRule="auto"/>
              <w:jc w:val="center"/>
              <w:rPr>
                <w:rFonts w:ascii="Times New Roman" w:eastAsia="Times New Roman" w:hAnsi="Times New Roman" w:cs="Times New Roman"/>
                <w:snapToGrid w:val="0"/>
                <w:sz w:val="20"/>
                <w:szCs w:val="20"/>
              </w:rPr>
            </w:pPr>
            <w:r w:rsidRPr="00EE1979">
              <w:rPr>
                <w:rFonts w:ascii="Times New Roman" w:eastAsia="Times New Roman" w:hAnsi="Times New Roman" w:cs="Times New Roman"/>
                <w:color w:val="000000"/>
                <w:sz w:val="20"/>
                <w:szCs w:val="20"/>
              </w:rPr>
              <w:t>-0,1</w:t>
            </w:r>
          </w:p>
        </w:tc>
      </w:tr>
      <w:tr w:rsidR="00EE1979" w:rsidRPr="00EE1979" w:rsidTr="007D040E">
        <w:trPr>
          <w:jc w:val="center"/>
        </w:trPr>
        <w:tc>
          <w:tcPr>
            <w:tcW w:w="2991" w:type="dxa"/>
          </w:tcPr>
          <w:p w:rsidR="00EE1979" w:rsidRPr="00EE1979" w:rsidRDefault="00EE1979" w:rsidP="00EE1979">
            <w:pPr>
              <w:spacing w:after="0" w:line="240" w:lineRule="auto"/>
              <w:rPr>
                <w:rFonts w:ascii="Times New Roman" w:eastAsia="Times New Roman" w:hAnsi="Times New Roman" w:cs="Times New Roman"/>
                <w:b/>
                <w:snapToGrid w:val="0"/>
                <w:sz w:val="20"/>
                <w:szCs w:val="20"/>
              </w:rPr>
            </w:pPr>
            <w:r w:rsidRPr="00EE1979">
              <w:rPr>
                <w:rFonts w:ascii="Times New Roman" w:eastAsia="Times New Roman" w:hAnsi="Times New Roman" w:cs="Times New Roman"/>
                <w:b/>
                <w:snapToGrid w:val="0"/>
                <w:sz w:val="20"/>
                <w:szCs w:val="20"/>
              </w:rPr>
              <w:t>Vietējā valdība</w:t>
            </w:r>
          </w:p>
        </w:tc>
        <w:tc>
          <w:tcPr>
            <w:tcW w:w="1134" w:type="dxa"/>
          </w:tcPr>
          <w:p w:rsidR="00EE1979" w:rsidRPr="00EE1979" w:rsidRDefault="00EE1979" w:rsidP="00EE1979">
            <w:pPr>
              <w:spacing w:after="0" w:line="240" w:lineRule="auto"/>
              <w:jc w:val="center"/>
              <w:rPr>
                <w:rFonts w:ascii="Times New Roman" w:eastAsia="Times New Roman" w:hAnsi="Times New Roman" w:cs="Times New Roman"/>
                <w:sz w:val="20"/>
                <w:szCs w:val="20"/>
              </w:rPr>
            </w:pPr>
            <w:r w:rsidRPr="00EE1979">
              <w:rPr>
                <w:rFonts w:ascii="Times New Roman" w:eastAsia="Times New Roman" w:hAnsi="Times New Roman" w:cs="Times New Roman"/>
                <w:sz w:val="20"/>
                <w:szCs w:val="20"/>
              </w:rPr>
              <w:t>S.1313</w:t>
            </w:r>
          </w:p>
        </w:tc>
        <w:tc>
          <w:tcPr>
            <w:tcW w:w="807" w:type="dxa"/>
            <w:vAlign w:val="center"/>
          </w:tcPr>
          <w:p w:rsidR="00EE1979" w:rsidRPr="00EE1979" w:rsidRDefault="00EE1979" w:rsidP="00EE1979">
            <w:pPr>
              <w:spacing w:after="0" w:line="240" w:lineRule="auto"/>
              <w:jc w:val="center"/>
              <w:rPr>
                <w:rFonts w:ascii="Times New Roman" w:eastAsia="Times New Roman" w:hAnsi="Times New Roman" w:cs="Times New Roman"/>
                <w:snapToGrid w:val="0"/>
                <w:sz w:val="20"/>
                <w:szCs w:val="20"/>
              </w:rPr>
            </w:pPr>
            <w:r w:rsidRPr="00EE1979">
              <w:rPr>
                <w:rFonts w:ascii="Times New Roman" w:eastAsia="Times New Roman" w:hAnsi="Times New Roman" w:cs="Times New Roman"/>
                <w:color w:val="000000"/>
                <w:sz w:val="20"/>
                <w:szCs w:val="20"/>
              </w:rPr>
              <w:t>-0,7</w:t>
            </w:r>
          </w:p>
        </w:tc>
        <w:tc>
          <w:tcPr>
            <w:tcW w:w="851" w:type="dxa"/>
            <w:vAlign w:val="center"/>
          </w:tcPr>
          <w:p w:rsidR="00EE1979" w:rsidRPr="00EE1979" w:rsidRDefault="00EE1979" w:rsidP="00EE1979">
            <w:pPr>
              <w:spacing w:after="0" w:line="240" w:lineRule="auto"/>
              <w:jc w:val="center"/>
              <w:rPr>
                <w:rFonts w:ascii="Times New Roman" w:eastAsia="Times New Roman" w:hAnsi="Times New Roman" w:cs="Times New Roman"/>
                <w:snapToGrid w:val="0"/>
                <w:sz w:val="20"/>
                <w:szCs w:val="20"/>
              </w:rPr>
            </w:pPr>
            <w:r w:rsidRPr="00EE1979">
              <w:rPr>
                <w:rFonts w:ascii="Times New Roman" w:eastAsia="Times New Roman" w:hAnsi="Times New Roman" w:cs="Times New Roman"/>
                <w:color w:val="000000"/>
                <w:sz w:val="20"/>
                <w:szCs w:val="20"/>
              </w:rPr>
              <w:t>-0,3</w:t>
            </w:r>
          </w:p>
        </w:tc>
        <w:tc>
          <w:tcPr>
            <w:tcW w:w="850" w:type="dxa"/>
            <w:vAlign w:val="center"/>
          </w:tcPr>
          <w:p w:rsidR="00EE1979" w:rsidRPr="00EE1979" w:rsidRDefault="00EE1979" w:rsidP="00EE1979">
            <w:pPr>
              <w:spacing w:after="0" w:line="240" w:lineRule="auto"/>
              <w:jc w:val="center"/>
              <w:rPr>
                <w:rFonts w:ascii="Times New Roman" w:eastAsia="Times New Roman" w:hAnsi="Times New Roman" w:cs="Times New Roman"/>
                <w:snapToGrid w:val="0"/>
                <w:sz w:val="20"/>
                <w:szCs w:val="20"/>
              </w:rPr>
            </w:pPr>
            <w:r w:rsidRPr="00EE1979">
              <w:rPr>
                <w:rFonts w:ascii="Times New Roman" w:eastAsia="Times New Roman" w:hAnsi="Times New Roman" w:cs="Times New Roman"/>
                <w:color w:val="000000"/>
                <w:sz w:val="20"/>
                <w:szCs w:val="20"/>
              </w:rPr>
              <w:t>-0,1</w:t>
            </w:r>
          </w:p>
        </w:tc>
        <w:tc>
          <w:tcPr>
            <w:tcW w:w="851" w:type="dxa"/>
            <w:vAlign w:val="center"/>
          </w:tcPr>
          <w:p w:rsidR="00EE1979" w:rsidRPr="00EE1979" w:rsidRDefault="00EE1979" w:rsidP="00EE1979">
            <w:pPr>
              <w:spacing w:after="0" w:line="240" w:lineRule="auto"/>
              <w:jc w:val="center"/>
              <w:rPr>
                <w:rFonts w:ascii="Times New Roman" w:eastAsia="Times New Roman" w:hAnsi="Times New Roman" w:cs="Times New Roman"/>
                <w:snapToGrid w:val="0"/>
                <w:sz w:val="20"/>
                <w:szCs w:val="20"/>
              </w:rPr>
            </w:pPr>
            <w:r w:rsidRPr="00EE1979">
              <w:rPr>
                <w:rFonts w:ascii="Times New Roman" w:eastAsia="Times New Roman" w:hAnsi="Times New Roman" w:cs="Times New Roman"/>
                <w:color w:val="000000"/>
                <w:sz w:val="20"/>
                <w:szCs w:val="20"/>
              </w:rPr>
              <w:t>0,0</w:t>
            </w:r>
          </w:p>
        </w:tc>
        <w:tc>
          <w:tcPr>
            <w:tcW w:w="850" w:type="dxa"/>
            <w:vAlign w:val="center"/>
          </w:tcPr>
          <w:p w:rsidR="00EE1979" w:rsidRPr="00EE1979" w:rsidRDefault="00EE1979" w:rsidP="00EE1979">
            <w:pPr>
              <w:spacing w:after="0" w:line="240" w:lineRule="auto"/>
              <w:jc w:val="center"/>
              <w:rPr>
                <w:rFonts w:ascii="Times New Roman" w:eastAsia="Times New Roman" w:hAnsi="Times New Roman" w:cs="Times New Roman"/>
                <w:snapToGrid w:val="0"/>
                <w:sz w:val="20"/>
                <w:szCs w:val="20"/>
              </w:rPr>
            </w:pPr>
            <w:r w:rsidRPr="00EE1979">
              <w:rPr>
                <w:rFonts w:ascii="Times New Roman" w:eastAsia="Times New Roman" w:hAnsi="Times New Roman" w:cs="Times New Roman"/>
                <w:color w:val="000000"/>
                <w:sz w:val="20"/>
                <w:szCs w:val="20"/>
              </w:rPr>
              <w:t>0,0</w:t>
            </w:r>
          </w:p>
        </w:tc>
      </w:tr>
      <w:tr w:rsidR="00EE1979" w:rsidRPr="00EE1979" w:rsidTr="007D040E">
        <w:trPr>
          <w:jc w:val="center"/>
        </w:trPr>
        <w:tc>
          <w:tcPr>
            <w:tcW w:w="2991" w:type="dxa"/>
          </w:tcPr>
          <w:p w:rsidR="00EE1979" w:rsidRPr="00EE1979" w:rsidRDefault="00EE1979" w:rsidP="00EE1979">
            <w:pPr>
              <w:spacing w:after="0" w:line="240" w:lineRule="auto"/>
              <w:rPr>
                <w:rFonts w:ascii="Times New Roman" w:eastAsia="Times New Roman" w:hAnsi="Times New Roman" w:cs="Times New Roman"/>
                <w:b/>
                <w:snapToGrid w:val="0"/>
                <w:sz w:val="20"/>
                <w:szCs w:val="20"/>
              </w:rPr>
            </w:pPr>
            <w:r w:rsidRPr="00EE1979">
              <w:rPr>
                <w:rFonts w:ascii="Times New Roman" w:eastAsia="Times New Roman" w:hAnsi="Times New Roman" w:cs="Times New Roman"/>
                <w:b/>
                <w:snapToGrid w:val="0"/>
                <w:sz w:val="20"/>
                <w:szCs w:val="20"/>
              </w:rPr>
              <w:t>Sociālās nodrošināšanas fondi</w:t>
            </w:r>
          </w:p>
        </w:tc>
        <w:tc>
          <w:tcPr>
            <w:tcW w:w="1134" w:type="dxa"/>
          </w:tcPr>
          <w:p w:rsidR="00EE1979" w:rsidRPr="00EE1979" w:rsidRDefault="00EE1979" w:rsidP="00EE1979">
            <w:pPr>
              <w:spacing w:after="0" w:line="240" w:lineRule="auto"/>
              <w:jc w:val="center"/>
              <w:rPr>
                <w:rFonts w:ascii="Times New Roman" w:eastAsia="Times New Roman" w:hAnsi="Times New Roman" w:cs="Times New Roman"/>
                <w:sz w:val="20"/>
                <w:szCs w:val="20"/>
              </w:rPr>
            </w:pPr>
            <w:r w:rsidRPr="00EE1979">
              <w:rPr>
                <w:rFonts w:ascii="Times New Roman" w:eastAsia="Times New Roman" w:hAnsi="Times New Roman" w:cs="Times New Roman"/>
                <w:sz w:val="20"/>
                <w:szCs w:val="20"/>
              </w:rPr>
              <w:t>S.1314</w:t>
            </w:r>
          </w:p>
        </w:tc>
        <w:tc>
          <w:tcPr>
            <w:tcW w:w="807" w:type="dxa"/>
            <w:vAlign w:val="center"/>
          </w:tcPr>
          <w:p w:rsidR="00EE1979" w:rsidRPr="00EE1979" w:rsidRDefault="00EE1979" w:rsidP="00EE1979">
            <w:pPr>
              <w:spacing w:after="0" w:line="240" w:lineRule="auto"/>
              <w:jc w:val="center"/>
              <w:rPr>
                <w:rFonts w:ascii="Times New Roman" w:eastAsia="Times New Roman" w:hAnsi="Times New Roman" w:cs="Times New Roman"/>
                <w:snapToGrid w:val="0"/>
                <w:sz w:val="20"/>
                <w:szCs w:val="20"/>
              </w:rPr>
            </w:pPr>
            <w:r w:rsidRPr="00EE1979">
              <w:rPr>
                <w:rFonts w:ascii="Times New Roman" w:eastAsia="Times New Roman" w:hAnsi="Times New Roman" w:cs="Times New Roman"/>
                <w:color w:val="000000"/>
                <w:sz w:val="20"/>
                <w:szCs w:val="20"/>
              </w:rPr>
              <w:t>0,8</w:t>
            </w:r>
          </w:p>
        </w:tc>
        <w:tc>
          <w:tcPr>
            <w:tcW w:w="851" w:type="dxa"/>
            <w:vAlign w:val="center"/>
          </w:tcPr>
          <w:p w:rsidR="00EE1979" w:rsidRPr="00EE1979" w:rsidRDefault="00EE1979" w:rsidP="00EE1979">
            <w:pPr>
              <w:spacing w:after="0" w:line="240" w:lineRule="auto"/>
              <w:jc w:val="center"/>
              <w:rPr>
                <w:rFonts w:ascii="Times New Roman" w:eastAsia="Times New Roman" w:hAnsi="Times New Roman" w:cs="Times New Roman"/>
                <w:snapToGrid w:val="0"/>
                <w:sz w:val="20"/>
                <w:szCs w:val="20"/>
              </w:rPr>
            </w:pPr>
            <w:r w:rsidRPr="00EE1979">
              <w:rPr>
                <w:rFonts w:ascii="Times New Roman" w:eastAsia="Times New Roman" w:hAnsi="Times New Roman" w:cs="Times New Roman"/>
                <w:color w:val="000000"/>
                <w:sz w:val="20"/>
                <w:szCs w:val="20"/>
              </w:rPr>
              <w:t>0,7</w:t>
            </w:r>
          </w:p>
        </w:tc>
        <w:tc>
          <w:tcPr>
            <w:tcW w:w="850" w:type="dxa"/>
            <w:vAlign w:val="center"/>
          </w:tcPr>
          <w:p w:rsidR="00EE1979" w:rsidRPr="00EE1979" w:rsidRDefault="00EE1979" w:rsidP="00EE1979">
            <w:pPr>
              <w:spacing w:after="0" w:line="240" w:lineRule="auto"/>
              <w:jc w:val="center"/>
              <w:rPr>
                <w:rFonts w:ascii="Times New Roman" w:eastAsia="Times New Roman" w:hAnsi="Times New Roman" w:cs="Times New Roman"/>
                <w:snapToGrid w:val="0"/>
                <w:sz w:val="20"/>
                <w:szCs w:val="20"/>
              </w:rPr>
            </w:pPr>
            <w:r w:rsidRPr="00EE1979">
              <w:rPr>
                <w:rFonts w:ascii="Times New Roman" w:eastAsia="Times New Roman" w:hAnsi="Times New Roman" w:cs="Times New Roman"/>
                <w:color w:val="000000"/>
                <w:sz w:val="20"/>
                <w:szCs w:val="20"/>
              </w:rPr>
              <w:t>0,4</w:t>
            </w:r>
          </w:p>
        </w:tc>
        <w:tc>
          <w:tcPr>
            <w:tcW w:w="851" w:type="dxa"/>
            <w:vAlign w:val="center"/>
          </w:tcPr>
          <w:p w:rsidR="00EE1979" w:rsidRPr="00EE1979" w:rsidRDefault="00EE1979" w:rsidP="00EE1979">
            <w:pPr>
              <w:spacing w:after="0" w:line="240" w:lineRule="auto"/>
              <w:jc w:val="center"/>
              <w:rPr>
                <w:rFonts w:ascii="Times New Roman" w:eastAsia="Times New Roman" w:hAnsi="Times New Roman" w:cs="Times New Roman"/>
                <w:snapToGrid w:val="0"/>
                <w:sz w:val="20"/>
                <w:szCs w:val="20"/>
              </w:rPr>
            </w:pPr>
            <w:r w:rsidRPr="00EE1979">
              <w:rPr>
                <w:rFonts w:ascii="Times New Roman" w:eastAsia="Times New Roman" w:hAnsi="Times New Roman" w:cs="Times New Roman"/>
                <w:color w:val="000000"/>
                <w:sz w:val="20"/>
                <w:szCs w:val="20"/>
              </w:rPr>
              <w:t>0,3</w:t>
            </w:r>
          </w:p>
        </w:tc>
        <w:tc>
          <w:tcPr>
            <w:tcW w:w="850" w:type="dxa"/>
            <w:vAlign w:val="center"/>
          </w:tcPr>
          <w:p w:rsidR="00EE1979" w:rsidRPr="00EE1979" w:rsidRDefault="00EE1979" w:rsidP="00EE1979">
            <w:pPr>
              <w:spacing w:after="0" w:line="240" w:lineRule="auto"/>
              <w:jc w:val="center"/>
              <w:rPr>
                <w:rFonts w:ascii="Times New Roman" w:eastAsia="Times New Roman" w:hAnsi="Times New Roman" w:cs="Times New Roman"/>
                <w:snapToGrid w:val="0"/>
                <w:sz w:val="20"/>
                <w:szCs w:val="20"/>
              </w:rPr>
            </w:pPr>
            <w:r w:rsidRPr="00EE1979">
              <w:rPr>
                <w:rFonts w:ascii="Times New Roman" w:eastAsia="Times New Roman" w:hAnsi="Times New Roman" w:cs="Times New Roman"/>
                <w:color w:val="000000"/>
                <w:sz w:val="20"/>
                <w:szCs w:val="20"/>
              </w:rPr>
              <w:t>0,3</w:t>
            </w:r>
          </w:p>
        </w:tc>
      </w:tr>
      <w:tr w:rsidR="00EE1979" w:rsidRPr="00EE1979" w:rsidTr="007D040E">
        <w:trPr>
          <w:jc w:val="center"/>
        </w:trPr>
        <w:tc>
          <w:tcPr>
            <w:tcW w:w="8334" w:type="dxa"/>
            <w:gridSpan w:val="7"/>
            <w:shd w:val="clear" w:color="auto" w:fill="DEEAF6"/>
          </w:tcPr>
          <w:p w:rsidR="00EE1979" w:rsidRPr="00EE1979" w:rsidRDefault="00EE1979" w:rsidP="00EE1979">
            <w:pPr>
              <w:spacing w:after="0" w:line="240" w:lineRule="auto"/>
              <w:ind w:firstLine="720"/>
              <w:jc w:val="center"/>
              <w:rPr>
                <w:rFonts w:ascii="Times New Roman" w:eastAsia="Times New Roman" w:hAnsi="Times New Roman" w:cs="Times New Roman"/>
                <w:b/>
                <w:snapToGrid w:val="0"/>
                <w:sz w:val="20"/>
                <w:szCs w:val="20"/>
              </w:rPr>
            </w:pPr>
            <w:r w:rsidRPr="00EE1979">
              <w:rPr>
                <w:rFonts w:ascii="Times New Roman" w:eastAsia="Times New Roman" w:hAnsi="Times New Roman" w:cs="Times New Roman"/>
                <w:b/>
                <w:snapToGrid w:val="0"/>
                <w:sz w:val="20"/>
                <w:szCs w:val="20"/>
              </w:rPr>
              <w:t>Vispārējā valdība (S.13)</w:t>
            </w:r>
          </w:p>
        </w:tc>
      </w:tr>
      <w:tr w:rsidR="00EE1979" w:rsidRPr="00EE1979" w:rsidTr="007D040E">
        <w:trPr>
          <w:jc w:val="center"/>
        </w:trPr>
        <w:tc>
          <w:tcPr>
            <w:tcW w:w="2991" w:type="dxa"/>
          </w:tcPr>
          <w:p w:rsidR="00EE1979" w:rsidRPr="00EE1979" w:rsidRDefault="00EE1979" w:rsidP="00EE1979">
            <w:pPr>
              <w:spacing w:after="0" w:line="240" w:lineRule="auto"/>
              <w:rPr>
                <w:rFonts w:ascii="Times New Roman" w:eastAsia="Times New Roman" w:hAnsi="Times New Roman" w:cs="Times New Roman"/>
                <w:b/>
                <w:snapToGrid w:val="0"/>
                <w:sz w:val="20"/>
                <w:szCs w:val="20"/>
              </w:rPr>
            </w:pPr>
            <w:r w:rsidRPr="00EE1979">
              <w:rPr>
                <w:rFonts w:ascii="Times New Roman" w:eastAsia="Times New Roman" w:hAnsi="Times New Roman" w:cs="Times New Roman"/>
                <w:b/>
                <w:snapToGrid w:val="0"/>
                <w:sz w:val="20"/>
                <w:szCs w:val="20"/>
              </w:rPr>
              <w:t xml:space="preserve">Kopējie ieņēmumi </w:t>
            </w:r>
          </w:p>
        </w:tc>
        <w:tc>
          <w:tcPr>
            <w:tcW w:w="1134" w:type="dxa"/>
            <w:shd w:val="clear" w:color="auto" w:fill="auto"/>
          </w:tcPr>
          <w:p w:rsidR="00EE1979" w:rsidRPr="00EE1979" w:rsidRDefault="00EE1979" w:rsidP="00EE1979">
            <w:pPr>
              <w:spacing w:after="0" w:line="240" w:lineRule="auto"/>
              <w:jc w:val="center"/>
              <w:rPr>
                <w:rFonts w:ascii="Times New Roman" w:eastAsia="Times New Roman" w:hAnsi="Times New Roman" w:cs="Times New Roman"/>
                <w:sz w:val="20"/>
                <w:szCs w:val="20"/>
              </w:rPr>
            </w:pPr>
            <w:r w:rsidRPr="00EE1979">
              <w:rPr>
                <w:rFonts w:ascii="Times New Roman" w:eastAsia="Times New Roman" w:hAnsi="Times New Roman" w:cs="Times New Roman"/>
                <w:sz w:val="20"/>
                <w:szCs w:val="20"/>
              </w:rPr>
              <w:t>TR</w:t>
            </w:r>
          </w:p>
        </w:tc>
        <w:tc>
          <w:tcPr>
            <w:tcW w:w="807" w:type="dxa"/>
            <w:shd w:val="clear" w:color="auto" w:fill="auto"/>
            <w:vAlign w:val="center"/>
          </w:tcPr>
          <w:p w:rsidR="00EE1979" w:rsidRPr="00EE1979" w:rsidRDefault="00EE1979" w:rsidP="00EE1979">
            <w:pPr>
              <w:spacing w:after="0" w:line="240" w:lineRule="auto"/>
              <w:jc w:val="center"/>
              <w:rPr>
                <w:rFonts w:ascii="Times New Roman" w:eastAsia="Times New Roman" w:hAnsi="Times New Roman" w:cs="Times New Roman"/>
                <w:snapToGrid w:val="0"/>
                <w:sz w:val="20"/>
                <w:szCs w:val="20"/>
              </w:rPr>
            </w:pPr>
            <w:r w:rsidRPr="00EE1979">
              <w:rPr>
                <w:rFonts w:ascii="Times New Roman" w:eastAsia="Times New Roman" w:hAnsi="Times New Roman" w:cs="Times New Roman"/>
                <w:color w:val="000000"/>
                <w:sz w:val="20"/>
                <w:szCs w:val="20"/>
              </w:rPr>
              <w:t>37,5</w:t>
            </w:r>
          </w:p>
        </w:tc>
        <w:tc>
          <w:tcPr>
            <w:tcW w:w="851" w:type="dxa"/>
            <w:vAlign w:val="center"/>
          </w:tcPr>
          <w:p w:rsidR="00EE1979" w:rsidRPr="00EE1979" w:rsidRDefault="00EE1979" w:rsidP="00EE1979">
            <w:pPr>
              <w:spacing w:after="0" w:line="240" w:lineRule="auto"/>
              <w:jc w:val="center"/>
              <w:rPr>
                <w:rFonts w:ascii="Times New Roman" w:eastAsia="Times New Roman" w:hAnsi="Times New Roman" w:cs="Times New Roman"/>
                <w:snapToGrid w:val="0"/>
                <w:sz w:val="20"/>
                <w:szCs w:val="20"/>
              </w:rPr>
            </w:pPr>
            <w:r w:rsidRPr="00EE1979">
              <w:rPr>
                <w:rFonts w:ascii="Times New Roman" w:eastAsia="Times New Roman" w:hAnsi="Times New Roman" w:cs="Times New Roman"/>
                <w:color w:val="000000"/>
                <w:sz w:val="20"/>
                <w:szCs w:val="20"/>
              </w:rPr>
              <w:t>36,2</w:t>
            </w:r>
          </w:p>
        </w:tc>
        <w:tc>
          <w:tcPr>
            <w:tcW w:w="850" w:type="dxa"/>
            <w:vAlign w:val="center"/>
          </w:tcPr>
          <w:p w:rsidR="00EE1979" w:rsidRPr="00EE1979" w:rsidRDefault="00EE1979" w:rsidP="00EE1979">
            <w:pPr>
              <w:spacing w:after="0" w:line="240" w:lineRule="auto"/>
              <w:jc w:val="center"/>
              <w:rPr>
                <w:rFonts w:ascii="Times New Roman" w:eastAsia="Times New Roman" w:hAnsi="Times New Roman" w:cs="Times New Roman"/>
                <w:snapToGrid w:val="0"/>
                <w:sz w:val="20"/>
                <w:szCs w:val="20"/>
              </w:rPr>
            </w:pPr>
            <w:r w:rsidRPr="00EE1979">
              <w:rPr>
                <w:rFonts w:ascii="Times New Roman" w:eastAsia="Times New Roman" w:hAnsi="Times New Roman" w:cs="Times New Roman"/>
                <w:color w:val="000000"/>
                <w:sz w:val="20"/>
                <w:szCs w:val="20"/>
              </w:rPr>
              <w:t>35,9</w:t>
            </w:r>
          </w:p>
        </w:tc>
        <w:tc>
          <w:tcPr>
            <w:tcW w:w="851" w:type="dxa"/>
            <w:vAlign w:val="center"/>
          </w:tcPr>
          <w:p w:rsidR="00EE1979" w:rsidRPr="00EE1979" w:rsidRDefault="00EE1979" w:rsidP="00EE1979">
            <w:pPr>
              <w:spacing w:after="0" w:line="240" w:lineRule="auto"/>
              <w:jc w:val="center"/>
              <w:rPr>
                <w:rFonts w:ascii="Times New Roman" w:eastAsia="Times New Roman" w:hAnsi="Times New Roman" w:cs="Times New Roman"/>
                <w:snapToGrid w:val="0"/>
                <w:sz w:val="20"/>
                <w:szCs w:val="20"/>
              </w:rPr>
            </w:pPr>
            <w:r w:rsidRPr="00EE1979">
              <w:rPr>
                <w:rFonts w:ascii="Times New Roman" w:eastAsia="Times New Roman" w:hAnsi="Times New Roman" w:cs="Times New Roman"/>
                <w:color w:val="000000"/>
                <w:sz w:val="20"/>
                <w:szCs w:val="20"/>
              </w:rPr>
              <w:t>35,4</w:t>
            </w:r>
          </w:p>
        </w:tc>
        <w:tc>
          <w:tcPr>
            <w:tcW w:w="850" w:type="dxa"/>
            <w:vAlign w:val="center"/>
          </w:tcPr>
          <w:p w:rsidR="00EE1979" w:rsidRPr="00EE1979" w:rsidRDefault="00EE1979" w:rsidP="00EE1979">
            <w:pPr>
              <w:spacing w:after="0" w:line="240" w:lineRule="auto"/>
              <w:jc w:val="center"/>
              <w:rPr>
                <w:rFonts w:ascii="Times New Roman" w:eastAsia="Times New Roman" w:hAnsi="Times New Roman" w:cs="Times New Roman"/>
                <w:snapToGrid w:val="0"/>
                <w:sz w:val="20"/>
                <w:szCs w:val="20"/>
              </w:rPr>
            </w:pPr>
            <w:r w:rsidRPr="00EE1979">
              <w:rPr>
                <w:rFonts w:ascii="Times New Roman" w:eastAsia="Times New Roman" w:hAnsi="Times New Roman" w:cs="Times New Roman"/>
                <w:color w:val="000000"/>
                <w:sz w:val="20"/>
                <w:szCs w:val="20"/>
              </w:rPr>
              <w:t>34,9</w:t>
            </w:r>
          </w:p>
        </w:tc>
      </w:tr>
      <w:tr w:rsidR="00EE1979" w:rsidRPr="00EE1979" w:rsidTr="007D040E">
        <w:trPr>
          <w:trHeight w:val="158"/>
          <w:jc w:val="center"/>
        </w:trPr>
        <w:tc>
          <w:tcPr>
            <w:tcW w:w="2991" w:type="dxa"/>
          </w:tcPr>
          <w:p w:rsidR="00EE1979" w:rsidRPr="00EE1979" w:rsidRDefault="00EE1979" w:rsidP="00EE1979">
            <w:pPr>
              <w:spacing w:after="0" w:line="240" w:lineRule="auto"/>
              <w:rPr>
                <w:rFonts w:ascii="Times New Roman" w:eastAsia="Times New Roman" w:hAnsi="Times New Roman" w:cs="Times New Roman"/>
                <w:b/>
                <w:snapToGrid w:val="0"/>
                <w:sz w:val="20"/>
                <w:szCs w:val="20"/>
              </w:rPr>
            </w:pPr>
            <w:r w:rsidRPr="00EE1979">
              <w:rPr>
                <w:rFonts w:ascii="Times New Roman" w:eastAsia="Times New Roman" w:hAnsi="Times New Roman" w:cs="Times New Roman"/>
                <w:b/>
                <w:snapToGrid w:val="0"/>
                <w:sz w:val="20"/>
                <w:szCs w:val="20"/>
              </w:rPr>
              <w:t>Kopējie izdevumi</w:t>
            </w:r>
          </w:p>
        </w:tc>
        <w:tc>
          <w:tcPr>
            <w:tcW w:w="1134" w:type="dxa"/>
            <w:shd w:val="clear" w:color="auto" w:fill="auto"/>
          </w:tcPr>
          <w:p w:rsidR="00EE1979" w:rsidRPr="00EE1979" w:rsidRDefault="00EE1979" w:rsidP="00EE1979">
            <w:pPr>
              <w:spacing w:after="0" w:line="240" w:lineRule="auto"/>
              <w:jc w:val="center"/>
              <w:rPr>
                <w:rFonts w:ascii="Times New Roman" w:eastAsia="Times New Roman" w:hAnsi="Times New Roman" w:cs="Times New Roman"/>
                <w:sz w:val="20"/>
                <w:szCs w:val="20"/>
              </w:rPr>
            </w:pPr>
            <w:r w:rsidRPr="00EE1979">
              <w:rPr>
                <w:rFonts w:ascii="Times New Roman" w:eastAsia="Times New Roman" w:hAnsi="Times New Roman" w:cs="Times New Roman"/>
                <w:sz w:val="20"/>
                <w:szCs w:val="20"/>
              </w:rPr>
              <w:t>TE</w:t>
            </w:r>
          </w:p>
        </w:tc>
        <w:tc>
          <w:tcPr>
            <w:tcW w:w="807" w:type="dxa"/>
            <w:shd w:val="clear" w:color="auto" w:fill="auto"/>
            <w:vAlign w:val="center"/>
          </w:tcPr>
          <w:p w:rsidR="00EE1979" w:rsidRPr="00EE1979" w:rsidRDefault="00EE1979" w:rsidP="00EE1979">
            <w:pPr>
              <w:spacing w:after="0" w:line="240" w:lineRule="auto"/>
              <w:jc w:val="center"/>
              <w:rPr>
                <w:rFonts w:ascii="Times New Roman" w:eastAsia="Times New Roman" w:hAnsi="Times New Roman" w:cs="Times New Roman"/>
                <w:snapToGrid w:val="0"/>
                <w:sz w:val="20"/>
                <w:szCs w:val="20"/>
              </w:rPr>
            </w:pPr>
            <w:r w:rsidRPr="00EE1979">
              <w:rPr>
                <w:rFonts w:ascii="Times New Roman" w:eastAsia="Times New Roman" w:hAnsi="Times New Roman" w:cs="Times New Roman"/>
                <w:color w:val="000000"/>
                <w:sz w:val="20"/>
                <w:szCs w:val="20"/>
              </w:rPr>
              <w:t>38,5</w:t>
            </w:r>
          </w:p>
        </w:tc>
        <w:tc>
          <w:tcPr>
            <w:tcW w:w="851" w:type="dxa"/>
            <w:vAlign w:val="center"/>
          </w:tcPr>
          <w:p w:rsidR="00EE1979" w:rsidRPr="00EE1979" w:rsidRDefault="00EE1979" w:rsidP="00EE1979">
            <w:pPr>
              <w:spacing w:after="0" w:line="240" w:lineRule="auto"/>
              <w:jc w:val="center"/>
              <w:rPr>
                <w:rFonts w:ascii="Times New Roman" w:eastAsia="Times New Roman" w:hAnsi="Times New Roman" w:cs="Times New Roman"/>
                <w:snapToGrid w:val="0"/>
                <w:sz w:val="20"/>
                <w:szCs w:val="20"/>
              </w:rPr>
            </w:pPr>
            <w:r w:rsidRPr="00EE1979">
              <w:rPr>
                <w:rFonts w:ascii="Times New Roman" w:eastAsia="Times New Roman" w:hAnsi="Times New Roman" w:cs="Times New Roman"/>
                <w:color w:val="000000"/>
                <w:sz w:val="20"/>
                <w:szCs w:val="20"/>
              </w:rPr>
              <w:t>36,7</w:t>
            </w:r>
          </w:p>
        </w:tc>
        <w:tc>
          <w:tcPr>
            <w:tcW w:w="850" w:type="dxa"/>
            <w:vAlign w:val="center"/>
          </w:tcPr>
          <w:p w:rsidR="00EE1979" w:rsidRPr="00EE1979" w:rsidRDefault="00EE1979" w:rsidP="00EE1979">
            <w:pPr>
              <w:spacing w:after="0" w:line="240" w:lineRule="auto"/>
              <w:jc w:val="center"/>
              <w:rPr>
                <w:rFonts w:ascii="Times New Roman" w:eastAsia="Times New Roman" w:hAnsi="Times New Roman" w:cs="Times New Roman"/>
                <w:snapToGrid w:val="0"/>
                <w:sz w:val="20"/>
                <w:szCs w:val="20"/>
              </w:rPr>
            </w:pPr>
            <w:r w:rsidRPr="00EE1979">
              <w:rPr>
                <w:rFonts w:ascii="Times New Roman" w:eastAsia="Times New Roman" w:hAnsi="Times New Roman" w:cs="Times New Roman"/>
                <w:color w:val="000000"/>
                <w:sz w:val="20"/>
                <w:szCs w:val="20"/>
              </w:rPr>
              <w:t>36,3</w:t>
            </w:r>
          </w:p>
        </w:tc>
        <w:tc>
          <w:tcPr>
            <w:tcW w:w="851" w:type="dxa"/>
            <w:vAlign w:val="center"/>
          </w:tcPr>
          <w:p w:rsidR="00EE1979" w:rsidRPr="00EE1979" w:rsidRDefault="00EE1979" w:rsidP="00EE1979">
            <w:pPr>
              <w:spacing w:after="0" w:line="240" w:lineRule="auto"/>
              <w:jc w:val="center"/>
              <w:rPr>
                <w:rFonts w:ascii="Times New Roman" w:eastAsia="Times New Roman" w:hAnsi="Times New Roman" w:cs="Times New Roman"/>
                <w:snapToGrid w:val="0"/>
                <w:sz w:val="20"/>
                <w:szCs w:val="20"/>
              </w:rPr>
            </w:pPr>
            <w:r w:rsidRPr="00EE1979">
              <w:rPr>
                <w:rFonts w:ascii="Times New Roman" w:eastAsia="Times New Roman" w:hAnsi="Times New Roman" w:cs="Times New Roman"/>
                <w:color w:val="000000"/>
                <w:sz w:val="20"/>
                <w:szCs w:val="20"/>
              </w:rPr>
              <w:t>35,8</w:t>
            </w:r>
          </w:p>
        </w:tc>
        <w:tc>
          <w:tcPr>
            <w:tcW w:w="850" w:type="dxa"/>
            <w:vAlign w:val="center"/>
          </w:tcPr>
          <w:p w:rsidR="00EE1979" w:rsidRPr="00EE1979" w:rsidRDefault="00EE1979" w:rsidP="00EE1979">
            <w:pPr>
              <w:spacing w:after="0" w:line="240" w:lineRule="auto"/>
              <w:jc w:val="center"/>
              <w:rPr>
                <w:rFonts w:ascii="Times New Roman" w:eastAsia="Times New Roman" w:hAnsi="Times New Roman" w:cs="Times New Roman"/>
                <w:snapToGrid w:val="0"/>
                <w:sz w:val="20"/>
                <w:szCs w:val="20"/>
              </w:rPr>
            </w:pPr>
            <w:r w:rsidRPr="00EE1979">
              <w:rPr>
                <w:rFonts w:ascii="Times New Roman" w:eastAsia="Times New Roman" w:hAnsi="Times New Roman" w:cs="Times New Roman"/>
                <w:color w:val="000000"/>
                <w:sz w:val="20"/>
                <w:szCs w:val="20"/>
              </w:rPr>
              <w:t>34,6</w:t>
            </w:r>
          </w:p>
        </w:tc>
      </w:tr>
      <w:tr w:rsidR="00EE1979" w:rsidRPr="00EE1979" w:rsidTr="007D040E">
        <w:trPr>
          <w:trHeight w:val="70"/>
          <w:jc w:val="center"/>
        </w:trPr>
        <w:tc>
          <w:tcPr>
            <w:tcW w:w="2991" w:type="dxa"/>
          </w:tcPr>
          <w:p w:rsidR="00EE1979" w:rsidRPr="00EE1979" w:rsidRDefault="00EE1979" w:rsidP="00EE1979">
            <w:pPr>
              <w:spacing w:after="0" w:line="240" w:lineRule="auto"/>
              <w:rPr>
                <w:rFonts w:ascii="Times New Roman" w:eastAsia="Times New Roman" w:hAnsi="Times New Roman" w:cs="Times New Roman"/>
                <w:b/>
                <w:snapToGrid w:val="0"/>
                <w:sz w:val="20"/>
                <w:szCs w:val="20"/>
              </w:rPr>
            </w:pPr>
            <w:r w:rsidRPr="00EE1979">
              <w:rPr>
                <w:rFonts w:ascii="Times New Roman" w:eastAsia="Times New Roman" w:hAnsi="Times New Roman" w:cs="Times New Roman"/>
                <w:b/>
                <w:snapToGrid w:val="0"/>
                <w:sz w:val="20"/>
                <w:szCs w:val="20"/>
              </w:rPr>
              <w:t>Procentu izdevumi</w:t>
            </w:r>
          </w:p>
        </w:tc>
        <w:tc>
          <w:tcPr>
            <w:tcW w:w="1134" w:type="dxa"/>
          </w:tcPr>
          <w:p w:rsidR="00EE1979" w:rsidRPr="00EE1979" w:rsidRDefault="00EE1979" w:rsidP="00EE1979">
            <w:pPr>
              <w:spacing w:after="0" w:line="240" w:lineRule="auto"/>
              <w:jc w:val="center"/>
              <w:rPr>
                <w:rFonts w:ascii="Times New Roman" w:eastAsia="Times New Roman" w:hAnsi="Times New Roman" w:cs="Times New Roman"/>
                <w:sz w:val="20"/>
                <w:szCs w:val="20"/>
              </w:rPr>
            </w:pPr>
            <w:r w:rsidRPr="00EE1979">
              <w:rPr>
                <w:rFonts w:ascii="Times New Roman" w:eastAsia="Times New Roman" w:hAnsi="Times New Roman" w:cs="Times New Roman"/>
                <w:sz w:val="20"/>
                <w:szCs w:val="20"/>
              </w:rPr>
              <w:t>D.41</w:t>
            </w:r>
          </w:p>
        </w:tc>
        <w:tc>
          <w:tcPr>
            <w:tcW w:w="807" w:type="dxa"/>
            <w:vAlign w:val="center"/>
          </w:tcPr>
          <w:p w:rsidR="00EE1979" w:rsidRPr="00EE1979" w:rsidRDefault="00EE1979" w:rsidP="00EE1979">
            <w:pPr>
              <w:spacing w:after="0" w:line="240" w:lineRule="auto"/>
              <w:jc w:val="center"/>
              <w:rPr>
                <w:rFonts w:ascii="Times New Roman" w:eastAsia="Times New Roman" w:hAnsi="Times New Roman" w:cs="Times New Roman"/>
                <w:snapToGrid w:val="0"/>
                <w:sz w:val="20"/>
                <w:szCs w:val="20"/>
              </w:rPr>
            </w:pPr>
            <w:r w:rsidRPr="00EE1979">
              <w:rPr>
                <w:rFonts w:ascii="Times New Roman" w:eastAsia="Times New Roman" w:hAnsi="Times New Roman" w:cs="Times New Roman"/>
                <w:color w:val="000000"/>
                <w:sz w:val="20"/>
                <w:szCs w:val="20"/>
              </w:rPr>
              <w:t>0,7</w:t>
            </w:r>
          </w:p>
        </w:tc>
        <w:tc>
          <w:tcPr>
            <w:tcW w:w="851" w:type="dxa"/>
            <w:vAlign w:val="center"/>
          </w:tcPr>
          <w:p w:rsidR="00EE1979" w:rsidRPr="00EE1979" w:rsidRDefault="00EE1979" w:rsidP="00EE1979">
            <w:pPr>
              <w:spacing w:after="0" w:line="240" w:lineRule="auto"/>
              <w:jc w:val="center"/>
              <w:rPr>
                <w:rFonts w:ascii="Times New Roman" w:eastAsia="Times New Roman" w:hAnsi="Times New Roman" w:cs="Times New Roman"/>
                <w:snapToGrid w:val="0"/>
                <w:sz w:val="20"/>
                <w:szCs w:val="20"/>
              </w:rPr>
            </w:pPr>
            <w:r w:rsidRPr="00EE1979">
              <w:rPr>
                <w:rFonts w:ascii="Times New Roman" w:eastAsia="Times New Roman" w:hAnsi="Times New Roman" w:cs="Times New Roman"/>
                <w:color w:val="000000"/>
                <w:sz w:val="20"/>
                <w:szCs w:val="20"/>
              </w:rPr>
              <w:t>0,7</w:t>
            </w:r>
          </w:p>
        </w:tc>
        <w:tc>
          <w:tcPr>
            <w:tcW w:w="850" w:type="dxa"/>
            <w:vAlign w:val="center"/>
          </w:tcPr>
          <w:p w:rsidR="00EE1979" w:rsidRPr="00EE1979" w:rsidRDefault="00EE1979" w:rsidP="00EE1979">
            <w:pPr>
              <w:spacing w:after="0" w:line="240" w:lineRule="auto"/>
              <w:jc w:val="center"/>
              <w:rPr>
                <w:rFonts w:ascii="Times New Roman" w:eastAsia="Times New Roman" w:hAnsi="Times New Roman" w:cs="Times New Roman"/>
                <w:snapToGrid w:val="0"/>
                <w:sz w:val="20"/>
                <w:szCs w:val="20"/>
              </w:rPr>
            </w:pPr>
            <w:r w:rsidRPr="00EE1979">
              <w:rPr>
                <w:rFonts w:ascii="Times New Roman" w:eastAsia="Times New Roman" w:hAnsi="Times New Roman" w:cs="Times New Roman"/>
                <w:color w:val="000000"/>
                <w:sz w:val="20"/>
                <w:szCs w:val="20"/>
              </w:rPr>
              <w:t>0,8</w:t>
            </w:r>
          </w:p>
        </w:tc>
        <w:tc>
          <w:tcPr>
            <w:tcW w:w="851" w:type="dxa"/>
            <w:vAlign w:val="center"/>
          </w:tcPr>
          <w:p w:rsidR="00EE1979" w:rsidRPr="00EE1979" w:rsidRDefault="00EE1979" w:rsidP="00EE1979">
            <w:pPr>
              <w:spacing w:after="0" w:line="240" w:lineRule="auto"/>
              <w:jc w:val="center"/>
              <w:rPr>
                <w:rFonts w:ascii="Times New Roman" w:eastAsia="Times New Roman" w:hAnsi="Times New Roman" w:cs="Times New Roman"/>
                <w:snapToGrid w:val="0"/>
                <w:sz w:val="20"/>
                <w:szCs w:val="20"/>
              </w:rPr>
            </w:pPr>
            <w:r w:rsidRPr="00EE1979">
              <w:rPr>
                <w:rFonts w:ascii="Times New Roman" w:eastAsia="Times New Roman" w:hAnsi="Times New Roman" w:cs="Times New Roman"/>
                <w:color w:val="000000"/>
                <w:sz w:val="20"/>
                <w:szCs w:val="20"/>
              </w:rPr>
              <w:t>0,8</w:t>
            </w:r>
          </w:p>
        </w:tc>
        <w:tc>
          <w:tcPr>
            <w:tcW w:w="850" w:type="dxa"/>
            <w:vAlign w:val="center"/>
          </w:tcPr>
          <w:p w:rsidR="00EE1979" w:rsidRPr="00EE1979" w:rsidRDefault="00EE1979" w:rsidP="00EE1979">
            <w:pPr>
              <w:spacing w:after="0" w:line="240" w:lineRule="auto"/>
              <w:jc w:val="center"/>
              <w:rPr>
                <w:rFonts w:ascii="Times New Roman" w:eastAsia="Times New Roman" w:hAnsi="Times New Roman" w:cs="Times New Roman"/>
                <w:snapToGrid w:val="0"/>
                <w:sz w:val="20"/>
                <w:szCs w:val="20"/>
              </w:rPr>
            </w:pPr>
            <w:r w:rsidRPr="00EE1979">
              <w:rPr>
                <w:rFonts w:ascii="Times New Roman" w:eastAsia="Times New Roman" w:hAnsi="Times New Roman" w:cs="Times New Roman"/>
                <w:color w:val="000000"/>
                <w:sz w:val="20"/>
                <w:szCs w:val="20"/>
              </w:rPr>
              <w:t>0,8</w:t>
            </w:r>
          </w:p>
        </w:tc>
      </w:tr>
      <w:tr w:rsidR="00EE1979" w:rsidRPr="00EE1979" w:rsidTr="007D040E">
        <w:trPr>
          <w:jc w:val="center"/>
        </w:trPr>
        <w:tc>
          <w:tcPr>
            <w:tcW w:w="8334" w:type="dxa"/>
            <w:gridSpan w:val="7"/>
            <w:shd w:val="clear" w:color="auto" w:fill="DEEAF6"/>
          </w:tcPr>
          <w:p w:rsidR="00EE1979" w:rsidRPr="00EE1979" w:rsidRDefault="00EE1979" w:rsidP="00EE1979">
            <w:pPr>
              <w:spacing w:after="0" w:line="240" w:lineRule="auto"/>
              <w:ind w:firstLine="720"/>
              <w:jc w:val="center"/>
              <w:rPr>
                <w:rFonts w:ascii="Times New Roman" w:eastAsia="Times New Roman" w:hAnsi="Times New Roman" w:cs="Times New Roman"/>
                <w:b/>
                <w:snapToGrid w:val="0"/>
                <w:sz w:val="20"/>
                <w:szCs w:val="20"/>
              </w:rPr>
            </w:pPr>
            <w:r w:rsidRPr="00EE1979">
              <w:rPr>
                <w:rFonts w:ascii="Times New Roman" w:eastAsia="Times New Roman" w:hAnsi="Times New Roman" w:cs="Times New Roman"/>
                <w:b/>
                <w:snapToGrid w:val="0"/>
                <w:sz w:val="20"/>
                <w:szCs w:val="20"/>
              </w:rPr>
              <w:t>Cikliskā attīstība</w:t>
            </w:r>
          </w:p>
        </w:tc>
      </w:tr>
      <w:tr w:rsidR="00EE1979" w:rsidRPr="00EE1979" w:rsidTr="007D040E">
        <w:trPr>
          <w:jc w:val="center"/>
        </w:trPr>
        <w:tc>
          <w:tcPr>
            <w:tcW w:w="2991" w:type="dxa"/>
            <w:shd w:val="clear" w:color="auto" w:fill="auto"/>
          </w:tcPr>
          <w:p w:rsidR="00EE1979" w:rsidRPr="00EE1979" w:rsidRDefault="00EE1979" w:rsidP="00EE1979">
            <w:pPr>
              <w:spacing w:after="0" w:line="240" w:lineRule="auto"/>
              <w:rPr>
                <w:rFonts w:ascii="Times New Roman" w:eastAsia="Times New Roman" w:hAnsi="Times New Roman" w:cs="Times New Roman"/>
                <w:b/>
                <w:snapToGrid w:val="0"/>
                <w:sz w:val="20"/>
                <w:szCs w:val="20"/>
              </w:rPr>
            </w:pPr>
            <w:r w:rsidRPr="00EE1979">
              <w:rPr>
                <w:rFonts w:ascii="Times New Roman" w:eastAsia="Times New Roman" w:hAnsi="Times New Roman" w:cs="Times New Roman"/>
                <w:b/>
                <w:snapToGrid w:val="0"/>
                <w:sz w:val="20"/>
                <w:szCs w:val="20"/>
              </w:rPr>
              <w:t>Budžeta bilances cikliskā komponente</w:t>
            </w:r>
            <w:r w:rsidRPr="00EE1979">
              <w:rPr>
                <w:rFonts w:ascii="Garamond" w:eastAsia="Times New Roman" w:hAnsi="Garamond" w:cs="Times New Roman"/>
                <w:b/>
                <w:snapToGrid w:val="0"/>
                <w:sz w:val="20"/>
                <w:szCs w:val="20"/>
                <w:vertAlign w:val="superscript"/>
              </w:rPr>
              <w:footnoteReference w:id="2"/>
            </w:r>
          </w:p>
        </w:tc>
        <w:tc>
          <w:tcPr>
            <w:tcW w:w="1134" w:type="dxa"/>
            <w:shd w:val="clear" w:color="auto" w:fill="auto"/>
          </w:tcPr>
          <w:p w:rsidR="00EE1979" w:rsidRPr="00EE1979" w:rsidRDefault="00EE1979" w:rsidP="00EE1979">
            <w:pPr>
              <w:spacing w:after="0" w:line="240" w:lineRule="auto"/>
              <w:rPr>
                <w:rFonts w:ascii="Times New Roman" w:eastAsia="Times New Roman" w:hAnsi="Times New Roman" w:cs="Times New Roman"/>
                <w:sz w:val="20"/>
                <w:szCs w:val="20"/>
              </w:rPr>
            </w:pPr>
          </w:p>
        </w:tc>
        <w:tc>
          <w:tcPr>
            <w:tcW w:w="807" w:type="dxa"/>
            <w:shd w:val="clear" w:color="auto" w:fill="auto"/>
            <w:vAlign w:val="bottom"/>
          </w:tcPr>
          <w:p w:rsidR="00EE1979" w:rsidRPr="00EE1979" w:rsidRDefault="00EE1979" w:rsidP="00EE1979">
            <w:pPr>
              <w:spacing w:after="0" w:line="240" w:lineRule="auto"/>
              <w:jc w:val="center"/>
              <w:rPr>
                <w:rFonts w:ascii="Times New Roman" w:eastAsia="Times New Roman" w:hAnsi="Times New Roman" w:cs="Times New Roman"/>
                <w:snapToGrid w:val="0"/>
                <w:sz w:val="20"/>
                <w:szCs w:val="20"/>
              </w:rPr>
            </w:pPr>
            <w:r w:rsidRPr="00EE1979">
              <w:rPr>
                <w:rFonts w:ascii="Times New Roman" w:eastAsia="Times New Roman" w:hAnsi="Times New Roman" w:cs="Times New Roman"/>
                <w:snapToGrid w:val="0"/>
                <w:sz w:val="20"/>
                <w:szCs w:val="20"/>
              </w:rPr>
              <w:t>0,7</w:t>
            </w:r>
          </w:p>
        </w:tc>
        <w:tc>
          <w:tcPr>
            <w:tcW w:w="851" w:type="dxa"/>
            <w:shd w:val="clear" w:color="auto" w:fill="auto"/>
            <w:vAlign w:val="bottom"/>
          </w:tcPr>
          <w:p w:rsidR="00EE1979" w:rsidRPr="00EE1979" w:rsidRDefault="00EE1979" w:rsidP="00EE1979">
            <w:pPr>
              <w:spacing w:after="0" w:line="240" w:lineRule="auto"/>
              <w:jc w:val="center"/>
              <w:rPr>
                <w:rFonts w:ascii="Times New Roman" w:eastAsia="Times New Roman" w:hAnsi="Times New Roman" w:cs="Times New Roman"/>
                <w:snapToGrid w:val="0"/>
                <w:sz w:val="20"/>
                <w:szCs w:val="20"/>
              </w:rPr>
            </w:pPr>
            <w:r w:rsidRPr="00EE1979">
              <w:rPr>
                <w:rFonts w:ascii="Times New Roman" w:eastAsia="Times New Roman" w:hAnsi="Times New Roman" w:cs="Times New Roman"/>
                <w:snapToGrid w:val="0"/>
                <w:sz w:val="20"/>
                <w:szCs w:val="20"/>
              </w:rPr>
              <w:t>0,5</w:t>
            </w:r>
          </w:p>
        </w:tc>
        <w:tc>
          <w:tcPr>
            <w:tcW w:w="850" w:type="dxa"/>
            <w:shd w:val="clear" w:color="auto" w:fill="auto"/>
            <w:vAlign w:val="bottom"/>
          </w:tcPr>
          <w:p w:rsidR="00EE1979" w:rsidRPr="00EE1979" w:rsidRDefault="00EE1979" w:rsidP="00EE1979">
            <w:pPr>
              <w:spacing w:after="0" w:line="240" w:lineRule="auto"/>
              <w:jc w:val="center"/>
              <w:rPr>
                <w:rFonts w:ascii="Times New Roman" w:eastAsia="Times New Roman" w:hAnsi="Times New Roman" w:cs="Times New Roman"/>
                <w:snapToGrid w:val="0"/>
                <w:sz w:val="20"/>
                <w:szCs w:val="20"/>
              </w:rPr>
            </w:pPr>
            <w:r w:rsidRPr="00EE1979">
              <w:rPr>
                <w:rFonts w:ascii="Times New Roman" w:eastAsia="Times New Roman" w:hAnsi="Times New Roman" w:cs="Times New Roman"/>
                <w:snapToGrid w:val="0"/>
                <w:sz w:val="20"/>
                <w:szCs w:val="20"/>
              </w:rPr>
              <w:t>0,4</w:t>
            </w:r>
          </w:p>
        </w:tc>
        <w:tc>
          <w:tcPr>
            <w:tcW w:w="851" w:type="dxa"/>
            <w:shd w:val="clear" w:color="auto" w:fill="auto"/>
            <w:vAlign w:val="bottom"/>
          </w:tcPr>
          <w:p w:rsidR="00EE1979" w:rsidRPr="00EE1979" w:rsidRDefault="00EE1979" w:rsidP="00EE1979">
            <w:pPr>
              <w:spacing w:after="0" w:line="240" w:lineRule="auto"/>
              <w:jc w:val="center"/>
              <w:rPr>
                <w:rFonts w:ascii="Times New Roman" w:eastAsia="Times New Roman" w:hAnsi="Times New Roman" w:cs="Times New Roman"/>
                <w:snapToGrid w:val="0"/>
                <w:sz w:val="20"/>
                <w:szCs w:val="20"/>
              </w:rPr>
            </w:pPr>
            <w:r w:rsidRPr="00EE1979">
              <w:rPr>
                <w:rFonts w:ascii="Times New Roman" w:eastAsia="Times New Roman" w:hAnsi="Times New Roman" w:cs="Times New Roman"/>
                <w:snapToGrid w:val="0"/>
                <w:sz w:val="20"/>
                <w:szCs w:val="20"/>
              </w:rPr>
              <w:t>0,3</w:t>
            </w:r>
          </w:p>
        </w:tc>
        <w:tc>
          <w:tcPr>
            <w:tcW w:w="850" w:type="dxa"/>
            <w:shd w:val="clear" w:color="auto" w:fill="auto"/>
            <w:vAlign w:val="bottom"/>
          </w:tcPr>
          <w:p w:rsidR="00EE1979" w:rsidRPr="00EE1979" w:rsidRDefault="00EE1979" w:rsidP="00EE1979">
            <w:pPr>
              <w:spacing w:after="0" w:line="240" w:lineRule="auto"/>
              <w:jc w:val="center"/>
              <w:rPr>
                <w:rFonts w:ascii="Times New Roman" w:eastAsia="Times New Roman" w:hAnsi="Times New Roman" w:cs="Times New Roman"/>
                <w:snapToGrid w:val="0"/>
                <w:sz w:val="20"/>
                <w:szCs w:val="20"/>
              </w:rPr>
            </w:pPr>
            <w:r w:rsidRPr="00EE1979">
              <w:rPr>
                <w:rFonts w:ascii="Times New Roman" w:eastAsia="Times New Roman" w:hAnsi="Times New Roman" w:cs="Times New Roman"/>
                <w:snapToGrid w:val="0"/>
                <w:sz w:val="20"/>
                <w:szCs w:val="20"/>
              </w:rPr>
              <w:t>0,2</w:t>
            </w:r>
          </w:p>
        </w:tc>
      </w:tr>
      <w:tr w:rsidR="00EE1979" w:rsidRPr="00EE1979" w:rsidTr="007D040E">
        <w:trPr>
          <w:jc w:val="center"/>
        </w:trPr>
        <w:tc>
          <w:tcPr>
            <w:tcW w:w="2991" w:type="dxa"/>
            <w:shd w:val="clear" w:color="auto" w:fill="auto"/>
          </w:tcPr>
          <w:p w:rsidR="00EE1979" w:rsidRPr="00EE1979" w:rsidRDefault="00EE1979" w:rsidP="00EE1979">
            <w:pPr>
              <w:spacing w:after="0" w:line="240" w:lineRule="auto"/>
              <w:rPr>
                <w:rFonts w:ascii="Times New Roman" w:eastAsia="Times New Roman" w:hAnsi="Times New Roman" w:cs="Times New Roman"/>
                <w:b/>
                <w:snapToGrid w:val="0"/>
                <w:sz w:val="20"/>
                <w:szCs w:val="20"/>
              </w:rPr>
            </w:pPr>
            <w:r w:rsidRPr="00EE1979">
              <w:rPr>
                <w:rFonts w:ascii="Times New Roman" w:eastAsia="Times New Roman" w:hAnsi="Times New Roman" w:cs="Times New Roman"/>
                <w:b/>
                <w:snapToGrid w:val="0"/>
                <w:sz w:val="20"/>
                <w:szCs w:val="20"/>
              </w:rPr>
              <w:t>Vienreizējie pasākumi</w:t>
            </w:r>
            <w:r w:rsidRPr="00EE1979">
              <w:rPr>
                <w:rFonts w:ascii="Garamond" w:eastAsia="Times New Roman" w:hAnsi="Garamond" w:cs="Times New Roman"/>
                <w:b/>
                <w:snapToGrid w:val="0"/>
                <w:sz w:val="20"/>
                <w:szCs w:val="20"/>
                <w:vertAlign w:val="superscript"/>
              </w:rPr>
              <w:footnoteReference w:id="3"/>
            </w:r>
          </w:p>
        </w:tc>
        <w:tc>
          <w:tcPr>
            <w:tcW w:w="1134" w:type="dxa"/>
            <w:shd w:val="clear" w:color="auto" w:fill="auto"/>
          </w:tcPr>
          <w:p w:rsidR="00EE1979" w:rsidRPr="00EE1979" w:rsidRDefault="00EE1979" w:rsidP="00EE1979">
            <w:pPr>
              <w:spacing w:after="0" w:line="240" w:lineRule="auto"/>
              <w:rPr>
                <w:rFonts w:ascii="Times New Roman" w:eastAsia="Times New Roman" w:hAnsi="Times New Roman" w:cs="Times New Roman"/>
                <w:sz w:val="20"/>
                <w:szCs w:val="20"/>
              </w:rPr>
            </w:pPr>
          </w:p>
        </w:tc>
        <w:tc>
          <w:tcPr>
            <w:tcW w:w="807" w:type="dxa"/>
            <w:shd w:val="clear" w:color="auto" w:fill="auto"/>
            <w:vAlign w:val="bottom"/>
          </w:tcPr>
          <w:p w:rsidR="00EE1979" w:rsidRPr="00EE1979" w:rsidRDefault="00EE1979" w:rsidP="00EE1979">
            <w:pPr>
              <w:spacing w:after="0" w:line="240" w:lineRule="auto"/>
              <w:jc w:val="center"/>
              <w:rPr>
                <w:rFonts w:ascii="Times New Roman" w:eastAsia="Times New Roman" w:hAnsi="Times New Roman" w:cs="Times New Roman"/>
                <w:snapToGrid w:val="0"/>
                <w:sz w:val="20"/>
                <w:szCs w:val="20"/>
              </w:rPr>
            </w:pPr>
          </w:p>
        </w:tc>
        <w:tc>
          <w:tcPr>
            <w:tcW w:w="851" w:type="dxa"/>
            <w:shd w:val="clear" w:color="auto" w:fill="auto"/>
            <w:vAlign w:val="center"/>
          </w:tcPr>
          <w:p w:rsidR="00EE1979" w:rsidRPr="00EE1979" w:rsidRDefault="00EE1979" w:rsidP="00EE1979">
            <w:pPr>
              <w:spacing w:after="0" w:line="240" w:lineRule="auto"/>
              <w:jc w:val="center"/>
              <w:rPr>
                <w:rFonts w:ascii="Times New Roman" w:eastAsia="Times New Roman" w:hAnsi="Times New Roman" w:cs="Times New Roman"/>
                <w:snapToGrid w:val="0"/>
                <w:sz w:val="20"/>
                <w:szCs w:val="20"/>
              </w:rPr>
            </w:pPr>
            <w:r w:rsidRPr="00EE1979">
              <w:rPr>
                <w:rFonts w:ascii="Times New Roman" w:eastAsia="Times New Roman" w:hAnsi="Times New Roman" w:cs="Times New Roman"/>
                <w:snapToGrid w:val="0"/>
                <w:sz w:val="20"/>
                <w:szCs w:val="20"/>
              </w:rPr>
              <w:t>0,1</w:t>
            </w:r>
          </w:p>
        </w:tc>
        <w:tc>
          <w:tcPr>
            <w:tcW w:w="850" w:type="dxa"/>
            <w:shd w:val="clear" w:color="auto" w:fill="auto"/>
            <w:vAlign w:val="bottom"/>
          </w:tcPr>
          <w:p w:rsidR="00EE1979" w:rsidRPr="00EE1979" w:rsidRDefault="00EE1979" w:rsidP="00EE1979">
            <w:pPr>
              <w:spacing w:after="0" w:line="240" w:lineRule="auto"/>
              <w:jc w:val="center"/>
              <w:rPr>
                <w:rFonts w:ascii="Times New Roman" w:eastAsia="Times New Roman" w:hAnsi="Times New Roman" w:cs="Times New Roman"/>
                <w:snapToGrid w:val="0"/>
                <w:sz w:val="20"/>
                <w:szCs w:val="20"/>
              </w:rPr>
            </w:pPr>
          </w:p>
        </w:tc>
        <w:tc>
          <w:tcPr>
            <w:tcW w:w="851" w:type="dxa"/>
            <w:shd w:val="clear" w:color="auto" w:fill="auto"/>
            <w:vAlign w:val="bottom"/>
          </w:tcPr>
          <w:p w:rsidR="00EE1979" w:rsidRPr="00EE1979" w:rsidRDefault="00EE1979" w:rsidP="00EE1979">
            <w:pPr>
              <w:spacing w:after="0" w:line="240" w:lineRule="auto"/>
              <w:jc w:val="center"/>
              <w:rPr>
                <w:rFonts w:ascii="Times New Roman" w:eastAsia="Times New Roman" w:hAnsi="Times New Roman" w:cs="Times New Roman"/>
                <w:snapToGrid w:val="0"/>
                <w:sz w:val="20"/>
                <w:szCs w:val="20"/>
              </w:rPr>
            </w:pPr>
          </w:p>
        </w:tc>
        <w:tc>
          <w:tcPr>
            <w:tcW w:w="850" w:type="dxa"/>
            <w:shd w:val="clear" w:color="auto" w:fill="auto"/>
            <w:vAlign w:val="bottom"/>
          </w:tcPr>
          <w:p w:rsidR="00EE1979" w:rsidRPr="00EE1979" w:rsidRDefault="00EE1979" w:rsidP="00EE1979">
            <w:pPr>
              <w:spacing w:after="0" w:line="240" w:lineRule="auto"/>
              <w:jc w:val="center"/>
              <w:rPr>
                <w:rFonts w:ascii="Times New Roman" w:eastAsia="Times New Roman" w:hAnsi="Times New Roman" w:cs="Times New Roman"/>
                <w:snapToGrid w:val="0"/>
                <w:sz w:val="20"/>
                <w:szCs w:val="20"/>
              </w:rPr>
            </w:pPr>
          </w:p>
        </w:tc>
      </w:tr>
      <w:tr w:rsidR="00EE1979" w:rsidRPr="00EE1979" w:rsidTr="007D040E">
        <w:trPr>
          <w:jc w:val="center"/>
        </w:trPr>
        <w:tc>
          <w:tcPr>
            <w:tcW w:w="2991" w:type="dxa"/>
            <w:shd w:val="clear" w:color="auto" w:fill="auto"/>
          </w:tcPr>
          <w:p w:rsidR="00EE1979" w:rsidRPr="00EE1979" w:rsidRDefault="00EE1979" w:rsidP="00EE1979">
            <w:pPr>
              <w:spacing w:after="0" w:line="240" w:lineRule="auto"/>
              <w:rPr>
                <w:rFonts w:ascii="Times New Roman" w:eastAsia="Times New Roman" w:hAnsi="Times New Roman" w:cs="Times New Roman"/>
                <w:b/>
                <w:snapToGrid w:val="0"/>
                <w:sz w:val="20"/>
                <w:szCs w:val="20"/>
              </w:rPr>
            </w:pPr>
            <w:r w:rsidRPr="00EE1979">
              <w:rPr>
                <w:rFonts w:ascii="Times New Roman" w:eastAsia="Times New Roman" w:hAnsi="Times New Roman" w:cs="Times New Roman"/>
                <w:b/>
                <w:snapToGrid w:val="0"/>
                <w:sz w:val="20"/>
                <w:szCs w:val="20"/>
              </w:rPr>
              <w:t>Cikliski koriģētā bilance</w:t>
            </w:r>
          </w:p>
        </w:tc>
        <w:tc>
          <w:tcPr>
            <w:tcW w:w="1134" w:type="dxa"/>
            <w:shd w:val="clear" w:color="auto" w:fill="auto"/>
          </w:tcPr>
          <w:p w:rsidR="00EE1979" w:rsidRPr="00EE1979" w:rsidRDefault="00EE1979" w:rsidP="00EE1979">
            <w:pPr>
              <w:spacing w:after="0" w:line="240" w:lineRule="auto"/>
              <w:rPr>
                <w:rFonts w:ascii="Times New Roman" w:eastAsia="Times New Roman" w:hAnsi="Times New Roman" w:cs="Times New Roman"/>
                <w:sz w:val="20"/>
                <w:szCs w:val="20"/>
              </w:rPr>
            </w:pPr>
          </w:p>
        </w:tc>
        <w:tc>
          <w:tcPr>
            <w:tcW w:w="807" w:type="dxa"/>
            <w:shd w:val="clear" w:color="auto" w:fill="auto"/>
            <w:vAlign w:val="center"/>
          </w:tcPr>
          <w:p w:rsidR="00EE1979" w:rsidRPr="00EE1979" w:rsidRDefault="00EE1979" w:rsidP="00EE1979">
            <w:pPr>
              <w:spacing w:after="0" w:line="240" w:lineRule="auto"/>
              <w:jc w:val="center"/>
              <w:rPr>
                <w:rFonts w:ascii="Times New Roman" w:eastAsia="Times New Roman" w:hAnsi="Times New Roman" w:cs="Times New Roman"/>
                <w:snapToGrid w:val="0"/>
                <w:sz w:val="20"/>
                <w:szCs w:val="20"/>
              </w:rPr>
            </w:pPr>
            <w:r w:rsidRPr="00EE1979">
              <w:rPr>
                <w:rFonts w:ascii="Times New Roman" w:eastAsia="Times New Roman" w:hAnsi="Times New Roman" w:cs="Times New Roman"/>
                <w:snapToGrid w:val="0"/>
                <w:color w:val="000000"/>
                <w:sz w:val="20"/>
                <w:szCs w:val="20"/>
              </w:rPr>
              <w:t>-1,7</w:t>
            </w:r>
          </w:p>
        </w:tc>
        <w:tc>
          <w:tcPr>
            <w:tcW w:w="851" w:type="dxa"/>
            <w:shd w:val="clear" w:color="auto" w:fill="auto"/>
            <w:vAlign w:val="center"/>
          </w:tcPr>
          <w:p w:rsidR="00EE1979" w:rsidRPr="00EE1979" w:rsidRDefault="00EE1979" w:rsidP="00EE1979">
            <w:pPr>
              <w:spacing w:after="0" w:line="240" w:lineRule="auto"/>
              <w:jc w:val="center"/>
              <w:rPr>
                <w:rFonts w:ascii="Times New Roman" w:eastAsia="Times New Roman" w:hAnsi="Times New Roman" w:cs="Times New Roman"/>
                <w:snapToGrid w:val="0"/>
                <w:sz w:val="20"/>
                <w:szCs w:val="20"/>
              </w:rPr>
            </w:pPr>
            <w:r w:rsidRPr="00EE1979">
              <w:rPr>
                <w:rFonts w:ascii="Times New Roman" w:eastAsia="Times New Roman" w:hAnsi="Times New Roman" w:cs="Times New Roman"/>
                <w:snapToGrid w:val="0"/>
                <w:color w:val="000000"/>
                <w:sz w:val="20"/>
                <w:szCs w:val="20"/>
              </w:rPr>
              <w:t>-1,1</w:t>
            </w:r>
          </w:p>
        </w:tc>
        <w:tc>
          <w:tcPr>
            <w:tcW w:w="850" w:type="dxa"/>
            <w:shd w:val="clear" w:color="auto" w:fill="auto"/>
            <w:vAlign w:val="center"/>
          </w:tcPr>
          <w:p w:rsidR="00EE1979" w:rsidRPr="00EE1979" w:rsidRDefault="00EE1979" w:rsidP="00EE1979">
            <w:pPr>
              <w:spacing w:after="0" w:line="240" w:lineRule="auto"/>
              <w:jc w:val="center"/>
              <w:rPr>
                <w:rFonts w:ascii="Times New Roman" w:eastAsia="Times New Roman" w:hAnsi="Times New Roman" w:cs="Times New Roman"/>
                <w:snapToGrid w:val="0"/>
                <w:sz w:val="20"/>
                <w:szCs w:val="20"/>
              </w:rPr>
            </w:pPr>
            <w:r w:rsidRPr="00EE1979">
              <w:rPr>
                <w:rFonts w:ascii="Times New Roman" w:eastAsia="Times New Roman" w:hAnsi="Times New Roman" w:cs="Times New Roman"/>
                <w:snapToGrid w:val="0"/>
                <w:color w:val="000000"/>
                <w:sz w:val="20"/>
                <w:szCs w:val="20"/>
              </w:rPr>
              <w:t>-0,7</w:t>
            </w:r>
          </w:p>
        </w:tc>
        <w:tc>
          <w:tcPr>
            <w:tcW w:w="851" w:type="dxa"/>
            <w:shd w:val="clear" w:color="auto" w:fill="auto"/>
            <w:vAlign w:val="center"/>
          </w:tcPr>
          <w:p w:rsidR="00EE1979" w:rsidRPr="00EE1979" w:rsidRDefault="00EE1979" w:rsidP="00EE1979">
            <w:pPr>
              <w:spacing w:after="0" w:line="240" w:lineRule="auto"/>
              <w:jc w:val="center"/>
              <w:rPr>
                <w:rFonts w:ascii="Times New Roman" w:eastAsia="Times New Roman" w:hAnsi="Times New Roman" w:cs="Times New Roman"/>
                <w:snapToGrid w:val="0"/>
                <w:sz w:val="20"/>
                <w:szCs w:val="20"/>
              </w:rPr>
            </w:pPr>
            <w:r w:rsidRPr="00EE1979">
              <w:rPr>
                <w:rFonts w:ascii="Times New Roman" w:eastAsia="Times New Roman" w:hAnsi="Times New Roman" w:cs="Times New Roman"/>
                <w:snapToGrid w:val="0"/>
                <w:color w:val="000000"/>
                <w:sz w:val="20"/>
                <w:szCs w:val="20"/>
              </w:rPr>
              <w:t>-0,6</w:t>
            </w:r>
          </w:p>
        </w:tc>
        <w:tc>
          <w:tcPr>
            <w:tcW w:w="850" w:type="dxa"/>
            <w:shd w:val="clear" w:color="auto" w:fill="auto"/>
            <w:vAlign w:val="center"/>
          </w:tcPr>
          <w:p w:rsidR="00EE1979" w:rsidRPr="00EE1979" w:rsidRDefault="00EE1979" w:rsidP="00EE1979">
            <w:pPr>
              <w:spacing w:after="0" w:line="240" w:lineRule="auto"/>
              <w:jc w:val="center"/>
              <w:rPr>
                <w:rFonts w:ascii="Times New Roman" w:eastAsia="Times New Roman" w:hAnsi="Times New Roman" w:cs="Times New Roman"/>
                <w:snapToGrid w:val="0"/>
                <w:sz w:val="20"/>
                <w:szCs w:val="20"/>
              </w:rPr>
            </w:pPr>
            <w:r w:rsidRPr="00EE1979">
              <w:rPr>
                <w:rFonts w:ascii="Times New Roman" w:eastAsia="Times New Roman" w:hAnsi="Times New Roman" w:cs="Times New Roman"/>
                <w:snapToGrid w:val="0"/>
                <w:color w:val="000000"/>
                <w:sz w:val="20"/>
                <w:szCs w:val="20"/>
              </w:rPr>
              <w:t>0,1</w:t>
            </w:r>
          </w:p>
        </w:tc>
      </w:tr>
      <w:tr w:rsidR="00EE1979" w:rsidRPr="00EE1979" w:rsidTr="007D040E">
        <w:trPr>
          <w:trHeight w:val="158"/>
          <w:jc w:val="center"/>
        </w:trPr>
        <w:tc>
          <w:tcPr>
            <w:tcW w:w="2991" w:type="dxa"/>
            <w:shd w:val="clear" w:color="auto" w:fill="auto"/>
          </w:tcPr>
          <w:p w:rsidR="00EE1979" w:rsidRPr="00EE1979" w:rsidRDefault="00EE1979" w:rsidP="00EE1979">
            <w:pPr>
              <w:spacing w:after="0" w:line="240" w:lineRule="auto"/>
              <w:rPr>
                <w:rFonts w:ascii="Times New Roman" w:eastAsia="Times New Roman" w:hAnsi="Times New Roman" w:cs="Times New Roman"/>
                <w:b/>
                <w:snapToGrid w:val="0"/>
                <w:sz w:val="20"/>
                <w:szCs w:val="20"/>
              </w:rPr>
            </w:pPr>
            <w:r w:rsidRPr="00EE1979">
              <w:rPr>
                <w:rFonts w:ascii="Times New Roman" w:eastAsia="Times New Roman" w:hAnsi="Times New Roman" w:cs="Times New Roman"/>
                <w:b/>
                <w:snapToGrid w:val="0"/>
                <w:sz w:val="20"/>
                <w:szCs w:val="20"/>
              </w:rPr>
              <w:lastRenderedPageBreak/>
              <w:t>Cikliski koriģētā primārā bilance</w:t>
            </w:r>
          </w:p>
        </w:tc>
        <w:tc>
          <w:tcPr>
            <w:tcW w:w="1134" w:type="dxa"/>
            <w:shd w:val="clear" w:color="auto" w:fill="auto"/>
          </w:tcPr>
          <w:p w:rsidR="00EE1979" w:rsidRPr="00EE1979" w:rsidRDefault="00EE1979" w:rsidP="00EE1979">
            <w:pPr>
              <w:spacing w:after="0" w:line="240" w:lineRule="auto"/>
              <w:rPr>
                <w:rFonts w:ascii="Times New Roman" w:eastAsia="Times New Roman" w:hAnsi="Times New Roman" w:cs="Times New Roman"/>
                <w:sz w:val="20"/>
                <w:szCs w:val="20"/>
              </w:rPr>
            </w:pPr>
          </w:p>
        </w:tc>
        <w:tc>
          <w:tcPr>
            <w:tcW w:w="807" w:type="dxa"/>
            <w:shd w:val="clear" w:color="auto" w:fill="auto"/>
            <w:vAlign w:val="center"/>
          </w:tcPr>
          <w:p w:rsidR="00EE1979" w:rsidRPr="00EE1979" w:rsidRDefault="00EE1979" w:rsidP="00EE1979">
            <w:pPr>
              <w:spacing w:after="0" w:line="240" w:lineRule="auto"/>
              <w:jc w:val="center"/>
              <w:rPr>
                <w:rFonts w:ascii="Times New Roman" w:eastAsia="Times New Roman" w:hAnsi="Times New Roman" w:cs="Times New Roman"/>
                <w:snapToGrid w:val="0"/>
                <w:sz w:val="20"/>
                <w:szCs w:val="20"/>
              </w:rPr>
            </w:pPr>
            <w:r w:rsidRPr="00EE1979">
              <w:rPr>
                <w:rFonts w:ascii="Times New Roman" w:eastAsia="Times New Roman" w:hAnsi="Times New Roman" w:cs="Times New Roman"/>
                <w:snapToGrid w:val="0"/>
                <w:color w:val="000000"/>
                <w:sz w:val="20"/>
                <w:szCs w:val="20"/>
              </w:rPr>
              <w:t>-1,0</w:t>
            </w:r>
          </w:p>
        </w:tc>
        <w:tc>
          <w:tcPr>
            <w:tcW w:w="851" w:type="dxa"/>
            <w:shd w:val="clear" w:color="auto" w:fill="auto"/>
            <w:vAlign w:val="center"/>
          </w:tcPr>
          <w:p w:rsidR="00EE1979" w:rsidRPr="00EE1979" w:rsidRDefault="00EE1979" w:rsidP="00EE1979">
            <w:pPr>
              <w:spacing w:after="0" w:line="240" w:lineRule="auto"/>
              <w:jc w:val="center"/>
              <w:rPr>
                <w:rFonts w:ascii="Times New Roman" w:eastAsia="Times New Roman" w:hAnsi="Times New Roman" w:cs="Times New Roman"/>
                <w:snapToGrid w:val="0"/>
                <w:sz w:val="20"/>
                <w:szCs w:val="20"/>
              </w:rPr>
            </w:pPr>
            <w:r w:rsidRPr="00EE1979">
              <w:rPr>
                <w:rFonts w:ascii="Times New Roman" w:eastAsia="Times New Roman" w:hAnsi="Times New Roman" w:cs="Times New Roman"/>
                <w:snapToGrid w:val="0"/>
                <w:color w:val="000000"/>
                <w:sz w:val="20"/>
                <w:szCs w:val="20"/>
              </w:rPr>
              <w:t>-0,3</w:t>
            </w:r>
          </w:p>
        </w:tc>
        <w:tc>
          <w:tcPr>
            <w:tcW w:w="850" w:type="dxa"/>
            <w:shd w:val="clear" w:color="auto" w:fill="auto"/>
            <w:vAlign w:val="center"/>
          </w:tcPr>
          <w:p w:rsidR="00EE1979" w:rsidRPr="00EE1979" w:rsidRDefault="00EE1979" w:rsidP="00EE1979">
            <w:pPr>
              <w:spacing w:after="0" w:line="240" w:lineRule="auto"/>
              <w:jc w:val="center"/>
              <w:rPr>
                <w:rFonts w:ascii="Times New Roman" w:eastAsia="Times New Roman" w:hAnsi="Times New Roman" w:cs="Times New Roman"/>
                <w:snapToGrid w:val="0"/>
                <w:sz w:val="20"/>
                <w:szCs w:val="20"/>
              </w:rPr>
            </w:pPr>
            <w:r w:rsidRPr="00EE1979">
              <w:rPr>
                <w:rFonts w:ascii="Times New Roman" w:eastAsia="Times New Roman" w:hAnsi="Times New Roman" w:cs="Times New Roman"/>
                <w:snapToGrid w:val="0"/>
                <w:color w:val="000000"/>
                <w:sz w:val="20"/>
                <w:szCs w:val="20"/>
              </w:rPr>
              <w:t>0,1</w:t>
            </w:r>
          </w:p>
        </w:tc>
        <w:tc>
          <w:tcPr>
            <w:tcW w:w="851" w:type="dxa"/>
            <w:shd w:val="clear" w:color="auto" w:fill="auto"/>
            <w:vAlign w:val="center"/>
          </w:tcPr>
          <w:p w:rsidR="00EE1979" w:rsidRPr="00EE1979" w:rsidRDefault="00EE1979" w:rsidP="00EE1979">
            <w:pPr>
              <w:spacing w:after="0" w:line="240" w:lineRule="auto"/>
              <w:jc w:val="center"/>
              <w:rPr>
                <w:rFonts w:ascii="Times New Roman" w:eastAsia="Times New Roman" w:hAnsi="Times New Roman" w:cs="Times New Roman"/>
                <w:snapToGrid w:val="0"/>
                <w:sz w:val="20"/>
                <w:szCs w:val="20"/>
              </w:rPr>
            </w:pPr>
            <w:r w:rsidRPr="00EE1979">
              <w:rPr>
                <w:rFonts w:ascii="Times New Roman" w:eastAsia="Times New Roman" w:hAnsi="Times New Roman" w:cs="Times New Roman"/>
                <w:snapToGrid w:val="0"/>
                <w:color w:val="000000"/>
                <w:sz w:val="20"/>
                <w:szCs w:val="20"/>
              </w:rPr>
              <w:t>0,1</w:t>
            </w:r>
          </w:p>
        </w:tc>
        <w:tc>
          <w:tcPr>
            <w:tcW w:w="850" w:type="dxa"/>
            <w:shd w:val="clear" w:color="auto" w:fill="auto"/>
            <w:vAlign w:val="center"/>
          </w:tcPr>
          <w:p w:rsidR="00EE1979" w:rsidRPr="00EE1979" w:rsidRDefault="00EE1979" w:rsidP="00EE1979">
            <w:pPr>
              <w:spacing w:after="0" w:line="240" w:lineRule="auto"/>
              <w:jc w:val="center"/>
              <w:rPr>
                <w:rFonts w:ascii="Times New Roman" w:eastAsia="Times New Roman" w:hAnsi="Times New Roman" w:cs="Times New Roman"/>
                <w:snapToGrid w:val="0"/>
                <w:sz w:val="20"/>
                <w:szCs w:val="20"/>
              </w:rPr>
            </w:pPr>
            <w:r w:rsidRPr="00EE1979">
              <w:rPr>
                <w:rFonts w:ascii="Times New Roman" w:eastAsia="Times New Roman" w:hAnsi="Times New Roman" w:cs="Times New Roman"/>
                <w:snapToGrid w:val="0"/>
                <w:color w:val="000000"/>
                <w:sz w:val="20"/>
                <w:szCs w:val="20"/>
              </w:rPr>
              <w:t>0,9</w:t>
            </w:r>
          </w:p>
        </w:tc>
      </w:tr>
      <w:tr w:rsidR="00EE1979" w:rsidRPr="00EE1979" w:rsidTr="007D040E">
        <w:trPr>
          <w:trHeight w:val="158"/>
          <w:jc w:val="center"/>
        </w:trPr>
        <w:tc>
          <w:tcPr>
            <w:tcW w:w="2991" w:type="dxa"/>
            <w:shd w:val="clear" w:color="auto" w:fill="auto"/>
          </w:tcPr>
          <w:p w:rsidR="00EE1979" w:rsidRPr="00EE1979" w:rsidRDefault="00EE1979" w:rsidP="00EE1979">
            <w:pPr>
              <w:spacing w:after="0" w:line="240" w:lineRule="auto"/>
              <w:rPr>
                <w:rFonts w:ascii="Times New Roman" w:eastAsia="Times New Roman" w:hAnsi="Times New Roman" w:cs="Times New Roman"/>
                <w:b/>
                <w:snapToGrid w:val="0"/>
                <w:sz w:val="20"/>
                <w:szCs w:val="20"/>
              </w:rPr>
            </w:pPr>
            <w:r w:rsidRPr="00EE1979">
              <w:rPr>
                <w:rFonts w:ascii="Times New Roman" w:eastAsia="Times New Roman" w:hAnsi="Times New Roman" w:cs="Times New Roman"/>
                <w:b/>
                <w:snapToGrid w:val="0"/>
                <w:sz w:val="20"/>
                <w:szCs w:val="20"/>
              </w:rPr>
              <w:t>Strukturālā bilance</w:t>
            </w:r>
            <w:r w:rsidRPr="00EE1979">
              <w:rPr>
                <w:rFonts w:ascii="Garamond" w:eastAsia="Times New Roman" w:hAnsi="Garamond" w:cs="Times New Roman"/>
                <w:b/>
                <w:snapToGrid w:val="0"/>
                <w:sz w:val="20"/>
                <w:szCs w:val="20"/>
                <w:vertAlign w:val="superscript"/>
              </w:rPr>
              <w:footnoteReference w:id="4"/>
            </w:r>
          </w:p>
        </w:tc>
        <w:tc>
          <w:tcPr>
            <w:tcW w:w="1134" w:type="dxa"/>
            <w:shd w:val="clear" w:color="auto" w:fill="auto"/>
          </w:tcPr>
          <w:p w:rsidR="00EE1979" w:rsidRPr="00EE1979" w:rsidRDefault="00EE1979" w:rsidP="00EE1979">
            <w:pPr>
              <w:spacing w:after="0" w:line="240" w:lineRule="auto"/>
              <w:rPr>
                <w:rFonts w:ascii="Times New Roman" w:eastAsia="Times New Roman" w:hAnsi="Times New Roman" w:cs="Times New Roman"/>
                <w:sz w:val="20"/>
                <w:szCs w:val="20"/>
              </w:rPr>
            </w:pPr>
          </w:p>
        </w:tc>
        <w:tc>
          <w:tcPr>
            <w:tcW w:w="807" w:type="dxa"/>
            <w:shd w:val="clear" w:color="auto" w:fill="auto"/>
            <w:vAlign w:val="center"/>
          </w:tcPr>
          <w:p w:rsidR="00EE1979" w:rsidRPr="00EE1979" w:rsidRDefault="00EE1979" w:rsidP="00EE1979">
            <w:pPr>
              <w:spacing w:after="0" w:line="240" w:lineRule="auto"/>
              <w:jc w:val="center"/>
              <w:rPr>
                <w:rFonts w:ascii="Times New Roman" w:eastAsia="Times New Roman" w:hAnsi="Times New Roman" w:cs="Times New Roman"/>
                <w:snapToGrid w:val="0"/>
                <w:sz w:val="20"/>
                <w:szCs w:val="20"/>
              </w:rPr>
            </w:pPr>
            <w:r w:rsidRPr="00EE1979">
              <w:rPr>
                <w:rFonts w:ascii="Times New Roman" w:eastAsia="Times New Roman" w:hAnsi="Times New Roman" w:cs="Times New Roman"/>
                <w:snapToGrid w:val="0"/>
                <w:color w:val="000000"/>
                <w:sz w:val="20"/>
                <w:szCs w:val="20"/>
              </w:rPr>
              <w:t>-1,7</w:t>
            </w:r>
          </w:p>
        </w:tc>
        <w:tc>
          <w:tcPr>
            <w:tcW w:w="851" w:type="dxa"/>
            <w:shd w:val="clear" w:color="auto" w:fill="auto"/>
            <w:vAlign w:val="center"/>
          </w:tcPr>
          <w:p w:rsidR="00EE1979" w:rsidRPr="00EE1979" w:rsidRDefault="00EE1979" w:rsidP="00EE1979">
            <w:pPr>
              <w:spacing w:after="0" w:line="240" w:lineRule="auto"/>
              <w:jc w:val="center"/>
              <w:rPr>
                <w:rFonts w:ascii="Times New Roman" w:eastAsia="Times New Roman" w:hAnsi="Times New Roman" w:cs="Times New Roman"/>
                <w:snapToGrid w:val="0"/>
                <w:sz w:val="20"/>
                <w:szCs w:val="20"/>
              </w:rPr>
            </w:pPr>
            <w:r w:rsidRPr="00EE1979">
              <w:rPr>
                <w:rFonts w:ascii="Times New Roman" w:eastAsia="Times New Roman" w:hAnsi="Times New Roman" w:cs="Times New Roman"/>
                <w:snapToGrid w:val="0"/>
                <w:color w:val="000000"/>
                <w:sz w:val="20"/>
                <w:szCs w:val="20"/>
              </w:rPr>
              <w:t>-1,1</w:t>
            </w:r>
          </w:p>
        </w:tc>
        <w:tc>
          <w:tcPr>
            <w:tcW w:w="850" w:type="dxa"/>
            <w:shd w:val="clear" w:color="auto" w:fill="auto"/>
            <w:vAlign w:val="center"/>
          </w:tcPr>
          <w:p w:rsidR="00EE1979" w:rsidRPr="00EE1979" w:rsidRDefault="00EE1979" w:rsidP="00EE1979">
            <w:pPr>
              <w:spacing w:after="0" w:line="240" w:lineRule="auto"/>
              <w:jc w:val="center"/>
              <w:rPr>
                <w:rFonts w:ascii="Times New Roman" w:eastAsia="Times New Roman" w:hAnsi="Times New Roman" w:cs="Times New Roman"/>
                <w:snapToGrid w:val="0"/>
                <w:sz w:val="20"/>
                <w:szCs w:val="20"/>
              </w:rPr>
            </w:pPr>
            <w:r w:rsidRPr="00EE1979">
              <w:rPr>
                <w:rFonts w:ascii="Times New Roman" w:eastAsia="Times New Roman" w:hAnsi="Times New Roman" w:cs="Times New Roman"/>
                <w:snapToGrid w:val="0"/>
                <w:color w:val="000000"/>
                <w:sz w:val="20"/>
                <w:szCs w:val="20"/>
              </w:rPr>
              <w:t>-0,7</w:t>
            </w:r>
          </w:p>
        </w:tc>
        <w:tc>
          <w:tcPr>
            <w:tcW w:w="851" w:type="dxa"/>
            <w:shd w:val="clear" w:color="auto" w:fill="auto"/>
            <w:vAlign w:val="center"/>
          </w:tcPr>
          <w:p w:rsidR="00EE1979" w:rsidRPr="00EE1979" w:rsidRDefault="00EE1979" w:rsidP="00EE1979">
            <w:pPr>
              <w:spacing w:after="0" w:line="240" w:lineRule="auto"/>
              <w:jc w:val="center"/>
              <w:rPr>
                <w:rFonts w:ascii="Times New Roman" w:eastAsia="Times New Roman" w:hAnsi="Times New Roman" w:cs="Times New Roman"/>
                <w:snapToGrid w:val="0"/>
                <w:sz w:val="20"/>
                <w:szCs w:val="20"/>
              </w:rPr>
            </w:pPr>
            <w:r w:rsidRPr="00EE1979">
              <w:rPr>
                <w:rFonts w:ascii="Times New Roman" w:eastAsia="Times New Roman" w:hAnsi="Times New Roman" w:cs="Times New Roman"/>
                <w:snapToGrid w:val="0"/>
                <w:color w:val="000000"/>
                <w:sz w:val="20"/>
                <w:szCs w:val="20"/>
              </w:rPr>
              <w:t>-0,6</w:t>
            </w:r>
          </w:p>
        </w:tc>
        <w:tc>
          <w:tcPr>
            <w:tcW w:w="850" w:type="dxa"/>
            <w:shd w:val="clear" w:color="auto" w:fill="auto"/>
            <w:vAlign w:val="center"/>
          </w:tcPr>
          <w:p w:rsidR="00EE1979" w:rsidRPr="00EE1979" w:rsidRDefault="00EE1979" w:rsidP="00EE1979">
            <w:pPr>
              <w:spacing w:after="0" w:line="240" w:lineRule="auto"/>
              <w:jc w:val="center"/>
              <w:rPr>
                <w:rFonts w:ascii="Times New Roman" w:eastAsia="Times New Roman" w:hAnsi="Times New Roman" w:cs="Times New Roman"/>
                <w:snapToGrid w:val="0"/>
                <w:sz w:val="20"/>
                <w:szCs w:val="20"/>
              </w:rPr>
            </w:pPr>
            <w:r w:rsidRPr="00EE1979">
              <w:rPr>
                <w:rFonts w:ascii="Times New Roman" w:eastAsia="Times New Roman" w:hAnsi="Times New Roman" w:cs="Times New Roman"/>
                <w:snapToGrid w:val="0"/>
                <w:color w:val="000000"/>
                <w:sz w:val="20"/>
                <w:szCs w:val="20"/>
              </w:rPr>
              <w:t>0,1</w:t>
            </w:r>
          </w:p>
        </w:tc>
      </w:tr>
    </w:tbl>
    <w:p w:rsidR="00EE1979" w:rsidRDefault="00EE1979" w:rsidP="00EE1979">
      <w:pPr>
        <w:spacing w:before="120" w:after="0" w:line="240" w:lineRule="auto"/>
        <w:ind w:firstLine="720"/>
        <w:jc w:val="both"/>
        <w:rPr>
          <w:rFonts w:ascii="Times New Roman" w:eastAsia="Times New Roman" w:hAnsi="Times New Roman" w:cs="Times New Roman"/>
          <w:b/>
          <w:color w:val="000000"/>
          <w:sz w:val="24"/>
          <w:szCs w:val="20"/>
        </w:rPr>
      </w:pPr>
    </w:p>
    <w:p w:rsidR="00EE1979" w:rsidRPr="003D448B" w:rsidRDefault="00EE1979" w:rsidP="00EE1979">
      <w:pPr>
        <w:spacing w:before="120" w:after="0" w:line="240" w:lineRule="auto"/>
        <w:ind w:firstLine="720"/>
        <w:jc w:val="both"/>
        <w:rPr>
          <w:rFonts w:ascii="Times New Roman" w:eastAsia="Times New Roman" w:hAnsi="Times New Roman" w:cs="Times New Roman"/>
          <w:b/>
          <w:color w:val="000000"/>
          <w:sz w:val="24"/>
          <w:szCs w:val="20"/>
        </w:rPr>
      </w:pPr>
      <w:r w:rsidRPr="003D448B">
        <w:rPr>
          <w:rFonts w:ascii="Times New Roman" w:eastAsia="Times New Roman" w:hAnsi="Times New Roman" w:cs="Times New Roman"/>
          <w:b/>
          <w:color w:val="000000"/>
          <w:sz w:val="24"/>
          <w:szCs w:val="20"/>
        </w:rPr>
        <w:t>Centrālās valdības budžetā:</w:t>
      </w:r>
    </w:p>
    <w:p w:rsidR="00EE1979" w:rsidRPr="003D448B" w:rsidRDefault="00EE1979" w:rsidP="00EE1979">
      <w:pPr>
        <w:numPr>
          <w:ilvl w:val="0"/>
          <w:numId w:val="16"/>
        </w:numPr>
        <w:spacing w:before="120" w:after="0" w:line="240" w:lineRule="auto"/>
        <w:ind w:left="709" w:hanging="283"/>
        <w:contextualSpacing/>
        <w:jc w:val="both"/>
        <w:rPr>
          <w:rFonts w:ascii="Times New Roman" w:eastAsia="Calibri" w:hAnsi="Times New Roman" w:cs="Times New Roman"/>
          <w:strike/>
          <w:color w:val="000000"/>
          <w:sz w:val="24"/>
        </w:rPr>
      </w:pPr>
      <w:r>
        <w:rPr>
          <w:rFonts w:ascii="Times New Roman" w:eastAsia="Calibri" w:hAnsi="Times New Roman" w:cs="Times New Roman"/>
          <w:color w:val="000000"/>
          <w:sz w:val="24"/>
        </w:rPr>
        <w:t>2019.</w:t>
      </w:r>
      <w:r w:rsidRPr="003D448B">
        <w:rPr>
          <w:rFonts w:ascii="Times New Roman" w:eastAsia="Calibri" w:hAnsi="Times New Roman" w:cs="Times New Roman"/>
          <w:color w:val="000000"/>
          <w:sz w:val="24"/>
        </w:rPr>
        <w:t xml:space="preserve">gadā centrālās valdības budžetā pie nemainīgas politikas tiek plānots deficīts 0,9% apmērā </w:t>
      </w:r>
      <w:r>
        <w:rPr>
          <w:rFonts w:ascii="Times New Roman" w:eastAsia="Calibri" w:hAnsi="Times New Roman" w:cs="Times New Roman"/>
          <w:color w:val="000000"/>
          <w:sz w:val="24"/>
        </w:rPr>
        <w:t>no IKP, savukārt 2020. un 2021.</w:t>
      </w:r>
      <w:r w:rsidRPr="003D448B">
        <w:rPr>
          <w:rFonts w:ascii="Times New Roman" w:eastAsia="Calibri" w:hAnsi="Times New Roman" w:cs="Times New Roman"/>
          <w:color w:val="000000"/>
          <w:sz w:val="24"/>
        </w:rPr>
        <w:t xml:space="preserve">gadā deficīts 0,7% no IKP apmērā, bet 2022.gadā deficīts 0,1% apmērā no IKP. </w:t>
      </w:r>
      <w:r>
        <w:rPr>
          <w:rFonts w:ascii="Times New Roman" w:eastAsia="Calibri" w:hAnsi="Times New Roman" w:cs="Times New Roman"/>
          <w:color w:val="000000" w:themeColor="text1"/>
          <w:sz w:val="24"/>
        </w:rPr>
        <w:t>2019. un 2020.</w:t>
      </w:r>
      <w:r w:rsidRPr="003D448B">
        <w:rPr>
          <w:rFonts w:ascii="Times New Roman" w:eastAsia="Calibri" w:hAnsi="Times New Roman" w:cs="Times New Roman"/>
          <w:color w:val="000000" w:themeColor="text1"/>
          <w:sz w:val="24"/>
        </w:rPr>
        <w:t xml:space="preserve">gadā ieņēmumu pieaugumu nodrošinās ražošanas un importa nodokļi, ko pamatā noteiks pievienotās vērtības nodokļa un akcīzes nodokļa ieņēmumu pieaugums. </w:t>
      </w:r>
    </w:p>
    <w:p w:rsidR="00EE1979" w:rsidRPr="003D448B" w:rsidRDefault="00EE1979" w:rsidP="00EE1979">
      <w:pPr>
        <w:numPr>
          <w:ilvl w:val="0"/>
          <w:numId w:val="16"/>
        </w:numPr>
        <w:spacing w:before="120" w:after="0" w:line="240" w:lineRule="auto"/>
        <w:ind w:left="709" w:hanging="283"/>
        <w:contextualSpacing/>
        <w:jc w:val="both"/>
        <w:rPr>
          <w:rFonts w:ascii="Times New Roman" w:eastAsia="Calibri" w:hAnsi="Times New Roman" w:cs="Times New Roman"/>
          <w:color w:val="000000"/>
          <w:sz w:val="24"/>
        </w:rPr>
      </w:pPr>
      <w:r>
        <w:rPr>
          <w:rFonts w:ascii="Times New Roman" w:eastAsia="Calibri" w:hAnsi="Times New Roman" w:cs="Times New Roman"/>
          <w:color w:val="000000"/>
          <w:sz w:val="24"/>
        </w:rPr>
        <w:t>2019.</w:t>
      </w:r>
      <w:r w:rsidRPr="003D448B">
        <w:rPr>
          <w:rFonts w:ascii="Times New Roman" w:eastAsia="Calibri" w:hAnsi="Times New Roman" w:cs="Times New Roman"/>
          <w:color w:val="000000"/>
          <w:sz w:val="24"/>
        </w:rPr>
        <w:t>gadā centrālās valdības budž</w:t>
      </w:r>
      <w:r>
        <w:rPr>
          <w:rFonts w:ascii="Times New Roman" w:eastAsia="Calibri" w:hAnsi="Times New Roman" w:cs="Times New Roman"/>
          <w:color w:val="000000"/>
          <w:sz w:val="24"/>
        </w:rPr>
        <w:t>etā sagaidāms mērenāks kā 2018.</w:t>
      </w:r>
      <w:r w:rsidRPr="003D448B">
        <w:rPr>
          <w:rFonts w:ascii="Times New Roman" w:eastAsia="Calibri" w:hAnsi="Times New Roman" w:cs="Times New Roman"/>
          <w:color w:val="000000"/>
          <w:sz w:val="24"/>
        </w:rPr>
        <w:t>gadā ieņēmumu un izdevumu pieaugums. Nodokļu ieņēmumu pieauguma apmērs vidējā termiņā ir svārstīgs gadu griezumā, ko nosaka plašās izmaiņas likumdošanā saistībā ar apstiprinātajiem nodokļu reformas pasākumiem. Jāatzīmē, ka uzņēmumu ienākuma nodokļa avansa maksājumu atcelšana būtiski ietekmēs uzņēmumu ienākuma n</w:t>
      </w:r>
      <w:r>
        <w:rPr>
          <w:rFonts w:ascii="Times New Roman" w:eastAsia="Calibri" w:hAnsi="Times New Roman" w:cs="Times New Roman"/>
          <w:color w:val="000000"/>
          <w:sz w:val="24"/>
        </w:rPr>
        <w:t>odokļa ieņēmumu apjomu 2019.gadā, tiem, salīdzinot ar 2018.</w:t>
      </w:r>
      <w:r w:rsidRPr="003D448B">
        <w:rPr>
          <w:rFonts w:ascii="Times New Roman" w:eastAsia="Calibri" w:hAnsi="Times New Roman" w:cs="Times New Roman"/>
          <w:color w:val="000000"/>
          <w:sz w:val="24"/>
        </w:rPr>
        <w:t xml:space="preserve">gada uzņēmumu ienākuma nodokļa ieņēmumu apjomu, sarūkot par trešdaļu. </w:t>
      </w:r>
      <w:r>
        <w:rPr>
          <w:rFonts w:ascii="Times New Roman" w:eastAsia="Calibri" w:hAnsi="Times New Roman" w:cs="Times New Roman"/>
          <w:sz w:val="24"/>
          <w:szCs w:val="24"/>
        </w:rPr>
        <w:t>I</w:t>
      </w:r>
      <w:r w:rsidRPr="003D448B">
        <w:rPr>
          <w:rFonts w:ascii="Times New Roman" w:eastAsia="Calibri" w:hAnsi="Times New Roman" w:cs="Times New Roman"/>
          <w:sz w:val="24"/>
          <w:szCs w:val="24"/>
        </w:rPr>
        <w:t>eņēmumu pieaugumu tempu turpinās ietekmēt prognozētais samazinājums ieņēmumos no īpašuma, ko galvenokārt veido saņemtie maksājumi par valsts kapitāla izmantošanu, kas skaid</w:t>
      </w:r>
      <w:r>
        <w:rPr>
          <w:rFonts w:ascii="Times New Roman" w:eastAsia="Calibri" w:hAnsi="Times New Roman" w:cs="Times New Roman"/>
          <w:sz w:val="24"/>
          <w:szCs w:val="24"/>
        </w:rPr>
        <w:t>rojams ar to, ka 2021. un 2022.</w:t>
      </w:r>
      <w:r w:rsidRPr="003D448B">
        <w:rPr>
          <w:rFonts w:ascii="Times New Roman" w:eastAsia="Calibri" w:hAnsi="Times New Roman" w:cs="Times New Roman"/>
          <w:sz w:val="24"/>
          <w:szCs w:val="24"/>
        </w:rPr>
        <w:t>gada prognozēs nav ieplānotas dividendes no AS “Latvenergo”.</w:t>
      </w:r>
    </w:p>
    <w:p w:rsidR="00EE1979" w:rsidRPr="003D448B" w:rsidRDefault="00EE1979" w:rsidP="00EE1979">
      <w:pPr>
        <w:numPr>
          <w:ilvl w:val="0"/>
          <w:numId w:val="16"/>
        </w:numPr>
        <w:spacing w:before="120" w:after="0" w:line="240" w:lineRule="auto"/>
        <w:ind w:left="709" w:hanging="283"/>
        <w:contextualSpacing/>
        <w:jc w:val="both"/>
        <w:rPr>
          <w:rFonts w:ascii="Times New Roman" w:eastAsia="Calibri" w:hAnsi="Times New Roman" w:cs="Times New Roman"/>
          <w:color w:val="000000"/>
          <w:sz w:val="24"/>
        </w:rPr>
      </w:pPr>
      <w:r w:rsidRPr="003D448B">
        <w:rPr>
          <w:rFonts w:ascii="Times New Roman" w:eastAsia="Calibri" w:hAnsi="Times New Roman" w:cs="Times New Roman"/>
          <w:color w:val="000000"/>
          <w:sz w:val="24"/>
        </w:rPr>
        <w:t>Ārvalstu finanšu palīdzības ieņēmumos pēc relatīvi zemāka</w:t>
      </w:r>
      <w:r>
        <w:rPr>
          <w:rFonts w:ascii="Times New Roman" w:eastAsia="Calibri" w:hAnsi="Times New Roman" w:cs="Times New Roman"/>
          <w:color w:val="000000"/>
          <w:sz w:val="24"/>
        </w:rPr>
        <w:t xml:space="preserve"> ieņēmumu līmeņa 2016. un 2017.</w:t>
      </w:r>
      <w:r w:rsidRPr="003D448B">
        <w:rPr>
          <w:rFonts w:ascii="Times New Roman" w:eastAsia="Calibri" w:hAnsi="Times New Roman" w:cs="Times New Roman"/>
          <w:color w:val="000000"/>
          <w:sz w:val="24"/>
        </w:rPr>
        <w:t>gadā, kas skaidroj</w:t>
      </w:r>
      <w:r>
        <w:rPr>
          <w:rFonts w:ascii="Times New Roman" w:eastAsia="Calibri" w:hAnsi="Times New Roman" w:cs="Times New Roman"/>
          <w:color w:val="000000"/>
          <w:sz w:val="24"/>
        </w:rPr>
        <w:t>ams ar iepriekšējā 2007.</w:t>
      </w:r>
      <w:r w:rsidRPr="00382EED">
        <w:rPr>
          <w:rFonts w:ascii="Times New Roman" w:eastAsia="Calibri" w:hAnsi="Times New Roman"/>
          <w:color w:val="000000"/>
          <w:szCs w:val="24"/>
        </w:rPr>
        <w:t xml:space="preserve"> </w:t>
      </w:r>
      <w:r>
        <w:rPr>
          <w:rFonts w:ascii="Times New Roman" w:eastAsia="Calibri" w:hAnsi="Times New Roman"/>
          <w:color w:val="000000"/>
          <w:szCs w:val="24"/>
        </w:rPr>
        <w:t xml:space="preserve">– </w:t>
      </w:r>
      <w:r>
        <w:rPr>
          <w:rFonts w:ascii="Times New Roman" w:eastAsia="Calibri" w:hAnsi="Times New Roman" w:cs="Times New Roman"/>
          <w:color w:val="000000"/>
          <w:sz w:val="24"/>
        </w:rPr>
        <w:t>2013.</w:t>
      </w:r>
      <w:r w:rsidRPr="003D448B">
        <w:rPr>
          <w:rFonts w:ascii="Times New Roman" w:eastAsia="Calibri" w:hAnsi="Times New Roman" w:cs="Times New Roman"/>
          <w:color w:val="000000"/>
          <w:sz w:val="24"/>
        </w:rPr>
        <w:t>gada ES fondu plānošanas perioda</w:t>
      </w:r>
      <w:r>
        <w:rPr>
          <w:rFonts w:ascii="Times New Roman" w:eastAsia="Calibri" w:hAnsi="Times New Roman" w:cs="Times New Roman"/>
          <w:color w:val="000000"/>
          <w:sz w:val="24"/>
        </w:rPr>
        <w:t xml:space="preserve"> noslēgumu un jaunā 2014.</w:t>
      </w:r>
      <w:r w:rsidRPr="00382EED">
        <w:rPr>
          <w:rFonts w:ascii="Times New Roman" w:eastAsia="Calibri" w:hAnsi="Times New Roman"/>
          <w:color w:val="000000"/>
          <w:szCs w:val="24"/>
        </w:rPr>
        <w:t xml:space="preserve"> </w:t>
      </w:r>
      <w:r>
        <w:rPr>
          <w:rFonts w:ascii="Times New Roman" w:eastAsia="Calibri" w:hAnsi="Times New Roman"/>
          <w:color w:val="000000"/>
          <w:szCs w:val="24"/>
        </w:rPr>
        <w:t xml:space="preserve">– </w:t>
      </w:r>
      <w:r>
        <w:rPr>
          <w:rFonts w:ascii="Times New Roman" w:eastAsia="Calibri" w:hAnsi="Times New Roman" w:cs="Times New Roman"/>
          <w:color w:val="000000"/>
          <w:sz w:val="24"/>
        </w:rPr>
        <w:t>2020.</w:t>
      </w:r>
      <w:r w:rsidRPr="003D448B">
        <w:rPr>
          <w:rFonts w:ascii="Times New Roman" w:eastAsia="Calibri" w:hAnsi="Times New Roman" w:cs="Times New Roman"/>
          <w:color w:val="000000"/>
          <w:sz w:val="24"/>
        </w:rPr>
        <w:t>gada p</w:t>
      </w:r>
      <w:r>
        <w:rPr>
          <w:rFonts w:ascii="Times New Roman" w:eastAsia="Calibri" w:hAnsi="Times New Roman" w:cs="Times New Roman"/>
          <w:color w:val="000000"/>
          <w:sz w:val="24"/>
        </w:rPr>
        <w:t>lānošanas perioda sākumu, 2018.</w:t>
      </w:r>
      <w:r w:rsidRPr="003D448B">
        <w:rPr>
          <w:rFonts w:ascii="Times New Roman" w:eastAsia="Calibri" w:hAnsi="Times New Roman" w:cs="Times New Roman"/>
          <w:color w:val="000000"/>
          <w:sz w:val="24"/>
        </w:rPr>
        <w:t>gadā bija vērojams straujāk</w:t>
      </w:r>
      <w:r>
        <w:rPr>
          <w:rFonts w:ascii="Times New Roman" w:eastAsia="Calibri" w:hAnsi="Times New Roman" w:cs="Times New Roman"/>
          <w:color w:val="000000"/>
          <w:sz w:val="24"/>
        </w:rPr>
        <w:t>s palielinājums. Turpretī 2019.</w:t>
      </w:r>
      <w:r w:rsidRPr="003D448B">
        <w:rPr>
          <w:rFonts w:ascii="Times New Roman" w:eastAsia="Calibri" w:hAnsi="Times New Roman" w:cs="Times New Roman"/>
          <w:color w:val="000000"/>
          <w:sz w:val="24"/>
        </w:rPr>
        <w:t>gadā sagaidāms, ka ārvalstu finanšu palīdzības ieņēmumi būs tika</w:t>
      </w:r>
      <w:r>
        <w:rPr>
          <w:rFonts w:ascii="Times New Roman" w:eastAsia="Calibri" w:hAnsi="Times New Roman" w:cs="Times New Roman"/>
          <w:color w:val="000000"/>
          <w:sz w:val="24"/>
        </w:rPr>
        <w:t>i nedaudz augstāki kā 2018.</w:t>
      </w:r>
      <w:r w:rsidRPr="003D448B">
        <w:rPr>
          <w:rFonts w:ascii="Times New Roman" w:eastAsia="Calibri" w:hAnsi="Times New Roman" w:cs="Times New Roman"/>
          <w:color w:val="000000"/>
          <w:sz w:val="24"/>
        </w:rPr>
        <w:t>gadā.</w:t>
      </w:r>
      <w:r w:rsidRPr="003D448B">
        <w:rPr>
          <w:rFonts w:ascii="Times New Roman" w:eastAsia="Calibri" w:hAnsi="Times New Roman" w:cs="Times New Roman"/>
          <w:sz w:val="24"/>
          <w:szCs w:val="24"/>
        </w:rPr>
        <w:t xml:space="preserve"> </w:t>
      </w:r>
    </w:p>
    <w:p w:rsidR="00EE1979" w:rsidRPr="003D448B" w:rsidRDefault="00EE1979" w:rsidP="00EE1979">
      <w:pPr>
        <w:numPr>
          <w:ilvl w:val="0"/>
          <w:numId w:val="16"/>
        </w:numPr>
        <w:spacing w:before="120" w:after="0" w:line="240" w:lineRule="auto"/>
        <w:ind w:left="709" w:hanging="283"/>
        <w:contextualSpacing/>
        <w:jc w:val="both"/>
        <w:rPr>
          <w:rFonts w:ascii="Times New Roman" w:eastAsia="Calibri" w:hAnsi="Times New Roman" w:cs="Times New Roman"/>
          <w:color w:val="000000"/>
          <w:sz w:val="24"/>
        </w:rPr>
      </w:pPr>
      <w:r w:rsidRPr="003D448B">
        <w:rPr>
          <w:rFonts w:ascii="Times New Roman" w:eastAsia="Calibri" w:hAnsi="Times New Roman" w:cs="Times New Roman"/>
          <w:color w:val="000000"/>
          <w:sz w:val="24"/>
        </w:rPr>
        <w:t>Izdevumu pieaugumu centrālās valdības budžetā sekmē atalgojuma</w:t>
      </w:r>
      <w:r>
        <w:rPr>
          <w:rFonts w:ascii="Times New Roman" w:eastAsia="Calibri" w:hAnsi="Times New Roman" w:cs="Times New Roman"/>
          <w:color w:val="000000"/>
          <w:sz w:val="24"/>
        </w:rPr>
        <w:t xml:space="preserve"> celšana mediķiem, kā arī 2019.</w:t>
      </w:r>
      <w:r w:rsidRPr="003D448B">
        <w:rPr>
          <w:rFonts w:ascii="Times New Roman" w:eastAsia="Calibri" w:hAnsi="Times New Roman" w:cs="Times New Roman"/>
          <w:color w:val="000000"/>
          <w:sz w:val="24"/>
        </w:rPr>
        <w:t xml:space="preserve">gadā vienreizēju </w:t>
      </w:r>
      <w:r w:rsidRPr="003D448B">
        <w:rPr>
          <w:rFonts w:ascii="Times New Roman" w:eastAsia="Calibri" w:hAnsi="Times New Roman" w:cs="Times New Roman"/>
          <w:sz w:val="24"/>
        </w:rPr>
        <w:t xml:space="preserve">pabalstu </w:t>
      </w:r>
      <w:r w:rsidRPr="003D448B">
        <w:rPr>
          <w:rFonts w:ascii="Times New Roman" w:eastAsia="Calibri" w:hAnsi="Times New Roman" w:cs="Times New Roman"/>
          <w:noProof/>
          <w:sz w:val="24"/>
        </w:rPr>
        <w:t>izmaksa iekšlietu un</w:t>
      </w:r>
      <w:r w:rsidRPr="003D448B">
        <w:rPr>
          <w:rFonts w:ascii="Times New Roman" w:eastAsia="Calibri" w:hAnsi="Times New Roman" w:cs="Times New Roman"/>
          <w:sz w:val="24"/>
        </w:rPr>
        <w:t xml:space="preserve"> arī tieslietu resora amatpersonām ar speciālajām dienesta pakāpēm pēc katriem pieciem nepārtrauktas izdienas gadiem</w:t>
      </w:r>
      <w:r w:rsidRPr="003D448B">
        <w:rPr>
          <w:rFonts w:ascii="Times New Roman" w:eastAsia="Calibri" w:hAnsi="Times New Roman" w:cs="Times New Roman"/>
          <w:color w:val="000000"/>
          <w:sz w:val="24"/>
        </w:rPr>
        <w:t xml:space="preserve">. </w:t>
      </w:r>
      <w:r w:rsidRPr="003D448B">
        <w:rPr>
          <w:rFonts w:ascii="Times New Roman" w:eastAsia="Calibri" w:hAnsi="Times New Roman" w:cs="Times New Roman"/>
          <w:sz w:val="24"/>
          <w:szCs w:val="24"/>
        </w:rPr>
        <w:t xml:space="preserve">Lai nodrošinātu </w:t>
      </w:r>
      <w:r w:rsidRPr="003D448B">
        <w:rPr>
          <w:rFonts w:ascii="Times New Roman" w:eastAsia="Calibri" w:hAnsi="Times New Roman" w:cs="Times New Roman"/>
          <w:color w:val="000000"/>
          <w:sz w:val="24"/>
        </w:rPr>
        <w:t>veselības nozares finansējuma palielinājumu, tostarp mediķ</w:t>
      </w:r>
      <w:r>
        <w:rPr>
          <w:rFonts w:ascii="Times New Roman" w:eastAsia="Calibri" w:hAnsi="Times New Roman" w:cs="Times New Roman"/>
          <w:color w:val="000000"/>
          <w:sz w:val="24"/>
        </w:rPr>
        <w:t>u atalgojuma celšanai, no 2018.</w:t>
      </w:r>
      <w:r w:rsidRPr="003D448B">
        <w:rPr>
          <w:rFonts w:ascii="Times New Roman" w:eastAsia="Calibri" w:hAnsi="Times New Roman" w:cs="Times New Roman"/>
          <w:color w:val="000000"/>
          <w:sz w:val="24"/>
        </w:rPr>
        <w:t>gada par 1</w:t>
      </w:r>
      <w:r>
        <w:rPr>
          <w:rFonts w:ascii="Times New Roman" w:eastAsia="Calibri" w:hAnsi="Times New Roman" w:cs="Times New Roman"/>
          <w:color w:val="000000"/>
          <w:sz w:val="24"/>
        </w:rPr>
        <w:t xml:space="preserve"> </w:t>
      </w:r>
      <w:r w:rsidRPr="003D448B">
        <w:rPr>
          <w:rFonts w:ascii="Times New Roman" w:eastAsia="Calibri" w:hAnsi="Times New Roman" w:cs="Times New Roman"/>
          <w:color w:val="000000"/>
          <w:sz w:val="24"/>
        </w:rPr>
        <w:t>procentpunktu tika palielināta VSAOI likme, attiecīgos papildus ieņēmumus novirzot veselības nozares finansēšanai. Tādējādi, no VSAOI likmes palielinā</w:t>
      </w:r>
      <w:r>
        <w:rPr>
          <w:rFonts w:ascii="Times New Roman" w:eastAsia="Calibri" w:hAnsi="Times New Roman" w:cs="Times New Roman"/>
          <w:color w:val="000000"/>
          <w:sz w:val="24"/>
        </w:rPr>
        <w:t>šanas, papildus ieņēmumos 2018.</w:t>
      </w:r>
      <w:r w:rsidRPr="003D448B">
        <w:rPr>
          <w:rFonts w:ascii="Times New Roman" w:eastAsia="Calibri" w:hAnsi="Times New Roman" w:cs="Times New Roman"/>
          <w:color w:val="000000"/>
          <w:sz w:val="24"/>
        </w:rPr>
        <w:t xml:space="preserve">gadā saņemti un veselības nozarei novirzīti 85,6 milj. </w:t>
      </w:r>
      <w:r w:rsidRPr="008C102F">
        <w:rPr>
          <w:rFonts w:ascii="Times New Roman" w:eastAsia="Calibri" w:hAnsi="Times New Roman" w:cs="Times New Roman"/>
          <w:i/>
          <w:color w:val="000000"/>
          <w:sz w:val="24"/>
          <w:szCs w:val="24"/>
        </w:rPr>
        <w:t>euro</w:t>
      </w:r>
      <w:r>
        <w:rPr>
          <w:rFonts w:ascii="Times New Roman" w:eastAsia="Calibri" w:hAnsi="Times New Roman" w:cs="Times New Roman"/>
          <w:color w:val="000000"/>
          <w:sz w:val="24"/>
        </w:rPr>
        <w:t>, bet 2019.</w:t>
      </w:r>
      <w:r w:rsidRPr="003D448B">
        <w:rPr>
          <w:rFonts w:ascii="Times New Roman" w:eastAsia="Calibri" w:hAnsi="Times New Roman" w:cs="Times New Roman"/>
          <w:color w:val="000000"/>
          <w:sz w:val="24"/>
        </w:rPr>
        <w:t xml:space="preserve">gadā pamatbudžetā no VSAOI ieņēmumiem tiks saņemti vēl 97,8 milj. </w:t>
      </w:r>
      <w:r w:rsidRPr="008C102F">
        <w:rPr>
          <w:rFonts w:ascii="Times New Roman" w:eastAsia="Calibri" w:hAnsi="Times New Roman" w:cs="Times New Roman"/>
          <w:i/>
          <w:color w:val="000000"/>
          <w:sz w:val="24"/>
          <w:szCs w:val="24"/>
        </w:rPr>
        <w:t>euro</w:t>
      </w:r>
      <w:r w:rsidRPr="003D448B">
        <w:rPr>
          <w:rFonts w:ascii="Times New Roman" w:eastAsia="Calibri" w:hAnsi="Times New Roman" w:cs="Times New Roman"/>
          <w:color w:val="000000"/>
          <w:sz w:val="24"/>
        </w:rPr>
        <w:t xml:space="preserve">. </w:t>
      </w:r>
    </w:p>
    <w:p w:rsidR="00EE1979" w:rsidRPr="003D448B" w:rsidRDefault="00EE1979" w:rsidP="00EE1979">
      <w:pPr>
        <w:numPr>
          <w:ilvl w:val="0"/>
          <w:numId w:val="16"/>
        </w:numPr>
        <w:spacing w:before="120" w:after="0" w:line="240" w:lineRule="auto"/>
        <w:ind w:left="709" w:hanging="283"/>
        <w:contextualSpacing/>
        <w:jc w:val="both"/>
        <w:rPr>
          <w:rFonts w:ascii="Times New Roman" w:eastAsia="Calibri" w:hAnsi="Times New Roman" w:cs="Times New Roman"/>
          <w:color w:val="000000"/>
          <w:sz w:val="24"/>
        </w:rPr>
      </w:pPr>
      <w:r w:rsidRPr="003D448B">
        <w:rPr>
          <w:rFonts w:ascii="Times New Roman" w:eastAsia="Calibri" w:hAnsi="Times New Roman" w:cs="Times New Roman"/>
          <w:color w:val="000000"/>
          <w:sz w:val="24"/>
        </w:rPr>
        <w:t>Kapitālie izdevumi centrālās val</w:t>
      </w:r>
      <w:r>
        <w:rPr>
          <w:rFonts w:ascii="Times New Roman" w:eastAsia="Calibri" w:hAnsi="Times New Roman" w:cs="Times New Roman"/>
          <w:color w:val="000000"/>
          <w:sz w:val="24"/>
        </w:rPr>
        <w:t>dības budžetā 2019.</w:t>
      </w:r>
      <w:r w:rsidRPr="003D448B">
        <w:rPr>
          <w:rFonts w:ascii="Times New Roman" w:eastAsia="Calibri" w:hAnsi="Times New Roman" w:cs="Times New Roman"/>
          <w:color w:val="000000"/>
          <w:sz w:val="24"/>
        </w:rPr>
        <w:t xml:space="preserve">gadā un turpmāk turpinās pieaugt, ko pozitīvi ietekmēs  izdevumu aizsardzībai nodrošināšana 2% no IKP līmenī. Vidējā termiņā palielinās arī izdevumi iemaksām ES budžetā, kas saistāms ar IKP pieauguma </w:t>
      </w:r>
      <w:r>
        <w:rPr>
          <w:rFonts w:ascii="Times New Roman" w:eastAsia="Calibri" w:hAnsi="Times New Roman" w:cs="Times New Roman"/>
          <w:color w:val="000000"/>
          <w:sz w:val="24"/>
        </w:rPr>
        <w:t>apmēru. Procentu izdevumi valsts pamatbudžetā 2019.</w:t>
      </w:r>
      <w:r w:rsidRPr="003D448B">
        <w:rPr>
          <w:rFonts w:ascii="Times New Roman" w:eastAsia="Calibri" w:hAnsi="Times New Roman" w:cs="Times New Roman"/>
          <w:color w:val="000000"/>
          <w:sz w:val="24"/>
        </w:rPr>
        <w:t>gadā</w:t>
      </w:r>
      <w:r>
        <w:rPr>
          <w:rFonts w:ascii="Times New Roman" w:eastAsia="Calibri" w:hAnsi="Times New Roman" w:cs="Times New Roman"/>
          <w:color w:val="000000"/>
          <w:sz w:val="24"/>
        </w:rPr>
        <w:t xml:space="preserve"> samazināsies, ņemot vērā 2018.</w:t>
      </w:r>
      <w:r w:rsidRPr="003D448B">
        <w:rPr>
          <w:rFonts w:ascii="Times New Roman" w:eastAsia="Calibri" w:hAnsi="Times New Roman" w:cs="Times New Roman"/>
          <w:color w:val="000000"/>
          <w:sz w:val="24"/>
        </w:rPr>
        <w:t xml:space="preserve">gadā veikto aizņemšanos, pārfinansējot iepriekš uzņemtās valsts parāda saistības par zemākām procentu </w:t>
      </w:r>
      <w:r w:rsidRPr="003D448B">
        <w:rPr>
          <w:rFonts w:ascii="Times New Roman" w:eastAsia="Calibri" w:hAnsi="Times New Roman" w:cs="Times New Roman"/>
          <w:color w:val="000000"/>
          <w:sz w:val="24"/>
        </w:rPr>
        <w:lastRenderedPageBreak/>
        <w:t xml:space="preserve">likmēm, kā arī aktualizējot vidējā termiņā plānotos aizņemšanās pasākumus finanšu tirgos. </w:t>
      </w:r>
    </w:p>
    <w:p w:rsidR="00EE1979" w:rsidRPr="003D448B" w:rsidRDefault="00EE1979" w:rsidP="00EE1979">
      <w:pPr>
        <w:numPr>
          <w:ilvl w:val="0"/>
          <w:numId w:val="16"/>
        </w:numPr>
        <w:spacing w:before="120" w:after="0" w:line="240" w:lineRule="auto"/>
        <w:ind w:left="709" w:hanging="283"/>
        <w:contextualSpacing/>
        <w:jc w:val="both"/>
        <w:rPr>
          <w:rFonts w:ascii="Times New Roman" w:eastAsia="Calibri" w:hAnsi="Times New Roman" w:cs="Times New Roman"/>
          <w:color w:val="000000"/>
          <w:sz w:val="24"/>
        </w:rPr>
      </w:pPr>
      <w:r>
        <w:rPr>
          <w:rFonts w:ascii="Times New Roman" w:eastAsia="Calibri" w:hAnsi="Times New Roman" w:cs="Times New Roman"/>
          <w:sz w:val="24"/>
          <w:szCs w:val="24"/>
        </w:rPr>
        <w:t>2018.</w:t>
      </w:r>
      <w:r w:rsidRPr="003D448B">
        <w:rPr>
          <w:rFonts w:ascii="Times New Roman" w:eastAsia="Calibri" w:hAnsi="Times New Roman" w:cs="Times New Roman"/>
          <w:sz w:val="24"/>
          <w:szCs w:val="24"/>
        </w:rPr>
        <w:t xml:space="preserve">gadā </w:t>
      </w:r>
      <w:r w:rsidRPr="003D448B">
        <w:rPr>
          <w:rFonts w:ascii="Times New Roman" w:eastAsia="Calibri" w:hAnsi="Times New Roman" w:cs="Times New Roman"/>
          <w:color w:val="000000"/>
          <w:sz w:val="24"/>
        </w:rPr>
        <w:t xml:space="preserve">ES fondu investīcijas </w:t>
      </w:r>
      <w:r>
        <w:rPr>
          <w:rFonts w:ascii="Times New Roman" w:eastAsia="Calibri" w:hAnsi="Times New Roman" w:cs="Times New Roman"/>
          <w:color w:val="000000"/>
          <w:sz w:val="24"/>
        </w:rPr>
        <w:t>valsts pamatbudžetā</w:t>
      </w:r>
      <w:r w:rsidRPr="003D448B">
        <w:rPr>
          <w:rFonts w:ascii="Times New Roman" w:eastAsia="Calibri" w:hAnsi="Times New Roman" w:cs="Times New Roman"/>
          <w:color w:val="000000"/>
          <w:sz w:val="24"/>
        </w:rPr>
        <w:t xml:space="preserve"> veiktas pēdējos gados augstākajā līmenī (</w:t>
      </w:r>
      <w:r>
        <w:rPr>
          <w:rFonts w:ascii="Times New Roman" w:eastAsia="Calibri" w:hAnsi="Times New Roman" w:cs="Times New Roman"/>
          <w:color w:val="000000"/>
          <w:sz w:val="24"/>
        </w:rPr>
        <w:t xml:space="preserve">719 milj. </w:t>
      </w:r>
      <w:r w:rsidRPr="008C102F">
        <w:rPr>
          <w:rFonts w:ascii="Times New Roman" w:eastAsia="Calibri" w:hAnsi="Times New Roman" w:cs="Times New Roman"/>
          <w:i/>
          <w:color w:val="000000"/>
          <w:sz w:val="24"/>
          <w:szCs w:val="24"/>
        </w:rPr>
        <w:t>euro</w:t>
      </w:r>
      <w:r>
        <w:rPr>
          <w:rFonts w:ascii="Times New Roman" w:eastAsia="Calibri" w:hAnsi="Times New Roman" w:cs="Times New Roman"/>
          <w:color w:val="000000"/>
          <w:sz w:val="24"/>
        </w:rPr>
        <w:t>), savukārt 2019.</w:t>
      </w:r>
      <w:r w:rsidRPr="003D448B">
        <w:rPr>
          <w:rFonts w:ascii="Times New Roman" w:eastAsia="Calibri" w:hAnsi="Times New Roman" w:cs="Times New Roman"/>
          <w:color w:val="000000"/>
          <w:sz w:val="24"/>
        </w:rPr>
        <w:t>gadā un visā vidējā termiņā ES fondu investīciju pieaugums netiek prognozēts, to apmēri</w:t>
      </w:r>
      <w:r>
        <w:rPr>
          <w:rFonts w:ascii="Times New Roman" w:eastAsia="Calibri" w:hAnsi="Times New Roman" w:cs="Times New Roman"/>
          <w:color w:val="000000"/>
          <w:sz w:val="24"/>
        </w:rPr>
        <w:t>em saglabājoties aptuveni 2018.</w:t>
      </w:r>
      <w:r w:rsidRPr="003D448B">
        <w:rPr>
          <w:rFonts w:ascii="Times New Roman" w:eastAsia="Calibri" w:hAnsi="Times New Roman" w:cs="Times New Roman"/>
          <w:color w:val="000000"/>
          <w:sz w:val="24"/>
        </w:rPr>
        <w:t>gada līmenī.</w:t>
      </w:r>
    </w:p>
    <w:p w:rsidR="00EE1979" w:rsidRPr="003D448B" w:rsidRDefault="00EE1979" w:rsidP="00EE1979">
      <w:pPr>
        <w:numPr>
          <w:ilvl w:val="0"/>
          <w:numId w:val="16"/>
        </w:numPr>
        <w:spacing w:before="120" w:after="0" w:line="240" w:lineRule="auto"/>
        <w:ind w:left="709" w:hanging="283"/>
        <w:contextualSpacing/>
        <w:jc w:val="both"/>
        <w:rPr>
          <w:rFonts w:ascii="Times New Roman" w:eastAsia="Calibri" w:hAnsi="Times New Roman" w:cs="Times New Roman"/>
          <w:color w:val="000000"/>
          <w:sz w:val="24"/>
        </w:rPr>
      </w:pPr>
      <w:r>
        <w:rPr>
          <w:rFonts w:ascii="Times New Roman" w:eastAsia="Calibri" w:hAnsi="Times New Roman" w:cs="Times New Roman"/>
          <w:color w:val="000000"/>
          <w:sz w:val="24"/>
        </w:rPr>
        <w:t>2022.</w:t>
      </w:r>
      <w:r w:rsidRPr="003D448B">
        <w:rPr>
          <w:rFonts w:ascii="Times New Roman" w:eastAsia="Calibri" w:hAnsi="Times New Roman" w:cs="Times New Roman"/>
          <w:color w:val="000000"/>
          <w:sz w:val="24"/>
        </w:rPr>
        <w:t>gadā centrālās valdības budžetā tiek plānots, ka kopējais izdevumu apmērs nomināli saglabāsies aptuveni 2021. gada līmenī. Tas skaidroja</w:t>
      </w:r>
      <w:r>
        <w:rPr>
          <w:rFonts w:ascii="Times New Roman" w:eastAsia="Calibri" w:hAnsi="Times New Roman" w:cs="Times New Roman"/>
          <w:color w:val="000000"/>
          <w:sz w:val="24"/>
        </w:rPr>
        <w:t>ms ar to, ka attiecībā uz 2022.</w:t>
      </w:r>
      <w:r w:rsidRPr="003D448B">
        <w:rPr>
          <w:rFonts w:ascii="Times New Roman" w:eastAsia="Calibri" w:hAnsi="Times New Roman" w:cs="Times New Roman"/>
          <w:color w:val="000000"/>
          <w:sz w:val="24"/>
        </w:rPr>
        <w:t>gadu šobrīd nav pieņemti saistoši lēmumi par papildus resursu piešķiršanu. Vienlaikus izdevumi aizsardzī</w:t>
      </w:r>
      <w:r>
        <w:rPr>
          <w:rFonts w:ascii="Times New Roman" w:eastAsia="Calibri" w:hAnsi="Times New Roman" w:cs="Times New Roman"/>
          <w:color w:val="000000"/>
          <w:sz w:val="24"/>
        </w:rPr>
        <w:t>bai arī 2022.</w:t>
      </w:r>
      <w:r w:rsidRPr="003D448B">
        <w:rPr>
          <w:rFonts w:ascii="Times New Roman" w:eastAsia="Calibri" w:hAnsi="Times New Roman" w:cs="Times New Roman"/>
          <w:color w:val="000000"/>
          <w:sz w:val="24"/>
        </w:rPr>
        <w:t>gadā tiek prognozēti 2% no IKP līmenī. Centrālās valdības budžeta bilance pie nemainīgas</w:t>
      </w:r>
      <w:r>
        <w:rPr>
          <w:rFonts w:ascii="Times New Roman" w:eastAsia="Calibri" w:hAnsi="Times New Roman" w:cs="Times New Roman"/>
          <w:color w:val="000000"/>
          <w:sz w:val="24"/>
        </w:rPr>
        <w:t xml:space="preserve"> politikas, salīdzinot ar 2021.</w:t>
      </w:r>
      <w:r w:rsidRPr="003D448B">
        <w:rPr>
          <w:rFonts w:ascii="Times New Roman" w:eastAsia="Calibri" w:hAnsi="Times New Roman" w:cs="Times New Roman"/>
          <w:color w:val="000000"/>
          <w:sz w:val="24"/>
        </w:rPr>
        <w:t>gadu, būtiski uzlabosies.</w:t>
      </w:r>
    </w:p>
    <w:p w:rsidR="00EE1979" w:rsidRPr="003D448B" w:rsidRDefault="00EE1979" w:rsidP="00EE1979">
      <w:pPr>
        <w:spacing w:after="120" w:line="240" w:lineRule="auto"/>
        <w:ind w:left="709" w:hanging="283"/>
        <w:jc w:val="both"/>
        <w:rPr>
          <w:rFonts w:ascii="Times New Roman" w:eastAsia="Times New Roman" w:hAnsi="Times New Roman" w:cs="Times New Roman"/>
          <w:b/>
          <w:sz w:val="24"/>
          <w:szCs w:val="24"/>
        </w:rPr>
      </w:pPr>
    </w:p>
    <w:p w:rsidR="00EE1979" w:rsidRPr="003D448B" w:rsidRDefault="00EE1979" w:rsidP="00EE1979">
      <w:pPr>
        <w:spacing w:after="0" w:line="240" w:lineRule="auto"/>
        <w:ind w:left="709"/>
        <w:jc w:val="both"/>
        <w:rPr>
          <w:rFonts w:ascii="Times New Roman" w:eastAsia="Times New Roman" w:hAnsi="Times New Roman" w:cs="Times New Roman"/>
          <w:sz w:val="24"/>
          <w:szCs w:val="24"/>
        </w:rPr>
      </w:pPr>
      <w:r w:rsidRPr="003D448B">
        <w:rPr>
          <w:rFonts w:ascii="Times New Roman" w:eastAsia="Times New Roman" w:hAnsi="Times New Roman" w:cs="Times New Roman"/>
          <w:b/>
          <w:sz w:val="24"/>
          <w:szCs w:val="24"/>
        </w:rPr>
        <w:t>Sociālās nodrošināšanas fondā:</w:t>
      </w:r>
      <w:r w:rsidRPr="003D448B">
        <w:rPr>
          <w:rFonts w:ascii="Times New Roman" w:eastAsia="Times New Roman" w:hAnsi="Times New Roman" w:cs="Times New Roman"/>
          <w:sz w:val="24"/>
          <w:szCs w:val="24"/>
        </w:rPr>
        <w:t xml:space="preserve"> </w:t>
      </w:r>
    </w:p>
    <w:p w:rsidR="00EE1979" w:rsidRPr="003D448B" w:rsidRDefault="00EE1979" w:rsidP="00EE1979">
      <w:pPr>
        <w:numPr>
          <w:ilvl w:val="0"/>
          <w:numId w:val="16"/>
        </w:numPr>
        <w:spacing w:after="120" w:line="240" w:lineRule="auto"/>
        <w:ind w:left="709" w:hanging="283"/>
        <w:contextualSpacing/>
        <w:jc w:val="both"/>
        <w:rPr>
          <w:rFonts w:ascii="Times New Roman" w:eastAsia="Calibri" w:hAnsi="Times New Roman" w:cs="Times New Roman"/>
          <w:color w:val="000000" w:themeColor="text1"/>
          <w:sz w:val="24"/>
          <w:szCs w:val="24"/>
        </w:rPr>
      </w:pPr>
      <w:r w:rsidRPr="003D448B">
        <w:rPr>
          <w:rFonts w:ascii="Times New Roman" w:eastAsia="Calibri" w:hAnsi="Times New Roman" w:cs="Times New Roman"/>
          <w:color w:val="000000" w:themeColor="text1"/>
          <w:sz w:val="24"/>
        </w:rPr>
        <w:t>Ieņēmumi, ko pamatā veido sociālās apdrošināšanas iemaksas, tur</w:t>
      </w:r>
      <w:r>
        <w:rPr>
          <w:rFonts w:ascii="Times New Roman" w:eastAsia="Calibri" w:hAnsi="Times New Roman" w:cs="Times New Roman"/>
          <w:color w:val="000000" w:themeColor="text1"/>
          <w:sz w:val="24"/>
        </w:rPr>
        <w:t>pinās uzrādīt pieaugumu. 2019.</w:t>
      </w:r>
      <w:r w:rsidRPr="003D448B">
        <w:rPr>
          <w:rFonts w:ascii="Times New Roman" w:eastAsia="Calibri" w:hAnsi="Times New Roman" w:cs="Times New Roman"/>
          <w:color w:val="000000" w:themeColor="text1"/>
          <w:sz w:val="24"/>
        </w:rPr>
        <w:t>gadā prognozēts, ka ieņēmumi palielināsies par 7,5%.</w:t>
      </w:r>
    </w:p>
    <w:p w:rsidR="00EE1979" w:rsidRPr="003D448B" w:rsidRDefault="00EE1979" w:rsidP="00EE1979">
      <w:pPr>
        <w:numPr>
          <w:ilvl w:val="0"/>
          <w:numId w:val="16"/>
        </w:numPr>
        <w:spacing w:after="120" w:line="240" w:lineRule="auto"/>
        <w:ind w:left="709" w:hanging="283"/>
        <w:contextualSpacing/>
        <w:jc w:val="both"/>
        <w:rPr>
          <w:rFonts w:ascii="Times New Roman" w:eastAsia="Calibri" w:hAnsi="Times New Roman" w:cs="Times New Roman"/>
          <w:color w:val="000000" w:themeColor="text1"/>
          <w:sz w:val="24"/>
          <w:szCs w:val="24"/>
        </w:rPr>
      </w:pPr>
      <w:r w:rsidRPr="003D448B">
        <w:rPr>
          <w:rFonts w:ascii="Times New Roman" w:eastAsia="Calibri" w:hAnsi="Times New Roman" w:cs="Times New Roman"/>
          <w:color w:val="000000" w:themeColor="text1"/>
          <w:sz w:val="24"/>
        </w:rPr>
        <w:t xml:space="preserve">Sociālās </w:t>
      </w:r>
      <w:r>
        <w:rPr>
          <w:rFonts w:ascii="Times New Roman" w:eastAsia="Calibri" w:hAnsi="Times New Roman" w:cs="Times New Roman"/>
          <w:color w:val="000000" w:themeColor="text1"/>
          <w:sz w:val="24"/>
        </w:rPr>
        <w:t>nodrošināšanas fondā kopš 2014.</w:t>
      </w:r>
      <w:r w:rsidRPr="003D448B">
        <w:rPr>
          <w:rFonts w:ascii="Times New Roman" w:eastAsia="Calibri" w:hAnsi="Times New Roman" w:cs="Times New Roman"/>
          <w:color w:val="000000" w:themeColor="text1"/>
          <w:sz w:val="24"/>
        </w:rPr>
        <w:t>gada katru gadu veidojas pārpalikums un pārpal</w:t>
      </w:r>
      <w:r>
        <w:rPr>
          <w:rFonts w:ascii="Times New Roman" w:eastAsia="Calibri" w:hAnsi="Times New Roman" w:cs="Times New Roman"/>
          <w:color w:val="000000" w:themeColor="text1"/>
          <w:sz w:val="24"/>
        </w:rPr>
        <w:t>ikums tiek prognozēts arī 2019.</w:t>
      </w:r>
      <w:r w:rsidRPr="003D448B">
        <w:rPr>
          <w:rFonts w:ascii="Times New Roman" w:eastAsia="Calibri" w:hAnsi="Times New Roman" w:cs="Times New Roman"/>
          <w:color w:val="000000" w:themeColor="text1"/>
          <w:sz w:val="24"/>
        </w:rPr>
        <w:t>gadā un vidē</w:t>
      </w:r>
      <w:r>
        <w:rPr>
          <w:rFonts w:ascii="Times New Roman" w:eastAsia="Calibri" w:hAnsi="Times New Roman" w:cs="Times New Roman"/>
          <w:color w:val="000000" w:themeColor="text1"/>
          <w:sz w:val="24"/>
        </w:rPr>
        <w:t>jā termiņā. Paredzams, ka 2019.</w:t>
      </w:r>
      <w:r w:rsidRPr="003D448B">
        <w:rPr>
          <w:rFonts w:ascii="Times New Roman" w:eastAsia="Calibri" w:hAnsi="Times New Roman" w:cs="Times New Roman"/>
          <w:color w:val="000000" w:themeColor="text1"/>
          <w:sz w:val="24"/>
        </w:rPr>
        <w:t>gadā pārpalikuma apmērs sociālās nodrošināšan</w:t>
      </w:r>
      <w:r>
        <w:rPr>
          <w:rFonts w:ascii="Times New Roman" w:eastAsia="Calibri" w:hAnsi="Times New Roman" w:cs="Times New Roman"/>
          <w:color w:val="000000" w:themeColor="text1"/>
          <w:sz w:val="24"/>
        </w:rPr>
        <w:t>as fondā būs aptuveni 2018.</w:t>
      </w:r>
      <w:r w:rsidRPr="003D448B">
        <w:rPr>
          <w:rFonts w:ascii="Times New Roman" w:eastAsia="Calibri" w:hAnsi="Times New Roman" w:cs="Times New Roman"/>
          <w:color w:val="000000" w:themeColor="text1"/>
          <w:sz w:val="24"/>
        </w:rPr>
        <w:t xml:space="preserve">gada </w:t>
      </w:r>
      <w:r>
        <w:rPr>
          <w:rFonts w:ascii="Times New Roman" w:eastAsia="Calibri" w:hAnsi="Times New Roman" w:cs="Times New Roman"/>
          <w:color w:val="000000" w:themeColor="text1"/>
          <w:sz w:val="24"/>
        </w:rPr>
        <w:t>līmenī</w:t>
      </w:r>
      <w:r w:rsidRPr="003D448B">
        <w:rPr>
          <w:rFonts w:ascii="Times New Roman" w:eastAsia="Calibri" w:hAnsi="Times New Roman" w:cs="Times New Roman"/>
          <w:color w:val="000000" w:themeColor="text1"/>
          <w:sz w:val="24"/>
        </w:rPr>
        <w:t xml:space="preserve">, bet vidējā termiņā tā apmērs samazināsies, ko ietekmēs arvien pieaugošie izdevumi pensijām un pārējiem sociālajiem pabalstiem. </w:t>
      </w:r>
    </w:p>
    <w:p w:rsidR="00EE1979" w:rsidRPr="003D448B" w:rsidRDefault="00EE1979" w:rsidP="00EE1979">
      <w:pPr>
        <w:numPr>
          <w:ilvl w:val="0"/>
          <w:numId w:val="16"/>
        </w:numPr>
        <w:spacing w:after="120" w:line="240" w:lineRule="auto"/>
        <w:ind w:left="709" w:hanging="283"/>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themeColor="text1"/>
          <w:sz w:val="24"/>
        </w:rPr>
        <w:t>Izdevumi 2019.</w:t>
      </w:r>
      <w:r w:rsidRPr="003D448B">
        <w:rPr>
          <w:rFonts w:ascii="Times New Roman" w:eastAsia="Calibri" w:hAnsi="Times New Roman" w:cs="Times New Roman"/>
          <w:color w:val="000000" w:themeColor="text1"/>
          <w:sz w:val="24"/>
        </w:rPr>
        <w:t xml:space="preserve">gadā būs par 7,2% augstāki </w:t>
      </w:r>
      <w:r>
        <w:rPr>
          <w:rFonts w:ascii="Times New Roman" w:eastAsia="Calibri" w:hAnsi="Times New Roman" w:cs="Times New Roman"/>
          <w:color w:val="000000" w:themeColor="text1"/>
          <w:sz w:val="24"/>
        </w:rPr>
        <w:t>kā 2018.gadā. No 2020.</w:t>
      </w:r>
      <w:r w:rsidRPr="003D448B">
        <w:rPr>
          <w:rFonts w:ascii="Times New Roman" w:eastAsia="Calibri" w:hAnsi="Times New Roman" w:cs="Times New Roman"/>
          <w:color w:val="000000" w:themeColor="text1"/>
          <w:sz w:val="24"/>
        </w:rPr>
        <w:t>gada ir sagaidāms straujāks izdevumu pieaugums, ņemot vērā vidējās darba samaksas kāpumu, kas ietekmē izmaksāto pensiju un pabalstu vidējā apmēru, prognozētās izmaiņas pensiju un pabalstu saņēmēju skaitā</w:t>
      </w:r>
      <w:r w:rsidRPr="003D448B">
        <w:rPr>
          <w:rFonts w:ascii="Times New Roman" w:eastAsia="Calibri" w:hAnsi="Times New Roman" w:cs="Times New Roman"/>
          <w:sz w:val="24"/>
        </w:rPr>
        <w:t xml:space="preserve"> un ņemot vērā izmaiņas likumdošan</w:t>
      </w:r>
      <w:r>
        <w:rPr>
          <w:rFonts w:ascii="Times New Roman" w:eastAsia="Calibri" w:hAnsi="Times New Roman" w:cs="Times New Roman"/>
          <w:sz w:val="24"/>
        </w:rPr>
        <w:t>ā, kas stājušās spēkā gan 2019.</w:t>
      </w:r>
      <w:r w:rsidRPr="003D448B">
        <w:rPr>
          <w:rFonts w:ascii="Times New Roman" w:eastAsia="Calibri" w:hAnsi="Times New Roman" w:cs="Times New Roman"/>
          <w:sz w:val="24"/>
        </w:rPr>
        <w:t xml:space="preserve">gadā, gan arī pirms tam, un turpinās ietekmēt izdevumu apmēru vidējā termiņā: </w:t>
      </w:r>
    </w:p>
    <w:p w:rsidR="00EE1979" w:rsidRPr="003D448B" w:rsidRDefault="00EE1979" w:rsidP="00EE1979">
      <w:pPr>
        <w:numPr>
          <w:ilvl w:val="1"/>
          <w:numId w:val="16"/>
        </w:numPr>
        <w:spacing w:after="120" w:line="240" w:lineRule="auto"/>
        <w:ind w:left="1418" w:hanging="283"/>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No 2014.</w:t>
      </w:r>
      <w:r w:rsidRPr="003D448B">
        <w:rPr>
          <w:rFonts w:ascii="Times New Roman" w:eastAsia="Calibri" w:hAnsi="Times New Roman" w:cs="Times New Roman"/>
          <w:color w:val="000000"/>
          <w:sz w:val="24"/>
          <w:szCs w:val="24"/>
        </w:rPr>
        <w:t>gada pakāpeniski palielinās pensionēšanās vecums – ik gad</w:t>
      </w:r>
      <w:r>
        <w:rPr>
          <w:rFonts w:ascii="Times New Roman" w:eastAsia="Calibri" w:hAnsi="Times New Roman" w:cs="Times New Roman"/>
          <w:color w:val="000000"/>
          <w:sz w:val="24"/>
          <w:szCs w:val="24"/>
        </w:rPr>
        <w:t>u par trim mēnešiem, līdz 2025.</w:t>
      </w:r>
      <w:r w:rsidRPr="003D448B">
        <w:rPr>
          <w:rFonts w:ascii="Times New Roman" w:eastAsia="Calibri" w:hAnsi="Times New Roman" w:cs="Times New Roman"/>
          <w:color w:val="000000"/>
          <w:sz w:val="24"/>
          <w:szCs w:val="24"/>
        </w:rPr>
        <w:t xml:space="preserve">gadā tiks sasniegts 65 gadu vecums. Tiesības uz valsts vecuma </w:t>
      </w:r>
      <w:r>
        <w:rPr>
          <w:rFonts w:ascii="Times New Roman" w:eastAsia="Calibri" w:hAnsi="Times New Roman" w:cs="Times New Roman"/>
          <w:color w:val="000000"/>
          <w:sz w:val="24"/>
          <w:szCs w:val="24"/>
        </w:rPr>
        <w:t>pensiju 2019.</w:t>
      </w:r>
      <w:r w:rsidRPr="003D448B">
        <w:rPr>
          <w:rFonts w:ascii="Times New Roman" w:eastAsia="Calibri" w:hAnsi="Times New Roman" w:cs="Times New Roman"/>
          <w:color w:val="000000"/>
          <w:sz w:val="24"/>
          <w:szCs w:val="24"/>
        </w:rPr>
        <w:t>gadā būs personām, kuras sasniegušas 63 gadu un 6 mēnešu vecumu. Personām, kuru apdrošināšanas stāžs nav mazāks par 30 gadiem, ir tiesības pensionēties priekšlaicīgi – divus gadus pirms vispārējā pensionēšanās vecuma sasni</w:t>
      </w:r>
      <w:r>
        <w:rPr>
          <w:rFonts w:ascii="Times New Roman" w:eastAsia="Calibri" w:hAnsi="Times New Roman" w:cs="Times New Roman"/>
          <w:color w:val="000000"/>
          <w:sz w:val="24"/>
          <w:szCs w:val="24"/>
        </w:rPr>
        <w:t>egšanas, tātad 2019.</w:t>
      </w:r>
      <w:r w:rsidRPr="003D448B">
        <w:rPr>
          <w:rFonts w:ascii="Times New Roman" w:eastAsia="Calibri" w:hAnsi="Times New Roman" w:cs="Times New Roman"/>
          <w:color w:val="000000"/>
          <w:sz w:val="24"/>
          <w:szCs w:val="24"/>
        </w:rPr>
        <w:t>gadā pensionēties priekšlaicīgi var personas, kuras sasniegušas 61 gadu un 6 mēnešu vecumu;</w:t>
      </w:r>
    </w:p>
    <w:p w:rsidR="00EE1979" w:rsidRPr="003D448B" w:rsidRDefault="00EE1979" w:rsidP="00EE1979">
      <w:pPr>
        <w:numPr>
          <w:ilvl w:val="1"/>
          <w:numId w:val="16"/>
        </w:numPr>
        <w:spacing w:after="120" w:line="240" w:lineRule="auto"/>
        <w:ind w:left="1418" w:hanging="283"/>
        <w:contextualSpacing/>
        <w:jc w:val="both"/>
        <w:rPr>
          <w:rFonts w:ascii="Times New Roman" w:eastAsia="Calibri" w:hAnsi="Times New Roman" w:cs="Times New Roman"/>
          <w:color w:val="000000"/>
          <w:sz w:val="24"/>
          <w:szCs w:val="24"/>
        </w:rPr>
      </w:pPr>
      <w:r w:rsidRPr="003D448B">
        <w:rPr>
          <w:rFonts w:ascii="Times New Roman" w:eastAsia="Calibri" w:hAnsi="Times New Roman" w:cs="Times New Roman"/>
          <w:color w:val="000000"/>
          <w:sz w:val="24"/>
          <w:szCs w:val="24"/>
        </w:rPr>
        <w:t>No 2017.gada ir pagarināts kvalifikācijas period</w:t>
      </w:r>
      <w:r>
        <w:rPr>
          <w:rFonts w:ascii="Times New Roman" w:eastAsia="Calibri" w:hAnsi="Times New Roman" w:cs="Times New Roman"/>
          <w:color w:val="000000"/>
          <w:sz w:val="24"/>
          <w:szCs w:val="24"/>
        </w:rPr>
        <w:t>s</w:t>
      </w:r>
      <w:r w:rsidRPr="003D448B">
        <w:rPr>
          <w:rFonts w:ascii="Times New Roman" w:eastAsia="Calibri" w:hAnsi="Times New Roman" w:cs="Times New Roman"/>
          <w:color w:val="000000"/>
          <w:sz w:val="24"/>
          <w:szCs w:val="24"/>
        </w:rPr>
        <w:t xml:space="preserve"> tiesību noteikšanai uz bezdarbnieka pabalstu no 9 mēnešiem 12 mēnešu periodā uz 12</w:t>
      </w:r>
      <w:r>
        <w:rPr>
          <w:rFonts w:ascii="Times New Roman" w:eastAsia="Calibri" w:hAnsi="Times New Roman" w:cs="Times New Roman"/>
          <w:color w:val="000000"/>
          <w:sz w:val="24"/>
          <w:szCs w:val="24"/>
        </w:rPr>
        <w:t xml:space="preserve"> </w:t>
      </w:r>
      <w:r w:rsidRPr="003D448B">
        <w:rPr>
          <w:rFonts w:ascii="Times New Roman" w:eastAsia="Calibri" w:hAnsi="Times New Roman" w:cs="Times New Roman"/>
          <w:color w:val="000000"/>
          <w:sz w:val="24"/>
          <w:szCs w:val="24"/>
        </w:rPr>
        <w:t>mēnešiem 16 mēnešu periodā, ieviešot kvalifikācijas periodu tiesību noteikšanai uz slimības pabalstu, kā arī citas izmaiņas, lai ierobežotu bezdarbnieku un slimības pabalstu izmaksu kārtības sistemātisku negodprātīgu izmantošanu;</w:t>
      </w:r>
    </w:p>
    <w:p w:rsidR="00EE1979" w:rsidRPr="003D448B" w:rsidRDefault="00EE1979" w:rsidP="00EE1979">
      <w:pPr>
        <w:numPr>
          <w:ilvl w:val="1"/>
          <w:numId w:val="16"/>
        </w:numPr>
        <w:spacing w:after="120" w:line="240" w:lineRule="auto"/>
        <w:ind w:left="1418" w:hanging="283"/>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No 2018.g</w:t>
      </w:r>
      <w:r w:rsidRPr="003D448B">
        <w:rPr>
          <w:rFonts w:ascii="Times New Roman" w:eastAsia="Calibri" w:hAnsi="Times New Roman" w:cs="Times New Roman"/>
          <w:color w:val="000000"/>
          <w:sz w:val="24"/>
          <w:szCs w:val="24"/>
        </w:rPr>
        <w:t>ada personām, kuru apdroši</w:t>
      </w:r>
      <w:r>
        <w:rPr>
          <w:rFonts w:ascii="Times New Roman" w:eastAsia="Calibri" w:hAnsi="Times New Roman" w:cs="Times New Roman"/>
          <w:color w:val="000000"/>
          <w:sz w:val="24"/>
          <w:szCs w:val="24"/>
        </w:rPr>
        <w:t xml:space="preserve">nāšanas stāžs ir mazāks par 15 </w:t>
      </w:r>
      <w:r w:rsidRPr="003D448B">
        <w:rPr>
          <w:rFonts w:ascii="Times New Roman" w:eastAsia="Calibri" w:hAnsi="Times New Roman" w:cs="Times New Roman"/>
          <w:color w:val="000000"/>
          <w:sz w:val="24"/>
          <w:szCs w:val="24"/>
        </w:rPr>
        <w:t xml:space="preserve">gadiem un kurām nav tiesību uz valsts vecuma pensiju, saskaņā ar Valsts sociālo pabalstu likumu, sasniedzot noteikto pensionēšanās vecumu, tiek piešķirts un no valsts pamatbudžeta līdzekļiem izmaksāts valsts sociālā nodrošinājuma pabalsts; </w:t>
      </w:r>
    </w:p>
    <w:p w:rsidR="00EE1979" w:rsidRPr="003D448B" w:rsidRDefault="00EE1979" w:rsidP="00EE1979">
      <w:pPr>
        <w:numPr>
          <w:ilvl w:val="1"/>
          <w:numId w:val="16"/>
        </w:numPr>
        <w:spacing w:after="120" w:line="240" w:lineRule="auto"/>
        <w:ind w:left="1418" w:hanging="283"/>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2018.gada 1.</w:t>
      </w:r>
      <w:r w:rsidRPr="003D448B">
        <w:rPr>
          <w:rFonts w:ascii="Times New Roman" w:eastAsia="Calibri" w:hAnsi="Times New Roman" w:cs="Times New Roman"/>
          <w:color w:val="000000"/>
          <w:sz w:val="24"/>
          <w:szCs w:val="24"/>
        </w:rPr>
        <w:t>oktobrī tika pārskatītas (indeksētas) vecuma, invaliditātes, izdienas, apgādnieka zaudējuma pensijas un apdrošināšanas atlīdzības, kuras piešķirtas (pā</w:t>
      </w:r>
      <w:r>
        <w:rPr>
          <w:rFonts w:ascii="Times New Roman" w:eastAsia="Calibri" w:hAnsi="Times New Roman" w:cs="Times New Roman"/>
          <w:color w:val="000000"/>
          <w:sz w:val="24"/>
          <w:szCs w:val="24"/>
        </w:rPr>
        <w:t>rrēķinātas) līdz 2018.gada 30.</w:t>
      </w:r>
      <w:r w:rsidRPr="003D448B">
        <w:rPr>
          <w:rFonts w:ascii="Times New Roman" w:eastAsia="Calibri" w:hAnsi="Times New Roman" w:cs="Times New Roman"/>
          <w:color w:val="000000"/>
          <w:sz w:val="24"/>
          <w:szCs w:val="24"/>
        </w:rPr>
        <w:t xml:space="preserve">septembrim un kuru </w:t>
      </w:r>
      <w:r w:rsidRPr="003D448B">
        <w:rPr>
          <w:rFonts w:ascii="Times New Roman" w:eastAsia="Calibri" w:hAnsi="Times New Roman" w:cs="Times New Roman"/>
          <w:color w:val="000000"/>
          <w:sz w:val="24"/>
          <w:szCs w:val="24"/>
        </w:rPr>
        <w:lastRenderedPageBreak/>
        <w:t xml:space="preserve">apmērs nepārsniedz 382 </w:t>
      </w:r>
      <w:r w:rsidRPr="008C102F">
        <w:rPr>
          <w:rFonts w:ascii="Times New Roman" w:eastAsia="Calibri" w:hAnsi="Times New Roman" w:cs="Times New Roman"/>
          <w:i/>
          <w:color w:val="000000"/>
          <w:sz w:val="24"/>
          <w:szCs w:val="24"/>
        </w:rPr>
        <w:t>euro</w:t>
      </w:r>
      <w:r w:rsidRPr="003D448B">
        <w:rPr>
          <w:rFonts w:ascii="Times New Roman" w:eastAsia="Calibri" w:hAnsi="Times New Roman" w:cs="Times New Roman"/>
          <w:color w:val="000000"/>
          <w:sz w:val="24"/>
          <w:szCs w:val="24"/>
        </w:rPr>
        <w:t xml:space="preserve">, bet tām pensijām un apdrošināšanas atlīdzībām, kuru apmērs pārsniedz 382 </w:t>
      </w:r>
      <w:r w:rsidRPr="008C102F">
        <w:rPr>
          <w:rFonts w:ascii="Times New Roman" w:eastAsia="Calibri" w:hAnsi="Times New Roman" w:cs="Times New Roman"/>
          <w:i/>
          <w:color w:val="000000"/>
          <w:sz w:val="24"/>
          <w:szCs w:val="24"/>
        </w:rPr>
        <w:t>euro</w:t>
      </w:r>
      <w:r>
        <w:rPr>
          <w:rFonts w:ascii="Times New Roman" w:eastAsia="Calibri" w:hAnsi="Times New Roman" w:cs="Times New Roman"/>
          <w:color w:val="000000"/>
          <w:sz w:val="24"/>
          <w:szCs w:val="24"/>
        </w:rPr>
        <w:t xml:space="preserve">, indeksē tikai tās daļu – 382 </w:t>
      </w:r>
      <w:r w:rsidRPr="009F516D">
        <w:rPr>
          <w:rFonts w:ascii="Times New Roman" w:eastAsia="Calibri" w:hAnsi="Times New Roman" w:cs="Times New Roman"/>
          <w:i/>
          <w:color w:val="000000"/>
          <w:sz w:val="24"/>
          <w:szCs w:val="24"/>
        </w:rPr>
        <w:t>euro</w:t>
      </w:r>
      <w:r w:rsidRPr="003D448B">
        <w:rPr>
          <w:rFonts w:ascii="Times New Roman" w:eastAsia="Calibri" w:hAnsi="Times New Roman" w:cs="Times New Roman"/>
          <w:color w:val="000000"/>
          <w:sz w:val="24"/>
          <w:szCs w:val="24"/>
        </w:rPr>
        <w:t xml:space="preserve">. Vienlaikus indeksa aprēķina formulā, kuru veido faktiskais </w:t>
      </w:r>
      <w:r w:rsidRPr="009F516D">
        <w:rPr>
          <w:rFonts w:ascii="Times New Roman" w:hAnsi="Times New Roman"/>
          <w:sz w:val="24"/>
        </w:rPr>
        <w:t>PCI</w:t>
      </w:r>
      <w:r w:rsidRPr="003D448B">
        <w:rPr>
          <w:rFonts w:ascii="Times New Roman" w:eastAsia="Calibri" w:hAnsi="Times New Roman" w:cs="Times New Roman"/>
          <w:color w:val="000000"/>
          <w:sz w:val="24"/>
          <w:szCs w:val="24"/>
        </w:rPr>
        <w:t xml:space="preserve"> un apdrošināšanas iemaksu algu summas reālā pieauguma procenti, ņemtas vērā šādas izmaiņas. Ja personas apdrošināšanas stāžs ir no 30 līdz 39 gadiem, tad aprēķina formulā tiek ņemti 60% algas pieauguma (iepriekš 50%), savukārt, ja apdrošināšanas stāžs ir 40 un vairāk darba gadi, tad 70% no reālā algu pieauguma (iepriekš 50%);</w:t>
      </w:r>
    </w:p>
    <w:p w:rsidR="00EE1979" w:rsidRPr="003D448B" w:rsidRDefault="00EE1979" w:rsidP="00EE1979">
      <w:pPr>
        <w:numPr>
          <w:ilvl w:val="1"/>
          <w:numId w:val="16"/>
        </w:numPr>
        <w:spacing w:after="120" w:line="240" w:lineRule="auto"/>
        <w:ind w:left="1418" w:hanging="283"/>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No 2019.gada 1.</w:t>
      </w:r>
      <w:r w:rsidRPr="003D448B">
        <w:rPr>
          <w:rFonts w:ascii="Times New Roman" w:eastAsia="Calibri" w:hAnsi="Times New Roman" w:cs="Times New Roman"/>
          <w:color w:val="000000"/>
          <w:sz w:val="24"/>
          <w:szCs w:val="24"/>
        </w:rPr>
        <w:t>oktobra vecuma pensijām, kas aprēķinātas par 45 un vairāk gadu apdrošināšanas stāžu, pensiju indeksācijā piemēros faktisko patēriņa cenu indeksu un 80% (iepriekš 70%) no apdrošināšanas iemaksu algu summas reālā pieauguma procentiem;</w:t>
      </w:r>
    </w:p>
    <w:p w:rsidR="00EE1979" w:rsidRPr="003D448B" w:rsidRDefault="00EE1979" w:rsidP="00EE1979">
      <w:pPr>
        <w:numPr>
          <w:ilvl w:val="1"/>
          <w:numId w:val="16"/>
        </w:numPr>
        <w:spacing w:after="120" w:line="240" w:lineRule="auto"/>
        <w:ind w:left="1418" w:hanging="283"/>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No 2019.gada 1.</w:t>
      </w:r>
      <w:r w:rsidRPr="003D448B">
        <w:rPr>
          <w:rFonts w:ascii="Times New Roman" w:eastAsia="Calibri" w:hAnsi="Times New Roman" w:cs="Times New Roman"/>
          <w:color w:val="000000"/>
          <w:sz w:val="24"/>
          <w:szCs w:val="24"/>
        </w:rPr>
        <w:t>oktobra piemaksas apmēru par vienu apdrošināšanas stā</w:t>
      </w:r>
      <w:r>
        <w:rPr>
          <w:rFonts w:ascii="Times New Roman" w:eastAsia="Calibri" w:hAnsi="Times New Roman" w:cs="Times New Roman"/>
          <w:color w:val="000000"/>
          <w:sz w:val="24"/>
          <w:szCs w:val="24"/>
        </w:rPr>
        <w:t>ža gadu, kas uzkrāts līdz 1995.gada 31.</w:t>
      </w:r>
      <w:r w:rsidRPr="003D448B">
        <w:rPr>
          <w:rFonts w:ascii="Times New Roman" w:eastAsia="Calibri" w:hAnsi="Times New Roman" w:cs="Times New Roman"/>
          <w:color w:val="000000"/>
          <w:sz w:val="24"/>
          <w:szCs w:val="24"/>
        </w:rPr>
        <w:t xml:space="preserve">decembrim (1,50 </w:t>
      </w:r>
      <w:r w:rsidRPr="008C102F">
        <w:rPr>
          <w:rFonts w:ascii="Times New Roman" w:eastAsia="Calibri" w:hAnsi="Times New Roman" w:cs="Times New Roman"/>
          <w:i/>
          <w:color w:val="000000"/>
          <w:sz w:val="24"/>
          <w:szCs w:val="24"/>
        </w:rPr>
        <w:t>euro</w:t>
      </w:r>
      <w:r w:rsidRPr="003D448B">
        <w:rPr>
          <w:rFonts w:ascii="Times New Roman" w:eastAsia="Calibri" w:hAnsi="Times New Roman" w:cs="Times New Roman"/>
          <w:color w:val="000000"/>
          <w:sz w:val="24"/>
          <w:szCs w:val="24"/>
        </w:rPr>
        <w:t xml:space="preserve"> pens</w:t>
      </w:r>
      <w:r>
        <w:rPr>
          <w:rFonts w:ascii="Times New Roman" w:eastAsia="Calibri" w:hAnsi="Times New Roman" w:cs="Times New Roman"/>
          <w:color w:val="000000"/>
          <w:sz w:val="24"/>
          <w:szCs w:val="24"/>
        </w:rPr>
        <w:t>ijām, kas piešķirtas līdz 1996.</w:t>
      </w:r>
      <w:r w:rsidRPr="003D448B">
        <w:rPr>
          <w:rFonts w:ascii="Times New Roman" w:eastAsia="Calibri" w:hAnsi="Times New Roman" w:cs="Times New Roman"/>
          <w:color w:val="000000"/>
          <w:sz w:val="24"/>
          <w:szCs w:val="24"/>
        </w:rPr>
        <w:t xml:space="preserve">gadam, un 1 </w:t>
      </w:r>
      <w:r w:rsidRPr="00917436">
        <w:rPr>
          <w:rFonts w:ascii="Times New Roman" w:eastAsia="Calibri" w:hAnsi="Times New Roman" w:cs="Times New Roman"/>
          <w:i/>
          <w:color w:val="000000"/>
          <w:sz w:val="24"/>
          <w:szCs w:val="24"/>
        </w:rPr>
        <w:t>euro</w:t>
      </w:r>
      <w:r w:rsidRPr="003D448B">
        <w:rPr>
          <w:rFonts w:ascii="Times New Roman" w:eastAsia="Calibri" w:hAnsi="Times New Roman" w:cs="Times New Roman"/>
          <w:color w:val="000000"/>
          <w:sz w:val="24"/>
          <w:szCs w:val="24"/>
        </w:rPr>
        <w:t xml:space="preserve"> pe</w:t>
      </w:r>
      <w:r>
        <w:rPr>
          <w:rFonts w:ascii="Times New Roman" w:eastAsia="Calibri" w:hAnsi="Times New Roman" w:cs="Times New Roman"/>
          <w:color w:val="000000"/>
          <w:sz w:val="24"/>
          <w:szCs w:val="24"/>
        </w:rPr>
        <w:t>nsijām, kas piešķirtas no 1997.</w:t>
      </w:r>
      <w:r w:rsidRPr="003D448B">
        <w:rPr>
          <w:rFonts w:ascii="Times New Roman" w:eastAsia="Calibri" w:hAnsi="Times New Roman" w:cs="Times New Roman"/>
          <w:color w:val="000000"/>
          <w:sz w:val="24"/>
          <w:szCs w:val="24"/>
        </w:rPr>
        <w:t>gada), pārskatīs, ņemot vērā faktisko patēriņa cenu indeksu un 50% no apdrošināšanas iemaksu algu summas reālā pieauguma procentiem;</w:t>
      </w:r>
    </w:p>
    <w:p w:rsidR="00EE1979" w:rsidRPr="003D448B" w:rsidRDefault="00EE1979" w:rsidP="00EE1979">
      <w:pPr>
        <w:numPr>
          <w:ilvl w:val="1"/>
          <w:numId w:val="16"/>
        </w:numPr>
        <w:spacing w:after="120" w:line="240" w:lineRule="auto"/>
        <w:ind w:left="1418" w:hanging="283"/>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No 2019.</w:t>
      </w:r>
      <w:r w:rsidRPr="003D448B">
        <w:rPr>
          <w:rFonts w:ascii="Times New Roman" w:eastAsia="Calibri" w:hAnsi="Times New Roman" w:cs="Times New Roman"/>
          <w:color w:val="000000"/>
          <w:sz w:val="24"/>
          <w:szCs w:val="24"/>
        </w:rPr>
        <w:t>gada pensijas saņēmēja nāves gadījumā pārdzīvojušajam laulātajam, kurš ir Latvijas Republikas vecuma, invaliditātes, izdienas vai speciālās valsts pensijas saņēmējs, piešķir pabalstu 50% apmērā no mirušajam laulātajam piešķirtās pensijas (ieskaitot piemaksu pie pensijas par apdrošināšana</w:t>
      </w:r>
      <w:r>
        <w:rPr>
          <w:rFonts w:ascii="Times New Roman" w:eastAsia="Calibri" w:hAnsi="Times New Roman" w:cs="Times New Roman"/>
          <w:color w:val="000000"/>
          <w:sz w:val="24"/>
          <w:szCs w:val="24"/>
        </w:rPr>
        <w:t>s stāžu, kas uzkrāts līdz 1995.gada 31.</w:t>
      </w:r>
      <w:r w:rsidRPr="003D448B">
        <w:rPr>
          <w:rFonts w:ascii="Times New Roman" w:eastAsia="Calibri" w:hAnsi="Times New Roman" w:cs="Times New Roman"/>
          <w:color w:val="000000"/>
          <w:sz w:val="24"/>
          <w:szCs w:val="24"/>
        </w:rPr>
        <w:t xml:space="preserve">decembrim), un ir tiesības saņemt pabalstu 12 mēnešus no pensijas saņēmēja nāves dienas; </w:t>
      </w:r>
    </w:p>
    <w:p w:rsidR="00EE1979" w:rsidRPr="003D448B" w:rsidRDefault="00EE1979" w:rsidP="00EE1979">
      <w:pPr>
        <w:numPr>
          <w:ilvl w:val="1"/>
          <w:numId w:val="16"/>
        </w:numPr>
        <w:spacing w:after="120" w:line="240" w:lineRule="auto"/>
        <w:ind w:left="1418"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No 2020.</w:t>
      </w:r>
      <w:r w:rsidRPr="003D448B">
        <w:rPr>
          <w:rFonts w:ascii="Times New Roman" w:eastAsia="Calibri" w:hAnsi="Times New Roman" w:cs="Times New Roman"/>
          <w:sz w:val="24"/>
          <w:szCs w:val="24"/>
        </w:rPr>
        <w:t xml:space="preserve">gada tiek paredzēta </w:t>
      </w:r>
      <w:r w:rsidRPr="003D448B">
        <w:rPr>
          <w:rFonts w:ascii="Times New Roman" w:eastAsia="Calibri" w:hAnsi="Times New Roman" w:cs="Times New Roman"/>
          <w:noProof/>
          <w:sz w:val="24"/>
          <w:szCs w:val="24"/>
        </w:rPr>
        <w:t>fondēto pensiju kapitāla mantošana. Fondēto pensiju shēmas dalībniekam būs tiesības izvēlēties, kā tiks izmantots viņa fondētās pensijas kapitāls, ja šis dalībnieks nomirst pirms vecuma pensijas pieprasīšanas dienas. Uzkrāto fondēto pensiju kapitālu varēs ieskaitīt valsts pensiju speciālajā budžetā vai pievienot fondēto pensiju shēmas dalībnieka norādītās personas fondētās pensijas kapitālam, vai to varēs mantot</w:t>
      </w:r>
      <w:r w:rsidRPr="003D448B">
        <w:rPr>
          <w:rFonts w:ascii="Times New Roman" w:eastAsia="Calibri" w:hAnsi="Times New Roman" w:cs="Times New Roman"/>
          <w:sz w:val="24"/>
          <w:szCs w:val="24"/>
        </w:rPr>
        <w:t xml:space="preserve"> Civillikumā noteiktajā kārtībā. </w:t>
      </w:r>
      <w:r w:rsidRPr="003D448B">
        <w:rPr>
          <w:rFonts w:ascii="PT Serif" w:eastAsia="Calibri" w:hAnsi="PT Serif" w:cs="Times New Roman"/>
          <w:sz w:val="24"/>
          <w:shd w:val="clear" w:color="auto" w:fill="FFFFFF"/>
        </w:rPr>
        <w:t>Vienlaikus ar šiem grozījumiem stāsies spēkā izmaiņas, kad par personām, kuras saņem maternitātes, paternitātes, bezdarbnieka, slimības pabalstu, un personām ar invaliditāti no valsts speciālā budžeta veiktās pensiju apd</w:t>
      </w:r>
      <w:r>
        <w:rPr>
          <w:rFonts w:ascii="PT Serif" w:eastAsia="Calibri" w:hAnsi="PT Serif" w:cs="Times New Roman"/>
          <w:sz w:val="24"/>
          <w:shd w:val="clear" w:color="auto" w:fill="FFFFFF"/>
        </w:rPr>
        <w:t>rošināšanas iemaksas pensiju 2.</w:t>
      </w:r>
      <w:r w:rsidRPr="003D448B">
        <w:rPr>
          <w:rFonts w:ascii="PT Serif" w:eastAsia="Calibri" w:hAnsi="PT Serif" w:cs="Times New Roman"/>
          <w:sz w:val="24"/>
          <w:shd w:val="clear" w:color="auto" w:fill="FFFFFF"/>
        </w:rPr>
        <w:t>līmenī turpmāk ti</w:t>
      </w:r>
      <w:r>
        <w:rPr>
          <w:rFonts w:ascii="PT Serif" w:eastAsia="Calibri" w:hAnsi="PT Serif" w:cs="Times New Roman"/>
          <w:sz w:val="24"/>
          <w:shd w:val="clear" w:color="auto" w:fill="FFFFFF"/>
        </w:rPr>
        <w:t>ks novirzītas uz 1.</w:t>
      </w:r>
      <w:r w:rsidRPr="003D448B">
        <w:rPr>
          <w:rFonts w:ascii="PT Serif" w:eastAsia="Calibri" w:hAnsi="PT Serif" w:cs="Times New Roman"/>
          <w:sz w:val="24"/>
          <w:shd w:val="clear" w:color="auto" w:fill="FFFFFF"/>
        </w:rPr>
        <w:t>līmeni.</w:t>
      </w:r>
    </w:p>
    <w:p w:rsidR="00EE1979" w:rsidRDefault="00EE1979" w:rsidP="00EE1979">
      <w:pPr>
        <w:spacing w:before="120" w:after="0" w:line="240" w:lineRule="auto"/>
        <w:ind w:left="709"/>
        <w:jc w:val="both"/>
        <w:rPr>
          <w:rFonts w:ascii="Times New Roman" w:eastAsia="Times New Roman" w:hAnsi="Times New Roman" w:cs="Times New Roman"/>
          <w:b/>
          <w:color w:val="000000"/>
          <w:sz w:val="24"/>
          <w:szCs w:val="20"/>
        </w:rPr>
      </w:pPr>
    </w:p>
    <w:p w:rsidR="00EE1979" w:rsidRPr="003D448B" w:rsidRDefault="00EE1979" w:rsidP="00EE1979">
      <w:pPr>
        <w:spacing w:before="120" w:after="0" w:line="240" w:lineRule="auto"/>
        <w:ind w:left="709"/>
        <w:jc w:val="both"/>
        <w:rPr>
          <w:rFonts w:ascii="Times New Roman" w:eastAsia="Times New Roman" w:hAnsi="Times New Roman" w:cs="Times New Roman"/>
          <w:color w:val="000000"/>
          <w:sz w:val="24"/>
          <w:szCs w:val="20"/>
        </w:rPr>
      </w:pPr>
      <w:r w:rsidRPr="003D448B">
        <w:rPr>
          <w:rFonts w:ascii="Times New Roman" w:eastAsia="Times New Roman" w:hAnsi="Times New Roman" w:cs="Times New Roman"/>
          <w:b/>
          <w:color w:val="000000"/>
          <w:sz w:val="24"/>
          <w:szCs w:val="20"/>
        </w:rPr>
        <w:t>Vietējās valdības budžetā</w:t>
      </w:r>
      <w:r w:rsidRPr="003D448B">
        <w:rPr>
          <w:rFonts w:ascii="Times New Roman" w:eastAsia="Times New Roman" w:hAnsi="Times New Roman" w:cs="Times New Roman"/>
          <w:color w:val="000000"/>
          <w:sz w:val="24"/>
          <w:szCs w:val="20"/>
        </w:rPr>
        <w:t>:</w:t>
      </w:r>
    </w:p>
    <w:p w:rsidR="00EE1979" w:rsidRPr="003D448B" w:rsidRDefault="00EE1979" w:rsidP="00EE1979">
      <w:pPr>
        <w:numPr>
          <w:ilvl w:val="0"/>
          <w:numId w:val="15"/>
        </w:numPr>
        <w:spacing w:after="0" w:line="240" w:lineRule="auto"/>
        <w:ind w:left="709" w:hanging="284"/>
        <w:jc w:val="both"/>
        <w:rPr>
          <w:rFonts w:ascii="Times New Roman" w:eastAsia="Calibri" w:hAnsi="Times New Roman" w:cs="Times New Roman"/>
          <w:color w:val="000000"/>
          <w:sz w:val="24"/>
        </w:rPr>
      </w:pPr>
      <w:r>
        <w:rPr>
          <w:rFonts w:ascii="Times New Roman" w:eastAsia="Calibri" w:hAnsi="Times New Roman" w:cs="Times New Roman"/>
          <w:sz w:val="24"/>
        </w:rPr>
        <w:t>2019.</w:t>
      </w:r>
      <w:r w:rsidRPr="003D448B">
        <w:rPr>
          <w:rFonts w:ascii="Times New Roman" w:eastAsia="Calibri" w:hAnsi="Times New Roman" w:cs="Times New Roman"/>
          <w:sz w:val="24"/>
        </w:rPr>
        <w:t>gadā tiek prognozēts, ka vietējās valdības budžetā veidosies 0,3% no IKP deficīts. Ņemot vērā neapliekamā minimuma un atvieglojumu par apg</w:t>
      </w:r>
      <w:r>
        <w:rPr>
          <w:rFonts w:ascii="Times New Roman" w:eastAsia="Calibri" w:hAnsi="Times New Roman" w:cs="Times New Roman"/>
          <w:sz w:val="24"/>
        </w:rPr>
        <w:t>ādājamajiem palielināšanu 2019.</w:t>
      </w:r>
      <w:r w:rsidRPr="003D448B">
        <w:rPr>
          <w:rFonts w:ascii="Times New Roman" w:eastAsia="Calibri" w:hAnsi="Times New Roman" w:cs="Times New Roman"/>
          <w:sz w:val="24"/>
        </w:rPr>
        <w:t>gadā, iedzīvotāju ienākuma nodokļu ieņēmumi vietējās valdības budžetā, kas ir galvenais ieņēmumu avots, pieau</w:t>
      </w:r>
      <w:r>
        <w:rPr>
          <w:rFonts w:ascii="Times New Roman" w:eastAsia="Calibri" w:hAnsi="Times New Roman" w:cs="Times New Roman"/>
          <w:sz w:val="24"/>
        </w:rPr>
        <w:t>gs mēreni un būs aptuveni 2018.</w:t>
      </w:r>
      <w:r w:rsidRPr="003D448B">
        <w:rPr>
          <w:rFonts w:ascii="Times New Roman" w:eastAsia="Calibri" w:hAnsi="Times New Roman" w:cs="Times New Roman"/>
          <w:sz w:val="24"/>
        </w:rPr>
        <w:t>gada l</w:t>
      </w:r>
      <w:r>
        <w:rPr>
          <w:rFonts w:ascii="Times New Roman" w:eastAsia="Calibri" w:hAnsi="Times New Roman" w:cs="Times New Roman"/>
          <w:sz w:val="24"/>
        </w:rPr>
        <w:t>īmenī. Zemāku deficītu kā 2018.</w:t>
      </w:r>
      <w:r w:rsidRPr="003D448B">
        <w:rPr>
          <w:rFonts w:ascii="Times New Roman" w:eastAsia="Calibri" w:hAnsi="Times New Roman" w:cs="Times New Roman"/>
          <w:sz w:val="24"/>
        </w:rPr>
        <w:t xml:space="preserve">gadā nodrošinās straujāks centrālās valdības </w:t>
      </w:r>
      <w:r w:rsidRPr="003D448B">
        <w:rPr>
          <w:rFonts w:ascii="Times New Roman" w:eastAsia="Calibri" w:hAnsi="Times New Roman" w:cs="Times New Roman"/>
          <w:noProof/>
          <w:sz w:val="24"/>
        </w:rPr>
        <w:t xml:space="preserve">transfertu </w:t>
      </w:r>
      <w:r w:rsidRPr="003D448B">
        <w:rPr>
          <w:rFonts w:ascii="Times New Roman" w:eastAsia="Calibri" w:hAnsi="Times New Roman" w:cs="Times New Roman"/>
          <w:sz w:val="24"/>
        </w:rPr>
        <w:t>apjoma palielinājums, tai skaitā speciālā dotācija no valsts pamatbudžeta</w:t>
      </w:r>
      <w:r w:rsidRPr="00E53D87">
        <w:rPr>
          <w:rFonts w:ascii="Times New Roman" w:eastAsia="Calibri" w:hAnsi="Times New Roman" w:cs="Times New Roman"/>
          <w:sz w:val="24"/>
        </w:rPr>
        <w:t xml:space="preserve"> – </w:t>
      </w:r>
      <w:r w:rsidRPr="003D448B">
        <w:rPr>
          <w:rFonts w:ascii="Times New Roman" w:eastAsia="Calibri" w:hAnsi="Times New Roman" w:cs="Times New Roman"/>
          <w:sz w:val="24"/>
        </w:rPr>
        <w:t xml:space="preserve">kompensācija par nodokļu reformas negatīvo efektu uz iedzīvotāju ienākuma nodokļa ieņēmumiem. Kompensācijas apmērs nodrošinās </w:t>
      </w:r>
      <w:r w:rsidRPr="003D448B">
        <w:rPr>
          <w:rFonts w:ascii="Times New Roman" w:eastAsia="Calibri" w:hAnsi="Times New Roman" w:cs="Times New Roman"/>
          <w:color w:val="000000"/>
          <w:sz w:val="24"/>
        </w:rPr>
        <w:t>pašvaldību nodokļu ieņēmu</w:t>
      </w:r>
      <w:r>
        <w:rPr>
          <w:rFonts w:ascii="Times New Roman" w:eastAsia="Calibri" w:hAnsi="Times New Roman" w:cs="Times New Roman"/>
          <w:color w:val="000000"/>
          <w:sz w:val="24"/>
        </w:rPr>
        <w:t>mus 19,6% apmērā (19,4%</w:t>
      </w:r>
      <w:r w:rsidRPr="00382EED">
        <w:rPr>
          <w:rFonts w:ascii="Times New Roman" w:eastAsia="Calibri" w:hAnsi="Times New Roman"/>
          <w:color w:val="000000"/>
          <w:szCs w:val="24"/>
        </w:rPr>
        <w:t xml:space="preserve"> </w:t>
      </w:r>
      <w:r>
        <w:rPr>
          <w:rFonts w:ascii="Times New Roman" w:eastAsia="Calibri" w:hAnsi="Times New Roman"/>
          <w:color w:val="000000"/>
          <w:szCs w:val="24"/>
        </w:rPr>
        <w:t xml:space="preserve">– </w:t>
      </w:r>
      <w:r>
        <w:rPr>
          <w:rFonts w:ascii="Times New Roman" w:eastAsia="Calibri" w:hAnsi="Times New Roman" w:cs="Times New Roman"/>
          <w:color w:val="000000"/>
          <w:sz w:val="24"/>
        </w:rPr>
        <w:t>2019.</w:t>
      </w:r>
      <w:r w:rsidRPr="003D448B">
        <w:rPr>
          <w:rFonts w:ascii="Times New Roman" w:eastAsia="Calibri" w:hAnsi="Times New Roman" w:cs="Times New Roman"/>
          <w:color w:val="000000"/>
          <w:sz w:val="24"/>
        </w:rPr>
        <w:t xml:space="preserve">gadā) no faktiskajiem kopbudžeta nodokļu ieņēmumiem, </w:t>
      </w:r>
      <w:r w:rsidRPr="003D448B">
        <w:rPr>
          <w:rFonts w:ascii="Times New Roman" w:eastAsia="Calibri" w:hAnsi="Times New Roman" w:cs="Times New Roman"/>
          <w:sz w:val="24"/>
        </w:rPr>
        <w:t xml:space="preserve">neieskaitot </w:t>
      </w:r>
      <w:r w:rsidRPr="006A570D">
        <w:rPr>
          <w:rFonts w:ascii="Times New Roman" w:hAnsi="Times New Roman" w:cs="Times New Roman"/>
          <w:color w:val="000000"/>
          <w:sz w:val="24"/>
        </w:rPr>
        <w:t>VSAOI</w:t>
      </w:r>
      <w:r w:rsidRPr="003D448B">
        <w:rPr>
          <w:rFonts w:ascii="Times New Roman" w:eastAsia="Calibri" w:hAnsi="Times New Roman" w:cs="Times New Roman"/>
          <w:sz w:val="24"/>
        </w:rPr>
        <w:t xml:space="preserve"> valsts pamatbudžetā veselības aprūpes finansēšanai.</w:t>
      </w:r>
    </w:p>
    <w:p w:rsidR="00EE1979" w:rsidRPr="003D448B" w:rsidRDefault="00EE1979" w:rsidP="00EE1979">
      <w:pPr>
        <w:numPr>
          <w:ilvl w:val="0"/>
          <w:numId w:val="15"/>
        </w:numPr>
        <w:spacing w:after="0" w:line="240" w:lineRule="auto"/>
        <w:ind w:left="782" w:hanging="357"/>
        <w:jc w:val="both"/>
        <w:rPr>
          <w:rFonts w:ascii="Times New Roman" w:eastAsia="Calibri" w:hAnsi="Times New Roman" w:cs="Times New Roman"/>
          <w:color w:val="000000"/>
          <w:sz w:val="24"/>
        </w:rPr>
      </w:pPr>
      <w:r w:rsidRPr="003D448B">
        <w:rPr>
          <w:rFonts w:ascii="Times New Roman" w:eastAsia="Calibri" w:hAnsi="Times New Roman" w:cs="Times New Roman"/>
          <w:sz w:val="24"/>
        </w:rPr>
        <w:lastRenderedPageBreak/>
        <w:t xml:space="preserve">Kapitālo </w:t>
      </w:r>
      <w:r>
        <w:rPr>
          <w:rFonts w:ascii="Times New Roman" w:eastAsia="Calibri" w:hAnsi="Times New Roman" w:cs="Times New Roman"/>
          <w:sz w:val="24"/>
        </w:rPr>
        <w:t>izdevumu augstais līmenis 2018.</w:t>
      </w:r>
      <w:r w:rsidRPr="003D448B">
        <w:rPr>
          <w:rFonts w:ascii="Times New Roman" w:eastAsia="Calibri" w:hAnsi="Times New Roman" w:cs="Times New Roman"/>
          <w:sz w:val="24"/>
        </w:rPr>
        <w:t>gadā nozīmē, ka ES fondu 2014.</w:t>
      </w:r>
      <w:r w:rsidRPr="00382EED">
        <w:rPr>
          <w:rFonts w:ascii="Times New Roman" w:eastAsia="Calibri" w:hAnsi="Times New Roman"/>
          <w:color w:val="000000"/>
          <w:szCs w:val="24"/>
        </w:rPr>
        <w:t xml:space="preserve"> </w:t>
      </w:r>
      <w:r>
        <w:rPr>
          <w:rFonts w:ascii="Times New Roman" w:eastAsia="Calibri" w:hAnsi="Times New Roman"/>
          <w:color w:val="000000"/>
          <w:szCs w:val="24"/>
        </w:rPr>
        <w:t xml:space="preserve">– </w:t>
      </w:r>
      <w:r w:rsidRPr="003D448B">
        <w:rPr>
          <w:rFonts w:ascii="Times New Roman" w:eastAsia="Calibri" w:hAnsi="Times New Roman" w:cs="Times New Roman"/>
          <w:sz w:val="24"/>
        </w:rPr>
        <w:t xml:space="preserve">2020.gada plānošanas perioda vidus posms ir sasniegts un turpmākajos gados vietējās valdības budžetā kapitālie izdevumi tiek </w:t>
      </w:r>
      <w:r>
        <w:rPr>
          <w:rFonts w:ascii="Times New Roman" w:eastAsia="Calibri" w:hAnsi="Times New Roman" w:cs="Times New Roman"/>
          <w:sz w:val="24"/>
        </w:rPr>
        <w:t>prognozēti zemākā līmenī. 2018.</w:t>
      </w:r>
      <w:r w:rsidRPr="003D448B">
        <w:rPr>
          <w:rFonts w:ascii="Times New Roman" w:eastAsia="Calibri" w:hAnsi="Times New Roman" w:cs="Times New Roman"/>
          <w:sz w:val="24"/>
        </w:rPr>
        <w:t xml:space="preserve">gadā </w:t>
      </w:r>
      <w:r w:rsidRPr="003D448B">
        <w:rPr>
          <w:rFonts w:ascii="Times New Roman" w:eastAsia="Calibri" w:hAnsi="Times New Roman" w:cs="Times New Roman"/>
          <w:color w:val="000000"/>
          <w:sz w:val="24"/>
        </w:rPr>
        <w:t>pašvaldību kapitālie izdevumi palielinājās gan pamatfunkcijām, gan ES līdzfinansētajiem pro</w:t>
      </w:r>
      <w:r>
        <w:rPr>
          <w:rFonts w:ascii="Times New Roman" w:eastAsia="Calibri" w:hAnsi="Times New Roman" w:cs="Times New Roman"/>
          <w:color w:val="000000"/>
          <w:sz w:val="24"/>
        </w:rPr>
        <w:t>jektiem, un sagaidāms, ka 2019.</w:t>
      </w:r>
      <w:r w:rsidRPr="003D448B">
        <w:rPr>
          <w:rFonts w:ascii="Times New Roman" w:eastAsia="Calibri" w:hAnsi="Times New Roman" w:cs="Times New Roman"/>
          <w:color w:val="000000"/>
          <w:sz w:val="24"/>
        </w:rPr>
        <w:t xml:space="preserve">gadā un vidējā termiņā kopumā kapitālie izdevumi samazināsies, ņemot vērā gan mazāku ES fondu projektu īstenošanas intensitāti, gan stingrākus līdzfinansējuma nosacījumus pašvaldībām pārējo projektu īstenošanai. Pašvaldību budžeta </w:t>
      </w:r>
      <w:r>
        <w:rPr>
          <w:rFonts w:ascii="Times New Roman" w:eastAsia="Calibri" w:hAnsi="Times New Roman" w:cs="Times New Roman"/>
          <w:color w:val="000000"/>
          <w:sz w:val="24"/>
        </w:rPr>
        <w:t>līdzfinansējumam sākot ar 2019.</w:t>
      </w:r>
      <w:r w:rsidRPr="003D448B">
        <w:rPr>
          <w:rFonts w:ascii="Times New Roman" w:eastAsia="Calibri" w:hAnsi="Times New Roman" w:cs="Times New Roman"/>
          <w:color w:val="000000"/>
          <w:sz w:val="24"/>
        </w:rPr>
        <w:t xml:space="preserve">gadu projektiem, kas nav ES fondu projekti un izglītības iestāžu investīciju projekti, kur tiek piemēroti īpaši nosacījumi, ir jābūt ne mazākam kā 25%. </w:t>
      </w:r>
    </w:p>
    <w:p w:rsidR="00EE1979" w:rsidRPr="003D448B" w:rsidRDefault="00EE1979" w:rsidP="00EE1979">
      <w:pPr>
        <w:numPr>
          <w:ilvl w:val="0"/>
          <w:numId w:val="15"/>
        </w:numPr>
        <w:spacing w:after="0" w:line="240" w:lineRule="auto"/>
        <w:ind w:left="709" w:hanging="283"/>
        <w:jc w:val="both"/>
        <w:rPr>
          <w:rFonts w:ascii="Times New Roman" w:eastAsia="Calibri" w:hAnsi="Times New Roman" w:cs="Times New Roman"/>
          <w:color w:val="000000"/>
          <w:sz w:val="24"/>
        </w:rPr>
      </w:pPr>
      <w:r>
        <w:rPr>
          <w:rFonts w:ascii="Times New Roman" w:eastAsia="Calibri" w:hAnsi="Times New Roman" w:cs="Times New Roman"/>
          <w:sz w:val="24"/>
        </w:rPr>
        <w:t>Atbilstoši prognozēm 2019.</w:t>
      </w:r>
      <w:r w:rsidRPr="003D448B">
        <w:rPr>
          <w:rFonts w:ascii="Times New Roman" w:eastAsia="Calibri" w:hAnsi="Times New Roman" w:cs="Times New Roman"/>
          <w:sz w:val="24"/>
        </w:rPr>
        <w:t>gadā un vidējā termiņā turpinās pieaugt izdevumi atlīdzībai, precēm un pakalpojumiem, kā arī subsīdijām un dotācijām. Savukārt izdevumi sociālajiem pabalstiem lielākoties būs bez ievēro</w:t>
      </w:r>
      <w:r>
        <w:rPr>
          <w:rFonts w:ascii="Times New Roman" w:eastAsia="Calibri" w:hAnsi="Times New Roman" w:cs="Times New Roman"/>
          <w:sz w:val="24"/>
        </w:rPr>
        <w:t>jamām pārmaiņām, aptuveni 2018.</w:t>
      </w:r>
      <w:r w:rsidRPr="003D448B">
        <w:rPr>
          <w:rFonts w:ascii="Times New Roman" w:eastAsia="Calibri" w:hAnsi="Times New Roman" w:cs="Times New Roman"/>
          <w:sz w:val="24"/>
        </w:rPr>
        <w:t xml:space="preserve">gada līmenī. </w:t>
      </w:r>
      <w:r>
        <w:rPr>
          <w:rFonts w:ascii="Times New Roman" w:eastAsia="Calibri" w:hAnsi="Times New Roman" w:cs="Times New Roman"/>
          <w:color w:val="000000"/>
          <w:sz w:val="24"/>
        </w:rPr>
        <w:t>Vienlaikus, 2019.</w:t>
      </w:r>
      <w:r w:rsidRPr="003D448B">
        <w:rPr>
          <w:rFonts w:ascii="Times New Roman" w:eastAsia="Calibri" w:hAnsi="Times New Roman" w:cs="Times New Roman"/>
          <w:color w:val="000000"/>
          <w:sz w:val="24"/>
        </w:rPr>
        <w:t>gadā un vidējā termiņā vietējās valdības budžeta izdevumus, pēc EKS 2010 metodoloģijas, samazina maksājumi par Dienvidu tilta būvniecību, jo izdevumi tika atzīti iepriekšējos gados objekta faktiskās būvniecības laikā.</w:t>
      </w:r>
    </w:p>
    <w:p w:rsidR="00EE1979" w:rsidRPr="00DB1AEB" w:rsidRDefault="00EE1979" w:rsidP="00EE1979">
      <w:pPr>
        <w:spacing w:after="0" w:line="240" w:lineRule="auto"/>
        <w:jc w:val="both"/>
        <w:rPr>
          <w:rFonts w:ascii="Times New Roman" w:hAnsi="Times New Roman"/>
          <w:color w:val="000000"/>
          <w:sz w:val="24"/>
        </w:rPr>
      </w:pPr>
    </w:p>
    <w:p w:rsidR="00EE1979" w:rsidRPr="00D640E8" w:rsidRDefault="00EE1979" w:rsidP="00EE1979">
      <w:pPr>
        <w:spacing w:before="120" w:after="0" w:line="240" w:lineRule="auto"/>
        <w:ind w:firstLine="720"/>
        <w:jc w:val="both"/>
        <w:rPr>
          <w:rFonts w:ascii="Times New Roman" w:hAnsi="Times New Roman" w:cs="Times New Roman"/>
          <w:color w:val="000000"/>
          <w:sz w:val="24"/>
          <w:szCs w:val="24"/>
          <w:highlight w:val="yellow"/>
        </w:rPr>
      </w:pPr>
      <w:r w:rsidRPr="00FD6750">
        <w:rPr>
          <w:rFonts w:ascii="Times New Roman" w:hAnsi="Times New Roman" w:cs="Times New Roman"/>
          <w:color w:val="000000"/>
          <w:sz w:val="24"/>
          <w:szCs w:val="24"/>
        </w:rPr>
        <w:t xml:space="preserve">Atbilstoši fiskālās disciplīnas nosacījumiem, maksimāli pieļaujamais vispārējās valdības budžeta strukturālais deficīts un no tā izrietošais nominālais deficīts tiek noteikts izmantojot lejupvērsto budžeta plānošanas metodi, kas nodrošina tādu bilances mērķu noteikšanu, kas atbilst </w:t>
      </w:r>
      <w:r>
        <w:rPr>
          <w:rFonts w:ascii="Times New Roman" w:hAnsi="Times New Roman" w:cs="Times New Roman"/>
          <w:color w:val="000000"/>
          <w:sz w:val="24"/>
          <w:szCs w:val="24"/>
        </w:rPr>
        <w:t xml:space="preserve">gan </w:t>
      </w:r>
      <w:r w:rsidR="00730998" w:rsidRPr="00341704">
        <w:rPr>
          <w:rFonts w:ascii="Times New Roman" w:hAnsi="Times New Roman" w:cs="Times New Roman"/>
          <w:sz w:val="24"/>
          <w:szCs w:val="24"/>
        </w:rPr>
        <w:t>Fiskālās disciplīnas likum</w:t>
      </w:r>
      <w:r w:rsidR="00730998">
        <w:rPr>
          <w:rFonts w:ascii="Times New Roman" w:hAnsi="Times New Roman" w:cs="Times New Roman"/>
          <w:sz w:val="24"/>
          <w:szCs w:val="24"/>
        </w:rPr>
        <w:t>a</w:t>
      </w:r>
      <w:r w:rsidR="00730998" w:rsidRPr="00341704">
        <w:rPr>
          <w:rFonts w:ascii="Times New Roman" w:hAnsi="Times New Roman" w:cs="Times New Roman"/>
          <w:sz w:val="24"/>
          <w:szCs w:val="24"/>
        </w:rPr>
        <w:t xml:space="preserve"> </w:t>
      </w:r>
      <w:r w:rsidR="00730998">
        <w:rPr>
          <w:rFonts w:ascii="Times New Roman" w:hAnsi="Times New Roman" w:cs="Times New Roman"/>
          <w:sz w:val="24"/>
          <w:szCs w:val="24"/>
        </w:rPr>
        <w:t>(FDL)</w:t>
      </w:r>
      <w:r>
        <w:rPr>
          <w:rFonts w:ascii="Times New Roman" w:hAnsi="Times New Roman" w:cs="Times New Roman"/>
          <w:color w:val="000000"/>
          <w:sz w:val="24"/>
          <w:szCs w:val="24"/>
        </w:rPr>
        <w:t xml:space="preserve">, gan </w:t>
      </w:r>
      <w:r w:rsidRPr="00FD6750">
        <w:rPr>
          <w:rFonts w:ascii="Times New Roman" w:hAnsi="Times New Roman" w:cs="Times New Roman"/>
          <w:color w:val="000000"/>
          <w:sz w:val="24"/>
          <w:szCs w:val="24"/>
        </w:rPr>
        <w:t xml:space="preserve">SIP prasībām. Saskaņā ar šiem nosacījumiem uz Stabilitātes programmas sagatavošanas brīdi 2020. un 2021.gadā vispārējās valdības budžetā ir pieļaujams mazāks deficīts, savukārt 2022.gadā – lielāks deficīts </w:t>
      </w:r>
      <w:r w:rsidRPr="00FD6750">
        <w:rPr>
          <w:rFonts w:ascii="Times New Roman" w:eastAsia="Times New Roman" w:hAnsi="Times New Roman" w:cs="Times New Roman"/>
          <w:color w:val="000000"/>
          <w:sz w:val="24"/>
          <w:szCs w:val="20"/>
        </w:rPr>
        <w:t>nekā tiek paredzēts scenārijā pie nemainīgas politikas, proti, 2020. un 2021. gadā fiskālā telpa ir negatīva, turpretī 2022</w:t>
      </w:r>
      <w:r>
        <w:rPr>
          <w:rFonts w:ascii="Times New Roman" w:eastAsia="Times New Roman" w:hAnsi="Times New Roman" w:cs="Times New Roman"/>
          <w:color w:val="000000"/>
          <w:sz w:val="24"/>
          <w:szCs w:val="20"/>
        </w:rPr>
        <w:t>.</w:t>
      </w:r>
      <w:r w:rsidRPr="00FD6750">
        <w:rPr>
          <w:rFonts w:ascii="Times New Roman" w:eastAsia="Times New Roman" w:hAnsi="Times New Roman" w:cs="Times New Roman"/>
          <w:color w:val="000000"/>
          <w:sz w:val="24"/>
          <w:szCs w:val="20"/>
        </w:rPr>
        <w:t xml:space="preserve">gadā – pozitīva. Līdz ar to, ja pašreizējā brīdī tiktu izstrādāts nākamais gadskārtējais valsts budžeta likums un Ietvara likums, </w:t>
      </w:r>
      <w:r>
        <w:rPr>
          <w:rFonts w:ascii="Times New Roman" w:eastAsia="Times New Roman" w:hAnsi="Times New Roman" w:cs="Times New Roman"/>
          <w:color w:val="000000"/>
          <w:sz w:val="24"/>
          <w:szCs w:val="20"/>
        </w:rPr>
        <w:t>MK</w:t>
      </w:r>
      <w:r w:rsidRPr="00FD6750">
        <w:rPr>
          <w:rFonts w:ascii="Times New Roman" w:eastAsia="Times New Roman" w:hAnsi="Times New Roman" w:cs="Times New Roman"/>
          <w:color w:val="000000"/>
          <w:sz w:val="24"/>
          <w:szCs w:val="20"/>
        </w:rPr>
        <w:t xml:space="preserve"> 2020. un 2021</w:t>
      </w:r>
      <w:r>
        <w:rPr>
          <w:rFonts w:ascii="Times New Roman" w:eastAsia="Times New Roman" w:hAnsi="Times New Roman" w:cs="Times New Roman"/>
          <w:color w:val="000000"/>
          <w:sz w:val="24"/>
          <w:szCs w:val="20"/>
        </w:rPr>
        <w:t>.</w:t>
      </w:r>
      <w:r w:rsidRPr="00FD6750">
        <w:rPr>
          <w:rFonts w:ascii="Times New Roman" w:eastAsia="Times New Roman" w:hAnsi="Times New Roman" w:cs="Times New Roman"/>
          <w:color w:val="000000"/>
          <w:sz w:val="24"/>
          <w:szCs w:val="20"/>
        </w:rPr>
        <w:t>gadā būtu jāpieņem diskrecionārie lēmumi samazinot vispārējās valdības budžeta izdevumus un/vai palielinot ieņēmumus, attiecīgi par 0,04% no IKP un 0,23% no IKP. Savukārt 2022</w:t>
      </w:r>
      <w:r>
        <w:rPr>
          <w:rFonts w:ascii="Times New Roman" w:eastAsia="Times New Roman" w:hAnsi="Times New Roman" w:cs="Times New Roman"/>
          <w:color w:val="000000"/>
          <w:sz w:val="24"/>
          <w:szCs w:val="20"/>
        </w:rPr>
        <w:t>.</w:t>
      </w:r>
      <w:r w:rsidRPr="00FD6750">
        <w:rPr>
          <w:rFonts w:ascii="Times New Roman" w:eastAsia="Times New Roman" w:hAnsi="Times New Roman" w:cs="Times New Roman"/>
          <w:color w:val="000000"/>
          <w:sz w:val="24"/>
          <w:szCs w:val="20"/>
        </w:rPr>
        <w:t>gadā valdības rīcībā būtu pieejami resursi 0,48% no IKP apmērā budžeta prioritāšu finansēšanai. Visos gados nosakot fiskālo telpu tiek ņemta vērā FDL definētā minimālā fiskālā nodrošinājuma rezerve 0,1% no IKP apmērā.</w:t>
      </w:r>
    </w:p>
    <w:p w:rsidR="00EE1979" w:rsidRDefault="00EE1979" w:rsidP="00EE1979">
      <w:pPr>
        <w:spacing w:after="0" w:line="240" w:lineRule="auto"/>
        <w:ind w:firstLine="720"/>
        <w:jc w:val="both"/>
        <w:rPr>
          <w:rFonts w:ascii="Times New Roman" w:hAnsi="Times New Roman" w:cs="Times New Roman"/>
          <w:b/>
          <w:sz w:val="24"/>
          <w:szCs w:val="24"/>
        </w:rPr>
      </w:pPr>
      <w:r w:rsidRPr="002422EE">
        <w:rPr>
          <w:rFonts w:ascii="Times New Roman" w:hAnsi="Times New Roman" w:cs="Times New Roman"/>
          <w:b/>
          <w:sz w:val="24"/>
          <w:szCs w:val="24"/>
        </w:rPr>
        <w:t>Attiecīgi fiskālās attīstības scenārijs paredz vispārējās valdības budžeta deficītu 2019.gadā 0,5% no IKP, 2020.gadā 0,4% no IKP, 2021.gadā 0,2% no IKP un 2022.gadā 0,3% no IKP.</w:t>
      </w:r>
    </w:p>
    <w:p w:rsidR="00EE1979" w:rsidRPr="002422EE" w:rsidRDefault="00EE1979" w:rsidP="00EE1979">
      <w:pPr>
        <w:spacing w:after="0" w:line="240" w:lineRule="auto"/>
        <w:ind w:firstLine="720"/>
        <w:jc w:val="both"/>
        <w:rPr>
          <w:rFonts w:ascii="Times New Roman" w:hAnsi="Times New Roman" w:cs="Times New Roman"/>
          <w:b/>
          <w:color w:val="000000"/>
          <w:sz w:val="24"/>
          <w:szCs w:val="24"/>
        </w:rPr>
      </w:pPr>
    </w:p>
    <w:p w:rsidR="00EE1979" w:rsidRPr="00EE1979" w:rsidRDefault="00EE1979" w:rsidP="00EE1979">
      <w:pPr>
        <w:tabs>
          <w:tab w:val="left" w:pos="3210"/>
        </w:tabs>
        <w:jc w:val="right"/>
        <w:rPr>
          <w:rFonts w:ascii="Times New Roman" w:eastAsiaTheme="minorHAnsi" w:hAnsi="Times New Roman"/>
          <w:b/>
          <w:sz w:val="24"/>
          <w:szCs w:val="24"/>
        </w:rPr>
      </w:pPr>
      <w:r w:rsidRPr="00EE1979">
        <w:rPr>
          <w:rFonts w:ascii="Times New Roman" w:eastAsiaTheme="minorHAnsi" w:hAnsi="Times New Roman"/>
          <w:b/>
          <w:sz w:val="24"/>
          <w:szCs w:val="24"/>
        </w:rPr>
        <w:t>3.10. tabula. Vidējā termiņa fiskālās attīstības scenārijs, % no IKP</w:t>
      </w:r>
    </w:p>
    <w:tbl>
      <w:tblPr>
        <w:tblStyle w:val="TableGrid63"/>
        <w:tblW w:w="8573" w:type="dxa"/>
        <w:jc w:val="center"/>
        <w:tblBorders>
          <w:top w:val="single" w:sz="12" w:space="0" w:color="5B9BD5"/>
          <w:left w:val="single" w:sz="12" w:space="0" w:color="5B9BD5"/>
          <w:bottom w:val="single" w:sz="12" w:space="0" w:color="5B9BD5"/>
          <w:right w:val="single" w:sz="12" w:space="0" w:color="5B9BD5"/>
          <w:insideH w:val="single" w:sz="12" w:space="0" w:color="5B9BD5"/>
          <w:insideV w:val="single" w:sz="12" w:space="0" w:color="5B9BD5"/>
        </w:tblBorders>
        <w:tblLayout w:type="fixed"/>
        <w:tblLook w:val="0000" w:firstRow="0" w:lastRow="0" w:firstColumn="0" w:lastColumn="0" w:noHBand="0" w:noVBand="0"/>
      </w:tblPr>
      <w:tblGrid>
        <w:gridCol w:w="3187"/>
        <w:gridCol w:w="1044"/>
        <w:gridCol w:w="940"/>
        <w:gridCol w:w="851"/>
        <w:gridCol w:w="850"/>
        <w:gridCol w:w="851"/>
        <w:gridCol w:w="850"/>
      </w:tblGrid>
      <w:tr w:rsidR="00EE1979" w:rsidRPr="00EE1979" w:rsidTr="00135E60">
        <w:trPr>
          <w:jc w:val="center"/>
        </w:trPr>
        <w:tc>
          <w:tcPr>
            <w:tcW w:w="3187" w:type="dxa"/>
            <w:shd w:val="clear" w:color="auto" w:fill="DEEAF6"/>
          </w:tcPr>
          <w:p w:rsidR="00EE1979" w:rsidRPr="00EE1979" w:rsidRDefault="00EE1979" w:rsidP="00EE1979">
            <w:pPr>
              <w:spacing w:after="0" w:line="240" w:lineRule="auto"/>
              <w:jc w:val="center"/>
              <w:rPr>
                <w:rFonts w:ascii="Times New Roman" w:eastAsia="Times New Roman" w:hAnsi="Times New Roman" w:cs="Times New Roman"/>
                <w:b/>
                <w:sz w:val="20"/>
                <w:szCs w:val="20"/>
              </w:rPr>
            </w:pPr>
          </w:p>
        </w:tc>
        <w:tc>
          <w:tcPr>
            <w:tcW w:w="1044" w:type="dxa"/>
            <w:shd w:val="clear" w:color="auto" w:fill="DEEAF6"/>
          </w:tcPr>
          <w:p w:rsidR="00EE1979" w:rsidRPr="00EE1979" w:rsidRDefault="00EE1979" w:rsidP="00EE1979">
            <w:pPr>
              <w:spacing w:after="0" w:line="240" w:lineRule="auto"/>
              <w:jc w:val="center"/>
              <w:rPr>
                <w:rFonts w:ascii="Times New Roman" w:eastAsia="Times New Roman" w:hAnsi="Times New Roman" w:cs="Times New Roman"/>
                <w:b/>
                <w:sz w:val="20"/>
                <w:szCs w:val="20"/>
              </w:rPr>
            </w:pPr>
          </w:p>
        </w:tc>
        <w:tc>
          <w:tcPr>
            <w:tcW w:w="940" w:type="dxa"/>
            <w:shd w:val="clear" w:color="auto" w:fill="DEEAF6"/>
          </w:tcPr>
          <w:p w:rsidR="00EE1979" w:rsidRPr="00EE1979" w:rsidRDefault="00EE1979" w:rsidP="00EE1979">
            <w:pPr>
              <w:spacing w:after="0" w:line="240" w:lineRule="auto"/>
              <w:jc w:val="center"/>
              <w:rPr>
                <w:rFonts w:ascii="Times New Roman" w:eastAsia="Times New Roman" w:hAnsi="Times New Roman" w:cs="Times New Roman"/>
                <w:b/>
                <w:sz w:val="20"/>
                <w:szCs w:val="20"/>
              </w:rPr>
            </w:pPr>
            <w:r w:rsidRPr="00EE1979">
              <w:rPr>
                <w:rFonts w:ascii="Times New Roman" w:eastAsia="Times New Roman" w:hAnsi="Times New Roman" w:cs="Times New Roman"/>
                <w:b/>
                <w:sz w:val="20"/>
                <w:szCs w:val="20"/>
              </w:rPr>
              <w:t>2018</w:t>
            </w:r>
          </w:p>
        </w:tc>
        <w:tc>
          <w:tcPr>
            <w:tcW w:w="851" w:type="dxa"/>
            <w:shd w:val="clear" w:color="auto" w:fill="DEEAF6"/>
          </w:tcPr>
          <w:p w:rsidR="00EE1979" w:rsidRPr="00EE1979" w:rsidRDefault="00EE1979" w:rsidP="00EE1979">
            <w:pPr>
              <w:spacing w:after="0" w:line="240" w:lineRule="auto"/>
              <w:jc w:val="center"/>
              <w:rPr>
                <w:rFonts w:ascii="Times New Roman" w:eastAsia="Times New Roman" w:hAnsi="Times New Roman" w:cs="Times New Roman"/>
                <w:b/>
                <w:sz w:val="20"/>
                <w:szCs w:val="20"/>
              </w:rPr>
            </w:pPr>
            <w:r w:rsidRPr="00EE1979">
              <w:rPr>
                <w:rFonts w:ascii="Times New Roman" w:eastAsia="Times New Roman" w:hAnsi="Times New Roman" w:cs="Times New Roman"/>
                <w:b/>
                <w:sz w:val="20"/>
                <w:szCs w:val="20"/>
              </w:rPr>
              <w:t>2019</w:t>
            </w:r>
          </w:p>
        </w:tc>
        <w:tc>
          <w:tcPr>
            <w:tcW w:w="850" w:type="dxa"/>
            <w:shd w:val="clear" w:color="auto" w:fill="DEEAF6"/>
          </w:tcPr>
          <w:p w:rsidR="00EE1979" w:rsidRPr="00EE1979" w:rsidRDefault="00EE1979" w:rsidP="00EE1979">
            <w:pPr>
              <w:spacing w:after="0" w:line="240" w:lineRule="auto"/>
              <w:jc w:val="center"/>
              <w:rPr>
                <w:rFonts w:ascii="Times New Roman" w:eastAsia="Times New Roman" w:hAnsi="Times New Roman" w:cs="Times New Roman"/>
                <w:b/>
                <w:sz w:val="20"/>
                <w:szCs w:val="20"/>
              </w:rPr>
            </w:pPr>
            <w:r w:rsidRPr="00EE1979">
              <w:rPr>
                <w:rFonts w:ascii="Times New Roman" w:eastAsia="Times New Roman" w:hAnsi="Times New Roman" w:cs="Times New Roman"/>
                <w:b/>
                <w:sz w:val="20"/>
                <w:szCs w:val="20"/>
              </w:rPr>
              <w:t>2020</w:t>
            </w:r>
          </w:p>
        </w:tc>
        <w:tc>
          <w:tcPr>
            <w:tcW w:w="851" w:type="dxa"/>
            <w:shd w:val="clear" w:color="auto" w:fill="DEEAF6"/>
          </w:tcPr>
          <w:p w:rsidR="00EE1979" w:rsidRPr="00EE1979" w:rsidRDefault="00EE1979" w:rsidP="00EE1979">
            <w:pPr>
              <w:spacing w:after="0" w:line="240" w:lineRule="auto"/>
              <w:jc w:val="center"/>
              <w:rPr>
                <w:rFonts w:ascii="Times New Roman" w:eastAsia="Times New Roman" w:hAnsi="Times New Roman" w:cs="Times New Roman"/>
                <w:b/>
                <w:sz w:val="20"/>
                <w:szCs w:val="20"/>
              </w:rPr>
            </w:pPr>
            <w:r w:rsidRPr="00EE1979">
              <w:rPr>
                <w:rFonts w:ascii="Times New Roman" w:eastAsia="Times New Roman" w:hAnsi="Times New Roman" w:cs="Times New Roman"/>
                <w:b/>
                <w:sz w:val="20"/>
                <w:szCs w:val="20"/>
              </w:rPr>
              <w:t>2021</w:t>
            </w:r>
          </w:p>
        </w:tc>
        <w:tc>
          <w:tcPr>
            <w:tcW w:w="850" w:type="dxa"/>
            <w:shd w:val="clear" w:color="auto" w:fill="DEEAF6"/>
          </w:tcPr>
          <w:p w:rsidR="00EE1979" w:rsidRPr="00EE1979" w:rsidRDefault="00EE1979" w:rsidP="00EE1979">
            <w:pPr>
              <w:spacing w:after="0" w:line="240" w:lineRule="auto"/>
              <w:jc w:val="center"/>
              <w:rPr>
                <w:rFonts w:ascii="Times New Roman" w:eastAsia="Times New Roman" w:hAnsi="Times New Roman" w:cs="Times New Roman"/>
                <w:b/>
                <w:sz w:val="20"/>
                <w:szCs w:val="20"/>
              </w:rPr>
            </w:pPr>
            <w:r w:rsidRPr="00EE1979">
              <w:rPr>
                <w:rFonts w:ascii="Times New Roman" w:eastAsia="Times New Roman" w:hAnsi="Times New Roman" w:cs="Times New Roman"/>
                <w:b/>
                <w:sz w:val="20"/>
                <w:szCs w:val="20"/>
              </w:rPr>
              <w:t>2022</w:t>
            </w:r>
          </w:p>
        </w:tc>
      </w:tr>
      <w:tr w:rsidR="00EE1979" w:rsidRPr="00EE1979" w:rsidTr="00135E60">
        <w:trPr>
          <w:jc w:val="center"/>
        </w:trPr>
        <w:tc>
          <w:tcPr>
            <w:tcW w:w="3187" w:type="dxa"/>
          </w:tcPr>
          <w:p w:rsidR="00EE1979" w:rsidRPr="00EE1979" w:rsidRDefault="00EE1979" w:rsidP="00EE1979">
            <w:pPr>
              <w:spacing w:after="0" w:line="240" w:lineRule="auto"/>
              <w:rPr>
                <w:rFonts w:ascii="Times New Roman" w:eastAsia="Times New Roman" w:hAnsi="Times New Roman" w:cs="Times New Roman"/>
                <w:sz w:val="20"/>
                <w:szCs w:val="20"/>
              </w:rPr>
            </w:pPr>
          </w:p>
        </w:tc>
        <w:tc>
          <w:tcPr>
            <w:tcW w:w="1044" w:type="dxa"/>
          </w:tcPr>
          <w:p w:rsidR="00EE1979" w:rsidRPr="00EE1979" w:rsidRDefault="00EE1979" w:rsidP="00EE1979">
            <w:pPr>
              <w:spacing w:after="0" w:line="240" w:lineRule="auto"/>
              <w:jc w:val="center"/>
              <w:rPr>
                <w:rFonts w:ascii="Times New Roman" w:eastAsia="Times New Roman" w:hAnsi="Times New Roman" w:cs="Times New Roman"/>
                <w:sz w:val="20"/>
                <w:szCs w:val="20"/>
              </w:rPr>
            </w:pPr>
            <w:r w:rsidRPr="00EE1979">
              <w:rPr>
                <w:rFonts w:ascii="Times New Roman" w:eastAsia="Times New Roman" w:hAnsi="Times New Roman" w:cs="Times New Roman"/>
                <w:sz w:val="20"/>
                <w:szCs w:val="20"/>
              </w:rPr>
              <w:t>EKS kods</w:t>
            </w:r>
          </w:p>
        </w:tc>
        <w:tc>
          <w:tcPr>
            <w:tcW w:w="4342" w:type="dxa"/>
            <w:gridSpan w:val="5"/>
          </w:tcPr>
          <w:p w:rsidR="00EE1979" w:rsidRPr="00EE1979" w:rsidRDefault="00EE1979" w:rsidP="00EE1979">
            <w:pPr>
              <w:spacing w:after="0" w:line="240" w:lineRule="auto"/>
              <w:jc w:val="center"/>
              <w:rPr>
                <w:rFonts w:ascii="Times New Roman" w:eastAsia="Times New Roman" w:hAnsi="Times New Roman" w:cs="Times New Roman"/>
                <w:sz w:val="20"/>
                <w:szCs w:val="20"/>
              </w:rPr>
            </w:pPr>
            <w:r w:rsidRPr="00EE1979">
              <w:rPr>
                <w:rFonts w:ascii="Times New Roman" w:eastAsia="Times New Roman" w:hAnsi="Times New Roman" w:cs="Times New Roman"/>
                <w:sz w:val="20"/>
                <w:szCs w:val="20"/>
              </w:rPr>
              <w:t>% no IKP</w:t>
            </w:r>
          </w:p>
        </w:tc>
      </w:tr>
      <w:tr w:rsidR="00EE1979" w:rsidRPr="00EE1979" w:rsidTr="00135E60">
        <w:trPr>
          <w:jc w:val="center"/>
        </w:trPr>
        <w:tc>
          <w:tcPr>
            <w:tcW w:w="8573" w:type="dxa"/>
            <w:gridSpan w:val="7"/>
            <w:shd w:val="clear" w:color="auto" w:fill="DEEAF6"/>
          </w:tcPr>
          <w:p w:rsidR="00EE1979" w:rsidRPr="00EE1979" w:rsidRDefault="00EE1979" w:rsidP="00EE1979">
            <w:pPr>
              <w:spacing w:after="0" w:line="240" w:lineRule="auto"/>
              <w:ind w:firstLine="720"/>
              <w:jc w:val="center"/>
              <w:rPr>
                <w:rFonts w:ascii="Times New Roman" w:eastAsia="Times New Roman" w:hAnsi="Times New Roman" w:cs="Times New Roman"/>
                <w:b/>
                <w:noProof/>
                <w:snapToGrid w:val="0"/>
                <w:sz w:val="20"/>
                <w:szCs w:val="20"/>
              </w:rPr>
            </w:pPr>
            <w:r w:rsidRPr="00EE1979">
              <w:rPr>
                <w:rFonts w:ascii="Times New Roman" w:eastAsia="Times New Roman" w:hAnsi="Times New Roman" w:cs="Times New Roman"/>
                <w:b/>
                <w:snapToGrid w:val="0"/>
                <w:sz w:val="20"/>
                <w:szCs w:val="20"/>
              </w:rPr>
              <w:t xml:space="preserve">Neto aizdevumi (+) vai aizņēmumi (-) (B.9) pa </w:t>
            </w:r>
            <w:r w:rsidRPr="00EE1979">
              <w:rPr>
                <w:rFonts w:ascii="Times New Roman" w:eastAsia="Times New Roman" w:hAnsi="Times New Roman" w:cs="Times New Roman"/>
                <w:b/>
                <w:noProof/>
                <w:snapToGrid w:val="0"/>
                <w:sz w:val="20"/>
                <w:szCs w:val="20"/>
              </w:rPr>
              <w:t>apakšsektoriem</w:t>
            </w:r>
          </w:p>
        </w:tc>
      </w:tr>
      <w:tr w:rsidR="00EE1979" w:rsidRPr="00EE1979" w:rsidTr="00135E60">
        <w:trPr>
          <w:jc w:val="center"/>
        </w:trPr>
        <w:tc>
          <w:tcPr>
            <w:tcW w:w="3187" w:type="dxa"/>
          </w:tcPr>
          <w:p w:rsidR="00EE1979" w:rsidRPr="00EE1979" w:rsidRDefault="00EE1979" w:rsidP="00EE1979">
            <w:pPr>
              <w:spacing w:after="0" w:line="240" w:lineRule="auto"/>
              <w:rPr>
                <w:rFonts w:ascii="Times New Roman" w:eastAsia="Times New Roman" w:hAnsi="Times New Roman" w:cs="Times New Roman"/>
                <w:b/>
                <w:snapToGrid w:val="0"/>
                <w:sz w:val="20"/>
                <w:szCs w:val="20"/>
              </w:rPr>
            </w:pPr>
            <w:r w:rsidRPr="00EE1979">
              <w:rPr>
                <w:rFonts w:ascii="Times New Roman" w:eastAsia="Times New Roman" w:hAnsi="Times New Roman" w:cs="Times New Roman"/>
                <w:b/>
                <w:snapToGrid w:val="0"/>
                <w:sz w:val="20"/>
                <w:szCs w:val="20"/>
              </w:rPr>
              <w:t>Vispārējā valdība</w:t>
            </w:r>
          </w:p>
        </w:tc>
        <w:tc>
          <w:tcPr>
            <w:tcW w:w="1044" w:type="dxa"/>
          </w:tcPr>
          <w:p w:rsidR="00EE1979" w:rsidRPr="00EE1979" w:rsidRDefault="00EE1979" w:rsidP="00EE1979">
            <w:pPr>
              <w:spacing w:after="0" w:line="240" w:lineRule="auto"/>
              <w:jc w:val="center"/>
              <w:rPr>
                <w:rFonts w:ascii="Times New Roman" w:eastAsia="Times New Roman" w:hAnsi="Times New Roman" w:cs="Times New Roman"/>
                <w:sz w:val="20"/>
                <w:szCs w:val="20"/>
              </w:rPr>
            </w:pPr>
            <w:r w:rsidRPr="00EE1979">
              <w:rPr>
                <w:rFonts w:ascii="Times New Roman" w:eastAsia="Times New Roman" w:hAnsi="Times New Roman" w:cs="Times New Roman"/>
                <w:sz w:val="20"/>
                <w:szCs w:val="20"/>
              </w:rPr>
              <w:t>S.13</w:t>
            </w:r>
          </w:p>
        </w:tc>
        <w:tc>
          <w:tcPr>
            <w:tcW w:w="940" w:type="dxa"/>
            <w:vAlign w:val="center"/>
          </w:tcPr>
          <w:p w:rsidR="00EE1979" w:rsidRPr="00EE1979" w:rsidRDefault="00EE1979" w:rsidP="00EE1979">
            <w:pPr>
              <w:spacing w:after="0" w:line="240" w:lineRule="auto"/>
              <w:jc w:val="center"/>
              <w:rPr>
                <w:rFonts w:ascii="Times New Roman" w:eastAsia="Times New Roman" w:hAnsi="Times New Roman" w:cs="Times New Roman"/>
                <w:bCs/>
                <w:sz w:val="20"/>
                <w:szCs w:val="20"/>
                <w:lang w:eastAsia="lv-LV"/>
              </w:rPr>
            </w:pPr>
            <w:r w:rsidRPr="00EE1979">
              <w:rPr>
                <w:rFonts w:ascii="Times New Roman" w:eastAsia="Times New Roman" w:hAnsi="Times New Roman" w:cs="Times New Roman"/>
                <w:bCs/>
                <w:sz w:val="20"/>
                <w:szCs w:val="20"/>
                <w:lang w:eastAsia="lv-LV"/>
              </w:rPr>
              <w:t>-1,0</w:t>
            </w:r>
          </w:p>
        </w:tc>
        <w:tc>
          <w:tcPr>
            <w:tcW w:w="851" w:type="dxa"/>
            <w:vAlign w:val="center"/>
          </w:tcPr>
          <w:p w:rsidR="00EE1979" w:rsidRPr="00EE1979" w:rsidRDefault="00EE1979" w:rsidP="00EE1979">
            <w:pPr>
              <w:spacing w:after="0" w:line="240" w:lineRule="auto"/>
              <w:jc w:val="center"/>
              <w:rPr>
                <w:rFonts w:ascii="Times New Roman" w:eastAsia="Times New Roman" w:hAnsi="Times New Roman" w:cs="Times New Roman"/>
                <w:bCs/>
                <w:sz w:val="20"/>
                <w:szCs w:val="20"/>
                <w:lang w:eastAsia="lv-LV"/>
              </w:rPr>
            </w:pPr>
            <w:r w:rsidRPr="00EE1979">
              <w:rPr>
                <w:rFonts w:ascii="Times New Roman" w:eastAsia="Times New Roman" w:hAnsi="Times New Roman" w:cs="Times New Roman"/>
                <w:bCs/>
                <w:sz w:val="20"/>
                <w:szCs w:val="20"/>
                <w:lang w:eastAsia="lv-LV"/>
              </w:rPr>
              <w:t>-0,5</w:t>
            </w:r>
          </w:p>
        </w:tc>
        <w:tc>
          <w:tcPr>
            <w:tcW w:w="850" w:type="dxa"/>
            <w:vAlign w:val="center"/>
          </w:tcPr>
          <w:p w:rsidR="00EE1979" w:rsidRPr="00EE1979" w:rsidRDefault="00EE1979" w:rsidP="00EE1979">
            <w:pPr>
              <w:spacing w:after="0" w:line="240" w:lineRule="auto"/>
              <w:jc w:val="center"/>
              <w:rPr>
                <w:rFonts w:ascii="Times New Roman" w:eastAsia="Times New Roman" w:hAnsi="Times New Roman" w:cs="Times New Roman"/>
                <w:bCs/>
                <w:sz w:val="20"/>
                <w:szCs w:val="20"/>
                <w:lang w:eastAsia="lv-LV"/>
              </w:rPr>
            </w:pPr>
            <w:r w:rsidRPr="00EE1979">
              <w:rPr>
                <w:rFonts w:ascii="Times New Roman" w:eastAsia="Times New Roman" w:hAnsi="Times New Roman" w:cs="Times New Roman"/>
                <w:bCs/>
                <w:sz w:val="20"/>
                <w:szCs w:val="20"/>
                <w:lang w:eastAsia="lv-LV"/>
              </w:rPr>
              <w:t>-0,4</w:t>
            </w:r>
          </w:p>
        </w:tc>
        <w:tc>
          <w:tcPr>
            <w:tcW w:w="851" w:type="dxa"/>
            <w:vAlign w:val="center"/>
          </w:tcPr>
          <w:p w:rsidR="00EE1979" w:rsidRPr="00EE1979" w:rsidRDefault="00EE1979" w:rsidP="00EE1979">
            <w:pPr>
              <w:spacing w:after="0" w:line="240" w:lineRule="auto"/>
              <w:jc w:val="center"/>
              <w:rPr>
                <w:rFonts w:ascii="Times New Roman" w:eastAsia="Times New Roman" w:hAnsi="Times New Roman" w:cs="Times New Roman"/>
                <w:bCs/>
                <w:sz w:val="20"/>
                <w:szCs w:val="20"/>
                <w:lang w:eastAsia="lv-LV"/>
              </w:rPr>
            </w:pPr>
            <w:r w:rsidRPr="00EE1979">
              <w:rPr>
                <w:rFonts w:ascii="Times New Roman" w:eastAsia="Times New Roman" w:hAnsi="Times New Roman" w:cs="Times New Roman"/>
                <w:bCs/>
                <w:sz w:val="20"/>
                <w:szCs w:val="20"/>
                <w:lang w:eastAsia="lv-LV"/>
              </w:rPr>
              <w:t>-0,2</w:t>
            </w:r>
          </w:p>
        </w:tc>
        <w:tc>
          <w:tcPr>
            <w:tcW w:w="850" w:type="dxa"/>
            <w:vAlign w:val="center"/>
          </w:tcPr>
          <w:p w:rsidR="00EE1979" w:rsidRPr="00EE1979" w:rsidRDefault="00EE1979" w:rsidP="00EE1979">
            <w:pPr>
              <w:spacing w:after="0" w:line="240" w:lineRule="auto"/>
              <w:jc w:val="center"/>
              <w:rPr>
                <w:rFonts w:ascii="Times New Roman" w:eastAsia="Times New Roman" w:hAnsi="Times New Roman" w:cs="Times New Roman"/>
                <w:bCs/>
                <w:sz w:val="20"/>
                <w:szCs w:val="20"/>
                <w:lang w:eastAsia="lv-LV"/>
              </w:rPr>
            </w:pPr>
            <w:r w:rsidRPr="00EE1979">
              <w:rPr>
                <w:rFonts w:ascii="Times New Roman" w:eastAsia="Times New Roman" w:hAnsi="Times New Roman" w:cs="Times New Roman"/>
                <w:bCs/>
                <w:sz w:val="20"/>
                <w:szCs w:val="20"/>
                <w:lang w:eastAsia="lv-LV"/>
              </w:rPr>
              <w:t>-0,3</w:t>
            </w:r>
          </w:p>
        </w:tc>
      </w:tr>
      <w:tr w:rsidR="00EE1979" w:rsidRPr="00EE1979" w:rsidTr="00135E60">
        <w:trPr>
          <w:jc w:val="center"/>
        </w:trPr>
        <w:tc>
          <w:tcPr>
            <w:tcW w:w="3187" w:type="dxa"/>
          </w:tcPr>
          <w:p w:rsidR="00EE1979" w:rsidRPr="00EE1979" w:rsidRDefault="00EE1979" w:rsidP="00EE1979">
            <w:pPr>
              <w:spacing w:after="0" w:line="240" w:lineRule="auto"/>
              <w:rPr>
                <w:rFonts w:ascii="Times New Roman" w:eastAsia="Times New Roman" w:hAnsi="Times New Roman" w:cs="Times New Roman"/>
                <w:b/>
                <w:snapToGrid w:val="0"/>
                <w:sz w:val="20"/>
                <w:szCs w:val="20"/>
              </w:rPr>
            </w:pPr>
            <w:r w:rsidRPr="00EE1979">
              <w:rPr>
                <w:rFonts w:ascii="Times New Roman" w:eastAsia="Times New Roman" w:hAnsi="Times New Roman" w:cs="Times New Roman"/>
                <w:b/>
                <w:snapToGrid w:val="0"/>
                <w:sz w:val="20"/>
                <w:szCs w:val="20"/>
              </w:rPr>
              <w:t>Centrālā valdība</w:t>
            </w:r>
          </w:p>
        </w:tc>
        <w:tc>
          <w:tcPr>
            <w:tcW w:w="1044" w:type="dxa"/>
          </w:tcPr>
          <w:p w:rsidR="00EE1979" w:rsidRPr="00EE1979" w:rsidRDefault="00EE1979" w:rsidP="00EE1979">
            <w:pPr>
              <w:spacing w:after="0" w:line="240" w:lineRule="auto"/>
              <w:jc w:val="center"/>
              <w:rPr>
                <w:rFonts w:ascii="Times New Roman" w:eastAsia="Times New Roman" w:hAnsi="Times New Roman" w:cs="Times New Roman"/>
                <w:sz w:val="20"/>
                <w:szCs w:val="20"/>
              </w:rPr>
            </w:pPr>
            <w:r w:rsidRPr="00EE1979">
              <w:rPr>
                <w:rFonts w:ascii="Times New Roman" w:eastAsia="Times New Roman" w:hAnsi="Times New Roman" w:cs="Times New Roman"/>
                <w:sz w:val="20"/>
                <w:szCs w:val="20"/>
              </w:rPr>
              <w:t>S.1311</w:t>
            </w:r>
          </w:p>
        </w:tc>
        <w:tc>
          <w:tcPr>
            <w:tcW w:w="940" w:type="dxa"/>
            <w:vAlign w:val="center"/>
          </w:tcPr>
          <w:p w:rsidR="00EE1979" w:rsidRPr="00EE1979" w:rsidRDefault="00EE1979" w:rsidP="00EE1979">
            <w:pPr>
              <w:spacing w:after="0" w:line="240" w:lineRule="auto"/>
              <w:jc w:val="center"/>
              <w:rPr>
                <w:rFonts w:ascii="Times New Roman" w:eastAsia="Times New Roman" w:hAnsi="Times New Roman" w:cs="Times New Roman"/>
                <w:bCs/>
                <w:sz w:val="20"/>
                <w:szCs w:val="20"/>
                <w:lang w:eastAsia="lv-LV"/>
              </w:rPr>
            </w:pPr>
            <w:r w:rsidRPr="00EE1979">
              <w:rPr>
                <w:rFonts w:ascii="Times New Roman" w:eastAsia="Times New Roman" w:hAnsi="Times New Roman" w:cs="Times New Roman"/>
                <w:bCs/>
                <w:sz w:val="20"/>
                <w:szCs w:val="20"/>
                <w:lang w:eastAsia="lv-LV"/>
              </w:rPr>
              <w:t>-1,1</w:t>
            </w:r>
          </w:p>
        </w:tc>
        <w:tc>
          <w:tcPr>
            <w:tcW w:w="851" w:type="dxa"/>
            <w:vAlign w:val="center"/>
          </w:tcPr>
          <w:p w:rsidR="00EE1979" w:rsidRPr="00EE1979" w:rsidRDefault="00EE1979" w:rsidP="00EE1979">
            <w:pPr>
              <w:spacing w:after="0" w:line="240" w:lineRule="auto"/>
              <w:jc w:val="center"/>
              <w:rPr>
                <w:rFonts w:ascii="Times New Roman" w:eastAsia="Times New Roman" w:hAnsi="Times New Roman" w:cs="Times New Roman"/>
                <w:bCs/>
                <w:sz w:val="20"/>
                <w:szCs w:val="20"/>
                <w:lang w:eastAsia="lv-LV"/>
              </w:rPr>
            </w:pPr>
            <w:r w:rsidRPr="00EE1979">
              <w:rPr>
                <w:rFonts w:ascii="Times New Roman" w:eastAsia="Times New Roman" w:hAnsi="Times New Roman" w:cs="Times New Roman"/>
                <w:bCs/>
                <w:sz w:val="20"/>
                <w:szCs w:val="20"/>
                <w:lang w:eastAsia="lv-LV"/>
              </w:rPr>
              <w:t>-0,9</w:t>
            </w:r>
          </w:p>
        </w:tc>
        <w:tc>
          <w:tcPr>
            <w:tcW w:w="850" w:type="dxa"/>
            <w:vAlign w:val="center"/>
          </w:tcPr>
          <w:p w:rsidR="00EE1979" w:rsidRPr="00EE1979" w:rsidRDefault="00EE1979" w:rsidP="00EE1979">
            <w:pPr>
              <w:spacing w:after="0" w:line="240" w:lineRule="auto"/>
              <w:jc w:val="center"/>
              <w:rPr>
                <w:rFonts w:ascii="Times New Roman" w:eastAsia="Times New Roman" w:hAnsi="Times New Roman" w:cs="Times New Roman"/>
                <w:bCs/>
                <w:sz w:val="20"/>
                <w:szCs w:val="20"/>
                <w:lang w:eastAsia="lv-LV"/>
              </w:rPr>
            </w:pPr>
            <w:r w:rsidRPr="00EE1979">
              <w:rPr>
                <w:rFonts w:ascii="Times New Roman" w:eastAsia="Times New Roman" w:hAnsi="Times New Roman" w:cs="Times New Roman"/>
                <w:bCs/>
                <w:sz w:val="20"/>
                <w:szCs w:val="20"/>
                <w:lang w:eastAsia="lv-LV"/>
              </w:rPr>
              <w:t>-0,8</w:t>
            </w:r>
          </w:p>
        </w:tc>
        <w:tc>
          <w:tcPr>
            <w:tcW w:w="851" w:type="dxa"/>
            <w:vAlign w:val="center"/>
          </w:tcPr>
          <w:p w:rsidR="00EE1979" w:rsidRPr="00EE1979" w:rsidRDefault="00EE1979" w:rsidP="00EE1979">
            <w:pPr>
              <w:spacing w:after="0" w:line="240" w:lineRule="auto"/>
              <w:jc w:val="center"/>
              <w:rPr>
                <w:rFonts w:ascii="Times New Roman" w:eastAsia="Times New Roman" w:hAnsi="Times New Roman" w:cs="Times New Roman"/>
                <w:bCs/>
                <w:sz w:val="20"/>
                <w:szCs w:val="20"/>
                <w:lang w:eastAsia="lv-LV"/>
              </w:rPr>
            </w:pPr>
            <w:r w:rsidRPr="00EE1979">
              <w:rPr>
                <w:rFonts w:ascii="Times New Roman" w:eastAsia="Times New Roman" w:hAnsi="Times New Roman" w:cs="Times New Roman"/>
                <w:bCs/>
                <w:sz w:val="20"/>
                <w:szCs w:val="20"/>
                <w:lang w:eastAsia="lv-LV"/>
              </w:rPr>
              <w:t>-0,5</w:t>
            </w:r>
          </w:p>
        </w:tc>
        <w:tc>
          <w:tcPr>
            <w:tcW w:w="850" w:type="dxa"/>
            <w:vAlign w:val="center"/>
          </w:tcPr>
          <w:p w:rsidR="00EE1979" w:rsidRPr="00EE1979" w:rsidRDefault="00EE1979" w:rsidP="00EE1979">
            <w:pPr>
              <w:spacing w:after="0" w:line="240" w:lineRule="auto"/>
              <w:jc w:val="center"/>
              <w:rPr>
                <w:rFonts w:ascii="Times New Roman" w:eastAsia="Times New Roman" w:hAnsi="Times New Roman" w:cs="Times New Roman"/>
                <w:bCs/>
                <w:sz w:val="20"/>
                <w:szCs w:val="20"/>
                <w:lang w:eastAsia="lv-LV"/>
              </w:rPr>
            </w:pPr>
            <w:r w:rsidRPr="00EE1979">
              <w:rPr>
                <w:rFonts w:ascii="Times New Roman" w:eastAsia="Times New Roman" w:hAnsi="Times New Roman" w:cs="Times New Roman"/>
                <w:bCs/>
                <w:sz w:val="20"/>
                <w:szCs w:val="20"/>
                <w:lang w:eastAsia="lv-LV"/>
              </w:rPr>
              <w:t>-0,6</w:t>
            </w:r>
          </w:p>
        </w:tc>
      </w:tr>
      <w:tr w:rsidR="00EE1979" w:rsidRPr="00EE1979" w:rsidTr="00135E60">
        <w:trPr>
          <w:jc w:val="center"/>
        </w:trPr>
        <w:tc>
          <w:tcPr>
            <w:tcW w:w="3187" w:type="dxa"/>
          </w:tcPr>
          <w:p w:rsidR="00EE1979" w:rsidRPr="00EE1979" w:rsidRDefault="00EE1979" w:rsidP="00EE1979">
            <w:pPr>
              <w:spacing w:after="0" w:line="240" w:lineRule="auto"/>
              <w:rPr>
                <w:rFonts w:ascii="Times New Roman" w:eastAsia="Times New Roman" w:hAnsi="Times New Roman" w:cs="Times New Roman"/>
                <w:b/>
                <w:snapToGrid w:val="0"/>
                <w:sz w:val="20"/>
                <w:szCs w:val="20"/>
              </w:rPr>
            </w:pPr>
            <w:r w:rsidRPr="00EE1979">
              <w:rPr>
                <w:rFonts w:ascii="Times New Roman" w:eastAsia="Times New Roman" w:hAnsi="Times New Roman" w:cs="Times New Roman"/>
                <w:b/>
                <w:snapToGrid w:val="0"/>
                <w:sz w:val="20"/>
                <w:szCs w:val="20"/>
              </w:rPr>
              <w:t>Vietējā valdība</w:t>
            </w:r>
          </w:p>
        </w:tc>
        <w:tc>
          <w:tcPr>
            <w:tcW w:w="1044" w:type="dxa"/>
          </w:tcPr>
          <w:p w:rsidR="00EE1979" w:rsidRPr="00EE1979" w:rsidRDefault="00EE1979" w:rsidP="00EE1979">
            <w:pPr>
              <w:spacing w:after="0" w:line="240" w:lineRule="auto"/>
              <w:jc w:val="center"/>
              <w:rPr>
                <w:rFonts w:ascii="Times New Roman" w:eastAsia="Times New Roman" w:hAnsi="Times New Roman" w:cs="Times New Roman"/>
                <w:sz w:val="20"/>
                <w:szCs w:val="20"/>
              </w:rPr>
            </w:pPr>
            <w:r w:rsidRPr="00EE1979">
              <w:rPr>
                <w:rFonts w:ascii="Times New Roman" w:eastAsia="Times New Roman" w:hAnsi="Times New Roman" w:cs="Times New Roman"/>
                <w:sz w:val="20"/>
                <w:szCs w:val="20"/>
              </w:rPr>
              <w:t>S.1313</w:t>
            </w:r>
          </w:p>
        </w:tc>
        <w:tc>
          <w:tcPr>
            <w:tcW w:w="940" w:type="dxa"/>
            <w:vAlign w:val="center"/>
          </w:tcPr>
          <w:p w:rsidR="00EE1979" w:rsidRPr="00EE1979" w:rsidRDefault="00EE1979" w:rsidP="00EE1979">
            <w:pPr>
              <w:spacing w:after="0" w:line="240" w:lineRule="auto"/>
              <w:jc w:val="center"/>
              <w:rPr>
                <w:rFonts w:ascii="Times New Roman" w:eastAsia="Times New Roman" w:hAnsi="Times New Roman" w:cs="Times New Roman"/>
                <w:bCs/>
                <w:sz w:val="20"/>
                <w:szCs w:val="20"/>
                <w:lang w:eastAsia="lv-LV"/>
              </w:rPr>
            </w:pPr>
            <w:r w:rsidRPr="00EE1979">
              <w:rPr>
                <w:rFonts w:ascii="Times New Roman" w:eastAsia="Times New Roman" w:hAnsi="Times New Roman" w:cs="Times New Roman"/>
                <w:bCs/>
                <w:sz w:val="20"/>
                <w:szCs w:val="20"/>
                <w:lang w:eastAsia="lv-LV"/>
              </w:rPr>
              <w:t>-0,7</w:t>
            </w:r>
          </w:p>
        </w:tc>
        <w:tc>
          <w:tcPr>
            <w:tcW w:w="851" w:type="dxa"/>
            <w:vAlign w:val="center"/>
          </w:tcPr>
          <w:p w:rsidR="00EE1979" w:rsidRPr="00EE1979" w:rsidRDefault="00EE1979" w:rsidP="00EE1979">
            <w:pPr>
              <w:spacing w:after="0" w:line="240" w:lineRule="auto"/>
              <w:jc w:val="center"/>
              <w:rPr>
                <w:rFonts w:ascii="Times New Roman" w:eastAsia="Times New Roman" w:hAnsi="Times New Roman" w:cs="Times New Roman"/>
                <w:bCs/>
                <w:sz w:val="20"/>
                <w:szCs w:val="20"/>
                <w:lang w:eastAsia="lv-LV"/>
              </w:rPr>
            </w:pPr>
            <w:r w:rsidRPr="00EE1979">
              <w:rPr>
                <w:rFonts w:ascii="Times New Roman" w:eastAsia="Times New Roman" w:hAnsi="Times New Roman" w:cs="Times New Roman"/>
                <w:bCs/>
                <w:sz w:val="20"/>
                <w:szCs w:val="20"/>
                <w:lang w:eastAsia="lv-LV"/>
              </w:rPr>
              <w:t>-0,3</w:t>
            </w:r>
          </w:p>
        </w:tc>
        <w:tc>
          <w:tcPr>
            <w:tcW w:w="850" w:type="dxa"/>
            <w:vAlign w:val="center"/>
          </w:tcPr>
          <w:p w:rsidR="00EE1979" w:rsidRPr="00EE1979" w:rsidRDefault="00EE1979" w:rsidP="00EE1979">
            <w:pPr>
              <w:spacing w:after="0" w:line="240" w:lineRule="auto"/>
              <w:jc w:val="center"/>
              <w:rPr>
                <w:rFonts w:ascii="Times New Roman" w:eastAsia="Times New Roman" w:hAnsi="Times New Roman" w:cs="Times New Roman"/>
                <w:bCs/>
                <w:sz w:val="20"/>
                <w:szCs w:val="20"/>
                <w:lang w:eastAsia="lv-LV"/>
              </w:rPr>
            </w:pPr>
            <w:r w:rsidRPr="00EE1979">
              <w:rPr>
                <w:rFonts w:ascii="Times New Roman" w:eastAsia="Times New Roman" w:hAnsi="Times New Roman" w:cs="Times New Roman"/>
                <w:bCs/>
                <w:sz w:val="20"/>
                <w:szCs w:val="20"/>
                <w:lang w:eastAsia="lv-LV"/>
              </w:rPr>
              <w:t>-0,1</w:t>
            </w:r>
          </w:p>
        </w:tc>
        <w:tc>
          <w:tcPr>
            <w:tcW w:w="851" w:type="dxa"/>
            <w:vAlign w:val="center"/>
          </w:tcPr>
          <w:p w:rsidR="00EE1979" w:rsidRPr="00EE1979" w:rsidRDefault="00EE1979" w:rsidP="00EE1979">
            <w:pPr>
              <w:spacing w:after="0" w:line="240" w:lineRule="auto"/>
              <w:jc w:val="center"/>
              <w:rPr>
                <w:rFonts w:ascii="Times New Roman" w:eastAsia="Times New Roman" w:hAnsi="Times New Roman" w:cs="Times New Roman"/>
                <w:bCs/>
                <w:sz w:val="20"/>
                <w:szCs w:val="20"/>
                <w:lang w:eastAsia="lv-LV"/>
              </w:rPr>
            </w:pPr>
            <w:r w:rsidRPr="00EE1979">
              <w:rPr>
                <w:rFonts w:ascii="Times New Roman" w:eastAsia="Times New Roman" w:hAnsi="Times New Roman" w:cs="Times New Roman"/>
                <w:bCs/>
                <w:sz w:val="20"/>
                <w:szCs w:val="20"/>
                <w:lang w:eastAsia="lv-LV"/>
              </w:rPr>
              <w:t>0,0</w:t>
            </w:r>
          </w:p>
        </w:tc>
        <w:tc>
          <w:tcPr>
            <w:tcW w:w="850" w:type="dxa"/>
            <w:vAlign w:val="center"/>
          </w:tcPr>
          <w:p w:rsidR="00EE1979" w:rsidRPr="00EE1979" w:rsidRDefault="00EE1979" w:rsidP="00EE1979">
            <w:pPr>
              <w:spacing w:after="0" w:line="240" w:lineRule="auto"/>
              <w:jc w:val="center"/>
              <w:rPr>
                <w:rFonts w:ascii="Times New Roman" w:eastAsia="Times New Roman" w:hAnsi="Times New Roman" w:cs="Times New Roman"/>
                <w:bCs/>
                <w:sz w:val="20"/>
                <w:szCs w:val="20"/>
                <w:lang w:eastAsia="lv-LV"/>
              </w:rPr>
            </w:pPr>
            <w:r w:rsidRPr="00EE1979">
              <w:rPr>
                <w:rFonts w:ascii="Times New Roman" w:eastAsia="Times New Roman" w:hAnsi="Times New Roman" w:cs="Times New Roman"/>
                <w:bCs/>
                <w:sz w:val="20"/>
                <w:szCs w:val="20"/>
                <w:lang w:eastAsia="lv-LV"/>
              </w:rPr>
              <w:t>0,0</w:t>
            </w:r>
          </w:p>
        </w:tc>
      </w:tr>
      <w:tr w:rsidR="00EE1979" w:rsidRPr="00EE1979" w:rsidTr="00135E60">
        <w:trPr>
          <w:jc w:val="center"/>
        </w:trPr>
        <w:tc>
          <w:tcPr>
            <w:tcW w:w="3187" w:type="dxa"/>
          </w:tcPr>
          <w:p w:rsidR="00EE1979" w:rsidRPr="00EE1979" w:rsidRDefault="00EE1979" w:rsidP="00EE1979">
            <w:pPr>
              <w:spacing w:after="0" w:line="240" w:lineRule="auto"/>
              <w:rPr>
                <w:rFonts w:ascii="Times New Roman" w:eastAsia="Times New Roman" w:hAnsi="Times New Roman" w:cs="Times New Roman"/>
                <w:b/>
                <w:snapToGrid w:val="0"/>
                <w:sz w:val="20"/>
                <w:szCs w:val="20"/>
              </w:rPr>
            </w:pPr>
            <w:r w:rsidRPr="00EE1979">
              <w:rPr>
                <w:rFonts w:ascii="Times New Roman" w:eastAsia="Times New Roman" w:hAnsi="Times New Roman" w:cs="Times New Roman"/>
                <w:b/>
                <w:snapToGrid w:val="0"/>
                <w:sz w:val="20"/>
                <w:szCs w:val="20"/>
              </w:rPr>
              <w:t>Sociālās nodrošināšanas fondi</w:t>
            </w:r>
          </w:p>
        </w:tc>
        <w:tc>
          <w:tcPr>
            <w:tcW w:w="1044" w:type="dxa"/>
          </w:tcPr>
          <w:p w:rsidR="00EE1979" w:rsidRPr="00EE1979" w:rsidRDefault="00EE1979" w:rsidP="00EE1979">
            <w:pPr>
              <w:spacing w:after="0" w:line="240" w:lineRule="auto"/>
              <w:jc w:val="center"/>
              <w:rPr>
                <w:rFonts w:ascii="Times New Roman" w:eastAsia="Times New Roman" w:hAnsi="Times New Roman" w:cs="Times New Roman"/>
                <w:sz w:val="20"/>
                <w:szCs w:val="20"/>
              </w:rPr>
            </w:pPr>
            <w:r w:rsidRPr="00EE1979">
              <w:rPr>
                <w:rFonts w:ascii="Times New Roman" w:eastAsia="Times New Roman" w:hAnsi="Times New Roman" w:cs="Times New Roman"/>
                <w:sz w:val="20"/>
                <w:szCs w:val="20"/>
              </w:rPr>
              <w:t>S.1314</w:t>
            </w:r>
          </w:p>
        </w:tc>
        <w:tc>
          <w:tcPr>
            <w:tcW w:w="940" w:type="dxa"/>
            <w:vAlign w:val="center"/>
          </w:tcPr>
          <w:p w:rsidR="00EE1979" w:rsidRPr="00EE1979" w:rsidRDefault="00EE1979" w:rsidP="00EE1979">
            <w:pPr>
              <w:spacing w:after="0" w:line="240" w:lineRule="auto"/>
              <w:jc w:val="center"/>
              <w:rPr>
                <w:rFonts w:ascii="Times New Roman" w:eastAsia="Times New Roman" w:hAnsi="Times New Roman" w:cs="Times New Roman"/>
                <w:bCs/>
                <w:sz w:val="20"/>
                <w:szCs w:val="20"/>
                <w:lang w:eastAsia="lv-LV"/>
              </w:rPr>
            </w:pPr>
            <w:r w:rsidRPr="00EE1979">
              <w:rPr>
                <w:rFonts w:ascii="Times New Roman" w:eastAsia="Times New Roman" w:hAnsi="Times New Roman" w:cs="Times New Roman"/>
                <w:bCs/>
                <w:sz w:val="20"/>
                <w:szCs w:val="20"/>
                <w:lang w:eastAsia="lv-LV"/>
              </w:rPr>
              <w:t>0,8</w:t>
            </w:r>
          </w:p>
        </w:tc>
        <w:tc>
          <w:tcPr>
            <w:tcW w:w="851" w:type="dxa"/>
            <w:vAlign w:val="center"/>
          </w:tcPr>
          <w:p w:rsidR="00EE1979" w:rsidRPr="00EE1979" w:rsidRDefault="00EE1979" w:rsidP="00EE1979">
            <w:pPr>
              <w:spacing w:after="0" w:line="240" w:lineRule="auto"/>
              <w:jc w:val="center"/>
              <w:rPr>
                <w:rFonts w:ascii="Times New Roman" w:eastAsia="Times New Roman" w:hAnsi="Times New Roman" w:cs="Times New Roman"/>
                <w:bCs/>
                <w:sz w:val="20"/>
                <w:szCs w:val="20"/>
                <w:lang w:eastAsia="lv-LV"/>
              </w:rPr>
            </w:pPr>
            <w:r w:rsidRPr="00EE1979">
              <w:rPr>
                <w:rFonts w:ascii="Times New Roman" w:eastAsia="Times New Roman" w:hAnsi="Times New Roman" w:cs="Times New Roman"/>
                <w:bCs/>
                <w:sz w:val="20"/>
                <w:szCs w:val="20"/>
                <w:lang w:eastAsia="lv-LV"/>
              </w:rPr>
              <w:t>0,7</w:t>
            </w:r>
          </w:p>
        </w:tc>
        <w:tc>
          <w:tcPr>
            <w:tcW w:w="850" w:type="dxa"/>
            <w:vAlign w:val="center"/>
          </w:tcPr>
          <w:p w:rsidR="00EE1979" w:rsidRPr="00EE1979" w:rsidRDefault="00EE1979" w:rsidP="00EE1979">
            <w:pPr>
              <w:spacing w:after="0" w:line="240" w:lineRule="auto"/>
              <w:jc w:val="center"/>
              <w:rPr>
                <w:rFonts w:ascii="Times New Roman" w:eastAsia="Times New Roman" w:hAnsi="Times New Roman" w:cs="Times New Roman"/>
                <w:bCs/>
                <w:sz w:val="20"/>
                <w:szCs w:val="20"/>
                <w:lang w:eastAsia="lv-LV"/>
              </w:rPr>
            </w:pPr>
            <w:r w:rsidRPr="00EE1979">
              <w:rPr>
                <w:rFonts w:ascii="Times New Roman" w:eastAsia="Times New Roman" w:hAnsi="Times New Roman" w:cs="Times New Roman"/>
                <w:bCs/>
                <w:sz w:val="20"/>
                <w:szCs w:val="20"/>
                <w:lang w:eastAsia="lv-LV"/>
              </w:rPr>
              <w:t>0,4</w:t>
            </w:r>
          </w:p>
        </w:tc>
        <w:tc>
          <w:tcPr>
            <w:tcW w:w="851" w:type="dxa"/>
            <w:vAlign w:val="center"/>
          </w:tcPr>
          <w:p w:rsidR="00EE1979" w:rsidRPr="00EE1979" w:rsidRDefault="00EE1979" w:rsidP="00EE1979">
            <w:pPr>
              <w:spacing w:after="0" w:line="240" w:lineRule="auto"/>
              <w:jc w:val="center"/>
              <w:rPr>
                <w:rFonts w:ascii="Times New Roman" w:eastAsia="Times New Roman" w:hAnsi="Times New Roman" w:cs="Times New Roman"/>
                <w:bCs/>
                <w:sz w:val="20"/>
                <w:szCs w:val="20"/>
                <w:lang w:eastAsia="lv-LV"/>
              </w:rPr>
            </w:pPr>
            <w:r w:rsidRPr="00EE1979">
              <w:rPr>
                <w:rFonts w:ascii="Times New Roman" w:eastAsia="Times New Roman" w:hAnsi="Times New Roman" w:cs="Times New Roman"/>
                <w:bCs/>
                <w:sz w:val="20"/>
                <w:szCs w:val="20"/>
                <w:lang w:eastAsia="lv-LV"/>
              </w:rPr>
              <w:t>0,3</w:t>
            </w:r>
          </w:p>
        </w:tc>
        <w:tc>
          <w:tcPr>
            <w:tcW w:w="850" w:type="dxa"/>
            <w:vAlign w:val="center"/>
          </w:tcPr>
          <w:p w:rsidR="00EE1979" w:rsidRPr="00EE1979" w:rsidRDefault="00EE1979" w:rsidP="00EE1979">
            <w:pPr>
              <w:spacing w:after="0" w:line="240" w:lineRule="auto"/>
              <w:jc w:val="center"/>
              <w:rPr>
                <w:rFonts w:ascii="Times New Roman" w:eastAsia="Times New Roman" w:hAnsi="Times New Roman" w:cs="Times New Roman"/>
                <w:bCs/>
                <w:sz w:val="20"/>
                <w:szCs w:val="20"/>
                <w:lang w:eastAsia="lv-LV"/>
              </w:rPr>
            </w:pPr>
            <w:r w:rsidRPr="00EE1979">
              <w:rPr>
                <w:rFonts w:ascii="Times New Roman" w:eastAsia="Times New Roman" w:hAnsi="Times New Roman" w:cs="Times New Roman"/>
                <w:bCs/>
                <w:sz w:val="20"/>
                <w:szCs w:val="20"/>
                <w:lang w:eastAsia="lv-LV"/>
              </w:rPr>
              <w:t>0,3</w:t>
            </w:r>
          </w:p>
        </w:tc>
      </w:tr>
      <w:tr w:rsidR="00EE1979" w:rsidRPr="00EE1979" w:rsidTr="00135E60">
        <w:trPr>
          <w:jc w:val="center"/>
        </w:trPr>
        <w:tc>
          <w:tcPr>
            <w:tcW w:w="8573" w:type="dxa"/>
            <w:gridSpan w:val="7"/>
            <w:shd w:val="clear" w:color="auto" w:fill="DEEAF6"/>
          </w:tcPr>
          <w:p w:rsidR="00EE1979" w:rsidRPr="00EE1979" w:rsidRDefault="00EE1979" w:rsidP="00EE1979">
            <w:pPr>
              <w:spacing w:after="0" w:line="240" w:lineRule="auto"/>
              <w:ind w:firstLine="720"/>
              <w:jc w:val="center"/>
              <w:rPr>
                <w:rFonts w:ascii="Times New Roman" w:eastAsia="Times New Roman" w:hAnsi="Times New Roman" w:cs="Times New Roman"/>
                <w:b/>
                <w:snapToGrid w:val="0"/>
                <w:sz w:val="20"/>
                <w:szCs w:val="20"/>
              </w:rPr>
            </w:pPr>
            <w:r w:rsidRPr="00EE1979">
              <w:rPr>
                <w:rFonts w:ascii="Times New Roman" w:eastAsia="Times New Roman" w:hAnsi="Times New Roman" w:cs="Times New Roman"/>
                <w:b/>
                <w:snapToGrid w:val="0"/>
                <w:sz w:val="20"/>
                <w:szCs w:val="20"/>
              </w:rPr>
              <w:t>Vispārējā valdība (S.13)</w:t>
            </w:r>
          </w:p>
        </w:tc>
      </w:tr>
      <w:tr w:rsidR="00EE1979" w:rsidRPr="00EE1979" w:rsidTr="00135E60">
        <w:trPr>
          <w:jc w:val="center"/>
        </w:trPr>
        <w:tc>
          <w:tcPr>
            <w:tcW w:w="3187" w:type="dxa"/>
          </w:tcPr>
          <w:p w:rsidR="00EE1979" w:rsidRPr="00EE1979" w:rsidRDefault="00EE1979" w:rsidP="00EE1979">
            <w:pPr>
              <w:spacing w:after="0" w:line="240" w:lineRule="auto"/>
              <w:rPr>
                <w:rFonts w:ascii="Times New Roman" w:eastAsia="Times New Roman" w:hAnsi="Times New Roman" w:cs="Times New Roman"/>
                <w:b/>
                <w:snapToGrid w:val="0"/>
                <w:sz w:val="20"/>
                <w:szCs w:val="20"/>
              </w:rPr>
            </w:pPr>
            <w:r w:rsidRPr="00EE1979">
              <w:rPr>
                <w:rFonts w:ascii="Times New Roman" w:eastAsia="Times New Roman" w:hAnsi="Times New Roman" w:cs="Times New Roman"/>
                <w:b/>
                <w:snapToGrid w:val="0"/>
                <w:sz w:val="20"/>
                <w:szCs w:val="20"/>
              </w:rPr>
              <w:t xml:space="preserve">Kopējie ieņēmumi </w:t>
            </w:r>
          </w:p>
        </w:tc>
        <w:tc>
          <w:tcPr>
            <w:tcW w:w="1044" w:type="dxa"/>
            <w:shd w:val="clear" w:color="auto" w:fill="auto"/>
          </w:tcPr>
          <w:p w:rsidR="00EE1979" w:rsidRPr="00EE1979" w:rsidRDefault="00EE1979" w:rsidP="00EE1979">
            <w:pPr>
              <w:spacing w:after="0" w:line="240" w:lineRule="auto"/>
              <w:jc w:val="center"/>
              <w:rPr>
                <w:rFonts w:ascii="Times New Roman" w:eastAsia="Times New Roman" w:hAnsi="Times New Roman" w:cs="Times New Roman"/>
                <w:sz w:val="20"/>
                <w:szCs w:val="20"/>
              </w:rPr>
            </w:pPr>
            <w:r w:rsidRPr="00EE1979">
              <w:rPr>
                <w:rFonts w:ascii="Times New Roman" w:eastAsia="Times New Roman" w:hAnsi="Times New Roman" w:cs="Times New Roman"/>
                <w:sz w:val="20"/>
                <w:szCs w:val="20"/>
              </w:rPr>
              <w:t>TR</w:t>
            </w:r>
          </w:p>
        </w:tc>
        <w:tc>
          <w:tcPr>
            <w:tcW w:w="940" w:type="dxa"/>
            <w:shd w:val="clear" w:color="auto" w:fill="auto"/>
            <w:vAlign w:val="center"/>
          </w:tcPr>
          <w:p w:rsidR="00EE1979" w:rsidRPr="00EE1979" w:rsidRDefault="00EE1979" w:rsidP="00EE1979">
            <w:pPr>
              <w:spacing w:after="0" w:line="240" w:lineRule="auto"/>
              <w:jc w:val="center"/>
              <w:rPr>
                <w:rFonts w:ascii="Times New Roman" w:eastAsia="Times New Roman" w:hAnsi="Times New Roman" w:cs="Times New Roman"/>
                <w:bCs/>
                <w:sz w:val="20"/>
                <w:szCs w:val="20"/>
                <w:lang w:eastAsia="lv-LV"/>
              </w:rPr>
            </w:pPr>
            <w:r w:rsidRPr="00EE1979">
              <w:rPr>
                <w:rFonts w:ascii="Times New Roman" w:eastAsia="Times New Roman" w:hAnsi="Times New Roman" w:cs="Times New Roman"/>
                <w:bCs/>
                <w:sz w:val="20"/>
                <w:szCs w:val="20"/>
                <w:lang w:eastAsia="lv-LV"/>
              </w:rPr>
              <w:t>37,5</w:t>
            </w:r>
          </w:p>
        </w:tc>
        <w:tc>
          <w:tcPr>
            <w:tcW w:w="851" w:type="dxa"/>
            <w:vAlign w:val="center"/>
          </w:tcPr>
          <w:p w:rsidR="00EE1979" w:rsidRPr="00EE1979" w:rsidRDefault="00EE1979" w:rsidP="00EE1979">
            <w:pPr>
              <w:spacing w:after="0" w:line="240" w:lineRule="auto"/>
              <w:jc w:val="center"/>
              <w:rPr>
                <w:rFonts w:ascii="Times New Roman" w:eastAsia="Times New Roman" w:hAnsi="Times New Roman" w:cs="Times New Roman"/>
                <w:bCs/>
                <w:sz w:val="20"/>
                <w:szCs w:val="20"/>
                <w:lang w:eastAsia="lv-LV"/>
              </w:rPr>
            </w:pPr>
            <w:r w:rsidRPr="00EE1979">
              <w:rPr>
                <w:rFonts w:ascii="Times New Roman" w:eastAsia="Times New Roman" w:hAnsi="Times New Roman" w:cs="Times New Roman"/>
                <w:bCs/>
                <w:sz w:val="20"/>
                <w:szCs w:val="20"/>
                <w:lang w:eastAsia="lv-LV"/>
              </w:rPr>
              <w:t>36,2</w:t>
            </w:r>
          </w:p>
        </w:tc>
        <w:tc>
          <w:tcPr>
            <w:tcW w:w="850" w:type="dxa"/>
            <w:vAlign w:val="center"/>
          </w:tcPr>
          <w:p w:rsidR="00EE1979" w:rsidRPr="00EE1979" w:rsidRDefault="00EE1979" w:rsidP="00EE1979">
            <w:pPr>
              <w:spacing w:after="0" w:line="240" w:lineRule="auto"/>
              <w:jc w:val="center"/>
              <w:rPr>
                <w:rFonts w:ascii="Times New Roman" w:eastAsia="Times New Roman" w:hAnsi="Times New Roman" w:cs="Times New Roman"/>
                <w:bCs/>
                <w:sz w:val="20"/>
                <w:szCs w:val="20"/>
                <w:lang w:eastAsia="lv-LV"/>
              </w:rPr>
            </w:pPr>
            <w:r w:rsidRPr="00EE1979">
              <w:rPr>
                <w:rFonts w:ascii="Times New Roman" w:eastAsia="Times New Roman" w:hAnsi="Times New Roman" w:cs="Times New Roman"/>
                <w:bCs/>
                <w:sz w:val="20"/>
                <w:szCs w:val="20"/>
                <w:lang w:eastAsia="lv-LV"/>
              </w:rPr>
              <w:t>35,9</w:t>
            </w:r>
          </w:p>
        </w:tc>
        <w:tc>
          <w:tcPr>
            <w:tcW w:w="851" w:type="dxa"/>
            <w:vAlign w:val="center"/>
          </w:tcPr>
          <w:p w:rsidR="00EE1979" w:rsidRPr="00EE1979" w:rsidRDefault="00EE1979" w:rsidP="00EE1979">
            <w:pPr>
              <w:spacing w:after="0" w:line="240" w:lineRule="auto"/>
              <w:jc w:val="center"/>
              <w:rPr>
                <w:rFonts w:ascii="Times New Roman" w:eastAsia="Times New Roman" w:hAnsi="Times New Roman" w:cs="Times New Roman"/>
                <w:bCs/>
                <w:sz w:val="20"/>
                <w:szCs w:val="20"/>
                <w:lang w:eastAsia="lv-LV"/>
              </w:rPr>
            </w:pPr>
            <w:r w:rsidRPr="00EE1979">
              <w:rPr>
                <w:rFonts w:ascii="Times New Roman" w:eastAsia="Times New Roman" w:hAnsi="Times New Roman" w:cs="Times New Roman"/>
                <w:bCs/>
                <w:sz w:val="20"/>
                <w:szCs w:val="20"/>
                <w:lang w:eastAsia="lv-LV"/>
              </w:rPr>
              <w:t>35,4</w:t>
            </w:r>
          </w:p>
        </w:tc>
        <w:tc>
          <w:tcPr>
            <w:tcW w:w="850" w:type="dxa"/>
            <w:vAlign w:val="center"/>
          </w:tcPr>
          <w:p w:rsidR="00EE1979" w:rsidRPr="00EE1979" w:rsidRDefault="00EE1979" w:rsidP="00EE1979">
            <w:pPr>
              <w:spacing w:after="0" w:line="240" w:lineRule="auto"/>
              <w:jc w:val="center"/>
              <w:rPr>
                <w:rFonts w:ascii="Times New Roman" w:eastAsia="Times New Roman" w:hAnsi="Times New Roman" w:cs="Times New Roman"/>
                <w:bCs/>
                <w:sz w:val="20"/>
                <w:szCs w:val="20"/>
                <w:lang w:eastAsia="lv-LV"/>
              </w:rPr>
            </w:pPr>
            <w:r w:rsidRPr="00EE1979">
              <w:rPr>
                <w:rFonts w:ascii="Times New Roman" w:eastAsia="Times New Roman" w:hAnsi="Times New Roman" w:cs="Times New Roman"/>
                <w:bCs/>
                <w:sz w:val="20"/>
                <w:szCs w:val="20"/>
                <w:lang w:eastAsia="lv-LV"/>
              </w:rPr>
              <w:t>34,9</w:t>
            </w:r>
          </w:p>
        </w:tc>
      </w:tr>
      <w:tr w:rsidR="00EE1979" w:rsidRPr="00EE1979" w:rsidTr="00135E60">
        <w:trPr>
          <w:trHeight w:val="158"/>
          <w:jc w:val="center"/>
        </w:trPr>
        <w:tc>
          <w:tcPr>
            <w:tcW w:w="3187" w:type="dxa"/>
          </w:tcPr>
          <w:p w:rsidR="00EE1979" w:rsidRPr="00EE1979" w:rsidRDefault="00EE1979" w:rsidP="00EE1979">
            <w:pPr>
              <w:spacing w:after="0" w:line="240" w:lineRule="auto"/>
              <w:rPr>
                <w:rFonts w:ascii="Times New Roman" w:eastAsia="Times New Roman" w:hAnsi="Times New Roman" w:cs="Times New Roman"/>
                <w:b/>
                <w:snapToGrid w:val="0"/>
                <w:sz w:val="20"/>
                <w:szCs w:val="20"/>
              </w:rPr>
            </w:pPr>
            <w:r w:rsidRPr="00EE1979">
              <w:rPr>
                <w:rFonts w:ascii="Times New Roman" w:eastAsia="Times New Roman" w:hAnsi="Times New Roman" w:cs="Times New Roman"/>
                <w:b/>
                <w:snapToGrid w:val="0"/>
                <w:sz w:val="20"/>
                <w:szCs w:val="20"/>
              </w:rPr>
              <w:t>Kopējie izdevumi</w:t>
            </w:r>
          </w:p>
        </w:tc>
        <w:tc>
          <w:tcPr>
            <w:tcW w:w="1044" w:type="dxa"/>
            <w:shd w:val="clear" w:color="auto" w:fill="auto"/>
          </w:tcPr>
          <w:p w:rsidR="00EE1979" w:rsidRPr="00EE1979" w:rsidRDefault="00EE1979" w:rsidP="00EE1979">
            <w:pPr>
              <w:spacing w:after="0" w:line="240" w:lineRule="auto"/>
              <w:jc w:val="center"/>
              <w:rPr>
                <w:rFonts w:ascii="Times New Roman" w:eastAsia="Times New Roman" w:hAnsi="Times New Roman" w:cs="Times New Roman"/>
                <w:sz w:val="20"/>
                <w:szCs w:val="20"/>
              </w:rPr>
            </w:pPr>
            <w:r w:rsidRPr="00EE1979">
              <w:rPr>
                <w:rFonts w:ascii="Times New Roman" w:eastAsia="Times New Roman" w:hAnsi="Times New Roman" w:cs="Times New Roman"/>
                <w:sz w:val="20"/>
                <w:szCs w:val="20"/>
              </w:rPr>
              <w:t>TE</w:t>
            </w:r>
          </w:p>
        </w:tc>
        <w:tc>
          <w:tcPr>
            <w:tcW w:w="940" w:type="dxa"/>
            <w:shd w:val="clear" w:color="auto" w:fill="auto"/>
            <w:vAlign w:val="center"/>
          </w:tcPr>
          <w:p w:rsidR="00EE1979" w:rsidRPr="00EE1979" w:rsidRDefault="00EE1979" w:rsidP="00EE1979">
            <w:pPr>
              <w:spacing w:after="0" w:line="240" w:lineRule="auto"/>
              <w:jc w:val="center"/>
              <w:rPr>
                <w:rFonts w:ascii="Times New Roman" w:eastAsia="Times New Roman" w:hAnsi="Times New Roman" w:cs="Times New Roman"/>
                <w:bCs/>
                <w:sz w:val="20"/>
                <w:szCs w:val="20"/>
                <w:lang w:eastAsia="lv-LV"/>
              </w:rPr>
            </w:pPr>
            <w:r w:rsidRPr="00EE1979">
              <w:rPr>
                <w:rFonts w:ascii="Times New Roman" w:eastAsia="Times New Roman" w:hAnsi="Times New Roman" w:cs="Times New Roman"/>
                <w:bCs/>
                <w:sz w:val="20"/>
                <w:szCs w:val="20"/>
                <w:lang w:eastAsia="lv-LV"/>
              </w:rPr>
              <w:t>38,5</w:t>
            </w:r>
          </w:p>
        </w:tc>
        <w:tc>
          <w:tcPr>
            <w:tcW w:w="851" w:type="dxa"/>
            <w:vAlign w:val="center"/>
          </w:tcPr>
          <w:p w:rsidR="00EE1979" w:rsidRPr="00EE1979" w:rsidRDefault="00EE1979" w:rsidP="00EE1979">
            <w:pPr>
              <w:spacing w:after="0" w:line="240" w:lineRule="auto"/>
              <w:jc w:val="center"/>
              <w:rPr>
                <w:rFonts w:ascii="Times New Roman" w:eastAsia="Times New Roman" w:hAnsi="Times New Roman" w:cs="Times New Roman"/>
                <w:bCs/>
                <w:sz w:val="20"/>
                <w:szCs w:val="20"/>
                <w:lang w:eastAsia="lv-LV"/>
              </w:rPr>
            </w:pPr>
            <w:r w:rsidRPr="00EE1979">
              <w:rPr>
                <w:rFonts w:ascii="Times New Roman" w:eastAsia="Times New Roman" w:hAnsi="Times New Roman" w:cs="Times New Roman"/>
                <w:bCs/>
                <w:sz w:val="20"/>
                <w:szCs w:val="20"/>
                <w:lang w:eastAsia="lv-LV"/>
              </w:rPr>
              <w:t>36,7</w:t>
            </w:r>
          </w:p>
        </w:tc>
        <w:tc>
          <w:tcPr>
            <w:tcW w:w="850" w:type="dxa"/>
            <w:vAlign w:val="center"/>
          </w:tcPr>
          <w:p w:rsidR="00EE1979" w:rsidRPr="00EE1979" w:rsidRDefault="00EE1979" w:rsidP="00EE1979">
            <w:pPr>
              <w:spacing w:after="0" w:line="240" w:lineRule="auto"/>
              <w:jc w:val="center"/>
              <w:rPr>
                <w:rFonts w:ascii="Times New Roman" w:eastAsia="Times New Roman" w:hAnsi="Times New Roman" w:cs="Times New Roman"/>
                <w:bCs/>
                <w:sz w:val="20"/>
                <w:szCs w:val="20"/>
                <w:lang w:eastAsia="lv-LV"/>
              </w:rPr>
            </w:pPr>
            <w:r w:rsidRPr="00EE1979">
              <w:rPr>
                <w:rFonts w:ascii="Times New Roman" w:eastAsia="Times New Roman" w:hAnsi="Times New Roman" w:cs="Times New Roman"/>
                <w:bCs/>
                <w:sz w:val="20"/>
                <w:szCs w:val="20"/>
                <w:lang w:eastAsia="lv-LV"/>
              </w:rPr>
              <w:t>36,4</w:t>
            </w:r>
          </w:p>
        </w:tc>
        <w:tc>
          <w:tcPr>
            <w:tcW w:w="851" w:type="dxa"/>
            <w:vAlign w:val="center"/>
          </w:tcPr>
          <w:p w:rsidR="00EE1979" w:rsidRPr="00EE1979" w:rsidRDefault="00EE1979" w:rsidP="00EE1979">
            <w:pPr>
              <w:spacing w:after="0" w:line="240" w:lineRule="auto"/>
              <w:jc w:val="center"/>
              <w:rPr>
                <w:rFonts w:ascii="Times New Roman" w:eastAsia="Times New Roman" w:hAnsi="Times New Roman" w:cs="Times New Roman"/>
                <w:bCs/>
                <w:sz w:val="20"/>
                <w:szCs w:val="20"/>
                <w:lang w:eastAsia="lv-LV"/>
              </w:rPr>
            </w:pPr>
            <w:r w:rsidRPr="00EE1979">
              <w:rPr>
                <w:rFonts w:ascii="Times New Roman" w:eastAsia="Times New Roman" w:hAnsi="Times New Roman" w:cs="Times New Roman"/>
                <w:bCs/>
                <w:sz w:val="20"/>
                <w:szCs w:val="20"/>
                <w:lang w:eastAsia="lv-LV"/>
              </w:rPr>
              <w:t>35,6</w:t>
            </w:r>
          </w:p>
        </w:tc>
        <w:tc>
          <w:tcPr>
            <w:tcW w:w="850" w:type="dxa"/>
            <w:vAlign w:val="center"/>
          </w:tcPr>
          <w:p w:rsidR="00EE1979" w:rsidRPr="00EE1979" w:rsidRDefault="00EE1979" w:rsidP="00EE1979">
            <w:pPr>
              <w:spacing w:after="0" w:line="240" w:lineRule="auto"/>
              <w:jc w:val="center"/>
              <w:rPr>
                <w:rFonts w:ascii="Times New Roman" w:eastAsia="Times New Roman" w:hAnsi="Times New Roman" w:cs="Times New Roman"/>
                <w:bCs/>
                <w:sz w:val="20"/>
                <w:szCs w:val="20"/>
                <w:lang w:eastAsia="lv-LV"/>
              </w:rPr>
            </w:pPr>
            <w:r w:rsidRPr="00EE1979">
              <w:rPr>
                <w:rFonts w:ascii="Times New Roman" w:eastAsia="Times New Roman" w:hAnsi="Times New Roman" w:cs="Times New Roman"/>
                <w:bCs/>
                <w:sz w:val="20"/>
                <w:szCs w:val="20"/>
                <w:lang w:eastAsia="lv-LV"/>
              </w:rPr>
              <w:t>35,2</w:t>
            </w:r>
          </w:p>
        </w:tc>
      </w:tr>
      <w:tr w:rsidR="00EE1979" w:rsidRPr="00EE1979" w:rsidTr="00135E60">
        <w:trPr>
          <w:trHeight w:val="70"/>
          <w:jc w:val="center"/>
        </w:trPr>
        <w:tc>
          <w:tcPr>
            <w:tcW w:w="3187" w:type="dxa"/>
          </w:tcPr>
          <w:p w:rsidR="00EE1979" w:rsidRPr="00EE1979" w:rsidRDefault="00EE1979" w:rsidP="00EE1979">
            <w:pPr>
              <w:spacing w:after="0" w:line="240" w:lineRule="auto"/>
              <w:rPr>
                <w:rFonts w:ascii="Times New Roman" w:eastAsia="Times New Roman" w:hAnsi="Times New Roman" w:cs="Times New Roman"/>
                <w:b/>
                <w:snapToGrid w:val="0"/>
                <w:sz w:val="20"/>
                <w:szCs w:val="20"/>
              </w:rPr>
            </w:pPr>
            <w:r w:rsidRPr="00EE1979">
              <w:rPr>
                <w:rFonts w:ascii="Times New Roman" w:eastAsia="Times New Roman" w:hAnsi="Times New Roman" w:cs="Times New Roman"/>
                <w:b/>
                <w:snapToGrid w:val="0"/>
                <w:sz w:val="20"/>
                <w:szCs w:val="20"/>
              </w:rPr>
              <w:lastRenderedPageBreak/>
              <w:t>Procentu izdevumi</w:t>
            </w:r>
          </w:p>
        </w:tc>
        <w:tc>
          <w:tcPr>
            <w:tcW w:w="1044" w:type="dxa"/>
          </w:tcPr>
          <w:p w:rsidR="00EE1979" w:rsidRPr="00EE1979" w:rsidRDefault="00EE1979" w:rsidP="00EE1979">
            <w:pPr>
              <w:spacing w:after="0" w:line="240" w:lineRule="auto"/>
              <w:jc w:val="center"/>
              <w:rPr>
                <w:rFonts w:ascii="Times New Roman" w:eastAsia="Times New Roman" w:hAnsi="Times New Roman" w:cs="Times New Roman"/>
                <w:sz w:val="20"/>
                <w:szCs w:val="20"/>
              </w:rPr>
            </w:pPr>
            <w:r w:rsidRPr="00EE1979">
              <w:rPr>
                <w:rFonts w:ascii="Times New Roman" w:eastAsia="Times New Roman" w:hAnsi="Times New Roman" w:cs="Times New Roman"/>
                <w:sz w:val="20"/>
                <w:szCs w:val="20"/>
              </w:rPr>
              <w:t>D.41</w:t>
            </w:r>
          </w:p>
        </w:tc>
        <w:tc>
          <w:tcPr>
            <w:tcW w:w="940" w:type="dxa"/>
            <w:vAlign w:val="center"/>
          </w:tcPr>
          <w:p w:rsidR="00EE1979" w:rsidRPr="00EE1979" w:rsidRDefault="00EE1979" w:rsidP="00EE1979">
            <w:pPr>
              <w:spacing w:after="0" w:line="240" w:lineRule="auto"/>
              <w:jc w:val="center"/>
              <w:rPr>
                <w:rFonts w:ascii="Times New Roman" w:eastAsia="Times New Roman" w:hAnsi="Times New Roman" w:cs="Times New Roman"/>
                <w:bCs/>
                <w:sz w:val="20"/>
                <w:szCs w:val="20"/>
                <w:lang w:eastAsia="lv-LV"/>
              </w:rPr>
            </w:pPr>
            <w:r w:rsidRPr="00EE1979">
              <w:rPr>
                <w:rFonts w:ascii="Times New Roman" w:eastAsia="Times New Roman" w:hAnsi="Times New Roman" w:cs="Times New Roman"/>
                <w:bCs/>
                <w:sz w:val="20"/>
                <w:szCs w:val="20"/>
                <w:lang w:eastAsia="lv-LV"/>
              </w:rPr>
              <w:t>0,7</w:t>
            </w:r>
          </w:p>
        </w:tc>
        <w:tc>
          <w:tcPr>
            <w:tcW w:w="851" w:type="dxa"/>
            <w:vAlign w:val="center"/>
          </w:tcPr>
          <w:p w:rsidR="00EE1979" w:rsidRPr="00730998" w:rsidRDefault="00EE1979" w:rsidP="00730998">
            <w:pPr>
              <w:spacing w:after="0" w:line="240" w:lineRule="auto"/>
              <w:jc w:val="center"/>
              <w:rPr>
                <w:rFonts w:ascii="Times New Roman" w:eastAsia="Times New Roman" w:hAnsi="Times New Roman" w:cs="Times New Roman"/>
                <w:sz w:val="20"/>
                <w:szCs w:val="20"/>
                <w:lang w:eastAsia="lv-LV"/>
              </w:rPr>
            </w:pPr>
            <w:r w:rsidRPr="00EE1979">
              <w:rPr>
                <w:rFonts w:ascii="Times New Roman" w:eastAsia="Times New Roman" w:hAnsi="Times New Roman" w:cs="Times New Roman"/>
                <w:bCs/>
                <w:sz w:val="20"/>
                <w:szCs w:val="20"/>
                <w:lang w:eastAsia="lv-LV"/>
              </w:rPr>
              <w:t>0,7</w:t>
            </w:r>
          </w:p>
        </w:tc>
        <w:tc>
          <w:tcPr>
            <w:tcW w:w="850" w:type="dxa"/>
            <w:vAlign w:val="center"/>
          </w:tcPr>
          <w:p w:rsidR="00EE1979" w:rsidRPr="00EE1979" w:rsidRDefault="00EE1979" w:rsidP="00EE1979">
            <w:pPr>
              <w:spacing w:after="0" w:line="240" w:lineRule="auto"/>
              <w:jc w:val="center"/>
              <w:rPr>
                <w:rFonts w:ascii="Times New Roman" w:eastAsia="Times New Roman" w:hAnsi="Times New Roman" w:cs="Times New Roman"/>
                <w:bCs/>
                <w:sz w:val="20"/>
                <w:szCs w:val="20"/>
                <w:lang w:eastAsia="lv-LV"/>
              </w:rPr>
            </w:pPr>
            <w:r w:rsidRPr="00EE1979">
              <w:rPr>
                <w:rFonts w:ascii="Times New Roman" w:eastAsia="Times New Roman" w:hAnsi="Times New Roman" w:cs="Times New Roman"/>
                <w:bCs/>
                <w:sz w:val="20"/>
                <w:szCs w:val="20"/>
                <w:lang w:eastAsia="lv-LV"/>
              </w:rPr>
              <w:t>0,8</w:t>
            </w:r>
          </w:p>
        </w:tc>
        <w:tc>
          <w:tcPr>
            <w:tcW w:w="851" w:type="dxa"/>
            <w:vAlign w:val="center"/>
          </w:tcPr>
          <w:p w:rsidR="00EE1979" w:rsidRPr="00EE1979" w:rsidRDefault="00EE1979" w:rsidP="00EE1979">
            <w:pPr>
              <w:spacing w:after="0" w:line="240" w:lineRule="auto"/>
              <w:jc w:val="center"/>
              <w:rPr>
                <w:rFonts w:ascii="Times New Roman" w:eastAsia="Times New Roman" w:hAnsi="Times New Roman" w:cs="Times New Roman"/>
                <w:bCs/>
                <w:sz w:val="20"/>
                <w:szCs w:val="20"/>
                <w:lang w:eastAsia="lv-LV"/>
              </w:rPr>
            </w:pPr>
            <w:r w:rsidRPr="00EE1979">
              <w:rPr>
                <w:rFonts w:ascii="Times New Roman" w:eastAsia="Times New Roman" w:hAnsi="Times New Roman" w:cs="Times New Roman"/>
                <w:bCs/>
                <w:sz w:val="20"/>
                <w:szCs w:val="20"/>
                <w:lang w:eastAsia="lv-LV"/>
              </w:rPr>
              <w:t>0,8</w:t>
            </w:r>
          </w:p>
        </w:tc>
        <w:tc>
          <w:tcPr>
            <w:tcW w:w="850" w:type="dxa"/>
            <w:vAlign w:val="center"/>
          </w:tcPr>
          <w:p w:rsidR="00EE1979" w:rsidRPr="00EE1979" w:rsidRDefault="00EE1979" w:rsidP="00EE1979">
            <w:pPr>
              <w:spacing w:after="0" w:line="240" w:lineRule="auto"/>
              <w:jc w:val="center"/>
              <w:rPr>
                <w:rFonts w:ascii="Times New Roman" w:eastAsia="Times New Roman" w:hAnsi="Times New Roman" w:cs="Times New Roman"/>
                <w:bCs/>
                <w:sz w:val="20"/>
                <w:szCs w:val="20"/>
                <w:lang w:eastAsia="lv-LV"/>
              </w:rPr>
            </w:pPr>
            <w:r w:rsidRPr="00EE1979">
              <w:rPr>
                <w:rFonts w:ascii="Times New Roman" w:eastAsia="Times New Roman" w:hAnsi="Times New Roman" w:cs="Times New Roman"/>
                <w:bCs/>
                <w:sz w:val="20"/>
                <w:szCs w:val="20"/>
                <w:lang w:eastAsia="lv-LV"/>
              </w:rPr>
              <w:t>0,8</w:t>
            </w:r>
          </w:p>
        </w:tc>
      </w:tr>
      <w:tr w:rsidR="00EE1979" w:rsidRPr="00EE1979" w:rsidTr="00135E60">
        <w:trPr>
          <w:jc w:val="center"/>
        </w:trPr>
        <w:tc>
          <w:tcPr>
            <w:tcW w:w="8573" w:type="dxa"/>
            <w:gridSpan w:val="7"/>
            <w:shd w:val="clear" w:color="auto" w:fill="DEEAF6"/>
          </w:tcPr>
          <w:p w:rsidR="00EE1979" w:rsidRPr="00EE1979" w:rsidRDefault="00EE1979" w:rsidP="00EE1979">
            <w:pPr>
              <w:spacing w:after="0" w:line="240" w:lineRule="auto"/>
              <w:ind w:firstLine="720"/>
              <w:jc w:val="center"/>
              <w:rPr>
                <w:rFonts w:ascii="Times New Roman" w:eastAsia="Times New Roman" w:hAnsi="Times New Roman" w:cs="Times New Roman"/>
                <w:b/>
                <w:snapToGrid w:val="0"/>
                <w:sz w:val="20"/>
                <w:szCs w:val="20"/>
              </w:rPr>
            </w:pPr>
            <w:r w:rsidRPr="00EE1979">
              <w:rPr>
                <w:rFonts w:ascii="Times New Roman" w:eastAsia="Times New Roman" w:hAnsi="Times New Roman" w:cs="Times New Roman"/>
                <w:b/>
                <w:snapToGrid w:val="0"/>
                <w:sz w:val="20"/>
                <w:szCs w:val="20"/>
              </w:rPr>
              <w:t>Cikliskā attīstība</w:t>
            </w:r>
          </w:p>
        </w:tc>
      </w:tr>
      <w:tr w:rsidR="00EE1979" w:rsidRPr="00EE1979" w:rsidTr="00135E60">
        <w:trPr>
          <w:jc w:val="center"/>
        </w:trPr>
        <w:tc>
          <w:tcPr>
            <w:tcW w:w="3187" w:type="dxa"/>
            <w:shd w:val="clear" w:color="auto" w:fill="auto"/>
          </w:tcPr>
          <w:p w:rsidR="00EE1979" w:rsidRPr="00EE1979" w:rsidRDefault="00EE1979" w:rsidP="00EE1979">
            <w:pPr>
              <w:spacing w:after="0" w:line="240" w:lineRule="auto"/>
              <w:rPr>
                <w:rFonts w:ascii="Times New Roman" w:eastAsia="Times New Roman" w:hAnsi="Times New Roman" w:cs="Times New Roman"/>
                <w:b/>
                <w:snapToGrid w:val="0"/>
                <w:sz w:val="20"/>
                <w:szCs w:val="20"/>
              </w:rPr>
            </w:pPr>
            <w:r w:rsidRPr="00EE1979">
              <w:rPr>
                <w:rFonts w:ascii="Times New Roman" w:eastAsia="Times New Roman" w:hAnsi="Times New Roman" w:cs="Times New Roman"/>
                <w:b/>
                <w:snapToGrid w:val="0"/>
                <w:sz w:val="20"/>
                <w:szCs w:val="20"/>
              </w:rPr>
              <w:t>Budžeta bilances cikliskā komponente</w:t>
            </w:r>
            <w:r w:rsidRPr="00EE1979">
              <w:rPr>
                <w:rFonts w:ascii="Garamond" w:eastAsia="Times New Roman" w:hAnsi="Garamond" w:cs="Times New Roman"/>
                <w:b/>
                <w:snapToGrid w:val="0"/>
                <w:sz w:val="20"/>
                <w:szCs w:val="20"/>
                <w:vertAlign w:val="superscript"/>
              </w:rPr>
              <w:footnoteReference w:id="5"/>
            </w:r>
          </w:p>
        </w:tc>
        <w:tc>
          <w:tcPr>
            <w:tcW w:w="1044" w:type="dxa"/>
            <w:shd w:val="clear" w:color="auto" w:fill="auto"/>
          </w:tcPr>
          <w:p w:rsidR="00EE1979" w:rsidRPr="00EE1979" w:rsidRDefault="00EE1979" w:rsidP="00EE1979">
            <w:pPr>
              <w:spacing w:after="0" w:line="240" w:lineRule="auto"/>
              <w:rPr>
                <w:rFonts w:ascii="Times New Roman" w:eastAsia="Times New Roman" w:hAnsi="Times New Roman" w:cs="Times New Roman"/>
                <w:sz w:val="20"/>
                <w:szCs w:val="20"/>
              </w:rPr>
            </w:pPr>
          </w:p>
        </w:tc>
        <w:tc>
          <w:tcPr>
            <w:tcW w:w="940" w:type="dxa"/>
            <w:shd w:val="clear" w:color="auto" w:fill="auto"/>
            <w:vAlign w:val="bottom"/>
          </w:tcPr>
          <w:p w:rsidR="00EE1979" w:rsidRPr="00EE1979" w:rsidRDefault="00EE1979" w:rsidP="00EE1979">
            <w:pPr>
              <w:spacing w:after="0" w:line="240" w:lineRule="auto"/>
              <w:jc w:val="center"/>
              <w:rPr>
                <w:rFonts w:ascii="Times New Roman" w:eastAsia="Calibri" w:hAnsi="Times New Roman" w:cs="Times New Roman"/>
                <w:color w:val="000000"/>
                <w:sz w:val="20"/>
                <w:szCs w:val="20"/>
              </w:rPr>
            </w:pPr>
            <w:r w:rsidRPr="00EE1979">
              <w:rPr>
                <w:rFonts w:ascii="Times New Roman" w:eastAsia="Calibri" w:hAnsi="Times New Roman" w:cs="Times New Roman"/>
                <w:color w:val="000000"/>
                <w:sz w:val="20"/>
                <w:szCs w:val="20"/>
              </w:rPr>
              <w:t>0,7</w:t>
            </w:r>
          </w:p>
        </w:tc>
        <w:tc>
          <w:tcPr>
            <w:tcW w:w="851" w:type="dxa"/>
            <w:shd w:val="clear" w:color="auto" w:fill="auto"/>
            <w:vAlign w:val="bottom"/>
          </w:tcPr>
          <w:p w:rsidR="00EE1979" w:rsidRPr="00EE1979" w:rsidRDefault="00EE1979" w:rsidP="00EE1979">
            <w:pPr>
              <w:spacing w:after="0" w:line="240" w:lineRule="auto"/>
              <w:jc w:val="center"/>
              <w:rPr>
                <w:rFonts w:ascii="Times New Roman" w:eastAsia="Calibri" w:hAnsi="Times New Roman" w:cs="Times New Roman"/>
                <w:color w:val="000000"/>
                <w:sz w:val="20"/>
                <w:szCs w:val="20"/>
              </w:rPr>
            </w:pPr>
            <w:r w:rsidRPr="00EE1979">
              <w:rPr>
                <w:rFonts w:ascii="Times New Roman" w:eastAsia="Calibri" w:hAnsi="Times New Roman" w:cs="Times New Roman"/>
                <w:color w:val="000000"/>
                <w:sz w:val="20"/>
                <w:szCs w:val="20"/>
              </w:rPr>
              <w:t>0,5</w:t>
            </w:r>
          </w:p>
        </w:tc>
        <w:tc>
          <w:tcPr>
            <w:tcW w:w="850" w:type="dxa"/>
            <w:shd w:val="clear" w:color="auto" w:fill="auto"/>
            <w:vAlign w:val="bottom"/>
          </w:tcPr>
          <w:p w:rsidR="00EE1979" w:rsidRPr="00EE1979" w:rsidRDefault="00EE1979" w:rsidP="00EE1979">
            <w:pPr>
              <w:spacing w:after="0" w:line="240" w:lineRule="auto"/>
              <w:jc w:val="center"/>
              <w:rPr>
                <w:rFonts w:ascii="Times New Roman" w:eastAsia="Calibri" w:hAnsi="Times New Roman" w:cs="Times New Roman"/>
                <w:color w:val="000000"/>
                <w:sz w:val="20"/>
                <w:szCs w:val="20"/>
              </w:rPr>
            </w:pPr>
            <w:r w:rsidRPr="00EE1979">
              <w:rPr>
                <w:rFonts w:ascii="Times New Roman" w:eastAsia="Calibri" w:hAnsi="Times New Roman" w:cs="Times New Roman"/>
                <w:color w:val="000000"/>
                <w:sz w:val="20"/>
                <w:szCs w:val="20"/>
              </w:rPr>
              <w:t>0,4</w:t>
            </w:r>
          </w:p>
        </w:tc>
        <w:tc>
          <w:tcPr>
            <w:tcW w:w="851" w:type="dxa"/>
            <w:shd w:val="clear" w:color="auto" w:fill="auto"/>
            <w:vAlign w:val="bottom"/>
          </w:tcPr>
          <w:p w:rsidR="00EE1979" w:rsidRPr="00EE1979" w:rsidRDefault="00EE1979" w:rsidP="00EE1979">
            <w:pPr>
              <w:spacing w:after="0" w:line="240" w:lineRule="auto"/>
              <w:jc w:val="center"/>
              <w:rPr>
                <w:rFonts w:ascii="Times New Roman" w:eastAsia="Calibri" w:hAnsi="Times New Roman" w:cs="Times New Roman"/>
                <w:color w:val="000000"/>
                <w:sz w:val="20"/>
                <w:szCs w:val="20"/>
              </w:rPr>
            </w:pPr>
            <w:r w:rsidRPr="00EE1979">
              <w:rPr>
                <w:rFonts w:ascii="Times New Roman" w:eastAsia="Calibri" w:hAnsi="Times New Roman" w:cs="Times New Roman"/>
                <w:color w:val="000000"/>
                <w:sz w:val="20"/>
                <w:szCs w:val="20"/>
              </w:rPr>
              <w:t>0,3</w:t>
            </w:r>
          </w:p>
        </w:tc>
        <w:tc>
          <w:tcPr>
            <w:tcW w:w="850" w:type="dxa"/>
            <w:shd w:val="clear" w:color="auto" w:fill="auto"/>
            <w:vAlign w:val="bottom"/>
          </w:tcPr>
          <w:p w:rsidR="00EE1979" w:rsidRPr="00EE1979" w:rsidRDefault="00EE1979" w:rsidP="00EE1979">
            <w:pPr>
              <w:spacing w:after="0" w:line="240" w:lineRule="auto"/>
              <w:jc w:val="center"/>
              <w:rPr>
                <w:rFonts w:ascii="Times New Roman" w:eastAsia="Calibri" w:hAnsi="Times New Roman" w:cs="Times New Roman"/>
                <w:color w:val="000000"/>
                <w:sz w:val="20"/>
                <w:szCs w:val="20"/>
              </w:rPr>
            </w:pPr>
            <w:r w:rsidRPr="00EE1979">
              <w:rPr>
                <w:rFonts w:ascii="Times New Roman" w:eastAsia="Calibri" w:hAnsi="Times New Roman" w:cs="Times New Roman"/>
                <w:color w:val="000000"/>
                <w:sz w:val="20"/>
                <w:szCs w:val="20"/>
              </w:rPr>
              <w:t>0,2</w:t>
            </w:r>
          </w:p>
        </w:tc>
      </w:tr>
      <w:tr w:rsidR="00EE1979" w:rsidRPr="00EE1979" w:rsidTr="00135E60">
        <w:trPr>
          <w:jc w:val="center"/>
        </w:trPr>
        <w:tc>
          <w:tcPr>
            <w:tcW w:w="3187" w:type="dxa"/>
            <w:shd w:val="clear" w:color="auto" w:fill="auto"/>
          </w:tcPr>
          <w:p w:rsidR="00EE1979" w:rsidRPr="00EE1979" w:rsidRDefault="00EE1979" w:rsidP="00EE1979">
            <w:pPr>
              <w:spacing w:after="0" w:line="240" w:lineRule="auto"/>
              <w:rPr>
                <w:rFonts w:ascii="Times New Roman" w:eastAsia="Times New Roman" w:hAnsi="Times New Roman" w:cs="Times New Roman"/>
                <w:b/>
                <w:snapToGrid w:val="0"/>
                <w:sz w:val="20"/>
                <w:szCs w:val="20"/>
              </w:rPr>
            </w:pPr>
            <w:r w:rsidRPr="00EE1979">
              <w:rPr>
                <w:rFonts w:ascii="Times New Roman" w:eastAsia="Times New Roman" w:hAnsi="Times New Roman" w:cs="Times New Roman"/>
                <w:b/>
                <w:snapToGrid w:val="0"/>
                <w:sz w:val="20"/>
                <w:szCs w:val="20"/>
              </w:rPr>
              <w:t>Vienreizējie pasākumi</w:t>
            </w:r>
            <w:r w:rsidRPr="00EE1979">
              <w:rPr>
                <w:rFonts w:ascii="Garamond" w:eastAsia="Times New Roman" w:hAnsi="Garamond" w:cs="Times New Roman"/>
                <w:b/>
                <w:snapToGrid w:val="0"/>
                <w:sz w:val="20"/>
                <w:szCs w:val="20"/>
                <w:vertAlign w:val="superscript"/>
              </w:rPr>
              <w:footnoteReference w:id="6"/>
            </w:r>
          </w:p>
        </w:tc>
        <w:tc>
          <w:tcPr>
            <w:tcW w:w="1044" w:type="dxa"/>
            <w:shd w:val="clear" w:color="auto" w:fill="auto"/>
          </w:tcPr>
          <w:p w:rsidR="00EE1979" w:rsidRPr="00EE1979" w:rsidRDefault="00EE1979" w:rsidP="00EE1979">
            <w:pPr>
              <w:spacing w:after="0" w:line="240" w:lineRule="auto"/>
              <w:rPr>
                <w:rFonts w:ascii="Times New Roman" w:eastAsia="Times New Roman" w:hAnsi="Times New Roman" w:cs="Times New Roman"/>
                <w:sz w:val="20"/>
                <w:szCs w:val="20"/>
              </w:rPr>
            </w:pPr>
          </w:p>
        </w:tc>
        <w:tc>
          <w:tcPr>
            <w:tcW w:w="940" w:type="dxa"/>
            <w:shd w:val="clear" w:color="auto" w:fill="auto"/>
            <w:vAlign w:val="bottom"/>
          </w:tcPr>
          <w:p w:rsidR="00EE1979" w:rsidRPr="00EE1979" w:rsidRDefault="00EE1979" w:rsidP="00EE1979">
            <w:pPr>
              <w:spacing w:after="0" w:line="240" w:lineRule="auto"/>
              <w:jc w:val="center"/>
              <w:rPr>
                <w:rFonts w:ascii="Times New Roman" w:eastAsia="Times New Roman" w:hAnsi="Times New Roman" w:cs="Times New Roman"/>
                <w:snapToGrid w:val="0"/>
                <w:sz w:val="20"/>
                <w:szCs w:val="20"/>
              </w:rPr>
            </w:pPr>
          </w:p>
        </w:tc>
        <w:tc>
          <w:tcPr>
            <w:tcW w:w="851" w:type="dxa"/>
            <w:shd w:val="clear" w:color="auto" w:fill="auto"/>
            <w:vAlign w:val="center"/>
          </w:tcPr>
          <w:p w:rsidR="00EE1979" w:rsidRPr="00EE1979" w:rsidRDefault="00EE1979" w:rsidP="00EE1979">
            <w:pPr>
              <w:spacing w:after="0" w:line="240" w:lineRule="auto"/>
              <w:jc w:val="center"/>
              <w:rPr>
                <w:rFonts w:ascii="Times New Roman" w:eastAsia="Times New Roman" w:hAnsi="Times New Roman" w:cs="Times New Roman"/>
                <w:snapToGrid w:val="0"/>
                <w:sz w:val="20"/>
                <w:szCs w:val="20"/>
              </w:rPr>
            </w:pPr>
            <w:r w:rsidRPr="00EE1979">
              <w:rPr>
                <w:rFonts w:ascii="Times New Roman" w:eastAsia="Calibri" w:hAnsi="Times New Roman" w:cs="Times New Roman"/>
                <w:color w:val="000000"/>
                <w:sz w:val="20"/>
                <w:szCs w:val="20"/>
              </w:rPr>
              <w:t>0,1</w:t>
            </w:r>
          </w:p>
        </w:tc>
        <w:tc>
          <w:tcPr>
            <w:tcW w:w="850" w:type="dxa"/>
            <w:shd w:val="clear" w:color="auto" w:fill="auto"/>
            <w:vAlign w:val="bottom"/>
          </w:tcPr>
          <w:p w:rsidR="00EE1979" w:rsidRPr="00EE1979" w:rsidRDefault="00EE1979" w:rsidP="00EE1979">
            <w:pPr>
              <w:spacing w:after="0" w:line="240" w:lineRule="auto"/>
              <w:jc w:val="center"/>
              <w:rPr>
                <w:rFonts w:ascii="Times New Roman" w:eastAsia="Times New Roman" w:hAnsi="Times New Roman" w:cs="Times New Roman"/>
                <w:snapToGrid w:val="0"/>
                <w:sz w:val="20"/>
                <w:szCs w:val="20"/>
              </w:rPr>
            </w:pPr>
          </w:p>
        </w:tc>
        <w:tc>
          <w:tcPr>
            <w:tcW w:w="851" w:type="dxa"/>
            <w:shd w:val="clear" w:color="auto" w:fill="auto"/>
            <w:vAlign w:val="bottom"/>
          </w:tcPr>
          <w:p w:rsidR="00EE1979" w:rsidRPr="00EE1979" w:rsidRDefault="00EE1979" w:rsidP="00EE1979">
            <w:pPr>
              <w:spacing w:after="0" w:line="240" w:lineRule="auto"/>
              <w:jc w:val="center"/>
              <w:rPr>
                <w:rFonts w:ascii="Times New Roman" w:eastAsia="Times New Roman" w:hAnsi="Times New Roman" w:cs="Times New Roman"/>
                <w:snapToGrid w:val="0"/>
                <w:sz w:val="20"/>
                <w:szCs w:val="20"/>
              </w:rPr>
            </w:pPr>
          </w:p>
        </w:tc>
        <w:tc>
          <w:tcPr>
            <w:tcW w:w="850" w:type="dxa"/>
            <w:shd w:val="clear" w:color="auto" w:fill="auto"/>
            <w:vAlign w:val="bottom"/>
          </w:tcPr>
          <w:p w:rsidR="00EE1979" w:rsidRPr="00EE1979" w:rsidRDefault="00EE1979" w:rsidP="00EE1979">
            <w:pPr>
              <w:spacing w:after="0" w:line="240" w:lineRule="auto"/>
              <w:jc w:val="center"/>
              <w:rPr>
                <w:rFonts w:ascii="Times New Roman" w:eastAsia="Times New Roman" w:hAnsi="Times New Roman" w:cs="Times New Roman"/>
                <w:snapToGrid w:val="0"/>
                <w:sz w:val="20"/>
                <w:szCs w:val="20"/>
              </w:rPr>
            </w:pPr>
          </w:p>
        </w:tc>
      </w:tr>
      <w:tr w:rsidR="00EE1979" w:rsidRPr="00EE1979" w:rsidTr="00135E60">
        <w:trPr>
          <w:jc w:val="center"/>
        </w:trPr>
        <w:tc>
          <w:tcPr>
            <w:tcW w:w="3187" w:type="dxa"/>
            <w:shd w:val="clear" w:color="auto" w:fill="auto"/>
          </w:tcPr>
          <w:p w:rsidR="00EE1979" w:rsidRPr="00EE1979" w:rsidRDefault="00EE1979" w:rsidP="00EE1979">
            <w:pPr>
              <w:spacing w:after="0" w:line="240" w:lineRule="auto"/>
              <w:rPr>
                <w:rFonts w:ascii="Times New Roman" w:eastAsia="Times New Roman" w:hAnsi="Times New Roman" w:cs="Times New Roman"/>
                <w:b/>
                <w:snapToGrid w:val="0"/>
                <w:sz w:val="20"/>
                <w:szCs w:val="20"/>
              </w:rPr>
            </w:pPr>
            <w:r w:rsidRPr="00EE1979">
              <w:rPr>
                <w:rFonts w:ascii="Times New Roman" w:eastAsia="Times New Roman" w:hAnsi="Times New Roman" w:cs="Times New Roman"/>
                <w:b/>
                <w:snapToGrid w:val="0"/>
                <w:sz w:val="20"/>
                <w:szCs w:val="20"/>
              </w:rPr>
              <w:t>Cikliski koriģētā bilance</w:t>
            </w:r>
          </w:p>
        </w:tc>
        <w:tc>
          <w:tcPr>
            <w:tcW w:w="1044" w:type="dxa"/>
            <w:shd w:val="clear" w:color="auto" w:fill="auto"/>
          </w:tcPr>
          <w:p w:rsidR="00EE1979" w:rsidRPr="00EE1979" w:rsidRDefault="00EE1979" w:rsidP="00EE1979">
            <w:pPr>
              <w:spacing w:after="0" w:line="240" w:lineRule="auto"/>
              <w:rPr>
                <w:rFonts w:ascii="Times New Roman" w:eastAsia="Times New Roman" w:hAnsi="Times New Roman" w:cs="Times New Roman"/>
                <w:sz w:val="20"/>
                <w:szCs w:val="20"/>
              </w:rPr>
            </w:pPr>
          </w:p>
        </w:tc>
        <w:tc>
          <w:tcPr>
            <w:tcW w:w="940" w:type="dxa"/>
            <w:shd w:val="clear" w:color="auto" w:fill="auto"/>
            <w:vAlign w:val="bottom"/>
          </w:tcPr>
          <w:p w:rsidR="00EE1979" w:rsidRPr="00EE1979" w:rsidRDefault="00EE1979" w:rsidP="00EE1979">
            <w:pPr>
              <w:spacing w:after="0" w:line="240" w:lineRule="auto"/>
              <w:jc w:val="center"/>
              <w:rPr>
                <w:rFonts w:ascii="Times New Roman" w:eastAsia="Calibri" w:hAnsi="Times New Roman" w:cs="Times New Roman"/>
                <w:color w:val="000000"/>
                <w:sz w:val="20"/>
                <w:szCs w:val="20"/>
              </w:rPr>
            </w:pPr>
            <w:r w:rsidRPr="00EE1979">
              <w:rPr>
                <w:rFonts w:ascii="Times New Roman" w:eastAsia="Calibri" w:hAnsi="Times New Roman" w:cs="Times New Roman"/>
                <w:color w:val="000000"/>
                <w:sz w:val="20"/>
                <w:szCs w:val="20"/>
              </w:rPr>
              <w:t>-1,7</w:t>
            </w:r>
          </w:p>
        </w:tc>
        <w:tc>
          <w:tcPr>
            <w:tcW w:w="851" w:type="dxa"/>
            <w:shd w:val="clear" w:color="auto" w:fill="auto"/>
            <w:vAlign w:val="bottom"/>
          </w:tcPr>
          <w:p w:rsidR="00EE1979" w:rsidRPr="00EE1979" w:rsidRDefault="00EE1979" w:rsidP="00EE1979">
            <w:pPr>
              <w:spacing w:after="0" w:line="240" w:lineRule="auto"/>
              <w:jc w:val="center"/>
              <w:rPr>
                <w:rFonts w:ascii="Times New Roman" w:eastAsia="Calibri" w:hAnsi="Times New Roman" w:cs="Times New Roman"/>
                <w:color w:val="000000"/>
                <w:sz w:val="20"/>
                <w:szCs w:val="20"/>
              </w:rPr>
            </w:pPr>
            <w:r w:rsidRPr="00EE1979">
              <w:rPr>
                <w:rFonts w:ascii="Times New Roman" w:eastAsia="Calibri" w:hAnsi="Times New Roman" w:cs="Times New Roman"/>
                <w:color w:val="000000"/>
                <w:sz w:val="20"/>
                <w:szCs w:val="20"/>
              </w:rPr>
              <w:t>-1,1</w:t>
            </w:r>
          </w:p>
        </w:tc>
        <w:tc>
          <w:tcPr>
            <w:tcW w:w="850" w:type="dxa"/>
            <w:shd w:val="clear" w:color="auto" w:fill="auto"/>
            <w:vAlign w:val="bottom"/>
          </w:tcPr>
          <w:p w:rsidR="00EE1979" w:rsidRPr="00EE1979" w:rsidRDefault="00EE1979" w:rsidP="00EE1979">
            <w:pPr>
              <w:spacing w:after="0" w:line="240" w:lineRule="auto"/>
              <w:jc w:val="center"/>
              <w:rPr>
                <w:rFonts w:ascii="Times New Roman" w:eastAsia="Calibri" w:hAnsi="Times New Roman" w:cs="Times New Roman"/>
                <w:color w:val="000000"/>
                <w:sz w:val="20"/>
                <w:szCs w:val="20"/>
              </w:rPr>
            </w:pPr>
            <w:r w:rsidRPr="00EE1979">
              <w:rPr>
                <w:rFonts w:ascii="Times New Roman" w:eastAsia="Calibri" w:hAnsi="Times New Roman" w:cs="Times New Roman"/>
                <w:color w:val="000000"/>
                <w:sz w:val="20"/>
                <w:szCs w:val="20"/>
              </w:rPr>
              <w:t>-0,8</w:t>
            </w:r>
          </w:p>
        </w:tc>
        <w:tc>
          <w:tcPr>
            <w:tcW w:w="851" w:type="dxa"/>
            <w:shd w:val="clear" w:color="auto" w:fill="auto"/>
            <w:vAlign w:val="bottom"/>
          </w:tcPr>
          <w:p w:rsidR="00EE1979" w:rsidRPr="00EE1979" w:rsidRDefault="00EE1979" w:rsidP="00EE1979">
            <w:pPr>
              <w:spacing w:after="0" w:line="240" w:lineRule="auto"/>
              <w:jc w:val="center"/>
              <w:rPr>
                <w:rFonts w:ascii="Times New Roman" w:eastAsia="Calibri" w:hAnsi="Times New Roman" w:cs="Times New Roman"/>
                <w:color w:val="000000"/>
                <w:sz w:val="20"/>
                <w:szCs w:val="20"/>
              </w:rPr>
            </w:pPr>
            <w:r w:rsidRPr="00EE1979">
              <w:rPr>
                <w:rFonts w:ascii="Times New Roman" w:eastAsia="Calibri" w:hAnsi="Times New Roman" w:cs="Times New Roman"/>
                <w:color w:val="000000"/>
                <w:sz w:val="20"/>
                <w:szCs w:val="20"/>
              </w:rPr>
              <w:t>-0,5</w:t>
            </w:r>
          </w:p>
        </w:tc>
        <w:tc>
          <w:tcPr>
            <w:tcW w:w="850" w:type="dxa"/>
            <w:shd w:val="clear" w:color="auto" w:fill="auto"/>
            <w:vAlign w:val="bottom"/>
          </w:tcPr>
          <w:p w:rsidR="00EE1979" w:rsidRPr="00EE1979" w:rsidRDefault="00EE1979" w:rsidP="00EE1979">
            <w:pPr>
              <w:spacing w:after="0" w:line="240" w:lineRule="auto"/>
              <w:jc w:val="center"/>
              <w:rPr>
                <w:rFonts w:ascii="Times New Roman" w:eastAsia="Calibri" w:hAnsi="Times New Roman" w:cs="Times New Roman"/>
                <w:color w:val="000000"/>
                <w:sz w:val="20"/>
                <w:szCs w:val="20"/>
              </w:rPr>
            </w:pPr>
            <w:r w:rsidRPr="00EE1979">
              <w:rPr>
                <w:rFonts w:ascii="Times New Roman" w:eastAsia="Calibri" w:hAnsi="Times New Roman" w:cs="Times New Roman"/>
                <w:color w:val="000000"/>
                <w:sz w:val="20"/>
                <w:szCs w:val="20"/>
              </w:rPr>
              <w:t>-0,5</w:t>
            </w:r>
          </w:p>
        </w:tc>
      </w:tr>
      <w:tr w:rsidR="00EE1979" w:rsidRPr="00EE1979" w:rsidTr="00135E60">
        <w:trPr>
          <w:trHeight w:val="158"/>
          <w:jc w:val="center"/>
        </w:trPr>
        <w:tc>
          <w:tcPr>
            <w:tcW w:w="3187" w:type="dxa"/>
            <w:shd w:val="clear" w:color="auto" w:fill="auto"/>
          </w:tcPr>
          <w:p w:rsidR="00EE1979" w:rsidRPr="00EE1979" w:rsidRDefault="00EE1979" w:rsidP="00EE1979">
            <w:pPr>
              <w:spacing w:after="0" w:line="240" w:lineRule="auto"/>
              <w:rPr>
                <w:rFonts w:ascii="Times New Roman" w:eastAsia="Times New Roman" w:hAnsi="Times New Roman" w:cs="Times New Roman"/>
                <w:b/>
                <w:snapToGrid w:val="0"/>
                <w:sz w:val="20"/>
                <w:szCs w:val="20"/>
              </w:rPr>
            </w:pPr>
            <w:r w:rsidRPr="00EE1979">
              <w:rPr>
                <w:rFonts w:ascii="Times New Roman" w:eastAsia="Times New Roman" w:hAnsi="Times New Roman" w:cs="Times New Roman"/>
                <w:b/>
                <w:snapToGrid w:val="0"/>
                <w:sz w:val="20"/>
                <w:szCs w:val="20"/>
              </w:rPr>
              <w:t>Cikliski koriģētā primārā bilance</w:t>
            </w:r>
          </w:p>
        </w:tc>
        <w:tc>
          <w:tcPr>
            <w:tcW w:w="1044" w:type="dxa"/>
            <w:shd w:val="clear" w:color="auto" w:fill="auto"/>
          </w:tcPr>
          <w:p w:rsidR="00EE1979" w:rsidRPr="00EE1979" w:rsidRDefault="00EE1979" w:rsidP="00EE1979">
            <w:pPr>
              <w:spacing w:after="0" w:line="240" w:lineRule="auto"/>
              <w:rPr>
                <w:rFonts w:ascii="Times New Roman" w:eastAsia="Times New Roman" w:hAnsi="Times New Roman" w:cs="Times New Roman"/>
                <w:sz w:val="20"/>
                <w:szCs w:val="20"/>
              </w:rPr>
            </w:pPr>
          </w:p>
        </w:tc>
        <w:tc>
          <w:tcPr>
            <w:tcW w:w="940" w:type="dxa"/>
            <w:shd w:val="clear" w:color="auto" w:fill="auto"/>
            <w:vAlign w:val="bottom"/>
          </w:tcPr>
          <w:p w:rsidR="00EE1979" w:rsidRPr="00EE1979" w:rsidRDefault="00EE1979" w:rsidP="00EE1979">
            <w:pPr>
              <w:spacing w:after="0" w:line="240" w:lineRule="auto"/>
              <w:jc w:val="center"/>
              <w:rPr>
                <w:rFonts w:ascii="Times New Roman" w:eastAsia="Calibri" w:hAnsi="Times New Roman" w:cs="Times New Roman"/>
                <w:color w:val="000000"/>
                <w:sz w:val="20"/>
                <w:szCs w:val="20"/>
              </w:rPr>
            </w:pPr>
            <w:r w:rsidRPr="00EE1979">
              <w:rPr>
                <w:rFonts w:ascii="Times New Roman" w:eastAsia="Calibri" w:hAnsi="Times New Roman" w:cs="Times New Roman"/>
                <w:color w:val="000000"/>
                <w:sz w:val="20"/>
                <w:szCs w:val="20"/>
              </w:rPr>
              <w:t>-1,0</w:t>
            </w:r>
          </w:p>
        </w:tc>
        <w:tc>
          <w:tcPr>
            <w:tcW w:w="851" w:type="dxa"/>
            <w:shd w:val="clear" w:color="auto" w:fill="auto"/>
            <w:vAlign w:val="bottom"/>
          </w:tcPr>
          <w:p w:rsidR="00EE1979" w:rsidRPr="00EE1979" w:rsidRDefault="00EE1979" w:rsidP="00EE1979">
            <w:pPr>
              <w:spacing w:after="0" w:line="240" w:lineRule="auto"/>
              <w:jc w:val="center"/>
              <w:rPr>
                <w:rFonts w:ascii="Times New Roman" w:eastAsia="Calibri" w:hAnsi="Times New Roman" w:cs="Times New Roman"/>
                <w:color w:val="000000"/>
                <w:sz w:val="20"/>
                <w:szCs w:val="20"/>
              </w:rPr>
            </w:pPr>
            <w:r w:rsidRPr="00EE1979">
              <w:rPr>
                <w:rFonts w:ascii="Times New Roman" w:eastAsia="Calibri" w:hAnsi="Times New Roman" w:cs="Times New Roman"/>
                <w:color w:val="000000"/>
                <w:sz w:val="20"/>
                <w:szCs w:val="20"/>
              </w:rPr>
              <w:t>-0,3</w:t>
            </w:r>
          </w:p>
        </w:tc>
        <w:tc>
          <w:tcPr>
            <w:tcW w:w="850" w:type="dxa"/>
            <w:shd w:val="clear" w:color="auto" w:fill="auto"/>
            <w:vAlign w:val="bottom"/>
          </w:tcPr>
          <w:p w:rsidR="00EE1979" w:rsidRPr="00EE1979" w:rsidRDefault="00EE1979" w:rsidP="00EE1979">
            <w:pPr>
              <w:spacing w:after="0" w:line="240" w:lineRule="auto"/>
              <w:jc w:val="center"/>
              <w:rPr>
                <w:rFonts w:ascii="Times New Roman" w:eastAsia="Calibri" w:hAnsi="Times New Roman" w:cs="Times New Roman"/>
                <w:color w:val="000000"/>
                <w:sz w:val="20"/>
                <w:szCs w:val="20"/>
              </w:rPr>
            </w:pPr>
            <w:r w:rsidRPr="00EE1979">
              <w:rPr>
                <w:rFonts w:ascii="Times New Roman" w:eastAsia="Calibri" w:hAnsi="Times New Roman" w:cs="Times New Roman"/>
                <w:color w:val="000000"/>
                <w:sz w:val="20"/>
                <w:szCs w:val="20"/>
              </w:rPr>
              <w:t>0,0</w:t>
            </w:r>
          </w:p>
        </w:tc>
        <w:tc>
          <w:tcPr>
            <w:tcW w:w="851" w:type="dxa"/>
            <w:shd w:val="clear" w:color="auto" w:fill="auto"/>
            <w:vAlign w:val="bottom"/>
          </w:tcPr>
          <w:p w:rsidR="00EE1979" w:rsidRPr="00EE1979" w:rsidRDefault="00EE1979" w:rsidP="00EE1979">
            <w:pPr>
              <w:spacing w:after="0" w:line="240" w:lineRule="auto"/>
              <w:jc w:val="center"/>
              <w:rPr>
                <w:rFonts w:ascii="Times New Roman" w:eastAsia="Calibri" w:hAnsi="Times New Roman" w:cs="Times New Roman"/>
                <w:color w:val="000000"/>
                <w:sz w:val="20"/>
                <w:szCs w:val="20"/>
              </w:rPr>
            </w:pPr>
            <w:r w:rsidRPr="00EE1979">
              <w:rPr>
                <w:rFonts w:ascii="Times New Roman" w:eastAsia="Calibri" w:hAnsi="Times New Roman" w:cs="Times New Roman"/>
                <w:color w:val="000000"/>
                <w:sz w:val="20"/>
                <w:szCs w:val="20"/>
              </w:rPr>
              <w:t>0,3</w:t>
            </w:r>
          </w:p>
        </w:tc>
        <w:tc>
          <w:tcPr>
            <w:tcW w:w="850" w:type="dxa"/>
            <w:shd w:val="clear" w:color="auto" w:fill="auto"/>
            <w:vAlign w:val="bottom"/>
          </w:tcPr>
          <w:p w:rsidR="00EE1979" w:rsidRPr="00EE1979" w:rsidRDefault="00EE1979" w:rsidP="00EE1979">
            <w:pPr>
              <w:spacing w:after="0" w:line="240" w:lineRule="auto"/>
              <w:jc w:val="center"/>
              <w:rPr>
                <w:rFonts w:ascii="Times New Roman" w:eastAsia="Calibri" w:hAnsi="Times New Roman" w:cs="Times New Roman"/>
                <w:color w:val="000000"/>
                <w:sz w:val="20"/>
                <w:szCs w:val="20"/>
              </w:rPr>
            </w:pPr>
            <w:r w:rsidRPr="00EE1979">
              <w:rPr>
                <w:rFonts w:ascii="Times New Roman" w:eastAsia="Calibri" w:hAnsi="Times New Roman" w:cs="Times New Roman"/>
                <w:color w:val="000000"/>
                <w:sz w:val="20"/>
                <w:szCs w:val="20"/>
              </w:rPr>
              <w:t>0,3</w:t>
            </w:r>
          </w:p>
        </w:tc>
      </w:tr>
      <w:tr w:rsidR="00EE1979" w:rsidRPr="00EE1979" w:rsidTr="00135E60">
        <w:trPr>
          <w:trHeight w:val="158"/>
          <w:jc w:val="center"/>
        </w:trPr>
        <w:tc>
          <w:tcPr>
            <w:tcW w:w="3187" w:type="dxa"/>
            <w:shd w:val="clear" w:color="auto" w:fill="auto"/>
          </w:tcPr>
          <w:p w:rsidR="00EE1979" w:rsidRPr="00EE1979" w:rsidRDefault="00EE1979" w:rsidP="00EE1979">
            <w:pPr>
              <w:spacing w:after="0" w:line="240" w:lineRule="auto"/>
              <w:rPr>
                <w:rFonts w:ascii="Times New Roman" w:eastAsia="Times New Roman" w:hAnsi="Times New Roman" w:cs="Times New Roman"/>
                <w:b/>
                <w:snapToGrid w:val="0"/>
                <w:sz w:val="20"/>
                <w:szCs w:val="20"/>
              </w:rPr>
            </w:pPr>
            <w:r w:rsidRPr="00EE1979">
              <w:rPr>
                <w:rFonts w:ascii="Times New Roman" w:eastAsia="Times New Roman" w:hAnsi="Times New Roman" w:cs="Times New Roman"/>
                <w:b/>
                <w:snapToGrid w:val="0"/>
                <w:sz w:val="20"/>
                <w:szCs w:val="20"/>
              </w:rPr>
              <w:t>Strukturālā bilance</w:t>
            </w:r>
            <w:r w:rsidRPr="00EE1979">
              <w:rPr>
                <w:rFonts w:ascii="Garamond" w:eastAsia="Times New Roman" w:hAnsi="Garamond" w:cs="Times New Roman"/>
                <w:b/>
                <w:snapToGrid w:val="0"/>
                <w:sz w:val="20"/>
                <w:szCs w:val="20"/>
                <w:vertAlign w:val="superscript"/>
              </w:rPr>
              <w:footnoteReference w:id="7"/>
            </w:r>
          </w:p>
        </w:tc>
        <w:tc>
          <w:tcPr>
            <w:tcW w:w="1044" w:type="dxa"/>
            <w:shd w:val="clear" w:color="auto" w:fill="auto"/>
          </w:tcPr>
          <w:p w:rsidR="00EE1979" w:rsidRPr="00EE1979" w:rsidRDefault="00EE1979" w:rsidP="00EE1979">
            <w:pPr>
              <w:spacing w:after="0" w:line="240" w:lineRule="auto"/>
              <w:rPr>
                <w:rFonts w:ascii="Times New Roman" w:eastAsia="Times New Roman" w:hAnsi="Times New Roman" w:cs="Times New Roman"/>
                <w:sz w:val="20"/>
                <w:szCs w:val="20"/>
              </w:rPr>
            </w:pPr>
          </w:p>
        </w:tc>
        <w:tc>
          <w:tcPr>
            <w:tcW w:w="940" w:type="dxa"/>
            <w:shd w:val="clear" w:color="auto" w:fill="auto"/>
            <w:vAlign w:val="bottom"/>
          </w:tcPr>
          <w:p w:rsidR="00EE1979" w:rsidRPr="00EE1979" w:rsidRDefault="00EE1979" w:rsidP="00EE1979">
            <w:pPr>
              <w:spacing w:after="0" w:line="240" w:lineRule="auto"/>
              <w:jc w:val="center"/>
              <w:rPr>
                <w:rFonts w:ascii="Times New Roman" w:eastAsia="Calibri" w:hAnsi="Times New Roman" w:cs="Times New Roman"/>
                <w:color w:val="000000"/>
                <w:sz w:val="20"/>
                <w:szCs w:val="20"/>
              </w:rPr>
            </w:pPr>
            <w:r w:rsidRPr="00EE1979">
              <w:rPr>
                <w:rFonts w:ascii="Times New Roman" w:eastAsia="Calibri" w:hAnsi="Times New Roman" w:cs="Times New Roman"/>
                <w:color w:val="000000"/>
                <w:sz w:val="20"/>
                <w:szCs w:val="20"/>
              </w:rPr>
              <w:t>-1,7</w:t>
            </w:r>
          </w:p>
        </w:tc>
        <w:tc>
          <w:tcPr>
            <w:tcW w:w="851" w:type="dxa"/>
            <w:shd w:val="clear" w:color="auto" w:fill="auto"/>
            <w:vAlign w:val="bottom"/>
          </w:tcPr>
          <w:p w:rsidR="00EE1979" w:rsidRPr="00EE1979" w:rsidRDefault="00EE1979" w:rsidP="00EE1979">
            <w:pPr>
              <w:spacing w:after="0" w:line="240" w:lineRule="auto"/>
              <w:jc w:val="center"/>
              <w:rPr>
                <w:rFonts w:ascii="Times New Roman" w:eastAsia="Calibri" w:hAnsi="Times New Roman" w:cs="Times New Roman"/>
                <w:color w:val="000000"/>
                <w:sz w:val="20"/>
                <w:szCs w:val="20"/>
              </w:rPr>
            </w:pPr>
            <w:r w:rsidRPr="00EE1979">
              <w:rPr>
                <w:rFonts w:ascii="Times New Roman" w:eastAsia="Calibri" w:hAnsi="Times New Roman" w:cs="Times New Roman"/>
                <w:color w:val="000000"/>
                <w:sz w:val="20"/>
                <w:szCs w:val="20"/>
              </w:rPr>
              <w:t>-1,1</w:t>
            </w:r>
          </w:p>
        </w:tc>
        <w:tc>
          <w:tcPr>
            <w:tcW w:w="850" w:type="dxa"/>
            <w:shd w:val="clear" w:color="auto" w:fill="auto"/>
            <w:vAlign w:val="bottom"/>
          </w:tcPr>
          <w:p w:rsidR="00EE1979" w:rsidRPr="00EE1979" w:rsidRDefault="00EE1979" w:rsidP="00EE1979">
            <w:pPr>
              <w:spacing w:after="0" w:line="240" w:lineRule="auto"/>
              <w:jc w:val="center"/>
              <w:rPr>
                <w:rFonts w:ascii="Times New Roman" w:eastAsia="Calibri" w:hAnsi="Times New Roman" w:cs="Times New Roman"/>
                <w:color w:val="000000"/>
                <w:sz w:val="20"/>
                <w:szCs w:val="20"/>
              </w:rPr>
            </w:pPr>
            <w:r w:rsidRPr="00EE1979">
              <w:rPr>
                <w:rFonts w:ascii="Times New Roman" w:eastAsia="Calibri" w:hAnsi="Times New Roman" w:cs="Times New Roman"/>
                <w:color w:val="000000"/>
                <w:sz w:val="20"/>
                <w:szCs w:val="20"/>
              </w:rPr>
              <w:t>-0,8</w:t>
            </w:r>
          </w:p>
        </w:tc>
        <w:tc>
          <w:tcPr>
            <w:tcW w:w="851" w:type="dxa"/>
            <w:shd w:val="clear" w:color="auto" w:fill="auto"/>
            <w:vAlign w:val="bottom"/>
          </w:tcPr>
          <w:p w:rsidR="00EE1979" w:rsidRPr="00EE1979" w:rsidRDefault="00EE1979" w:rsidP="00EE1979">
            <w:pPr>
              <w:spacing w:after="0" w:line="240" w:lineRule="auto"/>
              <w:jc w:val="center"/>
              <w:rPr>
                <w:rFonts w:ascii="Times New Roman" w:eastAsia="Calibri" w:hAnsi="Times New Roman" w:cs="Times New Roman"/>
                <w:color w:val="000000"/>
                <w:sz w:val="20"/>
                <w:szCs w:val="20"/>
              </w:rPr>
            </w:pPr>
            <w:r w:rsidRPr="00EE1979">
              <w:rPr>
                <w:rFonts w:ascii="Times New Roman" w:eastAsia="Calibri" w:hAnsi="Times New Roman" w:cs="Times New Roman"/>
                <w:color w:val="000000"/>
                <w:sz w:val="20"/>
                <w:szCs w:val="20"/>
              </w:rPr>
              <w:t>-0,5</w:t>
            </w:r>
          </w:p>
        </w:tc>
        <w:tc>
          <w:tcPr>
            <w:tcW w:w="850" w:type="dxa"/>
            <w:shd w:val="clear" w:color="auto" w:fill="auto"/>
            <w:vAlign w:val="bottom"/>
          </w:tcPr>
          <w:p w:rsidR="00EE1979" w:rsidRPr="00EE1979" w:rsidRDefault="00EE1979" w:rsidP="00EE1979">
            <w:pPr>
              <w:spacing w:after="0" w:line="240" w:lineRule="auto"/>
              <w:jc w:val="center"/>
              <w:rPr>
                <w:rFonts w:ascii="Times New Roman" w:eastAsia="Calibri" w:hAnsi="Times New Roman" w:cs="Times New Roman"/>
                <w:color w:val="000000"/>
                <w:sz w:val="20"/>
                <w:szCs w:val="20"/>
              </w:rPr>
            </w:pPr>
            <w:r w:rsidRPr="00EE1979">
              <w:rPr>
                <w:rFonts w:ascii="Times New Roman" w:eastAsia="Calibri" w:hAnsi="Times New Roman" w:cs="Times New Roman"/>
                <w:color w:val="000000"/>
                <w:sz w:val="20"/>
                <w:szCs w:val="20"/>
              </w:rPr>
              <w:t>-0,5</w:t>
            </w:r>
          </w:p>
        </w:tc>
      </w:tr>
    </w:tbl>
    <w:p w:rsidR="00EE1979" w:rsidRDefault="00EE1979" w:rsidP="00EE1979">
      <w:pPr>
        <w:pStyle w:val="T"/>
        <w:spacing w:after="0"/>
        <w:ind w:left="0"/>
        <w:jc w:val="both"/>
        <w:rPr>
          <w:rFonts w:ascii="Times New Roman" w:hAnsi="Times New Roman"/>
          <w:b w:val="0"/>
          <w:color w:val="000000"/>
          <w:sz w:val="20"/>
          <w:szCs w:val="24"/>
        </w:rPr>
      </w:pPr>
    </w:p>
    <w:p w:rsidR="00EE1979" w:rsidRDefault="00EE1979" w:rsidP="00EE1979">
      <w:pPr>
        <w:spacing w:before="120" w:after="0" w:line="240" w:lineRule="auto"/>
        <w:ind w:firstLine="720"/>
        <w:jc w:val="both"/>
        <w:rPr>
          <w:rFonts w:ascii="Times New Roman" w:eastAsia="Times New Roman" w:hAnsi="Times New Roman" w:cs="Times New Roman"/>
          <w:sz w:val="24"/>
          <w:szCs w:val="24"/>
          <w:highlight w:val="yellow"/>
        </w:rPr>
      </w:pPr>
      <w:r w:rsidRPr="004B41E5">
        <w:rPr>
          <w:rFonts w:ascii="Times New Roman" w:eastAsia="Times New Roman" w:hAnsi="Times New Roman" w:cs="Times New Roman"/>
          <w:sz w:val="24"/>
          <w:szCs w:val="24"/>
        </w:rPr>
        <w:t>Fiskālās attīstības scenārijā tiek pieņemts, ka 2020. un 2021</w:t>
      </w:r>
      <w:r>
        <w:rPr>
          <w:rFonts w:ascii="Times New Roman" w:eastAsia="Times New Roman" w:hAnsi="Times New Roman" w:cs="Times New Roman"/>
          <w:sz w:val="24"/>
          <w:szCs w:val="24"/>
        </w:rPr>
        <w:t>.</w:t>
      </w:r>
      <w:r w:rsidRPr="004B41E5">
        <w:rPr>
          <w:rFonts w:ascii="Times New Roman" w:eastAsia="Times New Roman" w:hAnsi="Times New Roman" w:cs="Times New Roman"/>
          <w:sz w:val="24"/>
          <w:szCs w:val="24"/>
        </w:rPr>
        <w:t>gadā nepieciešamā budžeta konsolidācija tiek veikta uz centrālās valdības izdevumu samazināšanas rēķina, savukārt 2022</w:t>
      </w:r>
      <w:r>
        <w:rPr>
          <w:rFonts w:ascii="Times New Roman" w:eastAsia="Times New Roman" w:hAnsi="Times New Roman" w:cs="Times New Roman"/>
          <w:sz w:val="24"/>
          <w:szCs w:val="24"/>
        </w:rPr>
        <w:t>.</w:t>
      </w:r>
      <w:r w:rsidRPr="004B41E5">
        <w:rPr>
          <w:rFonts w:ascii="Times New Roman" w:eastAsia="Times New Roman" w:hAnsi="Times New Roman" w:cs="Times New Roman"/>
          <w:sz w:val="24"/>
          <w:szCs w:val="24"/>
        </w:rPr>
        <w:t>gadā pieejamā fiskālā telpa tiek izmantota centrālās valdības papildus izdevumiem. Tiek pieņemts, ka fiskālā nodrošinājuma rezerve tiek izlietota – t.i., iestājas fiskālie riski 0,1% no IKP apmērā. Tā kā lēmumi par budžeta attīstības sadaļu tiek pieņemti budžeta veidošanas procesā un pašlaik tie nav zināmi, nepieciešamais izdevumu samazinājums 2020. un 2021</w:t>
      </w:r>
      <w:r>
        <w:rPr>
          <w:rFonts w:ascii="Times New Roman" w:eastAsia="Times New Roman" w:hAnsi="Times New Roman" w:cs="Times New Roman"/>
          <w:sz w:val="24"/>
          <w:szCs w:val="24"/>
        </w:rPr>
        <w:t>.</w:t>
      </w:r>
      <w:r w:rsidRPr="004B41E5">
        <w:rPr>
          <w:rFonts w:ascii="Times New Roman" w:eastAsia="Times New Roman" w:hAnsi="Times New Roman" w:cs="Times New Roman"/>
          <w:sz w:val="24"/>
          <w:szCs w:val="24"/>
        </w:rPr>
        <w:t>gadā un izdevumu palielinājums 2022</w:t>
      </w:r>
      <w:r>
        <w:rPr>
          <w:rFonts w:ascii="Times New Roman" w:eastAsia="Times New Roman" w:hAnsi="Times New Roman" w:cs="Times New Roman"/>
          <w:sz w:val="24"/>
          <w:szCs w:val="24"/>
        </w:rPr>
        <w:t>.</w:t>
      </w:r>
      <w:r w:rsidRPr="004B41E5">
        <w:rPr>
          <w:rFonts w:ascii="Times New Roman" w:eastAsia="Times New Roman" w:hAnsi="Times New Roman" w:cs="Times New Roman"/>
          <w:sz w:val="24"/>
          <w:szCs w:val="24"/>
        </w:rPr>
        <w:t>gadā tiek veikts proporcionāli pa izdevumu kategorijām attiecīgajos gados, par pamatu pieņemot atsevišķu izdevumu kategoriju proporciju pret kopējiem izdevumiem pie nemainīgas politikas scenārija. Aprēķinot atsevišķu izdevumu kategoriju proporciju pret kopējiem izdevumiem pie nemainīgas politikas scenārija, no aprēķina tiek izslēgtas sekojošas izdevumu kategorijas: procentu izdevumi un kapitālo izdevumu transferti. Šāda pieeja tiek izmantota, jo tiek pieņemts, ka budžeta attīstības daļas lēmumi uz šīs izdevumu kategorijas neskar.</w:t>
      </w:r>
    </w:p>
    <w:p w:rsidR="00EE1979" w:rsidRPr="009F4FDB" w:rsidRDefault="00EE1979" w:rsidP="00EE1979">
      <w:pPr>
        <w:jc w:val="right"/>
        <w:rPr>
          <w:rFonts w:ascii="Times New Roman" w:eastAsiaTheme="minorHAnsi" w:hAnsi="Times New Roman" w:cs="Times New Roman"/>
          <w:b/>
          <w:sz w:val="24"/>
          <w:szCs w:val="24"/>
        </w:rPr>
      </w:pPr>
      <w:r>
        <w:rPr>
          <w:rFonts w:ascii="Times New Roman" w:eastAsiaTheme="minorHAnsi" w:hAnsi="Times New Roman" w:cs="Times New Roman"/>
          <w:b/>
          <w:sz w:val="24"/>
          <w:szCs w:val="24"/>
        </w:rPr>
        <w:t>3</w:t>
      </w:r>
      <w:r w:rsidRPr="009F4FDB">
        <w:rPr>
          <w:rFonts w:ascii="Times New Roman" w:eastAsiaTheme="minorHAnsi" w:hAnsi="Times New Roman" w:cs="Times New Roman"/>
          <w:b/>
          <w:sz w:val="24"/>
          <w:szCs w:val="24"/>
        </w:rPr>
        <w:t>.1</w:t>
      </w:r>
      <w:r>
        <w:rPr>
          <w:rFonts w:ascii="Times New Roman" w:eastAsiaTheme="minorHAnsi" w:hAnsi="Times New Roman" w:cs="Times New Roman"/>
          <w:b/>
          <w:sz w:val="24"/>
          <w:szCs w:val="24"/>
        </w:rPr>
        <w:t>1</w:t>
      </w:r>
      <w:r w:rsidRPr="009F4FDB">
        <w:rPr>
          <w:rFonts w:ascii="Times New Roman" w:eastAsiaTheme="minorHAnsi" w:hAnsi="Times New Roman" w:cs="Times New Roman"/>
          <w:b/>
          <w:sz w:val="24"/>
          <w:szCs w:val="24"/>
        </w:rPr>
        <w:t>.tabula. Fiskālā telpa</w:t>
      </w:r>
    </w:p>
    <w:tbl>
      <w:tblPr>
        <w:tblW w:w="8524" w:type="dxa"/>
        <w:jc w:val="center"/>
        <w:tblLayout w:type="fixed"/>
        <w:tblCellMar>
          <w:left w:w="0" w:type="dxa"/>
          <w:right w:w="0" w:type="dxa"/>
        </w:tblCellMar>
        <w:tblLook w:val="0600" w:firstRow="0" w:lastRow="0" w:firstColumn="0" w:lastColumn="0" w:noHBand="1" w:noVBand="1"/>
      </w:tblPr>
      <w:tblGrid>
        <w:gridCol w:w="5112"/>
        <w:gridCol w:w="1134"/>
        <w:gridCol w:w="1134"/>
        <w:gridCol w:w="1144"/>
      </w:tblGrid>
      <w:tr w:rsidR="00EE1979" w:rsidRPr="00EE1979" w:rsidTr="00857DB3">
        <w:trPr>
          <w:trHeight w:val="261"/>
          <w:jc w:val="center"/>
        </w:trPr>
        <w:tc>
          <w:tcPr>
            <w:tcW w:w="5112" w:type="dxa"/>
            <w:tcBorders>
              <w:top w:val="single" w:sz="8" w:space="0" w:color="9CC2E5"/>
              <w:left w:val="single" w:sz="8" w:space="0" w:color="9CC2E5"/>
              <w:bottom w:val="single" w:sz="12" w:space="0" w:color="9CC2E5"/>
              <w:right w:val="single" w:sz="8" w:space="0" w:color="9CC2E5"/>
            </w:tcBorders>
            <w:shd w:val="clear" w:color="auto" w:fill="auto"/>
            <w:tcMar>
              <w:top w:w="15" w:type="dxa"/>
              <w:left w:w="15" w:type="dxa"/>
              <w:bottom w:w="0" w:type="dxa"/>
              <w:right w:w="15" w:type="dxa"/>
            </w:tcMar>
            <w:vAlign w:val="center"/>
            <w:hideMark/>
          </w:tcPr>
          <w:p w:rsidR="00EE1979" w:rsidRPr="00EE1979" w:rsidRDefault="00EE1979" w:rsidP="00EE1979">
            <w:pPr>
              <w:spacing w:after="0" w:line="240" w:lineRule="auto"/>
              <w:ind w:firstLine="720"/>
              <w:rPr>
                <w:rFonts w:ascii="Times New Roman" w:eastAsia="Calibri" w:hAnsi="Times New Roman" w:cs="Times New Roman"/>
                <w:b/>
                <w:szCs w:val="24"/>
              </w:rPr>
            </w:pPr>
          </w:p>
        </w:tc>
        <w:tc>
          <w:tcPr>
            <w:tcW w:w="1134" w:type="dxa"/>
            <w:tcBorders>
              <w:top w:val="single" w:sz="8" w:space="0" w:color="9CC2E5"/>
              <w:left w:val="single" w:sz="8" w:space="0" w:color="9CC2E5"/>
              <w:bottom w:val="single" w:sz="12" w:space="0" w:color="9CC2E5"/>
              <w:right w:val="single" w:sz="8" w:space="0" w:color="9CC2E5"/>
            </w:tcBorders>
            <w:shd w:val="clear" w:color="auto" w:fill="auto"/>
            <w:tcMar>
              <w:top w:w="15" w:type="dxa"/>
              <w:left w:w="15" w:type="dxa"/>
              <w:bottom w:w="0" w:type="dxa"/>
              <w:right w:w="15" w:type="dxa"/>
            </w:tcMar>
            <w:vAlign w:val="center"/>
            <w:hideMark/>
          </w:tcPr>
          <w:p w:rsidR="00EE1979" w:rsidRPr="00EE1979" w:rsidRDefault="00EE1979" w:rsidP="00EE1979">
            <w:pPr>
              <w:spacing w:after="0" w:line="240" w:lineRule="auto"/>
              <w:jc w:val="center"/>
              <w:rPr>
                <w:rFonts w:ascii="Times New Roman" w:eastAsia="Calibri" w:hAnsi="Times New Roman" w:cs="Times New Roman"/>
                <w:b/>
                <w:szCs w:val="24"/>
              </w:rPr>
            </w:pPr>
            <w:r w:rsidRPr="00EE1979">
              <w:rPr>
                <w:rFonts w:ascii="Times New Roman" w:eastAsia="Calibri" w:hAnsi="Times New Roman" w:cs="Times New Roman"/>
                <w:b/>
                <w:bCs/>
                <w:szCs w:val="24"/>
              </w:rPr>
              <w:t>2020</w:t>
            </w:r>
          </w:p>
        </w:tc>
        <w:tc>
          <w:tcPr>
            <w:tcW w:w="1134" w:type="dxa"/>
            <w:tcBorders>
              <w:top w:val="single" w:sz="8" w:space="0" w:color="9CC2E5"/>
              <w:left w:val="single" w:sz="8" w:space="0" w:color="9CC2E5"/>
              <w:bottom w:val="single" w:sz="12" w:space="0" w:color="9CC2E5"/>
              <w:right w:val="single" w:sz="8" w:space="0" w:color="9CC2E5"/>
            </w:tcBorders>
            <w:shd w:val="clear" w:color="auto" w:fill="auto"/>
            <w:tcMar>
              <w:top w:w="15" w:type="dxa"/>
              <w:left w:w="15" w:type="dxa"/>
              <w:bottom w:w="0" w:type="dxa"/>
              <w:right w:w="15" w:type="dxa"/>
            </w:tcMar>
            <w:vAlign w:val="center"/>
            <w:hideMark/>
          </w:tcPr>
          <w:p w:rsidR="00EE1979" w:rsidRPr="00EE1979" w:rsidRDefault="00EE1979" w:rsidP="00EE1979">
            <w:pPr>
              <w:spacing w:after="0" w:line="240" w:lineRule="auto"/>
              <w:jc w:val="center"/>
              <w:rPr>
                <w:rFonts w:ascii="Times New Roman" w:eastAsia="Calibri" w:hAnsi="Times New Roman" w:cs="Times New Roman"/>
                <w:b/>
                <w:szCs w:val="24"/>
              </w:rPr>
            </w:pPr>
            <w:r w:rsidRPr="00EE1979">
              <w:rPr>
                <w:rFonts w:ascii="Times New Roman" w:eastAsia="Calibri" w:hAnsi="Times New Roman" w:cs="Times New Roman"/>
                <w:b/>
                <w:bCs/>
                <w:szCs w:val="24"/>
              </w:rPr>
              <w:t>2021</w:t>
            </w:r>
          </w:p>
        </w:tc>
        <w:tc>
          <w:tcPr>
            <w:tcW w:w="1144" w:type="dxa"/>
            <w:tcBorders>
              <w:top w:val="single" w:sz="8" w:space="0" w:color="9CC2E5"/>
              <w:left w:val="single" w:sz="8" w:space="0" w:color="9CC2E5"/>
              <w:bottom w:val="single" w:sz="12" w:space="0" w:color="9CC2E5"/>
              <w:right w:val="single" w:sz="8" w:space="0" w:color="9CC2E5"/>
            </w:tcBorders>
            <w:shd w:val="clear" w:color="auto" w:fill="auto"/>
            <w:tcMar>
              <w:top w:w="15" w:type="dxa"/>
              <w:left w:w="15" w:type="dxa"/>
              <w:bottom w:w="0" w:type="dxa"/>
              <w:right w:w="15" w:type="dxa"/>
            </w:tcMar>
            <w:vAlign w:val="center"/>
            <w:hideMark/>
          </w:tcPr>
          <w:p w:rsidR="00EE1979" w:rsidRPr="00EE1979" w:rsidRDefault="00EE1979" w:rsidP="00EE1979">
            <w:pPr>
              <w:spacing w:after="0" w:line="240" w:lineRule="auto"/>
              <w:jc w:val="center"/>
              <w:rPr>
                <w:rFonts w:ascii="Times New Roman" w:eastAsia="Calibri" w:hAnsi="Times New Roman" w:cs="Times New Roman"/>
                <w:b/>
                <w:szCs w:val="24"/>
              </w:rPr>
            </w:pPr>
            <w:r w:rsidRPr="00EE1979">
              <w:rPr>
                <w:rFonts w:ascii="Times New Roman" w:eastAsia="Calibri" w:hAnsi="Times New Roman" w:cs="Times New Roman"/>
                <w:b/>
                <w:bCs/>
                <w:szCs w:val="24"/>
              </w:rPr>
              <w:t>2022</w:t>
            </w:r>
          </w:p>
        </w:tc>
      </w:tr>
      <w:tr w:rsidR="00EE1979" w:rsidRPr="00EE1979" w:rsidTr="00857DB3">
        <w:trPr>
          <w:trHeight w:val="555"/>
          <w:jc w:val="center"/>
        </w:trPr>
        <w:tc>
          <w:tcPr>
            <w:tcW w:w="5112" w:type="dxa"/>
            <w:tcBorders>
              <w:top w:val="single" w:sz="12" w:space="0" w:color="9CC2E5"/>
              <w:left w:val="single" w:sz="8" w:space="0" w:color="9CC2E5"/>
              <w:bottom w:val="single" w:sz="8" w:space="0" w:color="9CC2E5"/>
              <w:right w:val="single" w:sz="8" w:space="0" w:color="9CC2E5"/>
            </w:tcBorders>
            <w:shd w:val="clear" w:color="auto" w:fill="DEEAF6"/>
            <w:tcMar>
              <w:top w:w="15" w:type="dxa"/>
              <w:left w:w="15" w:type="dxa"/>
              <w:bottom w:w="0" w:type="dxa"/>
              <w:right w:w="15" w:type="dxa"/>
            </w:tcMar>
            <w:vAlign w:val="center"/>
            <w:hideMark/>
          </w:tcPr>
          <w:p w:rsidR="00EE1979" w:rsidRPr="00EE1979" w:rsidRDefault="00EE1979" w:rsidP="00EE1979">
            <w:pPr>
              <w:spacing w:after="0" w:line="240" w:lineRule="auto"/>
              <w:rPr>
                <w:rFonts w:ascii="Times New Roman" w:eastAsia="Calibri" w:hAnsi="Times New Roman" w:cs="Times New Roman"/>
                <w:szCs w:val="24"/>
              </w:rPr>
            </w:pPr>
            <w:r w:rsidRPr="00EE1979">
              <w:rPr>
                <w:rFonts w:ascii="Times New Roman" w:eastAsia="Calibri" w:hAnsi="Times New Roman" w:cs="Times New Roman"/>
                <w:szCs w:val="24"/>
              </w:rPr>
              <w:t>Vispārējās valdības budžeta bilances mērķis, % no IKP</w:t>
            </w:r>
          </w:p>
        </w:tc>
        <w:tc>
          <w:tcPr>
            <w:tcW w:w="1134" w:type="dxa"/>
            <w:tcBorders>
              <w:top w:val="single" w:sz="12" w:space="0" w:color="9CC2E5"/>
              <w:left w:val="single" w:sz="8" w:space="0" w:color="9CC2E5"/>
              <w:bottom w:val="single" w:sz="8" w:space="0" w:color="9CC2E5"/>
              <w:right w:val="single" w:sz="8" w:space="0" w:color="9CC2E5"/>
            </w:tcBorders>
            <w:shd w:val="clear" w:color="auto" w:fill="DEEAF6"/>
            <w:tcMar>
              <w:top w:w="15" w:type="dxa"/>
              <w:left w:w="15" w:type="dxa"/>
              <w:bottom w:w="0" w:type="dxa"/>
              <w:right w:w="15" w:type="dxa"/>
            </w:tcMar>
            <w:vAlign w:val="center"/>
          </w:tcPr>
          <w:p w:rsidR="00EE1979" w:rsidRPr="00EE1979" w:rsidRDefault="00EE1979" w:rsidP="00EE1979">
            <w:pPr>
              <w:spacing w:after="0" w:line="240" w:lineRule="auto"/>
              <w:jc w:val="center"/>
              <w:rPr>
                <w:rFonts w:ascii="Times New Roman" w:eastAsia="Calibri" w:hAnsi="Times New Roman" w:cs="Times New Roman"/>
                <w:szCs w:val="24"/>
              </w:rPr>
            </w:pPr>
            <w:r w:rsidRPr="00EE1979">
              <w:rPr>
                <w:rFonts w:ascii="Times New Roman" w:eastAsia="Calibri" w:hAnsi="Times New Roman" w:cs="Times New Roman"/>
                <w:szCs w:val="24"/>
              </w:rPr>
              <w:t>-0,4</w:t>
            </w:r>
          </w:p>
        </w:tc>
        <w:tc>
          <w:tcPr>
            <w:tcW w:w="1134" w:type="dxa"/>
            <w:tcBorders>
              <w:top w:val="single" w:sz="12" w:space="0" w:color="9CC2E5"/>
              <w:left w:val="single" w:sz="8" w:space="0" w:color="9CC2E5"/>
              <w:bottom w:val="single" w:sz="8" w:space="0" w:color="9CC2E5"/>
              <w:right w:val="single" w:sz="8" w:space="0" w:color="9CC2E5"/>
            </w:tcBorders>
            <w:shd w:val="clear" w:color="auto" w:fill="DEEAF6"/>
            <w:tcMar>
              <w:top w:w="15" w:type="dxa"/>
              <w:left w:w="15" w:type="dxa"/>
              <w:bottom w:w="0" w:type="dxa"/>
              <w:right w:w="15" w:type="dxa"/>
            </w:tcMar>
            <w:vAlign w:val="center"/>
          </w:tcPr>
          <w:p w:rsidR="00EE1979" w:rsidRPr="00EE1979" w:rsidRDefault="00EE1979" w:rsidP="00EE1979">
            <w:pPr>
              <w:spacing w:after="0" w:line="240" w:lineRule="auto"/>
              <w:jc w:val="center"/>
              <w:rPr>
                <w:rFonts w:ascii="Times New Roman" w:eastAsia="Calibri" w:hAnsi="Times New Roman" w:cs="Times New Roman"/>
                <w:szCs w:val="24"/>
              </w:rPr>
            </w:pPr>
            <w:r w:rsidRPr="00EE1979">
              <w:rPr>
                <w:rFonts w:ascii="Times New Roman" w:eastAsia="Calibri" w:hAnsi="Times New Roman" w:cs="Times New Roman"/>
                <w:szCs w:val="24"/>
              </w:rPr>
              <w:t>-0,2</w:t>
            </w:r>
          </w:p>
        </w:tc>
        <w:tc>
          <w:tcPr>
            <w:tcW w:w="1144" w:type="dxa"/>
            <w:tcBorders>
              <w:top w:val="single" w:sz="12" w:space="0" w:color="9CC2E5"/>
              <w:left w:val="single" w:sz="8" w:space="0" w:color="9CC2E5"/>
              <w:bottom w:val="single" w:sz="8" w:space="0" w:color="9CC2E5"/>
              <w:right w:val="single" w:sz="8" w:space="0" w:color="9CC2E5"/>
            </w:tcBorders>
            <w:shd w:val="clear" w:color="auto" w:fill="DEEAF6"/>
            <w:tcMar>
              <w:top w:w="15" w:type="dxa"/>
              <w:left w:w="15" w:type="dxa"/>
              <w:bottom w:w="0" w:type="dxa"/>
              <w:right w:w="15" w:type="dxa"/>
            </w:tcMar>
            <w:vAlign w:val="center"/>
          </w:tcPr>
          <w:p w:rsidR="00EE1979" w:rsidRPr="00EE1979" w:rsidRDefault="00EE1979" w:rsidP="00EE1979">
            <w:pPr>
              <w:spacing w:after="0" w:line="240" w:lineRule="auto"/>
              <w:jc w:val="center"/>
              <w:rPr>
                <w:rFonts w:ascii="Times New Roman" w:eastAsia="Calibri" w:hAnsi="Times New Roman" w:cs="Times New Roman"/>
                <w:szCs w:val="24"/>
              </w:rPr>
            </w:pPr>
            <w:r w:rsidRPr="00EE1979">
              <w:rPr>
                <w:rFonts w:ascii="Times New Roman" w:eastAsia="Calibri" w:hAnsi="Times New Roman" w:cs="Times New Roman"/>
                <w:szCs w:val="24"/>
              </w:rPr>
              <w:t>-0,3</w:t>
            </w:r>
          </w:p>
        </w:tc>
      </w:tr>
      <w:tr w:rsidR="00EE1979" w:rsidRPr="00EE1979" w:rsidTr="00857DB3">
        <w:trPr>
          <w:trHeight w:val="178"/>
          <w:jc w:val="center"/>
        </w:trPr>
        <w:tc>
          <w:tcPr>
            <w:tcW w:w="5112" w:type="dxa"/>
            <w:tcBorders>
              <w:top w:val="single" w:sz="8" w:space="0" w:color="9CC2E5"/>
              <w:left w:val="single" w:sz="8" w:space="0" w:color="9CC2E5"/>
              <w:bottom w:val="single" w:sz="8" w:space="0" w:color="9CC2E5"/>
              <w:right w:val="single" w:sz="8" w:space="0" w:color="9CC2E5"/>
            </w:tcBorders>
            <w:shd w:val="clear" w:color="auto" w:fill="auto"/>
            <w:tcMar>
              <w:top w:w="15" w:type="dxa"/>
              <w:left w:w="15" w:type="dxa"/>
              <w:bottom w:w="0" w:type="dxa"/>
              <w:right w:w="15" w:type="dxa"/>
            </w:tcMar>
            <w:vAlign w:val="center"/>
            <w:hideMark/>
          </w:tcPr>
          <w:p w:rsidR="00EE1979" w:rsidRPr="00EE1979" w:rsidRDefault="00EE1979" w:rsidP="00EE1979">
            <w:pPr>
              <w:spacing w:after="0" w:line="240" w:lineRule="auto"/>
              <w:rPr>
                <w:rFonts w:ascii="Times New Roman" w:eastAsia="Calibri" w:hAnsi="Times New Roman" w:cs="Times New Roman"/>
                <w:szCs w:val="24"/>
              </w:rPr>
            </w:pPr>
            <w:r w:rsidRPr="00EE1979">
              <w:rPr>
                <w:rFonts w:ascii="Times New Roman" w:eastAsia="Calibri" w:hAnsi="Times New Roman" w:cs="Times New Roman"/>
                <w:szCs w:val="24"/>
              </w:rPr>
              <w:t>Vispārējās valdības budžeta bilance pie nemainīgas politikas, % no IKP</w:t>
            </w:r>
          </w:p>
        </w:tc>
        <w:tc>
          <w:tcPr>
            <w:tcW w:w="1134" w:type="dxa"/>
            <w:tcBorders>
              <w:top w:val="single" w:sz="8" w:space="0" w:color="9CC2E5"/>
              <w:left w:val="single" w:sz="8" w:space="0" w:color="9CC2E5"/>
              <w:bottom w:val="single" w:sz="8" w:space="0" w:color="9CC2E5"/>
              <w:right w:val="single" w:sz="8" w:space="0" w:color="9CC2E5"/>
            </w:tcBorders>
            <w:shd w:val="clear" w:color="auto" w:fill="auto"/>
            <w:tcMar>
              <w:top w:w="15" w:type="dxa"/>
              <w:left w:w="15" w:type="dxa"/>
              <w:bottom w:w="0" w:type="dxa"/>
              <w:right w:w="15" w:type="dxa"/>
            </w:tcMar>
            <w:vAlign w:val="center"/>
          </w:tcPr>
          <w:p w:rsidR="00EE1979" w:rsidRPr="00EE1979" w:rsidRDefault="00EE1979" w:rsidP="00EE1979">
            <w:pPr>
              <w:spacing w:after="0" w:line="240" w:lineRule="auto"/>
              <w:jc w:val="center"/>
              <w:rPr>
                <w:rFonts w:ascii="Times New Roman" w:eastAsia="Calibri" w:hAnsi="Times New Roman" w:cs="Times New Roman"/>
                <w:szCs w:val="24"/>
              </w:rPr>
            </w:pPr>
            <w:r w:rsidRPr="00EE1979">
              <w:rPr>
                <w:rFonts w:ascii="Times New Roman" w:eastAsia="Calibri" w:hAnsi="Times New Roman" w:cs="Times New Roman"/>
                <w:szCs w:val="24"/>
              </w:rPr>
              <w:t>-0,3</w:t>
            </w:r>
          </w:p>
        </w:tc>
        <w:tc>
          <w:tcPr>
            <w:tcW w:w="1134" w:type="dxa"/>
            <w:tcBorders>
              <w:top w:val="single" w:sz="8" w:space="0" w:color="9CC2E5"/>
              <w:left w:val="single" w:sz="8" w:space="0" w:color="9CC2E5"/>
              <w:bottom w:val="single" w:sz="8" w:space="0" w:color="9CC2E5"/>
              <w:right w:val="single" w:sz="8" w:space="0" w:color="9CC2E5"/>
            </w:tcBorders>
            <w:shd w:val="clear" w:color="auto" w:fill="auto"/>
            <w:tcMar>
              <w:top w:w="15" w:type="dxa"/>
              <w:left w:w="15" w:type="dxa"/>
              <w:bottom w:w="0" w:type="dxa"/>
              <w:right w:w="15" w:type="dxa"/>
            </w:tcMar>
            <w:vAlign w:val="center"/>
          </w:tcPr>
          <w:p w:rsidR="00EE1979" w:rsidRPr="00EE1979" w:rsidRDefault="00EE1979" w:rsidP="00EE1979">
            <w:pPr>
              <w:spacing w:after="0" w:line="240" w:lineRule="auto"/>
              <w:jc w:val="center"/>
              <w:rPr>
                <w:rFonts w:ascii="Times New Roman" w:eastAsia="Calibri" w:hAnsi="Times New Roman" w:cs="Times New Roman"/>
                <w:szCs w:val="24"/>
              </w:rPr>
            </w:pPr>
            <w:r w:rsidRPr="00EE1979">
              <w:rPr>
                <w:rFonts w:ascii="Times New Roman" w:eastAsia="Calibri" w:hAnsi="Times New Roman" w:cs="Times New Roman"/>
                <w:szCs w:val="24"/>
              </w:rPr>
              <w:t>-0,4</w:t>
            </w:r>
          </w:p>
        </w:tc>
        <w:tc>
          <w:tcPr>
            <w:tcW w:w="1144" w:type="dxa"/>
            <w:tcBorders>
              <w:top w:val="single" w:sz="8" w:space="0" w:color="9CC2E5"/>
              <w:left w:val="single" w:sz="8" w:space="0" w:color="9CC2E5"/>
              <w:bottom w:val="single" w:sz="8" w:space="0" w:color="9CC2E5"/>
              <w:right w:val="single" w:sz="8" w:space="0" w:color="9CC2E5"/>
            </w:tcBorders>
            <w:shd w:val="clear" w:color="auto" w:fill="auto"/>
            <w:tcMar>
              <w:top w:w="15" w:type="dxa"/>
              <w:left w:w="15" w:type="dxa"/>
              <w:bottom w:w="0" w:type="dxa"/>
              <w:right w:w="15" w:type="dxa"/>
            </w:tcMar>
            <w:vAlign w:val="center"/>
          </w:tcPr>
          <w:p w:rsidR="00EE1979" w:rsidRPr="00EE1979" w:rsidRDefault="00EE1979" w:rsidP="00EE1979">
            <w:pPr>
              <w:spacing w:after="0" w:line="240" w:lineRule="auto"/>
              <w:jc w:val="center"/>
              <w:rPr>
                <w:rFonts w:ascii="Times New Roman" w:eastAsia="Calibri" w:hAnsi="Times New Roman" w:cs="Times New Roman"/>
                <w:szCs w:val="24"/>
              </w:rPr>
            </w:pPr>
            <w:r w:rsidRPr="00EE1979">
              <w:rPr>
                <w:rFonts w:ascii="Times New Roman" w:eastAsia="Calibri" w:hAnsi="Times New Roman" w:cs="Times New Roman"/>
                <w:szCs w:val="24"/>
              </w:rPr>
              <w:t>0,2</w:t>
            </w:r>
          </w:p>
        </w:tc>
      </w:tr>
      <w:tr w:rsidR="00EE1979" w:rsidRPr="00EE1979" w:rsidTr="00857DB3">
        <w:trPr>
          <w:trHeight w:val="91"/>
          <w:jc w:val="center"/>
        </w:trPr>
        <w:tc>
          <w:tcPr>
            <w:tcW w:w="5112" w:type="dxa"/>
            <w:tcBorders>
              <w:top w:val="single" w:sz="8" w:space="0" w:color="9CC2E5"/>
              <w:left w:val="single" w:sz="8" w:space="0" w:color="9CC2E5"/>
              <w:bottom w:val="single" w:sz="8" w:space="0" w:color="9CC2E5"/>
              <w:right w:val="single" w:sz="8" w:space="0" w:color="9CC2E5"/>
            </w:tcBorders>
            <w:shd w:val="clear" w:color="auto" w:fill="DEEAF6"/>
            <w:tcMar>
              <w:top w:w="15" w:type="dxa"/>
              <w:left w:w="15" w:type="dxa"/>
              <w:bottom w:w="0" w:type="dxa"/>
              <w:right w:w="15" w:type="dxa"/>
            </w:tcMar>
            <w:vAlign w:val="center"/>
            <w:hideMark/>
          </w:tcPr>
          <w:p w:rsidR="00EE1979" w:rsidRPr="00EE1979" w:rsidRDefault="00EE1979" w:rsidP="00EE1979">
            <w:pPr>
              <w:spacing w:after="0" w:line="240" w:lineRule="auto"/>
              <w:rPr>
                <w:rFonts w:ascii="Times New Roman" w:eastAsia="Calibri" w:hAnsi="Times New Roman" w:cs="Times New Roman"/>
                <w:szCs w:val="24"/>
              </w:rPr>
            </w:pPr>
            <w:r w:rsidRPr="00EE1979">
              <w:rPr>
                <w:rFonts w:ascii="Times New Roman" w:eastAsia="Calibri" w:hAnsi="Times New Roman" w:cs="Times New Roman"/>
                <w:szCs w:val="24"/>
              </w:rPr>
              <w:t>Fiskālā nodrošinājuma rezerve, % no IKP</w:t>
            </w:r>
          </w:p>
        </w:tc>
        <w:tc>
          <w:tcPr>
            <w:tcW w:w="1134" w:type="dxa"/>
            <w:tcBorders>
              <w:top w:val="single" w:sz="8" w:space="0" w:color="9CC2E5"/>
              <w:left w:val="single" w:sz="8" w:space="0" w:color="9CC2E5"/>
              <w:bottom w:val="single" w:sz="8" w:space="0" w:color="9CC2E5"/>
              <w:right w:val="single" w:sz="8" w:space="0" w:color="9CC2E5"/>
            </w:tcBorders>
            <w:shd w:val="clear" w:color="auto" w:fill="DEEAF6"/>
            <w:tcMar>
              <w:top w:w="15" w:type="dxa"/>
              <w:left w:w="15" w:type="dxa"/>
              <w:bottom w:w="0" w:type="dxa"/>
              <w:right w:w="15" w:type="dxa"/>
            </w:tcMar>
            <w:vAlign w:val="center"/>
          </w:tcPr>
          <w:p w:rsidR="00EE1979" w:rsidRPr="00EE1979" w:rsidRDefault="00EE1979" w:rsidP="00EE1979">
            <w:pPr>
              <w:spacing w:after="0" w:line="240" w:lineRule="auto"/>
              <w:jc w:val="center"/>
              <w:rPr>
                <w:rFonts w:ascii="Times New Roman" w:eastAsia="Calibri" w:hAnsi="Times New Roman" w:cs="Times New Roman"/>
                <w:szCs w:val="24"/>
              </w:rPr>
            </w:pPr>
            <w:r w:rsidRPr="00EE1979">
              <w:rPr>
                <w:rFonts w:ascii="Times New Roman" w:eastAsia="Calibri" w:hAnsi="Times New Roman" w:cs="Times New Roman"/>
                <w:szCs w:val="24"/>
              </w:rPr>
              <w:t>0,1</w:t>
            </w:r>
          </w:p>
        </w:tc>
        <w:tc>
          <w:tcPr>
            <w:tcW w:w="1134" w:type="dxa"/>
            <w:tcBorders>
              <w:top w:val="single" w:sz="8" w:space="0" w:color="9CC2E5"/>
              <w:left w:val="single" w:sz="8" w:space="0" w:color="9CC2E5"/>
              <w:bottom w:val="single" w:sz="8" w:space="0" w:color="9CC2E5"/>
              <w:right w:val="single" w:sz="8" w:space="0" w:color="9CC2E5"/>
            </w:tcBorders>
            <w:shd w:val="clear" w:color="auto" w:fill="DEEAF6"/>
            <w:tcMar>
              <w:top w:w="15" w:type="dxa"/>
              <w:left w:w="15" w:type="dxa"/>
              <w:bottom w:w="0" w:type="dxa"/>
              <w:right w:w="15" w:type="dxa"/>
            </w:tcMar>
            <w:vAlign w:val="center"/>
          </w:tcPr>
          <w:p w:rsidR="00EE1979" w:rsidRPr="00EE1979" w:rsidRDefault="00EE1979" w:rsidP="00EE1979">
            <w:pPr>
              <w:spacing w:after="0" w:line="240" w:lineRule="auto"/>
              <w:jc w:val="center"/>
              <w:rPr>
                <w:rFonts w:ascii="Times New Roman" w:eastAsia="Calibri" w:hAnsi="Times New Roman" w:cs="Times New Roman"/>
                <w:szCs w:val="24"/>
              </w:rPr>
            </w:pPr>
            <w:r w:rsidRPr="00EE1979">
              <w:rPr>
                <w:rFonts w:ascii="Times New Roman" w:eastAsia="Calibri" w:hAnsi="Times New Roman" w:cs="Times New Roman"/>
                <w:szCs w:val="24"/>
              </w:rPr>
              <w:t>0,1</w:t>
            </w:r>
          </w:p>
        </w:tc>
        <w:tc>
          <w:tcPr>
            <w:tcW w:w="1144" w:type="dxa"/>
            <w:tcBorders>
              <w:top w:val="single" w:sz="8" w:space="0" w:color="9CC2E5"/>
              <w:left w:val="single" w:sz="8" w:space="0" w:color="9CC2E5"/>
              <w:bottom w:val="single" w:sz="8" w:space="0" w:color="9CC2E5"/>
              <w:right w:val="single" w:sz="8" w:space="0" w:color="9CC2E5"/>
            </w:tcBorders>
            <w:shd w:val="clear" w:color="auto" w:fill="DEEAF6"/>
            <w:tcMar>
              <w:top w:w="15" w:type="dxa"/>
              <w:left w:w="15" w:type="dxa"/>
              <w:bottom w:w="0" w:type="dxa"/>
              <w:right w:w="15" w:type="dxa"/>
            </w:tcMar>
            <w:vAlign w:val="center"/>
          </w:tcPr>
          <w:p w:rsidR="00EE1979" w:rsidRPr="00EE1979" w:rsidRDefault="00EE1979" w:rsidP="00EE1979">
            <w:pPr>
              <w:spacing w:after="0" w:line="240" w:lineRule="auto"/>
              <w:jc w:val="center"/>
              <w:rPr>
                <w:rFonts w:ascii="Times New Roman" w:eastAsia="Calibri" w:hAnsi="Times New Roman" w:cs="Times New Roman"/>
                <w:szCs w:val="24"/>
              </w:rPr>
            </w:pPr>
            <w:r w:rsidRPr="00EE1979">
              <w:rPr>
                <w:rFonts w:ascii="Times New Roman" w:eastAsia="Calibri" w:hAnsi="Times New Roman" w:cs="Times New Roman"/>
                <w:szCs w:val="24"/>
              </w:rPr>
              <w:t>0,1</w:t>
            </w:r>
          </w:p>
        </w:tc>
      </w:tr>
      <w:tr w:rsidR="00EE1979" w:rsidRPr="00EE1979" w:rsidTr="00857DB3">
        <w:trPr>
          <w:trHeight w:val="124"/>
          <w:jc w:val="center"/>
        </w:trPr>
        <w:tc>
          <w:tcPr>
            <w:tcW w:w="5112" w:type="dxa"/>
            <w:tcBorders>
              <w:top w:val="single" w:sz="8" w:space="0" w:color="9CC2E5"/>
              <w:left w:val="single" w:sz="8" w:space="0" w:color="9CC2E5"/>
              <w:bottom w:val="single" w:sz="8" w:space="0" w:color="9CC2E5"/>
              <w:right w:val="single" w:sz="8" w:space="0" w:color="9CC2E5"/>
            </w:tcBorders>
            <w:shd w:val="clear" w:color="auto" w:fill="auto"/>
            <w:tcMar>
              <w:top w:w="15" w:type="dxa"/>
              <w:left w:w="15" w:type="dxa"/>
              <w:bottom w:w="0" w:type="dxa"/>
              <w:right w:w="15" w:type="dxa"/>
            </w:tcMar>
            <w:vAlign w:val="center"/>
            <w:hideMark/>
          </w:tcPr>
          <w:p w:rsidR="00EE1979" w:rsidRPr="00EE1979" w:rsidRDefault="00EE1979" w:rsidP="00EE1979">
            <w:pPr>
              <w:spacing w:after="0" w:line="240" w:lineRule="auto"/>
              <w:rPr>
                <w:rFonts w:ascii="Times New Roman" w:eastAsia="Calibri" w:hAnsi="Times New Roman" w:cs="Times New Roman"/>
                <w:b/>
                <w:szCs w:val="24"/>
              </w:rPr>
            </w:pPr>
            <w:r w:rsidRPr="00EE1979">
              <w:rPr>
                <w:rFonts w:ascii="Times New Roman" w:eastAsia="Calibri" w:hAnsi="Times New Roman" w:cs="Times New Roman"/>
                <w:b/>
                <w:bCs/>
                <w:szCs w:val="24"/>
              </w:rPr>
              <w:t>Fiskālā telpa, % no IKP</w:t>
            </w:r>
          </w:p>
        </w:tc>
        <w:tc>
          <w:tcPr>
            <w:tcW w:w="1134" w:type="dxa"/>
            <w:tcBorders>
              <w:top w:val="single" w:sz="8" w:space="0" w:color="9CC2E5"/>
              <w:left w:val="single" w:sz="8" w:space="0" w:color="9CC2E5"/>
              <w:bottom w:val="single" w:sz="8" w:space="0" w:color="9CC2E5"/>
              <w:right w:val="single" w:sz="8" w:space="0" w:color="9CC2E5"/>
            </w:tcBorders>
            <w:shd w:val="clear" w:color="auto" w:fill="auto"/>
            <w:tcMar>
              <w:top w:w="15" w:type="dxa"/>
              <w:left w:w="15" w:type="dxa"/>
              <w:bottom w:w="0" w:type="dxa"/>
              <w:right w:w="15" w:type="dxa"/>
            </w:tcMar>
            <w:vAlign w:val="center"/>
          </w:tcPr>
          <w:p w:rsidR="00EE1979" w:rsidRPr="00EE1979" w:rsidRDefault="00EE1979" w:rsidP="00EE1979">
            <w:pPr>
              <w:spacing w:after="0" w:line="240" w:lineRule="auto"/>
              <w:jc w:val="center"/>
              <w:rPr>
                <w:rFonts w:ascii="Times New Roman" w:eastAsia="Calibri" w:hAnsi="Times New Roman" w:cs="Times New Roman"/>
                <w:b/>
                <w:szCs w:val="24"/>
              </w:rPr>
            </w:pPr>
            <w:r w:rsidRPr="00EE1979">
              <w:rPr>
                <w:rFonts w:ascii="Times New Roman" w:eastAsia="Calibri" w:hAnsi="Times New Roman" w:cs="Times New Roman"/>
                <w:b/>
                <w:szCs w:val="24"/>
              </w:rPr>
              <w:t>-0,04</w:t>
            </w:r>
          </w:p>
        </w:tc>
        <w:tc>
          <w:tcPr>
            <w:tcW w:w="1134" w:type="dxa"/>
            <w:tcBorders>
              <w:top w:val="single" w:sz="8" w:space="0" w:color="9CC2E5"/>
              <w:left w:val="single" w:sz="8" w:space="0" w:color="9CC2E5"/>
              <w:bottom w:val="single" w:sz="8" w:space="0" w:color="9CC2E5"/>
              <w:right w:val="single" w:sz="8" w:space="0" w:color="9CC2E5"/>
            </w:tcBorders>
            <w:shd w:val="clear" w:color="auto" w:fill="auto"/>
            <w:tcMar>
              <w:top w:w="15" w:type="dxa"/>
              <w:left w:w="15" w:type="dxa"/>
              <w:bottom w:w="0" w:type="dxa"/>
              <w:right w:w="15" w:type="dxa"/>
            </w:tcMar>
            <w:vAlign w:val="center"/>
          </w:tcPr>
          <w:p w:rsidR="00EE1979" w:rsidRPr="00EE1979" w:rsidRDefault="00EE1979" w:rsidP="00EE1979">
            <w:pPr>
              <w:spacing w:after="0" w:line="240" w:lineRule="auto"/>
              <w:jc w:val="center"/>
              <w:rPr>
                <w:rFonts w:ascii="Times New Roman" w:eastAsia="Calibri" w:hAnsi="Times New Roman" w:cs="Times New Roman"/>
                <w:b/>
                <w:szCs w:val="24"/>
              </w:rPr>
            </w:pPr>
            <w:r w:rsidRPr="00EE1979">
              <w:rPr>
                <w:rFonts w:ascii="Times New Roman" w:eastAsia="Calibri" w:hAnsi="Times New Roman" w:cs="Times New Roman"/>
                <w:b/>
                <w:szCs w:val="24"/>
              </w:rPr>
              <w:t>-0,23</w:t>
            </w:r>
          </w:p>
        </w:tc>
        <w:tc>
          <w:tcPr>
            <w:tcW w:w="1144" w:type="dxa"/>
            <w:tcBorders>
              <w:top w:val="single" w:sz="8" w:space="0" w:color="9CC2E5"/>
              <w:left w:val="single" w:sz="8" w:space="0" w:color="9CC2E5"/>
              <w:bottom w:val="single" w:sz="8" w:space="0" w:color="9CC2E5"/>
              <w:right w:val="single" w:sz="8" w:space="0" w:color="9CC2E5"/>
            </w:tcBorders>
            <w:shd w:val="clear" w:color="auto" w:fill="auto"/>
            <w:tcMar>
              <w:top w:w="15" w:type="dxa"/>
              <w:left w:w="15" w:type="dxa"/>
              <w:bottom w:w="0" w:type="dxa"/>
              <w:right w:w="15" w:type="dxa"/>
            </w:tcMar>
            <w:vAlign w:val="center"/>
          </w:tcPr>
          <w:p w:rsidR="00EE1979" w:rsidRPr="00EE1979" w:rsidRDefault="00EE1979" w:rsidP="00EE1979">
            <w:pPr>
              <w:spacing w:after="0" w:line="240" w:lineRule="auto"/>
              <w:jc w:val="center"/>
              <w:rPr>
                <w:rFonts w:ascii="Times New Roman" w:eastAsia="Calibri" w:hAnsi="Times New Roman" w:cs="Times New Roman"/>
                <w:b/>
                <w:szCs w:val="24"/>
              </w:rPr>
            </w:pPr>
            <w:r w:rsidRPr="00EE1979">
              <w:rPr>
                <w:rFonts w:ascii="Times New Roman" w:eastAsia="Calibri" w:hAnsi="Times New Roman" w:cs="Times New Roman"/>
                <w:b/>
                <w:szCs w:val="24"/>
              </w:rPr>
              <w:t>0,48</w:t>
            </w:r>
          </w:p>
        </w:tc>
      </w:tr>
      <w:tr w:rsidR="00EE1979" w:rsidRPr="00EE1979" w:rsidTr="00857DB3">
        <w:trPr>
          <w:trHeight w:val="130"/>
          <w:jc w:val="center"/>
        </w:trPr>
        <w:tc>
          <w:tcPr>
            <w:tcW w:w="5112" w:type="dxa"/>
            <w:tcBorders>
              <w:top w:val="single" w:sz="8" w:space="0" w:color="9CC2E5"/>
              <w:left w:val="single" w:sz="8" w:space="0" w:color="9CC2E5"/>
              <w:bottom w:val="single" w:sz="8" w:space="0" w:color="9CC2E5"/>
              <w:right w:val="single" w:sz="8" w:space="0" w:color="9CC2E5"/>
            </w:tcBorders>
            <w:shd w:val="clear" w:color="auto" w:fill="DEEAF6"/>
            <w:tcMar>
              <w:top w:w="15" w:type="dxa"/>
              <w:left w:w="15" w:type="dxa"/>
              <w:bottom w:w="0" w:type="dxa"/>
              <w:right w:w="15" w:type="dxa"/>
            </w:tcMar>
            <w:vAlign w:val="center"/>
            <w:hideMark/>
          </w:tcPr>
          <w:p w:rsidR="00EE1979" w:rsidRPr="00EE1979" w:rsidRDefault="00EE1979" w:rsidP="00EE1979">
            <w:pPr>
              <w:spacing w:after="0" w:line="240" w:lineRule="auto"/>
              <w:rPr>
                <w:rFonts w:ascii="Times New Roman" w:eastAsia="Calibri" w:hAnsi="Times New Roman" w:cs="Times New Roman"/>
                <w:b/>
                <w:szCs w:val="24"/>
              </w:rPr>
            </w:pPr>
            <w:r w:rsidRPr="00EE1979">
              <w:rPr>
                <w:rFonts w:ascii="Times New Roman" w:eastAsia="Calibri" w:hAnsi="Times New Roman" w:cs="Times New Roman"/>
                <w:b/>
                <w:bCs/>
                <w:szCs w:val="24"/>
              </w:rPr>
              <w:t xml:space="preserve">Fiskālā telpa, milj. </w:t>
            </w:r>
            <w:r w:rsidRPr="00EE1979">
              <w:rPr>
                <w:rFonts w:ascii="Times New Roman" w:eastAsia="Calibri" w:hAnsi="Times New Roman" w:cs="Times New Roman"/>
                <w:b/>
                <w:bCs/>
                <w:i/>
                <w:iCs/>
                <w:szCs w:val="24"/>
              </w:rPr>
              <w:t>euro</w:t>
            </w:r>
          </w:p>
        </w:tc>
        <w:tc>
          <w:tcPr>
            <w:tcW w:w="1134" w:type="dxa"/>
            <w:tcBorders>
              <w:top w:val="single" w:sz="8" w:space="0" w:color="9CC2E5"/>
              <w:left w:val="single" w:sz="8" w:space="0" w:color="9CC2E5"/>
              <w:bottom w:val="single" w:sz="8" w:space="0" w:color="9CC2E5"/>
              <w:right w:val="single" w:sz="8" w:space="0" w:color="9CC2E5"/>
            </w:tcBorders>
            <w:shd w:val="clear" w:color="auto" w:fill="DEEAF6"/>
            <w:tcMar>
              <w:top w:w="15" w:type="dxa"/>
              <w:left w:w="15" w:type="dxa"/>
              <w:bottom w:w="0" w:type="dxa"/>
              <w:right w:w="15" w:type="dxa"/>
            </w:tcMar>
            <w:vAlign w:val="center"/>
          </w:tcPr>
          <w:p w:rsidR="00EE1979" w:rsidRPr="00EE1979" w:rsidRDefault="00EE1979" w:rsidP="00EE1979">
            <w:pPr>
              <w:spacing w:after="0" w:line="240" w:lineRule="auto"/>
              <w:jc w:val="center"/>
              <w:rPr>
                <w:rFonts w:ascii="Times New Roman" w:eastAsia="Calibri" w:hAnsi="Times New Roman" w:cs="Times New Roman"/>
                <w:b/>
                <w:szCs w:val="24"/>
              </w:rPr>
            </w:pPr>
            <w:r w:rsidRPr="00EE1979">
              <w:rPr>
                <w:rFonts w:ascii="Times New Roman" w:eastAsia="Calibri" w:hAnsi="Times New Roman" w:cs="Times New Roman"/>
                <w:b/>
                <w:szCs w:val="24"/>
              </w:rPr>
              <w:t>-11,9</w:t>
            </w:r>
          </w:p>
        </w:tc>
        <w:tc>
          <w:tcPr>
            <w:tcW w:w="1134" w:type="dxa"/>
            <w:tcBorders>
              <w:top w:val="single" w:sz="8" w:space="0" w:color="9CC2E5"/>
              <w:left w:val="single" w:sz="8" w:space="0" w:color="9CC2E5"/>
              <w:bottom w:val="single" w:sz="8" w:space="0" w:color="9CC2E5"/>
              <w:right w:val="single" w:sz="8" w:space="0" w:color="9CC2E5"/>
            </w:tcBorders>
            <w:shd w:val="clear" w:color="auto" w:fill="DEEAF6"/>
            <w:tcMar>
              <w:top w:w="15" w:type="dxa"/>
              <w:left w:w="15" w:type="dxa"/>
              <w:bottom w:w="0" w:type="dxa"/>
              <w:right w:w="15" w:type="dxa"/>
            </w:tcMar>
            <w:vAlign w:val="center"/>
          </w:tcPr>
          <w:p w:rsidR="00EE1979" w:rsidRPr="00EE1979" w:rsidRDefault="00EE1979" w:rsidP="00EE1979">
            <w:pPr>
              <w:spacing w:after="0" w:line="240" w:lineRule="auto"/>
              <w:jc w:val="center"/>
              <w:rPr>
                <w:rFonts w:ascii="Times New Roman" w:eastAsia="Calibri" w:hAnsi="Times New Roman" w:cs="Times New Roman"/>
                <w:b/>
                <w:szCs w:val="24"/>
              </w:rPr>
            </w:pPr>
            <w:r w:rsidRPr="00EE1979">
              <w:rPr>
                <w:rFonts w:ascii="Times New Roman" w:eastAsia="Calibri" w:hAnsi="Times New Roman" w:cs="Times New Roman"/>
                <w:b/>
                <w:szCs w:val="24"/>
              </w:rPr>
              <w:t>-81,1</w:t>
            </w:r>
          </w:p>
        </w:tc>
        <w:tc>
          <w:tcPr>
            <w:tcW w:w="1144" w:type="dxa"/>
            <w:tcBorders>
              <w:top w:val="single" w:sz="8" w:space="0" w:color="9CC2E5"/>
              <w:left w:val="single" w:sz="8" w:space="0" w:color="9CC2E5"/>
              <w:bottom w:val="single" w:sz="8" w:space="0" w:color="9CC2E5"/>
              <w:right w:val="single" w:sz="8" w:space="0" w:color="9CC2E5"/>
            </w:tcBorders>
            <w:shd w:val="clear" w:color="auto" w:fill="DEEAF6"/>
            <w:tcMar>
              <w:top w:w="15" w:type="dxa"/>
              <w:left w:w="15" w:type="dxa"/>
              <w:bottom w:w="0" w:type="dxa"/>
              <w:right w:w="15" w:type="dxa"/>
            </w:tcMar>
            <w:vAlign w:val="center"/>
          </w:tcPr>
          <w:p w:rsidR="00EE1979" w:rsidRPr="00EE1979" w:rsidRDefault="00EE1979" w:rsidP="00EE1979">
            <w:pPr>
              <w:spacing w:after="0" w:line="240" w:lineRule="auto"/>
              <w:jc w:val="center"/>
              <w:rPr>
                <w:rFonts w:ascii="Times New Roman" w:eastAsia="Calibri" w:hAnsi="Times New Roman" w:cs="Times New Roman"/>
                <w:b/>
                <w:szCs w:val="24"/>
              </w:rPr>
            </w:pPr>
            <w:r w:rsidRPr="00EE1979">
              <w:rPr>
                <w:rFonts w:ascii="Times New Roman" w:eastAsia="Calibri" w:hAnsi="Times New Roman" w:cs="Times New Roman"/>
                <w:b/>
                <w:szCs w:val="24"/>
              </w:rPr>
              <w:t>176,3</w:t>
            </w:r>
          </w:p>
        </w:tc>
      </w:tr>
    </w:tbl>
    <w:p w:rsidR="00EE1979" w:rsidRDefault="00EE1979" w:rsidP="00EE1979">
      <w:pPr>
        <w:spacing w:after="0" w:line="240" w:lineRule="auto"/>
        <w:jc w:val="both"/>
        <w:rPr>
          <w:rFonts w:ascii="Times New Roman" w:eastAsia="Calibri" w:hAnsi="Times New Roman" w:cs="Times New Roman"/>
          <w:color w:val="000000"/>
          <w:sz w:val="24"/>
        </w:rPr>
      </w:pPr>
    </w:p>
    <w:p w:rsidR="0071501E" w:rsidRDefault="0071501E">
      <w:pPr>
        <w:spacing w:after="0" w:line="240" w:lineRule="auto"/>
        <w:rPr>
          <w:rFonts w:ascii="Times New Roman" w:eastAsiaTheme="majorEastAsia" w:hAnsi="Times New Roman" w:cs="Times New Roman"/>
          <w:b/>
          <w:bCs/>
          <w:smallCaps/>
          <w:color w:val="000000" w:themeColor="text1"/>
          <w:sz w:val="32"/>
          <w:szCs w:val="32"/>
        </w:rPr>
      </w:pPr>
      <w:r>
        <w:rPr>
          <w:rFonts w:ascii="Times New Roman" w:hAnsi="Times New Roman" w:cs="Times New Roman"/>
          <w:sz w:val="32"/>
          <w:szCs w:val="32"/>
        </w:rPr>
        <w:br w:type="page"/>
      </w:r>
    </w:p>
    <w:p w:rsidR="0071501E" w:rsidRPr="00AF71D1" w:rsidRDefault="0071501E" w:rsidP="00DF2CC5">
      <w:pPr>
        <w:pStyle w:val="Heading1"/>
        <w:numPr>
          <w:ilvl w:val="0"/>
          <w:numId w:val="0"/>
        </w:numPr>
        <w:jc w:val="center"/>
        <w:rPr>
          <w:rFonts w:ascii="Times New Roman" w:hAnsi="Times New Roman" w:cs="Times New Roman"/>
          <w:sz w:val="32"/>
          <w:szCs w:val="32"/>
        </w:rPr>
      </w:pPr>
      <w:bookmarkStart w:id="9" w:name="_Toc8285993"/>
      <w:r>
        <w:rPr>
          <w:rFonts w:ascii="Times New Roman" w:hAnsi="Times New Roman" w:cs="Times New Roman"/>
          <w:sz w:val="32"/>
          <w:szCs w:val="32"/>
        </w:rPr>
        <w:lastRenderedPageBreak/>
        <w:t xml:space="preserve">3. </w:t>
      </w:r>
      <w:r w:rsidRPr="00AF71D1">
        <w:rPr>
          <w:rFonts w:ascii="Times New Roman" w:hAnsi="Times New Roman" w:cs="Times New Roman"/>
          <w:sz w:val="32"/>
          <w:szCs w:val="32"/>
        </w:rPr>
        <w:t>Pielikum</w:t>
      </w:r>
      <w:r>
        <w:rPr>
          <w:rFonts w:ascii="Times New Roman" w:hAnsi="Times New Roman" w:cs="Times New Roman"/>
          <w:sz w:val="32"/>
          <w:szCs w:val="32"/>
        </w:rPr>
        <w:t>s</w:t>
      </w:r>
      <w:bookmarkEnd w:id="9"/>
    </w:p>
    <w:p w:rsidR="00D77D33" w:rsidRPr="00D77D33" w:rsidRDefault="00D77D33" w:rsidP="00D77D33">
      <w:pPr>
        <w:rPr>
          <w:rFonts w:ascii="Times New Roman" w:hAnsi="Times New Roman" w:cs="Times New Roman"/>
          <w:b/>
          <w:sz w:val="24"/>
          <w:szCs w:val="24"/>
        </w:rPr>
      </w:pPr>
      <w:bookmarkStart w:id="10" w:name="_Toc510790665"/>
      <w:bookmarkStart w:id="11" w:name="_Toc5627372"/>
      <w:bookmarkStart w:id="12" w:name="_Toc5798627"/>
      <w:r w:rsidRPr="00D77D33">
        <w:rPr>
          <w:rFonts w:ascii="Times New Roman" w:hAnsi="Times New Roman" w:cs="Times New Roman"/>
          <w:b/>
          <w:sz w:val="24"/>
          <w:szCs w:val="24"/>
        </w:rPr>
        <w:t>3.4. Valdības parāda vidēja termiņa attīstības tendences</w:t>
      </w:r>
      <w:bookmarkEnd w:id="10"/>
      <w:bookmarkEnd w:id="11"/>
      <w:bookmarkEnd w:id="12"/>
    </w:p>
    <w:p w:rsidR="00D77D33" w:rsidRPr="00341704" w:rsidRDefault="00D77D33" w:rsidP="00D77D33">
      <w:pPr>
        <w:spacing w:after="0" w:line="240" w:lineRule="auto"/>
        <w:ind w:firstLine="709"/>
        <w:jc w:val="both"/>
        <w:rPr>
          <w:rFonts w:ascii="Times New Roman" w:hAnsi="Times New Roman" w:cs="Times New Roman"/>
          <w:sz w:val="24"/>
          <w:szCs w:val="24"/>
        </w:rPr>
      </w:pPr>
      <w:r w:rsidRPr="00D77D33">
        <w:rPr>
          <w:rFonts w:ascii="Times New Roman" w:hAnsi="Times New Roman" w:cs="Times New Roman"/>
          <w:sz w:val="24"/>
          <w:szCs w:val="24"/>
        </w:rPr>
        <w:t>Saskaņā ar valsts budžeta deficīta un parāda 2019.gada aprīļa notifikācijas datiem</w:t>
      </w:r>
      <w:r w:rsidRPr="00D77D33" w:rsidDel="00A15C8C">
        <w:rPr>
          <w:rFonts w:ascii="Times New Roman" w:hAnsi="Times New Roman" w:cs="Times New Roman"/>
          <w:sz w:val="24"/>
          <w:szCs w:val="24"/>
        </w:rPr>
        <w:t xml:space="preserve"> </w:t>
      </w:r>
      <w:r w:rsidRPr="00D77D33">
        <w:rPr>
          <w:rFonts w:ascii="Times New Roman" w:hAnsi="Times New Roman" w:cs="Times New Roman"/>
          <w:sz w:val="24"/>
          <w:szCs w:val="24"/>
        </w:rPr>
        <w:t>vispārējās valdības parāds atbilstoši EKS 2010 metodoloģijai 2018.gada beigās veidoja 35,9% no IKP.</w:t>
      </w:r>
      <w:r w:rsidRPr="00602382">
        <w:rPr>
          <w:rFonts w:ascii="Times New Roman" w:hAnsi="Times New Roman" w:cs="Times New Roman"/>
          <w:sz w:val="24"/>
          <w:szCs w:val="24"/>
        </w:rPr>
        <w:t xml:space="preserve"> Vispārējās valdības parāda līmeni galvenokārt ietekmē valsts parāds, kas 2018.gada beigās bija 10,0 mljrd.</w:t>
      </w:r>
      <w:r w:rsidRPr="00602382">
        <w:rPr>
          <w:rFonts w:ascii="Times New Roman" w:hAnsi="Times New Roman" w:cs="Times New Roman"/>
          <w:i/>
          <w:sz w:val="24"/>
          <w:szCs w:val="24"/>
        </w:rPr>
        <w:t>euro</w:t>
      </w:r>
      <w:r w:rsidRPr="00602382">
        <w:rPr>
          <w:rFonts w:ascii="Times New Roman" w:hAnsi="Times New Roman" w:cs="Times New Roman"/>
          <w:sz w:val="16"/>
          <w:szCs w:val="16"/>
        </w:rPr>
        <w:footnoteReference w:id="8"/>
      </w:r>
      <w:r w:rsidRPr="00602382">
        <w:rPr>
          <w:rFonts w:ascii="Times New Roman" w:hAnsi="Times New Roman" w:cs="Times New Roman"/>
          <w:sz w:val="16"/>
          <w:szCs w:val="16"/>
        </w:rPr>
        <w:t>,</w:t>
      </w:r>
      <w:r w:rsidRPr="00341704">
        <w:rPr>
          <w:rFonts w:ascii="Times New Roman" w:hAnsi="Times New Roman" w:cs="Times New Roman"/>
          <w:sz w:val="24"/>
          <w:szCs w:val="24"/>
        </w:rPr>
        <w:t xml:space="preserve"> kopš 2017.gada beigām pieaugot par 0,5 mljrd. </w:t>
      </w:r>
      <w:r w:rsidRPr="00602382">
        <w:rPr>
          <w:rFonts w:ascii="Times New Roman" w:hAnsi="Times New Roman" w:cs="Times New Roman"/>
          <w:i/>
          <w:sz w:val="24"/>
          <w:szCs w:val="24"/>
        </w:rPr>
        <w:t>euro</w:t>
      </w:r>
      <w:r w:rsidRPr="00341704">
        <w:rPr>
          <w:rFonts w:ascii="Times New Roman" w:hAnsi="Times New Roman" w:cs="Times New Roman"/>
          <w:sz w:val="24"/>
          <w:szCs w:val="24"/>
        </w:rPr>
        <w:t xml:space="preserve">. 2018.gadā veikta 2008.gadā emitēto eiroobligāciju atmaksa 400 milj. </w:t>
      </w:r>
      <w:r w:rsidRPr="00341704">
        <w:rPr>
          <w:rFonts w:ascii="Times New Roman" w:hAnsi="Times New Roman" w:cs="Times New Roman"/>
          <w:i/>
          <w:sz w:val="24"/>
          <w:szCs w:val="24"/>
        </w:rPr>
        <w:t>euro</w:t>
      </w:r>
      <w:r w:rsidRPr="00341704">
        <w:rPr>
          <w:rFonts w:ascii="Times New Roman" w:hAnsi="Times New Roman" w:cs="Times New Roman"/>
          <w:sz w:val="24"/>
          <w:szCs w:val="24"/>
        </w:rPr>
        <w:t xml:space="preserve"> apmērā un iekšējā aizņēmuma obligāciju dzēšana 220,9 milj. </w:t>
      </w:r>
      <w:r w:rsidRPr="00341704">
        <w:rPr>
          <w:rFonts w:ascii="Times New Roman" w:hAnsi="Times New Roman" w:cs="Times New Roman"/>
          <w:i/>
          <w:sz w:val="24"/>
          <w:szCs w:val="24"/>
        </w:rPr>
        <w:t>euro</w:t>
      </w:r>
      <w:r w:rsidRPr="00341704">
        <w:rPr>
          <w:rFonts w:ascii="Times New Roman" w:hAnsi="Times New Roman" w:cs="Times New Roman"/>
          <w:sz w:val="24"/>
          <w:szCs w:val="24"/>
        </w:rPr>
        <w:t xml:space="preserve"> apmērā, izmantojot 2017.gadā starptautiskajos finanšu tirgos emitēto eiroobligāciju resursus. 2018.gadā tika veiktas eiroobligāciju emisijas par kopējo summu 1,0 mljrd. </w:t>
      </w:r>
      <w:r w:rsidRPr="00341704">
        <w:rPr>
          <w:rFonts w:ascii="Times New Roman" w:hAnsi="Times New Roman" w:cs="Times New Roman"/>
          <w:i/>
          <w:sz w:val="24"/>
          <w:szCs w:val="24"/>
        </w:rPr>
        <w:t>euro</w:t>
      </w:r>
      <w:r w:rsidRPr="00341704">
        <w:rPr>
          <w:rFonts w:ascii="Times New Roman" w:hAnsi="Times New Roman" w:cs="Times New Roman"/>
          <w:sz w:val="24"/>
          <w:szCs w:val="24"/>
        </w:rPr>
        <w:t xml:space="preserve">, nodrošinot resursus gan kārtējā, gan nākamā gada finansēšanas vajadzībām, t.sk. 2019.gada pirmajā pusē plānotajai valsts parāda atmaksai (iekšējā aizņēmuma obligāciju dzēšanai februārī 229,8 milj. </w:t>
      </w:r>
      <w:r w:rsidRPr="00341704">
        <w:rPr>
          <w:rFonts w:ascii="Times New Roman" w:hAnsi="Times New Roman" w:cs="Times New Roman"/>
          <w:i/>
          <w:sz w:val="24"/>
          <w:szCs w:val="24"/>
        </w:rPr>
        <w:t>euro</w:t>
      </w:r>
      <w:r w:rsidRPr="00341704">
        <w:rPr>
          <w:rFonts w:ascii="Times New Roman" w:hAnsi="Times New Roman" w:cs="Times New Roman"/>
          <w:sz w:val="24"/>
          <w:szCs w:val="24"/>
        </w:rPr>
        <w:t xml:space="preserve"> apmērā un EK aizdevuma atmaksai aprīlī 500 milj. </w:t>
      </w:r>
      <w:r w:rsidRPr="00341704">
        <w:rPr>
          <w:rFonts w:ascii="Times New Roman" w:hAnsi="Times New Roman" w:cs="Times New Roman"/>
          <w:i/>
          <w:sz w:val="24"/>
          <w:szCs w:val="24"/>
        </w:rPr>
        <w:t>euro</w:t>
      </w:r>
      <w:r w:rsidRPr="00341704">
        <w:rPr>
          <w:rFonts w:ascii="Times New Roman" w:hAnsi="Times New Roman" w:cs="Times New Roman"/>
          <w:sz w:val="24"/>
          <w:szCs w:val="24"/>
        </w:rPr>
        <w:t xml:space="preserve"> apmērā).</w:t>
      </w:r>
    </w:p>
    <w:p w:rsidR="00D77D33" w:rsidRPr="00341704" w:rsidRDefault="00D77D33" w:rsidP="00D77D33">
      <w:pPr>
        <w:spacing w:after="0" w:line="240" w:lineRule="auto"/>
        <w:ind w:firstLine="709"/>
        <w:jc w:val="both"/>
        <w:rPr>
          <w:rFonts w:ascii="Times New Roman" w:hAnsi="Times New Roman" w:cs="Times New Roman"/>
          <w:sz w:val="24"/>
          <w:szCs w:val="24"/>
        </w:rPr>
      </w:pPr>
      <w:r w:rsidRPr="00341704">
        <w:rPr>
          <w:rFonts w:ascii="Times New Roman" w:hAnsi="Times New Roman" w:cs="Times New Roman"/>
          <w:sz w:val="24"/>
          <w:szCs w:val="24"/>
        </w:rPr>
        <w:t>Valsts parāda vadības pamatprincipus un uzdevumus vidējam termiņam nosaka Valsts parāda un naudas līdzekļu vadības stratēģija, kuru apstiprina finanšu ministrs. Saskaņā ar Valsts parāda un naudas līdzekļu vadības stratēģiju valsts parāda un naudas līdzekļu vadības mērķis ir savlaicīgi nodrošināt finanšu resursu pieejamību finansēšanas nepieciešamības segšanai ar zemām valsts parāda apkalpošanas izmaksām, ierobežojot finanšu riskus un vienlaikus sekmējot iekšējā finanšu tirgus attīstību. Valsts parāda un budžeta saistību izpildē tiek izmantota stratēģiska pieeja valsts aizņemšanās un parāda vadības procesa nodrošināšanā, saglabājot pēc iespējas lielāku elastību finanšu tirgos veicamo aizņēmumu nosacījumu (aizņemšanās laiks, valūta, apjoms, termiņš) izvēlē. Tas ļauj ierobežot finanšu riskus vidējā termiņā, kā arī nodrošināt kopējās finansēšanas nepieciešamības segšanai nepieciešamos resursus ar pēc iespējas labvēlīgākiem un izdevīgākiem nosacījumiem.</w:t>
      </w:r>
    </w:p>
    <w:p w:rsidR="00D77D33" w:rsidRPr="00341704" w:rsidRDefault="00D77D33" w:rsidP="00D77D33">
      <w:pPr>
        <w:spacing w:after="0" w:line="240" w:lineRule="auto"/>
        <w:ind w:firstLine="709"/>
        <w:jc w:val="both"/>
        <w:rPr>
          <w:rFonts w:ascii="Times New Roman" w:hAnsi="Times New Roman" w:cs="Times New Roman"/>
          <w:sz w:val="24"/>
          <w:szCs w:val="24"/>
        </w:rPr>
      </w:pPr>
      <w:r w:rsidRPr="00341704">
        <w:rPr>
          <w:rFonts w:ascii="Times New Roman" w:hAnsi="Times New Roman" w:cs="Times New Roman"/>
          <w:sz w:val="24"/>
          <w:szCs w:val="24"/>
        </w:rPr>
        <w:t xml:space="preserve">Valsts kredītreitinga stabilizēšanās A reitinga grupā, investoru augstais novērtējums par paveikto Latvijas valsts ekonomikā iepriekšējos gados un pārliecība par Latvijas attīstību ilgtermiņā ļauj valstij aizņemties finanšu resursus starptautiskajos tirgos ar labvēlīgiem nosacījumiem. To apliecina arī 2018.gadā veiktie aizņēmuma darījumi starptautiskajos finanšu tirgos, maijā un septembrī emitējot eiroobligācijas par kopējo summu 1,0 mljrd. </w:t>
      </w:r>
      <w:r w:rsidRPr="00341704">
        <w:rPr>
          <w:rFonts w:ascii="Times New Roman" w:hAnsi="Times New Roman" w:cs="Times New Roman"/>
          <w:i/>
          <w:sz w:val="24"/>
          <w:szCs w:val="24"/>
        </w:rPr>
        <w:t>euro</w:t>
      </w:r>
      <w:r w:rsidRPr="00341704">
        <w:rPr>
          <w:rFonts w:ascii="Times New Roman" w:hAnsi="Times New Roman" w:cs="Times New Roman"/>
          <w:sz w:val="24"/>
          <w:szCs w:val="24"/>
        </w:rPr>
        <w:t>, t.sk. 10 gadu eiroobligācijas ar dzēšanas termiņu 2028.gadā 500 milj.</w:t>
      </w:r>
      <w:r w:rsidRPr="00341704">
        <w:rPr>
          <w:rFonts w:ascii="Times New Roman" w:hAnsi="Times New Roman" w:cs="Times New Roman"/>
          <w:i/>
          <w:sz w:val="24"/>
          <w:szCs w:val="24"/>
        </w:rPr>
        <w:t xml:space="preserve"> euro</w:t>
      </w:r>
      <w:r w:rsidRPr="00341704">
        <w:rPr>
          <w:rFonts w:ascii="Times New Roman" w:hAnsi="Times New Roman" w:cs="Times New Roman"/>
          <w:sz w:val="24"/>
          <w:szCs w:val="24"/>
        </w:rPr>
        <w:t xml:space="preserve"> apmērā, fiksējot kupona likmi 1,125%, un divi papildu laidieni 30 gadu obligācijām ar dzēšanas termiņu 2047.gadā 500 milj.</w:t>
      </w:r>
      <w:r w:rsidRPr="00341704">
        <w:rPr>
          <w:rFonts w:ascii="Times New Roman" w:hAnsi="Times New Roman" w:cs="Times New Roman"/>
          <w:i/>
          <w:sz w:val="24"/>
          <w:szCs w:val="24"/>
        </w:rPr>
        <w:t xml:space="preserve"> euro</w:t>
      </w:r>
      <w:r w:rsidRPr="00341704">
        <w:rPr>
          <w:rFonts w:ascii="Times New Roman" w:hAnsi="Times New Roman" w:cs="Times New Roman"/>
          <w:sz w:val="24"/>
          <w:szCs w:val="24"/>
        </w:rPr>
        <w:t xml:space="preserve"> apmērā un iepriekš fiksētu kupona likmi 2,250%.</w:t>
      </w:r>
    </w:p>
    <w:p w:rsidR="00D77D33" w:rsidRPr="00341704" w:rsidRDefault="00D77D33" w:rsidP="00D77D33">
      <w:pPr>
        <w:spacing w:after="0" w:line="240" w:lineRule="auto"/>
        <w:ind w:firstLine="709"/>
        <w:jc w:val="both"/>
        <w:rPr>
          <w:rFonts w:ascii="Times New Roman" w:hAnsi="Times New Roman" w:cs="Times New Roman"/>
          <w:sz w:val="24"/>
          <w:szCs w:val="24"/>
        </w:rPr>
      </w:pPr>
      <w:r w:rsidRPr="00341704">
        <w:rPr>
          <w:rFonts w:ascii="Times New Roman" w:hAnsi="Times New Roman" w:cs="Times New Roman"/>
          <w:sz w:val="24"/>
          <w:szCs w:val="24"/>
        </w:rPr>
        <w:t>Iekšējā tirgū 2018.gadā tika uzsāktas divas jaunas 5 gadu obligāciju programmas. Janvārī uzsāktā 5 gadu obligāciju programma 2018.gada beigās bija likvīdākā apgrozībā esošā valsts iekšējo vērtspapīru p</w:t>
      </w:r>
      <w:r>
        <w:rPr>
          <w:rFonts w:ascii="Times New Roman" w:hAnsi="Times New Roman" w:cs="Times New Roman"/>
          <w:sz w:val="24"/>
          <w:szCs w:val="24"/>
        </w:rPr>
        <w:t xml:space="preserve">rogramma, sasniedzot 250 milj. </w:t>
      </w:r>
      <w:r w:rsidRPr="00341704">
        <w:rPr>
          <w:rFonts w:ascii="Times New Roman" w:hAnsi="Times New Roman" w:cs="Times New Roman"/>
          <w:i/>
          <w:sz w:val="24"/>
          <w:szCs w:val="24"/>
        </w:rPr>
        <w:t>euro</w:t>
      </w:r>
      <w:r w:rsidRPr="00341704">
        <w:rPr>
          <w:rFonts w:ascii="Times New Roman" w:hAnsi="Times New Roman" w:cs="Times New Roman"/>
          <w:sz w:val="24"/>
          <w:szCs w:val="24"/>
        </w:rPr>
        <w:t xml:space="preserve">, bet novembrī uzsāktā jauna 5 gadu obligāciju programma, kas turpinās arī 2019.gadā, 2018.gada beigās sasniedza 80 milj. </w:t>
      </w:r>
      <w:r w:rsidRPr="00341704">
        <w:rPr>
          <w:rFonts w:ascii="Times New Roman" w:hAnsi="Times New Roman" w:cs="Times New Roman"/>
          <w:i/>
          <w:sz w:val="24"/>
          <w:szCs w:val="24"/>
        </w:rPr>
        <w:t>euro</w:t>
      </w:r>
      <w:r w:rsidRPr="00341704">
        <w:rPr>
          <w:rFonts w:ascii="Times New Roman" w:hAnsi="Times New Roman" w:cs="Times New Roman"/>
          <w:sz w:val="24"/>
          <w:szCs w:val="24"/>
        </w:rPr>
        <w:t xml:space="preserve">. Likvīda apjoma vērtspapīru programma sekmē vērtspapīru apgrozību otrreizējā tirgū, kas, savukārt, pozitīvi ietekmē vērtspapīru izcenošanu sākotnējā tirgū. Pieprasījums pēc Latvijas valsts iekšējā aizņēmuma vērtspapīriem 2018.gadā saglabājās augsts, līdz ar to investoru konkurence visās izsolēs nodrošināja resursu piesaisti ar finansiāli izdevīgiem nosacījumiem. Vērtspapīru likmes izsolēs saglabājās tuvu vēsturiski zemākajiem līmeņiem, kas skaidrojams gan ar primāro dīleru aktīvu piedalīšanos izsolēs, gan Latvijas </w:t>
      </w:r>
      <w:r w:rsidRPr="00341704">
        <w:rPr>
          <w:rFonts w:ascii="Times New Roman" w:hAnsi="Times New Roman" w:cs="Times New Roman"/>
          <w:sz w:val="24"/>
          <w:szCs w:val="24"/>
        </w:rPr>
        <w:lastRenderedPageBreak/>
        <w:t>kredītiestāžu augsto likviditāti, kā arī Eiropas Centrālās bankas vērtspapīru uzpirkšanas programmas turpināšanu līdz 2018.gada beigām.</w:t>
      </w:r>
    </w:p>
    <w:p w:rsidR="00D77D33" w:rsidRDefault="00D77D33" w:rsidP="00D77D33">
      <w:pPr>
        <w:spacing w:after="0" w:line="240" w:lineRule="auto"/>
        <w:ind w:firstLine="709"/>
        <w:jc w:val="both"/>
        <w:rPr>
          <w:rFonts w:ascii="Times New Roman" w:hAnsi="Times New Roman" w:cs="Times New Roman"/>
          <w:sz w:val="24"/>
          <w:szCs w:val="24"/>
        </w:rPr>
      </w:pPr>
      <w:r w:rsidRPr="00341704">
        <w:rPr>
          <w:rFonts w:ascii="Times New Roman" w:hAnsi="Times New Roman" w:cs="Times New Roman"/>
          <w:sz w:val="24"/>
          <w:szCs w:val="24"/>
        </w:rPr>
        <w:t>Ņemot vērā līdz 2019.gada 31.martam uzņemtās valsts parāda saistības, saskaņā ar valsts parāda atmaksas grafiku, 2019.gada aprīlī – 2022.gada decembrī pārfinansējamo valsts parāda saistību apjoms ir 3,8 mljrd.</w:t>
      </w:r>
      <w:r w:rsidRPr="00341704">
        <w:rPr>
          <w:rFonts w:ascii="Times New Roman" w:hAnsi="Times New Roman" w:cs="Times New Roman"/>
          <w:i/>
          <w:sz w:val="24"/>
          <w:szCs w:val="24"/>
        </w:rPr>
        <w:t xml:space="preserve"> euro</w:t>
      </w:r>
      <w:r w:rsidRPr="00341704">
        <w:rPr>
          <w:rFonts w:ascii="Times New Roman" w:hAnsi="Times New Roman" w:cs="Times New Roman"/>
          <w:sz w:val="24"/>
          <w:szCs w:val="24"/>
        </w:rPr>
        <w:t xml:space="preserve"> (</w:t>
      </w:r>
      <w:r w:rsidRPr="005379D9">
        <w:rPr>
          <w:rFonts w:ascii="Times New Roman" w:hAnsi="Times New Roman" w:cs="Times New Roman"/>
          <w:sz w:val="24"/>
          <w:szCs w:val="24"/>
        </w:rPr>
        <w:t>sk</w:t>
      </w:r>
      <w:r>
        <w:rPr>
          <w:rFonts w:ascii="Times New Roman" w:hAnsi="Times New Roman" w:cs="Times New Roman"/>
          <w:sz w:val="24"/>
          <w:szCs w:val="24"/>
        </w:rPr>
        <w:t>at</w:t>
      </w:r>
      <w:r w:rsidRPr="005379D9">
        <w:rPr>
          <w:rFonts w:ascii="Times New Roman" w:hAnsi="Times New Roman" w:cs="Times New Roman"/>
          <w:sz w:val="24"/>
          <w:szCs w:val="24"/>
        </w:rPr>
        <w:t>. 3.5.attēlu</w:t>
      </w:r>
      <w:r w:rsidRPr="00341704">
        <w:rPr>
          <w:rFonts w:ascii="Times New Roman" w:hAnsi="Times New Roman" w:cs="Times New Roman"/>
          <w:sz w:val="24"/>
          <w:szCs w:val="24"/>
        </w:rPr>
        <w:t xml:space="preserve">). Ievērojamu daļu no pārfinansējamā parāda apjoma veido starptautiskajos finanšu tirgos emitētās eiroobligācijas, kā arī starptautiskā aizņēmuma programmas ietvaros saņemtais finansējums no Pasaules Bankas un EK, kura atmaksai resursi jau ir nodrošināti. </w:t>
      </w:r>
    </w:p>
    <w:p w:rsidR="00D77D33" w:rsidRPr="00341704" w:rsidRDefault="00D77D33" w:rsidP="00D77D33">
      <w:pPr>
        <w:spacing w:after="0" w:line="240" w:lineRule="auto"/>
        <w:ind w:firstLine="709"/>
        <w:jc w:val="both"/>
        <w:rPr>
          <w:rFonts w:ascii="Times New Roman" w:hAnsi="Times New Roman" w:cs="Times New Roman"/>
          <w:sz w:val="24"/>
          <w:szCs w:val="24"/>
        </w:rPr>
      </w:pPr>
    </w:p>
    <w:p w:rsidR="00D77D33" w:rsidRPr="00341704" w:rsidRDefault="00D77D33" w:rsidP="00D77D33">
      <w:pPr>
        <w:spacing w:after="0"/>
        <w:jc w:val="both"/>
        <w:rPr>
          <w:rFonts w:ascii="Times New Roman" w:hAnsi="Times New Roman" w:cs="Times New Roman"/>
          <w:sz w:val="24"/>
          <w:szCs w:val="24"/>
        </w:rPr>
      </w:pPr>
      <w:r>
        <w:rPr>
          <w:b/>
          <w:noProof/>
          <w:sz w:val="26"/>
          <w:szCs w:val="26"/>
          <w:lang w:eastAsia="lv-LV"/>
        </w:rPr>
        <w:drawing>
          <wp:inline distT="0" distB="0" distL="0" distR="0" wp14:anchorId="474BD1E9" wp14:editId="30791677">
            <wp:extent cx="5326912" cy="1790065"/>
            <wp:effectExtent l="0" t="0" r="762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35346" cy="1792899"/>
                    </a:xfrm>
                    <a:prstGeom prst="rect">
                      <a:avLst/>
                    </a:prstGeom>
                    <a:noFill/>
                  </pic:spPr>
                </pic:pic>
              </a:graphicData>
            </a:graphic>
          </wp:inline>
        </w:drawing>
      </w:r>
    </w:p>
    <w:p w:rsidR="00D77D33" w:rsidRPr="005379D9" w:rsidRDefault="00D77D33" w:rsidP="00D77D33">
      <w:pPr>
        <w:spacing w:after="0"/>
        <w:jc w:val="center"/>
        <w:rPr>
          <w:rFonts w:ascii="Times New Roman" w:hAnsi="Times New Roman" w:cs="Times New Roman"/>
          <w:b/>
          <w:sz w:val="24"/>
          <w:szCs w:val="24"/>
        </w:rPr>
      </w:pPr>
      <w:r w:rsidRPr="005379D9">
        <w:rPr>
          <w:rFonts w:ascii="Times New Roman" w:hAnsi="Times New Roman" w:cs="Times New Roman"/>
          <w:b/>
          <w:sz w:val="24"/>
          <w:szCs w:val="24"/>
        </w:rPr>
        <w:t>3.5.attēls. Centrālās valdības aizņēmumu atmaksas grafiks</w:t>
      </w:r>
    </w:p>
    <w:p w:rsidR="00D77D33" w:rsidRPr="005379D9" w:rsidRDefault="00D77D33" w:rsidP="00D77D33">
      <w:pPr>
        <w:spacing w:after="0"/>
        <w:jc w:val="center"/>
        <w:rPr>
          <w:rFonts w:ascii="Times New Roman" w:hAnsi="Times New Roman" w:cs="Times New Roman"/>
          <w:sz w:val="24"/>
          <w:szCs w:val="24"/>
        </w:rPr>
      </w:pPr>
      <w:r w:rsidRPr="005379D9">
        <w:rPr>
          <w:rFonts w:ascii="Times New Roman" w:hAnsi="Times New Roman" w:cs="Times New Roman"/>
          <w:sz w:val="24"/>
          <w:szCs w:val="24"/>
        </w:rPr>
        <w:t>(līdz 2019.gada 31.martam uzņemtās saistības, nominālvērtībā)</w:t>
      </w:r>
    </w:p>
    <w:p w:rsidR="00D77D33" w:rsidRPr="005379D9" w:rsidRDefault="00D77D33" w:rsidP="00D77D33">
      <w:pPr>
        <w:spacing w:after="0"/>
        <w:jc w:val="center"/>
        <w:rPr>
          <w:rFonts w:ascii="Times New Roman" w:hAnsi="Times New Roman" w:cs="Times New Roman"/>
          <w:sz w:val="24"/>
          <w:szCs w:val="24"/>
        </w:rPr>
      </w:pPr>
    </w:p>
    <w:p w:rsidR="00D77D33" w:rsidRPr="00341704" w:rsidRDefault="00D77D33" w:rsidP="00D77D33">
      <w:pPr>
        <w:spacing w:after="0"/>
        <w:jc w:val="both"/>
        <w:rPr>
          <w:rFonts w:ascii="Times New Roman" w:hAnsi="Times New Roman" w:cs="Times New Roman"/>
          <w:sz w:val="20"/>
          <w:szCs w:val="20"/>
        </w:rPr>
      </w:pPr>
      <w:r w:rsidRPr="005379D9">
        <w:rPr>
          <w:rFonts w:ascii="Times New Roman" w:hAnsi="Times New Roman" w:cs="Times New Roman"/>
          <w:sz w:val="20"/>
          <w:szCs w:val="20"/>
        </w:rPr>
        <w:t>* nav iekļauti sektori S130130, S130140, S130330, S130340, kā arī pieprasījuma un īstermiņa noguldījumi; aprēķinos izmantoti ECB 29.03.2019. noteiktie valūtu kursi</w:t>
      </w:r>
    </w:p>
    <w:p w:rsidR="00D77D33" w:rsidRPr="00341704" w:rsidRDefault="00D77D33" w:rsidP="00D77D33">
      <w:pPr>
        <w:spacing w:after="0"/>
        <w:jc w:val="both"/>
        <w:rPr>
          <w:rFonts w:ascii="Times New Roman" w:hAnsi="Times New Roman" w:cs="Times New Roman"/>
          <w:sz w:val="24"/>
          <w:szCs w:val="24"/>
        </w:rPr>
      </w:pPr>
    </w:p>
    <w:p w:rsidR="00D77D33" w:rsidRPr="00341704" w:rsidRDefault="00D77D33" w:rsidP="00D77D33">
      <w:pPr>
        <w:spacing w:after="0" w:line="240" w:lineRule="auto"/>
        <w:ind w:firstLine="720"/>
        <w:jc w:val="both"/>
        <w:rPr>
          <w:rFonts w:ascii="Times New Roman" w:hAnsi="Times New Roman" w:cs="Times New Roman"/>
          <w:sz w:val="24"/>
          <w:szCs w:val="24"/>
        </w:rPr>
      </w:pPr>
      <w:r w:rsidRPr="00341704">
        <w:rPr>
          <w:rFonts w:ascii="Times New Roman" w:hAnsi="Times New Roman" w:cs="Times New Roman"/>
          <w:sz w:val="24"/>
          <w:szCs w:val="24"/>
        </w:rPr>
        <w:t xml:space="preserve">Kopējās finansēšanas nepieciešamības segšanai 2019. – 2021.gadā plānots veikt savlaicīgu aizņemšanos finanšu tirgos, lai, nodrošinot valsts parāda pārfinansēšanas riska vadību atbilstoši Valsts parāda un naudas līdzekļu vadības stratēģijai, pārfinansētu uzņemtās valsts parāda saistības ar aizņēmumu likmju un termiņu ziņā labvēlīgiem nosacījumiem. Investoru uzticība Latvijas valsts kredītspējai un stabils investīciju kategorijas valsts kredītreitings nodrošina stabilu pamatu uzņemto parāda saistību sekmīgai pārfinansēšanai turpmākajos gados. </w:t>
      </w:r>
    </w:p>
    <w:p w:rsidR="00D77D33" w:rsidRPr="00341704" w:rsidRDefault="00D77D33" w:rsidP="00D77D33">
      <w:pPr>
        <w:spacing w:after="0" w:line="240" w:lineRule="auto"/>
        <w:ind w:firstLine="720"/>
        <w:jc w:val="both"/>
        <w:rPr>
          <w:rFonts w:ascii="Times New Roman" w:hAnsi="Times New Roman" w:cs="Times New Roman"/>
          <w:sz w:val="24"/>
          <w:szCs w:val="24"/>
        </w:rPr>
      </w:pPr>
      <w:r w:rsidRPr="00341704">
        <w:rPr>
          <w:rFonts w:ascii="Times New Roman" w:hAnsi="Times New Roman" w:cs="Times New Roman"/>
          <w:sz w:val="24"/>
          <w:szCs w:val="24"/>
        </w:rPr>
        <w:t>Ņemot vērā stratēģisku pieeju aizņemšanās pasākumu organizēšanā, lai nodrošinātu valsts parāda pārfinansēšanas riska novēršanu un valsts parāda vadības izdevumu optimizēšanu vidējā termiņā un ilgtermiņā, tuvākajos gados ārējā aizņēmuma instrumenti joprojām veidos būtiskāko daļu no kopējā piesaistāmā finanšu resursu apjoma. V</w:t>
      </w:r>
      <w:r>
        <w:rPr>
          <w:rFonts w:ascii="Times New Roman" w:hAnsi="Times New Roman" w:cs="Times New Roman"/>
          <w:sz w:val="24"/>
          <w:szCs w:val="24"/>
        </w:rPr>
        <w:t>K</w:t>
      </w:r>
      <w:r w:rsidRPr="00341704">
        <w:rPr>
          <w:rFonts w:ascii="Times New Roman" w:hAnsi="Times New Roman" w:cs="Times New Roman"/>
          <w:sz w:val="24"/>
          <w:szCs w:val="24"/>
        </w:rPr>
        <w:t xml:space="preserve">, 2019.gada februārī emitējot jaunas 30 gadu obligācijas 700 milj. </w:t>
      </w:r>
      <w:r w:rsidRPr="00341704">
        <w:rPr>
          <w:rFonts w:ascii="Times New Roman" w:hAnsi="Times New Roman" w:cs="Times New Roman"/>
          <w:i/>
          <w:sz w:val="24"/>
          <w:szCs w:val="24"/>
        </w:rPr>
        <w:t>euro</w:t>
      </w:r>
      <w:r w:rsidRPr="00341704">
        <w:rPr>
          <w:rFonts w:ascii="Times New Roman" w:hAnsi="Times New Roman" w:cs="Times New Roman"/>
          <w:sz w:val="24"/>
          <w:szCs w:val="24"/>
        </w:rPr>
        <w:t xml:space="preserve"> apmērā ar fiksētu kupona (procentu) likmi 1,875%, labvēlīgā finanšu tirgus situācijā ar izdevīgiem nosacījumiem ir piesaistījusi lielāko daļu no 2019.gada plānotā aizņemšanās apjoma starptautiskajos finanšu tirgos, nodrošinot resursus gan kārtējā gada finansēšanas vajadzībām, gan 2020.gada janvārī plānotajai ASV dolāros denominētu eiroobligāciju dzēšanai 533,5 milj. </w:t>
      </w:r>
      <w:r w:rsidRPr="00341704">
        <w:rPr>
          <w:rFonts w:ascii="Times New Roman" w:hAnsi="Times New Roman" w:cs="Times New Roman"/>
          <w:i/>
          <w:sz w:val="24"/>
          <w:szCs w:val="24"/>
        </w:rPr>
        <w:t>euro</w:t>
      </w:r>
      <w:r w:rsidRPr="00341704">
        <w:rPr>
          <w:rFonts w:ascii="Times New Roman" w:hAnsi="Times New Roman" w:cs="Times New Roman"/>
          <w:sz w:val="24"/>
          <w:szCs w:val="24"/>
        </w:rPr>
        <w:t xml:space="preserve"> ekvivalentā. Aizņēmumus starptautiskajos tirgos arī turpmāk plānots balstīt uz publiskiem darījumiem globālajos finanšu tirgos, veicot vidēja termiņa un ilgtermiņa etalona eiroobligāciju emisijas galvenokārt Eiropas finanšu tirgū, kā arī vēršoties pie citu reģionu investoriem. Iekšējā finanšu tirgū arī turpmāk plānots uzturēt pieprasījumam atbilstošu vērtspapīru piedāvājumu primāro dīleru sistēmas ietvaros, sekmējot valsts vērtspapīru tirgus aktivitāti un likviditāti.</w:t>
      </w:r>
    </w:p>
    <w:p w:rsidR="00D77D33" w:rsidRDefault="00D77D33" w:rsidP="00D77D33">
      <w:pPr>
        <w:spacing w:after="0" w:line="240" w:lineRule="auto"/>
        <w:ind w:firstLine="720"/>
        <w:jc w:val="both"/>
        <w:rPr>
          <w:rFonts w:ascii="Times New Roman" w:hAnsi="Times New Roman" w:cs="Times New Roman"/>
          <w:sz w:val="24"/>
          <w:szCs w:val="24"/>
        </w:rPr>
      </w:pPr>
      <w:r w:rsidRPr="00341704">
        <w:rPr>
          <w:rFonts w:ascii="Times New Roman" w:hAnsi="Times New Roman" w:cs="Times New Roman"/>
          <w:sz w:val="24"/>
          <w:szCs w:val="24"/>
        </w:rPr>
        <w:lastRenderedPageBreak/>
        <w:t xml:space="preserve">2018.gadā ir iezīmējusies vispārējās valdības parāda samazināšanās tendence, ko sekmēja gan </w:t>
      </w:r>
      <w:r w:rsidRPr="003C7327">
        <w:rPr>
          <w:rFonts w:ascii="Times New Roman" w:hAnsi="Times New Roman" w:cs="Times New Roman"/>
          <w:color w:val="000000"/>
          <w:sz w:val="24"/>
          <w:szCs w:val="24"/>
          <w:lang w:eastAsia="lv-LV"/>
        </w:rPr>
        <w:t>IKP</w:t>
      </w:r>
      <w:r w:rsidRPr="00341704">
        <w:rPr>
          <w:rFonts w:ascii="Times New Roman" w:hAnsi="Times New Roman" w:cs="Times New Roman"/>
          <w:sz w:val="24"/>
          <w:szCs w:val="24"/>
        </w:rPr>
        <w:t xml:space="preserve"> izaugsme, gan valsts parāda tendences, gan pie vispārējās valdības pieklasificēto uzņēmumu parādsaistību samazinājums. Turpinot ilgtspējīgas fiskālās politikas īstenošanu, vidējā termiņā prognozējama vispārējās valdības parāda līmeņa stabilizēšanās un turpmākā samazināšanās attiecībā pret IKP, pārliecinoši ievērojot </w:t>
      </w:r>
      <w:r w:rsidR="00730998">
        <w:rPr>
          <w:rFonts w:ascii="Times New Roman" w:hAnsi="Times New Roman" w:cs="Times New Roman"/>
          <w:sz w:val="24"/>
          <w:szCs w:val="24"/>
        </w:rPr>
        <w:t xml:space="preserve"> FDL </w:t>
      </w:r>
      <w:r w:rsidRPr="00341704">
        <w:rPr>
          <w:rFonts w:ascii="Times New Roman" w:hAnsi="Times New Roman" w:cs="Times New Roman"/>
          <w:sz w:val="24"/>
          <w:szCs w:val="24"/>
        </w:rPr>
        <w:t>noteikto parāda nosacījumu (</w:t>
      </w:r>
      <w:r w:rsidRPr="005379D9">
        <w:rPr>
          <w:rFonts w:ascii="Times New Roman" w:hAnsi="Times New Roman" w:cs="Times New Roman"/>
          <w:sz w:val="24"/>
          <w:szCs w:val="24"/>
        </w:rPr>
        <w:t>sk</w:t>
      </w:r>
      <w:r>
        <w:rPr>
          <w:rFonts w:ascii="Times New Roman" w:hAnsi="Times New Roman" w:cs="Times New Roman"/>
          <w:sz w:val="24"/>
          <w:szCs w:val="24"/>
        </w:rPr>
        <w:t>at</w:t>
      </w:r>
      <w:r w:rsidRPr="005379D9">
        <w:rPr>
          <w:rFonts w:ascii="Times New Roman" w:hAnsi="Times New Roman" w:cs="Times New Roman"/>
          <w:sz w:val="24"/>
          <w:szCs w:val="24"/>
        </w:rPr>
        <w:t>. 3.6.attēlu</w:t>
      </w:r>
      <w:r w:rsidRPr="00341704">
        <w:rPr>
          <w:rFonts w:ascii="Times New Roman" w:hAnsi="Times New Roman" w:cs="Times New Roman"/>
          <w:sz w:val="24"/>
          <w:szCs w:val="24"/>
        </w:rPr>
        <w:t>).</w:t>
      </w:r>
    </w:p>
    <w:p w:rsidR="00D77D33" w:rsidRPr="00341704" w:rsidRDefault="00D77D33" w:rsidP="00D77D33">
      <w:pPr>
        <w:spacing w:after="0" w:line="240" w:lineRule="auto"/>
        <w:ind w:firstLine="720"/>
        <w:jc w:val="both"/>
        <w:rPr>
          <w:rFonts w:ascii="Times New Roman" w:hAnsi="Times New Roman" w:cs="Times New Roman"/>
          <w:sz w:val="24"/>
          <w:szCs w:val="24"/>
        </w:rPr>
      </w:pPr>
    </w:p>
    <w:p w:rsidR="00D77D33" w:rsidRPr="00341704" w:rsidRDefault="00D77D33" w:rsidP="00D77D33">
      <w:pPr>
        <w:jc w:val="center"/>
        <w:rPr>
          <w:rFonts w:ascii="Times New Roman" w:hAnsi="Times New Roman" w:cs="Times New Roman"/>
          <w:sz w:val="24"/>
          <w:szCs w:val="24"/>
        </w:rPr>
      </w:pPr>
      <w:r w:rsidRPr="00906D6B">
        <w:rPr>
          <w:rFonts w:ascii="Times New Roman" w:hAnsi="Times New Roman" w:cs="Times New Roman"/>
          <w:b/>
          <w:bCs/>
          <w:noProof/>
          <w:sz w:val="24"/>
          <w:szCs w:val="24"/>
          <w:lang w:eastAsia="lv-LV"/>
        </w:rPr>
        <w:drawing>
          <wp:inline distT="0" distB="0" distL="0" distR="0" wp14:anchorId="730A0EE0" wp14:editId="63E99631">
            <wp:extent cx="4849978" cy="2898557"/>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66018" cy="2908143"/>
                    </a:xfrm>
                    <a:prstGeom prst="rect">
                      <a:avLst/>
                    </a:prstGeom>
                    <a:noFill/>
                  </pic:spPr>
                </pic:pic>
              </a:graphicData>
            </a:graphic>
          </wp:inline>
        </w:drawing>
      </w:r>
    </w:p>
    <w:p w:rsidR="00D77D33" w:rsidRPr="00341704" w:rsidRDefault="00D77D33" w:rsidP="00D77D33">
      <w:pPr>
        <w:spacing w:after="0"/>
        <w:jc w:val="center"/>
        <w:rPr>
          <w:rFonts w:ascii="Times New Roman" w:hAnsi="Times New Roman" w:cs="Times New Roman"/>
          <w:b/>
          <w:sz w:val="24"/>
          <w:szCs w:val="24"/>
        </w:rPr>
      </w:pPr>
      <w:r>
        <w:rPr>
          <w:rFonts w:ascii="Times New Roman" w:hAnsi="Times New Roman" w:cs="Times New Roman"/>
          <w:b/>
          <w:sz w:val="24"/>
          <w:szCs w:val="24"/>
        </w:rPr>
        <w:t>3.6</w:t>
      </w:r>
      <w:r w:rsidRPr="00341704">
        <w:rPr>
          <w:rFonts w:ascii="Times New Roman" w:hAnsi="Times New Roman" w:cs="Times New Roman"/>
          <w:b/>
          <w:sz w:val="24"/>
          <w:szCs w:val="24"/>
        </w:rPr>
        <w:t>.attēls. Vispārējās valdības parāda attīstības tendences (% no IKP)</w:t>
      </w:r>
    </w:p>
    <w:p w:rsidR="0071501E" w:rsidRDefault="00D77D33" w:rsidP="007D040E">
      <w:pPr>
        <w:spacing w:after="0" w:line="240" w:lineRule="auto"/>
        <w:jc w:val="center"/>
        <w:rPr>
          <w:rFonts w:ascii="Times New Roman" w:eastAsiaTheme="majorEastAsia" w:hAnsi="Times New Roman" w:cs="Times New Roman"/>
          <w:b/>
          <w:bCs/>
          <w:smallCaps/>
          <w:color w:val="000000" w:themeColor="text1"/>
          <w:sz w:val="32"/>
          <w:szCs w:val="32"/>
        </w:rPr>
      </w:pPr>
      <w:r w:rsidRPr="00341704">
        <w:rPr>
          <w:rFonts w:ascii="Times New Roman" w:hAnsi="Times New Roman" w:cs="Times New Roman"/>
          <w:sz w:val="24"/>
          <w:szCs w:val="24"/>
        </w:rPr>
        <w:t>p -prognoze</w:t>
      </w:r>
      <w:r w:rsidR="0071501E">
        <w:rPr>
          <w:rFonts w:ascii="Times New Roman" w:hAnsi="Times New Roman" w:cs="Times New Roman"/>
          <w:sz w:val="32"/>
          <w:szCs w:val="32"/>
        </w:rPr>
        <w:br w:type="page"/>
      </w:r>
    </w:p>
    <w:p w:rsidR="0071501E" w:rsidRPr="00AF71D1" w:rsidRDefault="0071501E" w:rsidP="00DF2CC5">
      <w:pPr>
        <w:pStyle w:val="Heading1"/>
        <w:numPr>
          <w:ilvl w:val="0"/>
          <w:numId w:val="0"/>
        </w:numPr>
        <w:jc w:val="center"/>
        <w:rPr>
          <w:rFonts w:ascii="Times New Roman" w:hAnsi="Times New Roman" w:cs="Times New Roman"/>
          <w:sz w:val="32"/>
          <w:szCs w:val="32"/>
        </w:rPr>
      </w:pPr>
      <w:bookmarkStart w:id="13" w:name="_Toc8285994"/>
      <w:r>
        <w:rPr>
          <w:rFonts w:ascii="Times New Roman" w:hAnsi="Times New Roman" w:cs="Times New Roman"/>
          <w:sz w:val="32"/>
          <w:szCs w:val="32"/>
        </w:rPr>
        <w:lastRenderedPageBreak/>
        <w:t xml:space="preserve">4. </w:t>
      </w:r>
      <w:r w:rsidRPr="00AF71D1">
        <w:rPr>
          <w:rFonts w:ascii="Times New Roman" w:hAnsi="Times New Roman" w:cs="Times New Roman"/>
          <w:sz w:val="32"/>
          <w:szCs w:val="32"/>
        </w:rPr>
        <w:t>Pielikum</w:t>
      </w:r>
      <w:r>
        <w:rPr>
          <w:rFonts w:ascii="Times New Roman" w:hAnsi="Times New Roman" w:cs="Times New Roman"/>
          <w:sz w:val="32"/>
          <w:szCs w:val="32"/>
        </w:rPr>
        <w:t>s</w:t>
      </w:r>
      <w:bookmarkEnd w:id="13"/>
    </w:p>
    <w:p w:rsidR="00EE1979" w:rsidRDefault="00362E1B" w:rsidP="00362E1B">
      <w:pPr>
        <w:pStyle w:val="NoSpacing"/>
        <w:rPr>
          <w:rFonts w:ascii="Times New Roman" w:eastAsia="Times New Roman" w:hAnsi="Times New Roman" w:cs="Times New Roman"/>
          <w:b/>
          <w:sz w:val="24"/>
          <w:szCs w:val="24"/>
        </w:rPr>
      </w:pPr>
      <w:r w:rsidRPr="00362E1B">
        <w:rPr>
          <w:rFonts w:ascii="Times New Roman" w:eastAsia="Times New Roman" w:hAnsi="Times New Roman" w:cs="Times New Roman"/>
          <w:b/>
          <w:sz w:val="24"/>
          <w:szCs w:val="24"/>
        </w:rPr>
        <w:t>4.</w:t>
      </w:r>
      <w:r w:rsidR="00135E60">
        <w:rPr>
          <w:rFonts w:ascii="Times New Roman" w:eastAsia="Times New Roman" w:hAnsi="Times New Roman" w:cs="Times New Roman"/>
          <w:b/>
          <w:sz w:val="24"/>
          <w:szCs w:val="24"/>
        </w:rPr>
        <w:t>3</w:t>
      </w:r>
      <w:r w:rsidRPr="00362E1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EE1979" w:rsidRPr="00362E1B">
        <w:rPr>
          <w:rFonts w:ascii="Times New Roman" w:eastAsia="Times New Roman" w:hAnsi="Times New Roman" w:cs="Times New Roman"/>
          <w:b/>
          <w:sz w:val="24"/>
          <w:szCs w:val="24"/>
        </w:rPr>
        <w:t>Vispārējās valdības budžeta bilances un parāda prognožu salīdzinājums ar Latvijas Stabilitātes programmu 2018. – 2021.gadam</w:t>
      </w:r>
    </w:p>
    <w:p w:rsidR="00362E1B" w:rsidRPr="00362E1B" w:rsidRDefault="00362E1B" w:rsidP="00362E1B">
      <w:pPr>
        <w:pStyle w:val="NoSpacing"/>
        <w:rPr>
          <w:rFonts w:ascii="Times New Roman" w:eastAsia="Times New Roman" w:hAnsi="Times New Roman" w:cs="Times New Roman"/>
          <w:b/>
          <w:sz w:val="24"/>
          <w:szCs w:val="24"/>
        </w:rPr>
      </w:pPr>
    </w:p>
    <w:p w:rsidR="00EE1979" w:rsidRPr="00EE1979" w:rsidRDefault="00EE1979" w:rsidP="00EE1979">
      <w:pPr>
        <w:spacing w:after="0" w:line="240" w:lineRule="auto"/>
        <w:ind w:firstLine="720"/>
        <w:jc w:val="both"/>
        <w:rPr>
          <w:rFonts w:ascii="Times New Roman" w:eastAsia="Calibri" w:hAnsi="Times New Roman" w:cs="Times New Roman"/>
          <w:sz w:val="24"/>
          <w:szCs w:val="24"/>
        </w:rPr>
      </w:pPr>
      <w:r w:rsidRPr="00EE1979">
        <w:rPr>
          <w:rFonts w:ascii="Times New Roman" w:eastAsia="Calibri" w:hAnsi="Times New Roman" w:cs="Times New Roman"/>
          <w:sz w:val="24"/>
          <w:szCs w:val="24"/>
        </w:rPr>
        <w:t>IKP pieaugums 2018.gadā bija būtiski straujāks, nekā to paredzēja Latvijas Stabilitātes programmas 2018. – 2021.gadam scenārijs. Straujāka ekonomikas izaugsme 2018.gadā bija saistīta galvenokārt ar spēcīgāku, nekā prognozēts, investīciju aktivitātes pieaugumu, bruto pamatkapitāla veidošanai palielinoties par 16,4%, kā ar labvēlīgāku, nekā prognozēts, attīstību atsevišķās ekonomikas nozarēs, tostarp transportā un finanšu pakalpojumos. Arī sabiedriskā patēriņa pieaugums 2018.gadā bija nedaudz straujāks, nekā paredzēja Latvijas Stabilitātes programmas 2018. – 2021.gadam scenārijs. Savukārt privātā patēriņa un eksporta pieauguma tempi bija nedaudz zemāki nekā bija prognozēts iepriekšējās Stabilitātes programmas scenārijā.</w:t>
      </w:r>
    </w:p>
    <w:p w:rsidR="00EE1979" w:rsidRPr="00EE1979" w:rsidRDefault="00EE1979" w:rsidP="00EE1979">
      <w:pPr>
        <w:spacing w:after="0" w:line="240" w:lineRule="auto"/>
        <w:ind w:firstLine="720"/>
        <w:jc w:val="both"/>
        <w:rPr>
          <w:rFonts w:ascii="Times New Roman" w:eastAsia="Calibri" w:hAnsi="Times New Roman" w:cs="Times New Roman"/>
          <w:sz w:val="24"/>
          <w:szCs w:val="24"/>
        </w:rPr>
      </w:pPr>
      <w:r w:rsidRPr="00EE1979">
        <w:rPr>
          <w:rFonts w:ascii="Times New Roman" w:eastAsia="Calibri" w:hAnsi="Times New Roman" w:cs="Times New Roman"/>
          <w:sz w:val="24"/>
          <w:szCs w:val="24"/>
        </w:rPr>
        <w:t>Atbilstoši jaunākajam izaugsmes scenārijam IKP pieauguma prognoze 2019.gadam ir 3,2%, kas ir par 0,2 procentpunktiem mazāk, nekā paredzēja iepriekšējās Stabilitātes programmas scenārijs. IKP pieauguma prognozes samazinājums saistīts galvenokārt ar ekonomiskās izaugsmes palēnināšanos pasaulē un Latvijas galvenajos ārējos tirgos, kā arī ar augsto 2018.gadā sasniegto bāzi. IKP pieauguma prognozes 2020. un 2021.gadam nav mainītas un saglabājas attiecīgi 3,0% un 2,9% līmenī.</w:t>
      </w:r>
    </w:p>
    <w:p w:rsidR="00EE1979" w:rsidRPr="00EE1979" w:rsidRDefault="00EE1979" w:rsidP="00EE1979">
      <w:pPr>
        <w:spacing w:after="0" w:line="240" w:lineRule="auto"/>
        <w:ind w:firstLine="720"/>
        <w:jc w:val="both"/>
        <w:rPr>
          <w:rFonts w:ascii="Times New Roman" w:eastAsia="Calibri" w:hAnsi="Times New Roman" w:cs="Times New Roman"/>
          <w:sz w:val="24"/>
          <w:szCs w:val="24"/>
        </w:rPr>
      </w:pPr>
    </w:p>
    <w:p w:rsidR="00EE1979" w:rsidRPr="00EE1979" w:rsidRDefault="00EE1979" w:rsidP="00EE1979">
      <w:pPr>
        <w:keepNext/>
        <w:spacing w:after="120" w:line="240" w:lineRule="auto"/>
        <w:jc w:val="right"/>
        <w:rPr>
          <w:rFonts w:ascii="Times New Roman" w:eastAsia="Times New Roman" w:hAnsi="Times New Roman" w:cs="Times New Roman"/>
          <w:b/>
          <w:sz w:val="24"/>
          <w:szCs w:val="20"/>
        </w:rPr>
      </w:pPr>
      <w:r w:rsidRPr="00EE1979">
        <w:rPr>
          <w:rFonts w:ascii="Times New Roman" w:eastAsia="Times New Roman" w:hAnsi="Times New Roman" w:cs="Times New Roman"/>
          <w:b/>
          <w:sz w:val="24"/>
          <w:szCs w:val="20"/>
        </w:rPr>
        <w:t>4.5.tabula. Salīdzinājums ar 2018. – 2021.gada Stabilitātes programmas prognozēm</w:t>
      </w:r>
    </w:p>
    <w:tbl>
      <w:tblPr>
        <w:tblW w:w="8065" w:type="dxa"/>
        <w:jc w:val="center"/>
        <w:tblBorders>
          <w:top w:val="single" w:sz="12" w:space="0" w:color="9CC2E5"/>
          <w:left w:val="single" w:sz="12" w:space="0" w:color="9CC2E5"/>
          <w:bottom w:val="single" w:sz="12" w:space="0" w:color="9CC2E5"/>
          <w:right w:val="single" w:sz="12" w:space="0" w:color="9CC2E5"/>
          <w:insideH w:val="single" w:sz="12" w:space="0" w:color="9CC2E5"/>
          <w:insideV w:val="single" w:sz="12" w:space="0" w:color="9CC2E5"/>
        </w:tblBorders>
        <w:tblLayout w:type="fixed"/>
        <w:tblLook w:val="04A0" w:firstRow="1" w:lastRow="0" w:firstColumn="1" w:lastColumn="0" w:noHBand="0" w:noVBand="1"/>
      </w:tblPr>
      <w:tblGrid>
        <w:gridCol w:w="3119"/>
        <w:gridCol w:w="694"/>
        <w:gridCol w:w="850"/>
        <w:gridCol w:w="851"/>
        <w:gridCol w:w="850"/>
        <w:gridCol w:w="851"/>
        <w:gridCol w:w="850"/>
      </w:tblGrid>
      <w:tr w:rsidR="00EE1979" w:rsidRPr="00EE1979" w:rsidTr="00EE1979">
        <w:trPr>
          <w:jc w:val="center"/>
        </w:trPr>
        <w:tc>
          <w:tcPr>
            <w:tcW w:w="3119" w:type="dxa"/>
            <w:shd w:val="clear" w:color="auto" w:fill="auto"/>
          </w:tcPr>
          <w:p w:rsidR="00EE1979" w:rsidRPr="00EE1979" w:rsidRDefault="00EE1979" w:rsidP="00EE1979">
            <w:pPr>
              <w:spacing w:after="0" w:line="240" w:lineRule="auto"/>
              <w:rPr>
                <w:rFonts w:ascii="Times New Roman" w:eastAsia="Times New Roman" w:hAnsi="Times New Roman" w:cs="Times New Roman"/>
                <w:b/>
                <w:bCs/>
                <w:sz w:val="20"/>
                <w:szCs w:val="20"/>
              </w:rPr>
            </w:pPr>
          </w:p>
        </w:tc>
        <w:tc>
          <w:tcPr>
            <w:tcW w:w="694" w:type="dxa"/>
            <w:shd w:val="clear" w:color="auto" w:fill="auto"/>
            <w:vAlign w:val="center"/>
          </w:tcPr>
          <w:p w:rsidR="00EE1979" w:rsidRPr="00EE1979" w:rsidRDefault="00EE1979" w:rsidP="00EE1979">
            <w:pPr>
              <w:spacing w:after="0" w:line="240" w:lineRule="auto"/>
              <w:jc w:val="center"/>
              <w:rPr>
                <w:rFonts w:ascii="Times New Roman" w:eastAsia="Times New Roman" w:hAnsi="Times New Roman" w:cs="Times New Roman"/>
                <w:b/>
                <w:bCs/>
                <w:sz w:val="20"/>
                <w:szCs w:val="20"/>
              </w:rPr>
            </w:pPr>
            <w:r w:rsidRPr="00EE1979">
              <w:rPr>
                <w:rFonts w:ascii="Times New Roman" w:eastAsia="Times New Roman" w:hAnsi="Times New Roman" w:cs="Times New Roman"/>
                <w:b/>
                <w:bCs/>
                <w:sz w:val="20"/>
                <w:szCs w:val="20"/>
              </w:rPr>
              <w:t>EKS kods</w:t>
            </w:r>
          </w:p>
        </w:tc>
        <w:tc>
          <w:tcPr>
            <w:tcW w:w="850" w:type="dxa"/>
            <w:shd w:val="clear" w:color="auto" w:fill="auto"/>
            <w:vAlign w:val="center"/>
          </w:tcPr>
          <w:p w:rsidR="00EE1979" w:rsidRPr="00EE1979" w:rsidRDefault="00EE1979" w:rsidP="00EE1979">
            <w:pPr>
              <w:spacing w:after="0" w:line="240" w:lineRule="auto"/>
              <w:jc w:val="center"/>
              <w:rPr>
                <w:rFonts w:ascii="Times New Roman" w:eastAsia="Times New Roman" w:hAnsi="Times New Roman" w:cs="Times New Roman"/>
                <w:b/>
                <w:bCs/>
                <w:sz w:val="20"/>
                <w:szCs w:val="20"/>
              </w:rPr>
            </w:pPr>
            <w:r w:rsidRPr="00EE1979">
              <w:rPr>
                <w:rFonts w:ascii="Times New Roman" w:eastAsia="Times New Roman" w:hAnsi="Times New Roman" w:cs="Times New Roman"/>
                <w:b/>
                <w:bCs/>
                <w:sz w:val="20"/>
                <w:szCs w:val="20"/>
              </w:rPr>
              <w:t>2018</w:t>
            </w:r>
          </w:p>
        </w:tc>
        <w:tc>
          <w:tcPr>
            <w:tcW w:w="851" w:type="dxa"/>
            <w:shd w:val="clear" w:color="auto" w:fill="auto"/>
            <w:vAlign w:val="center"/>
          </w:tcPr>
          <w:p w:rsidR="00EE1979" w:rsidRPr="00EE1979" w:rsidRDefault="00EE1979" w:rsidP="00EE1979">
            <w:pPr>
              <w:spacing w:after="0" w:line="240" w:lineRule="auto"/>
              <w:jc w:val="center"/>
              <w:rPr>
                <w:rFonts w:ascii="Times New Roman" w:eastAsia="Times New Roman" w:hAnsi="Times New Roman" w:cs="Times New Roman"/>
                <w:b/>
                <w:bCs/>
                <w:sz w:val="20"/>
                <w:szCs w:val="20"/>
              </w:rPr>
            </w:pPr>
            <w:r w:rsidRPr="00EE1979">
              <w:rPr>
                <w:rFonts w:ascii="Times New Roman" w:eastAsia="Times New Roman" w:hAnsi="Times New Roman" w:cs="Times New Roman"/>
                <w:b/>
                <w:bCs/>
                <w:sz w:val="20"/>
                <w:szCs w:val="20"/>
              </w:rPr>
              <w:t>2019</w:t>
            </w:r>
          </w:p>
        </w:tc>
        <w:tc>
          <w:tcPr>
            <w:tcW w:w="850" w:type="dxa"/>
            <w:shd w:val="clear" w:color="auto" w:fill="auto"/>
            <w:vAlign w:val="center"/>
          </w:tcPr>
          <w:p w:rsidR="00EE1979" w:rsidRPr="00EE1979" w:rsidRDefault="00EE1979" w:rsidP="00EE1979">
            <w:pPr>
              <w:spacing w:after="0" w:line="240" w:lineRule="auto"/>
              <w:jc w:val="center"/>
              <w:rPr>
                <w:rFonts w:ascii="Times New Roman" w:eastAsia="Times New Roman" w:hAnsi="Times New Roman" w:cs="Times New Roman"/>
                <w:b/>
                <w:bCs/>
                <w:sz w:val="20"/>
                <w:szCs w:val="20"/>
              </w:rPr>
            </w:pPr>
            <w:r w:rsidRPr="00EE1979">
              <w:rPr>
                <w:rFonts w:ascii="Times New Roman" w:eastAsia="Times New Roman" w:hAnsi="Times New Roman" w:cs="Times New Roman"/>
                <w:b/>
                <w:bCs/>
                <w:sz w:val="20"/>
                <w:szCs w:val="20"/>
              </w:rPr>
              <w:t>2020</w:t>
            </w:r>
          </w:p>
        </w:tc>
        <w:tc>
          <w:tcPr>
            <w:tcW w:w="851" w:type="dxa"/>
            <w:shd w:val="clear" w:color="auto" w:fill="auto"/>
            <w:vAlign w:val="center"/>
          </w:tcPr>
          <w:p w:rsidR="00EE1979" w:rsidRPr="00EE1979" w:rsidRDefault="00EE1979" w:rsidP="00EE1979">
            <w:pPr>
              <w:spacing w:after="0" w:line="240" w:lineRule="auto"/>
              <w:jc w:val="center"/>
              <w:rPr>
                <w:rFonts w:ascii="Times New Roman" w:eastAsia="Times New Roman" w:hAnsi="Times New Roman" w:cs="Times New Roman"/>
                <w:b/>
                <w:bCs/>
                <w:sz w:val="20"/>
                <w:szCs w:val="20"/>
              </w:rPr>
            </w:pPr>
            <w:r w:rsidRPr="00EE1979">
              <w:rPr>
                <w:rFonts w:ascii="Times New Roman" w:eastAsia="Times New Roman" w:hAnsi="Times New Roman" w:cs="Times New Roman"/>
                <w:b/>
                <w:bCs/>
                <w:sz w:val="20"/>
                <w:szCs w:val="20"/>
              </w:rPr>
              <w:t>2021</w:t>
            </w:r>
          </w:p>
        </w:tc>
        <w:tc>
          <w:tcPr>
            <w:tcW w:w="850" w:type="dxa"/>
            <w:shd w:val="clear" w:color="auto" w:fill="auto"/>
            <w:vAlign w:val="center"/>
          </w:tcPr>
          <w:p w:rsidR="00EE1979" w:rsidRPr="00EE1979" w:rsidRDefault="00EE1979" w:rsidP="00EE1979">
            <w:pPr>
              <w:spacing w:after="0" w:line="240" w:lineRule="auto"/>
              <w:jc w:val="center"/>
              <w:rPr>
                <w:rFonts w:ascii="Times New Roman" w:eastAsia="Times New Roman" w:hAnsi="Times New Roman" w:cs="Times New Roman"/>
                <w:b/>
                <w:bCs/>
                <w:sz w:val="20"/>
                <w:szCs w:val="20"/>
              </w:rPr>
            </w:pPr>
            <w:r w:rsidRPr="00EE1979">
              <w:rPr>
                <w:rFonts w:ascii="Times New Roman" w:eastAsia="Times New Roman" w:hAnsi="Times New Roman" w:cs="Times New Roman"/>
                <w:b/>
                <w:bCs/>
                <w:sz w:val="20"/>
                <w:szCs w:val="20"/>
              </w:rPr>
              <w:t>2022</w:t>
            </w:r>
          </w:p>
        </w:tc>
      </w:tr>
      <w:tr w:rsidR="00EE1979" w:rsidRPr="00EE1979" w:rsidTr="00EE1979">
        <w:trPr>
          <w:jc w:val="center"/>
        </w:trPr>
        <w:tc>
          <w:tcPr>
            <w:tcW w:w="3119" w:type="dxa"/>
            <w:shd w:val="clear" w:color="auto" w:fill="DEEAF6"/>
          </w:tcPr>
          <w:p w:rsidR="00EE1979" w:rsidRPr="00EE1979" w:rsidRDefault="00EE1979" w:rsidP="00EE1979">
            <w:pPr>
              <w:spacing w:after="0" w:line="240" w:lineRule="auto"/>
              <w:rPr>
                <w:rFonts w:ascii="Times New Roman" w:eastAsia="Times New Roman" w:hAnsi="Times New Roman" w:cs="Times New Roman"/>
                <w:b/>
                <w:bCs/>
                <w:snapToGrid w:val="0"/>
                <w:sz w:val="20"/>
                <w:szCs w:val="20"/>
              </w:rPr>
            </w:pPr>
            <w:r w:rsidRPr="00EE1979">
              <w:rPr>
                <w:rFonts w:ascii="Times New Roman" w:eastAsia="Times New Roman" w:hAnsi="Times New Roman" w:cs="Times New Roman"/>
                <w:b/>
                <w:bCs/>
                <w:sz w:val="20"/>
                <w:szCs w:val="20"/>
              </w:rPr>
              <w:t>IKP pieaugums (%)</w:t>
            </w:r>
          </w:p>
        </w:tc>
        <w:tc>
          <w:tcPr>
            <w:tcW w:w="694" w:type="dxa"/>
            <w:shd w:val="clear" w:color="auto" w:fill="DEEAF6"/>
            <w:vAlign w:val="center"/>
          </w:tcPr>
          <w:p w:rsidR="00EE1979" w:rsidRPr="00EE1979" w:rsidRDefault="00EE1979" w:rsidP="00EE1979">
            <w:pPr>
              <w:spacing w:after="0" w:line="240" w:lineRule="auto"/>
              <w:jc w:val="center"/>
              <w:rPr>
                <w:rFonts w:ascii="Times New Roman" w:eastAsia="Times New Roman" w:hAnsi="Times New Roman" w:cs="Times New Roman"/>
                <w:sz w:val="20"/>
                <w:szCs w:val="20"/>
              </w:rPr>
            </w:pPr>
            <w:r w:rsidRPr="00EE1979">
              <w:rPr>
                <w:rFonts w:ascii="Times New Roman" w:eastAsia="Times New Roman" w:hAnsi="Times New Roman" w:cs="Times New Roman"/>
                <w:sz w:val="20"/>
                <w:szCs w:val="20"/>
              </w:rPr>
              <w:t>B1g</w:t>
            </w:r>
          </w:p>
        </w:tc>
        <w:tc>
          <w:tcPr>
            <w:tcW w:w="850" w:type="dxa"/>
            <w:shd w:val="clear" w:color="auto" w:fill="DEEAF6"/>
            <w:vAlign w:val="center"/>
          </w:tcPr>
          <w:p w:rsidR="00EE1979" w:rsidRPr="00EE1979" w:rsidRDefault="00EE1979" w:rsidP="00EE1979">
            <w:pPr>
              <w:spacing w:after="0" w:line="240" w:lineRule="auto"/>
              <w:jc w:val="center"/>
              <w:rPr>
                <w:rFonts w:ascii="Times New Roman" w:eastAsia="Times New Roman" w:hAnsi="Times New Roman" w:cs="Times New Roman"/>
                <w:sz w:val="20"/>
                <w:szCs w:val="20"/>
              </w:rPr>
            </w:pPr>
          </w:p>
        </w:tc>
        <w:tc>
          <w:tcPr>
            <w:tcW w:w="851" w:type="dxa"/>
            <w:shd w:val="clear" w:color="auto" w:fill="DEEAF6"/>
            <w:vAlign w:val="center"/>
          </w:tcPr>
          <w:p w:rsidR="00EE1979" w:rsidRPr="00EE1979" w:rsidRDefault="00EE1979" w:rsidP="00EE1979">
            <w:pPr>
              <w:spacing w:after="0" w:line="240" w:lineRule="auto"/>
              <w:jc w:val="center"/>
              <w:rPr>
                <w:rFonts w:ascii="Times New Roman" w:eastAsia="Times New Roman" w:hAnsi="Times New Roman" w:cs="Times New Roman"/>
                <w:sz w:val="20"/>
                <w:szCs w:val="20"/>
              </w:rPr>
            </w:pPr>
          </w:p>
        </w:tc>
        <w:tc>
          <w:tcPr>
            <w:tcW w:w="850" w:type="dxa"/>
            <w:shd w:val="clear" w:color="auto" w:fill="DEEAF6"/>
            <w:vAlign w:val="center"/>
          </w:tcPr>
          <w:p w:rsidR="00EE1979" w:rsidRPr="00EE1979" w:rsidRDefault="00EE1979" w:rsidP="00EE1979">
            <w:pPr>
              <w:spacing w:after="0" w:line="240" w:lineRule="auto"/>
              <w:jc w:val="center"/>
              <w:rPr>
                <w:rFonts w:ascii="Times New Roman" w:eastAsia="Arial Unicode MS" w:hAnsi="Times New Roman" w:cs="Times New Roman"/>
                <w:sz w:val="20"/>
                <w:szCs w:val="20"/>
              </w:rPr>
            </w:pPr>
          </w:p>
        </w:tc>
        <w:tc>
          <w:tcPr>
            <w:tcW w:w="851" w:type="dxa"/>
            <w:shd w:val="clear" w:color="auto" w:fill="DEEAF6"/>
            <w:vAlign w:val="center"/>
          </w:tcPr>
          <w:p w:rsidR="00EE1979" w:rsidRPr="00EE1979" w:rsidRDefault="00EE1979" w:rsidP="00EE1979">
            <w:pPr>
              <w:spacing w:after="0" w:line="240" w:lineRule="auto"/>
              <w:jc w:val="center"/>
              <w:rPr>
                <w:rFonts w:ascii="Times New Roman" w:eastAsia="Times New Roman" w:hAnsi="Times New Roman" w:cs="Times New Roman"/>
                <w:sz w:val="20"/>
                <w:szCs w:val="20"/>
              </w:rPr>
            </w:pPr>
          </w:p>
        </w:tc>
        <w:tc>
          <w:tcPr>
            <w:tcW w:w="850" w:type="dxa"/>
            <w:shd w:val="clear" w:color="auto" w:fill="DEEAF6"/>
            <w:vAlign w:val="center"/>
          </w:tcPr>
          <w:p w:rsidR="00EE1979" w:rsidRPr="00EE1979" w:rsidRDefault="00EE1979" w:rsidP="00EE1979">
            <w:pPr>
              <w:spacing w:after="0" w:line="240" w:lineRule="auto"/>
              <w:jc w:val="center"/>
              <w:rPr>
                <w:rFonts w:ascii="Times New Roman" w:eastAsia="Times New Roman" w:hAnsi="Times New Roman" w:cs="Times New Roman"/>
                <w:sz w:val="20"/>
                <w:szCs w:val="20"/>
              </w:rPr>
            </w:pPr>
          </w:p>
        </w:tc>
      </w:tr>
      <w:tr w:rsidR="00EE1979" w:rsidRPr="00EE1979" w:rsidTr="00EE1979">
        <w:trPr>
          <w:jc w:val="center"/>
        </w:trPr>
        <w:tc>
          <w:tcPr>
            <w:tcW w:w="3119" w:type="dxa"/>
            <w:shd w:val="clear" w:color="auto" w:fill="auto"/>
          </w:tcPr>
          <w:p w:rsidR="00EE1979" w:rsidRPr="00EE1979" w:rsidRDefault="00EE1979" w:rsidP="00EE1979">
            <w:pPr>
              <w:spacing w:after="0" w:line="240" w:lineRule="auto"/>
              <w:jc w:val="right"/>
              <w:rPr>
                <w:rFonts w:ascii="Times New Roman" w:eastAsia="Times New Roman" w:hAnsi="Times New Roman" w:cs="Times New Roman"/>
                <w:bCs/>
                <w:sz w:val="20"/>
                <w:szCs w:val="20"/>
              </w:rPr>
            </w:pPr>
            <w:r w:rsidRPr="00EE1979">
              <w:rPr>
                <w:rFonts w:ascii="Times New Roman" w:eastAsia="Times New Roman" w:hAnsi="Times New Roman" w:cs="Times New Roman"/>
                <w:bCs/>
                <w:sz w:val="20"/>
                <w:szCs w:val="20"/>
              </w:rPr>
              <w:t>2018.gads</w:t>
            </w:r>
          </w:p>
        </w:tc>
        <w:tc>
          <w:tcPr>
            <w:tcW w:w="694" w:type="dxa"/>
            <w:shd w:val="clear" w:color="auto" w:fill="auto"/>
            <w:vAlign w:val="center"/>
          </w:tcPr>
          <w:p w:rsidR="00EE1979" w:rsidRPr="00EE1979" w:rsidRDefault="00EE1979" w:rsidP="00EE1979">
            <w:pPr>
              <w:spacing w:after="0" w:line="240" w:lineRule="auto"/>
              <w:jc w:val="center"/>
              <w:rPr>
                <w:rFonts w:ascii="Times New Roman" w:eastAsia="Times New Roman" w:hAnsi="Times New Roman" w:cs="Times New Roman"/>
                <w:sz w:val="20"/>
                <w:szCs w:val="20"/>
              </w:rPr>
            </w:pPr>
          </w:p>
        </w:tc>
        <w:tc>
          <w:tcPr>
            <w:tcW w:w="850" w:type="dxa"/>
            <w:shd w:val="clear" w:color="auto" w:fill="auto"/>
            <w:vAlign w:val="center"/>
          </w:tcPr>
          <w:p w:rsidR="00EE1979" w:rsidRPr="00EE1979" w:rsidRDefault="00EE1979" w:rsidP="00EE1979">
            <w:pPr>
              <w:spacing w:after="0" w:line="240" w:lineRule="auto"/>
              <w:jc w:val="center"/>
              <w:rPr>
                <w:rFonts w:ascii="Times New Roman" w:eastAsia="Calibri" w:hAnsi="Times New Roman" w:cs="Times New Roman"/>
                <w:sz w:val="20"/>
                <w:szCs w:val="20"/>
              </w:rPr>
            </w:pPr>
            <w:r w:rsidRPr="00EE1979">
              <w:rPr>
                <w:rFonts w:ascii="Times New Roman" w:eastAsia="Calibri" w:hAnsi="Times New Roman" w:cs="Times New Roman"/>
                <w:sz w:val="20"/>
                <w:szCs w:val="20"/>
              </w:rPr>
              <w:t>4,0</w:t>
            </w:r>
          </w:p>
        </w:tc>
        <w:tc>
          <w:tcPr>
            <w:tcW w:w="851" w:type="dxa"/>
            <w:shd w:val="clear" w:color="auto" w:fill="auto"/>
            <w:vAlign w:val="center"/>
          </w:tcPr>
          <w:p w:rsidR="00EE1979" w:rsidRPr="00EE1979" w:rsidRDefault="00EE1979" w:rsidP="00EE1979">
            <w:pPr>
              <w:spacing w:after="0" w:line="240" w:lineRule="auto"/>
              <w:jc w:val="center"/>
              <w:rPr>
                <w:rFonts w:ascii="Times New Roman" w:eastAsia="Calibri" w:hAnsi="Times New Roman" w:cs="Times New Roman"/>
                <w:sz w:val="20"/>
                <w:szCs w:val="20"/>
              </w:rPr>
            </w:pPr>
            <w:r w:rsidRPr="00EE1979">
              <w:rPr>
                <w:rFonts w:ascii="Times New Roman" w:eastAsia="Calibri" w:hAnsi="Times New Roman" w:cs="Times New Roman"/>
                <w:sz w:val="20"/>
                <w:szCs w:val="20"/>
              </w:rPr>
              <w:t>3,4</w:t>
            </w:r>
          </w:p>
        </w:tc>
        <w:tc>
          <w:tcPr>
            <w:tcW w:w="850" w:type="dxa"/>
            <w:shd w:val="clear" w:color="auto" w:fill="auto"/>
            <w:vAlign w:val="center"/>
          </w:tcPr>
          <w:p w:rsidR="00EE1979" w:rsidRPr="00EE1979" w:rsidRDefault="00EE1979" w:rsidP="00EE1979">
            <w:pPr>
              <w:spacing w:after="0" w:line="240" w:lineRule="auto"/>
              <w:jc w:val="center"/>
              <w:rPr>
                <w:rFonts w:ascii="Times New Roman" w:eastAsia="Calibri" w:hAnsi="Times New Roman" w:cs="Times New Roman"/>
                <w:sz w:val="20"/>
                <w:szCs w:val="20"/>
              </w:rPr>
            </w:pPr>
            <w:r w:rsidRPr="00EE1979">
              <w:rPr>
                <w:rFonts w:ascii="Times New Roman" w:eastAsia="Calibri" w:hAnsi="Times New Roman" w:cs="Times New Roman"/>
                <w:sz w:val="20"/>
                <w:szCs w:val="20"/>
              </w:rPr>
              <w:t>3,0</w:t>
            </w:r>
          </w:p>
        </w:tc>
        <w:tc>
          <w:tcPr>
            <w:tcW w:w="851" w:type="dxa"/>
            <w:shd w:val="clear" w:color="auto" w:fill="auto"/>
            <w:vAlign w:val="center"/>
          </w:tcPr>
          <w:p w:rsidR="00EE1979" w:rsidRPr="00EE1979" w:rsidRDefault="00EE1979" w:rsidP="00EE1979">
            <w:pPr>
              <w:spacing w:after="0" w:line="240" w:lineRule="auto"/>
              <w:jc w:val="center"/>
              <w:rPr>
                <w:rFonts w:ascii="Times New Roman" w:eastAsia="Calibri" w:hAnsi="Times New Roman" w:cs="Times New Roman"/>
                <w:sz w:val="20"/>
                <w:szCs w:val="20"/>
              </w:rPr>
            </w:pPr>
            <w:r w:rsidRPr="00EE1979">
              <w:rPr>
                <w:rFonts w:ascii="Times New Roman" w:eastAsia="Calibri" w:hAnsi="Times New Roman" w:cs="Times New Roman"/>
                <w:sz w:val="20"/>
                <w:szCs w:val="20"/>
              </w:rPr>
              <w:t>2,9</w:t>
            </w:r>
          </w:p>
        </w:tc>
        <w:tc>
          <w:tcPr>
            <w:tcW w:w="850" w:type="dxa"/>
            <w:shd w:val="clear" w:color="auto" w:fill="auto"/>
            <w:vAlign w:val="center"/>
          </w:tcPr>
          <w:p w:rsidR="00EE1979" w:rsidRPr="00EE1979" w:rsidRDefault="00EE1979" w:rsidP="00EE1979">
            <w:pPr>
              <w:spacing w:after="0" w:line="240" w:lineRule="auto"/>
              <w:jc w:val="center"/>
              <w:rPr>
                <w:rFonts w:ascii="Times New Roman" w:eastAsia="Calibri" w:hAnsi="Times New Roman" w:cs="Times New Roman"/>
                <w:sz w:val="20"/>
                <w:szCs w:val="20"/>
              </w:rPr>
            </w:pPr>
            <w:r w:rsidRPr="00EE1979">
              <w:rPr>
                <w:rFonts w:ascii="Times New Roman" w:eastAsia="Calibri" w:hAnsi="Times New Roman" w:cs="Times New Roman"/>
                <w:sz w:val="20"/>
                <w:szCs w:val="20"/>
              </w:rPr>
              <w:t>-</w:t>
            </w:r>
          </w:p>
        </w:tc>
      </w:tr>
      <w:tr w:rsidR="00EE1979" w:rsidRPr="00EE1979" w:rsidTr="00EE1979">
        <w:trPr>
          <w:jc w:val="center"/>
        </w:trPr>
        <w:tc>
          <w:tcPr>
            <w:tcW w:w="3119" w:type="dxa"/>
            <w:shd w:val="clear" w:color="auto" w:fill="DEEAF6"/>
          </w:tcPr>
          <w:p w:rsidR="00EE1979" w:rsidRPr="00EE1979" w:rsidRDefault="00EE1979" w:rsidP="00EE1979">
            <w:pPr>
              <w:spacing w:after="0" w:line="240" w:lineRule="auto"/>
              <w:jc w:val="right"/>
              <w:rPr>
                <w:rFonts w:ascii="Times New Roman" w:eastAsia="Times New Roman" w:hAnsi="Times New Roman" w:cs="Times New Roman"/>
                <w:bCs/>
                <w:sz w:val="20"/>
                <w:szCs w:val="20"/>
              </w:rPr>
            </w:pPr>
            <w:r w:rsidRPr="00EE1979">
              <w:rPr>
                <w:rFonts w:ascii="Times New Roman" w:eastAsia="Times New Roman" w:hAnsi="Times New Roman" w:cs="Times New Roman"/>
                <w:bCs/>
                <w:sz w:val="20"/>
                <w:szCs w:val="20"/>
              </w:rPr>
              <w:t>2019.gads</w:t>
            </w:r>
          </w:p>
        </w:tc>
        <w:tc>
          <w:tcPr>
            <w:tcW w:w="694" w:type="dxa"/>
            <w:shd w:val="clear" w:color="auto" w:fill="DEEAF6"/>
            <w:vAlign w:val="center"/>
          </w:tcPr>
          <w:p w:rsidR="00EE1979" w:rsidRPr="00EE1979" w:rsidRDefault="00EE1979" w:rsidP="00EE1979">
            <w:pPr>
              <w:spacing w:after="0" w:line="240" w:lineRule="auto"/>
              <w:jc w:val="center"/>
              <w:rPr>
                <w:rFonts w:ascii="Times New Roman" w:eastAsia="Times New Roman" w:hAnsi="Times New Roman" w:cs="Times New Roman"/>
                <w:sz w:val="20"/>
                <w:szCs w:val="20"/>
              </w:rPr>
            </w:pPr>
          </w:p>
        </w:tc>
        <w:tc>
          <w:tcPr>
            <w:tcW w:w="850" w:type="dxa"/>
            <w:shd w:val="clear" w:color="auto" w:fill="DEEAF6"/>
            <w:vAlign w:val="center"/>
          </w:tcPr>
          <w:p w:rsidR="00EE1979" w:rsidRPr="00EE1979" w:rsidRDefault="00EE1979" w:rsidP="00EE1979">
            <w:pPr>
              <w:spacing w:after="0" w:line="240" w:lineRule="auto"/>
              <w:jc w:val="center"/>
              <w:rPr>
                <w:rFonts w:ascii="Times New Roman" w:eastAsia="Calibri" w:hAnsi="Times New Roman" w:cs="Times New Roman"/>
                <w:sz w:val="20"/>
                <w:szCs w:val="20"/>
              </w:rPr>
            </w:pPr>
            <w:r w:rsidRPr="00EE1979">
              <w:rPr>
                <w:rFonts w:ascii="Times New Roman" w:eastAsia="Calibri" w:hAnsi="Times New Roman" w:cs="Times New Roman"/>
                <w:sz w:val="20"/>
                <w:szCs w:val="20"/>
              </w:rPr>
              <w:t>4,8</w:t>
            </w:r>
          </w:p>
        </w:tc>
        <w:tc>
          <w:tcPr>
            <w:tcW w:w="851" w:type="dxa"/>
            <w:shd w:val="clear" w:color="auto" w:fill="DEEAF6"/>
            <w:vAlign w:val="center"/>
          </w:tcPr>
          <w:p w:rsidR="00EE1979" w:rsidRPr="00EE1979" w:rsidRDefault="00EE1979" w:rsidP="00EE1979">
            <w:pPr>
              <w:spacing w:after="0" w:line="240" w:lineRule="auto"/>
              <w:jc w:val="center"/>
              <w:rPr>
                <w:rFonts w:ascii="Times New Roman" w:eastAsia="Calibri" w:hAnsi="Times New Roman" w:cs="Times New Roman"/>
                <w:sz w:val="20"/>
                <w:szCs w:val="20"/>
              </w:rPr>
            </w:pPr>
            <w:r w:rsidRPr="00EE1979">
              <w:rPr>
                <w:rFonts w:ascii="Times New Roman" w:eastAsia="Calibri" w:hAnsi="Times New Roman" w:cs="Times New Roman"/>
                <w:sz w:val="20"/>
                <w:szCs w:val="20"/>
              </w:rPr>
              <w:t>3,2</w:t>
            </w:r>
          </w:p>
        </w:tc>
        <w:tc>
          <w:tcPr>
            <w:tcW w:w="850" w:type="dxa"/>
            <w:shd w:val="clear" w:color="auto" w:fill="DEEAF6"/>
            <w:vAlign w:val="center"/>
          </w:tcPr>
          <w:p w:rsidR="00EE1979" w:rsidRPr="00EE1979" w:rsidRDefault="00EE1979" w:rsidP="00EE1979">
            <w:pPr>
              <w:spacing w:after="0" w:line="240" w:lineRule="auto"/>
              <w:jc w:val="center"/>
              <w:rPr>
                <w:rFonts w:ascii="Times New Roman" w:eastAsia="Calibri" w:hAnsi="Times New Roman" w:cs="Times New Roman"/>
                <w:sz w:val="20"/>
                <w:szCs w:val="20"/>
              </w:rPr>
            </w:pPr>
            <w:r w:rsidRPr="00EE1979">
              <w:rPr>
                <w:rFonts w:ascii="Times New Roman" w:eastAsia="Calibri" w:hAnsi="Times New Roman" w:cs="Times New Roman"/>
                <w:sz w:val="20"/>
                <w:szCs w:val="20"/>
              </w:rPr>
              <w:t>3,0</w:t>
            </w:r>
          </w:p>
        </w:tc>
        <w:tc>
          <w:tcPr>
            <w:tcW w:w="851" w:type="dxa"/>
            <w:shd w:val="clear" w:color="auto" w:fill="DEEAF6"/>
            <w:vAlign w:val="center"/>
          </w:tcPr>
          <w:p w:rsidR="00EE1979" w:rsidRPr="00EE1979" w:rsidRDefault="00EE1979" w:rsidP="00EE1979">
            <w:pPr>
              <w:spacing w:after="0" w:line="240" w:lineRule="auto"/>
              <w:jc w:val="center"/>
              <w:rPr>
                <w:rFonts w:ascii="Times New Roman" w:eastAsia="Calibri" w:hAnsi="Times New Roman" w:cs="Times New Roman"/>
                <w:sz w:val="20"/>
                <w:szCs w:val="20"/>
              </w:rPr>
            </w:pPr>
            <w:r w:rsidRPr="00EE1979">
              <w:rPr>
                <w:rFonts w:ascii="Times New Roman" w:eastAsia="Calibri" w:hAnsi="Times New Roman" w:cs="Times New Roman"/>
                <w:sz w:val="20"/>
                <w:szCs w:val="20"/>
              </w:rPr>
              <w:t>2,9</w:t>
            </w:r>
          </w:p>
        </w:tc>
        <w:tc>
          <w:tcPr>
            <w:tcW w:w="850" w:type="dxa"/>
            <w:shd w:val="clear" w:color="auto" w:fill="DEEAF6"/>
            <w:vAlign w:val="center"/>
          </w:tcPr>
          <w:p w:rsidR="00EE1979" w:rsidRPr="00EE1979" w:rsidRDefault="00EE1979" w:rsidP="00EE1979">
            <w:pPr>
              <w:spacing w:after="0" w:line="240" w:lineRule="auto"/>
              <w:jc w:val="center"/>
              <w:rPr>
                <w:rFonts w:ascii="Times New Roman" w:eastAsia="Calibri" w:hAnsi="Times New Roman" w:cs="Times New Roman"/>
                <w:sz w:val="20"/>
                <w:szCs w:val="20"/>
              </w:rPr>
            </w:pPr>
            <w:r w:rsidRPr="00EE1979">
              <w:rPr>
                <w:rFonts w:ascii="Times New Roman" w:eastAsia="Calibri" w:hAnsi="Times New Roman" w:cs="Times New Roman"/>
                <w:sz w:val="20"/>
                <w:szCs w:val="20"/>
              </w:rPr>
              <w:t>2,9</w:t>
            </w:r>
          </w:p>
        </w:tc>
      </w:tr>
      <w:tr w:rsidR="00EE1979" w:rsidRPr="00EE1979" w:rsidTr="00EE1979">
        <w:trPr>
          <w:jc w:val="center"/>
        </w:trPr>
        <w:tc>
          <w:tcPr>
            <w:tcW w:w="3119" w:type="dxa"/>
            <w:shd w:val="clear" w:color="auto" w:fill="auto"/>
          </w:tcPr>
          <w:p w:rsidR="00EE1979" w:rsidRPr="00EE1979" w:rsidRDefault="00EE1979" w:rsidP="00EE1979">
            <w:pPr>
              <w:spacing w:after="0" w:line="240" w:lineRule="auto"/>
              <w:jc w:val="right"/>
              <w:rPr>
                <w:rFonts w:ascii="Times New Roman" w:eastAsia="Times New Roman" w:hAnsi="Times New Roman" w:cs="Times New Roman"/>
                <w:bCs/>
                <w:snapToGrid w:val="0"/>
                <w:sz w:val="20"/>
                <w:szCs w:val="20"/>
              </w:rPr>
            </w:pPr>
            <w:r w:rsidRPr="00EE1979">
              <w:rPr>
                <w:rFonts w:ascii="Times New Roman" w:eastAsia="Times New Roman" w:hAnsi="Times New Roman" w:cs="Times New Roman"/>
                <w:bCs/>
                <w:snapToGrid w:val="0"/>
                <w:sz w:val="20"/>
                <w:szCs w:val="20"/>
              </w:rPr>
              <w:t>Izmaiņas</w:t>
            </w:r>
          </w:p>
        </w:tc>
        <w:tc>
          <w:tcPr>
            <w:tcW w:w="694" w:type="dxa"/>
            <w:shd w:val="clear" w:color="auto" w:fill="auto"/>
            <w:vAlign w:val="center"/>
          </w:tcPr>
          <w:p w:rsidR="00EE1979" w:rsidRPr="00EE1979" w:rsidRDefault="00EE1979" w:rsidP="00EE1979">
            <w:pPr>
              <w:spacing w:after="0" w:line="240" w:lineRule="auto"/>
              <w:jc w:val="center"/>
              <w:rPr>
                <w:rFonts w:ascii="Times New Roman" w:eastAsia="Times New Roman" w:hAnsi="Times New Roman" w:cs="Times New Roman"/>
                <w:sz w:val="20"/>
                <w:szCs w:val="20"/>
              </w:rPr>
            </w:pPr>
          </w:p>
        </w:tc>
        <w:tc>
          <w:tcPr>
            <w:tcW w:w="850" w:type="dxa"/>
            <w:shd w:val="clear" w:color="auto" w:fill="auto"/>
            <w:vAlign w:val="center"/>
          </w:tcPr>
          <w:p w:rsidR="00EE1979" w:rsidRPr="00EE1979" w:rsidRDefault="00EE1979" w:rsidP="00EE1979">
            <w:pPr>
              <w:spacing w:after="0" w:line="240" w:lineRule="auto"/>
              <w:jc w:val="center"/>
              <w:rPr>
                <w:rFonts w:ascii="Times New Roman" w:eastAsia="Calibri" w:hAnsi="Times New Roman" w:cs="Times New Roman"/>
                <w:sz w:val="20"/>
                <w:szCs w:val="20"/>
              </w:rPr>
            </w:pPr>
            <w:r w:rsidRPr="00EE1979">
              <w:rPr>
                <w:rFonts w:ascii="Times New Roman" w:eastAsia="Calibri" w:hAnsi="Times New Roman" w:cs="Times New Roman"/>
                <w:sz w:val="20"/>
                <w:szCs w:val="20"/>
              </w:rPr>
              <w:t>0,8</w:t>
            </w:r>
          </w:p>
        </w:tc>
        <w:tc>
          <w:tcPr>
            <w:tcW w:w="851" w:type="dxa"/>
            <w:shd w:val="clear" w:color="auto" w:fill="auto"/>
            <w:vAlign w:val="center"/>
          </w:tcPr>
          <w:p w:rsidR="00EE1979" w:rsidRPr="00EE1979" w:rsidRDefault="00EE1979" w:rsidP="00EE1979">
            <w:pPr>
              <w:spacing w:after="0" w:line="240" w:lineRule="auto"/>
              <w:jc w:val="center"/>
              <w:rPr>
                <w:rFonts w:ascii="Times New Roman" w:eastAsia="Calibri" w:hAnsi="Times New Roman" w:cs="Times New Roman"/>
                <w:sz w:val="20"/>
                <w:szCs w:val="20"/>
              </w:rPr>
            </w:pPr>
            <w:r w:rsidRPr="00EE1979">
              <w:rPr>
                <w:rFonts w:ascii="Times New Roman" w:eastAsia="Calibri" w:hAnsi="Times New Roman" w:cs="Times New Roman"/>
                <w:sz w:val="20"/>
                <w:szCs w:val="20"/>
              </w:rPr>
              <w:t>-0,2</w:t>
            </w:r>
          </w:p>
        </w:tc>
        <w:tc>
          <w:tcPr>
            <w:tcW w:w="850" w:type="dxa"/>
            <w:shd w:val="clear" w:color="auto" w:fill="auto"/>
            <w:vAlign w:val="center"/>
          </w:tcPr>
          <w:p w:rsidR="00EE1979" w:rsidRPr="00EE1979" w:rsidRDefault="00EE1979" w:rsidP="00EE1979">
            <w:pPr>
              <w:spacing w:after="0" w:line="240" w:lineRule="auto"/>
              <w:jc w:val="center"/>
              <w:rPr>
                <w:rFonts w:ascii="Times New Roman" w:eastAsia="Calibri" w:hAnsi="Times New Roman" w:cs="Times New Roman"/>
                <w:sz w:val="20"/>
                <w:szCs w:val="20"/>
              </w:rPr>
            </w:pPr>
            <w:r w:rsidRPr="00EE1979">
              <w:rPr>
                <w:rFonts w:ascii="Times New Roman" w:eastAsia="Calibri" w:hAnsi="Times New Roman" w:cs="Times New Roman"/>
                <w:sz w:val="20"/>
                <w:szCs w:val="20"/>
              </w:rPr>
              <w:t>0,0</w:t>
            </w:r>
          </w:p>
        </w:tc>
        <w:tc>
          <w:tcPr>
            <w:tcW w:w="851" w:type="dxa"/>
            <w:shd w:val="clear" w:color="auto" w:fill="auto"/>
            <w:vAlign w:val="center"/>
          </w:tcPr>
          <w:p w:rsidR="00EE1979" w:rsidRPr="00EE1979" w:rsidRDefault="00EE1979" w:rsidP="00EE1979">
            <w:pPr>
              <w:spacing w:after="0" w:line="240" w:lineRule="auto"/>
              <w:jc w:val="center"/>
              <w:rPr>
                <w:rFonts w:ascii="Times New Roman" w:eastAsia="Calibri" w:hAnsi="Times New Roman" w:cs="Times New Roman"/>
                <w:sz w:val="20"/>
                <w:szCs w:val="20"/>
              </w:rPr>
            </w:pPr>
            <w:r w:rsidRPr="00EE1979">
              <w:rPr>
                <w:rFonts w:ascii="Times New Roman" w:eastAsia="Calibri" w:hAnsi="Times New Roman" w:cs="Times New Roman"/>
                <w:sz w:val="20"/>
                <w:szCs w:val="20"/>
              </w:rPr>
              <w:t>0,0</w:t>
            </w:r>
          </w:p>
        </w:tc>
        <w:tc>
          <w:tcPr>
            <w:tcW w:w="850" w:type="dxa"/>
            <w:shd w:val="clear" w:color="auto" w:fill="auto"/>
            <w:vAlign w:val="center"/>
          </w:tcPr>
          <w:p w:rsidR="00EE1979" w:rsidRPr="00EE1979" w:rsidRDefault="00EE1979" w:rsidP="00EE1979">
            <w:pPr>
              <w:spacing w:after="0" w:line="240" w:lineRule="auto"/>
              <w:jc w:val="center"/>
              <w:rPr>
                <w:rFonts w:ascii="Times New Roman" w:eastAsia="Calibri" w:hAnsi="Times New Roman" w:cs="Times New Roman"/>
                <w:sz w:val="20"/>
                <w:szCs w:val="20"/>
              </w:rPr>
            </w:pPr>
            <w:r w:rsidRPr="00EE1979">
              <w:rPr>
                <w:rFonts w:ascii="Times New Roman" w:eastAsia="Calibri" w:hAnsi="Times New Roman" w:cs="Times New Roman"/>
                <w:sz w:val="20"/>
                <w:szCs w:val="20"/>
              </w:rPr>
              <w:t>-</w:t>
            </w:r>
          </w:p>
        </w:tc>
      </w:tr>
      <w:tr w:rsidR="00EE1979" w:rsidRPr="00EE1979" w:rsidTr="00EE1979">
        <w:trPr>
          <w:jc w:val="center"/>
        </w:trPr>
        <w:tc>
          <w:tcPr>
            <w:tcW w:w="3119" w:type="dxa"/>
            <w:shd w:val="clear" w:color="auto" w:fill="DEEAF6"/>
          </w:tcPr>
          <w:p w:rsidR="00EE1979" w:rsidRPr="00EE1979" w:rsidRDefault="00EE1979" w:rsidP="00EE1979">
            <w:pPr>
              <w:spacing w:after="0" w:line="240" w:lineRule="auto"/>
              <w:jc w:val="both"/>
              <w:rPr>
                <w:rFonts w:ascii="Times New Roman" w:eastAsia="Times New Roman" w:hAnsi="Times New Roman" w:cs="Times New Roman"/>
                <w:b/>
                <w:bCs/>
                <w:sz w:val="20"/>
                <w:szCs w:val="20"/>
              </w:rPr>
            </w:pPr>
            <w:r w:rsidRPr="00EE1979">
              <w:rPr>
                <w:rFonts w:ascii="Times New Roman" w:eastAsia="Times New Roman" w:hAnsi="Times New Roman" w:cs="Times New Roman"/>
                <w:b/>
                <w:bCs/>
                <w:sz w:val="20"/>
                <w:szCs w:val="20"/>
              </w:rPr>
              <w:t>Faktiskā budžeta bilance</w:t>
            </w:r>
          </w:p>
          <w:p w:rsidR="00EE1979" w:rsidRPr="00EE1979" w:rsidRDefault="00EE1979" w:rsidP="00EE1979">
            <w:pPr>
              <w:spacing w:after="0" w:line="240" w:lineRule="auto"/>
              <w:rPr>
                <w:rFonts w:ascii="Times New Roman" w:eastAsia="Times New Roman" w:hAnsi="Times New Roman" w:cs="Times New Roman"/>
                <w:b/>
                <w:bCs/>
                <w:snapToGrid w:val="0"/>
                <w:sz w:val="20"/>
                <w:szCs w:val="20"/>
              </w:rPr>
            </w:pPr>
            <w:r w:rsidRPr="00EE1979">
              <w:rPr>
                <w:rFonts w:ascii="Times New Roman" w:eastAsia="Times New Roman" w:hAnsi="Times New Roman" w:cs="Times New Roman"/>
                <w:b/>
                <w:bCs/>
                <w:sz w:val="20"/>
                <w:szCs w:val="20"/>
              </w:rPr>
              <w:t>(% no IKP)</w:t>
            </w:r>
          </w:p>
        </w:tc>
        <w:tc>
          <w:tcPr>
            <w:tcW w:w="694" w:type="dxa"/>
            <w:shd w:val="clear" w:color="auto" w:fill="DEEAF6"/>
            <w:vAlign w:val="center"/>
          </w:tcPr>
          <w:p w:rsidR="00EE1979" w:rsidRPr="00EE1979" w:rsidRDefault="00EE1979" w:rsidP="00EE1979">
            <w:pPr>
              <w:spacing w:after="0" w:line="240" w:lineRule="auto"/>
              <w:jc w:val="center"/>
              <w:rPr>
                <w:rFonts w:ascii="Times New Roman" w:eastAsia="Times New Roman" w:hAnsi="Times New Roman" w:cs="Times New Roman"/>
                <w:sz w:val="20"/>
                <w:szCs w:val="20"/>
              </w:rPr>
            </w:pPr>
            <w:r w:rsidRPr="00EE1979">
              <w:rPr>
                <w:rFonts w:ascii="Times New Roman" w:eastAsia="Times New Roman" w:hAnsi="Times New Roman" w:cs="Times New Roman"/>
                <w:sz w:val="20"/>
                <w:szCs w:val="20"/>
              </w:rPr>
              <w:t>B.9</w:t>
            </w:r>
          </w:p>
        </w:tc>
        <w:tc>
          <w:tcPr>
            <w:tcW w:w="850" w:type="dxa"/>
            <w:shd w:val="clear" w:color="auto" w:fill="DEEAF6"/>
            <w:vAlign w:val="center"/>
          </w:tcPr>
          <w:p w:rsidR="00EE1979" w:rsidRPr="00EE1979" w:rsidRDefault="00EE1979" w:rsidP="00EE1979">
            <w:pPr>
              <w:tabs>
                <w:tab w:val="decimal" w:pos="330"/>
              </w:tabs>
              <w:spacing w:after="0" w:line="240" w:lineRule="auto"/>
              <w:jc w:val="center"/>
              <w:rPr>
                <w:rFonts w:ascii="Times New Roman" w:eastAsia="Times New Roman" w:hAnsi="Times New Roman" w:cs="Times New Roman"/>
                <w:sz w:val="20"/>
                <w:szCs w:val="20"/>
              </w:rPr>
            </w:pPr>
          </w:p>
        </w:tc>
        <w:tc>
          <w:tcPr>
            <w:tcW w:w="851" w:type="dxa"/>
            <w:shd w:val="clear" w:color="auto" w:fill="DEEAF6"/>
            <w:vAlign w:val="center"/>
          </w:tcPr>
          <w:p w:rsidR="00EE1979" w:rsidRPr="00EE1979" w:rsidRDefault="00EE1979" w:rsidP="00EE1979">
            <w:pPr>
              <w:tabs>
                <w:tab w:val="decimal" w:pos="330"/>
              </w:tabs>
              <w:spacing w:after="0" w:line="240" w:lineRule="auto"/>
              <w:jc w:val="center"/>
              <w:rPr>
                <w:rFonts w:ascii="Times New Roman" w:eastAsia="Times New Roman" w:hAnsi="Times New Roman" w:cs="Times New Roman"/>
                <w:sz w:val="20"/>
                <w:szCs w:val="20"/>
              </w:rPr>
            </w:pPr>
          </w:p>
        </w:tc>
        <w:tc>
          <w:tcPr>
            <w:tcW w:w="850" w:type="dxa"/>
            <w:shd w:val="clear" w:color="auto" w:fill="DEEAF6"/>
            <w:vAlign w:val="center"/>
          </w:tcPr>
          <w:p w:rsidR="00EE1979" w:rsidRPr="00EE1979" w:rsidRDefault="00EE1979" w:rsidP="00EE1979">
            <w:pPr>
              <w:tabs>
                <w:tab w:val="decimal" w:pos="330"/>
              </w:tabs>
              <w:spacing w:after="0" w:line="240" w:lineRule="auto"/>
              <w:jc w:val="center"/>
              <w:rPr>
                <w:rFonts w:ascii="Times New Roman" w:eastAsia="Times New Roman" w:hAnsi="Times New Roman" w:cs="Times New Roman"/>
                <w:sz w:val="20"/>
                <w:szCs w:val="20"/>
              </w:rPr>
            </w:pPr>
          </w:p>
        </w:tc>
        <w:tc>
          <w:tcPr>
            <w:tcW w:w="851" w:type="dxa"/>
            <w:shd w:val="clear" w:color="auto" w:fill="DEEAF6"/>
            <w:vAlign w:val="center"/>
          </w:tcPr>
          <w:p w:rsidR="00EE1979" w:rsidRPr="00EE1979" w:rsidRDefault="00EE1979" w:rsidP="00EE1979">
            <w:pPr>
              <w:tabs>
                <w:tab w:val="decimal" w:pos="330"/>
              </w:tabs>
              <w:spacing w:after="0" w:line="240" w:lineRule="auto"/>
              <w:jc w:val="center"/>
              <w:rPr>
                <w:rFonts w:ascii="Times New Roman" w:eastAsia="Arial Unicode MS" w:hAnsi="Times New Roman" w:cs="Times New Roman"/>
                <w:sz w:val="20"/>
                <w:szCs w:val="20"/>
              </w:rPr>
            </w:pPr>
          </w:p>
        </w:tc>
        <w:tc>
          <w:tcPr>
            <w:tcW w:w="850" w:type="dxa"/>
            <w:shd w:val="clear" w:color="auto" w:fill="DEEAF6"/>
            <w:vAlign w:val="center"/>
          </w:tcPr>
          <w:p w:rsidR="00EE1979" w:rsidRPr="00EE1979" w:rsidRDefault="00EE1979" w:rsidP="00EE1979">
            <w:pPr>
              <w:tabs>
                <w:tab w:val="decimal" w:pos="330"/>
              </w:tabs>
              <w:spacing w:after="0" w:line="240" w:lineRule="auto"/>
              <w:jc w:val="center"/>
              <w:rPr>
                <w:rFonts w:ascii="Times New Roman" w:eastAsia="Times New Roman" w:hAnsi="Times New Roman" w:cs="Times New Roman"/>
                <w:sz w:val="20"/>
                <w:szCs w:val="20"/>
              </w:rPr>
            </w:pPr>
          </w:p>
        </w:tc>
      </w:tr>
      <w:tr w:rsidR="00EE1979" w:rsidRPr="00EE1979" w:rsidTr="00EE1979">
        <w:trPr>
          <w:jc w:val="center"/>
        </w:trPr>
        <w:tc>
          <w:tcPr>
            <w:tcW w:w="3119" w:type="dxa"/>
            <w:shd w:val="clear" w:color="auto" w:fill="auto"/>
          </w:tcPr>
          <w:p w:rsidR="00EE1979" w:rsidRPr="00EE1979" w:rsidRDefault="00EE1979" w:rsidP="00EE1979">
            <w:pPr>
              <w:spacing w:after="0" w:line="240" w:lineRule="auto"/>
              <w:jc w:val="right"/>
              <w:rPr>
                <w:rFonts w:ascii="Times New Roman" w:eastAsia="Times New Roman" w:hAnsi="Times New Roman" w:cs="Times New Roman"/>
                <w:bCs/>
                <w:sz w:val="20"/>
                <w:szCs w:val="20"/>
              </w:rPr>
            </w:pPr>
            <w:r w:rsidRPr="00EE1979">
              <w:rPr>
                <w:rFonts w:ascii="Times New Roman" w:eastAsia="Times New Roman" w:hAnsi="Times New Roman" w:cs="Times New Roman"/>
                <w:bCs/>
                <w:sz w:val="20"/>
                <w:szCs w:val="20"/>
              </w:rPr>
              <w:t>2018.gads</w:t>
            </w:r>
          </w:p>
        </w:tc>
        <w:tc>
          <w:tcPr>
            <w:tcW w:w="694" w:type="dxa"/>
            <w:shd w:val="clear" w:color="auto" w:fill="auto"/>
            <w:vAlign w:val="center"/>
          </w:tcPr>
          <w:p w:rsidR="00EE1979" w:rsidRPr="00EE1979" w:rsidRDefault="00EE1979" w:rsidP="00EE1979">
            <w:pPr>
              <w:spacing w:after="0" w:line="240" w:lineRule="auto"/>
              <w:jc w:val="center"/>
              <w:rPr>
                <w:rFonts w:ascii="Times New Roman" w:eastAsia="Times New Roman" w:hAnsi="Times New Roman" w:cs="Times New Roman"/>
                <w:sz w:val="20"/>
                <w:szCs w:val="20"/>
              </w:rPr>
            </w:pPr>
          </w:p>
        </w:tc>
        <w:tc>
          <w:tcPr>
            <w:tcW w:w="850" w:type="dxa"/>
            <w:shd w:val="clear" w:color="auto" w:fill="auto"/>
            <w:vAlign w:val="bottom"/>
          </w:tcPr>
          <w:p w:rsidR="00EE1979" w:rsidRPr="00EE1979" w:rsidRDefault="00EE1979" w:rsidP="00EE1979">
            <w:pPr>
              <w:spacing w:after="0" w:line="240" w:lineRule="auto"/>
              <w:jc w:val="center"/>
              <w:rPr>
                <w:rFonts w:ascii="Times New Roman" w:eastAsia="Calibri" w:hAnsi="Times New Roman" w:cs="Times New Roman"/>
                <w:sz w:val="20"/>
                <w:szCs w:val="20"/>
              </w:rPr>
            </w:pPr>
            <w:r w:rsidRPr="00EE1979">
              <w:rPr>
                <w:rFonts w:ascii="Times New Roman" w:eastAsia="Calibri" w:hAnsi="Times New Roman" w:cs="Times New Roman"/>
                <w:sz w:val="20"/>
                <w:szCs w:val="20"/>
              </w:rPr>
              <w:t>-0,9</w:t>
            </w:r>
          </w:p>
        </w:tc>
        <w:tc>
          <w:tcPr>
            <w:tcW w:w="851" w:type="dxa"/>
            <w:shd w:val="clear" w:color="auto" w:fill="auto"/>
            <w:vAlign w:val="bottom"/>
          </w:tcPr>
          <w:p w:rsidR="00EE1979" w:rsidRPr="00EE1979" w:rsidRDefault="00EE1979" w:rsidP="00EE1979">
            <w:pPr>
              <w:spacing w:after="0" w:line="240" w:lineRule="auto"/>
              <w:jc w:val="center"/>
              <w:rPr>
                <w:rFonts w:ascii="Times New Roman" w:eastAsia="Calibri" w:hAnsi="Times New Roman" w:cs="Times New Roman"/>
                <w:sz w:val="20"/>
                <w:szCs w:val="20"/>
              </w:rPr>
            </w:pPr>
            <w:r w:rsidRPr="00EE1979">
              <w:rPr>
                <w:rFonts w:ascii="Times New Roman" w:eastAsia="Calibri" w:hAnsi="Times New Roman" w:cs="Times New Roman"/>
                <w:sz w:val="20"/>
                <w:szCs w:val="20"/>
              </w:rPr>
              <w:t>-0,9</w:t>
            </w:r>
          </w:p>
        </w:tc>
        <w:tc>
          <w:tcPr>
            <w:tcW w:w="850" w:type="dxa"/>
            <w:shd w:val="clear" w:color="auto" w:fill="auto"/>
            <w:vAlign w:val="bottom"/>
          </w:tcPr>
          <w:p w:rsidR="00EE1979" w:rsidRPr="00EE1979" w:rsidRDefault="00EE1979" w:rsidP="00EE1979">
            <w:pPr>
              <w:spacing w:after="0" w:line="240" w:lineRule="auto"/>
              <w:jc w:val="center"/>
              <w:rPr>
                <w:rFonts w:ascii="Times New Roman" w:eastAsia="Calibri" w:hAnsi="Times New Roman" w:cs="Times New Roman"/>
                <w:sz w:val="20"/>
                <w:szCs w:val="20"/>
              </w:rPr>
            </w:pPr>
            <w:r w:rsidRPr="00EE1979">
              <w:rPr>
                <w:rFonts w:ascii="Times New Roman" w:eastAsia="Calibri" w:hAnsi="Times New Roman" w:cs="Times New Roman"/>
                <w:sz w:val="20"/>
                <w:szCs w:val="20"/>
              </w:rPr>
              <w:t>-0,4</w:t>
            </w:r>
          </w:p>
        </w:tc>
        <w:tc>
          <w:tcPr>
            <w:tcW w:w="851" w:type="dxa"/>
            <w:shd w:val="clear" w:color="auto" w:fill="auto"/>
            <w:vAlign w:val="bottom"/>
          </w:tcPr>
          <w:p w:rsidR="00EE1979" w:rsidRPr="00EE1979" w:rsidRDefault="00EE1979" w:rsidP="00EE1979">
            <w:pPr>
              <w:spacing w:after="0" w:line="240" w:lineRule="auto"/>
              <w:jc w:val="center"/>
              <w:rPr>
                <w:rFonts w:ascii="Times New Roman" w:eastAsia="Calibri" w:hAnsi="Times New Roman" w:cs="Times New Roman"/>
                <w:sz w:val="20"/>
                <w:szCs w:val="20"/>
              </w:rPr>
            </w:pPr>
            <w:r w:rsidRPr="00EE1979">
              <w:rPr>
                <w:rFonts w:ascii="Times New Roman" w:eastAsia="Calibri" w:hAnsi="Times New Roman" w:cs="Times New Roman"/>
                <w:sz w:val="20"/>
                <w:szCs w:val="20"/>
              </w:rPr>
              <w:t>-0,4</w:t>
            </w:r>
          </w:p>
        </w:tc>
        <w:tc>
          <w:tcPr>
            <w:tcW w:w="850" w:type="dxa"/>
            <w:shd w:val="clear" w:color="auto" w:fill="auto"/>
            <w:vAlign w:val="bottom"/>
          </w:tcPr>
          <w:p w:rsidR="00EE1979" w:rsidRPr="00EE1979" w:rsidRDefault="00EE1979" w:rsidP="00EE1979">
            <w:pPr>
              <w:spacing w:after="0" w:line="240" w:lineRule="auto"/>
              <w:jc w:val="center"/>
              <w:rPr>
                <w:rFonts w:ascii="Times New Roman" w:eastAsia="Calibri" w:hAnsi="Times New Roman" w:cs="Times New Roman"/>
                <w:sz w:val="20"/>
                <w:szCs w:val="20"/>
              </w:rPr>
            </w:pPr>
            <w:r w:rsidRPr="00EE1979">
              <w:rPr>
                <w:rFonts w:ascii="Times New Roman" w:eastAsia="Calibri" w:hAnsi="Times New Roman" w:cs="Times New Roman"/>
                <w:sz w:val="20"/>
                <w:szCs w:val="20"/>
              </w:rPr>
              <w:t>-</w:t>
            </w:r>
          </w:p>
        </w:tc>
      </w:tr>
      <w:tr w:rsidR="00EE1979" w:rsidRPr="00EE1979" w:rsidTr="00EE1979">
        <w:trPr>
          <w:jc w:val="center"/>
        </w:trPr>
        <w:tc>
          <w:tcPr>
            <w:tcW w:w="3119" w:type="dxa"/>
            <w:shd w:val="clear" w:color="auto" w:fill="DEEAF6"/>
          </w:tcPr>
          <w:p w:rsidR="00EE1979" w:rsidRPr="00EE1979" w:rsidRDefault="00EE1979" w:rsidP="00EE1979">
            <w:pPr>
              <w:spacing w:after="0" w:line="240" w:lineRule="auto"/>
              <w:jc w:val="right"/>
              <w:rPr>
                <w:rFonts w:ascii="Times New Roman" w:eastAsia="Times New Roman" w:hAnsi="Times New Roman" w:cs="Times New Roman"/>
                <w:bCs/>
                <w:sz w:val="20"/>
                <w:szCs w:val="20"/>
              </w:rPr>
            </w:pPr>
            <w:r w:rsidRPr="00EE1979">
              <w:rPr>
                <w:rFonts w:ascii="Times New Roman" w:eastAsia="Times New Roman" w:hAnsi="Times New Roman" w:cs="Times New Roman"/>
                <w:bCs/>
                <w:sz w:val="20"/>
                <w:szCs w:val="20"/>
              </w:rPr>
              <w:t>2019.gads</w:t>
            </w:r>
          </w:p>
        </w:tc>
        <w:tc>
          <w:tcPr>
            <w:tcW w:w="694" w:type="dxa"/>
            <w:shd w:val="clear" w:color="auto" w:fill="DEEAF6"/>
            <w:vAlign w:val="center"/>
          </w:tcPr>
          <w:p w:rsidR="00EE1979" w:rsidRPr="00EE1979" w:rsidRDefault="00EE1979" w:rsidP="00EE1979">
            <w:pPr>
              <w:spacing w:after="0" w:line="240" w:lineRule="auto"/>
              <w:jc w:val="center"/>
              <w:rPr>
                <w:rFonts w:ascii="Times New Roman" w:eastAsia="Times New Roman" w:hAnsi="Times New Roman" w:cs="Times New Roman"/>
                <w:sz w:val="20"/>
                <w:szCs w:val="20"/>
              </w:rPr>
            </w:pPr>
          </w:p>
        </w:tc>
        <w:tc>
          <w:tcPr>
            <w:tcW w:w="850" w:type="dxa"/>
            <w:shd w:val="clear" w:color="auto" w:fill="DEEAF6"/>
            <w:vAlign w:val="bottom"/>
          </w:tcPr>
          <w:p w:rsidR="00EE1979" w:rsidRPr="00EE1979" w:rsidRDefault="00EE1979" w:rsidP="00EE1979">
            <w:pPr>
              <w:spacing w:after="0" w:line="240" w:lineRule="auto"/>
              <w:jc w:val="center"/>
              <w:rPr>
                <w:rFonts w:ascii="Times New Roman" w:eastAsia="Calibri" w:hAnsi="Times New Roman" w:cs="Times New Roman"/>
                <w:sz w:val="20"/>
                <w:szCs w:val="20"/>
              </w:rPr>
            </w:pPr>
            <w:r w:rsidRPr="00EE1979">
              <w:rPr>
                <w:rFonts w:ascii="Times New Roman" w:eastAsia="Calibri" w:hAnsi="Times New Roman" w:cs="Times New Roman"/>
                <w:sz w:val="20"/>
                <w:szCs w:val="20"/>
              </w:rPr>
              <w:t>-1,0</w:t>
            </w:r>
          </w:p>
        </w:tc>
        <w:tc>
          <w:tcPr>
            <w:tcW w:w="851" w:type="dxa"/>
            <w:shd w:val="clear" w:color="auto" w:fill="DEEAF6"/>
            <w:vAlign w:val="bottom"/>
          </w:tcPr>
          <w:p w:rsidR="00EE1979" w:rsidRPr="00EE1979" w:rsidRDefault="00EE1979" w:rsidP="00EE1979">
            <w:pPr>
              <w:spacing w:after="0" w:line="240" w:lineRule="auto"/>
              <w:jc w:val="center"/>
              <w:rPr>
                <w:rFonts w:ascii="Times New Roman" w:eastAsia="Calibri" w:hAnsi="Times New Roman" w:cs="Times New Roman"/>
                <w:sz w:val="20"/>
                <w:szCs w:val="20"/>
              </w:rPr>
            </w:pPr>
            <w:r w:rsidRPr="00EE1979">
              <w:rPr>
                <w:rFonts w:ascii="Times New Roman" w:eastAsia="Calibri" w:hAnsi="Times New Roman" w:cs="Times New Roman"/>
                <w:sz w:val="20"/>
                <w:szCs w:val="20"/>
              </w:rPr>
              <w:t>-0,5</w:t>
            </w:r>
          </w:p>
        </w:tc>
        <w:tc>
          <w:tcPr>
            <w:tcW w:w="850" w:type="dxa"/>
            <w:shd w:val="clear" w:color="auto" w:fill="DEEAF6"/>
            <w:vAlign w:val="bottom"/>
          </w:tcPr>
          <w:p w:rsidR="00EE1979" w:rsidRPr="00EE1979" w:rsidRDefault="00EE1979" w:rsidP="00EE1979">
            <w:pPr>
              <w:spacing w:after="0" w:line="240" w:lineRule="auto"/>
              <w:jc w:val="center"/>
              <w:rPr>
                <w:rFonts w:ascii="Times New Roman" w:eastAsia="Calibri" w:hAnsi="Times New Roman" w:cs="Times New Roman"/>
                <w:sz w:val="20"/>
                <w:szCs w:val="20"/>
              </w:rPr>
            </w:pPr>
            <w:r w:rsidRPr="00EE1979">
              <w:rPr>
                <w:rFonts w:ascii="Times New Roman" w:eastAsia="Calibri" w:hAnsi="Times New Roman" w:cs="Times New Roman"/>
                <w:sz w:val="20"/>
                <w:szCs w:val="20"/>
              </w:rPr>
              <w:t>-0,4</w:t>
            </w:r>
          </w:p>
        </w:tc>
        <w:tc>
          <w:tcPr>
            <w:tcW w:w="851" w:type="dxa"/>
            <w:shd w:val="clear" w:color="auto" w:fill="DEEAF6"/>
            <w:vAlign w:val="bottom"/>
          </w:tcPr>
          <w:p w:rsidR="00EE1979" w:rsidRPr="00EE1979" w:rsidRDefault="00EE1979" w:rsidP="00EE1979">
            <w:pPr>
              <w:spacing w:after="0" w:line="240" w:lineRule="auto"/>
              <w:jc w:val="center"/>
              <w:rPr>
                <w:rFonts w:ascii="Times New Roman" w:eastAsia="Calibri" w:hAnsi="Times New Roman" w:cs="Times New Roman"/>
                <w:sz w:val="20"/>
                <w:szCs w:val="20"/>
              </w:rPr>
            </w:pPr>
            <w:r w:rsidRPr="00EE1979">
              <w:rPr>
                <w:rFonts w:ascii="Times New Roman" w:eastAsia="Calibri" w:hAnsi="Times New Roman" w:cs="Times New Roman"/>
                <w:sz w:val="20"/>
                <w:szCs w:val="20"/>
              </w:rPr>
              <w:t>-0,2</w:t>
            </w:r>
          </w:p>
        </w:tc>
        <w:tc>
          <w:tcPr>
            <w:tcW w:w="850" w:type="dxa"/>
            <w:shd w:val="clear" w:color="auto" w:fill="DEEAF6"/>
            <w:vAlign w:val="bottom"/>
          </w:tcPr>
          <w:p w:rsidR="00EE1979" w:rsidRPr="00EE1979" w:rsidRDefault="00EE1979" w:rsidP="00EE1979">
            <w:pPr>
              <w:spacing w:after="0" w:line="240" w:lineRule="auto"/>
              <w:jc w:val="center"/>
              <w:rPr>
                <w:rFonts w:ascii="Times New Roman" w:eastAsia="Calibri" w:hAnsi="Times New Roman" w:cs="Times New Roman"/>
                <w:sz w:val="20"/>
                <w:szCs w:val="20"/>
              </w:rPr>
            </w:pPr>
            <w:r w:rsidRPr="00EE1979">
              <w:rPr>
                <w:rFonts w:ascii="Times New Roman" w:eastAsia="Calibri" w:hAnsi="Times New Roman" w:cs="Times New Roman"/>
                <w:sz w:val="20"/>
                <w:szCs w:val="20"/>
              </w:rPr>
              <w:t>-0,3</w:t>
            </w:r>
          </w:p>
        </w:tc>
      </w:tr>
      <w:tr w:rsidR="00EE1979" w:rsidRPr="00EE1979" w:rsidTr="00EE1979">
        <w:trPr>
          <w:jc w:val="center"/>
        </w:trPr>
        <w:tc>
          <w:tcPr>
            <w:tcW w:w="3119" w:type="dxa"/>
            <w:shd w:val="clear" w:color="auto" w:fill="auto"/>
          </w:tcPr>
          <w:p w:rsidR="00EE1979" w:rsidRPr="00EE1979" w:rsidRDefault="00EE1979" w:rsidP="00EE1979">
            <w:pPr>
              <w:spacing w:after="0" w:line="240" w:lineRule="auto"/>
              <w:jc w:val="right"/>
              <w:rPr>
                <w:rFonts w:ascii="Times New Roman" w:eastAsia="Times New Roman" w:hAnsi="Times New Roman" w:cs="Times New Roman"/>
                <w:bCs/>
                <w:snapToGrid w:val="0"/>
                <w:sz w:val="20"/>
                <w:szCs w:val="20"/>
              </w:rPr>
            </w:pPr>
            <w:r w:rsidRPr="00EE1979">
              <w:rPr>
                <w:rFonts w:ascii="Times New Roman" w:eastAsia="Times New Roman" w:hAnsi="Times New Roman" w:cs="Times New Roman"/>
                <w:bCs/>
                <w:snapToGrid w:val="0"/>
                <w:sz w:val="20"/>
                <w:szCs w:val="20"/>
              </w:rPr>
              <w:t>Izmaiņas</w:t>
            </w:r>
          </w:p>
        </w:tc>
        <w:tc>
          <w:tcPr>
            <w:tcW w:w="694" w:type="dxa"/>
            <w:shd w:val="clear" w:color="auto" w:fill="auto"/>
            <w:vAlign w:val="center"/>
          </w:tcPr>
          <w:p w:rsidR="00EE1979" w:rsidRPr="00EE1979" w:rsidRDefault="00EE1979" w:rsidP="00EE1979">
            <w:pPr>
              <w:spacing w:after="0" w:line="240" w:lineRule="auto"/>
              <w:jc w:val="center"/>
              <w:rPr>
                <w:rFonts w:ascii="Times New Roman" w:eastAsia="Times New Roman" w:hAnsi="Times New Roman" w:cs="Times New Roman"/>
                <w:sz w:val="20"/>
                <w:szCs w:val="20"/>
              </w:rPr>
            </w:pPr>
          </w:p>
        </w:tc>
        <w:tc>
          <w:tcPr>
            <w:tcW w:w="850" w:type="dxa"/>
            <w:shd w:val="clear" w:color="auto" w:fill="auto"/>
            <w:vAlign w:val="bottom"/>
          </w:tcPr>
          <w:p w:rsidR="00EE1979" w:rsidRPr="00EE1979" w:rsidRDefault="00EE1979" w:rsidP="00EE1979">
            <w:pPr>
              <w:spacing w:after="0" w:line="240" w:lineRule="auto"/>
              <w:jc w:val="center"/>
              <w:rPr>
                <w:rFonts w:ascii="Times New Roman" w:eastAsia="Calibri" w:hAnsi="Times New Roman" w:cs="Times New Roman"/>
                <w:sz w:val="20"/>
                <w:szCs w:val="20"/>
              </w:rPr>
            </w:pPr>
            <w:r w:rsidRPr="00EE1979">
              <w:rPr>
                <w:rFonts w:ascii="Times New Roman" w:eastAsia="Calibri" w:hAnsi="Times New Roman" w:cs="Times New Roman"/>
                <w:sz w:val="20"/>
                <w:szCs w:val="20"/>
              </w:rPr>
              <w:t>-0,1</w:t>
            </w:r>
          </w:p>
        </w:tc>
        <w:tc>
          <w:tcPr>
            <w:tcW w:w="851" w:type="dxa"/>
            <w:shd w:val="clear" w:color="auto" w:fill="auto"/>
            <w:vAlign w:val="bottom"/>
          </w:tcPr>
          <w:p w:rsidR="00EE1979" w:rsidRPr="00EE1979" w:rsidRDefault="00EE1979" w:rsidP="00EE1979">
            <w:pPr>
              <w:spacing w:after="0" w:line="240" w:lineRule="auto"/>
              <w:jc w:val="center"/>
              <w:rPr>
                <w:rFonts w:ascii="Times New Roman" w:eastAsia="Calibri" w:hAnsi="Times New Roman" w:cs="Times New Roman"/>
                <w:sz w:val="20"/>
                <w:szCs w:val="20"/>
              </w:rPr>
            </w:pPr>
            <w:r w:rsidRPr="00EE1979">
              <w:rPr>
                <w:rFonts w:ascii="Times New Roman" w:eastAsia="Calibri" w:hAnsi="Times New Roman" w:cs="Times New Roman"/>
                <w:sz w:val="20"/>
                <w:szCs w:val="20"/>
              </w:rPr>
              <w:t>0,4</w:t>
            </w:r>
          </w:p>
        </w:tc>
        <w:tc>
          <w:tcPr>
            <w:tcW w:w="850" w:type="dxa"/>
            <w:shd w:val="clear" w:color="auto" w:fill="auto"/>
            <w:vAlign w:val="bottom"/>
          </w:tcPr>
          <w:p w:rsidR="00EE1979" w:rsidRPr="00EE1979" w:rsidRDefault="00EE1979" w:rsidP="00EE1979">
            <w:pPr>
              <w:spacing w:after="0" w:line="240" w:lineRule="auto"/>
              <w:jc w:val="center"/>
              <w:rPr>
                <w:rFonts w:ascii="Times New Roman" w:eastAsia="Calibri" w:hAnsi="Times New Roman" w:cs="Times New Roman"/>
                <w:sz w:val="20"/>
                <w:szCs w:val="20"/>
              </w:rPr>
            </w:pPr>
            <w:r w:rsidRPr="00EE1979">
              <w:rPr>
                <w:rFonts w:ascii="Times New Roman" w:eastAsia="Calibri" w:hAnsi="Times New Roman" w:cs="Times New Roman"/>
                <w:sz w:val="20"/>
                <w:szCs w:val="20"/>
              </w:rPr>
              <w:t>0,0</w:t>
            </w:r>
          </w:p>
        </w:tc>
        <w:tc>
          <w:tcPr>
            <w:tcW w:w="851" w:type="dxa"/>
            <w:shd w:val="clear" w:color="auto" w:fill="auto"/>
            <w:vAlign w:val="bottom"/>
          </w:tcPr>
          <w:p w:rsidR="00EE1979" w:rsidRPr="00EE1979" w:rsidRDefault="00EE1979" w:rsidP="00EE1979">
            <w:pPr>
              <w:spacing w:after="0" w:line="240" w:lineRule="auto"/>
              <w:jc w:val="center"/>
              <w:rPr>
                <w:rFonts w:ascii="Times New Roman" w:eastAsia="Calibri" w:hAnsi="Times New Roman" w:cs="Times New Roman"/>
                <w:sz w:val="20"/>
                <w:szCs w:val="20"/>
              </w:rPr>
            </w:pPr>
            <w:r w:rsidRPr="00EE1979">
              <w:rPr>
                <w:rFonts w:ascii="Times New Roman" w:eastAsia="Calibri" w:hAnsi="Times New Roman" w:cs="Times New Roman"/>
                <w:sz w:val="20"/>
                <w:szCs w:val="20"/>
              </w:rPr>
              <w:t>0,14</w:t>
            </w:r>
          </w:p>
        </w:tc>
        <w:tc>
          <w:tcPr>
            <w:tcW w:w="850" w:type="dxa"/>
            <w:shd w:val="clear" w:color="auto" w:fill="auto"/>
            <w:vAlign w:val="bottom"/>
          </w:tcPr>
          <w:p w:rsidR="00EE1979" w:rsidRPr="00EE1979" w:rsidRDefault="00EE1979" w:rsidP="00EE1979">
            <w:pPr>
              <w:spacing w:after="0" w:line="240" w:lineRule="auto"/>
              <w:jc w:val="center"/>
              <w:rPr>
                <w:rFonts w:ascii="Times New Roman" w:eastAsia="Calibri" w:hAnsi="Times New Roman" w:cs="Times New Roman"/>
                <w:sz w:val="20"/>
                <w:szCs w:val="20"/>
              </w:rPr>
            </w:pPr>
            <w:r w:rsidRPr="00EE1979">
              <w:rPr>
                <w:rFonts w:ascii="Times New Roman" w:eastAsia="Calibri" w:hAnsi="Times New Roman" w:cs="Times New Roman"/>
                <w:sz w:val="20"/>
                <w:szCs w:val="20"/>
              </w:rPr>
              <w:t>-</w:t>
            </w:r>
          </w:p>
        </w:tc>
      </w:tr>
      <w:tr w:rsidR="00EE1979" w:rsidRPr="00EE1979" w:rsidTr="00EE1979">
        <w:trPr>
          <w:jc w:val="center"/>
        </w:trPr>
        <w:tc>
          <w:tcPr>
            <w:tcW w:w="3119" w:type="dxa"/>
            <w:shd w:val="clear" w:color="auto" w:fill="DEEAF6"/>
          </w:tcPr>
          <w:p w:rsidR="00EE1979" w:rsidRPr="00EE1979" w:rsidRDefault="00EE1979" w:rsidP="00EE1979">
            <w:pPr>
              <w:spacing w:after="0" w:line="240" w:lineRule="auto"/>
              <w:rPr>
                <w:rFonts w:ascii="Times New Roman" w:eastAsia="Times New Roman" w:hAnsi="Times New Roman" w:cs="Times New Roman"/>
                <w:b/>
                <w:bCs/>
                <w:snapToGrid w:val="0"/>
                <w:sz w:val="20"/>
                <w:szCs w:val="20"/>
              </w:rPr>
            </w:pPr>
            <w:r w:rsidRPr="00EE1979">
              <w:rPr>
                <w:rFonts w:ascii="Times New Roman" w:eastAsia="Times New Roman" w:hAnsi="Times New Roman" w:cs="Times New Roman"/>
                <w:b/>
                <w:bCs/>
                <w:sz w:val="20"/>
                <w:szCs w:val="20"/>
              </w:rPr>
              <w:t>Vispārējās valdības kopējais parāds (% no IKP)</w:t>
            </w:r>
          </w:p>
        </w:tc>
        <w:tc>
          <w:tcPr>
            <w:tcW w:w="694" w:type="dxa"/>
            <w:shd w:val="clear" w:color="auto" w:fill="DEEAF6"/>
            <w:vAlign w:val="center"/>
          </w:tcPr>
          <w:p w:rsidR="00EE1979" w:rsidRPr="00EE1979" w:rsidRDefault="00EE1979" w:rsidP="00EE1979">
            <w:pPr>
              <w:spacing w:after="0" w:line="240" w:lineRule="auto"/>
              <w:jc w:val="center"/>
              <w:rPr>
                <w:rFonts w:ascii="Times New Roman" w:eastAsia="Times New Roman" w:hAnsi="Times New Roman" w:cs="Times New Roman"/>
                <w:sz w:val="20"/>
                <w:szCs w:val="20"/>
              </w:rPr>
            </w:pPr>
          </w:p>
        </w:tc>
        <w:tc>
          <w:tcPr>
            <w:tcW w:w="850" w:type="dxa"/>
            <w:shd w:val="clear" w:color="auto" w:fill="DEEAF6"/>
            <w:vAlign w:val="center"/>
          </w:tcPr>
          <w:p w:rsidR="00EE1979" w:rsidRPr="00EE1979" w:rsidRDefault="00EE1979" w:rsidP="00EE1979">
            <w:pPr>
              <w:tabs>
                <w:tab w:val="decimal" w:pos="330"/>
              </w:tabs>
              <w:spacing w:after="0" w:line="240" w:lineRule="auto"/>
              <w:jc w:val="center"/>
              <w:rPr>
                <w:rFonts w:ascii="Times New Roman" w:eastAsia="Times New Roman" w:hAnsi="Times New Roman" w:cs="Times New Roman"/>
                <w:sz w:val="20"/>
                <w:szCs w:val="20"/>
                <w:highlight w:val="yellow"/>
              </w:rPr>
            </w:pPr>
          </w:p>
        </w:tc>
        <w:tc>
          <w:tcPr>
            <w:tcW w:w="851" w:type="dxa"/>
            <w:shd w:val="clear" w:color="auto" w:fill="DEEAF6"/>
            <w:vAlign w:val="center"/>
          </w:tcPr>
          <w:p w:rsidR="00EE1979" w:rsidRPr="00EE1979" w:rsidRDefault="00EE1979" w:rsidP="00EE1979">
            <w:pPr>
              <w:tabs>
                <w:tab w:val="decimal" w:pos="330"/>
              </w:tabs>
              <w:spacing w:after="0" w:line="240" w:lineRule="auto"/>
              <w:jc w:val="center"/>
              <w:rPr>
                <w:rFonts w:ascii="Times New Roman" w:eastAsia="Times New Roman" w:hAnsi="Times New Roman" w:cs="Times New Roman"/>
                <w:sz w:val="20"/>
                <w:szCs w:val="20"/>
                <w:highlight w:val="yellow"/>
              </w:rPr>
            </w:pPr>
          </w:p>
        </w:tc>
        <w:tc>
          <w:tcPr>
            <w:tcW w:w="850" w:type="dxa"/>
            <w:shd w:val="clear" w:color="auto" w:fill="DEEAF6"/>
            <w:vAlign w:val="center"/>
          </w:tcPr>
          <w:p w:rsidR="00EE1979" w:rsidRPr="00EE1979" w:rsidRDefault="00EE1979" w:rsidP="00EE1979">
            <w:pPr>
              <w:tabs>
                <w:tab w:val="decimal" w:pos="330"/>
              </w:tabs>
              <w:spacing w:after="0" w:line="240" w:lineRule="auto"/>
              <w:jc w:val="center"/>
              <w:rPr>
                <w:rFonts w:ascii="Times New Roman" w:eastAsia="Times New Roman" w:hAnsi="Times New Roman" w:cs="Times New Roman"/>
                <w:sz w:val="20"/>
                <w:szCs w:val="20"/>
                <w:highlight w:val="yellow"/>
              </w:rPr>
            </w:pPr>
          </w:p>
        </w:tc>
        <w:tc>
          <w:tcPr>
            <w:tcW w:w="851" w:type="dxa"/>
            <w:shd w:val="clear" w:color="auto" w:fill="DEEAF6"/>
            <w:vAlign w:val="center"/>
          </w:tcPr>
          <w:p w:rsidR="00EE1979" w:rsidRPr="00EE1979" w:rsidRDefault="00EE1979" w:rsidP="00EE1979">
            <w:pPr>
              <w:tabs>
                <w:tab w:val="decimal" w:pos="330"/>
              </w:tabs>
              <w:spacing w:after="0" w:line="240" w:lineRule="auto"/>
              <w:jc w:val="center"/>
              <w:rPr>
                <w:rFonts w:ascii="Times New Roman" w:eastAsia="Arial Unicode MS" w:hAnsi="Times New Roman" w:cs="Times New Roman"/>
                <w:sz w:val="20"/>
                <w:szCs w:val="20"/>
                <w:highlight w:val="yellow"/>
              </w:rPr>
            </w:pPr>
          </w:p>
        </w:tc>
        <w:tc>
          <w:tcPr>
            <w:tcW w:w="850" w:type="dxa"/>
            <w:shd w:val="clear" w:color="auto" w:fill="DEEAF6"/>
            <w:vAlign w:val="center"/>
          </w:tcPr>
          <w:p w:rsidR="00EE1979" w:rsidRPr="00EE1979" w:rsidRDefault="00EE1979" w:rsidP="00EE1979">
            <w:pPr>
              <w:spacing w:after="0" w:line="240" w:lineRule="auto"/>
              <w:jc w:val="center"/>
              <w:rPr>
                <w:rFonts w:ascii="Times New Roman" w:eastAsia="Times New Roman" w:hAnsi="Times New Roman" w:cs="Times New Roman"/>
                <w:sz w:val="20"/>
                <w:szCs w:val="20"/>
                <w:highlight w:val="yellow"/>
              </w:rPr>
            </w:pPr>
          </w:p>
        </w:tc>
      </w:tr>
      <w:tr w:rsidR="000577DD" w:rsidRPr="00EE1979" w:rsidTr="00EE1979">
        <w:trPr>
          <w:jc w:val="center"/>
        </w:trPr>
        <w:tc>
          <w:tcPr>
            <w:tcW w:w="3119" w:type="dxa"/>
            <w:shd w:val="clear" w:color="auto" w:fill="auto"/>
          </w:tcPr>
          <w:p w:rsidR="000577DD" w:rsidRPr="00EE1979" w:rsidRDefault="000577DD" w:rsidP="000577DD">
            <w:pPr>
              <w:spacing w:after="0" w:line="240" w:lineRule="auto"/>
              <w:jc w:val="right"/>
              <w:rPr>
                <w:rFonts w:ascii="Times New Roman" w:eastAsia="Times New Roman" w:hAnsi="Times New Roman" w:cs="Times New Roman"/>
                <w:bCs/>
                <w:sz w:val="20"/>
                <w:szCs w:val="20"/>
              </w:rPr>
            </w:pPr>
            <w:r w:rsidRPr="00EE1979">
              <w:rPr>
                <w:rFonts w:ascii="Times New Roman" w:eastAsia="Times New Roman" w:hAnsi="Times New Roman" w:cs="Times New Roman"/>
                <w:bCs/>
                <w:sz w:val="20"/>
                <w:szCs w:val="20"/>
              </w:rPr>
              <w:t>2018.gads</w:t>
            </w:r>
          </w:p>
        </w:tc>
        <w:tc>
          <w:tcPr>
            <w:tcW w:w="694" w:type="dxa"/>
            <w:shd w:val="clear" w:color="auto" w:fill="auto"/>
            <w:vAlign w:val="center"/>
          </w:tcPr>
          <w:p w:rsidR="000577DD" w:rsidRPr="00EE1979" w:rsidRDefault="000577DD" w:rsidP="000577DD">
            <w:pPr>
              <w:spacing w:after="0" w:line="240" w:lineRule="auto"/>
              <w:jc w:val="center"/>
              <w:rPr>
                <w:rFonts w:ascii="Times New Roman" w:eastAsia="Times New Roman" w:hAnsi="Times New Roman" w:cs="Times New Roman"/>
                <w:sz w:val="20"/>
                <w:szCs w:val="20"/>
              </w:rPr>
            </w:pPr>
          </w:p>
        </w:tc>
        <w:tc>
          <w:tcPr>
            <w:tcW w:w="850" w:type="dxa"/>
            <w:shd w:val="clear" w:color="auto" w:fill="auto"/>
          </w:tcPr>
          <w:p w:rsidR="000577DD" w:rsidRPr="00EE1979" w:rsidRDefault="000577DD" w:rsidP="000577DD">
            <w:pPr>
              <w:spacing w:after="0" w:line="240" w:lineRule="auto"/>
              <w:jc w:val="center"/>
              <w:rPr>
                <w:rFonts w:ascii="Times New Roman" w:eastAsia="Calibri" w:hAnsi="Times New Roman" w:cs="Times New Roman"/>
                <w:sz w:val="20"/>
                <w:szCs w:val="20"/>
              </w:rPr>
            </w:pPr>
            <w:r w:rsidRPr="000577DD">
              <w:rPr>
                <w:rFonts w:ascii="Times New Roman" w:eastAsia="Calibri" w:hAnsi="Times New Roman" w:cs="Times New Roman"/>
                <w:sz w:val="20"/>
                <w:szCs w:val="20"/>
              </w:rPr>
              <w:t>38,4</w:t>
            </w:r>
          </w:p>
        </w:tc>
        <w:tc>
          <w:tcPr>
            <w:tcW w:w="851" w:type="dxa"/>
            <w:shd w:val="clear" w:color="auto" w:fill="auto"/>
          </w:tcPr>
          <w:p w:rsidR="000577DD" w:rsidRPr="00EE1979" w:rsidRDefault="000577DD" w:rsidP="000577DD">
            <w:pPr>
              <w:spacing w:after="0" w:line="240" w:lineRule="auto"/>
              <w:jc w:val="center"/>
              <w:rPr>
                <w:rFonts w:ascii="Times New Roman" w:eastAsia="Calibri" w:hAnsi="Times New Roman" w:cs="Times New Roman"/>
                <w:sz w:val="20"/>
                <w:szCs w:val="20"/>
              </w:rPr>
            </w:pPr>
            <w:r w:rsidRPr="00EE1979">
              <w:rPr>
                <w:rFonts w:ascii="Times New Roman" w:eastAsia="Calibri" w:hAnsi="Times New Roman" w:cs="Times New Roman"/>
                <w:sz w:val="20"/>
                <w:szCs w:val="20"/>
              </w:rPr>
              <w:t>37,4</w:t>
            </w:r>
          </w:p>
        </w:tc>
        <w:tc>
          <w:tcPr>
            <w:tcW w:w="850" w:type="dxa"/>
            <w:shd w:val="clear" w:color="auto" w:fill="auto"/>
          </w:tcPr>
          <w:p w:rsidR="000577DD" w:rsidRPr="00EE1979" w:rsidRDefault="000577DD" w:rsidP="000577DD">
            <w:pPr>
              <w:spacing w:after="0" w:line="240" w:lineRule="auto"/>
              <w:jc w:val="center"/>
              <w:rPr>
                <w:rFonts w:ascii="Times New Roman" w:eastAsia="Calibri" w:hAnsi="Times New Roman" w:cs="Times New Roman"/>
                <w:sz w:val="20"/>
                <w:szCs w:val="20"/>
              </w:rPr>
            </w:pPr>
            <w:r w:rsidRPr="00EE1979">
              <w:rPr>
                <w:rFonts w:ascii="Times New Roman" w:eastAsia="Calibri" w:hAnsi="Times New Roman" w:cs="Times New Roman"/>
                <w:sz w:val="20"/>
                <w:szCs w:val="20"/>
              </w:rPr>
              <w:t>38,0</w:t>
            </w:r>
          </w:p>
        </w:tc>
        <w:tc>
          <w:tcPr>
            <w:tcW w:w="851" w:type="dxa"/>
            <w:shd w:val="clear" w:color="auto" w:fill="auto"/>
          </w:tcPr>
          <w:p w:rsidR="000577DD" w:rsidRPr="00EE1979" w:rsidRDefault="000577DD" w:rsidP="000577DD">
            <w:pPr>
              <w:spacing w:after="0" w:line="240" w:lineRule="auto"/>
              <w:jc w:val="center"/>
              <w:rPr>
                <w:rFonts w:ascii="Times New Roman" w:eastAsia="Calibri" w:hAnsi="Times New Roman" w:cs="Times New Roman"/>
                <w:sz w:val="20"/>
                <w:szCs w:val="20"/>
              </w:rPr>
            </w:pPr>
            <w:r w:rsidRPr="00EE1979">
              <w:rPr>
                <w:rFonts w:ascii="Times New Roman" w:eastAsia="Calibri" w:hAnsi="Times New Roman" w:cs="Times New Roman"/>
                <w:sz w:val="20"/>
                <w:szCs w:val="20"/>
              </w:rPr>
              <w:t>35,6</w:t>
            </w:r>
          </w:p>
        </w:tc>
        <w:tc>
          <w:tcPr>
            <w:tcW w:w="850" w:type="dxa"/>
            <w:shd w:val="clear" w:color="auto" w:fill="auto"/>
          </w:tcPr>
          <w:p w:rsidR="000577DD" w:rsidRPr="00EE1979" w:rsidRDefault="000577DD" w:rsidP="000577DD">
            <w:pPr>
              <w:tabs>
                <w:tab w:val="decimal" w:pos="330"/>
              </w:tabs>
              <w:spacing w:after="0" w:line="240" w:lineRule="auto"/>
              <w:jc w:val="center"/>
              <w:rPr>
                <w:rFonts w:ascii="Times New Roman" w:eastAsia="Calibri" w:hAnsi="Times New Roman" w:cs="Times New Roman"/>
                <w:sz w:val="20"/>
                <w:szCs w:val="20"/>
              </w:rPr>
            </w:pPr>
            <w:r w:rsidRPr="00EE1979">
              <w:rPr>
                <w:rFonts w:ascii="Times New Roman" w:eastAsia="Calibri" w:hAnsi="Times New Roman" w:cs="Times New Roman"/>
                <w:sz w:val="20"/>
                <w:szCs w:val="20"/>
              </w:rPr>
              <w:t>-</w:t>
            </w:r>
          </w:p>
        </w:tc>
      </w:tr>
      <w:tr w:rsidR="000577DD" w:rsidRPr="00EE1979" w:rsidTr="00EE1979">
        <w:trPr>
          <w:trHeight w:val="70"/>
          <w:jc w:val="center"/>
        </w:trPr>
        <w:tc>
          <w:tcPr>
            <w:tcW w:w="3119" w:type="dxa"/>
            <w:shd w:val="clear" w:color="auto" w:fill="DEEAF6"/>
          </w:tcPr>
          <w:p w:rsidR="000577DD" w:rsidRPr="00EE1979" w:rsidRDefault="000577DD" w:rsidP="000577DD">
            <w:pPr>
              <w:spacing w:after="0" w:line="240" w:lineRule="auto"/>
              <w:jc w:val="right"/>
              <w:rPr>
                <w:rFonts w:ascii="Times New Roman" w:eastAsia="Times New Roman" w:hAnsi="Times New Roman" w:cs="Times New Roman"/>
                <w:bCs/>
                <w:sz w:val="20"/>
                <w:szCs w:val="20"/>
              </w:rPr>
            </w:pPr>
            <w:r w:rsidRPr="00EE1979">
              <w:rPr>
                <w:rFonts w:ascii="Times New Roman" w:eastAsia="Times New Roman" w:hAnsi="Times New Roman" w:cs="Times New Roman"/>
                <w:bCs/>
                <w:sz w:val="20"/>
                <w:szCs w:val="20"/>
              </w:rPr>
              <w:t>2019.gads</w:t>
            </w:r>
          </w:p>
        </w:tc>
        <w:tc>
          <w:tcPr>
            <w:tcW w:w="694" w:type="dxa"/>
            <w:shd w:val="clear" w:color="auto" w:fill="DEEAF6"/>
            <w:vAlign w:val="center"/>
          </w:tcPr>
          <w:p w:rsidR="000577DD" w:rsidRPr="00EE1979" w:rsidRDefault="000577DD" w:rsidP="000577DD">
            <w:pPr>
              <w:spacing w:after="0" w:line="240" w:lineRule="auto"/>
              <w:jc w:val="center"/>
              <w:rPr>
                <w:rFonts w:ascii="Times New Roman" w:eastAsia="Times New Roman" w:hAnsi="Times New Roman" w:cs="Times New Roman"/>
                <w:sz w:val="20"/>
                <w:szCs w:val="20"/>
              </w:rPr>
            </w:pPr>
          </w:p>
        </w:tc>
        <w:tc>
          <w:tcPr>
            <w:tcW w:w="850" w:type="dxa"/>
            <w:shd w:val="clear" w:color="auto" w:fill="DEEAF6"/>
          </w:tcPr>
          <w:p w:rsidR="000577DD" w:rsidRPr="00EE1979" w:rsidRDefault="000577DD" w:rsidP="000577DD">
            <w:pPr>
              <w:spacing w:after="0" w:line="240" w:lineRule="auto"/>
              <w:jc w:val="center"/>
              <w:rPr>
                <w:rFonts w:ascii="Times New Roman" w:eastAsia="Calibri" w:hAnsi="Times New Roman" w:cs="Times New Roman"/>
                <w:sz w:val="20"/>
                <w:szCs w:val="20"/>
              </w:rPr>
            </w:pPr>
            <w:r w:rsidRPr="000577DD">
              <w:rPr>
                <w:rFonts w:ascii="Times New Roman" w:eastAsia="Calibri" w:hAnsi="Times New Roman" w:cs="Times New Roman"/>
                <w:sz w:val="20"/>
                <w:szCs w:val="20"/>
              </w:rPr>
              <w:t>35,9</w:t>
            </w:r>
          </w:p>
        </w:tc>
        <w:tc>
          <w:tcPr>
            <w:tcW w:w="851" w:type="dxa"/>
            <w:shd w:val="clear" w:color="auto" w:fill="DEEAF6"/>
          </w:tcPr>
          <w:p w:rsidR="000577DD" w:rsidRPr="00EE1979" w:rsidRDefault="000577DD" w:rsidP="000577DD">
            <w:pPr>
              <w:spacing w:after="0" w:line="240" w:lineRule="auto"/>
              <w:jc w:val="center"/>
              <w:rPr>
                <w:rFonts w:ascii="Times New Roman" w:eastAsia="Calibri" w:hAnsi="Times New Roman" w:cs="Times New Roman"/>
                <w:sz w:val="20"/>
                <w:szCs w:val="20"/>
              </w:rPr>
            </w:pPr>
            <w:r w:rsidRPr="00EE1979">
              <w:rPr>
                <w:rFonts w:ascii="Times New Roman" w:eastAsia="Calibri" w:hAnsi="Times New Roman" w:cs="Times New Roman"/>
                <w:sz w:val="20"/>
                <w:szCs w:val="20"/>
              </w:rPr>
              <w:t>37,4</w:t>
            </w:r>
          </w:p>
        </w:tc>
        <w:tc>
          <w:tcPr>
            <w:tcW w:w="850" w:type="dxa"/>
            <w:shd w:val="clear" w:color="auto" w:fill="DEEAF6"/>
          </w:tcPr>
          <w:p w:rsidR="000577DD" w:rsidRPr="00EE1979" w:rsidRDefault="000577DD" w:rsidP="000577DD">
            <w:pPr>
              <w:spacing w:after="0" w:line="240" w:lineRule="auto"/>
              <w:jc w:val="center"/>
              <w:rPr>
                <w:rFonts w:ascii="Times New Roman" w:eastAsia="Calibri" w:hAnsi="Times New Roman" w:cs="Times New Roman"/>
                <w:sz w:val="20"/>
                <w:szCs w:val="20"/>
              </w:rPr>
            </w:pPr>
            <w:r w:rsidRPr="00EE1979">
              <w:rPr>
                <w:rFonts w:ascii="Times New Roman" w:eastAsia="Calibri" w:hAnsi="Times New Roman" w:cs="Times New Roman"/>
                <w:sz w:val="20"/>
                <w:szCs w:val="20"/>
              </w:rPr>
              <w:t>36,1</w:t>
            </w:r>
          </w:p>
        </w:tc>
        <w:tc>
          <w:tcPr>
            <w:tcW w:w="851" w:type="dxa"/>
            <w:shd w:val="clear" w:color="auto" w:fill="DEEAF6"/>
          </w:tcPr>
          <w:p w:rsidR="000577DD" w:rsidRPr="00EE1979" w:rsidRDefault="000577DD" w:rsidP="000577DD">
            <w:pPr>
              <w:spacing w:after="0" w:line="240" w:lineRule="auto"/>
              <w:jc w:val="center"/>
              <w:rPr>
                <w:rFonts w:ascii="Times New Roman" w:eastAsia="Calibri" w:hAnsi="Times New Roman" w:cs="Times New Roman"/>
                <w:sz w:val="20"/>
                <w:szCs w:val="20"/>
              </w:rPr>
            </w:pPr>
            <w:r w:rsidRPr="00EE1979">
              <w:rPr>
                <w:rFonts w:ascii="Times New Roman" w:eastAsia="Calibri" w:hAnsi="Times New Roman" w:cs="Times New Roman"/>
                <w:sz w:val="20"/>
                <w:szCs w:val="20"/>
              </w:rPr>
              <w:t>33,5</w:t>
            </w:r>
          </w:p>
        </w:tc>
        <w:tc>
          <w:tcPr>
            <w:tcW w:w="850" w:type="dxa"/>
            <w:shd w:val="clear" w:color="auto" w:fill="DEEAF6"/>
          </w:tcPr>
          <w:p w:rsidR="000577DD" w:rsidRPr="00EE1979" w:rsidRDefault="000577DD" w:rsidP="000577DD">
            <w:pPr>
              <w:spacing w:after="0" w:line="240" w:lineRule="auto"/>
              <w:jc w:val="center"/>
              <w:rPr>
                <w:rFonts w:ascii="Times New Roman" w:eastAsia="Calibri" w:hAnsi="Times New Roman" w:cs="Times New Roman"/>
                <w:sz w:val="20"/>
                <w:szCs w:val="20"/>
              </w:rPr>
            </w:pPr>
            <w:r w:rsidRPr="00EE1979">
              <w:rPr>
                <w:rFonts w:ascii="Times New Roman" w:eastAsia="Calibri" w:hAnsi="Times New Roman" w:cs="Times New Roman"/>
                <w:sz w:val="20"/>
                <w:szCs w:val="20"/>
              </w:rPr>
              <w:t>33,1</w:t>
            </w:r>
          </w:p>
        </w:tc>
      </w:tr>
      <w:tr w:rsidR="000577DD" w:rsidRPr="00EE1979" w:rsidTr="00EE1979">
        <w:trPr>
          <w:jc w:val="center"/>
        </w:trPr>
        <w:tc>
          <w:tcPr>
            <w:tcW w:w="3119" w:type="dxa"/>
            <w:shd w:val="clear" w:color="auto" w:fill="auto"/>
          </w:tcPr>
          <w:p w:rsidR="000577DD" w:rsidRPr="00EE1979" w:rsidRDefault="000577DD" w:rsidP="000577DD">
            <w:pPr>
              <w:spacing w:after="0" w:line="240" w:lineRule="auto"/>
              <w:jc w:val="right"/>
              <w:rPr>
                <w:rFonts w:ascii="Times New Roman" w:eastAsia="Times New Roman" w:hAnsi="Times New Roman" w:cs="Times New Roman"/>
                <w:bCs/>
                <w:snapToGrid w:val="0"/>
                <w:sz w:val="20"/>
                <w:szCs w:val="20"/>
              </w:rPr>
            </w:pPr>
            <w:r w:rsidRPr="00EE1979">
              <w:rPr>
                <w:rFonts w:ascii="Times New Roman" w:eastAsia="Times New Roman" w:hAnsi="Times New Roman" w:cs="Times New Roman"/>
                <w:sz w:val="20"/>
              </w:rPr>
              <w:t>Izmaiņas</w:t>
            </w:r>
          </w:p>
        </w:tc>
        <w:tc>
          <w:tcPr>
            <w:tcW w:w="694" w:type="dxa"/>
            <w:shd w:val="clear" w:color="auto" w:fill="auto"/>
            <w:vAlign w:val="center"/>
          </w:tcPr>
          <w:p w:rsidR="000577DD" w:rsidRPr="00EE1979" w:rsidRDefault="000577DD" w:rsidP="000577DD">
            <w:pPr>
              <w:spacing w:after="0" w:line="240" w:lineRule="auto"/>
              <w:jc w:val="center"/>
              <w:rPr>
                <w:rFonts w:ascii="Times New Roman" w:eastAsia="Times New Roman" w:hAnsi="Times New Roman" w:cs="Times New Roman"/>
                <w:sz w:val="20"/>
                <w:szCs w:val="20"/>
              </w:rPr>
            </w:pPr>
          </w:p>
        </w:tc>
        <w:tc>
          <w:tcPr>
            <w:tcW w:w="850" w:type="dxa"/>
            <w:shd w:val="clear" w:color="auto" w:fill="auto"/>
          </w:tcPr>
          <w:p w:rsidR="000577DD" w:rsidRPr="00EE1979" w:rsidRDefault="000577DD" w:rsidP="000577DD">
            <w:pPr>
              <w:spacing w:after="0" w:line="240" w:lineRule="auto"/>
              <w:jc w:val="center"/>
              <w:rPr>
                <w:rFonts w:ascii="Times New Roman" w:eastAsia="Calibri" w:hAnsi="Times New Roman" w:cs="Times New Roman"/>
                <w:sz w:val="20"/>
                <w:szCs w:val="20"/>
              </w:rPr>
            </w:pPr>
            <w:r w:rsidRPr="000577DD">
              <w:rPr>
                <w:rFonts w:ascii="Times New Roman" w:eastAsia="Calibri" w:hAnsi="Times New Roman" w:cs="Times New Roman"/>
                <w:sz w:val="20"/>
                <w:szCs w:val="20"/>
              </w:rPr>
              <w:t>-2,5</w:t>
            </w:r>
          </w:p>
        </w:tc>
        <w:tc>
          <w:tcPr>
            <w:tcW w:w="851" w:type="dxa"/>
            <w:shd w:val="clear" w:color="auto" w:fill="auto"/>
          </w:tcPr>
          <w:p w:rsidR="000577DD" w:rsidRPr="00EE1979" w:rsidRDefault="000577DD" w:rsidP="000577DD">
            <w:pPr>
              <w:spacing w:after="0" w:line="240" w:lineRule="auto"/>
              <w:jc w:val="center"/>
              <w:rPr>
                <w:rFonts w:ascii="Times New Roman" w:eastAsia="Calibri" w:hAnsi="Times New Roman" w:cs="Times New Roman"/>
                <w:sz w:val="20"/>
                <w:szCs w:val="20"/>
              </w:rPr>
            </w:pPr>
            <w:r w:rsidRPr="00EE1979">
              <w:rPr>
                <w:rFonts w:ascii="Times New Roman" w:eastAsia="Calibri" w:hAnsi="Times New Roman" w:cs="Times New Roman"/>
                <w:sz w:val="20"/>
                <w:szCs w:val="20"/>
              </w:rPr>
              <w:t>-0,0</w:t>
            </w:r>
          </w:p>
        </w:tc>
        <w:tc>
          <w:tcPr>
            <w:tcW w:w="850" w:type="dxa"/>
            <w:shd w:val="clear" w:color="auto" w:fill="auto"/>
          </w:tcPr>
          <w:p w:rsidR="000577DD" w:rsidRPr="00EE1979" w:rsidRDefault="000577DD" w:rsidP="000577DD">
            <w:pPr>
              <w:spacing w:after="0" w:line="240" w:lineRule="auto"/>
              <w:jc w:val="center"/>
              <w:rPr>
                <w:rFonts w:ascii="Times New Roman" w:eastAsia="Calibri" w:hAnsi="Times New Roman" w:cs="Times New Roman"/>
                <w:sz w:val="20"/>
                <w:szCs w:val="20"/>
              </w:rPr>
            </w:pPr>
            <w:r w:rsidRPr="00EE1979">
              <w:rPr>
                <w:rFonts w:ascii="Times New Roman" w:eastAsia="Calibri" w:hAnsi="Times New Roman" w:cs="Times New Roman"/>
                <w:sz w:val="20"/>
                <w:szCs w:val="20"/>
              </w:rPr>
              <w:t>-1,9</w:t>
            </w:r>
          </w:p>
        </w:tc>
        <w:tc>
          <w:tcPr>
            <w:tcW w:w="851" w:type="dxa"/>
            <w:shd w:val="clear" w:color="auto" w:fill="auto"/>
          </w:tcPr>
          <w:p w:rsidR="000577DD" w:rsidRPr="00EE1979" w:rsidRDefault="000577DD" w:rsidP="000577DD">
            <w:pPr>
              <w:spacing w:after="0" w:line="240" w:lineRule="auto"/>
              <w:jc w:val="center"/>
              <w:rPr>
                <w:rFonts w:ascii="Times New Roman" w:eastAsia="Calibri" w:hAnsi="Times New Roman" w:cs="Times New Roman"/>
                <w:sz w:val="20"/>
                <w:szCs w:val="20"/>
              </w:rPr>
            </w:pPr>
            <w:r w:rsidRPr="00EE1979">
              <w:rPr>
                <w:rFonts w:ascii="Times New Roman" w:eastAsia="Calibri" w:hAnsi="Times New Roman" w:cs="Times New Roman"/>
                <w:sz w:val="20"/>
                <w:szCs w:val="20"/>
              </w:rPr>
              <w:t>-2,1</w:t>
            </w:r>
          </w:p>
        </w:tc>
        <w:tc>
          <w:tcPr>
            <w:tcW w:w="850" w:type="dxa"/>
            <w:shd w:val="clear" w:color="auto" w:fill="auto"/>
          </w:tcPr>
          <w:p w:rsidR="000577DD" w:rsidRPr="00EE1979" w:rsidRDefault="000577DD" w:rsidP="000577DD">
            <w:pPr>
              <w:spacing w:after="0" w:line="240" w:lineRule="auto"/>
              <w:jc w:val="center"/>
              <w:rPr>
                <w:rFonts w:ascii="Times New Roman" w:eastAsia="Calibri" w:hAnsi="Times New Roman" w:cs="Times New Roman"/>
                <w:sz w:val="20"/>
                <w:szCs w:val="20"/>
              </w:rPr>
            </w:pPr>
            <w:r w:rsidRPr="00EE1979">
              <w:rPr>
                <w:rFonts w:ascii="Times New Roman" w:eastAsia="Calibri" w:hAnsi="Times New Roman" w:cs="Times New Roman"/>
                <w:sz w:val="20"/>
                <w:szCs w:val="20"/>
              </w:rPr>
              <w:t>-</w:t>
            </w:r>
          </w:p>
        </w:tc>
      </w:tr>
    </w:tbl>
    <w:p w:rsidR="00EE1979" w:rsidRPr="00EE1979" w:rsidRDefault="00EE1979" w:rsidP="00EE1979">
      <w:pPr>
        <w:spacing w:after="0" w:line="240" w:lineRule="auto"/>
        <w:ind w:firstLine="720"/>
        <w:jc w:val="both"/>
        <w:rPr>
          <w:rFonts w:ascii="Times New Roman" w:eastAsia="Calibri" w:hAnsi="Times New Roman" w:cs="Times New Roman"/>
          <w:sz w:val="24"/>
          <w:szCs w:val="24"/>
        </w:rPr>
      </w:pPr>
    </w:p>
    <w:p w:rsidR="00EE1979" w:rsidRPr="00EE1979" w:rsidRDefault="00EE1979" w:rsidP="00EE1979">
      <w:pPr>
        <w:spacing w:after="0" w:line="240" w:lineRule="auto"/>
        <w:ind w:firstLine="720"/>
        <w:jc w:val="both"/>
        <w:rPr>
          <w:rFonts w:ascii="Times New Roman" w:eastAsia="Calibri" w:hAnsi="Times New Roman" w:cs="Times New Roman"/>
          <w:sz w:val="24"/>
          <w:szCs w:val="24"/>
        </w:rPr>
      </w:pPr>
      <w:r w:rsidRPr="00EE1979">
        <w:rPr>
          <w:rFonts w:ascii="Times New Roman" w:eastAsia="Calibri" w:hAnsi="Times New Roman" w:cs="Times New Roman"/>
          <w:sz w:val="24"/>
          <w:szCs w:val="24"/>
        </w:rPr>
        <w:t xml:space="preserve">Atbilstoši </w:t>
      </w:r>
      <w:r w:rsidR="00730998">
        <w:rPr>
          <w:rFonts w:ascii="Times New Roman" w:eastAsia="Calibri" w:hAnsi="Times New Roman" w:cs="Times New Roman"/>
          <w:sz w:val="24"/>
          <w:szCs w:val="24"/>
        </w:rPr>
        <w:t>CSP</w:t>
      </w:r>
      <w:r w:rsidRPr="00EE1979">
        <w:rPr>
          <w:rFonts w:ascii="Times New Roman" w:eastAsia="Calibri" w:hAnsi="Times New Roman" w:cs="Times New Roman"/>
          <w:sz w:val="24"/>
          <w:szCs w:val="24"/>
        </w:rPr>
        <w:t xml:space="preserve"> publicētajai informācijai par vispārējās valdības budžeta deficīta un parāda rezultātiem par 2018.gadu Latvijas vispārējās valdības budžeta deficīts </w:t>
      </w:r>
      <w:r w:rsidR="00362E1B">
        <w:rPr>
          <w:rFonts w:ascii="Times New Roman" w:eastAsia="Calibri" w:hAnsi="Times New Roman" w:cs="Times New Roman"/>
          <w:sz w:val="24"/>
          <w:szCs w:val="24"/>
        </w:rPr>
        <w:t>2018.</w:t>
      </w:r>
      <w:r w:rsidRPr="00EE1979">
        <w:rPr>
          <w:rFonts w:ascii="Times New Roman" w:eastAsia="Calibri" w:hAnsi="Times New Roman" w:cs="Times New Roman"/>
          <w:sz w:val="24"/>
          <w:szCs w:val="24"/>
        </w:rPr>
        <w:t xml:space="preserve">gadā bija 1,0% no IKP, kas ir par 0,1% no IKP augstāks nekā prognozēts iepriekšējā Stabilitātes programmā. Neskatoties uz to, ka nodokļu ieņēmumi bija augstāki nekā prognozēts, īpaši strauju kāpumu novērojot uzņēmumu ienākuma nodoklim, un izdevumi sociālajiem pabalstiem tika veikti mazākā apjomā, ņemot vērā, ka faktiskais slimības, bezdarbnieku un vecāku pabalstu saņēmēju skaits bija mazāks par prognozēto, augstāku deficītu noteica lielāki nacionālā līdzfinansējuma izdevumi ES fondu projektiem, kā arī negatīvāki vispārējās valdības sektora komersantu darbības rezultāti nekā prognozēts iepriekšējā Stabilitātes programmā. </w:t>
      </w:r>
    </w:p>
    <w:p w:rsidR="00EE1979" w:rsidRPr="00EE1979" w:rsidRDefault="00EE1979" w:rsidP="00EE1979">
      <w:pPr>
        <w:spacing w:after="60" w:line="240" w:lineRule="auto"/>
        <w:ind w:firstLine="720"/>
        <w:jc w:val="both"/>
        <w:rPr>
          <w:rFonts w:ascii="Times New Roman" w:eastAsia="Calibri" w:hAnsi="Times New Roman" w:cs="Times New Roman"/>
          <w:sz w:val="24"/>
          <w:szCs w:val="24"/>
        </w:rPr>
      </w:pPr>
      <w:r w:rsidRPr="00EE1979">
        <w:rPr>
          <w:rFonts w:ascii="Times New Roman" w:eastAsia="Calibri" w:hAnsi="Times New Roman" w:cs="Times New Roman"/>
          <w:sz w:val="24"/>
          <w:szCs w:val="24"/>
        </w:rPr>
        <w:lastRenderedPageBreak/>
        <w:t xml:space="preserve">Aktualizētās vidēja termiņa prognozes paredz budžeta deficītu 2019.gadā 0,5% no IKP, 2020.gadā 0,4% no IKP, 2021.gadā 0,2% no IKP un 2022.gadā 0,3% no IKP. Vispārējās valdības budžeta deficīta prognozes ir balstītas uz aktualizētajiem strukturālās budžeta bilances mērķiem, kā arī ņemot vērā izmaiņas budžeta bilances cikliskajā komponentē. </w:t>
      </w:r>
    </w:p>
    <w:p w:rsidR="0071501E" w:rsidRPr="003F1297" w:rsidRDefault="0071501E" w:rsidP="00A1238D"/>
    <w:p w:rsidR="0071501E" w:rsidRDefault="0071501E">
      <w:pPr>
        <w:spacing w:after="0" w:line="240" w:lineRule="auto"/>
        <w:rPr>
          <w:rFonts w:ascii="Times New Roman" w:eastAsiaTheme="majorEastAsia" w:hAnsi="Times New Roman" w:cs="Times New Roman"/>
          <w:b/>
          <w:bCs/>
          <w:smallCaps/>
          <w:color w:val="000000" w:themeColor="text1"/>
          <w:sz w:val="32"/>
          <w:szCs w:val="32"/>
        </w:rPr>
      </w:pPr>
      <w:r>
        <w:rPr>
          <w:rFonts w:ascii="Times New Roman" w:hAnsi="Times New Roman" w:cs="Times New Roman"/>
          <w:sz w:val="32"/>
          <w:szCs w:val="32"/>
        </w:rPr>
        <w:br w:type="page"/>
      </w:r>
    </w:p>
    <w:p w:rsidR="0053105F" w:rsidRPr="00AF71D1" w:rsidRDefault="0071501E" w:rsidP="00DF2CC5">
      <w:pPr>
        <w:pStyle w:val="Heading1"/>
        <w:numPr>
          <w:ilvl w:val="0"/>
          <w:numId w:val="0"/>
        </w:numPr>
        <w:jc w:val="center"/>
        <w:rPr>
          <w:rFonts w:ascii="Times New Roman" w:hAnsi="Times New Roman" w:cs="Times New Roman"/>
          <w:sz w:val="32"/>
          <w:szCs w:val="32"/>
        </w:rPr>
      </w:pPr>
      <w:bookmarkStart w:id="14" w:name="_Toc8285995"/>
      <w:r>
        <w:rPr>
          <w:rFonts w:ascii="Times New Roman" w:hAnsi="Times New Roman" w:cs="Times New Roman"/>
          <w:sz w:val="32"/>
          <w:szCs w:val="32"/>
        </w:rPr>
        <w:lastRenderedPageBreak/>
        <w:t xml:space="preserve">5. </w:t>
      </w:r>
      <w:r w:rsidR="0053105F" w:rsidRPr="00AF71D1">
        <w:rPr>
          <w:rFonts w:ascii="Times New Roman" w:hAnsi="Times New Roman" w:cs="Times New Roman"/>
          <w:sz w:val="32"/>
          <w:szCs w:val="32"/>
        </w:rPr>
        <w:t>Pielikum</w:t>
      </w:r>
      <w:bookmarkEnd w:id="1"/>
      <w:bookmarkEnd w:id="2"/>
      <w:bookmarkEnd w:id="3"/>
      <w:r w:rsidR="0053105F">
        <w:rPr>
          <w:rFonts w:ascii="Times New Roman" w:hAnsi="Times New Roman" w:cs="Times New Roman"/>
          <w:sz w:val="32"/>
          <w:szCs w:val="32"/>
        </w:rPr>
        <w:t>s</w:t>
      </w:r>
      <w:bookmarkEnd w:id="14"/>
    </w:p>
    <w:p w:rsidR="0053105F" w:rsidRDefault="0053105F" w:rsidP="0053105F">
      <w:pPr>
        <w:pStyle w:val="T"/>
        <w:spacing w:after="0"/>
        <w:ind w:left="0"/>
        <w:rPr>
          <w:rFonts w:ascii="Times New Roman" w:hAnsi="Times New Roman"/>
          <w:color w:val="000000"/>
        </w:rPr>
      </w:pPr>
    </w:p>
    <w:p w:rsidR="0053105F" w:rsidRPr="00F51615" w:rsidRDefault="0053105F" w:rsidP="0053105F">
      <w:pPr>
        <w:pStyle w:val="T"/>
        <w:spacing w:after="0"/>
        <w:ind w:left="0"/>
        <w:rPr>
          <w:rFonts w:ascii="Times New Roman" w:hAnsi="Times New Roman"/>
          <w:color w:val="000000"/>
        </w:rPr>
      </w:pPr>
      <w:r w:rsidRPr="0009714C">
        <w:rPr>
          <w:rFonts w:ascii="Times New Roman" w:hAnsi="Times New Roman"/>
          <w:color w:val="000000"/>
        </w:rPr>
        <w:t>1d.tabula. Sektoru bilances</w:t>
      </w:r>
    </w:p>
    <w:p w:rsidR="0053105F" w:rsidRDefault="0053105F" w:rsidP="0053105F">
      <w:pPr>
        <w:spacing w:after="0"/>
        <w:rPr>
          <w:rFonts w:ascii="Times New Roman" w:hAnsi="Times New Roman" w:cs="Times New Roman"/>
          <w:b/>
          <w:color w:val="000000"/>
          <w:sz w:val="24"/>
          <w:szCs w:val="24"/>
        </w:rPr>
      </w:pPr>
    </w:p>
    <w:tbl>
      <w:tblPr>
        <w:tblStyle w:val="GridTable6Colorful-Accent112"/>
        <w:tblW w:w="9543" w:type="dxa"/>
        <w:jc w:val="center"/>
        <w:tblLayout w:type="fixed"/>
        <w:tblLook w:val="04A0" w:firstRow="1" w:lastRow="0" w:firstColumn="1" w:lastColumn="0" w:noHBand="0" w:noVBand="1"/>
      </w:tblPr>
      <w:tblGrid>
        <w:gridCol w:w="4649"/>
        <w:gridCol w:w="960"/>
        <w:gridCol w:w="786"/>
        <w:gridCol w:w="787"/>
        <w:gridCol w:w="787"/>
        <w:gridCol w:w="787"/>
        <w:gridCol w:w="787"/>
      </w:tblGrid>
      <w:tr w:rsidR="004C5D83" w:rsidRPr="004C5D83" w:rsidTr="00135E60">
        <w:trPr>
          <w:cnfStyle w:val="100000000000" w:firstRow="1" w:lastRow="0" w:firstColumn="0" w:lastColumn="0" w:oddVBand="0" w:evenVBand="0" w:oddHBand="0"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4649" w:type="dxa"/>
            <w:vMerge w:val="restart"/>
            <w:shd w:val="clear" w:color="auto" w:fill="DEEAF6"/>
            <w:vAlign w:val="center"/>
            <w:hideMark/>
          </w:tcPr>
          <w:p w:rsidR="004C5D83" w:rsidRPr="004C5D83" w:rsidRDefault="004C5D83" w:rsidP="004C5D83">
            <w:pPr>
              <w:spacing w:after="0" w:line="240" w:lineRule="auto"/>
              <w:jc w:val="center"/>
              <w:rPr>
                <w:rFonts w:ascii="Times New Roman" w:eastAsia="Calibri" w:hAnsi="Times New Roman" w:cs="Times New Roman"/>
                <w:color w:val="000000"/>
                <w:sz w:val="20"/>
                <w:szCs w:val="20"/>
              </w:rPr>
            </w:pPr>
            <w:r w:rsidRPr="004C5D83">
              <w:rPr>
                <w:rFonts w:ascii="Times New Roman" w:eastAsia="Calibri" w:hAnsi="Times New Roman" w:cs="Times New Roman"/>
                <w:color w:val="000000"/>
                <w:sz w:val="20"/>
                <w:szCs w:val="20"/>
              </w:rPr>
              <w:t>% no IKP</w:t>
            </w:r>
          </w:p>
        </w:tc>
        <w:tc>
          <w:tcPr>
            <w:tcW w:w="960" w:type="dxa"/>
            <w:vMerge w:val="restart"/>
            <w:shd w:val="clear" w:color="auto" w:fill="DEEAF6"/>
            <w:vAlign w:val="center"/>
            <w:hideMark/>
          </w:tcPr>
          <w:p w:rsidR="004C5D83" w:rsidRPr="004C5D83" w:rsidRDefault="004C5D83" w:rsidP="004C5D8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4C5D83">
              <w:rPr>
                <w:rFonts w:ascii="Times New Roman" w:eastAsia="Calibri" w:hAnsi="Times New Roman" w:cs="Times New Roman"/>
                <w:color w:val="000000"/>
                <w:sz w:val="20"/>
                <w:szCs w:val="20"/>
              </w:rPr>
              <w:t>EKS kods</w:t>
            </w:r>
          </w:p>
        </w:tc>
        <w:tc>
          <w:tcPr>
            <w:tcW w:w="786" w:type="dxa"/>
            <w:vMerge w:val="restart"/>
            <w:shd w:val="clear" w:color="auto" w:fill="DEEAF6"/>
            <w:vAlign w:val="center"/>
            <w:hideMark/>
          </w:tcPr>
          <w:p w:rsidR="004C5D83" w:rsidRPr="004C5D83" w:rsidRDefault="004C5D83" w:rsidP="004C5D8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color w:val="000000"/>
                <w:sz w:val="20"/>
                <w:szCs w:val="20"/>
                <w:highlight w:val="green"/>
              </w:rPr>
            </w:pPr>
            <w:r w:rsidRPr="00786A6A">
              <w:rPr>
                <w:rFonts w:ascii="Times New Roman" w:eastAsia="Calibri" w:hAnsi="Times New Roman" w:cs="Times New Roman"/>
                <w:bCs w:val="0"/>
                <w:color w:val="000000"/>
                <w:sz w:val="20"/>
                <w:szCs w:val="20"/>
              </w:rPr>
              <w:t>2018</w:t>
            </w:r>
          </w:p>
        </w:tc>
        <w:tc>
          <w:tcPr>
            <w:tcW w:w="787" w:type="dxa"/>
            <w:vMerge w:val="restart"/>
            <w:shd w:val="clear" w:color="auto" w:fill="DEEAF6"/>
            <w:vAlign w:val="center"/>
            <w:hideMark/>
          </w:tcPr>
          <w:p w:rsidR="004C5D83" w:rsidRPr="004C5D83" w:rsidRDefault="004C5D83" w:rsidP="004C5D8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color w:val="000000"/>
                <w:sz w:val="20"/>
                <w:szCs w:val="20"/>
              </w:rPr>
            </w:pPr>
            <w:r w:rsidRPr="004C5D83">
              <w:rPr>
                <w:rFonts w:ascii="Times New Roman" w:eastAsia="Calibri" w:hAnsi="Times New Roman" w:cs="Times New Roman"/>
                <w:bCs w:val="0"/>
                <w:color w:val="000000"/>
                <w:sz w:val="20"/>
                <w:szCs w:val="20"/>
              </w:rPr>
              <w:t>2019</w:t>
            </w:r>
          </w:p>
        </w:tc>
        <w:tc>
          <w:tcPr>
            <w:tcW w:w="787" w:type="dxa"/>
            <w:vMerge w:val="restart"/>
            <w:shd w:val="clear" w:color="auto" w:fill="DEEAF6"/>
            <w:vAlign w:val="center"/>
            <w:hideMark/>
          </w:tcPr>
          <w:p w:rsidR="004C5D83" w:rsidRPr="004C5D83" w:rsidRDefault="004C5D83" w:rsidP="004C5D8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color w:val="000000"/>
                <w:sz w:val="20"/>
                <w:szCs w:val="20"/>
              </w:rPr>
            </w:pPr>
            <w:r w:rsidRPr="004C5D83">
              <w:rPr>
                <w:rFonts w:ascii="Times New Roman" w:eastAsia="Calibri" w:hAnsi="Times New Roman" w:cs="Times New Roman"/>
                <w:bCs w:val="0"/>
                <w:color w:val="000000"/>
                <w:sz w:val="20"/>
                <w:szCs w:val="20"/>
              </w:rPr>
              <w:t>2020</w:t>
            </w:r>
          </w:p>
        </w:tc>
        <w:tc>
          <w:tcPr>
            <w:tcW w:w="787" w:type="dxa"/>
            <w:vMerge w:val="restart"/>
            <w:shd w:val="clear" w:color="auto" w:fill="DEEAF6"/>
            <w:vAlign w:val="center"/>
            <w:hideMark/>
          </w:tcPr>
          <w:p w:rsidR="004C5D83" w:rsidRPr="004C5D83" w:rsidRDefault="004C5D83" w:rsidP="004C5D8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color w:val="000000"/>
                <w:sz w:val="20"/>
                <w:szCs w:val="20"/>
              </w:rPr>
            </w:pPr>
            <w:r w:rsidRPr="004C5D83">
              <w:rPr>
                <w:rFonts w:ascii="Times New Roman" w:eastAsia="Calibri" w:hAnsi="Times New Roman" w:cs="Times New Roman"/>
                <w:bCs w:val="0"/>
                <w:color w:val="000000"/>
                <w:sz w:val="20"/>
                <w:szCs w:val="20"/>
              </w:rPr>
              <w:t>2021</w:t>
            </w:r>
          </w:p>
        </w:tc>
        <w:tc>
          <w:tcPr>
            <w:tcW w:w="787" w:type="dxa"/>
            <w:vMerge w:val="restart"/>
            <w:shd w:val="clear" w:color="auto" w:fill="DEEAF6"/>
            <w:vAlign w:val="center"/>
            <w:hideMark/>
          </w:tcPr>
          <w:p w:rsidR="004C5D83" w:rsidRPr="004C5D83" w:rsidRDefault="004C5D83" w:rsidP="004C5D8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color w:val="000000"/>
                <w:sz w:val="20"/>
                <w:szCs w:val="20"/>
              </w:rPr>
            </w:pPr>
            <w:r w:rsidRPr="004C5D83">
              <w:rPr>
                <w:rFonts w:ascii="Times New Roman" w:eastAsia="Calibri" w:hAnsi="Times New Roman" w:cs="Times New Roman"/>
                <w:bCs w:val="0"/>
                <w:color w:val="000000"/>
                <w:sz w:val="20"/>
                <w:szCs w:val="20"/>
              </w:rPr>
              <w:t>2022</w:t>
            </w:r>
          </w:p>
        </w:tc>
      </w:tr>
      <w:tr w:rsidR="004C5D83" w:rsidRPr="004C5D83" w:rsidTr="00135E60">
        <w:trPr>
          <w:cnfStyle w:val="000000100000" w:firstRow="0" w:lastRow="0" w:firstColumn="0" w:lastColumn="0" w:oddVBand="0" w:evenVBand="0" w:oddHBand="1"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4649" w:type="dxa"/>
            <w:vMerge/>
            <w:hideMark/>
          </w:tcPr>
          <w:p w:rsidR="004C5D83" w:rsidRPr="004C5D83" w:rsidRDefault="004C5D83" w:rsidP="004C5D83">
            <w:pPr>
              <w:spacing w:after="0" w:line="240" w:lineRule="auto"/>
              <w:rPr>
                <w:rFonts w:ascii="Times New Roman" w:eastAsia="Calibri" w:hAnsi="Times New Roman" w:cs="Times New Roman"/>
                <w:b w:val="0"/>
                <w:color w:val="000000"/>
                <w:sz w:val="20"/>
                <w:szCs w:val="20"/>
              </w:rPr>
            </w:pPr>
          </w:p>
        </w:tc>
        <w:tc>
          <w:tcPr>
            <w:tcW w:w="960" w:type="dxa"/>
            <w:vMerge/>
            <w:vAlign w:val="center"/>
            <w:hideMark/>
          </w:tcPr>
          <w:p w:rsidR="004C5D83" w:rsidRPr="004C5D83" w:rsidRDefault="004C5D83" w:rsidP="004C5D8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p>
        </w:tc>
        <w:tc>
          <w:tcPr>
            <w:tcW w:w="786" w:type="dxa"/>
            <w:vMerge/>
            <w:vAlign w:val="center"/>
            <w:hideMark/>
          </w:tcPr>
          <w:p w:rsidR="004C5D83" w:rsidRPr="004C5D83" w:rsidRDefault="004C5D83" w:rsidP="004C5D8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000000"/>
                <w:sz w:val="20"/>
                <w:szCs w:val="20"/>
              </w:rPr>
            </w:pPr>
          </w:p>
        </w:tc>
        <w:tc>
          <w:tcPr>
            <w:tcW w:w="787" w:type="dxa"/>
            <w:vMerge/>
            <w:vAlign w:val="center"/>
            <w:hideMark/>
          </w:tcPr>
          <w:p w:rsidR="004C5D83" w:rsidRPr="004C5D83" w:rsidRDefault="004C5D83" w:rsidP="004C5D8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000000"/>
                <w:sz w:val="20"/>
                <w:szCs w:val="20"/>
              </w:rPr>
            </w:pPr>
          </w:p>
        </w:tc>
        <w:tc>
          <w:tcPr>
            <w:tcW w:w="787" w:type="dxa"/>
            <w:vMerge/>
            <w:vAlign w:val="center"/>
            <w:hideMark/>
          </w:tcPr>
          <w:p w:rsidR="004C5D83" w:rsidRPr="004C5D83" w:rsidRDefault="004C5D83" w:rsidP="004C5D8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000000"/>
                <w:sz w:val="20"/>
                <w:szCs w:val="20"/>
              </w:rPr>
            </w:pPr>
          </w:p>
        </w:tc>
        <w:tc>
          <w:tcPr>
            <w:tcW w:w="787" w:type="dxa"/>
            <w:vMerge/>
            <w:vAlign w:val="center"/>
            <w:hideMark/>
          </w:tcPr>
          <w:p w:rsidR="004C5D83" w:rsidRPr="004C5D83" w:rsidRDefault="004C5D83" w:rsidP="004C5D8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000000"/>
                <w:sz w:val="20"/>
                <w:szCs w:val="20"/>
              </w:rPr>
            </w:pPr>
          </w:p>
        </w:tc>
        <w:tc>
          <w:tcPr>
            <w:tcW w:w="787" w:type="dxa"/>
            <w:vMerge/>
            <w:vAlign w:val="center"/>
            <w:hideMark/>
          </w:tcPr>
          <w:p w:rsidR="004C5D83" w:rsidRPr="004C5D83" w:rsidRDefault="004C5D83" w:rsidP="004C5D8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000000"/>
                <w:sz w:val="20"/>
                <w:szCs w:val="20"/>
              </w:rPr>
            </w:pPr>
          </w:p>
        </w:tc>
      </w:tr>
      <w:tr w:rsidR="004C5D83" w:rsidRPr="004C5D83" w:rsidTr="00135E60">
        <w:trPr>
          <w:trHeight w:val="207"/>
          <w:jc w:val="center"/>
        </w:trPr>
        <w:tc>
          <w:tcPr>
            <w:cnfStyle w:val="001000000000" w:firstRow="0" w:lastRow="0" w:firstColumn="1" w:lastColumn="0" w:oddVBand="0" w:evenVBand="0" w:oddHBand="0" w:evenHBand="0" w:firstRowFirstColumn="0" w:firstRowLastColumn="0" w:lastRowFirstColumn="0" w:lastRowLastColumn="0"/>
            <w:tcW w:w="4649" w:type="dxa"/>
            <w:hideMark/>
          </w:tcPr>
          <w:p w:rsidR="004C5D83" w:rsidRPr="004C5D83" w:rsidRDefault="004C5D83" w:rsidP="004C5D83">
            <w:pPr>
              <w:spacing w:after="0" w:line="240" w:lineRule="auto"/>
              <w:rPr>
                <w:rFonts w:ascii="Times New Roman" w:eastAsia="Calibri" w:hAnsi="Times New Roman" w:cs="Times New Roman"/>
                <w:b w:val="0"/>
                <w:color w:val="000000"/>
                <w:sz w:val="20"/>
                <w:szCs w:val="20"/>
              </w:rPr>
            </w:pPr>
            <w:r w:rsidRPr="004C5D83">
              <w:rPr>
                <w:rFonts w:ascii="Times New Roman" w:eastAsia="Calibri" w:hAnsi="Times New Roman" w:cs="Times New Roman"/>
                <w:b w:val="0"/>
                <w:snapToGrid w:val="0"/>
                <w:color w:val="000000"/>
                <w:sz w:val="20"/>
                <w:szCs w:val="20"/>
              </w:rPr>
              <w:t>1. Tekošais un kapitāla konts</w:t>
            </w:r>
          </w:p>
        </w:tc>
        <w:tc>
          <w:tcPr>
            <w:tcW w:w="960" w:type="dxa"/>
            <w:vAlign w:val="center"/>
            <w:hideMark/>
          </w:tcPr>
          <w:p w:rsidR="004C5D83" w:rsidRPr="004C5D83" w:rsidRDefault="004C5D83" w:rsidP="004C5D8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4C5D83">
              <w:rPr>
                <w:rFonts w:ascii="Times New Roman" w:eastAsia="Calibri" w:hAnsi="Times New Roman" w:cs="Times New Roman"/>
                <w:snapToGrid w:val="0"/>
                <w:color w:val="000000"/>
                <w:sz w:val="20"/>
                <w:szCs w:val="20"/>
              </w:rPr>
              <w:t>B.9</w:t>
            </w:r>
          </w:p>
        </w:tc>
        <w:tc>
          <w:tcPr>
            <w:tcW w:w="786" w:type="dxa"/>
            <w:vAlign w:val="center"/>
          </w:tcPr>
          <w:p w:rsidR="004C5D83" w:rsidRPr="004C5D83" w:rsidRDefault="004C5D83" w:rsidP="004C5D8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0"/>
              </w:rPr>
            </w:pPr>
            <w:r w:rsidRPr="00DE2E58">
              <w:rPr>
                <w:rFonts w:ascii="Times New Roman" w:eastAsia="Arial Unicode MS" w:hAnsi="Times New Roman" w:cs="Times New Roman"/>
                <w:color w:val="auto"/>
                <w:sz w:val="20"/>
              </w:rPr>
              <w:t>0,1</w:t>
            </w:r>
          </w:p>
        </w:tc>
        <w:tc>
          <w:tcPr>
            <w:tcW w:w="787" w:type="dxa"/>
            <w:vAlign w:val="center"/>
          </w:tcPr>
          <w:p w:rsidR="004C5D83" w:rsidRPr="004C5D83" w:rsidRDefault="004C5D83" w:rsidP="004C5D8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0"/>
              </w:rPr>
            </w:pPr>
            <w:r w:rsidRPr="00E776C9">
              <w:rPr>
                <w:rFonts w:ascii="Times New Roman" w:eastAsia="Arial Unicode MS" w:hAnsi="Times New Roman" w:cs="Times New Roman"/>
                <w:color w:val="auto"/>
                <w:sz w:val="20"/>
              </w:rPr>
              <w:t>-0</w:t>
            </w:r>
            <w:r>
              <w:rPr>
                <w:rFonts w:ascii="Times New Roman" w:eastAsia="Arial Unicode MS" w:hAnsi="Times New Roman" w:cs="Times New Roman"/>
                <w:color w:val="auto"/>
                <w:sz w:val="20"/>
              </w:rPr>
              <w:t>,</w:t>
            </w:r>
            <w:r w:rsidRPr="00E776C9">
              <w:rPr>
                <w:rFonts w:ascii="Times New Roman" w:eastAsia="Arial Unicode MS" w:hAnsi="Times New Roman" w:cs="Times New Roman"/>
                <w:color w:val="auto"/>
                <w:sz w:val="20"/>
              </w:rPr>
              <w:t>7</w:t>
            </w:r>
          </w:p>
        </w:tc>
        <w:tc>
          <w:tcPr>
            <w:tcW w:w="787" w:type="dxa"/>
            <w:vAlign w:val="center"/>
          </w:tcPr>
          <w:p w:rsidR="004C5D83" w:rsidRPr="004C5D83" w:rsidRDefault="004C5D83" w:rsidP="004C5D8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0"/>
              </w:rPr>
            </w:pPr>
            <w:r w:rsidRPr="00E776C9">
              <w:rPr>
                <w:rFonts w:ascii="Times New Roman" w:eastAsia="Arial Unicode MS" w:hAnsi="Times New Roman" w:cs="Times New Roman"/>
                <w:color w:val="auto"/>
                <w:sz w:val="20"/>
              </w:rPr>
              <w:t>-1</w:t>
            </w:r>
            <w:r>
              <w:rPr>
                <w:rFonts w:ascii="Times New Roman" w:eastAsia="Arial Unicode MS" w:hAnsi="Times New Roman" w:cs="Times New Roman"/>
                <w:color w:val="auto"/>
                <w:sz w:val="20"/>
              </w:rPr>
              <w:t>,</w:t>
            </w:r>
            <w:r w:rsidRPr="00E776C9">
              <w:rPr>
                <w:rFonts w:ascii="Times New Roman" w:eastAsia="Arial Unicode MS" w:hAnsi="Times New Roman" w:cs="Times New Roman"/>
                <w:color w:val="auto"/>
                <w:sz w:val="20"/>
              </w:rPr>
              <w:t>6</w:t>
            </w:r>
          </w:p>
        </w:tc>
        <w:tc>
          <w:tcPr>
            <w:tcW w:w="787" w:type="dxa"/>
            <w:vAlign w:val="center"/>
          </w:tcPr>
          <w:p w:rsidR="004C5D83" w:rsidRPr="004C5D83" w:rsidRDefault="004C5D83" w:rsidP="004C5D8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0"/>
              </w:rPr>
            </w:pPr>
            <w:r w:rsidRPr="00E776C9">
              <w:rPr>
                <w:rFonts w:ascii="Times New Roman" w:eastAsia="Arial Unicode MS" w:hAnsi="Times New Roman" w:cs="Times New Roman"/>
                <w:color w:val="auto"/>
                <w:sz w:val="20"/>
              </w:rPr>
              <w:t>-2</w:t>
            </w:r>
            <w:r>
              <w:rPr>
                <w:rFonts w:ascii="Times New Roman" w:eastAsia="Arial Unicode MS" w:hAnsi="Times New Roman" w:cs="Times New Roman"/>
                <w:color w:val="auto"/>
                <w:sz w:val="20"/>
              </w:rPr>
              <w:t>,</w:t>
            </w:r>
            <w:r w:rsidRPr="00E776C9">
              <w:rPr>
                <w:rFonts w:ascii="Times New Roman" w:eastAsia="Arial Unicode MS" w:hAnsi="Times New Roman" w:cs="Times New Roman"/>
                <w:color w:val="auto"/>
                <w:sz w:val="20"/>
              </w:rPr>
              <w:t>1</w:t>
            </w:r>
          </w:p>
        </w:tc>
        <w:tc>
          <w:tcPr>
            <w:tcW w:w="787" w:type="dxa"/>
            <w:vAlign w:val="center"/>
          </w:tcPr>
          <w:p w:rsidR="004C5D83" w:rsidRPr="004C5D83" w:rsidRDefault="004C5D83" w:rsidP="004C5D8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0"/>
              </w:rPr>
            </w:pPr>
            <w:r w:rsidRPr="00E776C9">
              <w:rPr>
                <w:rFonts w:ascii="Times New Roman" w:eastAsia="Arial Unicode MS" w:hAnsi="Times New Roman" w:cs="Times New Roman"/>
                <w:color w:val="auto"/>
                <w:sz w:val="20"/>
              </w:rPr>
              <w:t>-3</w:t>
            </w:r>
            <w:r>
              <w:rPr>
                <w:rFonts w:ascii="Times New Roman" w:eastAsia="Arial Unicode MS" w:hAnsi="Times New Roman" w:cs="Times New Roman"/>
                <w:color w:val="auto"/>
                <w:sz w:val="20"/>
              </w:rPr>
              <w:t>,</w:t>
            </w:r>
            <w:r w:rsidRPr="00E776C9">
              <w:rPr>
                <w:rFonts w:ascii="Times New Roman" w:eastAsia="Arial Unicode MS" w:hAnsi="Times New Roman" w:cs="Times New Roman"/>
                <w:color w:val="auto"/>
                <w:sz w:val="20"/>
              </w:rPr>
              <w:t>1</w:t>
            </w:r>
          </w:p>
        </w:tc>
      </w:tr>
      <w:tr w:rsidR="004C5D83" w:rsidRPr="004C5D83" w:rsidTr="004C5D83">
        <w:trPr>
          <w:cnfStyle w:val="000000100000" w:firstRow="0" w:lastRow="0" w:firstColumn="0" w:lastColumn="0" w:oddVBand="0" w:evenVBand="0" w:oddHBand="1" w:evenHBand="0" w:firstRowFirstColumn="0" w:firstRowLastColumn="0" w:lastRowFirstColumn="0" w:lastRowLastColumn="0"/>
          <w:trHeight w:val="97"/>
          <w:jc w:val="center"/>
        </w:trPr>
        <w:tc>
          <w:tcPr>
            <w:cnfStyle w:val="001000000000" w:firstRow="0" w:lastRow="0" w:firstColumn="1" w:lastColumn="0" w:oddVBand="0" w:evenVBand="0" w:oddHBand="0" w:evenHBand="0" w:firstRowFirstColumn="0" w:firstRowLastColumn="0" w:lastRowFirstColumn="0" w:lastRowLastColumn="0"/>
            <w:tcW w:w="4649" w:type="dxa"/>
            <w:hideMark/>
          </w:tcPr>
          <w:p w:rsidR="004C5D83" w:rsidRPr="004C5D83" w:rsidRDefault="004C5D83" w:rsidP="004C5D83">
            <w:pPr>
              <w:spacing w:after="0" w:line="240" w:lineRule="auto"/>
              <w:rPr>
                <w:rFonts w:ascii="Times New Roman" w:eastAsia="Calibri" w:hAnsi="Times New Roman" w:cs="Times New Roman"/>
                <w:b w:val="0"/>
                <w:color w:val="000000"/>
                <w:sz w:val="20"/>
                <w:szCs w:val="20"/>
              </w:rPr>
            </w:pPr>
            <w:r w:rsidRPr="004C5D83">
              <w:rPr>
                <w:rFonts w:ascii="Times New Roman" w:eastAsia="Calibri" w:hAnsi="Times New Roman" w:cs="Times New Roman"/>
                <w:b w:val="0"/>
                <w:snapToGrid w:val="0"/>
                <w:color w:val="000000"/>
                <w:sz w:val="20"/>
                <w:szCs w:val="20"/>
              </w:rPr>
              <w:t>t.sk.:</w:t>
            </w:r>
          </w:p>
        </w:tc>
        <w:tc>
          <w:tcPr>
            <w:tcW w:w="960" w:type="dxa"/>
            <w:vAlign w:val="center"/>
            <w:hideMark/>
          </w:tcPr>
          <w:p w:rsidR="004C5D83" w:rsidRPr="004C5D83" w:rsidRDefault="004C5D83" w:rsidP="004C5D8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p>
        </w:tc>
        <w:tc>
          <w:tcPr>
            <w:tcW w:w="786" w:type="dxa"/>
            <w:noWrap/>
            <w:vAlign w:val="center"/>
          </w:tcPr>
          <w:p w:rsidR="004C5D83" w:rsidRPr="004C5D83" w:rsidRDefault="004C5D83" w:rsidP="004C5D8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0"/>
              </w:rPr>
            </w:pPr>
            <w:r w:rsidRPr="00DE2E58">
              <w:rPr>
                <w:rFonts w:ascii="Times New Roman" w:eastAsia="Arial Unicode MS" w:hAnsi="Times New Roman" w:cs="Times New Roman"/>
                <w:color w:val="auto"/>
                <w:sz w:val="20"/>
              </w:rPr>
              <w:t> </w:t>
            </w:r>
          </w:p>
        </w:tc>
        <w:tc>
          <w:tcPr>
            <w:tcW w:w="787" w:type="dxa"/>
            <w:noWrap/>
            <w:vAlign w:val="center"/>
          </w:tcPr>
          <w:p w:rsidR="004C5D83" w:rsidRPr="004C5D83" w:rsidRDefault="004C5D83" w:rsidP="004C5D8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0"/>
              </w:rPr>
            </w:pPr>
            <w:r w:rsidRPr="00E776C9">
              <w:rPr>
                <w:rFonts w:ascii="Times New Roman" w:eastAsia="Arial Unicode MS" w:hAnsi="Times New Roman" w:cs="Times New Roman"/>
                <w:color w:val="auto"/>
                <w:sz w:val="20"/>
              </w:rPr>
              <w:t> </w:t>
            </w:r>
          </w:p>
        </w:tc>
        <w:tc>
          <w:tcPr>
            <w:tcW w:w="787" w:type="dxa"/>
            <w:noWrap/>
            <w:vAlign w:val="center"/>
          </w:tcPr>
          <w:p w:rsidR="004C5D83" w:rsidRPr="004C5D83" w:rsidRDefault="004C5D83" w:rsidP="004C5D8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0"/>
              </w:rPr>
            </w:pPr>
            <w:r w:rsidRPr="00E776C9">
              <w:rPr>
                <w:rFonts w:ascii="Times New Roman" w:eastAsia="Arial Unicode MS" w:hAnsi="Times New Roman" w:cs="Times New Roman"/>
                <w:color w:val="auto"/>
                <w:sz w:val="20"/>
              </w:rPr>
              <w:t> </w:t>
            </w:r>
          </w:p>
        </w:tc>
        <w:tc>
          <w:tcPr>
            <w:tcW w:w="787" w:type="dxa"/>
            <w:noWrap/>
            <w:vAlign w:val="center"/>
          </w:tcPr>
          <w:p w:rsidR="004C5D83" w:rsidRPr="004C5D83" w:rsidRDefault="004C5D83" w:rsidP="004C5D8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0"/>
              </w:rPr>
            </w:pPr>
            <w:r w:rsidRPr="00E776C9">
              <w:rPr>
                <w:rFonts w:ascii="Times New Roman" w:eastAsia="Arial Unicode MS" w:hAnsi="Times New Roman" w:cs="Times New Roman"/>
                <w:color w:val="auto"/>
                <w:sz w:val="20"/>
              </w:rPr>
              <w:t> </w:t>
            </w:r>
          </w:p>
        </w:tc>
        <w:tc>
          <w:tcPr>
            <w:tcW w:w="787" w:type="dxa"/>
            <w:noWrap/>
            <w:vAlign w:val="center"/>
          </w:tcPr>
          <w:p w:rsidR="004C5D83" w:rsidRPr="004C5D83" w:rsidRDefault="004C5D83" w:rsidP="004C5D8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0"/>
              </w:rPr>
            </w:pPr>
            <w:r w:rsidRPr="00E776C9">
              <w:rPr>
                <w:rFonts w:ascii="Times New Roman" w:eastAsia="Arial Unicode MS" w:hAnsi="Times New Roman" w:cs="Times New Roman"/>
                <w:color w:val="auto"/>
                <w:sz w:val="20"/>
              </w:rPr>
              <w:t> </w:t>
            </w:r>
          </w:p>
        </w:tc>
      </w:tr>
      <w:tr w:rsidR="004C5D83" w:rsidRPr="004C5D83" w:rsidTr="00135E60">
        <w:trPr>
          <w:trHeight w:val="230"/>
          <w:jc w:val="center"/>
        </w:trPr>
        <w:tc>
          <w:tcPr>
            <w:cnfStyle w:val="001000000000" w:firstRow="0" w:lastRow="0" w:firstColumn="1" w:lastColumn="0" w:oddVBand="0" w:evenVBand="0" w:oddHBand="0" w:evenHBand="0" w:firstRowFirstColumn="0" w:firstRowLastColumn="0" w:lastRowFirstColumn="0" w:lastRowLastColumn="0"/>
            <w:tcW w:w="4649" w:type="dxa"/>
            <w:hideMark/>
          </w:tcPr>
          <w:p w:rsidR="004C5D83" w:rsidRPr="004C5D83" w:rsidRDefault="004C5D83" w:rsidP="004C5D83">
            <w:pPr>
              <w:spacing w:after="0" w:line="240" w:lineRule="auto"/>
              <w:rPr>
                <w:rFonts w:ascii="Times New Roman" w:eastAsia="Calibri" w:hAnsi="Times New Roman" w:cs="Times New Roman"/>
                <w:b w:val="0"/>
                <w:color w:val="000000"/>
                <w:sz w:val="20"/>
                <w:szCs w:val="20"/>
              </w:rPr>
            </w:pPr>
            <w:r w:rsidRPr="004C5D83">
              <w:rPr>
                <w:rFonts w:ascii="Times New Roman" w:eastAsia="Calibri" w:hAnsi="Times New Roman" w:cs="Times New Roman"/>
                <w:b w:val="0"/>
                <w:snapToGrid w:val="0"/>
                <w:color w:val="000000"/>
                <w:sz w:val="20"/>
                <w:szCs w:val="20"/>
              </w:rPr>
              <w:t>- Preču un pakalpojumu bilance</w:t>
            </w:r>
          </w:p>
        </w:tc>
        <w:tc>
          <w:tcPr>
            <w:tcW w:w="960" w:type="dxa"/>
            <w:vAlign w:val="center"/>
            <w:hideMark/>
          </w:tcPr>
          <w:p w:rsidR="004C5D83" w:rsidRPr="004C5D83" w:rsidRDefault="004C5D83" w:rsidP="004C5D8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p>
        </w:tc>
        <w:tc>
          <w:tcPr>
            <w:tcW w:w="786" w:type="dxa"/>
            <w:vAlign w:val="center"/>
          </w:tcPr>
          <w:p w:rsidR="004C5D83" w:rsidRPr="004C5D83" w:rsidRDefault="004C5D83" w:rsidP="004C5D8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0"/>
              </w:rPr>
            </w:pPr>
            <w:r w:rsidRPr="00DE2E58">
              <w:rPr>
                <w:rFonts w:ascii="Times New Roman" w:eastAsia="Arial Unicode MS" w:hAnsi="Times New Roman" w:cs="Times New Roman"/>
                <w:color w:val="auto"/>
                <w:sz w:val="20"/>
              </w:rPr>
              <w:t>-1,2</w:t>
            </w:r>
          </w:p>
        </w:tc>
        <w:tc>
          <w:tcPr>
            <w:tcW w:w="787" w:type="dxa"/>
            <w:vAlign w:val="center"/>
          </w:tcPr>
          <w:p w:rsidR="004C5D83" w:rsidRPr="004C5D83" w:rsidRDefault="004C5D83" w:rsidP="004C5D8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0"/>
              </w:rPr>
            </w:pPr>
            <w:r w:rsidRPr="00E776C9">
              <w:rPr>
                <w:rFonts w:ascii="Times New Roman" w:eastAsia="Arial Unicode MS" w:hAnsi="Times New Roman" w:cs="Times New Roman"/>
                <w:color w:val="auto"/>
                <w:sz w:val="20"/>
              </w:rPr>
              <w:t>-2</w:t>
            </w:r>
            <w:r>
              <w:rPr>
                <w:rFonts w:ascii="Times New Roman" w:eastAsia="Arial Unicode MS" w:hAnsi="Times New Roman" w:cs="Times New Roman"/>
                <w:color w:val="auto"/>
                <w:sz w:val="20"/>
              </w:rPr>
              <w:t>,</w:t>
            </w:r>
            <w:r w:rsidRPr="00E776C9">
              <w:rPr>
                <w:rFonts w:ascii="Times New Roman" w:eastAsia="Arial Unicode MS" w:hAnsi="Times New Roman" w:cs="Times New Roman"/>
                <w:color w:val="auto"/>
                <w:sz w:val="20"/>
              </w:rPr>
              <w:t>5</w:t>
            </w:r>
          </w:p>
        </w:tc>
        <w:tc>
          <w:tcPr>
            <w:tcW w:w="787" w:type="dxa"/>
            <w:vAlign w:val="center"/>
          </w:tcPr>
          <w:p w:rsidR="004C5D83" w:rsidRPr="004C5D83" w:rsidRDefault="004C5D83" w:rsidP="004C5D8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0"/>
              </w:rPr>
            </w:pPr>
            <w:r w:rsidRPr="00E776C9">
              <w:rPr>
                <w:rFonts w:ascii="Times New Roman" w:eastAsia="Arial Unicode MS" w:hAnsi="Times New Roman" w:cs="Times New Roman"/>
                <w:color w:val="auto"/>
                <w:sz w:val="20"/>
              </w:rPr>
              <w:t>-3</w:t>
            </w:r>
            <w:r>
              <w:rPr>
                <w:rFonts w:ascii="Times New Roman" w:eastAsia="Arial Unicode MS" w:hAnsi="Times New Roman" w:cs="Times New Roman"/>
                <w:color w:val="auto"/>
                <w:sz w:val="20"/>
              </w:rPr>
              <w:t>,</w:t>
            </w:r>
            <w:r w:rsidRPr="00E776C9">
              <w:rPr>
                <w:rFonts w:ascii="Times New Roman" w:eastAsia="Arial Unicode MS" w:hAnsi="Times New Roman" w:cs="Times New Roman"/>
                <w:color w:val="auto"/>
                <w:sz w:val="20"/>
              </w:rPr>
              <w:t>2</w:t>
            </w:r>
          </w:p>
        </w:tc>
        <w:tc>
          <w:tcPr>
            <w:tcW w:w="787" w:type="dxa"/>
            <w:vAlign w:val="center"/>
          </w:tcPr>
          <w:p w:rsidR="004C5D83" w:rsidRPr="004C5D83" w:rsidRDefault="004C5D83" w:rsidP="004C5D8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0"/>
              </w:rPr>
            </w:pPr>
            <w:r w:rsidRPr="00E776C9">
              <w:rPr>
                <w:rFonts w:ascii="Times New Roman" w:eastAsia="Arial Unicode MS" w:hAnsi="Times New Roman" w:cs="Times New Roman"/>
                <w:color w:val="auto"/>
                <w:sz w:val="20"/>
              </w:rPr>
              <w:t>-3</w:t>
            </w:r>
            <w:r>
              <w:rPr>
                <w:rFonts w:ascii="Times New Roman" w:eastAsia="Arial Unicode MS" w:hAnsi="Times New Roman" w:cs="Times New Roman"/>
                <w:color w:val="auto"/>
                <w:sz w:val="20"/>
              </w:rPr>
              <w:t>,</w:t>
            </w:r>
            <w:r w:rsidRPr="00E776C9">
              <w:rPr>
                <w:rFonts w:ascii="Times New Roman" w:eastAsia="Arial Unicode MS" w:hAnsi="Times New Roman" w:cs="Times New Roman"/>
                <w:color w:val="auto"/>
                <w:sz w:val="20"/>
              </w:rPr>
              <w:t>8</w:t>
            </w:r>
          </w:p>
        </w:tc>
        <w:tc>
          <w:tcPr>
            <w:tcW w:w="787" w:type="dxa"/>
            <w:vAlign w:val="center"/>
          </w:tcPr>
          <w:p w:rsidR="004C5D83" w:rsidRPr="004C5D83" w:rsidRDefault="004C5D83" w:rsidP="004C5D8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0"/>
              </w:rPr>
            </w:pPr>
            <w:r w:rsidRPr="00E776C9">
              <w:rPr>
                <w:rFonts w:ascii="Times New Roman" w:eastAsia="Arial Unicode MS" w:hAnsi="Times New Roman" w:cs="Times New Roman"/>
                <w:color w:val="auto"/>
                <w:sz w:val="20"/>
              </w:rPr>
              <w:t>-4</w:t>
            </w:r>
            <w:r>
              <w:rPr>
                <w:rFonts w:ascii="Times New Roman" w:eastAsia="Arial Unicode MS" w:hAnsi="Times New Roman" w:cs="Times New Roman"/>
                <w:color w:val="auto"/>
                <w:sz w:val="20"/>
              </w:rPr>
              <w:t>,</w:t>
            </w:r>
            <w:r w:rsidRPr="00E776C9">
              <w:rPr>
                <w:rFonts w:ascii="Times New Roman" w:eastAsia="Arial Unicode MS" w:hAnsi="Times New Roman" w:cs="Times New Roman"/>
                <w:color w:val="auto"/>
                <w:sz w:val="20"/>
              </w:rPr>
              <w:t>4</w:t>
            </w:r>
          </w:p>
        </w:tc>
      </w:tr>
      <w:tr w:rsidR="004C5D83" w:rsidRPr="004C5D83" w:rsidTr="004C5D83">
        <w:trPr>
          <w:cnfStyle w:val="000000100000" w:firstRow="0" w:lastRow="0" w:firstColumn="0" w:lastColumn="0" w:oddVBand="0" w:evenVBand="0" w:oddHBand="1" w:evenHBand="0" w:firstRowFirstColumn="0" w:firstRowLastColumn="0" w:lastRowFirstColumn="0" w:lastRowLastColumn="0"/>
          <w:trHeight w:val="261"/>
          <w:jc w:val="center"/>
        </w:trPr>
        <w:tc>
          <w:tcPr>
            <w:cnfStyle w:val="001000000000" w:firstRow="0" w:lastRow="0" w:firstColumn="1" w:lastColumn="0" w:oddVBand="0" w:evenVBand="0" w:oddHBand="0" w:evenHBand="0" w:firstRowFirstColumn="0" w:firstRowLastColumn="0" w:lastRowFirstColumn="0" w:lastRowLastColumn="0"/>
            <w:tcW w:w="4649" w:type="dxa"/>
            <w:hideMark/>
          </w:tcPr>
          <w:p w:rsidR="004C5D83" w:rsidRPr="004C5D83" w:rsidRDefault="004C5D83" w:rsidP="004C5D83">
            <w:pPr>
              <w:spacing w:after="0" w:line="240" w:lineRule="auto"/>
              <w:rPr>
                <w:rFonts w:ascii="Times New Roman" w:eastAsia="Calibri" w:hAnsi="Times New Roman" w:cs="Times New Roman"/>
                <w:b w:val="0"/>
                <w:color w:val="000000"/>
                <w:sz w:val="20"/>
                <w:szCs w:val="20"/>
              </w:rPr>
            </w:pPr>
            <w:r w:rsidRPr="004C5D83">
              <w:rPr>
                <w:rFonts w:ascii="Times New Roman" w:eastAsia="Calibri" w:hAnsi="Times New Roman" w:cs="Times New Roman"/>
                <w:b w:val="0"/>
                <w:snapToGrid w:val="0"/>
                <w:color w:val="000000"/>
                <w:sz w:val="20"/>
                <w:szCs w:val="20"/>
              </w:rPr>
              <w:t>- Ienākumu un pārvedumu bilance</w:t>
            </w:r>
          </w:p>
        </w:tc>
        <w:tc>
          <w:tcPr>
            <w:tcW w:w="960" w:type="dxa"/>
            <w:vAlign w:val="center"/>
            <w:hideMark/>
          </w:tcPr>
          <w:p w:rsidR="004C5D83" w:rsidRPr="004C5D83" w:rsidRDefault="004C5D83" w:rsidP="004C5D8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p>
        </w:tc>
        <w:tc>
          <w:tcPr>
            <w:tcW w:w="786" w:type="dxa"/>
            <w:vAlign w:val="center"/>
          </w:tcPr>
          <w:p w:rsidR="004C5D83" w:rsidRPr="004C5D83" w:rsidRDefault="004C5D83" w:rsidP="004C5D8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0"/>
              </w:rPr>
            </w:pPr>
            <w:r w:rsidRPr="00DE2E58">
              <w:rPr>
                <w:rFonts w:ascii="Times New Roman" w:eastAsia="Arial Unicode MS" w:hAnsi="Times New Roman" w:cs="Times New Roman"/>
                <w:color w:val="auto"/>
                <w:sz w:val="20"/>
              </w:rPr>
              <w:t>-0,5</w:t>
            </w:r>
          </w:p>
        </w:tc>
        <w:tc>
          <w:tcPr>
            <w:tcW w:w="787" w:type="dxa"/>
            <w:vAlign w:val="center"/>
          </w:tcPr>
          <w:p w:rsidR="004C5D83" w:rsidRPr="004C5D83" w:rsidRDefault="004C5D83" w:rsidP="004C5D8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0"/>
              </w:rPr>
            </w:pPr>
            <w:r w:rsidRPr="00E776C9">
              <w:rPr>
                <w:rFonts w:ascii="Times New Roman" w:eastAsia="Arial Unicode MS" w:hAnsi="Times New Roman" w:cs="Times New Roman"/>
                <w:color w:val="auto"/>
                <w:sz w:val="20"/>
              </w:rPr>
              <w:t>0</w:t>
            </w:r>
            <w:r>
              <w:rPr>
                <w:rFonts w:ascii="Times New Roman" w:eastAsia="Arial Unicode MS" w:hAnsi="Times New Roman" w:cs="Times New Roman"/>
                <w:color w:val="auto"/>
                <w:sz w:val="20"/>
              </w:rPr>
              <w:t>,</w:t>
            </w:r>
            <w:r w:rsidRPr="00E776C9">
              <w:rPr>
                <w:rFonts w:ascii="Times New Roman" w:eastAsia="Arial Unicode MS" w:hAnsi="Times New Roman" w:cs="Times New Roman"/>
                <w:color w:val="auto"/>
                <w:sz w:val="20"/>
              </w:rPr>
              <w:t>3</w:t>
            </w:r>
          </w:p>
        </w:tc>
        <w:tc>
          <w:tcPr>
            <w:tcW w:w="787" w:type="dxa"/>
            <w:vAlign w:val="center"/>
          </w:tcPr>
          <w:p w:rsidR="004C5D83" w:rsidRPr="004C5D83" w:rsidRDefault="004C5D83" w:rsidP="004C5D8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0"/>
              </w:rPr>
            </w:pPr>
            <w:r w:rsidRPr="00E776C9">
              <w:rPr>
                <w:rFonts w:ascii="Times New Roman" w:eastAsia="Arial Unicode MS" w:hAnsi="Times New Roman" w:cs="Times New Roman"/>
                <w:color w:val="auto"/>
                <w:sz w:val="20"/>
              </w:rPr>
              <w:t>0</w:t>
            </w:r>
            <w:r>
              <w:rPr>
                <w:rFonts w:ascii="Times New Roman" w:eastAsia="Arial Unicode MS" w:hAnsi="Times New Roman" w:cs="Times New Roman"/>
                <w:color w:val="auto"/>
                <w:sz w:val="20"/>
              </w:rPr>
              <w:t>,</w:t>
            </w:r>
            <w:r w:rsidRPr="00E776C9">
              <w:rPr>
                <w:rFonts w:ascii="Times New Roman" w:eastAsia="Arial Unicode MS" w:hAnsi="Times New Roman" w:cs="Times New Roman"/>
                <w:color w:val="auto"/>
                <w:sz w:val="20"/>
              </w:rPr>
              <w:t>0</w:t>
            </w:r>
          </w:p>
        </w:tc>
        <w:tc>
          <w:tcPr>
            <w:tcW w:w="787" w:type="dxa"/>
            <w:vAlign w:val="center"/>
          </w:tcPr>
          <w:p w:rsidR="004C5D83" w:rsidRPr="004C5D83" w:rsidRDefault="004C5D83" w:rsidP="004C5D8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0"/>
              </w:rPr>
            </w:pPr>
            <w:r w:rsidRPr="00E776C9">
              <w:rPr>
                <w:rFonts w:ascii="Times New Roman" w:eastAsia="Arial Unicode MS" w:hAnsi="Times New Roman" w:cs="Times New Roman"/>
                <w:color w:val="auto"/>
                <w:sz w:val="20"/>
              </w:rPr>
              <w:t>0</w:t>
            </w:r>
            <w:r>
              <w:rPr>
                <w:rFonts w:ascii="Times New Roman" w:eastAsia="Arial Unicode MS" w:hAnsi="Times New Roman" w:cs="Times New Roman"/>
                <w:color w:val="auto"/>
                <w:sz w:val="20"/>
              </w:rPr>
              <w:t>,</w:t>
            </w:r>
            <w:r w:rsidRPr="00E776C9">
              <w:rPr>
                <w:rFonts w:ascii="Times New Roman" w:eastAsia="Arial Unicode MS" w:hAnsi="Times New Roman" w:cs="Times New Roman"/>
                <w:color w:val="auto"/>
                <w:sz w:val="20"/>
              </w:rPr>
              <w:t>0</w:t>
            </w:r>
          </w:p>
        </w:tc>
        <w:tc>
          <w:tcPr>
            <w:tcW w:w="787" w:type="dxa"/>
            <w:vAlign w:val="center"/>
          </w:tcPr>
          <w:p w:rsidR="004C5D83" w:rsidRPr="004C5D83" w:rsidRDefault="004C5D83" w:rsidP="004C5D8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0"/>
              </w:rPr>
            </w:pPr>
            <w:r w:rsidRPr="00E776C9">
              <w:rPr>
                <w:rFonts w:ascii="Times New Roman" w:eastAsia="Arial Unicode MS" w:hAnsi="Times New Roman" w:cs="Times New Roman"/>
                <w:color w:val="auto"/>
                <w:sz w:val="20"/>
              </w:rPr>
              <w:t>-0</w:t>
            </w:r>
            <w:r>
              <w:rPr>
                <w:rFonts w:ascii="Times New Roman" w:eastAsia="Arial Unicode MS" w:hAnsi="Times New Roman" w:cs="Times New Roman"/>
                <w:color w:val="auto"/>
                <w:sz w:val="20"/>
              </w:rPr>
              <w:t>,</w:t>
            </w:r>
            <w:r w:rsidRPr="00E776C9">
              <w:rPr>
                <w:rFonts w:ascii="Times New Roman" w:eastAsia="Arial Unicode MS" w:hAnsi="Times New Roman" w:cs="Times New Roman"/>
                <w:color w:val="auto"/>
                <w:sz w:val="20"/>
              </w:rPr>
              <w:t>3</w:t>
            </w:r>
          </w:p>
        </w:tc>
      </w:tr>
      <w:tr w:rsidR="004C5D83" w:rsidRPr="004C5D83" w:rsidTr="00135E60">
        <w:trPr>
          <w:trHeight w:val="252"/>
          <w:jc w:val="center"/>
        </w:trPr>
        <w:tc>
          <w:tcPr>
            <w:cnfStyle w:val="001000000000" w:firstRow="0" w:lastRow="0" w:firstColumn="1" w:lastColumn="0" w:oddVBand="0" w:evenVBand="0" w:oddHBand="0" w:evenHBand="0" w:firstRowFirstColumn="0" w:firstRowLastColumn="0" w:lastRowFirstColumn="0" w:lastRowLastColumn="0"/>
            <w:tcW w:w="4649" w:type="dxa"/>
            <w:hideMark/>
          </w:tcPr>
          <w:p w:rsidR="004C5D83" w:rsidRPr="004C5D83" w:rsidRDefault="004C5D83" w:rsidP="004C5D83">
            <w:pPr>
              <w:spacing w:after="0" w:line="240" w:lineRule="auto"/>
              <w:rPr>
                <w:rFonts w:ascii="Times New Roman" w:eastAsia="Calibri" w:hAnsi="Times New Roman" w:cs="Times New Roman"/>
                <w:b w:val="0"/>
                <w:color w:val="000000"/>
                <w:sz w:val="20"/>
                <w:szCs w:val="20"/>
              </w:rPr>
            </w:pPr>
            <w:r w:rsidRPr="004C5D83">
              <w:rPr>
                <w:rFonts w:ascii="Times New Roman" w:eastAsia="Calibri" w:hAnsi="Times New Roman" w:cs="Times New Roman"/>
                <w:b w:val="0"/>
                <w:snapToGrid w:val="0"/>
                <w:color w:val="000000"/>
                <w:sz w:val="20"/>
                <w:szCs w:val="20"/>
              </w:rPr>
              <w:t>- Kapitāla konts</w:t>
            </w:r>
          </w:p>
        </w:tc>
        <w:tc>
          <w:tcPr>
            <w:tcW w:w="960" w:type="dxa"/>
            <w:vAlign w:val="center"/>
            <w:hideMark/>
          </w:tcPr>
          <w:p w:rsidR="004C5D83" w:rsidRPr="004C5D83" w:rsidRDefault="004C5D83" w:rsidP="004C5D8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p>
        </w:tc>
        <w:tc>
          <w:tcPr>
            <w:tcW w:w="786" w:type="dxa"/>
            <w:vAlign w:val="center"/>
          </w:tcPr>
          <w:p w:rsidR="004C5D83" w:rsidRPr="004C5D83" w:rsidRDefault="004C5D83" w:rsidP="004C5D8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0"/>
              </w:rPr>
            </w:pPr>
            <w:r w:rsidRPr="00DE2E58">
              <w:rPr>
                <w:rFonts w:ascii="Times New Roman" w:eastAsia="Arial Unicode MS" w:hAnsi="Times New Roman" w:cs="Times New Roman"/>
                <w:color w:val="auto"/>
                <w:sz w:val="20"/>
              </w:rPr>
              <w:t>1,7</w:t>
            </w:r>
          </w:p>
        </w:tc>
        <w:tc>
          <w:tcPr>
            <w:tcW w:w="787" w:type="dxa"/>
            <w:vAlign w:val="center"/>
          </w:tcPr>
          <w:p w:rsidR="004C5D83" w:rsidRPr="004C5D83" w:rsidRDefault="004C5D83" w:rsidP="004C5D8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0"/>
              </w:rPr>
            </w:pPr>
            <w:r w:rsidRPr="00E776C9">
              <w:rPr>
                <w:rFonts w:ascii="Times New Roman" w:eastAsia="Arial Unicode MS" w:hAnsi="Times New Roman" w:cs="Times New Roman"/>
                <w:color w:val="auto"/>
                <w:sz w:val="20"/>
              </w:rPr>
              <w:t>1</w:t>
            </w:r>
            <w:r>
              <w:rPr>
                <w:rFonts w:ascii="Times New Roman" w:eastAsia="Arial Unicode MS" w:hAnsi="Times New Roman" w:cs="Times New Roman"/>
                <w:color w:val="auto"/>
                <w:sz w:val="20"/>
              </w:rPr>
              <w:t>,</w:t>
            </w:r>
            <w:r w:rsidRPr="00E776C9">
              <w:rPr>
                <w:rFonts w:ascii="Times New Roman" w:eastAsia="Arial Unicode MS" w:hAnsi="Times New Roman" w:cs="Times New Roman"/>
                <w:color w:val="auto"/>
                <w:sz w:val="20"/>
              </w:rPr>
              <w:t>6</w:t>
            </w:r>
          </w:p>
        </w:tc>
        <w:tc>
          <w:tcPr>
            <w:tcW w:w="787" w:type="dxa"/>
            <w:vAlign w:val="center"/>
          </w:tcPr>
          <w:p w:rsidR="004C5D83" w:rsidRPr="004C5D83" w:rsidRDefault="004C5D83" w:rsidP="004C5D8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0"/>
              </w:rPr>
            </w:pPr>
            <w:r w:rsidRPr="00E776C9">
              <w:rPr>
                <w:rFonts w:ascii="Times New Roman" w:eastAsia="Arial Unicode MS" w:hAnsi="Times New Roman" w:cs="Times New Roman"/>
                <w:color w:val="auto"/>
                <w:sz w:val="20"/>
              </w:rPr>
              <w:t>1</w:t>
            </w:r>
            <w:r>
              <w:rPr>
                <w:rFonts w:ascii="Times New Roman" w:eastAsia="Arial Unicode MS" w:hAnsi="Times New Roman" w:cs="Times New Roman"/>
                <w:color w:val="auto"/>
                <w:sz w:val="20"/>
              </w:rPr>
              <w:t>,</w:t>
            </w:r>
            <w:r w:rsidRPr="00E776C9">
              <w:rPr>
                <w:rFonts w:ascii="Times New Roman" w:eastAsia="Arial Unicode MS" w:hAnsi="Times New Roman" w:cs="Times New Roman"/>
                <w:color w:val="auto"/>
                <w:sz w:val="20"/>
              </w:rPr>
              <w:t>6</w:t>
            </w:r>
          </w:p>
        </w:tc>
        <w:tc>
          <w:tcPr>
            <w:tcW w:w="787" w:type="dxa"/>
            <w:vAlign w:val="center"/>
          </w:tcPr>
          <w:p w:rsidR="004C5D83" w:rsidRPr="004C5D83" w:rsidRDefault="004C5D83" w:rsidP="004C5D8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0"/>
              </w:rPr>
            </w:pPr>
            <w:r w:rsidRPr="00E776C9">
              <w:rPr>
                <w:rFonts w:ascii="Times New Roman" w:eastAsia="Arial Unicode MS" w:hAnsi="Times New Roman" w:cs="Times New Roman"/>
                <w:color w:val="auto"/>
                <w:sz w:val="20"/>
              </w:rPr>
              <w:t>1</w:t>
            </w:r>
            <w:r>
              <w:rPr>
                <w:rFonts w:ascii="Times New Roman" w:eastAsia="Arial Unicode MS" w:hAnsi="Times New Roman" w:cs="Times New Roman"/>
                <w:color w:val="auto"/>
                <w:sz w:val="20"/>
              </w:rPr>
              <w:t>,</w:t>
            </w:r>
            <w:r w:rsidRPr="00E776C9">
              <w:rPr>
                <w:rFonts w:ascii="Times New Roman" w:eastAsia="Arial Unicode MS" w:hAnsi="Times New Roman" w:cs="Times New Roman"/>
                <w:color w:val="auto"/>
                <w:sz w:val="20"/>
              </w:rPr>
              <w:t>7</w:t>
            </w:r>
          </w:p>
        </w:tc>
        <w:tc>
          <w:tcPr>
            <w:tcW w:w="787" w:type="dxa"/>
            <w:vAlign w:val="center"/>
          </w:tcPr>
          <w:p w:rsidR="004C5D83" w:rsidRPr="004C5D83" w:rsidRDefault="004C5D83" w:rsidP="004C5D8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0"/>
              </w:rPr>
            </w:pPr>
            <w:r w:rsidRPr="00E776C9">
              <w:rPr>
                <w:rFonts w:ascii="Times New Roman" w:eastAsia="Arial Unicode MS" w:hAnsi="Times New Roman" w:cs="Times New Roman"/>
                <w:color w:val="auto"/>
                <w:sz w:val="20"/>
              </w:rPr>
              <w:t>1</w:t>
            </w:r>
            <w:r>
              <w:rPr>
                <w:rFonts w:ascii="Times New Roman" w:eastAsia="Arial Unicode MS" w:hAnsi="Times New Roman" w:cs="Times New Roman"/>
                <w:color w:val="auto"/>
                <w:sz w:val="20"/>
              </w:rPr>
              <w:t>,</w:t>
            </w:r>
            <w:r w:rsidRPr="00E776C9">
              <w:rPr>
                <w:rFonts w:ascii="Times New Roman" w:eastAsia="Arial Unicode MS" w:hAnsi="Times New Roman" w:cs="Times New Roman"/>
                <w:color w:val="auto"/>
                <w:sz w:val="20"/>
              </w:rPr>
              <w:t>6</w:t>
            </w:r>
          </w:p>
        </w:tc>
      </w:tr>
      <w:tr w:rsidR="00786A6A" w:rsidRPr="004C5D83" w:rsidTr="004C5D83">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4649" w:type="dxa"/>
            <w:hideMark/>
          </w:tcPr>
          <w:p w:rsidR="00786A6A" w:rsidRPr="004C5D83" w:rsidRDefault="00786A6A" w:rsidP="00786A6A">
            <w:pPr>
              <w:spacing w:after="0" w:line="240" w:lineRule="auto"/>
              <w:rPr>
                <w:rFonts w:ascii="Times New Roman" w:eastAsia="Calibri" w:hAnsi="Times New Roman" w:cs="Times New Roman"/>
                <w:b w:val="0"/>
                <w:color w:val="000000"/>
                <w:sz w:val="20"/>
                <w:szCs w:val="20"/>
              </w:rPr>
            </w:pPr>
            <w:r w:rsidRPr="004C5D83">
              <w:rPr>
                <w:rFonts w:ascii="Times New Roman" w:eastAsia="Calibri" w:hAnsi="Times New Roman" w:cs="Times New Roman"/>
                <w:b w:val="0"/>
                <w:snapToGrid w:val="0"/>
                <w:color w:val="000000"/>
                <w:sz w:val="20"/>
                <w:szCs w:val="20"/>
              </w:rPr>
              <w:t>2. Neto aizdevumi/ aizņemšanās privātajā sektorā</w:t>
            </w:r>
          </w:p>
        </w:tc>
        <w:tc>
          <w:tcPr>
            <w:tcW w:w="960" w:type="dxa"/>
            <w:vAlign w:val="center"/>
            <w:hideMark/>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4C5D83">
              <w:rPr>
                <w:rFonts w:ascii="Times New Roman" w:eastAsia="Calibri" w:hAnsi="Times New Roman" w:cs="Times New Roman"/>
                <w:snapToGrid w:val="0"/>
                <w:color w:val="000000"/>
                <w:sz w:val="20"/>
                <w:szCs w:val="20"/>
              </w:rPr>
              <w:t>B.9</w:t>
            </w:r>
          </w:p>
        </w:tc>
        <w:tc>
          <w:tcPr>
            <w:tcW w:w="786" w:type="dxa"/>
            <w:vAlign w:val="center"/>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0"/>
              </w:rPr>
            </w:pPr>
            <w:r>
              <w:rPr>
                <w:rFonts w:ascii="Times New Roman" w:eastAsia="Arial Unicode MS" w:hAnsi="Times New Roman" w:cs="Times New Roman"/>
                <w:color w:val="auto"/>
                <w:sz w:val="20"/>
              </w:rPr>
              <w:t>1,1</w:t>
            </w:r>
          </w:p>
        </w:tc>
        <w:tc>
          <w:tcPr>
            <w:tcW w:w="787" w:type="dxa"/>
            <w:vAlign w:val="center"/>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0"/>
              </w:rPr>
            </w:pPr>
            <w:r w:rsidRPr="006D1A8A">
              <w:rPr>
                <w:rFonts w:ascii="Times New Roman" w:eastAsia="Arial Unicode MS" w:hAnsi="Times New Roman" w:cs="Times New Roman"/>
                <w:color w:val="auto"/>
                <w:sz w:val="20"/>
              </w:rPr>
              <w:t>-0,2</w:t>
            </w:r>
          </w:p>
        </w:tc>
        <w:tc>
          <w:tcPr>
            <w:tcW w:w="787" w:type="dxa"/>
            <w:vAlign w:val="center"/>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0"/>
              </w:rPr>
            </w:pPr>
            <w:r w:rsidRPr="006D1A8A">
              <w:rPr>
                <w:rFonts w:ascii="Times New Roman" w:eastAsia="Arial Unicode MS" w:hAnsi="Times New Roman" w:cs="Times New Roman"/>
                <w:color w:val="auto"/>
                <w:sz w:val="20"/>
              </w:rPr>
              <w:t>-1,2</w:t>
            </w:r>
          </w:p>
        </w:tc>
        <w:tc>
          <w:tcPr>
            <w:tcW w:w="787" w:type="dxa"/>
            <w:vAlign w:val="center"/>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0"/>
              </w:rPr>
            </w:pPr>
            <w:r w:rsidRPr="006D1A8A">
              <w:rPr>
                <w:rFonts w:ascii="Times New Roman" w:eastAsia="Arial Unicode MS" w:hAnsi="Times New Roman" w:cs="Times New Roman"/>
                <w:color w:val="auto"/>
                <w:sz w:val="20"/>
              </w:rPr>
              <w:t>-1,</w:t>
            </w:r>
            <w:r>
              <w:rPr>
                <w:rFonts w:ascii="Times New Roman" w:eastAsia="Arial Unicode MS" w:hAnsi="Times New Roman" w:cs="Times New Roman"/>
                <w:color w:val="auto"/>
                <w:sz w:val="20"/>
              </w:rPr>
              <w:t>9</w:t>
            </w:r>
          </w:p>
        </w:tc>
        <w:tc>
          <w:tcPr>
            <w:tcW w:w="787" w:type="dxa"/>
            <w:vAlign w:val="center"/>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0"/>
              </w:rPr>
            </w:pPr>
            <w:r w:rsidRPr="006D1A8A">
              <w:rPr>
                <w:rFonts w:ascii="Times New Roman" w:eastAsia="Arial Unicode MS" w:hAnsi="Times New Roman" w:cs="Times New Roman"/>
                <w:color w:val="auto"/>
                <w:sz w:val="20"/>
              </w:rPr>
              <w:t>-2,</w:t>
            </w:r>
            <w:r>
              <w:rPr>
                <w:rFonts w:ascii="Times New Roman" w:eastAsia="Arial Unicode MS" w:hAnsi="Times New Roman" w:cs="Times New Roman"/>
                <w:color w:val="auto"/>
                <w:sz w:val="20"/>
              </w:rPr>
              <w:t>8</w:t>
            </w:r>
          </w:p>
        </w:tc>
      </w:tr>
      <w:tr w:rsidR="00786A6A" w:rsidRPr="004C5D83" w:rsidTr="00135E60">
        <w:trPr>
          <w:trHeight w:val="272"/>
          <w:jc w:val="center"/>
        </w:trPr>
        <w:tc>
          <w:tcPr>
            <w:cnfStyle w:val="001000000000" w:firstRow="0" w:lastRow="0" w:firstColumn="1" w:lastColumn="0" w:oddVBand="0" w:evenVBand="0" w:oddHBand="0" w:evenHBand="0" w:firstRowFirstColumn="0" w:firstRowLastColumn="0" w:lastRowFirstColumn="0" w:lastRowLastColumn="0"/>
            <w:tcW w:w="4649" w:type="dxa"/>
            <w:hideMark/>
          </w:tcPr>
          <w:p w:rsidR="00786A6A" w:rsidRPr="004C5D83" w:rsidRDefault="00786A6A" w:rsidP="00786A6A">
            <w:pPr>
              <w:spacing w:after="0" w:line="240" w:lineRule="auto"/>
              <w:rPr>
                <w:rFonts w:ascii="Times New Roman" w:eastAsia="Calibri" w:hAnsi="Times New Roman" w:cs="Times New Roman"/>
                <w:b w:val="0"/>
                <w:color w:val="000000"/>
                <w:sz w:val="20"/>
                <w:szCs w:val="20"/>
              </w:rPr>
            </w:pPr>
            <w:r w:rsidRPr="004C5D83">
              <w:rPr>
                <w:rFonts w:ascii="Times New Roman" w:eastAsia="Calibri" w:hAnsi="Times New Roman" w:cs="Times New Roman"/>
                <w:b w:val="0"/>
                <w:snapToGrid w:val="0"/>
                <w:color w:val="000000"/>
                <w:sz w:val="20"/>
                <w:szCs w:val="20"/>
              </w:rPr>
              <w:t>3. Neto aizdevumi/ aizņemšanās vispārējās valdības sektorā</w:t>
            </w:r>
          </w:p>
        </w:tc>
        <w:tc>
          <w:tcPr>
            <w:tcW w:w="960" w:type="dxa"/>
            <w:vAlign w:val="center"/>
            <w:hideMark/>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4C5D83">
              <w:rPr>
                <w:rFonts w:ascii="Times New Roman" w:eastAsia="Calibri" w:hAnsi="Times New Roman" w:cs="Times New Roman"/>
                <w:snapToGrid w:val="0"/>
                <w:color w:val="000000"/>
                <w:sz w:val="20"/>
                <w:szCs w:val="20"/>
              </w:rPr>
              <w:t>EDP B.9</w:t>
            </w:r>
          </w:p>
        </w:tc>
        <w:tc>
          <w:tcPr>
            <w:tcW w:w="786" w:type="dxa"/>
            <w:vAlign w:val="center"/>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0"/>
              </w:rPr>
            </w:pPr>
            <w:r w:rsidRPr="00A76506">
              <w:rPr>
                <w:rFonts w:ascii="Times New Roman" w:eastAsia="Arial Unicode MS" w:hAnsi="Times New Roman" w:cs="Times New Roman"/>
                <w:color w:val="auto"/>
                <w:sz w:val="20"/>
              </w:rPr>
              <w:t>-</w:t>
            </w:r>
            <w:r>
              <w:rPr>
                <w:rFonts w:ascii="Times New Roman" w:eastAsia="Arial Unicode MS" w:hAnsi="Times New Roman" w:cs="Times New Roman"/>
                <w:color w:val="auto"/>
                <w:sz w:val="20"/>
              </w:rPr>
              <w:t>1,0</w:t>
            </w:r>
          </w:p>
        </w:tc>
        <w:tc>
          <w:tcPr>
            <w:tcW w:w="787" w:type="dxa"/>
            <w:vAlign w:val="center"/>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0"/>
              </w:rPr>
            </w:pPr>
            <w:r w:rsidRPr="006D1A8A">
              <w:rPr>
                <w:rFonts w:ascii="Times New Roman" w:eastAsia="Arial Unicode MS" w:hAnsi="Times New Roman" w:cs="Times New Roman"/>
                <w:color w:val="auto"/>
                <w:sz w:val="20"/>
              </w:rPr>
              <w:t>-0,5</w:t>
            </w:r>
          </w:p>
        </w:tc>
        <w:tc>
          <w:tcPr>
            <w:tcW w:w="787" w:type="dxa"/>
            <w:vAlign w:val="center"/>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rPr>
            </w:pPr>
            <w:r w:rsidRPr="006D1A8A">
              <w:rPr>
                <w:rFonts w:ascii="Times New Roman" w:hAnsi="Times New Roman"/>
                <w:color w:val="auto"/>
                <w:sz w:val="20"/>
              </w:rPr>
              <w:t>-0,</w:t>
            </w:r>
            <w:r>
              <w:rPr>
                <w:rFonts w:ascii="Times New Roman" w:hAnsi="Times New Roman"/>
                <w:color w:val="auto"/>
                <w:sz w:val="20"/>
              </w:rPr>
              <w:t>4</w:t>
            </w:r>
          </w:p>
        </w:tc>
        <w:tc>
          <w:tcPr>
            <w:tcW w:w="787" w:type="dxa"/>
            <w:vAlign w:val="center"/>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rPr>
            </w:pPr>
            <w:r w:rsidRPr="006D1A8A">
              <w:rPr>
                <w:rFonts w:ascii="Times New Roman" w:hAnsi="Times New Roman"/>
                <w:color w:val="auto"/>
                <w:sz w:val="20"/>
              </w:rPr>
              <w:t>-0,</w:t>
            </w:r>
            <w:r>
              <w:rPr>
                <w:rFonts w:ascii="Times New Roman" w:hAnsi="Times New Roman"/>
                <w:color w:val="auto"/>
                <w:sz w:val="20"/>
              </w:rPr>
              <w:t>2</w:t>
            </w:r>
          </w:p>
        </w:tc>
        <w:tc>
          <w:tcPr>
            <w:tcW w:w="787" w:type="dxa"/>
            <w:vAlign w:val="center"/>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rPr>
            </w:pPr>
            <w:r w:rsidRPr="006D1A8A">
              <w:rPr>
                <w:rFonts w:ascii="Times New Roman" w:hAnsi="Times New Roman"/>
                <w:color w:val="auto"/>
                <w:sz w:val="20"/>
              </w:rPr>
              <w:t>-0,</w:t>
            </w:r>
            <w:r>
              <w:rPr>
                <w:rFonts w:ascii="Times New Roman" w:hAnsi="Times New Roman"/>
                <w:color w:val="auto"/>
                <w:sz w:val="20"/>
              </w:rPr>
              <w:t>3</w:t>
            </w:r>
          </w:p>
        </w:tc>
      </w:tr>
      <w:tr w:rsidR="004C5D83" w:rsidRPr="004C5D83" w:rsidTr="004C5D83">
        <w:trPr>
          <w:cnfStyle w:val="000000100000" w:firstRow="0" w:lastRow="0" w:firstColumn="0" w:lastColumn="0" w:oddVBand="0" w:evenVBand="0" w:oddHBand="1" w:evenHBand="0" w:firstRowFirstColumn="0" w:firstRowLastColumn="0" w:lastRowFirstColumn="0" w:lastRowLastColumn="0"/>
          <w:trHeight w:val="209"/>
          <w:jc w:val="center"/>
        </w:trPr>
        <w:tc>
          <w:tcPr>
            <w:cnfStyle w:val="001000000000" w:firstRow="0" w:lastRow="0" w:firstColumn="1" w:lastColumn="0" w:oddVBand="0" w:evenVBand="0" w:oddHBand="0" w:evenHBand="0" w:firstRowFirstColumn="0" w:firstRowLastColumn="0" w:lastRowFirstColumn="0" w:lastRowLastColumn="0"/>
            <w:tcW w:w="4649" w:type="dxa"/>
            <w:hideMark/>
          </w:tcPr>
          <w:p w:rsidR="004C5D83" w:rsidRPr="004C5D83" w:rsidRDefault="004C5D83" w:rsidP="004C5D83">
            <w:pPr>
              <w:spacing w:after="0" w:line="240" w:lineRule="auto"/>
              <w:rPr>
                <w:rFonts w:ascii="Times New Roman" w:eastAsia="Calibri" w:hAnsi="Times New Roman" w:cs="Times New Roman"/>
                <w:b w:val="0"/>
                <w:color w:val="000000"/>
                <w:sz w:val="20"/>
                <w:szCs w:val="20"/>
              </w:rPr>
            </w:pPr>
            <w:r w:rsidRPr="004C5D83">
              <w:rPr>
                <w:rFonts w:ascii="Times New Roman" w:eastAsia="Calibri" w:hAnsi="Times New Roman" w:cs="Times New Roman"/>
                <w:b w:val="0"/>
                <w:snapToGrid w:val="0"/>
                <w:color w:val="000000"/>
                <w:sz w:val="20"/>
                <w:szCs w:val="20"/>
              </w:rPr>
              <w:t>4. Statistiskā novirze</w:t>
            </w:r>
          </w:p>
        </w:tc>
        <w:tc>
          <w:tcPr>
            <w:tcW w:w="960" w:type="dxa"/>
            <w:vAlign w:val="center"/>
            <w:hideMark/>
          </w:tcPr>
          <w:p w:rsidR="004C5D83" w:rsidRPr="004C5D83" w:rsidRDefault="004C5D83" w:rsidP="004C5D8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p>
        </w:tc>
        <w:tc>
          <w:tcPr>
            <w:tcW w:w="786" w:type="dxa"/>
            <w:vAlign w:val="center"/>
          </w:tcPr>
          <w:p w:rsidR="004C5D83" w:rsidRPr="004C5D83" w:rsidRDefault="004C5D83" w:rsidP="004C5D8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i/>
                <w:color w:val="auto"/>
                <w:sz w:val="20"/>
              </w:rPr>
            </w:pPr>
            <w:r w:rsidRPr="00DE2E58">
              <w:rPr>
                <w:rFonts w:ascii="Times New Roman" w:eastAsia="Arial Unicode MS" w:hAnsi="Times New Roman" w:cs="Times New Roman"/>
                <w:color w:val="auto"/>
                <w:sz w:val="20"/>
              </w:rPr>
              <w:t>0</w:t>
            </w:r>
          </w:p>
        </w:tc>
        <w:tc>
          <w:tcPr>
            <w:tcW w:w="787" w:type="dxa"/>
            <w:vAlign w:val="center"/>
          </w:tcPr>
          <w:p w:rsidR="004C5D83" w:rsidRPr="004C5D83" w:rsidRDefault="004C5D83" w:rsidP="004C5D8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i/>
                <w:color w:val="auto"/>
                <w:sz w:val="20"/>
              </w:rPr>
            </w:pPr>
            <w:r w:rsidRPr="00E776C9">
              <w:rPr>
                <w:rFonts w:ascii="Times New Roman" w:eastAsia="Arial Unicode MS" w:hAnsi="Times New Roman" w:cs="Times New Roman"/>
                <w:i/>
                <w:color w:val="auto"/>
                <w:sz w:val="20"/>
              </w:rPr>
              <w:t>0</w:t>
            </w:r>
          </w:p>
        </w:tc>
        <w:tc>
          <w:tcPr>
            <w:tcW w:w="787" w:type="dxa"/>
            <w:vAlign w:val="center"/>
          </w:tcPr>
          <w:p w:rsidR="004C5D83" w:rsidRPr="004C5D83" w:rsidRDefault="004C5D83" w:rsidP="004C5D8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auto"/>
                <w:sz w:val="20"/>
              </w:rPr>
            </w:pPr>
            <w:r w:rsidRPr="00DB1AEB">
              <w:rPr>
                <w:rFonts w:ascii="Times New Roman" w:hAnsi="Times New Roman"/>
                <w:i/>
                <w:color w:val="auto"/>
                <w:sz w:val="20"/>
              </w:rPr>
              <w:t>0</w:t>
            </w:r>
          </w:p>
        </w:tc>
        <w:tc>
          <w:tcPr>
            <w:tcW w:w="787" w:type="dxa"/>
            <w:vAlign w:val="center"/>
          </w:tcPr>
          <w:p w:rsidR="004C5D83" w:rsidRPr="004C5D83" w:rsidRDefault="004C5D83" w:rsidP="004C5D8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auto"/>
                <w:sz w:val="20"/>
              </w:rPr>
            </w:pPr>
            <w:r w:rsidRPr="00DB1AEB">
              <w:rPr>
                <w:rFonts w:ascii="Times New Roman" w:hAnsi="Times New Roman"/>
                <w:i/>
                <w:color w:val="auto"/>
                <w:sz w:val="20"/>
              </w:rPr>
              <w:t>0</w:t>
            </w:r>
          </w:p>
        </w:tc>
        <w:tc>
          <w:tcPr>
            <w:tcW w:w="787" w:type="dxa"/>
            <w:vAlign w:val="center"/>
          </w:tcPr>
          <w:p w:rsidR="004C5D83" w:rsidRPr="004C5D83" w:rsidRDefault="004C5D83" w:rsidP="004C5D8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auto"/>
                <w:sz w:val="20"/>
              </w:rPr>
            </w:pPr>
            <w:r w:rsidRPr="00DB1AEB">
              <w:rPr>
                <w:rFonts w:ascii="Times New Roman" w:hAnsi="Times New Roman"/>
                <w:i/>
                <w:color w:val="auto"/>
                <w:sz w:val="20"/>
              </w:rPr>
              <w:t>0</w:t>
            </w:r>
          </w:p>
        </w:tc>
      </w:tr>
    </w:tbl>
    <w:p w:rsidR="004C5D83" w:rsidRDefault="004C5D83" w:rsidP="0053105F">
      <w:pPr>
        <w:spacing w:after="0"/>
        <w:rPr>
          <w:rFonts w:ascii="Times New Roman" w:hAnsi="Times New Roman" w:cs="Times New Roman"/>
          <w:b/>
          <w:color w:val="000000"/>
          <w:sz w:val="24"/>
          <w:szCs w:val="24"/>
        </w:rPr>
      </w:pPr>
    </w:p>
    <w:p w:rsidR="00DA2B04" w:rsidRDefault="00DA2B04" w:rsidP="0053105F">
      <w:pPr>
        <w:spacing w:after="0"/>
        <w:rPr>
          <w:rFonts w:ascii="Times New Roman" w:hAnsi="Times New Roman" w:cs="Times New Roman"/>
          <w:b/>
          <w:color w:val="000000"/>
          <w:sz w:val="24"/>
          <w:szCs w:val="24"/>
        </w:rPr>
      </w:pPr>
    </w:p>
    <w:p w:rsidR="0053105F" w:rsidRDefault="0053105F" w:rsidP="0053105F">
      <w:pPr>
        <w:spacing w:after="0"/>
        <w:rPr>
          <w:rFonts w:ascii="Times New Roman" w:hAnsi="Times New Roman" w:cs="Times New Roman"/>
          <w:b/>
          <w:color w:val="000000"/>
          <w:sz w:val="24"/>
          <w:szCs w:val="24"/>
        </w:rPr>
      </w:pPr>
      <w:r w:rsidRPr="00362E0A">
        <w:rPr>
          <w:rFonts w:ascii="Times New Roman" w:hAnsi="Times New Roman" w:cs="Times New Roman"/>
          <w:b/>
          <w:color w:val="000000"/>
          <w:sz w:val="24"/>
          <w:szCs w:val="24"/>
        </w:rPr>
        <w:t xml:space="preserve">2a.tabula. Vispārējās valdības budžeta attīstība </w:t>
      </w:r>
    </w:p>
    <w:tbl>
      <w:tblPr>
        <w:tblStyle w:val="GridTable6Colorful-Accent113"/>
        <w:tblW w:w="9645" w:type="dxa"/>
        <w:jc w:val="center"/>
        <w:tblLayout w:type="fixed"/>
        <w:tblLook w:val="04A0" w:firstRow="1" w:lastRow="0" w:firstColumn="1" w:lastColumn="0" w:noHBand="0" w:noVBand="1"/>
      </w:tblPr>
      <w:tblGrid>
        <w:gridCol w:w="3681"/>
        <w:gridCol w:w="1134"/>
        <w:gridCol w:w="1134"/>
        <w:gridCol w:w="861"/>
        <w:gridCol w:w="708"/>
        <w:gridCol w:w="709"/>
        <w:gridCol w:w="709"/>
        <w:gridCol w:w="709"/>
      </w:tblGrid>
      <w:tr w:rsidR="004C5D83" w:rsidRPr="004C5D83" w:rsidTr="00135E60">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1" w:type="dxa"/>
            <w:hideMark/>
          </w:tcPr>
          <w:p w:rsidR="004C5D83" w:rsidRPr="004C5D83" w:rsidRDefault="004C5D83" w:rsidP="004C5D83">
            <w:pPr>
              <w:spacing w:after="0" w:line="240" w:lineRule="auto"/>
              <w:rPr>
                <w:rFonts w:ascii="Times New Roman" w:eastAsia="Times New Roman" w:hAnsi="Times New Roman" w:cs="Times New Roman"/>
                <w:b w:val="0"/>
                <w:color w:val="000000" w:themeColor="text1"/>
                <w:sz w:val="20"/>
                <w:szCs w:val="20"/>
                <w:lang w:eastAsia="lv-LV"/>
              </w:rPr>
            </w:pPr>
          </w:p>
        </w:tc>
        <w:tc>
          <w:tcPr>
            <w:tcW w:w="1134" w:type="dxa"/>
            <w:vAlign w:val="center"/>
            <w:hideMark/>
          </w:tcPr>
          <w:p w:rsidR="004C5D83" w:rsidRPr="004C5D83" w:rsidRDefault="004C5D83" w:rsidP="004C5D8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4C5D83">
              <w:rPr>
                <w:rFonts w:ascii="Times New Roman" w:eastAsia="Times New Roman" w:hAnsi="Times New Roman" w:cs="Times New Roman"/>
                <w:color w:val="000000" w:themeColor="text1"/>
                <w:sz w:val="20"/>
                <w:szCs w:val="20"/>
                <w:lang w:eastAsia="lv-LV"/>
              </w:rPr>
              <w:t>EKS kods</w:t>
            </w:r>
          </w:p>
        </w:tc>
        <w:tc>
          <w:tcPr>
            <w:tcW w:w="1134" w:type="dxa"/>
            <w:vAlign w:val="center"/>
            <w:hideMark/>
          </w:tcPr>
          <w:p w:rsidR="004C5D83" w:rsidRPr="00786A6A" w:rsidRDefault="007D040E" w:rsidP="004C5D8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Pr>
                <w:rFonts w:ascii="Times New Roman" w:eastAsia="Times New Roman" w:hAnsi="Times New Roman" w:cs="Times New Roman"/>
                <w:color w:val="000000" w:themeColor="text1"/>
                <w:sz w:val="20"/>
                <w:szCs w:val="20"/>
                <w:lang w:eastAsia="lv-LV"/>
              </w:rPr>
              <w:t>2018</w:t>
            </w:r>
          </w:p>
        </w:tc>
        <w:tc>
          <w:tcPr>
            <w:tcW w:w="861" w:type="dxa"/>
            <w:vAlign w:val="center"/>
            <w:hideMark/>
          </w:tcPr>
          <w:p w:rsidR="004C5D83" w:rsidRPr="00786A6A" w:rsidRDefault="007D040E" w:rsidP="004C5D8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Pr>
                <w:rFonts w:ascii="Times New Roman" w:eastAsia="Times New Roman" w:hAnsi="Times New Roman" w:cs="Times New Roman"/>
                <w:color w:val="000000" w:themeColor="text1"/>
                <w:sz w:val="20"/>
                <w:szCs w:val="20"/>
                <w:lang w:eastAsia="lv-LV"/>
              </w:rPr>
              <w:t>2018</w:t>
            </w:r>
          </w:p>
        </w:tc>
        <w:tc>
          <w:tcPr>
            <w:tcW w:w="708" w:type="dxa"/>
            <w:vAlign w:val="center"/>
            <w:hideMark/>
          </w:tcPr>
          <w:p w:rsidR="004C5D83" w:rsidRPr="004C5D83" w:rsidRDefault="004C5D83" w:rsidP="004C5D8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4C5D83">
              <w:rPr>
                <w:rFonts w:ascii="Times New Roman" w:eastAsia="Times New Roman" w:hAnsi="Times New Roman" w:cs="Times New Roman"/>
                <w:color w:val="000000" w:themeColor="text1"/>
                <w:sz w:val="20"/>
                <w:szCs w:val="20"/>
                <w:lang w:eastAsia="lv-LV"/>
              </w:rPr>
              <w:t>2019</w:t>
            </w:r>
          </w:p>
        </w:tc>
        <w:tc>
          <w:tcPr>
            <w:tcW w:w="709" w:type="dxa"/>
            <w:vAlign w:val="center"/>
            <w:hideMark/>
          </w:tcPr>
          <w:p w:rsidR="004C5D83" w:rsidRPr="004C5D83" w:rsidRDefault="004C5D83" w:rsidP="004C5D8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4C5D83">
              <w:rPr>
                <w:rFonts w:ascii="Times New Roman" w:eastAsia="Times New Roman" w:hAnsi="Times New Roman" w:cs="Times New Roman"/>
                <w:color w:val="000000" w:themeColor="text1"/>
                <w:sz w:val="20"/>
                <w:szCs w:val="20"/>
                <w:lang w:eastAsia="lv-LV"/>
              </w:rPr>
              <w:t>2020</w:t>
            </w:r>
          </w:p>
        </w:tc>
        <w:tc>
          <w:tcPr>
            <w:tcW w:w="709" w:type="dxa"/>
            <w:vAlign w:val="center"/>
            <w:hideMark/>
          </w:tcPr>
          <w:p w:rsidR="004C5D83" w:rsidRPr="004C5D83" w:rsidRDefault="004C5D83" w:rsidP="004C5D8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4C5D83">
              <w:rPr>
                <w:rFonts w:ascii="Times New Roman" w:eastAsia="Times New Roman" w:hAnsi="Times New Roman" w:cs="Times New Roman"/>
                <w:color w:val="000000" w:themeColor="text1"/>
                <w:sz w:val="20"/>
                <w:szCs w:val="20"/>
                <w:lang w:eastAsia="lv-LV"/>
              </w:rPr>
              <w:t>2021</w:t>
            </w:r>
          </w:p>
        </w:tc>
        <w:tc>
          <w:tcPr>
            <w:tcW w:w="709" w:type="dxa"/>
            <w:vAlign w:val="center"/>
            <w:hideMark/>
          </w:tcPr>
          <w:p w:rsidR="004C5D83" w:rsidRPr="004C5D83" w:rsidRDefault="004C5D83" w:rsidP="004C5D8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4C5D83">
              <w:rPr>
                <w:rFonts w:ascii="Times New Roman" w:eastAsia="Times New Roman" w:hAnsi="Times New Roman" w:cs="Times New Roman"/>
                <w:color w:val="000000" w:themeColor="text1"/>
                <w:sz w:val="20"/>
                <w:szCs w:val="20"/>
                <w:lang w:eastAsia="lv-LV"/>
              </w:rPr>
              <w:t>2022</w:t>
            </w:r>
          </w:p>
        </w:tc>
      </w:tr>
      <w:tr w:rsidR="004C5D83" w:rsidRPr="004C5D83" w:rsidTr="004C5D83">
        <w:trPr>
          <w:cnfStyle w:val="000000100000" w:firstRow="0" w:lastRow="0" w:firstColumn="0" w:lastColumn="0" w:oddVBand="0" w:evenVBand="0" w:oddHBand="1" w:evenHBand="0" w:firstRowFirstColumn="0" w:firstRowLastColumn="0" w:lastRowFirstColumn="0" w:lastRowLastColumn="0"/>
          <w:trHeight w:val="236"/>
          <w:jc w:val="center"/>
        </w:trPr>
        <w:tc>
          <w:tcPr>
            <w:cnfStyle w:val="001000000000" w:firstRow="0" w:lastRow="0" w:firstColumn="1" w:lastColumn="0" w:oddVBand="0" w:evenVBand="0" w:oddHBand="0" w:evenHBand="0" w:firstRowFirstColumn="0" w:firstRowLastColumn="0" w:lastRowFirstColumn="0" w:lastRowLastColumn="0"/>
            <w:tcW w:w="3681" w:type="dxa"/>
            <w:hideMark/>
          </w:tcPr>
          <w:p w:rsidR="004C5D83" w:rsidRPr="004C5D83" w:rsidRDefault="004C5D83" w:rsidP="004C5D83">
            <w:pPr>
              <w:spacing w:after="0" w:line="240" w:lineRule="auto"/>
              <w:rPr>
                <w:rFonts w:ascii="Times New Roman" w:eastAsia="Times New Roman" w:hAnsi="Times New Roman" w:cs="Times New Roman"/>
                <w:b w:val="0"/>
                <w:color w:val="000000" w:themeColor="text1"/>
                <w:sz w:val="20"/>
                <w:szCs w:val="20"/>
                <w:lang w:eastAsia="lv-LV"/>
              </w:rPr>
            </w:pPr>
          </w:p>
        </w:tc>
        <w:tc>
          <w:tcPr>
            <w:tcW w:w="1134" w:type="dxa"/>
            <w:vAlign w:val="center"/>
            <w:hideMark/>
          </w:tcPr>
          <w:p w:rsidR="004C5D83" w:rsidRPr="004C5D83" w:rsidRDefault="004C5D83" w:rsidP="004C5D8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p>
        </w:tc>
        <w:tc>
          <w:tcPr>
            <w:tcW w:w="1134" w:type="dxa"/>
            <w:vAlign w:val="center"/>
            <w:hideMark/>
          </w:tcPr>
          <w:p w:rsidR="004C5D83" w:rsidRPr="004C5D83" w:rsidRDefault="004C5D83" w:rsidP="004C5D8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 xml:space="preserve">milj. </w:t>
            </w:r>
            <w:r w:rsidRPr="004C5D83">
              <w:rPr>
                <w:rFonts w:ascii="Times New Roman" w:eastAsia="Times New Roman" w:hAnsi="Times New Roman" w:cs="Times New Roman"/>
                <w:bCs/>
                <w:i/>
                <w:color w:val="000000" w:themeColor="text1"/>
                <w:sz w:val="20"/>
                <w:szCs w:val="20"/>
                <w:lang w:eastAsia="lv-LV"/>
              </w:rPr>
              <w:t>euro</w:t>
            </w:r>
          </w:p>
        </w:tc>
        <w:tc>
          <w:tcPr>
            <w:tcW w:w="3696" w:type="dxa"/>
            <w:gridSpan w:val="5"/>
            <w:vAlign w:val="center"/>
            <w:hideMark/>
          </w:tcPr>
          <w:p w:rsidR="004C5D83" w:rsidRPr="004C5D83" w:rsidRDefault="004C5D83" w:rsidP="004C5D8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 no IKP</w:t>
            </w:r>
          </w:p>
        </w:tc>
      </w:tr>
      <w:tr w:rsidR="004C5D83" w:rsidRPr="004C5D83" w:rsidTr="00135E60">
        <w:trPr>
          <w:trHeight w:val="225"/>
          <w:jc w:val="center"/>
        </w:trPr>
        <w:tc>
          <w:tcPr>
            <w:cnfStyle w:val="001000000000" w:firstRow="0" w:lastRow="0" w:firstColumn="1" w:lastColumn="0" w:oddVBand="0" w:evenVBand="0" w:oddHBand="0" w:evenHBand="0" w:firstRowFirstColumn="0" w:firstRowLastColumn="0" w:lastRowFirstColumn="0" w:lastRowLastColumn="0"/>
            <w:tcW w:w="9645" w:type="dxa"/>
            <w:gridSpan w:val="8"/>
            <w:vAlign w:val="center"/>
            <w:hideMark/>
          </w:tcPr>
          <w:p w:rsidR="004C5D83" w:rsidRPr="004C5D83" w:rsidRDefault="004C5D83" w:rsidP="004C5D83">
            <w:pPr>
              <w:spacing w:after="0" w:line="240" w:lineRule="auto"/>
              <w:jc w:val="center"/>
              <w:rPr>
                <w:rFonts w:ascii="Times New Roman" w:eastAsia="Times New Roman" w:hAnsi="Times New Roman" w:cs="Times New Roman"/>
                <w:b w:val="0"/>
                <w:color w:val="000000" w:themeColor="text1"/>
                <w:sz w:val="20"/>
                <w:szCs w:val="20"/>
                <w:lang w:eastAsia="lv-LV"/>
              </w:rPr>
            </w:pPr>
            <w:r w:rsidRPr="004C5D83">
              <w:rPr>
                <w:rFonts w:ascii="Times New Roman" w:eastAsia="Times New Roman" w:hAnsi="Times New Roman" w:cs="Times New Roman"/>
                <w:b w:val="0"/>
                <w:color w:val="000000" w:themeColor="text1"/>
                <w:sz w:val="20"/>
                <w:szCs w:val="20"/>
                <w:lang w:eastAsia="lv-LV"/>
              </w:rPr>
              <w:t>Neto aizdevumi (+) vai aizņēmumi (–) (B.9) pa apakš-sektoriem</w:t>
            </w:r>
          </w:p>
        </w:tc>
      </w:tr>
    </w:tbl>
    <w:tbl>
      <w:tblPr>
        <w:tblStyle w:val="GridTable6Colorful-Accent114"/>
        <w:tblW w:w="9645" w:type="dxa"/>
        <w:jc w:val="center"/>
        <w:tblLayout w:type="fixed"/>
        <w:tblLook w:val="04A0" w:firstRow="1" w:lastRow="0" w:firstColumn="1" w:lastColumn="0" w:noHBand="0" w:noVBand="1"/>
      </w:tblPr>
      <w:tblGrid>
        <w:gridCol w:w="3681"/>
        <w:gridCol w:w="1134"/>
        <w:gridCol w:w="1134"/>
        <w:gridCol w:w="861"/>
        <w:gridCol w:w="708"/>
        <w:gridCol w:w="709"/>
        <w:gridCol w:w="709"/>
        <w:gridCol w:w="709"/>
      </w:tblGrid>
      <w:tr w:rsidR="00786A6A" w:rsidRPr="004C5D83" w:rsidTr="00135E60">
        <w:trPr>
          <w:cnfStyle w:val="100000000000" w:firstRow="1" w:lastRow="0" w:firstColumn="0" w:lastColumn="0" w:oddVBand="0" w:evenVBand="0" w:oddHBand="0"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3681" w:type="dxa"/>
            <w:hideMark/>
          </w:tcPr>
          <w:p w:rsidR="00786A6A" w:rsidRPr="004C5D83" w:rsidRDefault="00786A6A" w:rsidP="00786A6A">
            <w:pPr>
              <w:spacing w:after="0" w:line="240" w:lineRule="auto"/>
              <w:rPr>
                <w:rFonts w:ascii="Times New Roman" w:eastAsia="Times New Roman" w:hAnsi="Times New Roman" w:cs="Times New Roman"/>
                <w:color w:val="000000" w:themeColor="text1"/>
                <w:sz w:val="20"/>
                <w:szCs w:val="20"/>
                <w:lang w:eastAsia="lv-LV"/>
              </w:rPr>
            </w:pPr>
            <w:r w:rsidRPr="004C5D83">
              <w:rPr>
                <w:rFonts w:ascii="Times New Roman" w:eastAsia="Times New Roman" w:hAnsi="Times New Roman" w:cs="Times New Roman"/>
                <w:color w:val="000000" w:themeColor="text1"/>
                <w:sz w:val="20"/>
                <w:szCs w:val="20"/>
                <w:lang w:eastAsia="lv-LV"/>
              </w:rPr>
              <w:t>1. Vispārējā valdība</w:t>
            </w:r>
          </w:p>
        </w:tc>
        <w:tc>
          <w:tcPr>
            <w:tcW w:w="1134" w:type="dxa"/>
            <w:vAlign w:val="center"/>
            <w:hideMark/>
          </w:tcPr>
          <w:p w:rsidR="00786A6A" w:rsidRPr="004C5D83" w:rsidRDefault="00786A6A" w:rsidP="00786A6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4C5D83">
              <w:rPr>
                <w:rFonts w:ascii="Times New Roman" w:eastAsia="Times New Roman" w:hAnsi="Times New Roman" w:cs="Times New Roman"/>
                <w:color w:val="000000" w:themeColor="text1"/>
                <w:sz w:val="20"/>
                <w:szCs w:val="20"/>
                <w:lang w:eastAsia="lv-LV"/>
              </w:rPr>
              <w:t>S.13</w:t>
            </w:r>
          </w:p>
        </w:tc>
        <w:tc>
          <w:tcPr>
            <w:tcW w:w="1134" w:type="dxa"/>
            <w:vAlign w:val="center"/>
          </w:tcPr>
          <w:p w:rsidR="00786A6A" w:rsidRPr="004C5D83" w:rsidRDefault="00786A6A" w:rsidP="00786A6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362E0A">
              <w:rPr>
                <w:rFonts w:ascii="Times New Roman" w:eastAsia="Times New Roman" w:hAnsi="Times New Roman" w:cs="Times New Roman"/>
                <w:color w:val="auto"/>
                <w:sz w:val="20"/>
                <w:szCs w:val="20"/>
                <w:lang w:eastAsia="lv-LV"/>
              </w:rPr>
              <w:t>-</w:t>
            </w:r>
            <w:r>
              <w:rPr>
                <w:rFonts w:ascii="Times New Roman" w:eastAsia="Times New Roman" w:hAnsi="Times New Roman" w:cs="Times New Roman"/>
                <w:color w:val="auto"/>
                <w:sz w:val="20"/>
                <w:szCs w:val="20"/>
                <w:lang w:eastAsia="lv-LV"/>
              </w:rPr>
              <w:t>295,4</w:t>
            </w:r>
          </w:p>
        </w:tc>
        <w:tc>
          <w:tcPr>
            <w:tcW w:w="861" w:type="dxa"/>
            <w:vAlign w:val="center"/>
          </w:tcPr>
          <w:p w:rsidR="00786A6A" w:rsidRPr="004C5D83" w:rsidRDefault="00786A6A" w:rsidP="00786A6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362E0A">
              <w:rPr>
                <w:rFonts w:ascii="Times New Roman" w:eastAsia="Times New Roman" w:hAnsi="Times New Roman" w:cs="Times New Roman"/>
                <w:color w:val="auto"/>
                <w:sz w:val="20"/>
                <w:szCs w:val="20"/>
                <w:lang w:eastAsia="lv-LV"/>
              </w:rPr>
              <w:t>-</w:t>
            </w:r>
            <w:r>
              <w:rPr>
                <w:rFonts w:ascii="Times New Roman" w:eastAsia="Times New Roman" w:hAnsi="Times New Roman" w:cs="Times New Roman"/>
                <w:color w:val="auto"/>
                <w:sz w:val="20"/>
                <w:szCs w:val="20"/>
                <w:lang w:eastAsia="lv-LV"/>
              </w:rPr>
              <w:t>1,0</w:t>
            </w:r>
          </w:p>
        </w:tc>
        <w:tc>
          <w:tcPr>
            <w:tcW w:w="708" w:type="dxa"/>
            <w:vAlign w:val="center"/>
          </w:tcPr>
          <w:p w:rsidR="00786A6A" w:rsidRPr="004C5D83" w:rsidRDefault="00786A6A" w:rsidP="00786A6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4C5D83">
              <w:rPr>
                <w:rFonts w:ascii="Times New Roman" w:eastAsia="Times New Roman" w:hAnsi="Times New Roman" w:cs="Times New Roman"/>
                <w:color w:val="000000" w:themeColor="text1"/>
                <w:sz w:val="20"/>
                <w:szCs w:val="20"/>
                <w:lang w:eastAsia="lv-LV"/>
              </w:rPr>
              <w:t>-0,5</w:t>
            </w:r>
          </w:p>
        </w:tc>
        <w:tc>
          <w:tcPr>
            <w:tcW w:w="709" w:type="dxa"/>
            <w:vAlign w:val="center"/>
          </w:tcPr>
          <w:p w:rsidR="00786A6A" w:rsidRPr="004C5D83" w:rsidRDefault="00786A6A" w:rsidP="00786A6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4C5D83">
              <w:rPr>
                <w:rFonts w:ascii="Times New Roman" w:eastAsia="Times New Roman" w:hAnsi="Times New Roman" w:cs="Times New Roman"/>
                <w:color w:val="000000" w:themeColor="text1"/>
                <w:sz w:val="20"/>
                <w:szCs w:val="20"/>
                <w:lang w:eastAsia="lv-LV"/>
              </w:rPr>
              <w:t>-0,4</w:t>
            </w:r>
          </w:p>
        </w:tc>
        <w:tc>
          <w:tcPr>
            <w:tcW w:w="709" w:type="dxa"/>
            <w:vAlign w:val="center"/>
          </w:tcPr>
          <w:p w:rsidR="00786A6A" w:rsidRPr="004C5D83" w:rsidRDefault="00786A6A" w:rsidP="00786A6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4C5D83">
              <w:rPr>
                <w:rFonts w:ascii="Times New Roman" w:eastAsia="Times New Roman" w:hAnsi="Times New Roman" w:cs="Times New Roman"/>
                <w:color w:val="000000" w:themeColor="text1"/>
                <w:sz w:val="20"/>
                <w:szCs w:val="20"/>
                <w:lang w:eastAsia="lv-LV"/>
              </w:rPr>
              <w:t>-0,2</w:t>
            </w:r>
          </w:p>
        </w:tc>
        <w:tc>
          <w:tcPr>
            <w:tcW w:w="709" w:type="dxa"/>
            <w:vAlign w:val="center"/>
          </w:tcPr>
          <w:p w:rsidR="00786A6A" w:rsidRPr="004C5D83" w:rsidRDefault="00786A6A" w:rsidP="00786A6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4C5D83">
              <w:rPr>
                <w:rFonts w:ascii="Times New Roman" w:eastAsia="Times New Roman" w:hAnsi="Times New Roman" w:cs="Times New Roman"/>
                <w:color w:val="000000" w:themeColor="text1"/>
                <w:sz w:val="20"/>
                <w:szCs w:val="20"/>
                <w:lang w:eastAsia="lv-LV"/>
              </w:rPr>
              <w:t>-0,3</w:t>
            </w:r>
          </w:p>
        </w:tc>
      </w:tr>
      <w:tr w:rsidR="00786A6A" w:rsidRPr="004C5D83" w:rsidTr="004C5D83">
        <w:trPr>
          <w:cnfStyle w:val="000000100000" w:firstRow="0" w:lastRow="0" w:firstColumn="0" w:lastColumn="0" w:oddVBand="0" w:evenVBand="0" w:oddHBand="1" w:evenHBand="0" w:firstRowFirstColumn="0" w:firstRowLastColumn="0" w:lastRowFirstColumn="0" w:lastRowLastColumn="0"/>
          <w:trHeight w:val="261"/>
          <w:jc w:val="center"/>
        </w:trPr>
        <w:tc>
          <w:tcPr>
            <w:cnfStyle w:val="001000000000" w:firstRow="0" w:lastRow="0" w:firstColumn="1" w:lastColumn="0" w:oddVBand="0" w:evenVBand="0" w:oddHBand="0" w:evenHBand="0" w:firstRowFirstColumn="0" w:firstRowLastColumn="0" w:lastRowFirstColumn="0" w:lastRowLastColumn="0"/>
            <w:tcW w:w="3681" w:type="dxa"/>
            <w:hideMark/>
          </w:tcPr>
          <w:p w:rsidR="00786A6A" w:rsidRPr="004C5D83" w:rsidRDefault="00786A6A" w:rsidP="00786A6A">
            <w:pPr>
              <w:spacing w:after="0" w:line="240" w:lineRule="auto"/>
              <w:rPr>
                <w:rFonts w:ascii="Times New Roman" w:eastAsia="Times New Roman" w:hAnsi="Times New Roman" w:cs="Times New Roman"/>
                <w:color w:val="000000" w:themeColor="text1"/>
                <w:sz w:val="20"/>
                <w:szCs w:val="20"/>
                <w:lang w:eastAsia="lv-LV"/>
              </w:rPr>
            </w:pPr>
            <w:r w:rsidRPr="004C5D83">
              <w:rPr>
                <w:rFonts w:ascii="Times New Roman" w:eastAsia="Times New Roman" w:hAnsi="Times New Roman" w:cs="Times New Roman"/>
                <w:color w:val="000000" w:themeColor="text1"/>
                <w:sz w:val="20"/>
                <w:szCs w:val="20"/>
                <w:lang w:eastAsia="lv-LV"/>
              </w:rPr>
              <w:t>2. Centrālā valdība</w:t>
            </w:r>
          </w:p>
        </w:tc>
        <w:tc>
          <w:tcPr>
            <w:tcW w:w="1134" w:type="dxa"/>
            <w:vAlign w:val="center"/>
            <w:hideMark/>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S.1311</w:t>
            </w:r>
          </w:p>
        </w:tc>
        <w:tc>
          <w:tcPr>
            <w:tcW w:w="1134" w:type="dxa"/>
            <w:vAlign w:val="center"/>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362E0A">
              <w:rPr>
                <w:rFonts w:ascii="Times New Roman" w:eastAsia="Times New Roman" w:hAnsi="Times New Roman" w:cs="Times New Roman"/>
                <w:bCs/>
                <w:color w:val="auto"/>
                <w:sz w:val="20"/>
                <w:szCs w:val="20"/>
                <w:lang w:eastAsia="lv-LV"/>
              </w:rPr>
              <w:t>-</w:t>
            </w:r>
            <w:r>
              <w:rPr>
                <w:rFonts w:ascii="Times New Roman" w:eastAsia="Times New Roman" w:hAnsi="Times New Roman" w:cs="Times New Roman"/>
                <w:bCs/>
                <w:color w:val="auto"/>
                <w:sz w:val="20"/>
                <w:szCs w:val="20"/>
                <w:lang w:eastAsia="lv-LV"/>
              </w:rPr>
              <w:t>319,6</w:t>
            </w:r>
          </w:p>
        </w:tc>
        <w:tc>
          <w:tcPr>
            <w:tcW w:w="861" w:type="dxa"/>
            <w:vAlign w:val="center"/>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362E0A">
              <w:rPr>
                <w:rFonts w:ascii="Times New Roman" w:eastAsia="Times New Roman" w:hAnsi="Times New Roman" w:cs="Times New Roman"/>
                <w:bCs/>
                <w:color w:val="auto"/>
                <w:sz w:val="20"/>
                <w:szCs w:val="20"/>
                <w:lang w:eastAsia="lv-LV"/>
              </w:rPr>
              <w:t>-</w:t>
            </w:r>
            <w:r>
              <w:rPr>
                <w:rFonts w:ascii="Times New Roman" w:eastAsia="Times New Roman" w:hAnsi="Times New Roman" w:cs="Times New Roman"/>
                <w:bCs/>
                <w:color w:val="auto"/>
                <w:sz w:val="20"/>
                <w:szCs w:val="20"/>
                <w:lang w:eastAsia="lv-LV"/>
              </w:rPr>
              <w:t>1,1</w:t>
            </w:r>
          </w:p>
        </w:tc>
        <w:tc>
          <w:tcPr>
            <w:tcW w:w="708" w:type="dxa"/>
            <w:vAlign w:val="center"/>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-0,9</w:t>
            </w:r>
          </w:p>
        </w:tc>
        <w:tc>
          <w:tcPr>
            <w:tcW w:w="709" w:type="dxa"/>
            <w:vAlign w:val="center"/>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-0,8</w:t>
            </w:r>
          </w:p>
        </w:tc>
        <w:tc>
          <w:tcPr>
            <w:tcW w:w="709" w:type="dxa"/>
            <w:vAlign w:val="center"/>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-0,5</w:t>
            </w:r>
          </w:p>
        </w:tc>
        <w:tc>
          <w:tcPr>
            <w:tcW w:w="709" w:type="dxa"/>
            <w:vAlign w:val="center"/>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-0,6</w:t>
            </w:r>
          </w:p>
        </w:tc>
      </w:tr>
      <w:tr w:rsidR="00786A6A" w:rsidRPr="004C5D83" w:rsidTr="00135E60">
        <w:trPr>
          <w:trHeight w:val="137"/>
          <w:jc w:val="center"/>
        </w:trPr>
        <w:tc>
          <w:tcPr>
            <w:cnfStyle w:val="001000000000" w:firstRow="0" w:lastRow="0" w:firstColumn="1" w:lastColumn="0" w:oddVBand="0" w:evenVBand="0" w:oddHBand="0" w:evenHBand="0" w:firstRowFirstColumn="0" w:firstRowLastColumn="0" w:lastRowFirstColumn="0" w:lastRowLastColumn="0"/>
            <w:tcW w:w="3681" w:type="dxa"/>
            <w:hideMark/>
          </w:tcPr>
          <w:p w:rsidR="00786A6A" w:rsidRPr="004C5D83" w:rsidRDefault="00786A6A" w:rsidP="00786A6A">
            <w:pPr>
              <w:spacing w:after="0" w:line="240" w:lineRule="auto"/>
              <w:rPr>
                <w:rFonts w:ascii="Times New Roman" w:eastAsia="Times New Roman" w:hAnsi="Times New Roman" w:cs="Times New Roman"/>
                <w:color w:val="000000" w:themeColor="text1"/>
                <w:sz w:val="20"/>
                <w:szCs w:val="20"/>
                <w:lang w:eastAsia="lv-LV"/>
              </w:rPr>
            </w:pPr>
            <w:r w:rsidRPr="004C5D83">
              <w:rPr>
                <w:rFonts w:ascii="Times New Roman" w:eastAsia="Times New Roman" w:hAnsi="Times New Roman" w:cs="Times New Roman"/>
                <w:color w:val="000000" w:themeColor="text1"/>
                <w:sz w:val="20"/>
                <w:szCs w:val="20"/>
                <w:lang w:eastAsia="lv-LV"/>
              </w:rPr>
              <w:t>3. Pavalsts valdība</w:t>
            </w:r>
          </w:p>
        </w:tc>
        <w:tc>
          <w:tcPr>
            <w:tcW w:w="1134" w:type="dxa"/>
            <w:vAlign w:val="center"/>
            <w:hideMark/>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S.1312</w:t>
            </w:r>
          </w:p>
        </w:tc>
        <w:tc>
          <w:tcPr>
            <w:tcW w:w="1134" w:type="dxa"/>
            <w:vAlign w:val="center"/>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362E0A">
              <w:rPr>
                <w:rFonts w:ascii="Times New Roman" w:eastAsia="Times New Roman" w:hAnsi="Times New Roman" w:cs="Times New Roman"/>
                <w:bCs/>
                <w:color w:val="auto"/>
                <w:sz w:val="20"/>
                <w:szCs w:val="20"/>
                <w:lang w:eastAsia="lv-LV"/>
              </w:rPr>
              <w:t> </w:t>
            </w:r>
          </w:p>
        </w:tc>
        <w:tc>
          <w:tcPr>
            <w:tcW w:w="861" w:type="dxa"/>
            <w:vAlign w:val="center"/>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362E0A">
              <w:rPr>
                <w:rFonts w:ascii="Times New Roman" w:eastAsia="Times New Roman" w:hAnsi="Times New Roman" w:cs="Times New Roman"/>
                <w:bCs/>
                <w:color w:val="auto"/>
                <w:sz w:val="20"/>
                <w:szCs w:val="20"/>
                <w:lang w:eastAsia="lv-LV"/>
              </w:rPr>
              <w:t> </w:t>
            </w:r>
          </w:p>
        </w:tc>
        <w:tc>
          <w:tcPr>
            <w:tcW w:w="708" w:type="dxa"/>
            <w:vAlign w:val="center"/>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 </w:t>
            </w:r>
          </w:p>
        </w:tc>
        <w:tc>
          <w:tcPr>
            <w:tcW w:w="709" w:type="dxa"/>
            <w:vAlign w:val="center"/>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p>
        </w:tc>
        <w:tc>
          <w:tcPr>
            <w:tcW w:w="709" w:type="dxa"/>
            <w:vAlign w:val="center"/>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p>
        </w:tc>
        <w:tc>
          <w:tcPr>
            <w:tcW w:w="709" w:type="dxa"/>
            <w:vAlign w:val="center"/>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p>
        </w:tc>
      </w:tr>
      <w:tr w:rsidR="00786A6A" w:rsidRPr="004C5D83" w:rsidTr="004C5D83">
        <w:trPr>
          <w:cnfStyle w:val="000000100000" w:firstRow="0" w:lastRow="0" w:firstColumn="0" w:lastColumn="0" w:oddVBand="0" w:evenVBand="0" w:oddHBand="1" w:evenHBand="0" w:firstRowFirstColumn="0" w:firstRowLastColumn="0" w:lastRowFirstColumn="0" w:lastRowLastColumn="0"/>
          <w:trHeight w:val="183"/>
          <w:jc w:val="center"/>
        </w:trPr>
        <w:tc>
          <w:tcPr>
            <w:cnfStyle w:val="001000000000" w:firstRow="0" w:lastRow="0" w:firstColumn="1" w:lastColumn="0" w:oddVBand="0" w:evenVBand="0" w:oddHBand="0" w:evenHBand="0" w:firstRowFirstColumn="0" w:firstRowLastColumn="0" w:lastRowFirstColumn="0" w:lastRowLastColumn="0"/>
            <w:tcW w:w="3681" w:type="dxa"/>
            <w:hideMark/>
          </w:tcPr>
          <w:p w:rsidR="00786A6A" w:rsidRPr="004C5D83" w:rsidRDefault="00786A6A" w:rsidP="00786A6A">
            <w:pPr>
              <w:spacing w:after="0" w:line="240" w:lineRule="auto"/>
              <w:rPr>
                <w:rFonts w:ascii="Times New Roman" w:eastAsia="Times New Roman" w:hAnsi="Times New Roman" w:cs="Times New Roman"/>
                <w:color w:val="000000" w:themeColor="text1"/>
                <w:sz w:val="20"/>
                <w:szCs w:val="20"/>
                <w:lang w:eastAsia="lv-LV"/>
              </w:rPr>
            </w:pPr>
            <w:r w:rsidRPr="004C5D83">
              <w:rPr>
                <w:rFonts w:ascii="Times New Roman" w:eastAsia="Times New Roman" w:hAnsi="Times New Roman" w:cs="Times New Roman"/>
                <w:color w:val="000000" w:themeColor="text1"/>
                <w:sz w:val="20"/>
                <w:szCs w:val="20"/>
                <w:lang w:eastAsia="lv-LV"/>
              </w:rPr>
              <w:t>4. Vietējā valdība</w:t>
            </w:r>
          </w:p>
        </w:tc>
        <w:tc>
          <w:tcPr>
            <w:tcW w:w="1134" w:type="dxa"/>
            <w:vAlign w:val="center"/>
            <w:hideMark/>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S.1313</w:t>
            </w:r>
          </w:p>
        </w:tc>
        <w:tc>
          <w:tcPr>
            <w:tcW w:w="1134" w:type="dxa"/>
            <w:vAlign w:val="center"/>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362E0A">
              <w:rPr>
                <w:rFonts w:ascii="Times New Roman" w:eastAsia="Times New Roman" w:hAnsi="Times New Roman" w:cs="Times New Roman"/>
                <w:bCs/>
                <w:color w:val="auto"/>
                <w:sz w:val="20"/>
                <w:szCs w:val="20"/>
                <w:lang w:eastAsia="lv-LV"/>
              </w:rPr>
              <w:t>-</w:t>
            </w:r>
            <w:r>
              <w:rPr>
                <w:rFonts w:ascii="Times New Roman" w:eastAsia="Times New Roman" w:hAnsi="Times New Roman" w:cs="Times New Roman"/>
                <w:bCs/>
                <w:color w:val="auto"/>
                <w:sz w:val="20"/>
                <w:szCs w:val="20"/>
                <w:lang w:eastAsia="lv-LV"/>
              </w:rPr>
              <w:t>214,2</w:t>
            </w:r>
          </w:p>
        </w:tc>
        <w:tc>
          <w:tcPr>
            <w:tcW w:w="861" w:type="dxa"/>
            <w:vAlign w:val="center"/>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362E0A">
              <w:rPr>
                <w:rFonts w:ascii="Times New Roman" w:eastAsia="Times New Roman" w:hAnsi="Times New Roman" w:cs="Times New Roman"/>
                <w:bCs/>
                <w:color w:val="auto"/>
                <w:sz w:val="20"/>
                <w:szCs w:val="20"/>
                <w:lang w:eastAsia="lv-LV"/>
              </w:rPr>
              <w:t>-</w:t>
            </w:r>
            <w:r>
              <w:rPr>
                <w:rFonts w:ascii="Times New Roman" w:eastAsia="Times New Roman" w:hAnsi="Times New Roman" w:cs="Times New Roman"/>
                <w:bCs/>
                <w:color w:val="auto"/>
                <w:sz w:val="20"/>
                <w:szCs w:val="20"/>
                <w:lang w:eastAsia="lv-LV"/>
              </w:rPr>
              <w:t>0,7</w:t>
            </w:r>
          </w:p>
        </w:tc>
        <w:tc>
          <w:tcPr>
            <w:tcW w:w="708" w:type="dxa"/>
            <w:vAlign w:val="center"/>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-0,3</w:t>
            </w:r>
          </w:p>
        </w:tc>
        <w:tc>
          <w:tcPr>
            <w:tcW w:w="709" w:type="dxa"/>
            <w:vAlign w:val="center"/>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-0,1</w:t>
            </w:r>
          </w:p>
        </w:tc>
        <w:tc>
          <w:tcPr>
            <w:tcW w:w="709" w:type="dxa"/>
            <w:vAlign w:val="center"/>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0,0</w:t>
            </w:r>
          </w:p>
        </w:tc>
        <w:tc>
          <w:tcPr>
            <w:tcW w:w="709" w:type="dxa"/>
            <w:vAlign w:val="center"/>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0,0</w:t>
            </w:r>
          </w:p>
        </w:tc>
      </w:tr>
      <w:tr w:rsidR="00786A6A" w:rsidRPr="004C5D83" w:rsidTr="00135E60">
        <w:trPr>
          <w:trHeight w:val="229"/>
          <w:jc w:val="center"/>
        </w:trPr>
        <w:tc>
          <w:tcPr>
            <w:cnfStyle w:val="001000000000" w:firstRow="0" w:lastRow="0" w:firstColumn="1" w:lastColumn="0" w:oddVBand="0" w:evenVBand="0" w:oddHBand="0" w:evenHBand="0" w:firstRowFirstColumn="0" w:firstRowLastColumn="0" w:lastRowFirstColumn="0" w:lastRowLastColumn="0"/>
            <w:tcW w:w="3681" w:type="dxa"/>
            <w:hideMark/>
          </w:tcPr>
          <w:p w:rsidR="00786A6A" w:rsidRPr="004C5D83" w:rsidRDefault="00786A6A" w:rsidP="00786A6A">
            <w:pPr>
              <w:spacing w:after="0" w:line="240" w:lineRule="auto"/>
              <w:rPr>
                <w:rFonts w:ascii="Times New Roman" w:eastAsia="Times New Roman" w:hAnsi="Times New Roman" w:cs="Times New Roman"/>
                <w:color w:val="000000" w:themeColor="text1"/>
                <w:sz w:val="20"/>
                <w:szCs w:val="20"/>
                <w:lang w:eastAsia="lv-LV"/>
              </w:rPr>
            </w:pPr>
            <w:r w:rsidRPr="004C5D83">
              <w:rPr>
                <w:rFonts w:ascii="Times New Roman" w:eastAsia="Times New Roman" w:hAnsi="Times New Roman" w:cs="Times New Roman"/>
                <w:color w:val="000000" w:themeColor="text1"/>
                <w:sz w:val="20"/>
                <w:szCs w:val="20"/>
                <w:lang w:eastAsia="lv-LV"/>
              </w:rPr>
              <w:t>5. Sociālās nodrošināšanas fondi</w:t>
            </w:r>
          </w:p>
        </w:tc>
        <w:tc>
          <w:tcPr>
            <w:tcW w:w="1134" w:type="dxa"/>
            <w:vAlign w:val="center"/>
            <w:hideMark/>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S.1314</w:t>
            </w:r>
          </w:p>
        </w:tc>
        <w:tc>
          <w:tcPr>
            <w:tcW w:w="1134" w:type="dxa"/>
            <w:vAlign w:val="center"/>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Pr>
                <w:rFonts w:ascii="Times New Roman" w:eastAsia="Times New Roman" w:hAnsi="Times New Roman" w:cs="Times New Roman"/>
                <w:bCs/>
                <w:color w:val="auto"/>
                <w:sz w:val="20"/>
                <w:szCs w:val="20"/>
                <w:lang w:eastAsia="lv-LV"/>
              </w:rPr>
              <w:t>238,4</w:t>
            </w:r>
          </w:p>
        </w:tc>
        <w:tc>
          <w:tcPr>
            <w:tcW w:w="861" w:type="dxa"/>
            <w:vAlign w:val="center"/>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Pr>
                <w:rFonts w:ascii="Times New Roman" w:eastAsia="Times New Roman" w:hAnsi="Times New Roman" w:cs="Times New Roman"/>
                <w:bCs/>
                <w:color w:val="auto"/>
                <w:sz w:val="20"/>
                <w:szCs w:val="20"/>
                <w:lang w:eastAsia="lv-LV"/>
              </w:rPr>
              <w:t>0,8</w:t>
            </w:r>
          </w:p>
        </w:tc>
        <w:tc>
          <w:tcPr>
            <w:tcW w:w="708" w:type="dxa"/>
            <w:vAlign w:val="center"/>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0,7</w:t>
            </w:r>
          </w:p>
        </w:tc>
        <w:tc>
          <w:tcPr>
            <w:tcW w:w="709" w:type="dxa"/>
            <w:vAlign w:val="center"/>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0,4</w:t>
            </w:r>
          </w:p>
        </w:tc>
        <w:tc>
          <w:tcPr>
            <w:tcW w:w="709" w:type="dxa"/>
            <w:vAlign w:val="center"/>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0,3</w:t>
            </w:r>
          </w:p>
        </w:tc>
        <w:tc>
          <w:tcPr>
            <w:tcW w:w="709" w:type="dxa"/>
            <w:vAlign w:val="center"/>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0,3</w:t>
            </w:r>
          </w:p>
        </w:tc>
      </w:tr>
    </w:tbl>
    <w:tbl>
      <w:tblPr>
        <w:tblStyle w:val="GridTable6Colorful-Accent113"/>
        <w:tblW w:w="9645" w:type="dxa"/>
        <w:jc w:val="center"/>
        <w:tblLayout w:type="fixed"/>
        <w:tblLook w:val="04A0" w:firstRow="1" w:lastRow="0" w:firstColumn="1" w:lastColumn="0" w:noHBand="0" w:noVBand="1"/>
      </w:tblPr>
      <w:tblGrid>
        <w:gridCol w:w="9645"/>
      </w:tblGrid>
      <w:tr w:rsidR="004C5D83" w:rsidRPr="004C5D83" w:rsidTr="00135E60">
        <w:trPr>
          <w:cnfStyle w:val="100000000000" w:firstRow="1" w:lastRow="0" w:firstColumn="0" w:lastColumn="0" w:oddVBand="0" w:evenVBand="0" w:oddHBand="0" w:evenHBand="0" w:firstRowFirstColumn="0" w:firstRowLastColumn="0" w:lastRowFirstColumn="0" w:lastRowLastColumn="0"/>
          <w:trHeight w:val="203"/>
          <w:jc w:val="center"/>
        </w:trPr>
        <w:tc>
          <w:tcPr>
            <w:cnfStyle w:val="001000000000" w:firstRow="0" w:lastRow="0" w:firstColumn="1" w:lastColumn="0" w:oddVBand="0" w:evenVBand="0" w:oddHBand="0" w:evenHBand="0" w:firstRowFirstColumn="0" w:firstRowLastColumn="0" w:lastRowFirstColumn="0" w:lastRowLastColumn="0"/>
            <w:tcW w:w="9645" w:type="dxa"/>
            <w:vAlign w:val="center"/>
            <w:hideMark/>
          </w:tcPr>
          <w:p w:rsidR="004C5D83" w:rsidRPr="004C5D83" w:rsidRDefault="004C5D83" w:rsidP="004C5D83">
            <w:pPr>
              <w:spacing w:after="0" w:line="240" w:lineRule="auto"/>
              <w:jc w:val="center"/>
              <w:rPr>
                <w:rFonts w:ascii="Times New Roman" w:eastAsia="Times New Roman" w:hAnsi="Times New Roman" w:cs="Times New Roman"/>
                <w:bCs w:val="0"/>
                <w:color w:val="000000" w:themeColor="text1"/>
                <w:sz w:val="20"/>
                <w:szCs w:val="20"/>
                <w:lang w:eastAsia="lv-LV"/>
              </w:rPr>
            </w:pPr>
            <w:r w:rsidRPr="004C5D83">
              <w:rPr>
                <w:rFonts w:ascii="Times New Roman" w:eastAsia="Times New Roman" w:hAnsi="Times New Roman" w:cs="Times New Roman"/>
                <w:bCs w:val="0"/>
                <w:color w:val="000000" w:themeColor="text1"/>
                <w:sz w:val="20"/>
                <w:szCs w:val="20"/>
                <w:lang w:eastAsia="lv-LV"/>
              </w:rPr>
              <w:t>Vispārējā valdība (S.13)</w:t>
            </w:r>
          </w:p>
        </w:tc>
      </w:tr>
    </w:tbl>
    <w:tbl>
      <w:tblPr>
        <w:tblStyle w:val="GridTable6Colorful-Accent114"/>
        <w:tblW w:w="9645" w:type="dxa"/>
        <w:jc w:val="center"/>
        <w:tblLayout w:type="fixed"/>
        <w:tblLook w:val="04A0" w:firstRow="1" w:lastRow="0" w:firstColumn="1" w:lastColumn="0" w:noHBand="0" w:noVBand="1"/>
      </w:tblPr>
      <w:tblGrid>
        <w:gridCol w:w="3681"/>
        <w:gridCol w:w="1134"/>
        <w:gridCol w:w="1134"/>
        <w:gridCol w:w="861"/>
        <w:gridCol w:w="708"/>
        <w:gridCol w:w="709"/>
        <w:gridCol w:w="709"/>
        <w:gridCol w:w="709"/>
      </w:tblGrid>
      <w:tr w:rsidR="00786A6A" w:rsidRPr="004C5D83" w:rsidTr="00135E60">
        <w:trPr>
          <w:cnfStyle w:val="100000000000" w:firstRow="1" w:lastRow="0" w:firstColumn="0" w:lastColumn="0" w:oddVBand="0" w:evenVBand="0" w:oddHBand="0" w:evenHBand="0"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3681" w:type="dxa"/>
            <w:hideMark/>
          </w:tcPr>
          <w:p w:rsidR="00786A6A" w:rsidRPr="004C5D83" w:rsidRDefault="00786A6A" w:rsidP="00786A6A">
            <w:pPr>
              <w:spacing w:after="0" w:line="240" w:lineRule="auto"/>
              <w:rPr>
                <w:rFonts w:ascii="Times New Roman" w:eastAsia="Times New Roman" w:hAnsi="Times New Roman" w:cs="Times New Roman"/>
                <w:color w:val="000000" w:themeColor="text1"/>
                <w:sz w:val="20"/>
                <w:szCs w:val="20"/>
                <w:lang w:eastAsia="lv-LV"/>
              </w:rPr>
            </w:pPr>
            <w:r w:rsidRPr="004C5D83">
              <w:rPr>
                <w:rFonts w:ascii="Times New Roman" w:eastAsia="Times New Roman" w:hAnsi="Times New Roman" w:cs="Times New Roman"/>
                <w:color w:val="000000" w:themeColor="text1"/>
                <w:sz w:val="20"/>
                <w:szCs w:val="20"/>
                <w:lang w:eastAsia="lv-LV"/>
              </w:rPr>
              <w:t>6. Kopējie ieņēmumi</w:t>
            </w:r>
          </w:p>
        </w:tc>
        <w:tc>
          <w:tcPr>
            <w:tcW w:w="1134" w:type="dxa"/>
            <w:vAlign w:val="center"/>
            <w:hideMark/>
          </w:tcPr>
          <w:p w:rsidR="00786A6A" w:rsidRPr="004C5D83" w:rsidRDefault="00786A6A" w:rsidP="00786A6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4C5D83">
              <w:rPr>
                <w:rFonts w:ascii="Times New Roman" w:eastAsia="Times New Roman" w:hAnsi="Times New Roman" w:cs="Times New Roman"/>
                <w:color w:val="000000" w:themeColor="text1"/>
                <w:sz w:val="20"/>
                <w:szCs w:val="20"/>
                <w:lang w:eastAsia="lv-LV"/>
              </w:rPr>
              <w:t>TR</w:t>
            </w:r>
          </w:p>
        </w:tc>
        <w:tc>
          <w:tcPr>
            <w:tcW w:w="1134" w:type="dxa"/>
            <w:vAlign w:val="center"/>
          </w:tcPr>
          <w:p w:rsidR="00786A6A" w:rsidRPr="004C5D83" w:rsidRDefault="00786A6A" w:rsidP="00786A6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Pr>
                <w:rFonts w:ascii="Times New Roman" w:eastAsia="Times New Roman" w:hAnsi="Times New Roman" w:cs="Times New Roman"/>
                <w:color w:val="auto"/>
                <w:sz w:val="20"/>
                <w:szCs w:val="20"/>
                <w:lang w:eastAsia="lv-LV"/>
              </w:rPr>
              <w:t>11 066,3</w:t>
            </w:r>
          </w:p>
        </w:tc>
        <w:tc>
          <w:tcPr>
            <w:tcW w:w="861" w:type="dxa"/>
            <w:vAlign w:val="center"/>
          </w:tcPr>
          <w:p w:rsidR="00786A6A" w:rsidRPr="004C5D83" w:rsidRDefault="00786A6A" w:rsidP="00786A6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362E0A">
              <w:rPr>
                <w:rFonts w:ascii="Times New Roman" w:eastAsia="Times New Roman" w:hAnsi="Times New Roman" w:cs="Times New Roman"/>
                <w:color w:val="auto"/>
                <w:sz w:val="20"/>
                <w:szCs w:val="20"/>
                <w:lang w:eastAsia="lv-LV"/>
              </w:rPr>
              <w:t>37,</w:t>
            </w:r>
            <w:r>
              <w:rPr>
                <w:rFonts w:ascii="Times New Roman" w:eastAsia="Times New Roman" w:hAnsi="Times New Roman" w:cs="Times New Roman"/>
                <w:color w:val="auto"/>
                <w:sz w:val="20"/>
                <w:szCs w:val="20"/>
                <w:lang w:eastAsia="lv-LV"/>
              </w:rPr>
              <w:t>5</w:t>
            </w:r>
          </w:p>
        </w:tc>
        <w:tc>
          <w:tcPr>
            <w:tcW w:w="708" w:type="dxa"/>
            <w:vAlign w:val="center"/>
          </w:tcPr>
          <w:p w:rsidR="00786A6A" w:rsidRPr="004C5D83" w:rsidRDefault="00786A6A" w:rsidP="00786A6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4C5D83">
              <w:rPr>
                <w:rFonts w:ascii="Times New Roman" w:eastAsia="Times New Roman" w:hAnsi="Times New Roman" w:cs="Times New Roman"/>
                <w:color w:val="000000" w:themeColor="text1"/>
                <w:sz w:val="20"/>
                <w:szCs w:val="20"/>
                <w:lang w:eastAsia="lv-LV"/>
              </w:rPr>
              <w:t>36,2</w:t>
            </w:r>
          </w:p>
        </w:tc>
        <w:tc>
          <w:tcPr>
            <w:tcW w:w="709" w:type="dxa"/>
            <w:vAlign w:val="center"/>
          </w:tcPr>
          <w:p w:rsidR="00786A6A" w:rsidRPr="004C5D83" w:rsidRDefault="00786A6A" w:rsidP="00786A6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4C5D83">
              <w:rPr>
                <w:rFonts w:ascii="Times New Roman" w:eastAsia="Times New Roman" w:hAnsi="Times New Roman" w:cs="Times New Roman"/>
                <w:color w:val="000000" w:themeColor="text1"/>
                <w:sz w:val="20"/>
                <w:szCs w:val="20"/>
                <w:lang w:eastAsia="lv-LV"/>
              </w:rPr>
              <w:t>35,9</w:t>
            </w:r>
          </w:p>
        </w:tc>
        <w:tc>
          <w:tcPr>
            <w:tcW w:w="709" w:type="dxa"/>
            <w:vAlign w:val="center"/>
          </w:tcPr>
          <w:p w:rsidR="00786A6A" w:rsidRPr="004C5D83" w:rsidRDefault="00786A6A" w:rsidP="00786A6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4C5D83">
              <w:rPr>
                <w:rFonts w:ascii="Times New Roman" w:eastAsia="Times New Roman" w:hAnsi="Times New Roman" w:cs="Times New Roman"/>
                <w:color w:val="000000" w:themeColor="text1"/>
                <w:sz w:val="20"/>
                <w:szCs w:val="20"/>
                <w:lang w:eastAsia="lv-LV"/>
              </w:rPr>
              <w:t>35,4</w:t>
            </w:r>
          </w:p>
        </w:tc>
        <w:tc>
          <w:tcPr>
            <w:tcW w:w="709" w:type="dxa"/>
            <w:vAlign w:val="center"/>
          </w:tcPr>
          <w:p w:rsidR="00786A6A" w:rsidRPr="004C5D83" w:rsidRDefault="00786A6A" w:rsidP="00786A6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4C5D83">
              <w:rPr>
                <w:rFonts w:ascii="Times New Roman" w:eastAsia="Times New Roman" w:hAnsi="Times New Roman" w:cs="Times New Roman"/>
                <w:color w:val="000000" w:themeColor="text1"/>
                <w:sz w:val="20"/>
                <w:szCs w:val="20"/>
                <w:lang w:eastAsia="lv-LV"/>
              </w:rPr>
              <w:t>34,9</w:t>
            </w:r>
          </w:p>
        </w:tc>
      </w:tr>
      <w:tr w:rsidR="00786A6A" w:rsidRPr="004C5D83" w:rsidTr="004C5D83">
        <w:trPr>
          <w:cnfStyle w:val="000000100000" w:firstRow="0" w:lastRow="0" w:firstColumn="0" w:lastColumn="0" w:oddVBand="0" w:evenVBand="0" w:oddHBand="1" w:evenHBand="0" w:firstRowFirstColumn="0" w:firstRowLastColumn="0" w:lastRowFirstColumn="0" w:lastRowLastColumn="0"/>
          <w:trHeight w:val="128"/>
          <w:jc w:val="center"/>
        </w:trPr>
        <w:tc>
          <w:tcPr>
            <w:cnfStyle w:val="001000000000" w:firstRow="0" w:lastRow="0" w:firstColumn="1" w:lastColumn="0" w:oddVBand="0" w:evenVBand="0" w:oddHBand="0" w:evenHBand="0" w:firstRowFirstColumn="0" w:firstRowLastColumn="0" w:lastRowFirstColumn="0" w:lastRowLastColumn="0"/>
            <w:tcW w:w="3681" w:type="dxa"/>
            <w:hideMark/>
          </w:tcPr>
          <w:p w:rsidR="00786A6A" w:rsidRPr="004C5D83" w:rsidRDefault="00786A6A" w:rsidP="00786A6A">
            <w:pPr>
              <w:spacing w:after="0" w:line="240" w:lineRule="auto"/>
              <w:rPr>
                <w:rFonts w:ascii="Times New Roman" w:eastAsia="Times New Roman" w:hAnsi="Times New Roman" w:cs="Times New Roman"/>
                <w:color w:val="000000" w:themeColor="text1"/>
                <w:sz w:val="20"/>
                <w:szCs w:val="20"/>
                <w:lang w:eastAsia="lv-LV"/>
              </w:rPr>
            </w:pPr>
            <w:r w:rsidRPr="004C5D83">
              <w:rPr>
                <w:rFonts w:ascii="Times New Roman" w:eastAsia="Times New Roman" w:hAnsi="Times New Roman" w:cs="Times New Roman"/>
                <w:color w:val="000000" w:themeColor="text1"/>
                <w:sz w:val="20"/>
                <w:szCs w:val="20"/>
                <w:lang w:eastAsia="lv-LV"/>
              </w:rPr>
              <w:t>7. Kopējie izdevumi</w:t>
            </w:r>
          </w:p>
        </w:tc>
        <w:tc>
          <w:tcPr>
            <w:tcW w:w="1134" w:type="dxa"/>
            <w:vAlign w:val="center"/>
            <w:hideMark/>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TE</w:t>
            </w:r>
          </w:p>
        </w:tc>
        <w:tc>
          <w:tcPr>
            <w:tcW w:w="1134" w:type="dxa"/>
            <w:vAlign w:val="center"/>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Pr>
                <w:rFonts w:ascii="Times New Roman" w:eastAsia="Times New Roman" w:hAnsi="Times New Roman" w:cs="Times New Roman"/>
                <w:bCs/>
                <w:color w:val="auto"/>
                <w:sz w:val="20"/>
                <w:szCs w:val="20"/>
                <w:lang w:eastAsia="lv-LV"/>
              </w:rPr>
              <w:t>11 361,8</w:t>
            </w:r>
          </w:p>
        </w:tc>
        <w:tc>
          <w:tcPr>
            <w:tcW w:w="861" w:type="dxa"/>
            <w:vAlign w:val="center"/>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362E0A">
              <w:rPr>
                <w:rFonts w:ascii="Times New Roman" w:eastAsia="Times New Roman" w:hAnsi="Times New Roman" w:cs="Times New Roman"/>
                <w:bCs/>
                <w:color w:val="auto"/>
                <w:sz w:val="20"/>
                <w:szCs w:val="20"/>
                <w:lang w:eastAsia="lv-LV"/>
              </w:rPr>
              <w:t>3</w:t>
            </w:r>
            <w:r>
              <w:rPr>
                <w:rFonts w:ascii="Times New Roman" w:eastAsia="Times New Roman" w:hAnsi="Times New Roman" w:cs="Times New Roman"/>
                <w:bCs/>
                <w:color w:val="auto"/>
                <w:sz w:val="20"/>
                <w:szCs w:val="20"/>
                <w:lang w:eastAsia="lv-LV"/>
              </w:rPr>
              <w:t>8,5</w:t>
            </w:r>
          </w:p>
        </w:tc>
        <w:tc>
          <w:tcPr>
            <w:tcW w:w="708" w:type="dxa"/>
            <w:vAlign w:val="center"/>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36,7</w:t>
            </w:r>
          </w:p>
        </w:tc>
        <w:tc>
          <w:tcPr>
            <w:tcW w:w="709" w:type="dxa"/>
            <w:vAlign w:val="center"/>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36,4</w:t>
            </w:r>
          </w:p>
        </w:tc>
        <w:tc>
          <w:tcPr>
            <w:tcW w:w="709" w:type="dxa"/>
            <w:vAlign w:val="center"/>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35,6</w:t>
            </w:r>
          </w:p>
        </w:tc>
        <w:tc>
          <w:tcPr>
            <w:tcW w:w="709" w:type="dxa"/>
            <w:vAlign w:val="center"/>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35,2</w:t>
            </w:r>
          </w:p>
        </w:tc>
      </w:tr>
      <w:tr w:rsidR="00786A6A" w:rsidRPr="004C5D83" w:rsidTr="00135E60">
        <w:trPr>
          <w:trHeight w:val="173"/>
          <w:jc w:val="center"/>
        </w:trPr>
        <w:tc>
          <w:tcPr>
            <w:cnfStyle w:val="001000000000" w:firstRow="0" w:lastRow="0" w:firstColumn="1" w:lastColumn="0" w:oddVBand="0" w:evenVBand="0" w:oddHBand="0" w:evenHBand="0" w:firstRowFirstColumn="0" w:firstRowLastColumn="0" w:lastRowFirstColumn="0" w:lastRowLastColumn="0"/>
            <w:tcW w:w="3681" w:type="dxa"/>
            <w:hideMark/>
          </w:tcPr>
          <w:p w:rsidR="00786A6A" w:rsidRPr="004C5D83" w:rsidRDefault="00786A6A" w:rsidP="00786A6A">
            <w:pPr>
              <w:spacing w:after="0" w:line="240" w:lineRule="auto"/>
              <w:rPr>
                <w:rFonts w:ascii="Times New Roman" w:eastAsia="Times New Roman" w:hAnsi="Times New Roman" w:cs="Times New Roman"/>
                <w:color w:val="000000" w:themeColor="text1"/>
                <w:sz w:val="20"/>
                <w:szCs w:val="20"/>
                <w:lang w:eastAsia="lv-LV"/>
              </w:rPr>
            </w:pPr>
            <w:r w:rsidRPr="004C5D83">
              <w:rPr>
                <w:rFonts w:ascii="Times New Roman" w:eastAsia="Times New Roman" w:hAnsi="Times New Roman" w:cs="Times New Roman"/>
                <w:color w:val="000000" w:themeColor="text1"/>
                <w:sz w:val="20"/>
                <w:szCs w:val="20"/>
                <w:lang w:eastAsia="lv-LV"/>
              </w:rPr>
              <w:t>8. Budžeta bilance</w:t>
            </w:r>
          </w:p>
        </w:tc>
        <w:tc>
          <w:tcPr>
            <w:tcW w:w="1134" w:type="dxa"/>
            <w:vAlign w:val="center"/>
            <w:hideMark/>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B.9</w:t>
            </w:r>
          </w:p>
        </w:tc>
        <w:tc>
          <w:tcPr>
            <w:tcW w:w="1134" w:type="dxa"/>
            <w:vAlign w:val="center"/>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362E0A">
              <w:rPr>
                <w:rFonts w:ascii="Times New Roman" w:eastAsia="Times New Roman" w:hAnsi="Times New Roman" w:cs="Times New Roman"/>
                <w:bCs/>
                <w:color w:val="auto"/>
                <w:sz w:val="20"/>
                <w:szCs w:val="20"/>
                <w:lang w:eastAsia="lv-LV"/>
              </w:rPr>
              <w:t>-</w:t>
            </w:r>
            <w:r>
              <w:rPr>
                <w:rFonts w:ascii="Times New Roman" w:eastAsia="Times New Roman" w:hAnsi="Times New Roman" w:cs="Times New Roman"/>
                <w:bCs/>
                <w:color w:val="auto"/>
                <w:sz w:val="20"/>
                <w:szCs w:val="20"/>
                <w:lang w:eastAsia="lv-LV"/>
              </w:rPr>
              <w:t>295,4</w:t>
            </w:r>
          </w:p>
        </w:tc>
        <w:tc>
          <w:tcPr>
            <w:tcW w:w="861" w:type="dxa"/>
            <w:vAlign w:val="center"/>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362E0A">
              <w:rPr>
                <w:rFonts w:ascii="Times New Roman" w:eastAsia="Times New Roman" w:hAnsi="Times New Roman" w:cs="Times New Roman"/>
                <w:bCs/>
                <w:color w:val="auto"/>
                <w:sz w:val="20"/>
                <w:szCs w:val="20"/>
                <w:lang w:eastAsia="lv-LV"/>
              </w:rPr>
              <w:t>-</w:t>
            </w:r>
            <w:r>
              <w:rPr>
                <w:rFonts w:ascii="Times New Roman" w:eastAsia="Times New Roman" w:hAnsi="Times New Roman" w:cs="Times New Roman"/>
                <w:bCs/>
                <w:color w:val="auto"/>
                <w:sz w:val="20"/>
                <w:szCs w:val="20"/>
                <w:lang w:eastAsia="lv-LV"/>
              </w:rPr>
              <w:t>1,0</w:t>
            </w:r>
          </w:p>
        </w:tc>
        <w:tc>
          <w:tcPr>
            <w:tcW w:w="708" w:type="dxa"/>
            <w:vAlign w:val="center"/>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-0,5</w:t>
            </w:r>
          </w:p>
        </w:tc>
        <w:tc>
          <w:tcPr>
            <w:tcW w:w="709" w:type="dxa"/>
            <w:vAlign w:val="center"/>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-0,4</w:t>
            </w:r>
          </w:p>
        </w:tc>
        <w:tc>
          <w:tcPr>
            <w:tcW w:w="709" w:type="dxa"/>
            <w:vAlign w:val="center"/>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-0,2</w:t>
            </w:r>
          </w:p>
        </w:tc>
        <w:tc>
          <w:tcPr>
            <w:tcW w:w="709" w:type="dxa"/>
            <w:vAlign w:val="center"/>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-0,3</w:t>
            </w:r>
          </w:p>
        </w:tc>
      </w:tr>
      <w:tr w:rsidR="00786A6A" w:rsidRPr="004C5D83" w:rsidTr="004C5D83">
        <w:trPr>
          <w:cnfStyle w:val="000000100000" w:firstRow="0" w:lastRow="0" w:firstColumn="0" w:lastColumn="0" w:oddVBand="0" w:evenVBand="0" w:oddHBand="1" w:evenHBand="0"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3681" w:type="dxa"/>
            <w:hideMark/>
          </w:tcPr>
          <w:p w:rsidR="00786A6A" w:rsidRPr="004C5D83" w:rsidRDefault="00786A6A" w:rsidP="00786A6A">
            <w:pPr>
              <w:spacing w:after="0" w:line="240" w:lineRule="auto"/>
              <w:rPr>
                <w:rFonts w:ascii="Times New Roman" w:eastAsia="Times New Roman" w:hAnsi="Times New Roman" w:cs="Times New Roman"/>
                <w:color w:val="000000" w:themeColor="text1"/>
                <w:sz w:val="20"/>
                <w:szCs w:val="20"/>
                <w:lang w:eastAsia="lv-LV"/>
              </w:rPr>
            </w:pPr>
            <w:r w:rsidRPr="004C5D83">
              <w:rPr>
                <w:rFonts w:ascii="Times New Roman" w:eastAsia="Times New Roman" w:hAnsi="Times New Roman" w:cs="Times New Roman"/>
                <w:color w:val="000000" w:themeColor="text1"/>
                <w:sz w:val="20"/>
                <w:szCs w:val="20"/>
                <w:lang w:eastAsia="lv-LV"/>
              </w:rPr>
              <w:t>9. Procentu izdevumi</w:t>
            </w:r>
          </w:p>
        </w:tc>
        <w:tc>
          <w:tcPr>
            <w:tcW w:w="1134" w:type="dxa"/>
            <w:vAlign w:val="center"/>
            <w:hideMark/>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D.41</w:t>
            </w:r>
          </w:p>
        </w:tc>
        <w:tc>
          <w:tcPr>
            <w:tcW w:w="1134" w:type="dxa"/>
            <w:vAlign w:val="center"/>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Pr>
                <w:rFonts w:ascii="Times New Roman" w:eastAsia="Times New Roman" w:hAnsi="Times New Roman" w:cs="Times New Roman"/>
                <w:bCs/>
                <w:color w:val="auto"/>
                <w:sz w:val="20"/>
                <w:szCs w:val="20"/>
                <w:lang w:eastAsia="lv-LV"/>
              </w:rPr>
              <w:t>208,8</w:t>
            </w:r>
          </w:p>
        </w:tc>
        <w:tc>
          <w:tcPr>
            <w:tcW w:w="861" w:type="dxa"/>
            <w:vAlign w:val="center"/>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362E0A">
              <w:rPr>
                <w:rFonts w:ascii="Times New Roman" w:eastAsia="Times New Roman" w:hAnsi="Times New Roman" w:cs="Times New Roman"/>
                <w:bCs/>
                <w:color w:val="auto"/>
                <w:sz w:val="20"/>
                <w:szCs w:val="20"/>
                <w:lang w:eastAsia="lv-LV"/>
              </w:rPr>
              <w:t>0,</w:t>
            </w:r>
            <w:r>
              <w:rPr>
                <w:rFonts w:ascii="Times New Roman" w:eastAsia="Times New Roman" w:hAnsi="Times New Roman" w:cs="Times New Roman"/>
                <w:bCs/>
                <w:color w:val="auto"/>
                <w:sz w:val="20"/>
                <w:szCs w:val="20"/>
                <w:lang w:eastAsia="lv-LV"/>
              </w:rPr>
              <w:t>7</w:t>
            </w:r>
          </w:p>
        </w:tc>
        <w:tc>
          <w:tcPr>
            <w:tcW w:w="708" w:type="dxa"/>
            <w:vAlign w:val="center"/>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0,7</w:t>
            </w:r>
          </w:p>
        </w:tc>
        <w:tc>
          <w:tcPr>
            <w:tcW w:w="709" w:type="dxa"/>
            <w:vAlign w:val="center"/>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0,8</w:t>
            </w:r>
          </w:p>
        </w:tc>
        <w:tc>
          <w:tcPr>
            <w:tcW w:w="709" w:type="dxa"/>
            <w:vAlign w:val="center"/>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0,8</w:t>
            </w:r>
          </w:p>
        </w:tc>
        <w:tc>
          <w:tcPr>
            <w:tcW w:w="709" w:type="dxa"/>
            <w:vAlign w:val="center"/>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0,8</w:t>
            </w:r>
          </w:p>
        </w:tc>
      </w:tr>
      <w:tr w:rsidR="00786A6A" w:rsidRPr="004C5D83" w:rsidTr="00135E60">
        <w:trPr>
          <w:trHeight w:val="251"/>
          <w:jc w:val="center"/>
        </w:trPr>
        <w:tc>
          <w:tcPr>
            <w:cnfStyle w:val="001000000000" w:firstRow="0" w:lastRow="0" w:firstColumn="1" w:lastColumn="0" w:oddVBand="0" w:evenVBand="0" w:oddHBand="0" w:evenHBand="0" w:firstRowFirstColumn="0" w:firstRowLastColumn="0" w:lastRowFirstColumn="0" w:lastRowLastColumn="0"/>
            <w:tcW w:w="3681" w:type="dxa"/>
            <w:hideMark/>
          </w:tcPr>
          <w:p w:rsidR="00786A6A" w:rsidRPr="004C5D83" w:rsidRDefault="00786A6A" w:rsidP="00786A6A">
            <w:pPr>
              <w:spacing w:after="0" w:line="240" w:lineRule="auto"/>
              <w:rPr>
                <w:rFonts w:ascii="Times New Roman" w:eastAsia="Times New Roman" w:hAnsi="Times New Roman" w:cs="Times New Roman"/>
                <w:color w:val="000000" w:themeColor="text1"/>
                <w:sz w:val="20"/>
                <w:szCs w:val="20"/>
                <w:lang w:eastAsia="lv-LV"/>
              </w:rPr>
            </w:pPr>
            <w:r w:rsidRPr="004C5D83">
              <w:rPr>
                <w:rFonts w:ascii="Times New Roman" w:eastAsia="Times New Roman" w:hAnsi="Times New Roman" w:cs="Times New Roman"/>
                <w:color w:val="000000" w:themeColor="text1"/>
                <w:sz w:val="20"/>
                <w:szCs w:val="20"/>
                <w:lang w:eastAsia="lv-LV"/>
              </w:rPr>
              <w:t>10. Primārā bilance</w:t>
            </w:r>
          </w:p>
        </w:tc>
        <w:tc>
          <w:tcPr>
            <w:tcW w:w="1134" w:type="dxa"/>
            <w:vAlign w:val="center"/>
            <w:hideMark/>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p>
        </w:tc>
        <w:tc>
          <w:tcPr>
            <w:tcW w:w="1134" w:type="dxa"/>
            <w:vAlign w:val="center"/>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Pr>
                <w:rFonts w:ascii="Times New Roman" w:eastAsia="Times New Roman" w:hAnsi="Times New Roman" w:cs="Times New Roman"/>
                <w:bCs/>
                <w:color w:val="auto"/>
                <w:sz w:val="20"/>
                <w:szCs w:val="20"/>
                <w:lang w:eastAsia="lv-LV"/>
              </w:rPr>
              <w:t>-86,6</w:t>
            </w:r>
          </w:p>
        </w:tc>
        <w:tc>
          <w:tcPr>
            <w:tcW w:w="861" w:type="dxa"/>
            <w:vAlign w:val="center"/>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Pr>
                <w:rFonts w:ascii="Times New Roman" w:eastAsia="Times New Roman" w:hAnsi="Times New Roman" w:cs="Times New Roman"/>
                <w:bCs/>
                <w:color w:val="auto"/>
                <w:sz w:val="20"/>
                <w:szCs w:val="20"/>
                <w:lang w:eastAsia="lv-LV"/>
              </w:rPr>
              <w:t>-0,3</w:t>
            </w:r>
          </w:p>
        </w:tc>
        <w:tc>
          <w:tcPr>
            <w:tcW w:w="708" w:type="dxa"/>
            <w:vAlign w:val="center"/>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0,2</w:t>
            </w:r>
          </w:p>
        </w:tc>
        <w:tc>
          <w:tcPr>
            <w:tcW w:w="709" w:type="dxa"/>
            <w:vAlign w:val="center"/>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0,4</w:t>
            </w:r>
          </w:p>
        </w:tc>
        <w:tc>
          <w:tcPr>
            <w:tcW w:w="709" w:type="dxa"/>
            <w:vAlign w:val="center"/>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0,5</w:t>
            </w:r>
          </w:p>
        </w:tc>
        <w:tc>
          <w:tcPr>
            <w:tcW w:w="709" w:type="dxa"/>
            <w:vAlign w:val="center"/>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0,5</w:t>
            </w:r>
          </w:p>
        </w:tc>
      </w:tr>
      <w:tr w:rsidR="004C5D83" w:rsidRPr="004C5D83" w:rsidTr="004C5D83">
        <w:trPr>
          <w:cnfStyle w:val="000000100000" w:firstRow="0" w:lastRow="0" w:firstColumn="0" w:lastColumn="0" w:oddVBand="0" w:evenVBand="0" w:oddHBand="1" w:evenHBand="0" w:firstRowFirstColumn="0" w:firstRowLastColumn="0" w:lastRowFirstColumn="0" w:lastRowLastColumn="0"/>
          <w:trHeight w:val="141"/>
          <w:jc w:val="center"/>
        </w:trPr>
        <w:tc>
          <w:tcPr>
            <w:cnfStyle w:val="001000000000" w:firstRow="0" w:lastRow="0" w:firstColumn="1" w:lastColumn="0" w:oddVBand="0" w:evenVBand="0" w:oddHBand="0" w:evenHBand="0" w:firstRowFirstColumn="0" w:firstRowLastColumn="0" w:lastRowFirstColumn="0" w:lastRowLastColumn="0"/>
            <w:tcW w:w="3681" w:type="dxa"/>
            <w:hideMark/>
          </w:tcPr>
          <w:p w:rsidR="004C5D83" w:rsidRPr="004C5D83" w:rsidRDefault="004C5D83" w:rsidP="004C5D83">
            <w:pPr>
              <w:spacing w:after="0" w:line="240" w:lineRule="auto"/>
              <w:rPr>
                <w:rFonts w:ascii="Times New Roman" w:eastAsia="Times New Roman" w:hAnsi="Times New Roman" w:cs="Times New Roman"/>
                <w:color w:val="000000" w:themeColor="text1"/>
                <w:sz w:val="20"/>
                <w:szCs w:val="20"/>
                <w:lang w:eastAsia="lv-LV"/>
              </w:rPr>
            </w:pPr>
            <w:r w:rsidRPr="004C5D83">
              <w:rPr>
                <w:rFonts w:ascii="Times New Roman" w:eastAsia="Times New Roman" w:hAnsi="Times New Roman" w:cs="Times New Roman"/>
                <w:color w:val="000000" w:themeColor="text1"/>
                <w:sz w:val="20"/>
                <w:szCs w:val="20"/>
                <w:lang w:eastAsia="lv-LV"/>
              </w:rPr>
              <w:t>11. Vienreizēji un citi īslaicīgi pasākumi</w:t>
            </w:r>
            <w:r w:rsidRPr="004C5D83">
              <w:rPr>
                <w:rFonts w:ascii="Times New Roman" w:eastAsia="Times New Roman" w:hAnsi="Times New Roman" w:cs="Times New Roman"/>
                <w:color w:val="000000" w:themeColor="text1"/>
                <w:sz w:val="20"/>
                <w:szCs w:val="20"/>
                <w:vertAlign w:val="superscript"/>
                <w:lang w:eastAsia="lv-LV"/>
              </w:rPr>
              <w:footnoteReference w:id="9"/>
            </w:r>
          </w:p>
        </w:tc>
        <w:tc>
          <w:tcPr>
            <w:tcW w:w="1134" w:type="dxa"/>
            <w:vAlign w:val="center"/>
            <w:hideMark/>
          </w:tcPr>
          <w:p w:rsidR="004C5D83" w:rsidRPr="004C5D83" w:rsidRDefault="004C5D83" w:rsidP="004C5D8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p>
        </w:tc>
        <w:tc>
          <w:tcPr>
            <w:tcW w:w="1134" w:type="dxa"/>
            <w:vAlign w:val="center"/>
          </w:tcPr>
          <w:p w:rsidR="004C5D83" w:rsidRPr="004C5D83" w:rsidRDefault="004C5D83" w:rsidP="004C5D8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p>
        </w:tc>
        <w:tc>
          <w:tcPr>
            <w:tcW w:w="861" w:type="dxa"/>
            <w:vAlign w:val="center"/>
          </w:tcPr>
          <w:p w:rsidR="004C5D83" w:rsidRPr="004C5D83" w:rsidRDefault="004C5D83" w:rsidP="004C5D8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p>
        </w:tc>
        <w:tc>
          <w:tcPr>
            <w:tcW w:w="708" w:type="dxa"/>
            <w:vAlign w:val="center"/>
          </w:tcPr>
          <w:p w:rsidR="004C5D83" w:rsidRPr="004C5D83" w:rsidRDefault="004C5D83" w:rsidP="004C5D8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0,1</w:t>
            </w:r>
          </w:p>
        </w:tc>
        <w:tc>
          <w:tcPr>
            <w:tcW w:w="709" w:type="dxa"/>
          </w:tcPr>
          <w:p w:rsidR="004C5D83" w:rsidRPr="004C5D83" w:rsidRDefault="004C5D83" w:rsidP="004C5D8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p>
        </w:tc>
        <w:tc>
          <w:tcPr>
            <w:tcW w:w="709" w:type="dxa"/>
          </w:tcPr>
          <w:p w:rsidR="004C5D83" w:rsidRPr="004C5D83" w:rsidRDefault="004C5D83" w:rsidP="004C5D8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p>
        </w:tc>
        <w:tc>
          <w:tcPr>
            <w:tcW w:w="709" w:type="dxa"/>
          </w:tcPr>
          <w:p w:rsidR="004C5D83" w:rsidRPr="004C5D83" w:rsidRDefault="004C5D83" w:rsidP="004C5D8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p>
        </w:tc>
      </w:tr>
    </w:tbl>
    <w:tbl>
      <w:tblPr>
        <w:tblStyle w:val="GridTable6Colorful-Accent113"/>
        <w:tblW w:w="9645" w:type="dxa"/>
        <w:jc w:val="center"/>
        <w:tblLayout w:type="fixed"/>
        <w:tblLook w:val="04A0" w:firstRow="1" w:lastRow="0" w:firstColumn="1" w:lastColumn="0" w:noHBand="0" w:noVBand="1"/>
      </w:tblPr>
      <w:tblGrid>
        <w:gridCol w:w="9645"/>
      </w:tblGrid>
      <w:tr w:rsidR="004C5D83" w:rsidRPr="004C5D83" w:rsidTr="00135E60">
        <w:trPr>
          <w:cnfStyle w:val="100000000000" w:firstRow="1" w:lastRow="0" w:firstColumn="0" w:lastColumn="0" w:oddVBand="0" w:evenVBand="0" w:oddHBand="0"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9645" w:type="dxa"/>
            <w:vAlign w:val="center"/>
            <w:hideMark/>
          </w:tcPr>
          <w:p w:rsidR="004C5D83" w:rsidRPr="004C5D83" w:rsidRDefault="004C5D83" w:rsidP="004C5D83">
            <w:pPr>
              <w:spacing w:after="0" w:line="240" w:lineRule="auto"/>
              <w:jc w:val="center"/>
              <w:rPr>
                <w:rFonts w:ascii="Times New Roman" w:eastAsia="Times New Roman" w:hAnsi="Times New Roman" w:cs="Times New Roman"/>
                <w:bCs w:val="0"/>
                <w:color w:val="000000" w:themeColor="text1"/>
                <w:sz w:val="20"/>
                <w:szCs w:val="20"/>
                <w:lang w:eastAsia="lv-LV"/>
              </w:rPr>
            </w:pPr>
            <w:r w:rsidRPr="004C5D83">
              <w:rPr>
                <w:rFonts w:ascii="Times New Roman" w:eastAsia="Times New Roman" w:hAnsi="Times New Roman" w:cs="Times New Roman"/>
                <w:bCs w:val="0"/>
                <w:color w:val="000000" w:themeColor="text1"/>
                <w:sz w:val="20"/>
                <w:szCs w:val="20"/>
                <w:lang w:eastAsia="lv-LV"/>
              </w:rPr>
              <w:t>Ieņēmumu sadaļas</w:t>
            </w:r>
          </w:p>
        </w:tc>
      </w:tr>
    </w:tbl>
    <w:tbl>
      <w:tblPr>
        <w:tblStyle w:val="GridTable6Colorful-Accent114"/>
        <w:tblW w:w="9645" w:type="dxa"/>
        <w:jc w:val="center"/>
        <w:tblLayout w:type="fixed"/>
        <w:tblLook w:val="04A0" w:firstRow="1" w:lastRow="0" w:firstColumn="1" w:lastColumn="0" w:noHBand="0" w:noVBand="1"/>
      </w:tblPr>
      <w:tblGrid>
        <w:gridCol w:w="3681"/>
        <w:gridCol w:w="1134"/>
        <w:gridCol w:w="1134"/>
        <w:gridCol w:w="861"/>
        <w:gridCol w:w="708"/>
        <w:gridCol w:w="709"/>
        <w:gridCol w:w="709"/>
        <w:gridCol w:w="709"/>
      </w:tblGrid>
      <w:tr w:rsidR="00786A6A" w:rsidRPr="004C5D83" w:rsidTr="00135E60">
        <w:trPr>
          <w:cnfStyle w:val="100000000000" w:firstRow="1" w:lastRow="0" w:firstColumn="0" w:lastColumn="0" w:oddVBand="0" w:evenVBand="0" w:oddHBand="0" w:evenHBand="0" w:firstRowFirstColumn="0" w:firstRowLastColumn="0" w:lastRowFirstColumn="0" w:lastRowLastColumn="0"/>
          <w:trHeight w:val="149"/>
          <w:jc w:val="center"/>
        </w:trPr>
        <w:tc>
          <w:tcPr>
            <w:cnfStyle w:val="001000000000" w:firstRow="0" w:lastRow="0" w:firstColumn="1" w:lastColumn="0" w:oddVBand="0" w:evenVBand="0" w:oddHBand="0" w:evenHBand="0" w:firstRowFirstColumn="0" w:firstRowLastColumn="0" w:lastRowFirstColumn="0" w:lastRowLastColumn="0"/>
            <w:tcW w:w="3681" w:type="dxa"/>
            <w:hideMark/>
          </w:tcPr>
          <w:p w:rsidR="00786A6A" w:rsidRPr="004C5D83" w:rsidRDefault="00786A6A" w:rsidP="00786A6A">
            <w:pPr>
              <w:spacing w:after="0" w:line="240" w:lineRule="auto"/>
              <w:rPr>
                <w:rFonts w:ascii="Times New Roman" w:eastAsia="Times New Roman" w:hAnsi="Times New Roman" w:cs="Times New Roman"/>
                <w:color w:val="000000" w:themeColor="text1"/>
                <w:sz w:val="20"/>
                <w:szCs w:val="20"/>
                <w:lang w:eastAsia="lv-LV"/>
              </w:rPr>
            </w:pPr>
            <w:r w:rsidRPr="004C5D83">
              <w:rPr>
                <w:rFonts w:ascii="Times New Roman" w:eastAsia="Times New Roman" w:hAnsi="Times New Roman" w:cs="Times New Roman"/>
                <w:color w:val="000000" w:themeColor="text1"/>
                <w:sz w:val="20"/>
                <w:szCs w:val="20"/>
                <w:lang w:eastAsia="lv-LV"/>
              </w:rPr>
              <w:t>12. Nodokļi kopā (12=12a+12b+12c)</w:t>
            </w:r>
          </w:p>
        </w:tc>
        <w:tc>
          <w:tcPr>
            <w:tcW w:w="1134" w:type="dxa"/>
            <w:vAlign w:val="center"/>
            <w:hideMark/>
          </w:tcPr>
          <w:p w:rsidR="00786A6A" w:rsidRPr="004C5D83" w:rsidRDefault="00786A6A" w:rsidP="00786A6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p>
        </w:tc>
        <w:tc>
          <w:tcPr>
            <w:tcW w:w="1134" w:type="dxa"/>
            <w:vAlign w:val="center"/>
          </w:tcPr>
          <w:p w:rsidR="00786A6A" w:rsidRPr="004C5D83" w:rsidRDefault="00786A6A" w:rsidP="00786A6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Pr>
                <w:rFonts w:ascii="Times New Roman" w:eastAsia="Times New Roman" w:hAnsi="Times New Roman" w:cs="Times New Roman"/>
                <w:color w:val="auto"/>
                <w:sz w:val="20"/>
                <w:szCs w:val="20"/>
                <w:lang w:eastAsia="lv-LV"/>
              </w:rPr>
              <w:t>6 320,5</w:t>
            </w:r>
          </w:p>
        </w:tc>
        <w:tc>
          <w:tcPr>
            <w:tcW w:w="861" w:type="dxa"/>
            <w:vAlign w:val="center"/>
          </w:tcPr>
          <w:p w:rsidR="00786A6A" w:rsidRPr="004C5D83" w:rsidRDefault="00786A6A" w:rsidP="00786A6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362E0A">
              <w:rPr>
                <w:rFonts w:ascii="Times New Roman" w:eastAsia="Times New Roman" w:hAnsi="Times New Roman" w:cs="Times New Roman"/>
                <w:color w:val="auto"/>
                <w:sz w:val="20"/>
                <w:szCs w:val="20"/>
                <w:lang w:eastAsia="lv-LV"/>
              </w:rPr>
              <w:t>21,</w:t>
            </w:r>
            <w:r>
              <w:rPr>
                <w:rFonts w:ascii="Times New Roman" w:eastAsia="Times New Roman" w:hAnsi="Times New Roman" w:cs="Times New Roman"/>
                <w:color w:val="auto"/>
                <w:sz w:val="20"/>
                <w:szCs w:val="20"/>
                <w:lang w:eastAsia="lv-LV"/>
              </w:rPr>
              <w:t>4</w:t>
            </w:r>
          </w:p>
        </w:tc>
        <w:tc>
          <w:tcPr>
            <w:tcW w:w="708" w:type="dxa"/>
            <w:vAlign w:val="center"/>
          </w:tcPr>
          <w:p w:rsidR="00786A6A" w:rsidRPr="004C5D83" w:rsidRDefault="00786A6A" w:rsidP="00786A6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4C5D83">
              <w:rPr>
                <w:rFonts w:ascii="Times New Roman" w:eastAsia="Times New Roman" w:hAnsi="Times New Roman" w:cs="Times New Roman"/>
                <w:color w:val="000000" w:themeColor="text1"/>
                <w:sz w:val="20"/>
                <w:szCs w:val="20"/>
                <w:lang w:eastAsia="lv-LV"/>
              </w:rPr>
              <w:t>20,7</w:t>
            </w:r>
          </w:p>
        </w:tc>
        <w:tc>
          <w:tcPr>
            <w:tcW w:w="709" w:type="dxa"/>
            <w:vAlign w:val="center"/>
          </w:tcPr>
          <w:p w:rsidR="00786A6A" w:rsidRPr="004C5D83" w:rsidRDefault="00786A6A" w:rsidP="00786A6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4C5D83">
              <w:rPr>
                <w:rFonts w:ascii="Times New Roman" w:eastAsia="Times New Roman" w:hAnsi="Times New Roman" w:cs="Times New Roman"/>
                <w:color w:val="000000" w:themeColor="text1"/>
                <w:sz w:val="20"/>
                <w:szCs w:val="20"/>
                <w:lang w:eastAsia="lv-LV"/>
              </w:rPr>
              <w:t>20,9</w:t>
            </w:r>
          </w:p>
        </w:tc>
        <w:tc>
          <w:tcPr>
            <w:tcW w:w="709" w:type="dxa"/>
            <w:vAlign w:val="center"/>
          </w:tcPr>
          <w:p w:rsidR="00786A6A" w:rsidRPr="004C5D83" w:rsidRDefault="00786A6A" w:rsidP="00786A6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4C5D83">
              <w:rPr>
                <w:rFonts w:ascii="Times New Roman" w:eastAsia="Times New Roman" w:hAnsi="Times New Roman" w:cs="Times New Roman"/>
                <w:color w:val="000000" w:themeColor="text1"/>
                <w:sz w:val="20"/>
                <w:szCs w:val="20"/>
                <w:lang w:eastAsia="lv-LV"/>
              </w:rPr>
              <w:t>20,8</w:t>
            </w:r>
          </w:p>
        </w:tc>
        <w:tc>
          <w:tcPr>
            <w:tcW w:w="709" w:type="dxa"/>
            <w:vAlign w:val="center"/>
          </w:tcPr>
          <w:p w:rsidR="00786A6A" w:rsidRPr="004C5D83" w:rsidRDefault="00786A6A" w:rsidP="00786A6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4C5D83">
              <w:rPr>
                <w:rFonts w:ascii="Times New Roman" w:eastAsia="Times New Roman" w:hAnsi="Times New Roman" w:cs="Times New Roman"/>
                <w:color w:val="000000" w:themeColor="text1"/>
                <w:sz w:val="20"/>
                <w:szCs w:val="20"/>
                <w:lang w:eastAsia="lv-LV"/>
              </w:rPr>
              <w:t>20,6</w:t>
            </w:r>
          </w:p>
        </w:tc>
      </w:tr>
      <w:tr w:rsidR="00786A6A" w:rsidRPr="004C5D83" w:rsidTr="004C5D83">
        <w:trPr>
          <w:cnfStyle w:val="000000100000" w:firstRow="0" w:lastRow="0" w:firstColumn="0" w:lastColumn="0" w:oddVBand="0" w:evenVBand="0" w:oddHBand="1" w:evenHBand="0" w:firstRowFirstColumn="0" w:firstRowLastColumn="0" w:lastRowFirstColumn="0" w:lastRowLastColumn="0"/>
          <w:trHeight w:val="196"/>
          <w:jc w:val="center"/>
        </w:trPr>
        <w:tc>
          <w:tcPr>
            <w:cnfStyle w:val="001000000000" w:firstRow="0" w:lastRow="0" w:firstColumn="1" w:lastColumn="0" w:oddVBand="0" w:evenVBand="0" w:oddHBand="0" w:evenHBand="0" w:firstRowFirstColumn="0" w:firstRowLastColumn="0" w:lastRowFirstColumn="0" w:lastRowLastColumn="0"/>
            <w:tcW w:w="3681" w:type="dxa"/>
            <w:hideMark/>
          </w:tcPr>
          <w:p w:rsidR="00786A6A" w:rsidRPr="004C5D83" w:rsidRDefault="00786A6A" w:rsidP="00786A6A">
            <w:pPr>
              <w:spacing w:after="0" w:line="240" w:lineRule="auto"/>
              <w:rPr>
                <w:rFonts w:ascii="Times New Roman" w:eastAsia="Times New Roman" w:hAnsi="Times New Roman" w:cs="Times New Roman"/>
                <w:color w:val="000000" w:themeColor="text1"/>
                <w:sz w:val="20"/>
                <w:szCs w:val="20"/>
                <w:lang w:eastAsia="lv-LV"/>
              </w:rPr>
            </w:pPr>
            <w:r w:rsidRPr="004C5D83">
              <w:rPr>
                <w:rFonts w:ascii="Times New Roman" w:eastAsia="Times New Roman" w:hAnsi="Times New Roman" w:cs="Times New Roman"/>
                <w:color w:val="000000" w:themeColor="text1"/>
                <w:sz w:val="20"/>
                <w:szCs w:val="20"/>
                <w:lang w:eastAsia="lv-LV"/>
              </w:rPr>
              <w:t>12a. Ražošanas un importa nodokļi</w:t>
            </w:r>
          </w:p>
        </w:tc>
        <w:tc>
          <w:tcPr>
            <w:tcW w:w="1134" w:type="dxa"/>
            <w:vAlign w:val="center"/>
            <w:hideMark/>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D.2</w:t>
            </w:r>
          </w:p>
        </w:tc>
        <w:tc>
          <w:tcPr>
            <w:tcW w:w="1134" w:type="dxa"/>
            <w:vAlign w:val="center"/>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Pr>
                <w:rFonts w:ascii="Times New Roman" w:eastAsia="Times New Roman" w:hAnsi="Times New Roman" w:cs="Times New Roman"/>
                <w:bCs/>
                <w:color w:val="auto"/>
                <w:sz w:val="20"/>
                <w:szCs w:val="20"/>
                <w:lang w:eastAsia="lv-LV"/>
              </w:rPr>
              <w:t>4 160,3</w:t>
            </w:r>
          </w:p>
        </w:tc>
        <w:tc>
          <w:tcPr>
            <w:tcW w:w="861" w:type="dxa"/>
            <w:vAlign w:val="center"/>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Pr>
                <w:rFonts w:ascii="Times New Roman" w:eastAsia="Times New Roman" w:hAnsi="Times New Roman" w:cs="Times New Roman"/>
                <w:bCs/>
                <w:color w:val="auto"/>
                <w:sz w:val="20"/>
                <w:szCs w:val="20"/>
                <w:lang w:eastAsia="lv-LV"/>
              </w:rPr>
              <w:t>14,1</w:t>
            </w:r>
          </w:p>
        </w:tc>
        <w:tc>
          <w:tcPr>
            <w:tcW w:w="708" w:type="dxa"/>
            <w:vAlign w:val="center"/>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14,1</w:t>
            </w:r>
          </w:p>
        </w:tc>
        <w:tc>
          <w:tcPr>
            <w:tcW w:w="709" w:type="dxa"/>
            <w:vAlign w:val="center"/>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14,3</w:t>
            </w:r>
          </w:p>
        </w:tc>
        <w:tc>
          <w:tcPr>
            <w:tcW w:w="709" w:type="dxa"/>
            <w:vAlign w:val="center"/>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14,2</w:t>
            </w:r>
          </w:p>
        </w:tc>
        <w:tc>
          <w:tcPr>
            <w:tcW w:w="709" w:type="dxa"/>
            <w:vAlign w:val="center"/>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14,0</w:t>
            </w:r>
          </w:p>
        </w:tc>
      </w:tr>
      <w:tr w:rsidR="00786A6A" w:rsidRPr="004C5D83" w:rsidTr="00135E60">
        <w:trPr>
          <w:trHeight w:val="241"/>
          <w:jc w:val="center"/>
        </w:trPr>
        <w:tc>
          <w:tcPr>
            <w:cnfStyle w:val="001000000000" w:firstRow="0" w:lastRow="0" w:firstColumn="1" w:lastColumn="0" w:oddVBand="0" w:evenVBand="0" w:oddHBand="0" w:evenHBand="0" w:firstRowFirstColumn="0" w:firstRowLastColumn="0" w:lastRowFirstColumn="0" w:lastRowLastColumn="0"/>
            <w:tcW w:w="3681" w:type="dxa"/>
            <w:hideMark/>
          </w:tcPr>
          <w:p w:rsidR="00786A6A" w:rsidRPr="004C5D83" w:rsidRDefault="00786A6A" w:rsidP="00786A6A">
            <w:pPr>
              <w:spacing w:after="0" w:line="240" w:lineRule="auto"/>
              <w:rPr>
                <w:rFonts w:ascii="Times New Roman" w:eastAsia="Times New Roman" w:hAnsi="Times New Roman" w:cs="Times New Roman"/>
                <w:color w:val="000000" w:themeColor="text1"/>
                <w:sz w:val="20"/>
                <w:szCs w:val="20"/>
                <w:lang w:eastAsia="lv-LV"/>
              </w:rPr>
            </w:pPr>
            <w:r w:rsidRPr="004C5D83">
              <w:rPr>
                <w:rFonts w:ascii="Times New Roman" w:eastAsia="Times New Roman" w:hAnsi="Times New Roman" w:cs="Times New Roman"/>
                <w:color w:val="000000" w:themeColor="text1"/>
                <w:sz w:val="20"/>
                <w:szCs w:val="20"/>
                <w:lang w:eastAsia="lv-LV"/>
              </w:rPr>
              <w:t>12b. Ienākuma un mantas kārtējie nodokļi</w:t>
            </w:r>
          </w:p>
        </w:tc>
        <w:tc>
          <w:tcPr>
            <w:tcW w:w="1134" w:type="dxa"/>
            <w:vAlign w:val="center"/>
            <w:hideMark/>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D.5</w:t>
            </w:r>
          </w:p>
        </w:tc>
        <w:tc>
          <w:tcPr>
            <w:tcW w:w="1134" w:type="dxa"/>
            <w:vAlign w:val="center"/>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Pr>
                <w:rFonts w:ascii="Times New Roman" w:eastAsia="Times New Roman" w:hAnsi="Times New Roman" w:cs="Times New Roman"/>
                <w:bCs/>
                <w:color w:val="auto"/>
                <w:sz w:val="20"/>
                <w:szCs w:val="20"/>
                <w:lang w:eastAsia="lv-LV"/>
              </w:rPr>
              <w:t>2 149,8</w:t>
            </w:r>
          </w:p>
        </w:tc>
        <w:tc>
          <w:tcPr>
            <w:tcW w:w="861" w:type="dxa"/>
            <w:vAlign w:val="center"/>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362E0A">
              <w:rPr>
                <w:rFonts w:ascii="Times New Roman" w:eastAsia="Times New Roman" w:hAnsi="Times New Roman" w:cs="Times New Roman"/>
                <w:bCs/>
                <w:color w:val="auto"/>
                <w:sz w:val="20"/>
                <w:szCs w:val="20"/>
                <w:lang w:eastAsia="lv-LV"/>
              </w:rPr>
              <w:t>7,3</w:t>
            </w:r>
          </w:p>
        </w:tc>
        <w:tc>
          <w:tcPr>
            <w:tcW w:w="708" w:type="dxa"/>
            <w:vAlign w:val="center"/>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6,5</w:t>
            </w:r>
          </w:p>
        </w:tc>
        <w:tc>
          <w:tcPr>
            <w:tcW w:w="709" w:type="dxa"/>
            <w:vAlign w:val="center"/>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6,6</w:t>
            </w:r>
          </w:p>
        </w:tc>
        <w:tc>
          <w:tcPr>
            <w:tcW w:w="709" w:type="dxa"/>
            <w:vAlign w:val="center"/>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6,6</w:t>
            </w:r>
          </w:p>
        </w:tc>
        <w:tc>
          <w:tcPr>
            <w:tcW w:w="709" w:type="dxa"/>
            <w:vAlign w:val="center"/>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6,6</w:t>
            </w:r>
          </w:p>
        </w:tc>
      </w:tr>
      <w:tr w:rsidR="00786A6A" w:rsidRPr="004C5D83" w:rsidTr="004C5D83">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3681" w:type="dxa"/>
            <w:hideMark/>
          </w:tcPr>
          <w:p w:rsidR="00786A6A" w:rsidRPr="004C5D83" w:rsidRDefault="00786A6A" w:rsidP="00786A6A">
            <w:pPr>
              <w:spacing w:after="0" w:line="240" w:lineRule="auto"/>
              <w:rPr>
                <w:rFonts w:ascii="Times New Roman" w:eastAsia="Times New Roman" w:hAnsi="Times New Roman" w:cs="Times New Roman"/>
                <w:color w:val="000000" w:themeColor="text1"/>
                <w:sz w:val="20"/>
                <w:szCs w:val="20"/>
                <w:lang w:eastAsia="lv-LV"/>
              </w:rPr>
            </w:pPr>
            <w:r w:rsidRPr="004C5D83">
              <w:rPr>
                <w:rFonts w:ascii="Times New Roman" w:eastAsia="Times New Roman" w:hAnsi="Times New Roman" w:cs="Times New Roman"/>
                <w:color w:val="000000" w:themeColor="text1"/>
                <w:sz w:val="20"/>
                <w:szCs w:val="20"/>
                <w:lang w:eastAsia="lv-LV"/>
              </w:rPr>
              <w:t>12c. Kapitāla nodokļi</w:t>
            </w:r>
          </w:p>
        </w:tc>
        <w:tc>
          <w:tcPr>
            <w:tcW w:w="1134" w:type="dxa"/>
            <w:vAlign w:val="center"/>
            <w:hideMark/>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D.91</w:t>
            </w:r>
          </w:p>
        </w:tc>
        <w:tc>
          <w:tcPr>
            <w:tcW w:w="1134" w:type="dxa"/>
            <w:vAlign w:val="center"/>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Pr>
                <w:rFonts w:ascii="Times New Roman" w:eastAsia="Times New Roman" w:hAnsi="Times New Roman" w:cs="Times New Roman"/>
                <w:bCs/>
                <w:color w:val="auto"/>
                <w:sz w:val="20"/>
                <w:szCs w:val="20"/>
                <w:lang w:eastAsia="lv-LV"/>
              </w:rPr>
              <w:t>10,4</w:t>
            </w:r>
          </w:p>
        </w:tc>
        <w:tc>
          <w:tcPr>
            <w:tcW w:w="861" w:type="dxa"/>
            <w:vAlign w:val="center"/>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362E0A">
              <w:rPr>
                <w:rFonts w:ascii="Times New Roman" w:eastAsia="Times New Roman" w:hAnsi="Times New Roman" w:cs="Times New Roman"/>
                <w:bCs/>
                <w:color w:val="auto"/>
                <w:sz w:val="20"/>
                <w:szCs w:val="20"/>
                <w:lang w:eastAsia="lv-LV"/>
              </w:rPr>
              <w:t>0,0</w:t>
            </w:r>
          </w:p>
        </w:tc>
        <w:tc>
          <w:tcPr>
            <w:tcW w:w="708" w:type="dxa"/>
            <w:vAlign w:val="center"/>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0,0</w:t>
            </w:r>
          </w:p>
        </w:tc>
        <w:tc>
          <w:tcPr>
            <w:tcW w:w="709" w:type="dxa"/>
            <w:vAlign w:val="center"/>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0,0</w:t>
            </w:r>
          </w:p>
        </w:tc>
        <w:tc>
          <w:tcPr>
            <w:tcW w:w="709" w:type="dxa"/>
            <w:vAlign w:val="center"/>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0,0</w:t>
            </w:r>
          </w:p>
        </w:tc>
        <w:tc>
          <w:tcPr>
            <w:tcW w:w="709" w:type="dxa"/>
            <w:vAlign w:val="center"/>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0,0</w:t>
            </w:r>
          </w:p>
        </w:tc>
      </w:tr>
      <w:tr w:rsidR="00786A6A" w:rsidRPr="004C5D83" w:rsidTr="00135E60">
        <w:trPr>
          <w:trHeight w:val="135"/>
          <w:jc w:val="center"/>
        </w:trPr>
        <w:tc>
          <w:tcPr>
            <w:cnfStyle w:val="001000000000" w:firstRow="0" w:lastRow="0" w:firstColumn="1" w:lastColumn="0" w:oddVBand="0" w:evenVBand="0" w:oddHBand="0" w:evenHBand="0" w:firstRowFirstColumn="0" w:firstRowLastColumn="0" w:lastRowFirstColumn="0" w:lastRowLastColumn="0"/>
            <w:tcW w:w="3681" w:type="dxa"/>
            <w:hideMark/>
          </w:tcPr>
          <w:p w:rsidR="00786A6A" w:rsidRPr="004C5D83" w:rsidRDefault="00786A6A" w:rsidP="00786A6A">
            <w:pPr>
              <w:spacing w:after="0" w:line="240" w:lineRule="auto"/>
              <w:rPr>
                <w:rFonts w:ascii="Times New Roman" w:eastAsia="Times New Roman" w:hAnsi="Times New Roman" w:cs="Times New Roman"/>
                <w:color w:val="000000" w:themeColor="text1"/>
                <w:sz w:val="20"/>
                <w:szCs w:val="20"/>
                <w:lang w:eastAsia="lv-LV"/>
              </w:rPr>
            </w:pPr>
            <w:r w:rsidRPr="004C5D83">
              <w:rPr>
                <w:rFonts w:ascii="Times New Roman" w:eastAsia="Times New Roman" w:hAnsi="Times New Roman" w:cs="Times New Roman"/>
                <w:color w:val="000000" w:themeColor="text1"/>
                <w:sz w:val="20"/>
                <w:szCs w:val="20"/>
                <w:lang w:eastAsia="lv-LV"/>
              </w:rPr>
              <w:t>13. Sociālās iemaksas</w:t>
            </w:r>
          </w:p>
        </w:tc>
        <w:tc>
          <w:tcPr>
            <w:tcW w:w="1134" w:type="dxa"/>
            <w:vAlign w:val="center"/>
            <w:hideMark/>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D.61</w:t>
            </w:r>
          </w:p>
        </w:tc>
        <w:tc>
          <w:tcPr>
            <w:tcW w:w="1134" w:type="dxa"/>
            <w:vAlign w:val="center"/>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Pr>
                <w:rFonts w:ascii="Times New Roman" w:eastAsia="Times New Roman" w:hAnsi="Times New Roman" w:cs="Times New Roman"/>
                <w:bCs/>
                <w:color w:val="auto"/>
                <w:sz w:val="20"/>
                <w:szCs w:val="20"/>
                <w:lang w:eastAsia="lv-LV"/>
              </w:rPr>
              <w:t>2 758,4</w:t>
            </w:r>
          </w:p>
        </w:tc>
        <w:tc>
          <w:tcPr>
            <w:tcW w:w="861" w:type="dxa"/>
            <w:vAlign w:val="center"/>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362E0A">
              <w:rPr>
                <w:rFonts w:ascii="Times New Roman" w:eastAsia="Times New Roman" w:hAnsi="Times New Roman" w:cs="Times New Roman"/>
                <w:bCs/>
                <w:color w:val="auto"/>
                <w:sz w:val="20"/>
                <w:szCs w:val="20"/>
                <w:lang w:eastAsia="lv-LV"/>
              </w:rPr>
              <w:t>9,3</w:t>
            </w:r>
          </w:p>
        </w:tc>
        <w:tc>
          <w:tcPr>
            <w:tcW w:w="708" w:type="dxa"/>
            <w:vAlign w:val="center"/>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9,4</w:t>
            </w:r>
          </w:p>
        </w:tc>
        <w:tc>
          <w:tcPr>
            <w:tcW w:w="709" w:type="dxa"/>
            <w:vAlign w:val="center"/>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9,4</w:t>
            </w:r>
          </w:p>
        </w:tc>
        <w:tc>
          <w:tcPr>
            <w:tcW w:w="709" w:type="dxa"/>
            <w:vAlign w:val="center"/>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9,4</w:t>
            </w:r>
          </w:p>
        </w:tc>
        <w:tc>
          <w:tcPr>
            <w:tcW w:w="709" w:type="dxa"/>
            <w:vAlign w:val="center"/>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9,4</w:t>
            </w:r>
          </w:p>
        </w:tc>
      </w:tr>
      <w:tr w:rsidR="00786A6A" w:rsidRPr="004C5D83" w:rsidTr="004C5D83">
        <w:trPr>
          <w:cnfStyle w:val="000000100000" w:firstRow="0" w:lastRow="0" w:firstColumn="0" w:lastColumn="0" w:oddVBand="0" w:evenVBand="0" w:oddHBand="1" w:evenHBand="0" w:firstRowFirstColumn="0" w:firstRowLastColumn="0" w:lastRowFirstColumn="0" w:lastRowLastColumn="0"/>
          <w:trHeight w:val="181"/>
          <w:jc w:val="center"/>
        </w:trPr>
        <w:tc>
          <w:tcPr>
            <w:cnfStyle w:val="001000000000" w:firstRow="0" w:lastRow="0" w:firstColumn="1" w:lastColumn="0" w:oddVBand="0" w:evenVBand="0" w:oddHBand="0" w:evenHBand="0" w:firstRowFirstColumn="0" w:firstRowLastColumn="0" w:lastRowFirstColumn="0" w:lastRowLastColumn="0"/>
            <w:tcW w:w="3681" w:type="dxa"/>
            <w:hideMark/>
          </w:tcPr>
          <w:p w:rsidR="00786A6A" w:rsidRPr="004C5D83" w:rsidRDefault="00786A6A" w:rsidP="00786A6A">
            <w:pPr>
              <w:spacing w:after="0" w:line="240" w:lineRule="auto"/>
              <w:rPr>
                <w:rFonts w:ascii="Times New Roman" w:eastAsia="Times New Roman" w:hAnsi="Times New Roman" w:cs="Times New Roman"/>
                <w:color w:val="000000" w:themeColor="text1"/>
                <w:sz w:val="20"/>
                <w:szCs w:val="20"/>
                <w:lang w:eastAsia="lv-LV"/>
              </w:rPr>
            </w:pPr>
            <w:r w:rsidRPr="004C5D83">
              <w:rPr>
                <w:rFonts w:ascii="Times New Roman" w:eastAsia="Times New Roman" w:hAnsi="Times New Roman" w:cs="Times New Roman"/>
                <w:color w:val="000000" w:themeColor="text1"/>
                <w:sz w:val="20"/>
                <w:szCs w:val="20"/>
                <w:lang w:eastAsia="lv-LV"/>
              </w:rPr>
              <w:t>14. Īpašuma ienākumi</w:t>
            </w:r>
          </w:p>
        </w:tc>
        <w:tc>
          <w:tcPr>
            <w:tcW w:w="1134" w:type="dxa"/>
            <w:vAlign w:val="center"/>
            <w:hideMark/>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D.4</w:t>
            </w:r>
          </w:p>
        </w:tc>
        <w:tc>
          <w:tcPr>
            <w:tcW w:w="1134" w:type="dxa"/>
            <w:vAlign w:val="center"/>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Pr>
                <w:rFonts w:ascii="Times New Roman" w:eastAsia="Times New Roman" w:hAnsi="Times New Roman" w:cs="Times New Roman"/>
                <w:bCs/>
                <w:color w:val="auto"/>
                <w:sz w:val="20"/>
                <w:szCs w:val="20"/>
                <w:lang w:eastAsia="lv-LV"/>
              </w:rPr>
              <w:t>280,2</w:t>
            </w:r>
          </w:p>
        </w:tc>
        <w:tc>
          <w:tcPr>
            <w:tcW w:w="861" w:type="dxa"/>
            <w:vAlign w:val="center"/>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362E0A">
              <w:rPr>
                <w:rFonts w:ascii="Times New Roman" w:eastAsia="Times New Roman" w:hAnsi="Times New Roman" w:cs="Times New Roman"/>
                <w:bCs/>
                <w:color w:val="auto"/>
                <w:sz w:val="20"/>
                <w:szCs w:val="20"/>
                <w:lang w:eastAsia="lv-LV"/>
              </w:rPr>
              <w:t>0,9</w:t>
            </w:r>
          </w:p>
        </w:tc>
        <w:tc>
          <w:tcPr>
            <w:tcW w:w="708" w:type="dxa"/>
            <w:vAlign w:val="center"/>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0,7</w:t>
            </w:r>
          </w:p>
        </w:tc>
        <w:tc>
          <w:tcPr>
            <w:tcW w:w="709" w:type="dxa"/>
            <w:vAlign w:val="center"/>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0,5</w:t>
            </w:r>
          </w:p>
        </w:tc>
        <w:tc>
          <w:tcPr>
            <w:tcW w:w="709" w:type="dxa"/>
            <w:vAlign w:val="center"/>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0,2</w:t>
            </w:r>
          </w:p>
        </w:tc>
        <w:tc>
          <w:tcPr>
            <w:tcW w:w="709" w:type="dxa"/>
            <w:vAlign w:val="center"/>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0,2</w:t>
            </w:r>
          </w:p>
        </w:tc>
      </w:tr>
      <w:tr w:rsidR="00786A6A" w:rsidRPr="004C5D83" w:rsidTr="00135E60">
        <w:trPr>
          <w:trHeight w:val="227"/>
          <w:jc w:val="center"/>
        </w:trPr>
        <w:tc>
          <w:tcPr>
            <w:cnfStyle w:val="001000000000" w:firstRow="0" w:lastRow="0" w:firstColumn="1" w:lastColumn="0" w:oddVBand="0" w:evenVBand="0" w:oddHBand="0" w:evenHBand="0" w:firstRowFirstColumn="0" w:firstRowLastColumn="0" w:lastRowFirstColumn="0" w:lastRowLastColumn="0"/>
            <w:tcW w:w="3681" w:type="dxa"/>
            <w:hideMark/>
          </w:tcPr>
          <w:p w:rsidR="00786A6A" w:rsidRPr="004C5D83" w:rsidRDefault="00786A6A" w:rsidP="00786A6A">
            <w:pPr>
              <w:spacing w:after="0" w:line="240" w:lineRule="auto"/>
              <w:rPr>
                <w:rFonts w:ascii="Times New Roman" w:eastAsia="Times New Roman" w:hAnsi="Times New Roman" w:cs="Times New Roman"/>
                <w:color w:val="000000" w:themeColor="text1"/>
                <w:sz w:val="20"/>
                <w:szCs w:val="20"/>
                <w:lang w:eastAsia="lv-LV"/>
              </w:rPr>
            </w:pPr>
            <w:r w:rsidRPr="004C5D83">
              <w:rPr>
                <w:rFonts w:ascii="Times New Roman" w:eastAsia="Times New Roman" w:hAnsi="Times New Roman" w:cs="Times New Roman"/>
                <w:color w:val="000000" w:themeColor="text1"/>
                <w:sz w:val="20"/>
                <w:szCs w:val="20"/>
                <w:lang w:eastAsia="lv-LV"/>
              </w:rPr>
              <w:t>15. Pārējie ieņēmumi</w:t>
            </w:r>
          </w:p>
        </w:tc>
        <w:tc>
          <w:tcPr>
            <w:tcW w:w="1134" w:type="dxa"/>
            <w:vAlign w:val="center"/>
            <w:hideMark/>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p>
        </w:tc>
        <w:tc>
          <w:tcPr>
            <w:tcW w:w="1134" w:type="dxa"/>
            <w:vAlign w:val="center"/>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Pr>
                <w:rFonts w:ascii="Times New Roman" w:eastAsia="Times New Roman" w:hAnsi="Times New Roman" w:cs="Times New Roman"/>
                <w:bCs/>
                <w:color w:val="auto"/>
                <w:sz w:val="20"/>
                <w:szCs w:val="20"/>
                <w:lang w:eastAsia="lv-LV"/>
              </w:rPr>
              <w:t>1 707,2</w:t>
            </w:r>
          </w:p>
        </w:tc>
        <w:tc>
          <w:tcPr>
            <w:tcW w:w="861" w:type="dxa"/>
            <w:vAlign w:val="center"/>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362E0A">
              <w:rPr>
                <w:rFonts w:ascii="Times New Roman" w:eastAsia="Times New Roman" w:hAnsi="Times New Roman" w:cs="Times New Roman"/>
                <w:bCs/>
                <w:color w:val="auto"/>
                <w:sz w:val="20"/>
                <w:szCs w:val="20"/>
                <w:lang w:eastAsia="lv-LV"/>
              </w:rPr>
              <w:t>5,</w:t>
            </w:r>
            <w:r>
              <w:rPr>
                <w:rFonts w:ascii="Times New Roman" w:eastAsia="Times New Roman" w:hAnsi="Times New Roman" w:cs="Times New Roman"/>
                <w:bCs/>
                <w:color w:val="auto"/>
                <w:sz w:val="20"/>
                <w:szCs w:val="20"/>
                <w:lang w:eastAsia="lv-LV"/>
              </w:rPr>
              <w:t>8</w:t>
            </w:r>
          </w:p>
        </w:tc>
        <w:tc>
          <w:tcPr>
            <w:tcW w:w="708" w:type="dxa"/>
            <w:vAlign w:val="center"/>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5,4</w:t>
            </w:r>
          </w:p>
        </w:tc>
        <w:tc>
          <w:tcPr>
            <w:tcW w:w="709" w:type="dxa"/>
            <w:vAlign w:val="center"/>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5,2</w:t>
            </w:r>
          </w:p>
        </w:tc>
        <w:tc>
          <w:tcPr>
            <w:tcW w:w="709" w:type="dxa"/>
            <w:vAlign w:val="center"/>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5,0</w:t>
            </w:r>
          </w:p>
        </w:tc>
        <w:tc>
          <w:tcPr>
            <w:tcW w:w="709" w:type="dxa"/>
            <w:vAlign w:val="center"/>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4,7</w:t>
            </w:r>
          </w:p>
        </w:tc>
      </w:tr>
      <w:tr w:rsidR="00786A6A" w:rsidRPr="004C5D83" w:rsidTr="004C5D83">
        <w:trPr>
          <w:cnfStyle w:val="000000100000" w:firstRow="0" w:lastRow="0" w:firstColumn="0" w:lastColumn="0" w:oddVBand="0" w:evenVBand="0" w:oddHBand="1" w:evenHBand="0" w:firstRowFirstColumn="0" w:firstRowLastColumn="0" w:lastRowFirstColumn="0" w:lastRowLastColumn="0"/>
          <w:trHeight w:val="273"/>
          <w:jc w:val="center"/>
        </w:trPr>
        <w:tc>
          <w:tcPr>
            <w:cnfStyle w:val="001000000000" w:firstRow="0" w:lastRow="0" w:firstColumn="1" w:lastColumn="0" w:oddVBand="0" w:evenVBand="0" w:oddHBand="0" w:evenHBand="0" w:firstRowFirstColumn="0" w:firstRowLastColumn="0" w:lastRowFirstColumn="0" w:lastRowLastColumn="0"/>
            <w:tcW w:w="3681" w:type="dxa"/>
            <w:hideMark/>
          </w:tcPr>
          <w:p w:rsidR="00786A6A" w:rsidRPr="004C5D83" w:rsidRDefault="00786A6A" w:rsidP="00786A6A">
            <w:pPr>
              <w:spacing w:after="0" w:line="240" w:lineRule="auto"/>
              <w:rPr>
                <w:rFonts w:ascii="Times New Roman" w:eastAsia="Times New Roman" w:hAnsi="Times New Roman" w:cs="Times New Roman"/>
                <w:color w:val="000000" w:themeColor="text1"/>
                <w:sz w:val="20"/>
                <w:szCs w:val="20"/>
                <w:lang w:eastAsia="lv-LV"/>
              </w:rPr>
            </w:pPr>
            <w:r w:rsidRPr="004C5D83">
              <w:rPr>
                <w:rFonts w:ascii="Times New Roman" w:eastAsia="Times New Roman" w:hAnsi="Times New Roman" w:cs="Times New Roman"/>
                <w:color w:val="000000" w:themeColor="text1"/>
                <w:sz w:val="20"/>
                <w:szCs w:val="20"/>
                <w:lang w:eastAsia="lv-LV"/>
              </w:rPr>
              <w:t>16. Kopējie ieņēmumi</w:t>
            </w:r>
          </w:p>
        </w:tc>
        <w:tc>
          <w:tcPr>
            <w:tcW w:w="1134" w:type="dxa"/>
            <w:vAlign w:val="center"/>
            <w:hideMark/>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TR</w:t>
            </w:r>
          </w:p>
        </w:tc>
        <w:tc>
          <w:tcPr>
            <w:tcW w:w="1134" w:type="dxa"/>
            <w:vAlign w:val="center"/>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Pr>
                <w:rFonts w:ascii="Times New Roman" w:eastAsia="Times New Roman" w:hAnsi="Times New Roman" w:cs="Times New Roman"/>
                <w:bCs/>
                <w:color w:val="auto"/>
                <w:sz w:val="20"/>
                <w:szCs w:val="20"/>
                <w:lang w:eastAsia="lv-LV"/>
              </w:rPr>
              <w:t>11 066,3</w:t>
            </w:r>
          </w:p>
        </w:tc>
        <w:tc>
          <w:tcPr>
            <w:tcW w:w="861" w:type="dxa"/>
            <w:vAlign w:val="center"/>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362E0A">
              <w:rPr>
                <w:rFonts w:ascii="Times New Roman" w:eastAsia="Times New Roman" w:hAnsi="Times New Roman" w:cs="Times New Roman"/>
                <w:bCs/>
                <w:color w:val="auto"/>
                <w:sz w:val="20"/>
                <w:szCs w:val="20"/>
                <w:lang w:eastAsia="lv-LV"/>
              </w:rPr>
              <w:t>37,</w:t>
            </w:r>
            <w:r>
              <w:rPr>
                <w:rFonts w:ascii="Times New Roman" w:eastAsia="Times New Roman" w:hAnsi="Times New Roman" w:cs="Times New Roman"/>
                <w:bCs/>
                <w:color w:val="auto"/>
                <w:sz w:val="20"/>
                <w:szCs w:val="20"/>
                <w:lang w:eastAsia="lv-LV"/>
              </w:rPr>
              <w:t>5</w:t>
            </w:r>
          </w:p>
        </w:tc>
        <w:tc>
          <w:tcPr>
            <w:tcW w:w="708" w:type="dxa"/>
            <w:vAlign w:val="center"/>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36,2</w:t>
            </w:r>
          </w:p>
        </w:tc>
        <w:tc>
          <w:tcPr>
            <w:tcW w:w="709" w:type="dxa"/>
            <w:vAlign w:val="center"/>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35,9</w:t>
            </w:r>
          </w:p>
        </w:tc>
        <w:tc>
          <w:tcPr>
            <w:tcW w:w="709" w:type="dxa"/>
            <w:vAlign w:val="center"/>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35,4</w:t>
            </w:r>
          </w:p>
        </w:tc>
        <w:tc>
          <w:tcPr>
            <w:tcW w:w="709" w:type="dxa"/>
            <w:vAlign w:val="center"/>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34,9</w:t>
            </w:r>
          </w:p>
        </w:tc>
      </w:tr>
      <w:tr w:rsidR="00786A6A" w:rsidRPr="004C5D83" w:rsidTr="00135E60">
        <w:trPr>
          <w:trHeight w:val="300"/>
          <w:jc w:val="center"/>
        </w:trPr>
        <w:tc>
          <w:tcPr>
            <w:cnfStyle w:val="001000000000" w:firstRow="0" w:lastRow="0" w:firstColumn="1" w:lastColumn="0" w:oddVBand="0" w:evenVBand="0" w:oddHBand="0" w:evenHBand="0" w:firstRowFirstColumn="0" w:firstRowLastColumn="0" w:lastRowFirstColumn="0" w:lastRowLastColumn="0"/>
            <w:tcW w:w="3681" w:type="dxa"/>
            <w:hideMark/>
          </w:tcPr>
          <w:p w:rsidR="00786A6A" w:rsidRPr="004C5D83" w:rsidRDefault="00786A6A" w:rsidP="00786A6A">
            <w:pPr>
              <w:spacing w:after="0" w:line="240" w:lineRule="auto"/>
              <w:rPr>
                <w:rFonts w:ascii="Times New Roman" w:eastAsia="Times New Roman" w:hAnsi="Times New Roman" w:cs="Times New Roman"/>
                <w:color w:val="000000" w:themeColor="text1"/>
                <w:sz w:val="20"/>
                <w:szCs w:val="20"/>
                <w:lang w:eastAsia="lv-LV"/>
              </w:rPr>
            </w:pPr>
            <w:r w:rsidRPr="004C5D83">
              <w:rPr>
                <w:rFonts w:ascii="Times New Roman" w:eastAsia="Times New Roman" w:hAnsi="Times New Roman" w:cs="Times New Roman"/>
                <w:color w:val="000000" w:themeColor="text1"/>
                <w:sz w:val="20"/>
                <w:szCs w:val="20"/>
                <w:lang w:eastAsia="lv-LV"/>
              </w:rPr>
              <w:t xml:space="preserve">Nodokļu slogs </w:t>
            </w:r>
            <w:r w:rsidR="007D040E">
              <w:rPr>
                <w:rFonts w:ascii="Times New Roman" w:eastAsia="Times New Roman" w:hAnsi="Times New Roman" w:cs="Times New Roman"/>
                <w:color w:val="000000" w:themeColor="text1"/>
                <w:sz w:val="20"/>
                <w:szCs w:val="20"/>
                <w:lang w:eastAsia="lv-LV"/>
              </w:rPr>
              <w:t>(D.2*</w:t>
            </w:r>
            <w:r w:rsidRPr="004C5D83">
              <w:rPr>
                <w:rFonts w:ascii="Times New Roman" w:eastAsia="Times New Roman" w:hAnsi="Times New Roman" w:cs="Times New Roman"/>
                <w:color w:val="000000" w:themeColor="text1"/>
                <w:sz w:val="20"/>
                <w:szCs w:val="20"/>
                <w:lang w:eastAsia="lv-LV"/>
              </w:rPr>
              <w:t>+D.5+D.61+D.91-D.995)</w:t>
            </w:r>
          </w:p>
        </w:tc>
        <w:tc>
          <w:tcPr>
            <w:tcW w:w="1134" w:type="dxa"/>
            <w:vAlign w:val="center"/>
            <w:hideMark/>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p>
        </w:tc>
        <w:tc>
          <w:tcPr>
            <w:tcW w:w="1134" w:type="dxa"/>
            <w:vAlign w:val="center"/>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Pr>
                <w:rFonts w:ascii="Times New Roman" w:eastAsia="Times New Roman" w:hAnsi="Times New Roman" w:cs="Times New Roman"/>
                <w:bCs/>
                <w:color w:val="auto"/>
                <w:sz w:val="20"/>
                <w:szCs w:val="20"/>
                <w:lang w:eastAsia="lv-LV"/>
              </w:rPr>
              <w:t>9 139,1</w:t>
            </w:r>
          </w:p>
        </w:tc>
        <w:tc>
          <w:tcPr>
            <w:tcW w:w="861" w:type="dxa"/>
            <w:vAlign w:val="center"/>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Pr>
                <w:rFonts w:ascii="Times New Roman" w:eastAsia="Times New Roman" w:hAnsi="Times New Roman" w:cs="Times New Roman"/>
                <w:bCs/>
                <w:color w:val="auto"/>
                <w:sz w:val="20"/>
                <w:szCs w:val="20"/>
                <w:lang w:eastAsia="lv-LV"/>
              </w:rPr>
              <w:t>31,0</w:t>
            </w:r>
          </w:p>
        </w:tc>
        <w:tc>
          <w:tcPr>
            <w:tcW w:w="708" w:type="dxa"/>
            <w:vAlign w:val="center"/>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30,4</w:t>
            </w:r>
          </w:p>
        </w:tc>
        <w:tc>
          <w:tcPr>
            <w:tcW w:w="709" w:type="dxa"/>
            <w:vAlign w:val="center"/>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30,5</w:t>
            </w:r>
          </w:p>
        </w:tc>
        <w:tc>
          <w:tcPr>
            <w:tcW w:w="709" w:type="dxa"/>
            <w:vAlign w:val="center"/>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30,4</w:t>
            </w:r>
          </w:p>
        </w:tc>
        <w:tc>
          <w:tcPr>
            <w:tcW w:w="709" w:type="dxa"/>
            <w:vAlign w:val="center"/>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30,2</w:t>
            </w:r>
          </w:p>
        </w:tc>
      </w:tr>
    </w:tbl>
    <w:tbl>
      <w:tblPr>
        <w:tblStyle w:val="GridTable6Colorful-Accent113"/>
        <w:tblW w:w="9645" w:type="dxa"/>
        <w:jc w:val="center"/>
        <w:tblLayout w:type="fixed"/>
        <w:tblLook w:val="04A0" w:firstRow="1" w:lastRow="0" w:firstColumn="1" w:lastColumn="0" w:noHBand="0" w:noVBand="1"/>
      </w:tblPr>
      <w:tblGrid>
        <w:gridCol w:w="9645"/>
      </w:tblGrid>
      <w:tr w:rsidR="004C5D83" w:rsidRPr="004C5D83" w:rsidTr="00135E60">
        <w:trPr>
          <w:cnfStyle w:val="100000000000" w:firstRow="1" w:lastRow="0" w:firstColumn="0" w:lastColumn="0" w:oddVBand="0" w:evenVBand="0" w:oddHBand="0" w:evenHBand="0" w:firstRowFirstColumn="0" w:firstRowLastColumn="0" w:lastRowFirstColumn="0" w:lastRowLastColumn="0"/>
          <w:trHeight w:val="141"/>
          <w:jc w:val="center"/>
        </w:trPr>
        <w:tc>
          <w:tcPr>
            <w:cnfStyle w:val="001000000000" w:firstRow="0" w:lastRow="0" w:firstColumn="1" w:lastColumn="0" w:oddVBand="0" w:evenVBand="0" w:oddHBand="0" w:evenHBand="0" w:firstRowFirstColumn="0" w:firstRowLastColumn="0" w:lastRowFirstColumn="0" w:lastRowLastColumn="0"/>
            <w:tcW w:w="9645" w:type="dxa"/>
            <w:vAlign w:val="center"/>
            <w:hideMark/>
          </w:tcPr>
          <w:p w:rsidR="004C5D83" w:rsidRPr="004C5D83" w:rsidRDefault="004C5D83" w:rsidP="004C5D83">
            <w:pPr>
              <w:spacing w:after="0" w:line="240" w:lineRule="auto"/>
              <w:jc w:val="center"/>
              <w:rPr>
                <w:rFonts w:ascii="Times New Roman" w:eastAsia="Times New Roman" w:hAnsi="Times New Roman" w:cs="Times New Roman"/>
                <w:bCs w:val="0"/>
                <w:color w:val="000000" w:themeColor="text1"/>
                <w:sz w:val="20"/>
                <w:szCs w:val="20"/>
                <w:lang w:eastAsia="lv-LV"/>
              </w:rPr>
            </w:pPr>
            <w:r w:rsidRPr="004C5D83">
              <w:rPr>
                <w:rFonts w:ascii="Times New Roman" w:eastAsia="Times New Roman" w:hAnsi="Times New Roman" w:cs="Times New Roman"/>
                <w:bCs w:val="0"/>
                <w:color w:val="000000" w:themeColor="text1"/>
                <w:sz w:val="20"/>
                <w:szCs w:val="20"/>
                <w:lang w:eastAsia="lv-LV"/>
              </w:rPr>
              <w:t>Izdevumu sadaļas</w:t>
            </w:r>
          </w:p>
        </w:tc>
      </w:tr>
    </w:tbl>
    <w:tbl>
      <w:tblPr>
        <w:tblStyle w:val="GridTable6Colorful-Accent114"/>
        <w:tblW w:w="9645" w:type="dxa"/>
        <w:jc w:val="center"/>
        <w:tblLayout w:type="fixed"/>
        <w:tblLook w:val="04A0" w:firstRow="1" w:lastRow="0" w:firstColumn="1" w:lastColumn="0" w:noHBand="0" w:noVBand="1"/>
      </w:tblPr>
      <w:tblGrid>
        <w:gridCol w:w="3681"/>
        <w:gridCol w:w="1134"/>
        <w:gridCol w:w="1134"/>
        <w:gridCol w:w="861"/>
        <w:gridCol w:w="708"/>
        <w:gridCol w:w="709"/>
        <w:gridCol w:w="709"/>
        <w:gridCol w:w="709"/>
      </w:tblGrid>
      <w:tr w:rsidR="00786A6A" w:rsidRPr="004C5D83" w:rsidTr="00135E60">
        <w:trPr>
          <w:cnfStyle w:val="100000000000" w:firstRow="1" w:lastRow="0" w:firstColumn="0" w:lastColumn="0" w:oddVBand="0" w:evenVBand="0" w:oddHBand="0"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3681" w:type="dxa"/>
            <w:hideMark/>
          </w:tcPr>
          <w:p w:rsidR="00786A6A" w:rsidRPr="004C5D83" w:rsidRDefault="00786A6A" w:rsidP="00786A6A">
            <w:pPr>
              <w:spacing w:after="0" w:line="240" w:lineRule="auto"/>
              <w:rPr>
                <w:rFonts w:ascii="Times New Roman" w:eastAsia="Times New Roman" w:hAnsi="Times New Roman" w:cs="Times New Roman"/>
                <w:color w:val="000000" w:themeColor="text1"/>
                <w:sz w:val="20"/>
                <w:szCs w:val="20"/>
                <w:lang w:eastAsia="lv-LV"/>
              </w:rPr>
            </w:pPr>
            <w:r w:rsidRPr="004C5D83">
              <w:rPr>
                <w:rFonts w:ascii="Times New Roman" w:eastAsia="Times New Roman" w:hAnsi="Times New Roman" w:cs="Times New Roman"/>
                <w:color w:val="000000" w:themeColor="text1"/>
                <w:sz w:val="20"/>
                <w:szCs w:val="20"/>
                <w:lang w:eastAsia="lv-LV"/>
              </w:rPr>
              <w:lastRenderedPageBreak/>
              <w:t>17. Atlīdzība nodarbinātajiem un starppatēriņš</w:t>
            </w:r>
          </w:p>
        </w:tc>
        <w:tc>
          <w:tcPr>
            <w:tcW w:w="1134" w:type="dxa"/>
            <w:vAlign w:val="center"/>
            <w:hideMark/>
          </w:tcPr>
          <w:p w:rsidR="00786A6A" w:rsidRPr="004C5D83" w:rsidRDefault="00786A6A" w:rsidP="00786A6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4C5D83">
              <w:rPr>
                <w:rFonts w:ascii="Times New Roman" w:eastAsia="Times New Roman" w:hAnsi="Times New Roman" w:cs="Times New Roman"/>
                <w:color w:val="000000" w:themeColor="text1"/>
                <w:sz w:val="20"/>
                <w:szCs w:val="20"/>
                <w:lang w:eastAsia="lv-LV"/>
              </w:rPr>
              <w:t>D.1+P.2</w:t>
            </w:r>
          </w:p>
        </w:tc>
        <w:tc>
          <w:tcPr>
            <w:tcW w:w="1134" w:type="dxa"/>
            <w:vAlign w:val="center"/>
          </w:tcPr>
          <w:p w:rsidR="00786A6A" w:rsidRPr="004C5D83" w:rsidRDefault="00786A6A" w:rsidP="00786A6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Pr>
                <w:rFonts w:ascii="Times New Roman" w:eastAsia="Times New Roman" w:hAnsi="Times New Roman" w:cs="Times New Roman"/>
                <w:color w:val="auto"/>
                <w:sz w:val="20"/>
                <w:szCs w:val="20"/>
                <w:lang w:eastAsia="lv-LV"/>
              </w:rPr>
              <w:t>4</w:t>
            </w:r>
            <w:r>
              <w:rPr>
                <w:rFonts w:ascii="Times New Roman" w:eastAsia="Times New Roman" w:hAnsi="Times New Roman" w:cs="Times New Roman"/>
                <w:bCs w:val="0"/>
                <w:color w:val="auto"/>
                <w:sz w:val="20"/>
                <w:szCs w:val="20"/>
                <w:lang w:eastAsia="lv-LV"/>
              </w:rPr>
              <w:t> </w:t>
            </w:r>
            <w:r>
              <w:rPr>
                <w:rFonts w:ascii="Times New Roman" w:eastAsia="Times New Roman" w:hAnsi="Times New Roman" w:cs="Times New Roman"/>
                <w:color w:val="auto"/>
                <w:sz w:val="20"/>
                <w:szCs w:val="20"/>
                <w:lang w:eastAsia="lv-LV"/>
              </w:rPr>
              <w:t>738,8</w:t>
            </w:r>
          </w:p>
        </w:tc>
        <w:tc>
          <w:tcPr>
            <w:tcW w:w="861" w:type="dxa"/>
            <w:vAlign w:val="center"/>
          </w:tcPr>
          <w:p w:rsidR="00786A6A" w:rsidRPr="004C5D83" w:rsidRDefault="00786A6A" w:rsidP="00786A6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362E0A">
              <w:rPr>
                <w:rFonts w:ascii="Times New Roman" w:eastAsia="Times New Roman" w:hAnsi="Times New Roman" w:cs="Times New Roman"/>
                <w:color w:val="auto"/>
                <w:sz w:val="20"/>
                <w:szCs w:val="20"/>
                <w:lang w:eastAsia="lv-LV"/>
              </w:rPr>
              <w:t>16,1</w:t>
            </w:r>
          </w:p>
        </w:tc>
        <w:tc>
          <w:tcPr>
            <w:tcW w:w="708" w:type="dxa"/>
            <w:vAlign w:val="center"/>
          </w:tcPr>
          <w:p w:rsidR="00786A6A" w:rsidRPr="004C5D83" w:rsidRDefault="00786A6A" w:rsidP="00786A6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4C5D83">
              <w:rPr>
                <w:rFonts w:ascii="Times New Roman" w:eastAsia="Times New Roman" w:hAnsi="Times New Roman" w:cs="Times New Roman"/>
                <w:color w:val="000000" w:themeColor="text1"/>
                <w:sz w:val="20"/>
                <w:szCs w:val="20"/>
                <w:lang w:eastAsia="lv-LV"/>
              </w:rPr>
              <w:t>15,8</w:t>
            </w:r>
          </w:p>
        </w:tc>
        <w:tc>
          <w:tcPr>
            <w:tcW w:w="709" w:type="dxa"/>
            <w:vAlign w:val="center"/>
          </w:tcPr>
          <w:p w:rsidR="00786A6A" w:rsidRPr="004C5D83" w:rsidRDefault="00786A6A" w:rsidP="00786A6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4C5D83">
              <w:rPr>
                <w:rFonts w:ascii="Times New Roman" w:eastAsia="Times New Roman" w:hAnsi="Times New Roman" w:cs="Times New Roman"/>
                <w:color w:val="000000" w:themeColor="text1"/>
                <w:sz w:val="20"/>
                <w:szCs w:val="20"/>
                <w:lang w:eastAsia="lv-LV"/>
              </w:rPr>
              <w:t>15,1</w:t>
            </w:r>
          </w:p>
        </w:tc>
        <w:tc>
          <w:tcPr>
            <w:tcW w:w="709" w:type="dxa"/>
            <w:vAlign w:val="center"/>
          </w:tcPr>
          <w:p w:rsidR="00786A6A" w:rsidRPr="004C5D83" w:rsidRDefault="00786A6A" w:rsidP="00786A6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4C5D83">
              <w:rPr>
                <w:rFonts w:ascii="Times New Roman" w:eastAsia="Times New Roman" w:hAnsi="Times New Roman" w:cs="Times New Roman"/>
                <w:color w:val="000000" w:themeColor="text1"/>
                <w:sz w:val="20"/>
                <w:szCs w:val="20"/>
                <w:lang w:eastAsia="lv-LV"/>
              </w:rPr>
              <w:t>14,7</w:t>
            </w:r>
          </w:p>
        </w:tc>
        <w:tc>
          <w:tcPr>
            <w:tcW w:w="709" w:type="dxa"/>
            <w:vAlign w:val="center"/>
          </w:tcPr>
          <w:p w:rsidR="00786A6A" w:rsidRPr="004C5D83" w:rsidRDefault="00786A6A" w:rsidP="00786A6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4C5D83">
              <w:rPr>
                <w:rFonts w:ascii="Times New Roman" w:eastAsia="Times New Roman" w:hAnsi="Times New Roman" w:cs="Times New Roman"/>
                <w:color w:val="000000" w:themeColor="text1"/>
                <w:sz w:val="20"/>
                <w:szCs w:val="20"/>
                <w:lang w:eastAsia="lv-LV"/>
              </w:rPr>
              <w:t>14,2</w:t>
            </w:r>
          </w:p>
        </w:tc>
      </w:tr>
      <w:tr w:rsidR="00786A6A" w:rsidRPr="004C5D83" w:rsidTr="004C5D83">
        <w:trPr>
          <w:cnfStyle w:val="000000100000" w:firstRow="0" w:lastRow="0" w:firstColumn="0" w:lastColumn="0" w:oddVBand="0" w:evenVBand="0" w:oddHBand="1" w:evenHBand="0" w:firstRowFirstColumn="0" w:firstRowLastColumn="0" w:lastRowFirstColumn="0" w:lastRowLastColumn="0"/>
          <w:trHeight w:val="139"/>
          <w:jc w:val="center"/>
        </w:trPr>
        <w:tc>
          <w:tcPr>
            <w:cnfStyle w:val="001000000000" w:firstRow="0" w:lastRow="0" w:firstColumn="1" w:lastColumn="0" w:oddVBand="0" w:evenVBand="0" w:oddHBand="0" w:evenHBand="0" w:firstRowFirstColumn="0" w:firstRowLastColumn="0" w:lastRowFirstColumn="0" w:lastRowLastColumn="0"/>
            <w:tcW w:w="3681" w:type="dxa"/>
            <w:hideMark/>
          </w:tcPr>
          <w:p w:rsidR="00786A6A" w:rsidRPr="004C5D83" w:rsidRDefault="00786A6A" w:rsidP="00786A6A">
            <w:pPr>
              <w:spacing w:after="0" w:line="240" w:lineRule="auto"/>
              <w:rPr>
                <w:rFonts w:ascii="Times New Roman" w:eastAsia="Times New Roman" w:hAnsi="Times New Roman" w:cs="Times New Roman"/>
                <w:color w:val="000000" w:themeColor="text1"/>
                <w:sz w:val="20"/>
                <w:szCs w:val="20"/>
                <w:lang w:eastAsia="lv-LV"/>
              </w:rPr>
            </w:pPr>
            <w:r w:rsidRPr="004C5D83">
              <w:rPr>
                <w:rFonts w:ascii="Times New Roman" w:eastAsia="Times New Roman" w:hAnsi="Times New Roman" w:cs="Times New Roman"/>
                <w:color w:val="000000" w:themeColor="text1"/>
                <w:sz w:val="20"/>
                <w:szCs w:val="20"/>
                <w:lang w:eastAsia="lv-LV"/>
              </w:rPr>
              <w:t>17a. Atlīdzība nodarbinātajiem</w:t>
            </w:r>
          </w:p>
        </w:tc>
        <w:tc>
          <w:tcPr>
            <w:tcW w:w="1134" w:type="dxa"/>
            <w:vAlign w:val="center"/>
            <w:hideMark/>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D.1</w:t>
            </w:r>
          </w:p>
        </w:tc>
        <w:tc>
          <w:tcPr>
            <w:tcW w:w="1134" w:type="dxa"/>
            <w:vAlign w:val="center"/>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Pr>
                <w:rFonts w:ascii="Times New Roman" w:eastAsia="Times New Roman" w:hAnsi="Times New Roman" w:cs="Times New Roman"/>
                <w:bCs/>
                <w:color w:val="auto"/>
                <w:sz w:val="20"/>
                <w:szCs w:val="20"/>
                <w:lang w:eastAsia="lv-LV"/>
              </w:rPr>
              <w:t>3 003,1</w:t>
            </w:r>
          </w:p>
        </w:tc>
        <w:tc>
          <w:tcPr>
            <w:tcW w:w="861" w:type="dxa"/>
            <w:vAlign w:val="center"/>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362E0A">
              <w:rPr>
                <w:rFonts w:ascii="Times New Roman" w:eastAsia="Times New Roman" w:hAnsi="Times New Roman" w:cs="Times New Roman"/>
                <w:bCs/>
                <w:color w:val="auto"/>
                <w:sz w:val="20"/>
                <w:szCs w:val="20"/>
                <w:lang w:eastAsia="lv-LV"/>
              </w:rPr>
              <w:t>10,</w:t>
            </w:r>
            <w:r>
              <w:rPr>
                <w:rFonts w:ascii="Times New Roman" w:eastAsia="Times New Roman" w:hAnsi="Times New Roman" w:cs="Times New Roman"/>
                <w:bCs/>
                <w:color w:val="auto"/>
                <w:sz w:val="20"/>
                <w:szCs w:val="20"/>
                <w:lang w:eastAsia="lv-LV"/>
              </w:rPr>
              <w:t>2</w:t>
            </w:r>
          </w:p>
        </w:tc>
        <w:tc>
          <w:tcPr>
            <w:tcW w:w="708" w:type="dxa"/>
            <w:vAlign w:val="center"/>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10,3</w:t>
            </w:r>
          </w:p>
        </w:tc>
        <w:tc>
          <w:tcPr>
            <w:tcW w:w="709" w:type="dxa"/>
            <w:vAlign w:val="center"/>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9,9</w:t>
            </w:r>
          </w:p>
        </w:tc>
        <w:tc>
          <w:tcPr>
            <w:tcW w:w="709" w:type="dxa"/>
            <w:vAlign w:val="center"/>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9,6</w:t>
            </w:r>
          </w:p>
        </w:tc>
        <w:tc>
          <w:tcPr>
            <w:tcW w:w="709" w:type="dxa"/>
            <w:vAlign w:val="center"/>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9,3</w:t>
            </w:r>
          </w:p>
        </w:tc>
      </w:tr>
      <w:tr w:rsidR="00786A6A" w:rsidRPr="004C5D83" w:rsidTr="00135E60">
        <w:trPr>
          <w:trHeight w:val="185"/>
          <w:jc w:val="center"/>
        </w:trPr>
        <w:tc>
          <w:tcPr>
            <w:cnfStyle w:val="001000000000" w:firstRow="0" w:lastRow="0" w:firstColumn="1" w:lastColumn="0" w:oddVBand="0" w:evenVBand="0" w:oddHBand="0" w:evenHBand="0" w:firstRowFirstColumn="0" w:firstRowLastColumn="0" w:lastRowFirstColumn="0" w:lastRowLastColumn="0"/>
            <w:tcW w:w="3681" w:type="dxa"/>
            <w:hideMark/>
          </w:tcPr>
          <w:p w:rsidR="00786A6A" w:rsidRPr="004C5D83" w:rsidRDefault="00786A6A" w:rsidP="00786A6A">
            <w:pPr>
              <w:spacing w:after="0" w:line="240" w:lineRule="auto"/>
              <w:rPr>
                <w:rFonts w:ascii="Times New Roman" w:eastAsia="Times New Roman" w:hAnsi="Times New Roman" w:cs="Times New Roman"/>
                <w:color w:val="000000" w:themeColor="text1"/>
                <w:sz w:val="20"/>
                <w:szCs w:val="20"/>
                <w:lang w:eastAsia="lv-LV"/>
              </w:rPr>
            </w:pPr>
            <w:r w:rsidRPr="004C5D83">
              <w:rPr>
                <w:rFonts w:ascii="Times New Roman" w:eastAsia="Times New Roman" w:hAnsi="Times New Roman" w:cs="Times New Roman"/>
                <w:color w:val="000000" w:themeColor="text1"/>
                <w:sz w:val="20"/>
                <w:szCs w:val="20"/>
                <w:lang w:eastAsia="lv-LV"/>
              </w:rPr>
              <w:t>17b. Starppatēriņš</w:t>
            </w:r>
          </w:p>
        </w:tc>
        <w:tc>
          <w:tcPr>
            <w:tcW w:w="1134" w:type="dxa"/>
            <w:vAlign w:val="center"/>
            <w:hideMark/>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P.2</w:t>
            </w:r>
          </w:p>
        </w:tc>
        <w:tc>
          <w:tcPr>
            <w:tcW w:w="1134" w:type="dxa"/>
            <w:vAlign w:val="center"/>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Pr>
                <w:rFonts w:ascii="Times New Roman" w:eastAsia="Times New Roman" w:hAnsi="Times New Roman" w:cs="Times New Roman"/>
                <w:bCs/>
                <w:color w:val="auto"/>
                <w:sz w:val="20"/>
                <w:szCs w:val="20"/>
                <w:lang w:eastAsia="lv-LV"/>
              </w:rPr>
              <w:t>1 735,7</w:t>
            </w:r>
          </w:p>
        </w:tc>
        <w:tc>
          <w:tcPr>
            <w:tcW w:w="861" w:type="dxa"/>
            <w:vAlign w:val="center"/>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Pr>
                <w:rFonts w:ascii="Times New Roman" w:eastAsia="Times New Roman" w:hAnsi="Times New Roman" w:cs="Times New Roman"/>
                <w:bCs/>
                <w:color w:val="auto"/>
                <w:sz w:val="20"/>
                <w:szCs w:val="20"/>
                <w:lang w:eastAsia="lv-LV"/>
              </w:rPr>
              <w:t>5,9</w:t>
            </w:r>
          </w:p>
        </w:tc>
        <w:tc>
          <w:tcPr>
            <w:tcW w:w="708" w:type="dxa"/>
            <w:vAlign w:val="center"/>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5,5</w:t>
            </w:r>
          </w:p>
        </w:tc>
        <w:tc>
          <w:tcPr>
            <w:tcW w:w="709" w:type="dxa"/>
            <w:vAlign w:val="center"/>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5,2</w:t>
            </w:r>
          </w:p>
        </w:tc>
        <w:tc>
          <w:tcPr>
            <w:tcW w:w="709" w:type="dxa"/>
            <w:vAlign w:val="center"/>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5,1</w:t>
            </w:r>
          </w:p>
        </w:tc>
        <w:tc>
          <w:tcPr>
            <w:tcW w:w="709" w:type="dxa"/>
            <w:vAlign w:val="center"/>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4,9</w:t>
            </w:r>
          </w:p>
        </w:tc>
      </w:tr>
      <w:tr w:rsidR="00786A6A" w:rsidRPr="004C5D83" w:rsidTr="004C5D83">
        <w:trPr>
          <w:cnfStyle w:val="000000100000" w:firstRow="0" w:lastRow="0" w:firstColumn="0" w:lastColumn="0" w:oddVBand="0" w:evenVBand="0" w:oddHBand="1" w:evenHBand="0" w:firstRowFirstColumn="0" w:firstRowLastColumn="0" w:lastRowFirstColumn="0" w:lastRowLastColumn="0"/>
          <w:trHeight w:val="231"/>
          <w:jc w:val="center"/>
        </w:trPr>
        <w:tc>
          <w:tcPr>
            <w:cnfStyle w:val="001000000000" w:firstRow="0" w:lastRow="0" w:firstColumn="1" w:lastColumn="0" w:oddVBand="0" w:evenVBand="0" w:oddHBand="0" w:evenHBand="0" w:firstRowFirstColumn="0" w:firstRowLastColumn="0" w:lastRowFirstColumn="0" w:lastRowLastColumn="0"/>
            <w:tcW w:w="3681" w:type="dxa"/>
            <w:hideMark/>
          </w:tcPr>
          <w:p w:rsidR="00786A6A" w:rsidRPr="004C5D83" w:rsidRDefault="00786A6A" w:rsidP="00786A6A">
            <w:pPr>
              <w:spacing w:after="0" w:line="240" w:lineRule="auto"/>
              <w:rPr>
                <w:rFonts w:ascii="Times New Roman" w:eastAsia="Times New Roman" w:hAnsi="Times New Roman" w:cs="Times New Roman"/>
                <w:color w:val="000000" w:themeColor="text1"/>
                <w:sz w:val="20"/>
                <w:szCs w:val="20"/>
                <w:lang w:eastAsia="lv-LV"/>
              </w:rPr>
            </w:pPr>
            <w:r w:rsidRPr="004C5D83">
              <w:rPr>
                <w:rFonts w:ascii="Times New Roman" w:eastAsia="Times New Roman" w:hAnsi="Times New Roman" w:cs="Times New Roman"/>
                <w:color w:val="000000" w:themeColor="text1"/>
                <w:sz w:val="20"/>
                <w:szCs w:val="20"/>
                <w:lang w:eastAsia="lv-LV"/>
              </w:rPr>
              <w:t>18. Sociālie maksājumi (18=18a+18b)</w:t>
            </w:r>
          </w:p>
        </w:tc>
        <w:tc>
          <w:tcPr>
            <w:tcW w:w="1134" w:type="dxa"/>
            <w:vAlign w:val="center"/>
            <w:hideMark/>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p>
        </w:tc>
        <w:tc>
          <w:tcPr>
            <w:tcW w:w="1134" w:type="dxa"/>
            <w:vAlign w:val="center"/>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Pr>
                <w:rFonts w:ascii="Times New Roman" w:eastAsia="Times New Roman" w:hAnsi="Times New Roman" w:cs="Times New Roman"/>
                <w:bCs/>
                <w:color w:val="auto"/>
                <w:sz w:val="20"/>
                <w:szCs w:val="20"/>
                <w:lang w:eastAsia="lv-LV"/>
              </w:rPr>
              <w:t>3 387,6</w:t>
            </w:r>
          </w:p>
        </w:tc>
        <w:tc>
          <w:tcPr>
            <w:tcW w:w="861" w:type="dxa"/>
            <w:vAlign w:val="center"/>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362E0A">
              <w:rPr>
                <w:rFonts w:ascii="Times New Roman" w:eastAsia="Times New Roman" w:hAnsi="Times New Roman" w:cs="Times New Roman"/>
                <w:bCs/>
                <w:color w:val="auto"/>
                <w:sz w:val="20"/>
                <w:szCs w:val="20"/>
                <w:lang w:eastAsia="lv-LV"/>
              </w:rPr>
              <w:t>11,5</w:t>
            </w:r>
          </w:p>
        </w:tc>
        <w:tc>
          <w:tcPr>
            <w:tcW w:w="708" w:type="dxa"/>
            <w:vAlign w:val="center"/>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11,6</w:t>
            </w:r>
          </w:p>
        </w:tc>
        <w:tc>
          <w:tcPr>
            <w:tcW w:w="709" w:type="dxa"/>
            <w:vAlign w:val="center"/>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11,8</w:t>
            </w:r>
          </w:p>
        </w:tc>
        <w:tc>
          <w:tcPr>
            <w:tcW w:w="709" w:type="dxa"/>
            <w:vAlign w:val="center"/>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11,7</w:t>
            </w:r>
          </w:p>
        </w:tc>
        <w:tc>
          <w:tcPr>
            <w:tcW w:w="709" w:type="dxa"/>
            <w:vAlign w:val="center"/>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11,9</w:t>
            </w:r>
          </w:p>
        </w:tc>
      </w:tr>
      <w:tr w:rsidR="00786A6A" w:rsidRPr="004C5D83" w:rsidTr="00135E60">
        <w:trPr>
          <w:trHeight w:val="135"/>
          <w:jc w:val="center"/>
        </w:trPr>
        <w:tc>
          <w:tcPr>
            <w:cnfStyle w:val="001000000000" w:firstRow="0" w:lastRow="0" w:firstColumn="1" w:lastColumn="0" w:oddVBand="0" w:evenVBand="0" w:oddHBand="0" w:evenHBand="0" w:firstRowFirstColumn="0" w:firstRowLastColumn="0" w:lastRowFirstColumn="0" w:lastRowLastColumn="0"/>
            <w:tcW w:w="3681" w:type="dxa"/>
            <w:hideMark/>
          </w:tcPr>
          <w:p w:rsidR="00786A6A" w:rsidRPr="004C5D83" w:rsidRDefault="00786A6A" w:rsidP="00786A6A">
            <w:pPr>
              <w:spacing w:after="0" w:line="240" w:lineRule="auto"/>
              <w:rPr>
                <w:rFonts w:ascii="Times New Roman" w:eastAsia="Times New Roman" w:hAnsi="Times New Roman" w:cs="Times New Roman"/>
                <w:color w:val="000000" w:themeColor="text1"/>
                <w:sz w:val="20"/>
                <w:szCs w:val="20"/>
                <w:lang w:eastAsia="lv-LV"/>
              </w:rPr>
            </w:pPr>
            <w:r w:rsidRPr="004C5D83">
              <w:rPr>
                <w:rFonts w:ascii="Times New Roman" w:eastAsia="Times New Roman" w:hAnsi="Times New Roman" w:cs="Times New Roman"/>
                <w:color w:val="000000" w:themeColor="text1"/>
                <w:sz w:val="20"/>
                <w:szCs w:val="20"/>
                <w:lang w:eastAsia="lv-LV"/>
              </w:rPr>
              <w:t>tai skaitā bezdarbnieku pabalsti</w:t>
            </w:r>
          </w:p>
        </w:tc>
        <w:tc>
          <w:tcPr>
            <w:tcW w:w="1134" w:type="dxa"/>
            <w:vAlign w:val="center"/>
            <w:hideMark/>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p>
        </w:tc>
        <w:tc>
          <w:tcPr>
            <w:tcW w:w="1134" w:type="dxa"/>
            <w:vAlign w:val="center"/>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362E0A">
              <w:rPr>
                <w:rFonts w:ascii="Times New Roman" w:eastAsia="Times New Roman" w:hAnsi="Times New Roman" w:cs="Times New Roman"/>
                <w:bCs/>
                <w:color w:val="auto"/>
                <w:sz w:val="20"/>
                <w:szCs w:val="20"/>
                <w:lang w:eastAsia="lv-LV"/>
              </w:rPr>
              <w:t>120,0</w:t>
            </w:r>
          </w:p>
        </w:tc>
        <w:tc>
          <w:tcPr>
            <w:tcW w:w="861" w:type="dxa"/>
            <w:vAlign w:val="center"/>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362E0A">
              <w:rPr>
                <w:rFonts w:ascii="Times New Roman" w:eastAsia="Times New Roman" w:hAnsi="Times New Roman" w:cs="Times New Roman"/>
                <w:bCs/>
                <w:color w:val="auto"/>
                <w:sz w:val="20"/>
                <w:szCs w:val="20"/>
                <w:lang w:eastAsia="lv-LV"/>
              </w:rPr>
              <w:t>0,4</w:t>
            </w:r>
          </w:p>
        </w:tc>
        <w:tc>
          <w:tcPr>
            <w:tcW w:w="708" w:type="dxa"/>
            <w:vAlign w:val="center"/>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0,4</w:t>
            </w:r>
          </w:p>
        </w:tc>
        <w:tc>
          <w:tcPr>
            <w:tcW w:w="709" w:type="dxa"/>
            <w:vAlign w:val="center"/>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0,4</w:t>
            </w:r>
          </w:p>
        </w:tc>
        <w:tc>
          <w:tcPr>
            <w:tcW w:w="709" w:type="dxa"/>
            <w:vAlign w:val="center"/>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0,4</w:t>
            </w:r>
          </w:p>
        </w:tc>
        <w:tc>
          <w:tcPr>
            <w:tcW w:w="709" w:type="dxa"/>
            <w:vAlign w:val="center"/>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0,4</w:t>
            </w:r>
          </w:p>
        </w:tc>
      </w:tr>
      <w:tr w:rsidR="00786A6A" w:rsidRPr="004C5D83" w:rsidTr="004C5D83">
        <w:trPr>
          <w:cnfStyle w:val="000000100000" w:firstRow="0" w:lastRow="0" w:firstColumn="0" w:lastColumn="0" w:oddVBand="0" w:evenVBand="0" w:oddHBand="1" w:evenHBand="0" w:firstRowFirstColumn="0" w:firstRowLastColumn="0" w:lastRowFirstColumn="0" w:lastRowLastColumn="0"/>
          <w:trHeight w:val="661"/>
          <w:jc w:val="center"/>
        </w:trPr>
        <w:tc>
          <w:tcPr>
            <w:cnfStyle w:val="001000000000" w:firstRow="0" w:lastRow="0" w:firstColumn="1" w:lastColumn="0" w:oddVBand="0" w:evenVBand="0" w:oddHBand="0" w:evenHBand="0" w:firstRowFirstColumn="0" w:firstRowLastColumn="0" w:lastRowFirstColumn="0" w:lastRowLastColumn="0"/>
            <w:tcW w:w="3681" w:type="dxa"/>
            <w:hideMark/>
          </w:tcPr>
          <w:p w:rsidR="00786A6A" w:rsidRPr="004C5D83" w:rsidRDefault="00786A6A" w:rsidP="00786A6A">
            <w:pPr>
              <w:spacing w:after="0" w:line="240" w:lineRule="auto"/>
              <w:rPr>
                <w:rFonts w:ascii="Times New Roman" w:eastAsia="Times New Roman" w:hAnsi="Times New Roman" w:cs="Times New Roman"/>
                <w:color w:val="000000" w:themeColor="text1"/>
                <w:sz w:val="20"/>
                <w:szCs w:val="20"/>
                <w:lang w:eastAsia="lv-LV"/>
              </w:rPr>
            </w:pPr>
            <w:r w:rsidRPr="004C5D83">
              <w:rPr>
                <w:rFonts w:ascii="Times New Roman" w:eastAsia="Times New Roman" w:hAnsi="Times New Roman" w:cs="Times New Roman"/>
                <w:color w:val="000000" w:themeColor="text1"/>
                <w:sz w:val="20"/>
                <w:szCs w:val="20"/>
                <w:lang w:eastAsia="lv-LV"/>
              </w:rPr>
              <w:t>18a. Sociālie pārvedumi piegādāti caur tirgus ražotājiem</w:t>
            </w:r>
          </w:p>
        </w:tc>
        <w:tc>
          <w:tcPr>
            <w:tcW w:w="1134" w:type="dxa"/>
            <w:vAlign w:val="center"/>
            <w:hideMark/>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D.6311, D.63121, D.63131</w:t>
            </w:r>
          </w:p>
        </w:tc>
        <w:tc>
          <w:tcPr>
            <w:tcW w:w="1134" w:type="dxa"/>
            <w:vAlign w:val="center"/>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Pr>
                <w:rFonts w:ascii="Times New Roman" w:eastAsia="Times New Roman" w:hAnsi="Times New Roman" w:cs="Times New Roman"/>
                <w:bCs/>
                <w:color w:val="auto"/>
                <w:sz w:val="20"/>
                <w:szCs w:val="20"/>
                <w:lang w:eastAsia="lv-LV"/>
              </w:rPr>
              <w:t>375,9</w:t>
            </w:r>
          </w:p>
        </w:tc>
        <w:tc>
          <w:tcPr>
            <w:tcW w:w="861" w:type="dxa"/>
            <w:vAlign w:val="center"/>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362E0A">
              <w:rPr>
                <w:rFonts w:ascii="Times New Roman" w:eastAsia="Times New Roman" w:hAnsi="Times New Roman" w:cs="Times New Roman"/>
                <w:bCs/>
                <w:color w:val="auto"/>
                <w:sz w:val="20"/>
                <w:szCs w:val="20"/>
                <w:lang w:eastAsia="lv-LV"/>
              </w:rPr>
              <w:t>1,</w:t>
            </w:r>
            <w:r>
              <w:rPr>
                <w:rFonts w:ascii="Times New Roman" w:eastAsia="Times New Roman" w:hAnsi="Times New Roman" w:cs="Times New Roman"/>
                <w:bCs/>
                <w:color w:val="auto"/>
                <w:sz w:val="20"/>
                <w:szCs w:val="20"/>
                <w:lang w:eastAsia="lv-LV"/>
              </w:rPr>
              <w:t>3</w:t>
            </w:r>
          </w:p>
        </w:tc>
        <w:tc>
          <w:tcPr>
            <w:tcW w:w="708" w:type="dxa"/>
            <w:vAlign w:val="center"/>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1,2</w:t>
            </w:r>
          </w:p>
        </w:tc>
        <w:tc>
          <w:tcPr>
            <w:tcW w:w="709" w:type="dxa"/>
            <w:vAlign w:val="center"/>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1,2</w:t>
            </w:r>
          </w:p>
        </w:tc>
        <w:tc>
          <w:tcPr>
            <w:tcW w:w="709" w:type="dxa"/>
            <w:vAlign w:val="center"/>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1,2</w:t>
            </w:r>
          </w:p>
        </w:tc>
        <w:tc>
          <w:tcPr>
            <w:tcW w:w="709" w:type="dxa"/>
            <w:vAlign w:val="center"/>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1,3</w:t>
            </w:r>
          </w:p>
        </w:tc>
      </w:tr>
      <w:tr w:rsidR="00786A6A" w:rsidRPr="004C5D83" w:rsidTr="00135E60">
        <w:trPr>
          <w:trHeight w:val="333"/>
          <w:jc w:val="center"/>
        </w:trPr>
        <w:tc>
          <w:tcPr>
            <w:cnfStyle w:val="001000000000" w:firstRow="0" w:lastRow="0" w:firstColumn="1" w:lastColumn="0" w:oddVBand="0" w:evenVBand="0" w:oddHBand="0" w:evenHBand="0" w:firstRowFirstColumn="0" w:firstRowLastColumn="0" w:lastRowFirstColumn="0" w:lastRowLastColumn="0"/>
            <w:tcW w:w="3681" w:type="dxa"/>
            <w:hideMark/>
          </w:tcPr>
          <w:p w:rsidR="00786A6A" w:rsidRPr="004C5D83" w:rsidRDefault="00786A6A" w:rsidP="00786A6A">
            <w:pPr>
              <w:spacing w:after="0" w:line="240" w:lineRule="auto"/>
              <w:rPr>
                <w:rFonts w:ascii="Times New Roman" w:eastAsia="Times New Roman" w:hAnsi="Times New Roman" w:cs="Times New Roman"/>
                <w:color w:val="000000" w:themeColor="text1"/>
                <w:sz w:val="20"/>
                <w:szCs w:val="20"/>
                <w:lang w:eastAsia="lv-LV"/>
              </w:rPr>
            </w:pPr>
            <w:r w:rsidRPr="004C5D83">
              <w:rPr>
                <w:rFonts w:ascii="Times New Roman" w:eastAsia="Times New Roman" w:hAnsi="Times New Roman" w:cs="Times New Roman"/>
                <w:color w:val="000000" w:themeColor="text1"/>
                <w:sz w:val="20"/>
                <w:szCs w:val="20"/>
                <w:lang w:eastAsia="lv-LV"/>
              </w:rPr>
              <w:t>18b. Sociālie pārvedumi, kas nav sociālie pārvedumi natūrā</w:t>
            </w:r>
          </w:p>
        </w:tc>
        <w:tc>
          <w:tcPr>
            <w:tcW w:w="1134" w:type="dxa"/>
            <w:vAlign w:val="center"/>
            <w:hideMark/>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D.62</w:t>
            </w:r>
          </w:p>
        </w:tc>
        <w:tc>
          <w:tcPr>
            <w:tcW w:w="1134" w:type="dxa"/>
            <w:vAlign w:val="center"/>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Pr>
                <w:rFonts w:ascii="Times New Roman" w:eastAsia="Times New Roman" w:hAnsi="Times New Roman" w:cs="Times New Roman"/>
                <w:bCs/>
                <w:color w:val="auto"/>
                <w:sz w:val="20"/>
                <w:szCs w:val="20"/>
                <w:lang w:eastAsia="lv-LV"/>
              </w:rPr>
              <w:t>3 011,7</w:t>
            </w:r>
          </w:p>
        </w:tc>
        <w:tc>
          <w:tcPr>
            <w:tcW w:w="861" w:type="dxa"/>
            <w:vAlign w:val="center"/>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362E0A">
              <w:rPr>
                <w:rFonts w:ascii="Times New Roman" w:eastAsia="Times New Roman" w:hAnsi="Times New Roman" w:cs="Times New Roman"/>
                <w:bCs/>
                <w:color w:val="auto"/>
                <w:sz w:val="20"/>
                <w:szCs w:val="20"/>
                <w:lang w:eastAsia="lv-LV"/>
              </w:rPr>
              <w:t>10,</w:t>
            </w:r>
            <w:r>
              <w:rPr>
                <w:rFonts w:ascii="Times New Roman" w:eastAsia="Times New Roman" w:hAnsi="Times New Roman" w:cs="Times New Roman"/>
                <w:bCs/>
                <w:color w:val="auto"/>
                <w:sz w:val="20"/>
                <w:szCs w:val="20"/>
                <w:lang w:eastAsia="lv-LV"/>
              </w:rPr>
              <w:t>2</w:t>
            </w:r>
          </w:p>
        </w:tc>
        <w:tc>
          <w:tcPr>
            <w:tcW w:w="708" w:type="dxa"/>
            <w:vAlign w:val="center"/>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10,4</w:t>
            </w:r>
          </w:p>
        </w:tc>
        <w:tc>
          <w:tcPr>
            <w:tcW w:w="709" w:type="dxa"/>
            <w:vAlign w:val="center"/>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10,6</w:t>
            </w:r>
          </w:p>
        </w:tc>
        <w:tc>
          <w:tcPr>
            <w:tcW w:w="709" w:type="dxa"/>
            <w:vAlign w:val="center"/>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10,5</w:t>
            </w:r>
          </w:p>
        </w:tc>
        <w:tc>
          <w:tcPr>
            <w:tcW w:w="709" w:type="dxa"/>
            <w:vAlign w:val="center"/>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10,7</w:t>
            </w:r>
          </w:p>
        </w:tc>
      </w:tr>
      <w:tr w:rsidR="00786A6A" w:rsidRPr="004C5D83" w:rsidTr="004C5D83">
        <w:trPr>
          <w:cnfStyle w:val="000000100000" w:firstRow="0" w:lastRow="0" w:firstColumn="0" w:lastColumn="0" w:oddVBand="0" w:evenVBand="0" w:oddHBand="1" w:evenHBand="0" w:firstRowFirstColumn="0" w:firstRowLastColumn="0" w:lastRowFirstColumn="0" w:lastRowLastColumn="0"/>
          <w:trHeight w:val="141"/>
          <w:jc w:val="center"/>
        </w:trPr>
        <w:tc>
          <w:tcPr>
            <w:cnfStyle w:val="001000000000" w:firstRow="0" w:lastRow="0" w:firstColumn="1" w:lastColumn="0" w:oddVBand="0" w:evenVBand="0" w:oddHBand="0" w:evenHBand="0" w:firstRowFirstColumn="0" w:firstRowLastColumn="0" w:lastRowFirstColumn="0" w:lastRowLastColumn="0"/>
            <w:tcW w:w="3681" w:type="dxa"/>
            <w:hideMark/>
          </w:tcPr>
          <w:p w:rsidR="00786A6A" w:rsidRPr="004C5D83" w:rsidRDefault="00786A6A" w:rsidP="00786A6A">
            <w:pPr>
              <w:spacing w:after="0" w:line="240" w:lineRule="auto"/>
              <w:rPr>
                <w:rFonts w:ascii="Times New Roman" w:eastAsia="Times New Roman" w:hAnsi="Times New Roman" w:cs="Times New Roman"/>
                <w:color w:val="000000" w:themeColor="text1"/>
                <w:sz w:val="20"/>
                <w:szCs w:val="20"/>
                <w:lang w:eastAsia="lv-LV"/>
              </w:rPr>
            </w:pPr>
            <w:r w:rsidRPr="004C5D83">
              <w:rPr>
                <w:rFonts w:ascii="Times New Roman" w:eastAsia="Times New Roman" w:hAnsi="Times New Roman" w:cs="Times New Roman"/>
                <w:color w:val="000000" w:themeColor="text1"/>
                <w:sz w:val="20"/>
                <w:szCs w:val="20"/>
                <w:lang w:eastAsia="lv-LV"/>
              </w:rPr>
              <w:t>19.=9. Procentu izdevumi</w:t>
            </w:r>
          </w:p>
        </w:tc>
        <w:tc>
          <w:tcPr>
            <w:tcW w:w="1134" w:type="dxa"/>
            <w:vAlign w:val="center"/>
            <w:hideMark/>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D.41</w:t>
            </w:r>
          </w:p>
        </w:tc>
        <w:tc>
          <w:tcPr>
            <w:tcW w:w="1134" w:type="dxa"/>
            <w:vAlign w:val="center"/>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Pr>
                <w:rFonts w:ascii="Times New Roman" w:eastAsia="Times New Roman" w:hAnsi="Times New Roman" w:cs="Times New Roman"/>
                <w:bCs/>
                <w:color w:val="auto"/>
                <w:sz w:val="20"/>
                <w:szCs w:val="20"/>
                <w:lang w:eastAsia="lv-LV"/>
              </w:rPr>
              <w:t>208,8</w:t>
            </w:r>
          </w:p>
        </w:tc>
        <w:tc>
          <w:tcPr>
            <w:tcW w:w="861" w:type="dxa"/>
            <w:vAlign w:val="center"/>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362E0A">
              <w:rPr>
                <w:rFonts w:ascii="Times New Roman" w:eastAsia="Times New Roman" w:hAnsi="Times New Roman" w:cs="Times New Roman"/>
                <w:bCs/>
                <w:color w:val="auto"/>
                <w:sz w:val="20"/>
                <w:szCs w:val="20"/>
                <w:lang w:eastAsia="lv-LV"/>
              </w:rPr>
              <w:t>0,</w:t>
            </w:r>
            <w:r>
              <w:rPr>
                <w:rFonts w:ascii="Times New Roman" w:eastAsia="Times New Roman" w:hAnsi="Times New Roman" w:cs="Times New Roman"/>
                <w:bCs/>
                <w:color w:val="auto"/>
                <w:sz w:val="20"/>
                <w:szCs w:val="20"/>
                <w:lang w:eastAsia="lv-LV"/>
              </w:rPr>
              <w:t>7</w:t>
            </w:r>
          </w:p>
        </w:tc>
        <w:tc>
          <w:tcPr>
            <w:tcW w:w="708" w:type="dxa"/>
            <w:vAlign w:val="center"/>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0,7</w:t>
            </w:r>
          </w:p>
        </w:tc>
        <w:tc>
          <w:tcPr>
            <w:tcW w:w="709" w:type="dxa"/>
            <w:vAlign w:val="center"/>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0,8</w:t>
            </w:r>
          </w:p>
        </w:tc>
        <w:tc>
          <w:tcPr>
            <w:tcW w:w="709" w:type="dxa"/>
            <w:vAlign w:val="center"/>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0,8</w:t>
            </w:r>
          </w:p>
        </w:tc>
        <w:tc>
          <w:tcPr>
            <w:tcW w:w="709" w:type="dxa"/>
            <w:vAlign w:val="center"/>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0,8</w:t>
            </w:r>
          </w:p>
        </w:tc>
      </w:tr>
      <w:tr w:rsidR="00786A6A" w:rsidRPr="004C5D83" w:rsidTr="00135E60">
        <w:trPr>
          <w:trHeight w:val="187"/>
          <w:jc w:val="center"/>
        </w:trPr>
        <w:tc>
          <w:tcPr>
            <w:cnfStyle w:val="001000000000" w:firstRow="0" w:lastRow="0" w:firstColumn="1" w:lastColumn="0" w:oddVBand="0" w:evenVBand="0" w:oddHBand="0" w:evenHBand="0" w:firstRowFirstColumn="0" w:firstRowLastColumn="0" w:lastRowFirstColumn="0" w:lastRowLastColumn="0"/>
            <w:tcW w:w="3681" w:type="dxa"/>
            <w:hideMark/>
          </w:tcPr>
          <w:p w:rsidR="00786A6A" w:rsidRPr="004C5D83" w:rsidRDefault="00786A6A" w:rsidP="00786A6A">
            <w:pPr>
              <w:spacing w:after="0" w:line="240" w:lineRule="auto"/>
              <w:rPr>
                <w:rFonts w:ascii="Times New Roman" w:eastAsia="Times New Roman" w:hAnsi="Times New Roman" w:cs="Times New Roman"/>
                <w:color w:val="000000" w:themeColor="text1"/>
                <w:sz w:val="20"/>
                <w:szCs w:val="20"/>
                <w:lang w:eastAsia="lv-LV"/>
              </w:rPr>
            </w:pPr>
            <w:r w:rsidRPr="004C5D83">
              <w:rPr>
                <w:rFonts w:ascii="Times New Roman" w:eastAsia="Times New Roman" w:hAnsi="Times New Roman" w:cs="Times New Roman"/>
                <w:color w:val="000000" w:themeColor="text1"/>
                <w:sz w:val="20"/>
                <w:szCs w:val="20"/>
                <w:lang w:eastAsia="lv-LV"/>
              </w:rPr>
              <w:t>20. Subsīdijas</w:t>
            </w:r>
          </w:p>
        </w:tc>
        <w:tc>
          <w:tcPr>
            <w:tcW w:w="1134" w:type="dxa"/>
            <w:vAlign w:val="center"/>
            <w:hideMark/>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D.3</w:t>
            </w:r>
          </w:p>
        </w:tc>
        <w:tc>
          <w:tcPr>
            <w:tcW w:w="1134" w:type="dxa"/>
            <w:vAlign w:val="center"/>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Pr>
                <w:rFonts w:ascii="Times New Roman" w:eastAsia="Times New Roman" w:hAnsi="Times New Roman" w:cs="Times New Roman"/>
                <w:bCs/>
                <w:color w:val="auto"/>
                <w:sz w:val="20"/>
                <w:szCs w:val="20"/>
                <w:lang w:eastAsia="lv-LV"/>
              </w:rPr>
              <w:t>300,8</w:t>
            </w:r>
          </w:p>
        </w:tc>
        <w:tc>
          <w:tcPr>
            <w:tcW w:w="861" w:type="dxa"/>
            <w:vAlign w:val="center"/>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Pr>
                <w:rFonts w:ascii="Times New Roman" w:eastAsia="Times New Roman" w:hAnsi="Times New Roman" w:cs="Times New Roman"/>
                <w:bCs/>
                <w:color w:val="auto"/>
                <w:sz w:val="20"/>
                <w:szCs w:val="20"/>
                <w:lang w:eastAsia="lv-LV"/>
              </w:rPr>
              <w:t>1,0</w:t>
            </w:r>
          </w:p>
        </w:tc>
        <w:tc>
          <w:tcPr>
            <w:tcW w:w="708" w:type="dxa"/>
            <w:vAlign w:val="center"/>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1,6</w:t>
            </w:r>
          </w:p>
        </w:tc>
        <w:tc>
          <w:tcPr>
            <w:tcW w:w="709" w:type="dxa"/>
            <w:vAlign w:val="center"/>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1,5</w:t>
            </w:r>
          </w:p>
        </w:tc>
        <w:tc>
          <w:tcPr>
            <w:tcW w:w="709" w:type="dxa"/>
            <w:vAlign w:val="center"/>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1,4</w:t>
            </w:r>
          </w:p>
        </w:tc>
        <w:tc>
          <w:tcPr>
            <w:tcW w:w="709" w:type="dxa"/>
            <w:vAlign w:val="center"/>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1,4</w:t>
            </w:r>
          </w:p>
        </w:tc>
      </w:tr>
      <w:tr w:rsidR="00786A6A" w:rsidRPr="004C5D83" w:rsidTr="004C5D83">
        <w:trPr>
          <w:cnfStyle w:val="000000100000" w:firstRow="0" w:lastRow="0" w:firstColumn="0" w:lastColumn="0" w:oddVBand="0" w:evenVBand="0" w:oddHBand="1" w:evenHBand="0"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3681" w:type="dxa"/>
            <w:hideMark/>
          </w:tcPr>
          <w:p w:rsidR="00786A6A" w:rsidRPr="004C5D83" w:rsidRDefault="00786A6A" w:rsidP="00786A6A">
            <w:pPr>
              <w:spacing w:after="0" w:line="240" w:lineRule="auto"/>
              <w:rPr>
                <w:rFonts w:ascii="Times New Roman" w:eastAsia="Times New Roman" w:hAnsi="Times New Roman" w:cs="Times New Roman"/>
                <w:color w:val="000000" w:themeColor="text1"/>
                <w:sz w:val="20"/>
                <w:szCs w:val="20"/>
                <w:lang w:eastAsia="lv-LV"/>
              </w:rPr>
            </w:pPr>
            <w:r w:rsidRPr="004C5D83">
              <w:rPr>
                <w:rFonts w:ascii="Times New Roman" w:eastAsia="Times New Roman" w:hAnsi="Times New Roman" w:cs="Times New Roman"/>
                <w:color w:val="000000" w:themeColor="text1"/>
                <w:sz w:val="20"/>
                <w:szCs w:val="20"/>
                <w:lang w:eastAsia="lv-LV"/>
              </w:rPr>
              <w:t>21. Bruto kopējā pamatkapitāla veidošana</w:t>
            </w:r>
          </w:p>
        </w:tc>
        <w:tc>
          <w:tcPr>
            <w:tcW w:w="1134" w:type="dxa"/>
            <w:vAlign w:val="center"/>
            <w:hideMark/>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P.51</w:t>
            </w:r>
          </w:p>
        </w:tc>
        <w:tc>
          <w:tcPr>
            <w:tcW w:w="1134" w:type="dxa"/>
            <w:vAlign w:val="center"/>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Pr>
                <w:rFonts w:ascii="Times New Roman" w:eastAsia="Times New Roman" w:hAnsi="Times New Roman" w:cs="Times New Roman"/>
                <w:bCs/>
                <w:color w:val="auto"/>
                <w:sz w:val="20"/>
                <w:szCs w:val="20"/>
                <w:lang w:eastAsia="lv-LV"/>
              </w:rPr>
              <w:t>1 596,7</w:t>
            </w:r>
          </w:p>
        </w:tc>
        <w:tc>
          <w:tcPr>
            <w:tcW w:w="861" w:type="dxa"/>
            <w:vAlign w:val="center"/>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362E0A">
              <w:rPr>
                <w:rFonts w:ascii="Times New Roman" w:eastAsia="Times New Roman" w:hAnsi="Times New Roman" w:cs="Times New Roman"/>
                <w:bCs/>
                <w:color w:val="auto"/>
                <w:sz w:val="20"/>
                <w:szCs w:val="20"/>
                <w:lang w:eastAsia="lv-LV"/>
              </w:rPr>
              <w:t>5,4</w:t>
            </w:r>
          </w:p>
        </w:tc>
        <w:tc>
          <w:tcPr>
            <w:tcW w:w="708" w:type="dxa"/>
            <w:vAlign w:val="center"/>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5,1</w:t>
            </w:r>
          </w:p>
        </w:tc>
        <w:tc>
          <w:tcPr>
            <w:tcW w:w="709" w:type="dxa"/>
            <w:vAlign w:val="center"/>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4,9</w:t>
            </w:r>
          </w:p>
        </w:tc>
        <w:tc>
          <w:tcPr>
            <w:tcW w:w="709" w:type="dxa"/>
            <w:vAlign w:val="center"/>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4,7</w:t>
            </w:r>
          </w:p>
        </w:tc>
        <w:tc>
          <w:tcPr>
            <w:tcW w:w="709" w:type="dxa"/>
            <w:vAlign w:val="center"/>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4,4</w:t>
            </w:r>
          </w:p>
        </w:tc>
      </w:tr>
      <w:tr w:rsidR="00786A6A" w:rsidRPr="004C5D83" w:rsidTr="00135E60">
        <w:trPr>
          <w:trHeight w:val="123"/>
          <w:jc w:val="center"/>
        </w:trPr>
        <w:tc>
          <w:tcPr>
            <w:cnfStyle w:val="001000000000" w:firstRow="0" w:lastRow="0" w:firstColumn="1" w:lastColumn="0" w:oddVBand="0" w:evenVBand="0" w:oddHBand="0" w:evenHBand="0" w:firstRowFirstColumn="0" w:firstRowLastColumn="0" w:lastRowFirstColumn="0" w:lastRowLastColumn="0"/>
            <w:tcW w:w="3681" w:type="dxa"/>
            <w:hideMark/>
          </w:tcPr>
          <w:p w:rsidR="00786A6A" w:rsidRPr="004C5D83" w:rsidRDefault="00786A6A" w:rsidP="00786A6A">
            <w:pPr>
              <w:spacing w:after="0" w:line="240" w:lineRule="auto"/>
              <w:rPr>
                <w:rFonts w:ascii="Times New Roman" w:eastAsia="Times New Roman" w:hAnsi="Times New Roman" w:cs="Times New Roman"/>
                <w:color w:val="000000" w:themeColor="text1"/>
                <w:sz w:val="20"/>
                <w:szCs w:val="20"/>
                <w:lang w:eastAsia="lv-LV"/>
              </w:rPr>
            </w:pPr>
            <w:r w:rsidRPr="004C5D83">
              <w:rPr>
                <w:rFonts w:ascii="Times New Roman" w:eastAsia="Times New Roman" w:hAnsi="Times New Roman" w:cs="Times New Roman"/>
                <w:color w:val="000000" w:themeColor="text1"/>
                <w:sz w:val="20"/>
                <w:szCs w:val="20"/>
                <w:lang w:eastAsia="lv-LV"/>
              </w:rPr>
              <w:t>22. Kapitālo izdevumu transferti</w:t>
            </w:r>
          </w:p>
        </w:tc>
        <w:tc>
          <w:tcPr>
            <w:tcW w:w="1134" w:type="dxa"/>
            <w:vAlign w:val="center"/>
            <w:hideMark/>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D.9</w:t>
            </w:r>
          </w:p>
        </w:tc>
        <w:tc>
          <w:tcPr>
            <w:tcW w:w="1134" w:type="dxa"/>
            <w:vAlign w:val="center"/>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Pr>
                <w:rFonts w:ascii="Times New Roman" w:eastAsia="Times New Roman" w:hAnsi="Times New Roman" w:cs="Times New Roman"/>
                <w:bCs/>
                <w:color w:val="auto"/>
                <w:sz w:val="20"/>
                <w:szCs w:val="20"/>
                <w:lang w:eastAsia="lv-LV"/>
              </w:rPr>
              <w:t>58,1</w:t>
            </w:r>
          </w:p>
        </w:tc>
        <w:tc>
          <w:tcPr>
            <w:tcW w:w="861" w:type="dxa"/>
            <w:vAlign w:val="center"/>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362E0A">
              <w:rPr>
                <w:rFonts w:ascii="Times New Roman" w:eastAsia="Times New Roman" w:hAnsi="Times New Roman" w:cs="Times New Roman"/>
                <w:bCs/>
                <w:color w:val="auto"/>
                <w:sz w:val="20"/>
                <w:szCs w:val="20"/>
                <w:lang w:eastAsia="lv-LV"/>
              </w:rPr>
              <w:t>0,2</w:t>
            </w:r>
          </w:p>
        </w:tc>
        <w:tc>
          <w:tcPr>
            <w:tcW w:w="708" w:type="dxa"/>
            <w:vAlign w:val="center"/>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0,1</w:t>
            </w:r>
          </w:p>
        </w:tc>
        <w:tc>
          <w:tcPr>
            <w:tcW w:w="709" w:type="dxa"/>
            <w:vAlign w:val="center"/>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0,1</w:t>
            </w:r>
          </w:p>
        </w:tc>
        <w:tc>
          <w:tcPr>
            <w:tcW w:w="709" w:type="dxa"/>
            <w:vAlign w:val="center"/>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0,1</w:t>
            </w:r>
          </w:p>
        </w:tc>
        <w:tc>
          <w:tcPr>
            <w:tcW w:w="709" w:type="dxa"/>
            <w:vAlign w:val="center"/>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0,1</w:t>
            </w:r>
          </w:p>
        </w:tc>
      </w:tr>
      <w:tr w:rsidR="00786A6A" w:rsidRPr="004C5D83" w:rsidTr="004C5D83">
        <w:trPr>
          <w:cnfStyle w:val="000000100000" w:firstRow="0" w:lastRow="0" w:firstColumn="0" w:lastColumn="0" w:oddVBand="0" w:evenVBand="0" w:oddHBand="1" w:evenHBand="0" w:firstRowFirstColumn="0" w:firstRowLastColumn="0" w:lastRowFirstColumn="0" w:lastRowLastColumn="0"/>
          <w:trHeight w:val="169"/>
          <w:jc w:val="center"/>
        </w:trPr>
        <w:tc>
          <w:tcPr>
            <w:cnfStyle w:val="001000000000" w:firstRow="0" w:lastRow="0" w:firstColumn="1" w:lastColumn="0" w:oddVBand="0" w:evenVBand="0" w:oddHBand="0" w:evenHBand="0" w:firstRowFirstColumn="0" w:firstRowLastColumn="0" w:lastRowFirstColumn="0" w:lastRowLastColumn="0"/>
            <w:tcW w:w="3681" w:type="dxa"/>
            <w:hideMark/>
          </w:tcPr>
          <w:p w:rsidR="00786A6A" w:rsidRPr="004C5D83" w:rsidRDefault="00786A6A" w:rsidP="00786A6A">
            <w:pPr>
              <w:spacing w:after="0" w:line="240" w:lineRule="auto"/>
              <w:rPr>
                <w:rFonts w:ascii="Times New Roman" w:eastAsia="Times New Roman" w:hAnsi="Times New Roman" w:cs="Times New Roman"/>
                <w:color w:val="000000" w:themeColor="text1"/>
                <w:sz w:val="20"/>
                <w:szCs w:val="20"/>
                <w:lang w:eastAsia="lv-LV"/>
              </w:rPr>
            </w:pPr>
            <w:r w:rsidRPr="004C5D83">
              <w:rPr>
                <w:rFonts w:ascii="Times New Roman" w:eastAsia="Times New Roman" w:hAnsi="Times New Roman" w:cs="Times New Roman"/>
                <w:color w:val="000000" w:themeColor="text1"/>
                <w:sz w:val="20"/>
                <w:szCs w:val="20"/>
                <w:lang w:eastAsia="lv-LV"/>
              </w:rPr>
              <w:t>23. Pārējie izdevumi</w:t>
            </w:r>
          </w:p>
        </w:tc>
        <w:tc>
          <w:tcPr>
            <w:tcW w:w="1134" w:type="dxa"/>
            <w:vAlign w:val="center"/>
            <w:hideMark/>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p>
        </w:tc>
        <w:tc>
          <w:tcPr>
            <w:tcW w:w="1134" w:type="dxa"/>
            <w:vAlign w:val="center"/>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Pr>
                <w:rFonts w:ascii="Times New Roman" w:eastAsia="Times New Roman" w:hAnsi="Times New Roman" w:cs="Times New Roman"/>
                <w:bCs/>
                <w:color w:val="auto"/>
                <w:sz w:val="20"/>
                <w:szCs w:val="20"/>
                <w:lang w:eastAsia="lv-LV"/>
              </w:rPr>
              <w:t>1 071,0</w:t>
            </w:r>
          </w:p>
        </w:tc>
        <w:tc>
          <w:tcPr>
            <w:tcW w:w="861" w:type="dxa"/>
            <w:vAlign w:val="center"/>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Pr>
                <w:rFonts w:ascii="Times New Roman" w:eastAsia="Times New Roman" w:hAnsi="Times New Roman" w:cs="Times New Roman"/>
                <w:bCs/>
                <w:color w:val="auto"/>
                <w:sz w:val="20"/>
                <w:szCs w:val="20"/>
                <w:lang w:eastAsia="lv-LV"/>
              </w:rPr>
              <w:t>3,6</w:t>
            </w:r>
          </w:p>
        </w:tc>
        <w:tc>
          <w:tcPr>
            <w:tcW w:w="708" w:type="dxa"/>
            <w:vAlign w:val="center"/>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1,8</w:t>
            </w:r>
          </w:p>
        </w:tc>
        <w:tc>
          <w:tcPr>
            <w:tcW w:w="709" w:type="dxa"/>
            <w:vAlign w:val="center"/>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2,2</w:t>
            </w:r>
          </w:p>
        </w:tc>
        <w:tc>
          <w:tcPr>
            <w:tcW w:w="709" w:type="dxa"/>
            <w:vAlign w:val="center"/>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2,3</w:t>
            </w:r>
          </w:p>
        </w:tc>
        <w:tc>
          <w:tcPr>
            <w:tcW w:w="709" w:type="dxa"/>
            <w:vAlign w:val="center"/>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2,4</w:t>
            </w:r>
          </w:p>
        </w:tc>
      </w:tr>
      <w:tr w:rsidR="00786A6A" w:rsidRPr="004C5D83" w:rsidTr="00135E60">
        <w:trPr>
          <w:trHeight w:val="215"/>
          <w:jc w:val="center"/>
        </w:trPr>
        <w:tc>
          <w:tcPr>
            <w:cnfStyle w:val="001000000000" w:firstRow="0" w:lastRow="0" w:firstColumn="1" w:lastColumn="0" w:oddVBand="0" w:evenVBand="0" w:oddHBand="0" w:evenHBand="0" w:firstRowFirstColumn="0" w:firstRowLastColumn="0" w:lastRowFirstColumn="0" w:lastRowLastColumn="0"/>
            <w:tcW w:w="3681" w:type="dxa"/>
            <w:hideMark/>
          </w:tcPr>
          <w:p w:rsidR="00786A6A" w:rsidRPr="004C5D83" w:rsidRDefault="00786A6A" w:rsidP="00786A6A">
            <w:pPr>
              <w:spacing w:after="0" w:line="240" w:lineRule="auto"/>
              <w:rPr>
                <w:rFonts w:ascii="Times New Roman" w:eastAsia="Times New Roman" w:hAnsi="Times New Roman" w:cs="Times New Roman"/>
                <w:color w:val="000000" w:themeColor="text1"/>
                <w:sz w:val="20"/>
                <w:szCs w:val="20"/>
                <w:lang w:eastAsia="lv-LV"/>
              </w:rPr>
            </w:pPr>
            <w:r w:rsidRPr="004C5D83">
              <w:rPr>
                <w:rFonts w:ascii="Times New Roman" w:eastAsia="Times New Roman" w:hAnsi="Times New Roman" w:cs="Times New Roman"/>
                <w:color w:val="000000" w:themeColor="text1"/>
                <w:sz w:val="20"/>
                <w:szCs w:val="20"/>
                <w:lang w:eastAsia="lv-LV"/>
              </w:rPr>
              <w:t>24.=7. Kopējie izdevumi</w:t>
            </w:r>
          </w:p>
        </w:tc>
        <w:tc>
          <w:tcPr>
            <w:tcW w:w="1134" w:type="dxa"/>
            <w:vAlign w:val="center"/>
            <w:hideMark/>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TE</w:t>
            </w:r>
          </w:p>
        </w:tc>
        <w:tc>
          <w:tcPr>
            <w:tcW w:w="1134" w:type="dxa"/>
            <w:vAlign w:val="center"/>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Pr>
                <w:rFonts w:ascii="Times New Roman" w:eastAsia="Times New Roman" w:hAnsi="Times New Roman" w:cs="Times New Roman"/>
                <w:bCs/>
                <w:color w:val="auto"/>
                <w:sz w:val="20"/>
                <w:szCs w:val="20"/>
                <w:lang w:eastAsia="lv-LV"/>
              </w:rPr>
              <w:t>11 361,8</w:t>
            </w:r>
          </w:p>
        </w:tc>
        <w:tc>
          <w:tcPr>
            <w:tcW w:w="861" w:type="dxa"/>
            <w:vAlign w:val="center"/>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Pr>
                <w:rFonts w:ascii="Times New Roman" w:eastAsia="Times New Roman" w:hAnsi="Times New Roman" w:cs="Times New Roman"/>
                <w:bCs/>
                <w:color w:val="auto"/>
                <w:sz w:val="20"/>
                <w:szCs w:val="20"/>
                <w:lang w:eastAsia="lv-LV"/>
              </w:rPr>
              <w:t>38,5</w:t>
            </w:r>
          </w:p>
        </w:tc>
        <w:tc>
          <w:tcPr>
            <w:tcW w:w="708" w:type="dxa"/>
            <w:vAlign w:val="center"/>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36,7</w:t>
            </w:r>
          </w:p>
        </w:tc>
        <w:tc>
          <w:tcPr>
            <w:tcW w:w="709" w:type="dxa"/>
            <w:vAlign w:val="center"/>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36,4</w:t>
            </w:r>
          </w:p>
        </w:tc>
        <w:tc>
          <w:tcPr>
            <w:tcW w:w="709" w:type="dxa"/>
            <w:vAlign w:val="center"/>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35,6</w:t>
            </w:r>
          </w:p>
        </w:tc>
        <w:tc>
          <w:tcPr>
            <w:tcW w:w="709" w:type="dxa"/>
            <w:vAlign w:val="center"/>
          </w:tcPr>
          <w:p w:rsidR="00786A6A" w:rsidRPr="004C5D83" w:rsidRDefault="00786A6A" w:rsidP="00786A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35,2</w:t>
            </w:r>
          </w:p>
        </w:tc>
      </w:tr>
      <w:tr w:rsidR="00786A6A" w:rsidRPr="004C5D83" w:rsidTr="004C5D83">
        <w:trPr>
          <w:cnfStyle w:val="000000100000" w:firstRow="0" w:lastRow="0" w:firstColumn="0" w:lastColumn="0" w:oddVBand="0" w:evenVBand="0" w:oddHBand="1" w:evenHBand="0" w:firstRowFirstColumn="0" w:firstRowLastColumn="0" w:lastRowFirstColumn="0" w:lastRowLastColumn="0"/>
          <w:trHeight w:val="119"/>
          <w:jc w:val="center"/>
        </w:trPr>
        <w:tc>
          <w:tcPr>
            <w:cnfStyle w:val="001000000000" w:firstRow="0" w:lastRow="0" w:firstColumn="1" w:lastColumn="0" w:oddVBand="0" w:evenVBand="0" w:oddHBand="0" w:evenHBand="0" w:firstRowFirstColumn="0" w:firstRowLastColumn="0" w:lastRowFirstColumn="0" w:lastRowLastColumn="0"/>
            <w:tcW w:w="3681" w:type="dxa"/>
            <w:hideMark/>
          </w:tcPr>
          <w:p w:rsidR="00786A6A" w:rsidRPr="004C5D83" w:rsidRDefault="00786A6A" w:rsidP="00786A6A">
            <w:pPr>
              <w:spacing w:after="0" w:line="240" w:lineRule="auto"/>
              <w:rPr>
                <w:rFonts w:ascii="Times New Roman" w:eastAsia="Times New Roman" w:hAnsi="Times New Roman" w:cs="Times New Roman"/>
                <w:color w:val="000000" w:themeColor="text1"/>
                <w:sz w:val="20"/>
                <w:szCs w:val="20"/>
                <w:lang w:eastAsia="lv-LV"/>
              </w:rPr>
            </w:pPr>
            <w:r w:rsidRPr="004C5D83">
              <w:rPr>
                <w:rFonts w:ascii="Times New Roman" w:eastAsia="Times New Roman" w:hAnsi="Times New Roman" w:cs="Times New Roman"/>
                <w:color w:val="000000" w:themeColor="text1"/>
                <w:sz w:val="20"/>
                <w:szCs w:val="20"/>
                <w:lang w:eastAsia="lv-LV"/>
              </w:rPr>
              <w:t>Valdības patēriņš</w:t>
            </w:r>
          </w:p>
        </w:tc>
        <w:tc>
          <w:tcPr>
            <w:tcW w:w="1134" w:type="dxa"/>
            <w:vAlign w:val="center"/>
            <w:hideMark/>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P.3</w:t>
            </w:r>
          </w:p>
        </w:tc>
        <w:tc>
          <w:tcPr>
            <w:tcW w:w="1134" w:type="dxa"/>
            <w:vAlign w:val="center"/>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Pr>
                <w:rFonts w:ascii="Times New Roman" w:eastAsia="Times New Roman" w:hAnsi="Times New Roman" w:cs="Times New Roman"/>
                <w:bCs/>
                <w:color w:val="auto"/>
                <w:sz w:val="20"/>
                <w:szCs w:val="20"/>
                <w:lang w:eastAsia="lv-LV"/>
              </w:rPr>
              <w:t>5 226,8</w:t>
            </w:r>
          </w:p>
        </w:tc>
        <w:tc>
          <w:tcPr>
            <w:tcW w:w="861" w:type="dxa"/>
            <w:vAlign w:val="center"/>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Pr>
                <w:rFonts w:ascii="Times New Roman" w:eastAsia="Times New Roman" w:hAnsi="Times New Roman" w:cs="Times New Roman"/>
                <w:bCs/>
                <w:color w:val="auto"/>
                <w:sz w:val="20"/>
                <w:szCs w:val="20"/>
                <w:lang w:eastAsia="lv-LV"/>
              </w:rPr>
              <w:t>17,7</w:t>
            </w:r>
          </w:p>
        </w:tc>
        <w:tc>
          <w:tcPr>
            <w:tcW w:w="708" w:type="dxa"/>
            <w:vAlign w:val="center"/>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17,8</w:t>
            </w:r>
          </w:p>
        </w:tc>
        <w:tc>
          <w:tcPr>
            <w:tcW w:w="709" w:type="dxa"/>
            <w:vAlign w:val="center"/>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17,2</w:t>
            </w:r>
          </w:p>
        </w:tc>
        <w:tc>
          <w:tcPr>
            <w:tcW w:w="709" w:type="dxa"/>
            <w:vAlign w:val="center"/>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16,9</w:t>
            </w:r>
          </w:p>
        </w:tc>
        <w:tc>
          <w:tcPr>
            <w:tcW w:w="709" w:type="dxa"/>
            <w:vAlign w:val="center"/>
          </w:tcPr>
          <w:p w:rsidR="00786A6A" w:rsidRPr="004C5D83" w:rsidRDefault="00786A6A" w:rsidP="00786A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0"/>
                <w:szCs w:val="20"/>
                <w:lang w:eastAsia="lv-LV"/>
              </w:rPr>
            </w:pPr>
            <w:r w:rsidRPr="004C5D83">
              <w:rPr>
                <w:rFonts w:ascii="Times New Roman" w:eastAsia="Times New Roman" w:hAnsi="Times New Roman" w:cs="Times New Roman"/>
                <w:bCs/>
                <w:color w:val="000000" w:themeColor="text1"/>
                <w:sz w:val="20"/>
                <w:szCs w:val="20"/>
                <w:lang w:eastAsia="lv-LV"/>
              </w:rPr>
              <w:t>16,1</w:t>
            </w:r>
          </w:p>
        </w:tc>
      </w:tr>
    </w:tbl>
    <w:p w:rsidR="004C5D83" w:rsidRPr="004C5D83" w:rsidRDefault="007D040E" w:rsidP="004C5D83">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004C5D83" w:rsidRPr="004C5D83">
        <w:rPr>
          <w:rFonts w:ascii="Times New Roman" w:eastAsia="Times New Roman" w:hAnsi="Times New Roman" w:cs="Times New Roman"/>
          <w:sz w:val="20"/>
          <w:szCs w:val="20"/>
          <w:lang w:eastAsia="lv-LV"/>
        </w:rPr>
        <w:t xml:space="preserve"> Ieskaitot ES budžetā iekasēto nodokļu daļu</w:t>
      </w:r>
    </w:p>
    <w:p w:rsidR="003D44E6" w:rsidRDefault="003D44E6" w:rsidP="0053105F">
      <w:pPr>
        <w:spacing w:after="0" w:line="240" w:lineRule="auto"/>
        <w:rPr>
          <w:rFonts w:ascii="Times New Roman" w:eastAsia="Times New Roman" w:hAnsi="Times New Roman" w:cs="Times New Roman"/>
          <w:sz w:val="20"/>
          <w:szCs w:val="20"/>
          <w:lang w:eastAsia="lv-LV"/>
        </w:rPr>
      </w:pPr>
    </w:p>
    <w:p w:rsidR="003D44E6" w:rsidRDefault="003D44E6" w:rsidP="0053105F">
      <w:pPr>
        <w:spacing w:after="0" w:line="240" w:lineRule="auto"/>
        <w:rPr>
          <w:rFonts w:ascii="Times New Roman" w:eastAsia="Times New Roman" w:hAnsi="Times New Roman" w:cs="Times New Roman"/>
          <w:sz w:val="20"/>
          <w:szCs w:val="20"/>
          <w:lang w:eastAsia="lv-LV"/>
        </w:rPr>
      </w:pPr>
    </w:p>
    <w:p w:rsidR="0053105F" w:rsidRDefault="0053105F" w:rsidP="0053105F">
      <w:pPr>
        <w:spacing w:after="0"/>
        <w:rPr>
          <w:rFonts w:ascii="Times New Roman" w:hAnsi="Times New Roman" w:cs="Times New Roman"/>
          <w:b/>
          <w:sz w:val="24"/>
          <w:szCs w:val="24"/>
        </w:rPr>
      </w:pPr>
      <w:r w:rsidRPr="00362E0A">
        <w:rPr>
          <w:rFonts w:ascii="Times New Roman" w:hAnsi="Times New Roman" w:cs="Times New Roman"/>
          <w:b/>
          <w:sz w:val="24"/>
          <w:szCs w:val="24"/>
        </w:rPr>
        <w:t>2b.tabula. Prognozes pie nemainīgas politikas</w:t>
      </w:r>
    </w:p>
    <w:tbl>
      <w:tblPr>
        <w:tblStyle w:val="GridTable6Colorful-Accent115"/>
        <w:tblW w:w="9533" w:type="dxa"/>
        <w:jc w:val="center"/>
        <w:tblLook w:val="04A0" w:firstRow="1" w:lastRow="0" w:firstColumn="1" w:lastColumn="0" w:noHBand="0" w:noVBand="1"/>
      </w:tblPr>
      <w:tblGrid>
        <w:gridCol w:w="4717"/>
        <w:gridCol w:w="1134"/>
        <w:gridCol w:w="798"/>
        <w:gridCol w:w="708"/>
        <w:gridCol w:w="758"/>
        <w:gridCol w:w="709"/>
        <w:gridCol w:w="709"/>
      </w:tblGrid>
      <w:tr w:rsidR="004C5D83" w:rsidRPr="004C5D83" w:rsidTr="00135E60">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717" w:type="dxa"/>
            <w:hideMark/>
          </w:tcPr>
          <w:p w:rsidR="004C5D83" w:rsidRPr="004C5D83" w:rsidRDefault="004C5D83" w:rsidP="004C5D83">
            <w:pPr>
              <w:spacing w:after="0" w:line="240" w:lineRule="auto"/>
              <w:rPr>
                <w:rFonts w:ascii="Times New Roman" w:eastAsia="Times New Roman" w:hAnsi="Times New Roman" w:cs="Times New Roman"/>
                <w:color w:val="auto"/>
                <w:sz w:val="20"/>
                <w:szCs w:val="20"/>
                <w:lang w:eastAsia="lv-LV"/>
              </w:rPr>
            </w:pPr>
            <w:r w:rsidRPr="004C5D83">
              <w:rPr>
                <w:rFonts w:ascii="Times New Roman" w:eastAsia="Times New Roman" w:hAnsi="Times New Roman" w:cs="Times New Roman"/>
                <w:color w:val="auto"/>
                <w:sz w:val="20"/>
                <w:szCs w:val="20"/>
                <w:lang w:eastAsia="lv-LV"/>
              </w:rPr>
              <w:t> </w:t>
            </w:r>
          </w:p>
        </w:tc>
        <w:tc>
          <w:tcPr>
            <w:tcW w:w="1134" w:type="dxa"/>
            <w:hideMark/>
          </w:tcPr>
          <w:p w:rsidR="004C5D83" w:rsidRPr="00C23426" w:rsidRDefault="004C5D83" w:rsidP="004C5D8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C23426">
              <w:rPr>
                <w:rFonts w:ascii="Times New Roman" w:eastAsia="Times New Roman" w:hAnsi="Times New Roman" w:cs="Times New Roman"/>
                <w:color w:val="auto"/>
                <w:sz w:val="20"/>
                <w:szCs w:val="20"/>
                <w:lang w:eastAsia="lv-LV"/>
              </w:rPr>
              <w:t>2018</w:t>
            </w:r>
          </w:p>
        </w:tc>
        <w:tc>
          <w:tcPr>
            <w:tcW w:w="798" w:type="dxa"/>
            <w:hideMark/>
          </w:tcPr>
          <w:p w:rsidR="004C5D83" w:rsidRPr="00C23426" w:rsidRDefault="004C5D83" w:rsidP="004C5D8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C23426">
              <w:rPr>
                <w:rFonts w:ascii="Times New Roman" w:eastAsia="Times New Roman" w:hAnsi="Times New Roman" w:cs="Times New Roman"/>
                <w:color w:val="auto"/>
                <w:sz w:val="20"/>
                <w:szCs w:val="20"/>
                <w:lang w:eastAsia="lv-LV"/>
              </w:rPr>
              <w:t>2018</w:t>
            </w:r>
          </w:p>
        </w:tc>
        <w:tc>
          <w:tcPr>
            <w:tcW w:w="708" w:type="dxa"/>
            <w:hideMark/>
          </w:tcPr>
          <w:p w:rsidR="004C5D83" w:rsidRPr="004C5D83" w:rsidRDefault="004C5D83" w:rsidP="004C5D8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4C5D83">
              <w:rPr>
                <w:rFonts w:ascii="Times New Roman" w:eastAsia="Times New Roman" w:hAnsi="Times New Roman" w:cs="Times New Roman"/>
                <w:color w:val="auto"/>
                <w:sz w:val="20"/>
                <w:szCs w:val="20"/>
                <w:lang w:eastAsia="lv-LV"/>
              </w:rPr>
              <w:t>2019</w:t>
            </w:r>
          </w:p>
        </w:tc>
        <w:tc>
          <w:tcPr>
            <w:tcW w:w="758" w:type="dxa"/>
            <w:hideMark/>
          </w:tcPr>
          <w:p w:rsidR="004C5D83" w:rsidRPr="004C5D83" w:rsidRDefault="004C5D83" w:rsidP="004C5D8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4C5D83">
              <w:rPr>
                <w:rFonts w:ascii="Times New Roman" w:eastAsia="Times New Roman" w:hAnsi="Times New Roman" w:cs="Times New Roman"/>
                <w:color w:val="auto"/>
                <w:sz w:val="20"/>
                <w:szCs w:val="20"/>
                <w:lang w:eastAsia="lv-LV"/>
              </w:rPr>
              <w:t>2020</w:t>
            </w:r>
          </w:p>
        </w:tc>
        <w:tc>
          <w:tcPr>
            <w:tcW w:w="709" w:type="dxa"/>
            <w:hideMark/>
          </w:tcPr>
          <w:p w:rsidR="004C5D83" w:rsidRPr="004C5D83" w:rsidRDefault="004C5D83" w:rsidP="004C5D8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4C5D83">
              <w:rPr>
                <w:rFonts w:ascii="Times New Roman" w:eastAsia="Times New Roman" w:hAnsi="Times New Roman" w:cs="Times New Roman"/>
                <w:color w:val="auto"/>
                <w:sz w:val="20"/>
                <w:szCs w:val="20"/>
                <w:lang w:eastAsia="lv-LV"/>
              </w:rPr>
              <w:t>2021</w:t>
            </w:r>
          </w:p>
        </w:tc>
        <w:tc>
          <w:tcPr>
            <w:tcW w:w="709" w:type="dxa"/>
            <w:hideMark/>
          </w:tcPr>
          <w:p w:rsidR="004C5D83" w:rsidRPr="004C5D83" w:rsidRDefault="004C5D83" w:rsidP="004C5D8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4C5D83">
              <w:rPr>
                <w:rFonts w:ascii="Times New Roman" w:eastAsia="Times New Roman" w:hAnsi="Times New Roman" w:cs="Times New Roman"/>
                <w:color w:val="auto"/>
                <w:sz w:val="20"/>
                <w:szCs w:val="20"/>
                <w:lang w:eastAsia="lv-LV"/>
              </w:rPr>
              <w:t>2022</w:t>
            </w:r>
          </w:p>
        </w:tc>
      </w:tr>
      <w:tr w:rsidR="004C5D83" w:rsidRPr="004C5D83" w:rsidTr="004C5D8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717" w:type="dxa"/>
            <w:hideMark/>
          </w:tcPr>
          <w:p w:rsidR="004C5D83" w:rsidRPr="004C5D83" w:rsidRDefault="004C5D83" w:rsidP="004C5D83">
            <w:pPr>
              <w:spacing w:after="0" w:line="240" w:lineRule="auto"/>
              <w:rPr>
                <w:rFonts w:ascii="Times New Roman" w:eastAsia="Times New Roman" w:hAnsi="Times New Roman" w:cs="Times New Roman"/>
                <w:color w:val="auto"/>
                <w:sz w:val="20"/>
                <w:szCs w:val="20"/>
                <w:lang w:eastAsia="lv-LV"/>
              </w:rPr>
            </w:pPr>
            <w:r w:rsidRPr="004C5D83">
              <w:rPr>
                <w:rFonts w:ascii="Times New Roman" w:eastAsia="Times New Roman" w:hAnsi="Times New Roman" w:cs="Times New Roman"/>
                <w:color w:val="auto"/>
                <w:sz w:val="20"/>
                <w:szCs w:val="20"/>
                <w:lang w:eastAsia="lv-LV"/>
              </w:rPr>
              <w:t> </w:t>
            </w:r>
          </w:p>
        </w:tc>
        <w:tc>
          <w:tcPr>
            <w:tcW w:w="1134" w:type="dxa"/>
            <w:hideMark/>
          </w:tcPr>
          <w:p w:rsidR="004C5D83" w:rsidRPr="004C5D83" w:rsidRDefault="004C5D83" w:rsidP="004C5D8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20"/>
                <w:szCs w:val="20"/>
                <w:lang w:eastAsia="lv-LV"/>
              </w:rPr>
            </w:pPr>
            <w:r w:rsidRPr="004C5D83">
              <w:rPr>
                <w:rFonts w:ascii="Times New Roman" w:eastAsia="Times New Roman" w:hAnsi="Times New Roman" w:cs="Times New Roman"/>
                <w:b/>
                <w:bCs/>
                <w:color w:val="auto"/>
                <w:sz w:val="20"/>
                <w:szCs w:val="20"/>
                <w:lang w:eastAsia="lv-LV"/>
              </w:rPr>
              <w:t xml:space="preserve">milj. </w:t>
            </w:r>
            <w:r w:rsidRPr="004C5D83">
              <w:rPr>
                <w:rFonts w:ascii="Times New Roman" w:eastAsia="Times New Roman" w:hAnsi="Times New Roman" w:cs="Times New Roman"/>
                <w:b/>
                <w:bCs/>
                <w:i/>
                <w:color w:val="auto"/>
                <w:sz w:val="20"/>
                <w:szCs w:val="20"/>
                <w:lang w:eastAsia="lv-LV"/>
              </w:rPr>
              <w:t>euro</w:t>
            </w:r>
          </w:p>
        </w:tc>
        <w:tc>
          <w:tcPr>
            <w:tcW w:w="3682" w:type="dxa"/>
            <w:gridSpan w:val="5"/>
            <w:hideMark/>
          </w:tcPr>
          <w:p w:rsidR="004C5D83" w:rsidRPr="004C5D83" w:rsidRDefault="004C5D83" w:rsidP="004C5D8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20"/>
                <w:szCs w:val="20"/>
                <w:lang w:eastAsia="lv-LV"/>
              </w:rPr>
            </w:pPr>
            <w:r w:rsidRPr="004C5D83">
              <w:rPr>
                <w:rFonts w:ascii="Times New Roman" w:eastAsia="Times New Roman" w:hAnsi="Times New Roman" w:cs="Times New Roman"/>
                <w:b/>
                <w:bCs/>
                <w:color w:val="auto"/>
                <w:sz w:val="20"/>
                <w:szCs w:val="20"/>
                <w:lang w:eastAsia="lv-LV"/>
              </w:rPr>
              <w:t>% no IKP</w:t>
            </w:r>
          </w:p>
        </w:tc>
      </w:tr>
      <w:tr w:rsidR="00C23426" w:rsidRPr="004C5D83" w:rsidTr="00135E60">
        <w:trPr>
          <w:trHeight w:val="300"/>
          <w:jc w:val="center"/>
        </w:trPr>
        <w:tc>
          <w:tcPr>
            <w:cnfStyle w:val="001000000000" w:firstRow="0" w:lastRow="0" w:firstColumn="1" w:lastColumn="0" w:oddVBand="0" w:evenVBand="0" w:oddHBand="0" w:evenHBand="0" w:firstRowFirstColumn="0" w:firstRowLastColumn="0" w:lastRowFirstColumn="0" w:lastRowLastColumn="0"/>
            <w:tcW w:w="4717" w:type="dxa"/>
            <w:vAlign w:val="center"/>
            <w:hideMark/>
          </w:tcPr>
          <w:p w:rsidR="00C23426" w:rsidRPr="004C5D83" w:rsidRDefault="00C23426" w:rsidP="00C23426">
            <w:pPr>
              <w:spacing w:after="0" w:line="240" w:lineRule="auto"/>
              <w:rPr>
                <w:rFonts w:ascii="Times New Roman" w:eastAsia="Times New Roman" w:hAnsi="Times New Roman" w:cs="Times New Roman"/>
                <w:b w:val="0"/>
                <w:color w:val="auto"/>
                <w:sz w:val="20"/>
                <w:szCs w:val="20"/>
                <w:lang w:eastAsia="lv-LV"/>
              </w:rPr>
            </w:pPr>
            <w:r w:rsidRPr="004C5D83">
              <w:rPr>
                <w:rFonts w:ascii="Times New Roman" w:eastAsia="Times New Roman" w:hAnsi="Times New Roman" w:cs="Times New Roman"/>
                <w:b w:val="0"/>
                <w:color w:val="auto"/>
                <w:sz w:val="20"/>
                <w:szCs w:val="20"/>
                <w:lang w:eastAsia="lv-LV"/>
              </w:rPr>
              <w:t>1. Kopējie ieņēmumi pie nemainīgas politikas</w:t>
            </w:r>
          </w:p>
        </w:tc>
        <w:tc>
          <w:tcPr>
            <w:tcW w:w="1134" w:type="dxa"/>
          </w:tcPr>
          <w:p w:rsidR="00C23426" w:rsidRPr="004C5D83" w:rsidRDefault="00C23426" w:rsidP="00C2342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0"/>
                <w:szCs w:val="20"/>
                <w:lang w:eastAsia="lv-LV"/>
              </w:rPr>
            </w:pPr>
            <w:r w:rsidRPr="00362E0A">
              <w:rPr>
                <w:rFonts w:ascii="Times New Roman" w:eastAsia="Times New Roman" w:hAnsi="Times New Roman" w:cs="Times New Roman"/>
                <w:bCs/>
                <w:color w:val="auto"/>
                <w:sz w:val="20"/>
                <w:szCs w:val="20"/>
                <w:lang w:eastAsia="lv-LV"/>
              </w:rPr>
              <w:t>10</w:t>
            </w:r>
            <w:r w:rsidRPr="00362E0A">
              <w:rPr>
                <w:lang w:eastAsia="lv-LV"/>
              </w:rPr>
              <w:t> </w:t>
            </w:r>
            <w:r>
              <w:rPr>
                <w:rFonts w:ascii="Times New Roman" w:eastAsia="Times New Roman" w:hAnsi="Times New Roman" w:cs="Times New Roman"/>
                <w:bCs/>
                <w:color w:val="auto"/>
                <w:sz w:val="20"/>
                <w:szCs w:val="20"/>
                <w:lang w:eastAsia="lv-LV"/>
              </w:rPr>
              <w:t>066,3</w:t>
            </w:r>
          </w:p>
        </w:tc>
        <w:tc>
          <w:tcPr>
            <w:tcW w:w="798" w:type="dxa"/>
          </w:tcPr>
          <w:p w:rsidR="00C23426" w:rsidRPr="004C5D83" w:rsidRDefault="00C23426" w:rsidP="00C2342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0"/>
                <w:szCs w:val="20"/>
                <w:lang w:eastAsia="lv-LV"/>
              </w:rPr>
            </w:pPr>
            <w:r w:rsidRPr="00362E0A">
              <w:rPr>
                <w:rFonts w:ascii="Times New Roman" w:eastAsia="Times New Roman" w:hAnsi="Times New Roman" w:cs="Times New Roman"/>
                <w:bCs/>
                <w:color w:val="auto"/>
                <w:sz w:val="20"/>
                <w:szCs w:val="20"/>
                <w:lang w:eastAsia="lv-LV"/>
              </w:rPr>
              <w:t>37,</w:t>
            </w:r>
            <w:r>
              <w:rPr>
                <w:rFonts w:ascii="Times New Roman" w:eastAsia="Times New Roman" w:hAnsi="Times New Roman" w:cs="Times New Roman"/>
                <w:bCs/>
                <w:color w:val="auto"/>
                <w:sz w:val="20"/>
                <w:szCs w:val="20"/>
                <w:lang w:eastAsia="lv-LV"/>
              </w:rPr>
              <w:t>5</w:t>
            </w:r>
          </w:p>
        </w:tc>
        <w:tc>
          <w:tcPr>
            <w:tcW w:w="708" w:type="dxa"/>
          </w:tcPr>
          <w:p w:rsidR="00C23426" w:rsidRPr="004C5D83" w:rsidRDefault="00C23426" w:rsidP="00C2342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0"/>
                <w:szCs w:val="20"/>
                <w:lang w:eastAsia="lv-LV"/>
              </w:rPr>
            </w:pPr>
            <w:r w:rsidRPr="004C5D83">
              <w:rPr>
                <w:rFonts w:ascii="Times New Roman" w:eastAsia="Times New Roman" w:hAnsi="Times New Roman" w:cs="Times New Roman"/>
                <w:bCs/>
                <w:color w:val="auto"/>
                <w:sz w:val="20"/>
                <w:szCs w:val="20"/>
                <w:lang w:eastAsia="lv-LV"/>
              </w:rPr>
              <w:t>36,2</w:t>
            </w:r>
          </w:p>
        </w:tc>
        <w:tc>
          <w:tcPr>
            <w:tcW w:w="758" w:type="dxa"/>
          </w:tcPr>
          <w:p w:rsidR="00C23426" w:rsidRPr="004C5D83" w:rsidRDefault="00C23426" w:rsidP="00C2342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0"/>
                <w:szCs w:val="20"/>
                <w:lang w:eastAsia="lv-LV"/>
              </w:rPr>
            </w:pPr>
            <w:r w:rsidRPr="004C5D83">
              <w:rPr>
                <w:rFonts w:ascii="Times New Roman" w:eastAsia="Times New Roman" w:hAnsi="Times New Roman" w:cs="Times New Roman"/>
                <w:bCs/>
                <w:color w:val="auto"/>
                <w:sz w:val="20"/>
                <w:szCs w:val="20"/>
                <w:lang w:eastAsia="lv-LV"/>
              </w:rPr>
              <w:t>35,9</w:t>
            </w:r>
          </w:p>
        </w:tc>
        <w:tc>
          <w:tcPr>
            <w:tcW w:w="709" w:type="dxa"/>
          </w:tcPr>
          <w:p w:rsidR="00C23426" w:rsidRPr="004C5D83" w:rsidRDefault="00C23426" w:rsidP="00C2342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0"/>
                <w:szCs w:val="20"/>
                <w:lang w:eastAsia="lv-LV"/>
              </w:rPr>
            </w:pPr>
            <w:r w:rsidRPr="004C5D83">
              <w:rPr>
                <w:rFonts w:ascii="Times New Roman" w:eastAsia="Times New Roman" w:hAnsi="Times New Roman" w:cs="Times New Roman"/>
                <w:bCs/>
                <w:color w:val="auto"/>
                <w:sz w:val="20"/>
                <w:szCs w:val="20"/>
                <w:lang w:eastAsia="lv-LV"/>
              </w:rPr>
              <w:t>35,4</w:t>
            </w:r>
          </w:p>
        </w:tc>
        <w:tc>
          <w:tcPr>
            <w:tcW w:w="709" w:type="dxa"/>
          </w:tcPr>
          <w:p w:rsidR="00C23426" w:rsidRPr="004C5D83" w:rsidRDefault="00C23426" w:rsidP="00C2342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0"/>
                <w:szCs w:val="20"/>
                <w:lang w:eastAsia="lv-LV"/>
              </w:rPr>
            </w:pPr>
            <w:r w:rsidRPr="004C5D83">
              <w:rPr>
                <w:rFonts w:ascii="Times New Roman" w:eastAsia="Times New Roman" w:hAnsi="Times New Roman" w:cs="Times New Roman"/>
                <w:bCs/>
                <w:color w:val="auto"/>
                <w:sz w:val="20"/>
                <w:szCs w:val="20"/>
                <w:lang w:eastAsia="lv-LV"/>
              </w:rPr>
              <w:t>34,9</w:t>
            </w:r>
          </w:p>
        </w:tc>
      </w:tr>
      <w:tr w:rsidR="00C23426" w:rsidRPr="004C5D83" w:rsidTr="004C5D83">
        <w:trPr>
          <w:cnfStyle w:val="000000100000" w:firstRow="0" w:lastRow="0" w:firstColumn="0" w:lastColumn="0" w:oddVBand="0" w:evenVBand="0" w:oddHBand="1" w:evenHBand="0" w:firstRowFirstColumn="0" w:firstRowLastColumn="0" w:lastRowFirstColumn="0" w:lastRowLastColumn="0"/>
          <w:trHeight w:val="316"/>
          <w:jc w:val="center"/>
        </w:trPr>
        <w:tc>
          <w:tcPr>
            <w:cnfStyle w:val="001000000000" w:firstRow="0" w:lastRow="0" w:firstColumn="1" w:lastColumn="0" w:oddVBand="0" w:evenVBand="0" w:oddHBand="0" w:evenHBand="0" w:firstRowFirstColumn="0" w:firstRowLastColumn="0" w:lastRowFirstColumn="0" w:lastRowLastColumn="0"/>
            <w:tcW w:w="4717" w:type="dxa"/>
            <w:vAlign w:val="center"/>
            <w:hideMark/>
          </w:tcPr>
          <w:p w:rsidR="00C23426" w:rsidRPr="004C5D83" w:rsidRDefault="00C23426" w:rsidP="00C23426">
            <w:pPr>
              <w:spacing w:after="0" w:line="240" w:lineRule="auto"/>
              <w:rPr>
                <w:rFonts w:ascii="Times New Roman" w:eastAsia="Times New Roman" w:hAnsi="Times New Roman" w:cs="Times New Roman"/>
                <w:b w:val="0"/>
                <w:color w:val="auto"/>
                <w:sz w:val="20"/>
                <w:szCs w:val="20"/>
                <w:lang w:eastAsia="lv-LV"/>
              </w:rPr>
            </w:pPr>
            <w:r w:rsidRPr="004C5D83">
              <w:rPr>
                <w:rFonts w:ascii="Times New Roman" w:eastAsia="Times New Roman" w:hAnsi="Times New Roman" w:cs="Times New Roman"/>
                <w:b w:val="0"/>
                <w:color w:val="auto"/>
                <w:sz w:val="20"/>
                <w:szCs w:val="20"/>
                <w:lang w:eastAsia="lv-LV"/>
              </w:rPr>
              <w:t>2. Kopējie izdevumi pie nemainīgas politikas</w:t>
            </w:r>
          </w:p>
        </w:tc>
        <w:tc>
          <w:tcPr>
            <w:tcW w:w="1134" w:type="dxa"/>
          </w:tcPr>
          <w:p w:rsidR="00C23426" w:rsidRPr="004C5D83" w:rsidRDefault="00C23426" w:rsidP="00C2342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lang w:eastAsia="lv-LV"/>
              </w:rPr>
            </w:pPr>
            <w:r w:rsidRPr="00362E0A">
              <w:rPr>
                <w:rFonts w:ascii="Times New Roman" w:eastAsia="Times New Roman" w:hAnsi="Times New Roman" w:cs="Times New Roman"/>
                <w:bCs/>
                <w:color w:val="auto"/>
                <w:sz w:val="20"/>
                <w:szCs w:val="20"/>
                <w:lang w:eastAsia="lv-LV"/>
              </w:rPr>
              <w:t>11 </w:t>
            </w:r>
            <w:r>
              <w:rPr>
                <w:rFonts w:ascii="Times New Roman" w:eastAsia="Times New Roman" w:hAnsi="Times New Roman" w:cs="Times New Roman"/>
                <w:bCs/>
                <w:color w:val="auto"/>
                <w:sz w:val="20"/>
                <w:szCs w:val="20"/>
                <w:lang w:eastAsia="lv-LV"/>
              </w:rPr>
              <w:t>361,8</w:t>
            </w:r>
          </w:p>
        </w:tc>
        <w:tc>
          <w:tcPr>
            <w:tcW w:w="798" w:type="dxa"/>
          </w:tcPr>
          <w:p w:rsidR="00C23426" w:rsidRPr="004C5D83" w:rsidRDefault="00C23426" w:rsidP="00C2342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lang w:eastAsia="lv-LV"/>
              </w:rPr>
            </w:pPr>
            <w:r>
              <w:rPr>
                <w:rFonts w:ascii="Times New Roman" w:eastAsia="Times New Roman" w:hAnsi="Times New Roman" w:cs="Times New Roman"/>
                <w:bCs/>
                <w:color w:val="auto"/>
                <w:sz w:val="20"/>
                <w:szCs w:val="20"/>
                <w:lang w:eastAsia="lv-LV"/>
              </w:rPr>
              <w:t>38,5</w:t>
            </w:r>
          </w:p>
        </w:tc>
        <w:tc>
          <w:tcPr>
            <w:tcW w:w="708" w:type="dxa"/>
          </w:tcPr>
          <w:p w:rsidR="00C23426" w:rsidRPr="004C5D83" w:rsidRDefault="00C23426" w:rsidP="00C2342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lang w:eastAsia="lv-LV"/>
              </w:rPr>
            </w:pPr>
            <w:r w:rsidRPr="004C5D83">
              <w:rPr>
                <w:rFonts w:ascii="Times New Roman" w:eastAsia="Times New Roman" w:hAnsi="Times New Roman" w:cs="Times New Roman"/>
                <w:bCs/>
                <w:color w:val="auto"/>
                <w:sz w:val="20"/>
                <w:szCs w:val="20"/>
                <w:lang w:eastAsia="lv-LV"/>
              </w:rPr>
              <w:t>36,7</w:t>
            </w:r>
          </w:p>
        </w:tc>
        <w:tc>
          <w:tcPr>
            <w:tcW w:w="758" w:type="dxa"/>
          </w:tcPr>
          <w:p w:rsidR="00C23426" w:rsidRPr="004C5D83" w:rsidRDefault="00C23426" w:rsidP="00C2342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lang w:eastAsia="lv-LV"/>
              </w:rPr>
            </w:pPr>
            <w:r w:rsidRPr="004C5D83">
              <w:rPr>
                <w:rFonts w:ascii="Times New Roman" w:eastAsia="Times New Roman" w:hAnsi="Times New Roman" w:cs="Times New Roman"/>
                <w:bCs/>
                <w:color w:val="auto"/>
                <w:sz w:val="20"/>
                <w:szCs w:val="20"/>
                <w:lang w:eastAsia="lv-LV"/>
              </w:rPr>
              <w:t>36,3</w:t>
            </w:r>
          </w:p>
        </w:tc>
        <w:tc>
          <w:tcPr>
            <w:tcW w:w="709" w:type="dxa"/>
          </w:tcPr>
          <w:p w:rsidR="00C23426" w:rsidRPr="004C5D83" w:rsidRDefault="00C23426" w:rsidP="00C2342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lang w:eastAsia="lv-LV"/>
              </w:rPr>
            </w:pPr>
            <w:r w:rsidRPr="004C5D83">
              <w:rPr>
                <w:rFonts w:ascii="Times New Roman" w:eastAsia="Times New Roman" w:hAnsi="Times New Roman" w:cs="Times New Roman"/>
                <w:bCs/>
                <w:color w:val="auto"/>
                <w:sz w:val="20"/>
                <w:szCs w:val="20"/>
                <w:lang w:eastAsia="lv-LV"/>
              </w:rPr>
              <w:t>35,8</w:t>
            </w:r>
          </w:p>
        </w:tc>
        <w:tc>
          <w:tcPr>
            <w:tcW w:w="709" w:type="dxa"/>
          </w:tcPr>
          <w:p w:rsidR="00C23426" w:rsidRPr="004C5D83" w:rsidRDefault="00C23426" w:rsidP="00C2342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lang w:eastAsia="lv-LV"/>
              </w:rPr>
            </w:pPr>
            <w:r w:rsidRPr="004C5D83">
              <w:rPr>
                <w:rFonts w:ascii="Times New Roman" w:eastAsia="Times New Roman" w:hAnsi="Times New Roman" w:cs="Times New Roman"/>
                <w:bCs/>
                <w:color w:val="auto"/>
                <w:sz w:val="20"/>
                <w:szCs w:val="20"/>
                <w:lang w:eastAsia="lv-LV"/>
              </w:rPr>
              <w:t>34,6</w:t>
            </w:r>
          </w:p>
        </w:tc>
      </w:tr>
    </w:tbl>
    <w:p w:rsidR="004C5D83" w:rsidRDefault="004C5D83" w:rsidP="0053105F">
      <w:pPr>
        <w:spacing w:after="0"/>
        <w:rPr>
          <w:rFonts w:ascii="Times New Roman" w:hAnsi="Times New Roman" w:cs="Times New Roman"/>
          <w:b/>
          <w:sz w:val="24"/>
          <w:szCs w:val="24"/>
        </w:rPr>
      </w:pPr>
    </w:p>
    <w:p w:rsidR="004C5D83" w:rsidRPr="00362E0A" w:rsidRDefault="004C5D83" w:rsidP="0053105F">
      <w:pPr>
        <w:spacing w:after="0"/>
        <w:rPr>
          <w:rFonts w:ascii="Times New Roman" w:hAnsi="Times New Roman" w:cs="Times New Roman"/>
          <w:b/>
          <w:sz w:val="24"/>
          <w:szCs w:val="24"/>
        </w:rPr>
      </w:pPr>
    </w:p>
    <w:p w:rsidR="0053105F" w:rsidRDefault="0053105F" w:rsidP="0053105F">
      <w:pPr>
        <w:spacing w:after="0" w:line="240" w:lineRule="auto"/>
        <w:rPr>
          <w:rFonts w:ascii="Times New Roman" w:hAnsi="Times New Roman" w:cs="Times New Roman"/>
          <w:b/>
          <w:bCs/>
          <w:sz w:val="24"/>
          <w:szCs w:val="32"/>
          <w:lang w:eastAsia="lv-LV"/>
        </w:rPr>
      </w:pPr>
      <w:r w:rsidRPr="002F4FBB">
        <w:rPr>
          <w:rFonts w:ascii="Times New Roman" w:hAnsi="Times New Roman" w:cs="Times New Roman"/>
          <w:b/>
          <w:bCs/>
          <w:sz w:val="24"/>
          <w:szCs w:val="32"/>
          <w:lang w:eastAsia="lv-LV"/>
        </w:rPr>
        <w:t>4.tabula. Vispārējās valdības parāda attīstība un parāda izmaiņas ietekmējošie faktori 2018.</w:t>
      </w:r>
      <w:r w:rsidRPr="002F4FBB">
        <w:t xml:space="preserve"> </w:t>
      </w:r>
      <w:r w:rsidRPr="002F4FBB">
        <w:rPr>
          <w:rFonts w:ascii="Times New Roman" w:hAnsi="Times New Roman" w:cs="Times New Roman"/>
          <w:b/>
          <w:bCs/>
          <w:sz w:val="24"/>
          <w:szCs w:val="32"/>
          <w:lang w:eastAsia="lv-LV"/>
        </w:rPr>
        <w:t>– 2028.gadā</w:t>
      </w:r>
    </w:p>
    <w:tbl>
      <w:tblPr>
        <w:tblStyle w:val="GridTable6Colorful-Accent116"/>
        <w:tblW w:w="9498" w:type="dxa"/>
        <w:jc w:val="center"/>
        <w:tblLayout w:type="fixed"/>
        <w:tblLook w:val="04A0" w:firstRow="1" w:lastRow="0" w:firstColumn="1" w:lastColumn="0" w:noHBand="0" w:noVBand="1"/>
      </w:tblPr>
      <w:tblGrid>
        <w:gridCol w:w="4111"/>
        <w:gridCol w:w="851"/>
        <w:gridCol w:w="1134"/>
        <w:gridCol w:w="850"/>
        <w:gridCol w:w="851"/>
        <w:gridCol w:w="850"/>
        <w:gridCol w:w="851"/>
      </w:tblGrid>
      <w:tr w:rsidR="00496C39" w:rsidRPr="00496C39" w:rsidTr="00D45D03">
        <w:trPr>
          <w:cnfStyle w:val="100000000000" w:firstRow="1" w:lastRow="0" w:firstColumn="0" w:lastColumn="0" w:oddVBand="0" w:evenVBand="0" w:oddHBand="0"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4111" w:type="dxa"/>
            <w:noWrap/>
            <w:hideMark/>
          </w:tcPr>
          <w:p w:rsidR="00496C39" w:rsidRPr="00496C39" w:rsidRDefault="00496C39" w:rsidP="00496C39">
            <w:pPr>
              <w:spacing w:after="0" w:line="240" w:lineRule="auto"/>
              <w:jc w:val="center"/>
              <w:rPr>
                <w:rFonts w:ascii="Times New Roman" w:eastAsia="Times New Roman" w:hAnsi="Times New Roman" w:cs="Times New Roman"/>
                <w:b w:val="0"/>
                <w:bCs w:val="0"/>
                <w:color w:val="auto"/>
                <w:sz w:val="20"/>
                <w:szCs w:val="20"/>
                <w:lang w:eastAsia="lv-LV"/>
              </w:rPr>
            </w:pPr>
            <w:r w:rsidRPr="00496C39">
              <w:rPr>
                <w:rFonts w:ascii="Times New Roman" w:eastAsia="Times New Roman" w:hAnsi="Times New Roman" w:cs="Times New Roman"/>
                <w:color w:val="auto"/>
                <w:sz w:val="20"/>
                <w:szCs w:val="20"/>
                <w:lang w:eastAsia="lv-LV"/>
              </w:rPr>
              <w:t>% no IKP</w:t>
            </w:r>
          </w:p>
        </w:tc>
        <w:tc>
          <w:tcPr>
            <w:tcW w:w="851" w:type="dxa"/>
            <w:hideMark/>
          </w:tcPr>
          <w:p w:rsidR="00496C39" w:rsidRPr="00496C39" w:rsidRDefault="00496C39" w:rsidP="00496C3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496C39">
              <w:rPr>
                <w:rFonts w:ascii="Times New Roman" w:eastAsia="Times New Roman" w:hAnsi="Times New Roman" w:cs="Times New Roman"/>
                <w:color w:val="auto"/>
                <w:sz w:val="20"/>
                <w:szCs w:val="20"/>
                <w:lang w:eastAsia="lv-LV"/>
              </w:rPr>
              <w:t>EKS Kods</w:t>
            </w:r>
          </w:p>
        </w:tc>
        <w:tc>
          <w:tcPr>
            <w:tcW w:w="1134" w:type="dxa"/>
            <w:noWrap/>
            <w:vAlign w:val="center"/>
          </w:tcPr>
          <w:p w:rsidR="00496C39" w:rsidRPr="00496C39" w:rsidRDefault="00496C39" w:rsidP="00496C3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0"/>
                <w:szCs w:val="20"/>
              </w:rPr>
            </w:pPr>
            <w:r w:rsidRPr="00496C39">
              <w:rPr>
                <w:rFonts w:ascii="Times New Roman" w:eastAsia="Times New Roman" w:hAnsi="Times New Roman" w:cs="Times New Roman"/>
                <w:bCs w:val="0"/>
                <w:color w:val="000000"/>
                <w:sz w:val="20"/>
                <w:szCs w:val="20"/>
              </w:rPr>
              <w:t>2018</w:t>
            </w:r>
          </w:p>
        </w:tc>
        <w:tc>
          <w:tcPr>
            <w:tcW w:w="850" w:type="dxa"/>
            <w:noWrap/>
            <w:vAlign w:val="center"/>
          </w:tcPr>
          <w:p w:rsidR="00496C39" w:rsidRPr="00496C39" w:rsidRDefault="00496C39" w:rsidP="00496C3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0"/>
                <w:szCs w:val="20"/>
              </w:rPr>
            </w:pPr>
            <w:r w:rsidRPr="00496C39">
              <w:rPr>
                <w:rFonts w:ascii="Times New Roman" w:eastAsia="Times New Roman" w:hAnsi="Times New Roman" w:cs="Times New Roman"/>
                <w:bCs w:val="0"/>
                <w:color w:val="000000"/>
                <w:sz w:val="20"/>
                <w:szCs w:val="20"/>
              </w:rPr>
              <w:t>2019</w:t>
            </w:r>
          </w:p>
        </w:tc>
        <w:tc>
          <w:tcPr>
            <w:tcW w:w="851" w:type="dxa"/>
            <w:noWrap/>
            <w:vAlign w:val="center"/>
          </w:tcPr>
          <w:p w:rsidR="00496C39" w:rsidRPr="00496C39" w:rsidRDefault="00496C39" w:rsidP="00496C3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0"/>
                <w:szCs w:val="20"/>
              </w:rPr>
            </w:pPr>
            <w:r w:rsidRPr="00496C39">
              <w:rPr>
                <w:rFonts w:ascii="Times New Roman" w:eastAsia="Times New Roman" w:hAnsi="Times New Roman" w:cs="Times New Roman"/>
                <w:bCs w:val="0"/>
                <w:color w:val="000000"/>
                <w:sz w:val="20"/>
                <w:szCs w:val="20"/>
              </w:rPr>
              <w:t>2020</w:t>
            </w:r>
          </w:p>
        </w:tc>
        <w:tc>
          <w:tcPr>
            <w:tcW w:w="850" w:type="dxa"/>
            <w:noWrap/>
            <w:vAlign w:val="center"/>
          </w:tcPr>
          <w:p w:rsidR="00496C39" w:rsidRPr="00496C39" w:rsidRDefault="00496C39" w:rsidP="00496C3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0"/>
                <w:szCs w:val="20"/>
              </w:rPr>
            </w:pPr>
            <w:r w:rsidRPr="00496C39">
              <w:rPr>
                <w:rFonts w:ascii="Times New Roman" w:eastAsia="Times New Roman" w:hAnsi="Times New Roman" w:cs="Times New Roman"/>
                <w:bCs w:val="0"/>
                <w:color w:val="000000"/>
                <w:sz w:val="20"/>
                <w:szCs w:val="20"/>
              </w:rPr>
              <w:t>2021</w:t>
            </w:r>
          </w:p>
        </w:tc>
        <w:tc>
          <w:tcPr>
            <w:tcW w:w="851" w:type="dxa"/>
            <w:noWrap/>
            <w:vAlign w:val="center"/>
          </w:tcPr>
          <w:p w:rsidR="00496C39" w:rsidRPr="00496C39" w:rsidRDefault="00496C39" w:rsidP="00496C3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0"/>
                <w:szCs w:val="20"/>
              </w:rPr>
            </w:pPr>
            <w:r w:rsidRPr="00496C39">
              <w:rPr>
                <w:rFonts w:ascii="Times New Roman" w:eastAsia="Times New Roman" w:hAnsi="Times New Roman" w:cs="Times New Roman"/>
                <w:bCs w:val="0"/>
                <w:color w:val="000000"/>
                <w:sz w:val="20"/>
                <w:szCs w:val="20"/>
              </w:rPr>
              <w:t>2022</w:t>
            </w:r>
          </w:p>
        </w:tc>
      </w:tr>
      <w:tr w:rsidR="00496C39" w:rsidRPr="00496C39" w:rsidTr="00D45D03">
        <w:trPr>
          <w:cnfStyle w:val="000000100000" w:firstRow="0" w:lastRow="0" w:firstColumn="0" w:lastColumn="0" w:oddVBand="0" w:evenVBand="0" w:oddHBand="1"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4111" w:type="dxa"/>
            <w:noWrap/>
            <w:hideMark/>
          </w:tcPr>
          <w:p w:rsidR="00496C39" w:rsidRPr="00496C39" w:rsidRDefault="00496C39" w:rsidP="00496C39">
            <w:pPr>
              <w:spacing w:after="0" w:line="240" w:lineRule="auto"/>
              <w:rPr>
                <w:rFonts w:ascii="Times New Roman" w:eastAsia="Times New Roman" w:hAnsi="Times New Roman" w:cs="Times New Roman"/>
                <w:b w:val="0"/>
                <w:bCs w:val="0"/>
                <w:color w:val="auto"/>
                <w:sz w:val="20"/>
                <w:szCs w:val="20"/>
                <w:lang w:eastAsia="lv-LV"/>
              </w:rPr>
            </w:pPr>
            <w:r w:rsidRPr="00496C39">
              <w:rPr>
                <w:rFonts w:ascii="Times New Roman" w:eastAsia="Times New Roman" w:hAnsi="Times New Roman" w:cs="Times New Roman"/>
                <w:b w:val="0"/>
                <w:color w:val="auto"/>
                <w:sz w:val="20"/>
                <w:szCs w:val="20"/>
                <w:lang w:eastAsia="lv-LV"/>
              </w:rPr>
              <w:t>1. Bruto parāds</w:t>
            </w:r>
          </w:p>
        </w:tc>
        <w:tc>
          <w:tcPr>
            <w:tcW w:w="851" w:type="dxa"/>
            <w:noWrap/>
            <w:hideMark/>
          </w:tcPr>
          <w:p w:rsidR="00496C39" w:rsidRPr="00496C39" w:rsidRDefault="00496C39" w:rsidP="00496C3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lang w:eastAsia="lv-LV"/>
              </w:rPr>
            </w:pPr>
            <w:r w:rsidRPr="00496C39">
              <w:rPr>
                <w:rFonts w:ascii="Times New Roman" w:eastAsia="Times New Roman" w:hAnsi="Times New Roman" w:cs="Times New Roman"/>
                <w:bCs/>
                <w:color w:val="auto"/>
                <w:sz w:val="20"/>
                <w:szCs w:val="20"/>
                <w:lang w:eastAsia="lv-LV"/>
              </w:rPr>
              <w:t> </w:t>
            </w:r>
          </w:p>
        </w:tc>
        <w:tc>
          <w:tcPr>
            <w:tcW w:w="1134" w:type="dxa"/>
            <w:noWrap/>
            <w:vAlign w:val="center"/>
          </w:tcPr>
          <w:p w:rsidR="00496C39" w:rsidRPr="007D040E" w:rsidRDefault="00496C39" w:rsidP="00496C3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45D03">
              <w:rPr>
                <w:rFonts w:ascii="Times New Roman" w:eastAsia="Times New Roman" w:hAnsi="Times New Roman" w:cs="Times New Roman"/>
                <w:color w:val="000000"/>
                <w:sz w:val="20"/>
                <w:szCs w:val="20"/>
              </w:rPr>
              <w:t>35,9</w:t>
            </w:r>
          </w:p>
        </w:tc>
        <w:tc>
          <w:tcPr>
            <w:tcW w:w="850" w:type="dxa"/>
            <w:noWrap/>
            <w:vAlign w:val="center"/>
          </w:tcPr>
          <w:p w:rsidR="00496C39" w:rsidRPr="00496C39" w:rsidRDefault="00496C39" w:rsidP="00496C3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37,4</w:t>
            </w:r>
          </w:p>
        </w:tc>
        <w:tc>
          <w:tcPr>
            <w:tcW w:w="851" w:type="dxa"/>
            <w:noWrap/>
            <w:vAlign w:val="center"/>
          </w:tcPr>
          <w:p w:rsidR="00496C39" w:rsidRPr="00496C39" w:rsidRDefault="00496C39" w:rsidP="00496C3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36,1</w:t>
            </w:r>
          </w:p>
        </w:tc>
        <w:tc>
          <w:tcPr>
            <w:tcW w:w="850" w:type="dxa"/>
            <w:noWrap/>
            <w:vAlign w:val="center"/>
          </w:tcPr>
          <w:p w:rsidR="00496C39" w:rsidRPr="00496C39" w:rsidRDefault="00496C39" w:rsidP="00496C3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33,5</w:t>
            </w:r>
          </w:p>
        </w:tc>
        <w:tc>
          <w:tcPr>
            <w:tcW w:w="851" w:type="dxa"/>
            <w:noWrap/>
            <w:vAlign w:val="center"/>
          </w:tcPr>
          <w:p w:rsidR="00496C39" w:rsidRPr="00496C39" w:rsidRDefault="00496C39" w:rsidP="00496C3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33,1</w:t>
            </w:r>
          </w:p>
        </w:tc>
      </w:tr>
      <w:tr w:rsidR="00496C39" w:rsidRPr="00496C39" w:rsidTr="00D45D03">
        <w:trPr>
          <w:trHeight w:val="288"/>
          <w:jc w:val="center"/>
        </w:trPr>
        <w:tc>
          <w:tcPr>
            <w:cnfStyle w:val="001000000000" w:firstRow="0" w:lastRow="0" w:firstColumn="1" w:lastColumn="0" w:oddVBand="0" w:evenVBand="0" w:oddHBand="0" w:evenHBand="0" w:firstRowFirstColumn="0" w:firstRowLastColumn="0" w:lastRowFirstColumn="0" w:lastRowLastColumn="0"/>
            <w:tcW w:w="4111" w:type="dxa"/>
            <w:noWrap/>
            <w:hideMark/>
          </w:tcPr>
          <w:p w:rsidR="00496C39" w:rsidRPr="00496C39" w:rsidRDefault="00496C39" w:rsidP="00496C39">
            <w:pPr>
              <w:spacing w:after="0" w:line="240" w:lineRule="auto"/>
              <w:rPr>
                <w:rFonts w:ascii="Times New Roman" w:eastAsia="Times New Roman" w:hAnsi="Times New Roman" w:cs="Times New Roman"/>
                <w:b w:val="0"/>
                <w:bCs w:val="0"/>
                <w:color w:val="auto"/>
                <w:sz w:val="20"/>
                <w:szCs w:val="20"/>
                <w:lang w:eastAsia="lv-LV"/>
              </w:rPr>
            </w:pPr>
            <w:r w:rsidRPr="00496C39">
              <w:rPr>
                <w:rFonts w:ascii="Times New Roman" w:eastAsia="Times New Roman" w:hAnsi="Times New Roman" w:cs="Times New Roman"/>
                <w:b w:val="0"/>
                <w:color w:val="auto"/>
                <w:sz w:val="20"/>
                <w:szCs w:val="20"/>
                <w:lang w:eastAsia="lv-LV"/>
              </w:rPr>
              <w:t>2. Bruto parāda izmaiņas</w:t>
            </w:r>
          </w:p>
        </w:tc>
        <w:tc>
          <w:tcPr>
            <w:tcW w:w="851" w:type="dxa"/>
            <w:noWrap/>
            <w:hideMark/>
          </w:tcPr>
          <w:p w:rsidR="00496C39" w:rsidRPr="00496C39" w:rsidRDefault="00496C39" w:rsidP="00496C3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0"/>
                <w:szCs w:val="20"/>
                <w:lang w:eastAsia="lv-LV"/>
              </w:rPr>
            </w:pPr>
            <w:r w:rsidRPr="00496C39">
              <w:rPr>
                <w:rFonts w:ascii="Times New Roman" w:eastAsia="Times New Roman" w:hAnsi="Times New Roman" w:cs="Times New Roman"/>
                <w:bCs/>
                <w:color w:val="auto"/>
                <w:sz w:val="20"/>
                <w:szCs w:val="20"/>
                <w:lang w:eastAsia="lv-LV"/>
              </w:rPr>
              <w:t> </w:t>
            </w:r>
          </w:p>
        </w:tc>
        <w:tc>
          <w:tcPr>
            <w:tcW w:w="1134" w:type="dxa"/>
            <w:noWrap/>
            <w:vAlign w:val="center"/>
          </w:tcPr>
          <w:p w:rsidR="00496C39" w:rsidRPr="007D040E" w:rsidRDefault="00496C39" w:rsidP="00496C3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45D03">
              <w:rPr>
                <w:rFonts w:ascii="Times New Roman" w:eastAsia="Times New Roman" w:hAnsi="Times New Roman" w:cs="Times New Roman"/>
                <w:color w:val="000000"/>
                <w:sz w:val="20"/>
                <w:szCs w:val="20"/>
              </w:rPr>
              <w:t>-0,7</w:t>
            </w:r>
          </w:p>
        </w:tc>
        <w:tc>
          <w:tcPr>
            <w:tcW w:w="850" w:type="dxa"/>
            <w:noWrap/>
            <w:vAlign w:val="center"/>
          </w:tcPr>
          <w:p w:rsidR="00496C39" w:rsidRPr="00496C39" w:rsidRDefault="00496C39" w:rsidP="00496C3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3,5</w:t>
            </w:r>
          </w:p>
        </w:tc>
        <w:tc>
          <w:tcPr>
            <w:tcW w:w="851" w:type="dxa"/>
            <w:noWrap/>
            <w:vAlign w:val="center"/>
          </w:tcPr>
          <w:p w:rsidR="00496C39" w:rsidRPr="00496C39" w:rsidRDefault="00496C39" w:rsidP="00496C3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0,8</w:t>
            </w:r>
          </w:p>
        </w:tc>
        <w:tc>
          <w:tcPr>
            <w:tcW w:w="850" w:type="dxa"/>
            <w:noWrap/>
            <w:vAlign w:val="center"/>
          </w:tcPr>
          <w:p w:rsidR="00496C39" w:rsidRPr="00496C39" w:rsidRDefault="00496C39" w:rsidP="00496C3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-0,8</w:t>
            </w:r>
          </w:p>
        </w:tc>
        <w:tc>
          <w:tcPr>
            <w:tcW w:w="851" w:type="dxa"/>
            <w:noWrap/>
            <w:vAlign w:val="center"/>
          </w:tcPr>
          <w:p w:rsidR="00496C39" w:rsidRPr="00496C39" w:rsidRDefault="00496C39" w:rsidP="00496C3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1,3</w:t>
            </w:r>
          </w:p>
        </w:tc>
      </w:tr>
      <w:tr w:rsidR="00496C39" w:rsidRPr="00496C39" w:rsidTr="00D45D03">
        <w:trPr>
          <w:cnfStyle w:val="000000100000" w:firstRow="0" w:lastRow="0" w:firstColumn="0" w:lastColumn="0" w:oddVBand="0" w:evenVBand="0" w:oddHBand="1" w:evenHBand="0" w:firstRowFirstColumn="0" w:firstRowLastColumn="0" w:lastRowFirstColumn="0" w:lastRowLastColumn="0"/>
          <w:trHeight w:val="249"/>
          <w:jc w:val="center"/>
        </w:trPr>
        <w:tc>
          <w:tcPr>
            <w:cnfStyle w:val="001000000000" w:firstRow="0" w:lastRow="0" w:firstColumn="1" w:lastColumn="0" w:oddVBand="0" w:evenVBand="0" w:oddHBand="0" w:evenHBand="0" w:firstRowFirstColumn="0" w:firstRowLastColumn="0" w:lastRowFirstColumn="0" w:lastRowLastColumn="0"/>
            <w:tcW w:w="8647" w:type="dxa"/>
            <w:gridSpan w:val="6"/>
            <w:vAlign w:val="center"/>
            <w:hideMark/>
          </w:tcPr>
          <w:p w:rsidR="00496C39" w:rsidRPr="00D45D03" w:rsidRDefault="00496C39" w:rsidP="00496C39">
            <w:pPr>
              <w:spacing w:after="0" w:line="240" w:lineRule="auto"/>
              <w:jc w:val="center"/>
              <w:rPr>
                <w:rFonts w:ascii="Times New Roman" w:eastAsia="Times New Roman" w:hAnsi="Times New Roman" w:cs="Times New Roman"/>
                <w:color w:val="000000"/>
                <w:sz w:val="20"/>
                <w:szCs w:val="20"/>
              </w:rPr>
            </w:pPr>
            <w:r w:rsidRPr="00D45D03">
              <w:rPr>
                <w:rFonts w:ascii="Times New Roman" w:eastAsia="Times New Roman" w:hAnsi="Times New Roman" w:cs="Times New Roman"/>
                <w:b w:val="0"/>
                <w:color w:val="000000"/>
                <w:sz w:val="20"/>
                <w:szCs w:val="20"/>
              </w:rPr>
              <w:t>Kopējā parāda izmaiņas ietekmējošie faktori</w:t>
            </w:r>
          </w:p>
        </w:tc>
        <w:tc>
          <w:tcPr>
            <w:tcW w:w="851" w:type="dxa"/>
            <w:hideMark/>
          </w:tcPr>
          <w:p w:rsidR="00496C39" w:rsidRPr="00496C39" w:rsidRDefault="00496C39" w:rsidP="00496C3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lang w:eastAsia="lv-LV"/>
              </w:rPr>
            </w:pPr>
          </w:p>
        </w:tc>
      </w:tr>
      <w:tr w:rsidR="00C23426" w:rsidRPr="00496C39" w:rsidTr="00D45D03">
        <w:trPr>
          <w:trHeight w:val="267"/>
          <w:jc w:val="center"/>
        </w:trPr>
        <w:tc>
          <w:tcPr>
            <w:cnfStyle w:val="001000000000" w:firstRow="0" w:lastRow="0" w:firstColumn="1" w:lastColumn="0" w:oddVBand="0" w:evenVBand="0" w:oddHBand="0" w:evenHBand="0" w:firstRowFirstColumn="0" w:firstRowLastColumn="0" w:lastRowFirstColumn="0" w:lastRowLastColumn="0"/>
            <w:tcW w:w="4111" w:type="dxa"/>
            <w:noWrap/>
            <w:hideMark/>
          </w:tcPr>
          <w:p w:rsidR="00C23426" w:rsidRPr="00496C39" w:rsidRDefault="00C23426" w:rsidP="00C23426">
            <w:pPr>
              <w:spacing w:after="0" w:line="240" w:lineRule="auto"/>
              <w:rPr>
                <w:rFonts w:ascii="Times New Roman" w:eastAsia="Times New Roman" w:hAnsi="Times New Roman" w:cs="Times New Roman"/>
                <w:b w:val="0"/>
                <w:bCs w:val="0"/>
                <w:color w:val="auto"/>
                <w:sz w:val="20"/>
                <w:szCs w:val="20"/>
                <w:lang w:eastAsia="lv-LV"/>
              </w:rPr>
            </w:pPr>
            <w:r w:rsidRPr="00496C39">
              <w:rPr>
                <w:rFonts w:ascii="Times New Roman" w:eastAsia="Times New Roman" w:hAnsi="Times New Roman" w:cs="Times New Roman"/>
                <w:b w:val="0"/>
                <w:color w:val="auto"/>
                <w:sz w:val="20"/>
                <w:szCs w:val="20"/>
                <w:lang w:eastAsia="lv-LV"/>
              </w:rPr>
              <w:t>3. Primārā bilance</w:t>
            </w:r>
          </w:p>
        </w:tc>
        <w:tc>
          <w:tcPr>
            <w:tcW w:w="851" w:type="dxa"/>
            <w:noWrap/>
            <w:hideMark/>
          </w:tcPr>
          <w:p w:rsidR="00C23426" w:rsidRPr="00496C39" w:rsidRDefault="00C23426" w:rsidP="00C23426">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0"/>
                <w:szCs w:val="20"/>
                <w:lang w:eastAsia="lv-LV"/>
              </w:rPr>
            </w:pPr>
            <w:r w:rsidRPr="00496C39">
              <w:rPr>
                <w:rFonts w:ascii="Times New Roman" w:eastAsia="Times New Roman" w:hAnsi="Times New Roman" w:cs="Times New Roman"/>
                <w:bCs/>
                <w:color w:val="auto"/>
                <w:sz w:val="20"/>
                <w:szCs w:val="20"/>
                <w:lang w:eastAsia="lv-LV"/>
              </w:rPr>
              <w:t> </w:t>
            </w:r>
          </w:p>
        </w:tc>
        <w:tc>
          <w:tcPr>
            <w:tcW w:w="1134" w:type="dxa"/>
            <w:noWrap/>
            <w:vAlign w:val="center"/>
          </w:tcPr>
          <w:p w:rsidR="00C23426" w:rsidRPr="00496C39" w:rsidRDefault="00C23426" w:rsidP="00C2342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45D03">
              <w:rPr>
                <w:rFonts w:ascii="Times New Roman" w:eastAsia="Times New Roman" w:hAnsi="Times New Roman" w:cs="Times New Roman"/>
                <w:color w:val="000000"/>
                <w:sz w:val="20"/>
                <w:szCs w:val="20"/>
              </w:rPr>
              <w:t>-0,3</w:t>
            </w:r>
          </w:p>
        </w:tc>
        <w:tc>
          <w:tcPr>
            <w:tcW w:w="850" w:type="dxa"/>
            <w:noWrap/>
            <w:vAlign w:val="center"/>
          </w:tcPr>
          <w:p w:rsidR="00C23426" w:rsidRPr="00496C39" w:rsidRDefault="00C23426" w:rsidP="00C2342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0,2</w:t>
            </w:r>
          </w:p>
        </w:tc>
        <w:tc>
          <w:tcPr>
            <w:tcW w:w="851" w:type="dxa"/>
            <w:noWrap/>
            <w:vAlign w:val="center"/>
          </w:tcPr>
          <w:p w:rsidR="00C23426" w:rsidRPr="00496C39" w:rsidRDefault="00C23426" w:rsidP="00C2342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0,5</w:t>
            </w:r>
          </w:p>
        </w:tc>
        <w:tc>
          <w:tcPr>
            <w:tcW w:w="850" w:type="dxa"/>
            <w:noWrap/>
            <w:vAlign w:val="center"/>
          </w:tcPr>
          <w:p w:rsidR="00C23426" w:rsidRPr="00496C39" w:rsidRDefault="00C23426" w:rsidP="00C2342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0,4</w:t>
            </w:r>
          </w:p>
        </w:tc>
        <w:tc>
          <w:tcPr>
            <w:tcW w:w="851" w:type="dxa"/>
            <w:noWrap/>
            <w:vAlign w:val="center"/>
          </w:tcPr>
          <w:p w:rsidR="00C23426" w:rsidRPr="00496C39" w:rsidRDefault="00C23426" w:rsidP="00C2342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1,0</w:t>
            </w:r>
          </w:p>
        </w:tc>
      </w:tr>
      <w:tr w:rsidR="00C23426" w:rsidRPr="00496C39" w:rsidTr="00D45D03">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111" w:type="dxa"/>
            <w:noWrap/>
            <w:hideMark/>
          </w:tcPr>
          <w:p w:rsidR="00C23426" w:rsidRPr="00496C39" w:rsidRDefault="00C23426" w:rsidP="00C23426">
            <w:pPr>
              <w:spacing w:after="0" w:line="240" w:lineRule="auto"/>
              <w:rPr>
                <w:rFonts w:ascii="Times New Roman" w:eastAsia="Times New Roman" w:hAnsi="Times New Roman" w:cs="Times New Roman"/>
                <w:b w:val="0"/>
                <w:bCs w:val="0"/>
                <w:color w:val="auto"/>
                <w:sz w:val="20"/>
                <w:szCs w:val="20"/>
                <w:lang w:eastAsia="lv-LV"/>
              </w:rPr>
            </w:pPr>
            <w:r w:rsidRPr="00496C39">
              <w:rPr>
                <w:rFonts w:ascii="Times New Roman" w:eastAsia="Times New Roman" w:hAnsi="Times New Roman" w:cs="Times New Roman"/>
                <w:b w:val="0"/>
                <w:color w:val="auto"/>
                <w:sz w:val="20"/>
                <w:szCs w:val="20"/>
                <w:lang w:eastAsia="lv-LV"/>
              </w:rPr>
              <w:t>4. Procentu maksājumi</w:t>
            </w:r>
          </w:p>
        </w:tc>
        <w:tc>
          <w:tcPr>
            <w:tcW w:w="851" w:type="dxa"/>
            <w:hideMark/>
          </w:tcPr>
          <w:p w:rsidR="00C23426" w:rsidRPr="00496C39" w:rsidRDefault="00C23426" w:rsidP="00C23426">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lang w:eastAsia="lv-LV"/>
              </w:rPr>
            </w:pPr>
            <w:r w:rsidRPr="00496C39">
              <w:rPr>
                <w:rFonts w:ascii="Times New Roman" w:eastAsia="Times New Roman" w:hAnsi="Times New Roman" w:cs="Times New Roman"/>
                <w:bCs/>
                <w:color w:val="auto"/>
                <w:sz w:val="20"/>
                <w:szCs w:val="20"/>
                <w:lang w:eastAsia="lv-LV"/>
              </w:rPr>
              <w:t>EDP D.41</w:t>
            </w:r>
          </w:p>
        </w:tc>
        <w:tc>
          <w:tcPr>
            <w:tcW w:w="1134" w:type="dxa"/>
            <w:noWrap/>
            <w:vAlign w:val="center"/>
          </w:tcPr>
          <w:p w:rsidR="00C23426" w:rsidRPr="00496C39" w:rsidRDefault="00C23426" w:rsidP="00C2342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45D03">
              <w:rPr>
                <w:rFonts w:ascii="Times New Roman" w:eastAsia="Times New Roman" w:hAnsi="Times New Roman" w:cs="Times New Roman"/>
                <w:color w:val="000000"/>
                <w:sz w:val="20"/>
                <w:szCs w:val="20"/>
              </w:rPr>
              <w:t>0,7</w:t>
            </w:r>
          </w:p>
        </w:tc>
        <w:tc>
          <w:tcPr>
            <w:tcW w:w="850" w:type="dxa"/>
            <w:noWrap/>
            <w:vAlign w:val="center"/>
          </w:tcPr>
          <w:p w:rsidR="00C23426" w:rsidRPr="00496C39" w:rsidRDefault="00C23426" w:rsidP="00C2342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0,7</w:t>
            </w:r>
          </w:p>
        </w:tc>
        <w:tc>
          <w:tcPr>
            <w:tcW w:w="851" w:type="dxa"/>
            <w:noWrap/>
            <w:vAlign w:val="center"/>
          </w:tcPr>
          <w:p w:rsidR="00C23426" w:rsidRPr="00496C39" w:rsidRDefault="00C23426" w:rsidP="00C2342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0,8</w:t>
            </w:r>
          </w:p>
        </w:tc>
        <w:tc>
          <w:tcPr>
            <w:tcW w:w="850" w:type="dxa"/>
            <w:noWrap/>
            <w:vAlign w:val="center"/>
          </w:tcPr>
          <w:p w:rsidR="00C23426" w:rsidRPr="00496C39" w:rsidRDefault="00C23426" w:rsidP="00C2342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0,8</w:t>
            </w:r>
          </w:p>
        </w:tc>
        <w:tc>
          <w:tcPr>
            <w:tcW w:w="851" w:type="dxa"/>
            <w:noWrap/>
            <w:vAlign w:val="center"/>
          </w:tcPr>
          <w:p w:rsidR="00C23426" w:rsidRPr="00496C39" w:rsidRDefault="00C23426" w:rsidP="00C2342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0,8</w:t>
            </w:r>
          </w:p>
        </w:tc>
      </w:tr>
      <w:tr w:rsidR="00496C39" w:rsidRPr="00496C39" w:rsidTr="00D45D03">
        <w:trPr>
          <w:trHeight w:val="261"/>
          <w:jc w:val="center"/>
        </w:trPr>
        <w:tc>
          <w:tcPr>
            <w:cnfStyle w:val="001000000000" w:firstRow="0" w:lastRow="0" w:firstColumn="1" w:lastColumn="0" w:oddVBand="0" w:evenVBand="0" w:oddHBand="0" w:evenHBand="0" w:firstRowFirstColumn="0" w:firstRowLastColumn="0" w:lastRowFirstColumn="0" w:lastRowLastColumn="0"/>
            <w:tcW w:w="4111" w:type="dxa"/>
            <w:noWrap/>
            <w:hideMark/>
          </w:tcPr>
          <w:p w:rsidR="00496C39" w:rsidRPr="00496C39" w:rsidRDefault="00496C39" w:rsidP="00496C39">
            <w:pPr>
              <w:spacing w:after="0" w:line="240" w:lineRule="auto"/>
              <w:rPr>
                <w:rFonts w:ascii="Times New Roman" w:eastAsia="Times New Roman" w:hAnsi="Times New Roman" w:cs="Times New Roman"/>
                <w:b w:val="0"/>
                <w:bCs w:val="0"/>
                <w:color w:val="auto"/>
                <w:sz w:val="20"/>
                <w:szCs w:val="20"/>
                <w:lang w:eastAsia="lv-LV"/>
              </w:rPr>
            </w:pPr>
            <w:r w:rsidRPr="00496C39">
              <w:rPr>
                <w:rFonts w:ascii="Times New Roman" w:eastAsia="Times New Roman" w:hAnsi="Times New Roman" w:cs="Times New Roman"/>
                <w:b w:val="0"/>
                <w:color w:val="auto"/>
                <w:sz w:val="20"/>
                <w:szCs w:val="20"/>
                <w:lang w:eastAsia="lv-LV"/>
              </w:rPr>
              <w:t>5. Krājumu izmaiņas, t.sk.</w:t>
            </w:r>
          </w:p>
        </w:tc>
        <w:tc>
          <w:tcPr>
            <w:tcW w:w="851" w:type="dxa"/>
            <w:hideMark/>
          </w:tcPr>
          <w:p w:rsidR="00496C39" w:rsidRPr="00496C39" w:rsidRDefault="00496C39" w:rsidP="00496C3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0"/>
                <w:szCs w:val="20"/>
                <w:lang w:eastAsia="lv-LV"/>
              </w:rPr>
            </w:pPr>
            <w:r w:rsidRPr="00496C39">
              <w:rPr>
                <w:rFonts w:ascii="Times New Roman" w:eastAsia="Times New Roman" w:hAnsi="Times New Roman" w:cs="Times New Roman"/>
                <w:bCs/>
                <w:color w:val="auto"/>
                <w:sz w:val="20"/>
                <w:szCs w:val="20"/>
                <w:lang w:eastAsia="lv-LV"/>
              </w:rPr>
              <w:t> </w:t>
            </w:r>
          </w:p>
        </w:tc>
        <w:tc>
          <w:tcPr>
            <w:tcW w:w="1134" w:type="dxa"/>
            <w:noWrap/>
            <w:vAlign w:val="center"/>
          </w:tcPr>
          <w:p w:rsidR="00496C39" w:rsidRPr="007D040E" w:rsidRDefault="00496C39" w:rsidP="00496C3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45D03">
              <w:rPr>
                <w:rFonts w:ascii="Times New Roman" w:eastAsia="Times New Roman" w:hAnsi="Times New Roman" w:cs="Times New Roman"/>
                <w:color w:val="000000"/>
                <w:sz w:val="20"/>
                <w:szCs w:val="20"/>
              </w:rPr>
              <w:t>-1,7</w:t>
            </w:r>
          </w:p>
        </w:tc>
        <w:tc>
          <w:tcPr>
            <w:tcW w:w="850" w:type="dxa"/>
            <w:noWrap/>
            <w:vAlign w:val="center"/>
          </w:tcPr>
          <w:p w:rsidR="00496C39" w:rsidRPr="00496C39" w:rsidRDefault="00496C39" w:rsidP="00496C3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3,0</w:t>
            </w:r>
          </w:p>
        </w:tc>
        <w:tc>
          <w:tcPr>
            <w:tcW w:w="851" w:type="dxa"/>
            <w:noWrap/>
            <w:vAlign w:val="center"/>
          </w:tcPr>
          <w:p w:rsidR="00496C39" w:rsidRPr="00496C39" w:rsidRDefault="00496C39" w:rsidP="00496C3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0,4</w:t>
            </w:r>
          </w:p>
        </w:tc>
        <w:tc>
          <w:tcPr>
            <w:tcW w:w="850" w:type="dxa"/>
            <w:noWrap/>
            <w:vAlign w:val="center"/>
          </w:tcPr>
          <w:p w:rsidR="00496C39" w:rsidRPr="00496C39" w:rsidRDefault="00496C39" w:rsidP="00496C3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-1,1</w:t>
            </w:r>
          </w:p>
        </w:tc>
        <w:tc>
          <w:tcPr>
            <w:tcW w:w="851" w:type="dxa"/>
            <w:noWrap/>
            <w:vAlign w:val="center"/>
          </w:tcPr>
          <w:p w:rsidR="00496C39" w:rsidRPr="00496C39" w:rsidRDefault="00496C39" w:rsidP="00496C3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1,6</w:t>
            </w:r>
          </w:p>
        </w:tc>
      </w:tr>
      <w:tr w:rsidR="00496C39" w:rsidRPr="00496C39" w:rsidTr="00D45D03">
        <w:trPr>
          <w:cnfStyle w:val="000000100000" w:firstRow="0" w:lastRow="0" w:firstColumn="0" w:lastColumn="0" w:oddVBand="0" w:evenVBand="0" w:oddHBand="1"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4111" w:type="dxa"/>
            <w:hideMark/>
          </w:tcPr>
          <w:p w:rsidR="00496C39" w:rsidRPr="00496C39" w:rsidRDefault="00496C39" w:rsidP="00496C39">
            <w:pPr>
              <w:spacing w:after="0" w:line="240" w:lineRule="auto"/>
              <w:rPr>
                <w:rFonts w:ascii="Times New Roman" w:eastAsia="Times New Roman" w:hAnsi="Times New Roman" w:cs="Times New Roman"/>
                <w:b w:val="0"/>
                <w:bCs w:val="0"/>
                <w:color w:val="auto"/>
                <w:sz w:val="20"/>
                <w:szCs w:val="20"/>
                <w:lang w:eastAsia="lv-LV"/>
              </w:rPr>
            </w:pPr>
            <w:r w:rsidRPr="00496C39">
              <w:rPr>
                <w:rFonts w:ascii="Times New Roman" w:eastAsia="Times New Roman" w:hAnsi="Times New Roman" w:cs="Times New Roman"/>
                <w:b w:val="0"/>
                <w:color w:val="auto"/>
                <w:sz w:val="20"/>
                <w:szCs w:val="20"/>
                <w:lang w:eastAsia="lv-LV"/>
              </w:rPr>
              <w:t>Valsts parāda netiešā procentu likme</w:t>
            </w:r>
          </w:p>
        </w:tc>
        <w:tc>
          <w:tcPr>
            <w:tcW w:w="851" w:type="dxa"/>
            <w:noWrap/>
            <w:hideMark/>
          </w:tcPr>
          <w:p w:rsidR="00496C39" w:rsidRPr="00496C39" w:rsidRDefault="00496C39" w:rsidP="00496C3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lang w:eastAsia="lv-LV"/>
              </w:rPr>
            </w:pPr>
            <w:r w:rsidRPr="00496C39">
              <w:rPr>
                <w:rFonts w:ascii="Times New Roman" w:eastAsia="Times New Roman" w:hAnsi="Times New Roman" w:cs="Times New Roman"/>
                <w:bCs/>
                <w:color w:val="auto"/>
                <w:sz w:val="20"/>
                <w:szCs w:val="20"/>
                <w:lang w:eastAsia="lv-LV"/>
              </w:rPr>
              <w:t> </w:t>
            </w:r>
          </w:p>
        </w:tc>
        <w:tc>
          <w:tcPr>
            <w:tcW w:w="1134" w:type="dxa"/>
            <w:noWrap/>
            <w:vAlign w:val="center"/>
          </w:tcPr>
          <w:p w:rsidR="00496C39" w:rsidRPr="007D040E" w:rsidRDefault="00496C39" w:rsidP="00496C3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45D03">
              <w:rPr>
                <w:rFonts w:ascii="Times New Roman" w:eastAsia="Times New Roman" w:hAnsi="Times New Roman" w:cs="Times New Roman"/>
                <w:color w:val="000000"/>
                <w:sz w:val="20"/>
                <w:szCs w:val="20"/>
              </w:rPr>
              <w:t>1,9</w:t>
            </w:r>
          </w:p>
        </w:tc>
        <w:tc>
          <w:tcPr>
            <w:tcW w:w="850" w:type="dxa"/>
            <w:noWrap/>
            <w:vAlign w:val="center"/>
          </w:tcPr>
          <w:p w:rsidR="00496C39" w:rsidRPr="00496C39" w:rsidRDefault="00496C39" w:rsidP="00496C3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2,2</w:t>
            </w:r>
          </w:p>
        </w:tc>
        <w:tc>
          <w:tcPr>
            <w:tcW w:w="851" w:type="dxa"/>
            <w:noWrap/>
            <w:vAlign w:val="center"/>
          </w:tcPr>
          <w:p w:rsidR="00496C39" w:rsidRPr="00496C39" w:rsidRDefault="00496C39" w:rsidP="00496C3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2,3</w:t>
            </w:r>
          </w:p>
        </w:tc>
        <w:tc>
          <w:tcPr>
            <w:tcW w:w="850" w:type="dxa"/>
            <w:noWrap/>
            <w:vAlign w:val="center"/>
          </w:tcPr>
          <w:p w:rsidR="00496C39" w:rsidRPr="00496C39" w:rsidRDefault="00496C39" w:rsidP="00496C3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2,2</w:t>
            </w:r>
          </w:p>
        </w:tc>
        <w:tc>
          <w:tcPr>
            <w:tcW w:w="851" w:type="dxa"/>
            <w:noWrap/>
            <w:vAlign w:val="center"/>
          </w:tcPr>
          <w:p w:rsidR="00496C39" w:rsidRPr="00496C39" w:rsidRDefault="00496C39" w:rsidP="00496C3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2,5</w:t>
            </w:r>
          </w:p>
        </w:tc>
      </w:tr>
      <w:tr w:rsidR="00496C39" w:rsidRPr="00496C39" w:rsidTr="00D45D03">
        <w:trPr>
          <w:trHeight w:val="255"/>
          <w:jc w:val="center"/>
        </w:trPr>
        <w:tc>
          <w:tcPr>
            <w:cnfStyle w:val="001000000000" w:firstRow="0" w:lastRow="0" w:firstColumn="1" w:lastColumn="0" w:oddVBand="0" w:evenVBand="0" w:oddHBand="0" w:evenHBand="0" w:firstRowFirstColumn="0" w:firstRowLastColumn="0" w:lastRowFirstColumn="0" w:lastRowLastColumn="0"/>
            <w:tcW w:w="8647" w:type="dxa"/>
            <w:gridSpan w:val="6"/>
            <w:vAlign w:val="center"/>
            <w:hideMark/>
          </w:tcPr>
          <w:p w:rsidR="00496C39" w:rsidRPr="00D45D03" w:rsidRDefault="00496C39" w:rsidP="00496C39">
            <w:pPr>
              <w:spacing w:after="0" w:line="240" w:lineRule="auto"/>
              <w:jc w:val="center"/>
              <w:rPr>
                <w:rFonts w:ascii="Times New Roman" w:eastAsia="Times New Roman" w:hAnsi="Times New Roman" w:cs="Times New Roman"/>
                <w:color w:val="000000"/>
                <w:sz w:val="20"/>
                <w:szCs w:val="20"/>
              </w:rPr>
            </w:pPr>
            <w:r w:rsidRPr="00D45D03">
              <w:rPr>
                <w:rFonts w:ascii="Times New Roman" w:eastAsia="Times New Roman" w:hAnsi="Times New Roman" w:cs="Times New Roman"/>
                <w:b w:val="0"/>
                <w:color w:val="000000"/>
                <w:sz w:val="20"/>
                <w:szCs w:val="20"/>
              </w:rPr>
              <w:t>Citi mainīgie</w:t>
            </w:r>
          </w:p>
        </w:tc>
        <w:tc>
          <w:tcPr>
            <w:tcW w:w="851" w:type="dxa"/>
            <w:hideMark/>
          </w:tcPr>
          <w:p w:rsidR="00496C39" w:rsidRPr="00496C39" w:rsidRDefault="00496C39" w:rsidP="00496C3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0"/>
                <w:szCs w:val="20"/>
                <w:lang w:eastAsia="lv-LV"/>
              </w:rPr>
            </w:pPr>
          </w:p>
        </w:tc>
      </w:tr>
      <w:tr w:rsidR="00496C39" w:rsidRPr="00496C39" w:rsidTr="00D45D03">
        <w:trPr>
          <w:cnfStyle w:val="000000100000" w:firstRow="0" w:lastRow="0" w:firstColumn="0" w:lastColumn="0" w:oddVBand="0" w:evenVBand="0" w:oddHBand="1" w:evenHBand="0" w:firstRowFirstColumn="0" w:firstRowLastColumn="0" w:lastRowFirstColumn="0" w:lastRowLastColumn="0"/>
          <w:trHeight w:val="175"/>
          <w:jc w:val="center"/>
        </w:trPr>
        <w:tc>
          <w:tcPr>
            <w:cnfStyle w:val="001000000000" w:firstRow="0" w:lastRow="0" w:firstColumn="1" w:lastColumn="0" w:oddVBand="0" w:evenVBand="0" w:oddHBand="0" w:evenHBand="0" w:firstRowFirstColumn="0" w:firstRowLastColumn="0" w:lastRowFirstColumn="0" w:lastRowLastColumn="0"/>
            <w:tcW w:w="4111" w:type="dxa"/>
            <w:noWrap/>
            <w:hideMark/>
          </w:tcPr>
          <w:p w:rsidR="00496C39" w:rsidRPr="00496C39" w:rsidRDefault="00496C39" w:rsidP="00496C39">
            <w:pPr>
              <w:spacing w:after="0" w:line="240" w:lineRule="auto"/>
              <w:rPr>
                <w:rFonts w:ascii="Times New Roman" w:eastAsia="Times New Roman" w:hAnsi="Times New Roman" w:cs="Times New Roman"/>
                <w:b w:val="0"/>
                <w:color w:val="auto"/>
                <w:sz w:val="20"/>
                <w:szCs w:val="20"/>
                <w:lang w:eastAsia="lv-LV"/>
              </w:rPr>
            </w:pPr>
            <w:r w:rsidRPr="00496C39">
              <w:rPr>
                <w:rFonts w:ascii="Times New Roman" w:eastAsia="Times New Roman" w:hAnsi="Times New Roman" w:cs="Times New Roman"/>
                <w:b w:val="0"/>
                <w:color w:val="auto"/>
                <w:sz w:val="20"/>
                <w:szCs w:val="20"/>
                <w:lang w:eastAsia="lv-LV"/>
              </w:rPr>
              <w:t>6. Likvīdi finanšu aktīvi</w:t>
            </w:r>
          </w:p>
        </w:tc>
        <w:tc>
          <w:tcPr>
            <w:tcW w:w="851" w:type="dxa"/>
            <w:noWrap/>
            <w:hideMark/>
          </w:tcPr>
          <w:p w:rsidR="00496C39" w:rsidRPr="00496C39" w:rsidRDefault="00496C39" w:rsidP="00496C3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496C39">
              <w:rPr>
                <w:rFonts w:ascii="Times New Roman" w:eastAsia="Times New Roman" w:hAnsi="Times New Roman" w:cs="Times New Roman"/>
                <w:color w:val="auto"/>
                <w:sz w:val="20"/>
                <w:szCs w:val="20"/>
                <w:lang w:eastAsia="lv-LV"/>
              </w:rPr>
              <w:t> </w:t>
            </w:r>
          </w:p>
        </w:tc>
        <w:tc>
          <w:tcPr>
            <w:tcW w:w="1134" w:type="dxa"/>
            <w:noWrap/>
            <w:vAlign w:val="center"/>
          </w:tcPr>
          <w:p w:rsidR="00496C39" w:rsidRPr="00C23426" w:rsidRDefault="00496C39" w:rsidP="00496C3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45D03">
              <w:rPr>
                <w:rFonts w:ascii="Times New Roman" w:eastAsia="Times New Roman" w:hAnsi="Times New Roman" w:cs="Times New Roman"/>
                <w:color w:val="000000"/>
                <w:sz w:val="20"/>
                <w:szCs w:val="20"/>
              </w:rPr>
              <w:t>8,4</w:t>
            </w:r>
          </w:p>
        </w:tc>
        <w:tc>
          <w:tcPr>
            <w:tcW w:w="850" w:type="dxa"/>
            <w:noWrap/>
            <w:vAlign w:val="center"/>
          </w:tcPr>
          <w:p w:rsidR="00496C39" w:rsidRPr="00496C39" w:rsidRDefault="00496C39" w:rsidP="00496C3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 </w:t>
            </w:r>
          </w:p>
        </w:tc>
        <w:tc>
          <w:tcPr>
            <w:tcW w:w="851" w:type="dxa"/>
            <w:noWrap/>
            <w:vAlign w:val="center"/>
          </w:tcPr>
          <w:p w:rsidR="00496C39" w:rsidRPr="00496C39" w:rsidRDefault="00496C39" w:rsidP="00496C3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 </w:t>
            </w:r>
          </w:p>
        </w:tc>
        <w:tc>
          <w:tcPr>
            <w:tcW w:w="850" w:type="dxa"/>
            <w:noWrap/>
            <w:vAlign w:val="center"/>
          </w:tcPr>
          <w:p w:rsidR="00496C39" w:rsidRPr="00496C39" w:rsidRDefault="00496C39" w:rsidP="00496C3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 </w:t>
            </w:r>
          </w:p>
        </w:tc>
        <w:tc>
          <w:tcPr>
            <w:tcW w:w="851" w:type="dxa"/>
            <w:noWrap/>
            <w:vAlign w:val="center"/>
          </w:tcPr>
          <w:p w:rsidR="00496C39" w:rsidRPr="00496C39" w:rsidRDefault="00496C39" w:rsidP="00496C3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 </w:t>
            </w:r>
          </w:p>
        </w:tc>
      </w:tr>
      <w:tr w:rsidR="00496C39" w:rsidRPr="00496C39" w:rsidTr="00D45D03">
        <w:trPr>
          <w:trHeight w:val="252"/>
          <w:jc w:val="center"/>
        </w:trPr>
        <w:tc>
          <w:tcPr>
            <w:cnfStyle w:val="001000000000" w:firstRow="0" w:lastRow="0" w:firstColumn="1" w:lastColumn="0" w:oddVBand="0" w:evenVBand="0" w:oddHBand="0" w:evenHBand="0" w:firstRowFirstColumn="0" w:firstRowLastColumn="0" w:lastRowFirstColumn="0" w:lastRowLastColumn="0"/>
            <w:tcW w:w="4111" w:type="dxa"/>
            <w:noWrap/>
            <w:hideMark/>
          </w:tcPr>
          <w:p w:rsidR="00496C39" w:rsidRPr="00496C39" w:rsidRDefault="00496C39" w:rsidP="00496C39">
            <w:pPr>
              <w:spacing w:after="0" w:line="240" w:lineRule="auto"/>
              <w:rPr>
                <w:rFonts w:ascii="Times New Roman" w:eastAsia="Times New Roman" w:hAnsi="Times New Roman" w:cs="Times New Roman"/>
                <w:b w:val="0"/>
                <w:color w:val="auto"/>
                <w:sz w:val="20"/>
                <w:szCs w:val="20"/>
                <w:lang w:eastAsia="lv-LV"/>
              </w:rPr>
            </w:pPr>
            <w:r w:rsidRPr="00496C39">
              <w:rPr>
                <w:rFonts w:ascii="Times New Roman" w:eastAsia="Times New Roman" w:hAnsi="Times New Roman" w:cs="Times New Roman"/>
                <w:b w:val="0"/>
                <w:color w:val="auto"/>
                <w:sz w:val="20"/>
                <w:szCs w:val="20"/>
                <w:lang w:eastAsia="lv-LV"/>
              </w:rPr>
              <w:t>7. Neto finansiālais parāds (7=1-6)</w:t>
            </w:r>
          </w:p>
        </w:tc>
        <w:tc>
          <w:tcPr>
            <w:tcW w:w="851" w:type="dxa"/>
            <w:noWrap/>
            <w:hideMark/>
          </w:tcPr>
          <w:p w:rsidR="00496C39" w:rsidRPr="00496C39" w:rsidRDefault="00496C39" w:rsidP="00496C3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496C39">
              <w:rPr>
                <w:rFonts w:ascii="Times New Roman" w:eastAsia="Times New Roman" w:hAnsi="Times New Roman" w:cs="Times New Roman"/>
                <w:color w:val="auto"/>
                <w:sz w:val="20"/>
                <w:szCs w:val="20"/>
                <w:lang w:eastAsia="lv-LV"/>
              </w:rPr>
              <w:t> </w:t>
            </w:r>
          </w:p>
        </w:tc>
        <w:tc>
          <w:tcPr>
            <w:tcW w:w="1134" w:type="dxa"/>
            <w:noWrap/>
            <w:vAlign w:val="center"/>
          </w:tcPr>
          <w:p w:rsidR="00496C39" w:rsidRPr="00C23426" w:rsidRDefault="00496C39" w:rsidP="00496C3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45D03">
              <w:rPr>
                <w:rFonts w:ascii="Times New Roman" w:eastAsia="Times New Roman" w:hAnsi="Times New Roman" w:cs="Times New Roman"/>
                <w:color w:val="000000"/>
                <w:sz w:val="20"/>
                <w:szCs w:val="20"/>
              </w:rPr>
              <w:t>27,6</w:t>
            </w:r>
          </w:p>
        </w:tc>
        <w:tc>
          <w:tcPr>
            <w:tcW w:w="850" w:type="dxa"/>
            <w:noWrap/>
            <w:vAlign w:val="center"/>
          </w:tcPr>
          <w:p w:rsidR="00496C39" w:rsidRPr="00496C39" w:rsidRDefault="00496C39" w:rsidP="00496C3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 </w:t>
            </w:r>
          </w:p>
        </w:tc>
        <w:tc>
          <w:tcPr>
            <w:tcW w:w="851" w:type="dxa"/>
            <w:noWrap/>
            <w:vAlign w:val="center"/>
          </w:tcPr>
          <w:p w:rsidR="00496C39" w:rsidRPr="00496C39" w:rsidRDefault="00496C39" w:rsidP="00496C3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 </w:t>
            </w:r>
          </w:p>
        </w:tc>
        <w:tc>
          <w:tcPr>
            <w:tcW w:w="850" w:type="dxa"/>
            <w:noWrap/>
            <w:vAlign w:val="center"/>
          </w:tcPr>
          <w:p w:rsidR="00496C39" w:rsidRPr="00496C39" w:rsidRDefault="00496C39" w:rsidP="00496C3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 </w:t>
            </w:r>
          </w:p>
        </w:tc>
        <w:tc>
          <w:tcPr>
            <w:tcW w:w="851" w:type="dxa"/>
            <w:noWrap/>
            <w:vAlign w:val="center"/>
          </w:tcPr>
          <w:p w:rsidR="00496C39" w:rsidRPr="00496C39" w:rsidRDefault="00496C39" w:rsidP="00496C3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 </w:t>
            </w:r>
          </w:p>
        </w:tc>
      </w:tr>
      <w:tr w:rsidR="00496C39" w:rsidRPr="00496C39" w:rsidTr="00D45D03">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4111" w:type="dxa"/>
            <w:hideMark/>
          </w:tcPr>
          <w:p w:rsidR="00496C39" w:rsidRPr="00496C39" w:rsidRDefault="00496C39" w:rsidP="00496C39">
            <w:pPr>
              <w:spacing w:after="0" w:line="240" w:lineRule="auto"/>
              <w:rPr>
                <w:rFonts w:ascii="Times New Roman" w:eastAsia="Times New Roman" w:hAnsi="Times New Roman" w:cs="Times New Roman"/>
                <w:b w:val="0"/>
                <w:color w:val="auto"/>
                <w:sz w:val="20"/>
                <w:szCs w:val="20"/>
                <w:lang w:eastAsia="lv-LV"/>
              </w:rPr>
            </w:pPr>
            <w:r w:rsidRPr="00496C39">
              <w:rPr>
                <w:rFonts w:ascii="Times New Roman" w:eastAsia="Times New Roman" w:hAnsi="Times New Roman" w:cs="Times New Roman"/>
                <w:b w:val="0"/>
                <w:color w:val="auto"/>
                <w:sz w:val="20"/>
                <w:szCs w:val="20"/>
                <w:lang w:eastAsia="lv-LV"/>
              </w:rPr>
              <w:t>8. Parāda amortizācija</w:t>
            </w:r>
          </w:p>
        </w:tc>
        <w:tc>
          <w:tcPr>
            <w:tcW w:w="851" w:type="dxa"/>
            <w:noWrap/>
            <w:hideMark/>
          </w:tcPr>
          <w:p w:rsidR="00496C39" w:rsidRPr="00496C39" w:rsidRDefault="00496C39" w:rsidP="00496C3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496C39">
              <w:rPr>
                <w:rFonts w:ascii="Times New Roman" w:eastAsia="Times New Roman" w:hAnsi="Times New Roman" w:cs="Times New Roman"/>
                <w:color w:val="auto"/>
                <w:sz w:val="20"/>
                <w:szCs w:val="20"/>
                <w:lang w:eastAsia="lv-LV"/>
              </w:rPr>
              <w:t> </w:t>
            </w:r>
          </w:p>
        </w:tc>
        <w:tc>
          <w:tcPr>
            <w:tcW w:w="1134" w:type="dxa"/>
            <w:noWrap/>
            <w:vAlign w:val="center"/>
          </w:tcPr>
          <w:p w:rsidR="00496C39" w:rsidRPr="00C23426" w:rsidRDefault="00496C39" w:rsidP="00496C3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45D03">
              <w:rPr>
                <w:rFonts w:ascii="Times New Roman" w:eastAsia="Times New Roman" w:hAnsi="Times New Roman" w:cs="Times New Roman"/>
                <w:color w:val="000000"/>
                <w:sz w:val="20"/>
                <w:szCs w:val="20"/>
              </w:rPr>
              <w:t>2,6</w:t>
            </w:r>
          </w:p>
        </w:tc>
        <w:tc>
          <w:tcPr>
            <w:tcW w:w="850" w:type="dxa"/>
            <w:noWrap/>
            <w:vAlign w:val="center"/>
          </w:tcPr>
          <w:p w:rsidR="00496C39" w:rsidRPr="00496C39" w:rsidRDefault="00496C39" w:rsidP="00496C3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1,2</w:t>
            </w:r>
          </w:p>
        </w:tc>
        <w:tc>
          <w:tcPr>
            <w:tcW w:w="851" w:type="dxa"/>
            <w:noWrap/>
            <w:vAlign w:val="center"/>
          </w:tcPr>
          <w:p w:rsidR="00496C39" w:rsidRPr="00496C39" w:rsidRDefault="00496C39" w:rsidP="00496C3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3,8</w:t>
            </w:r>
          </w:p>
        </w:tc>
        <w:tc>
          <w:tcPr>
            <w:tcW w:w="850" w:type="dxa"/>
            <w:noWrap/>
            <w:vAlign w:val="center"/>
          </w:tcPr>
          <w:p w:rsidR="00496C39" w:rsidRPr="00496C39" w:rsidRDefault="00496C39" w:rsidP="00496C3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4,1</w:t>
            </w:r>
          </w:p>
        </w:tc>
        <w:tc>
          <w:tcPr>
            <w:tcW w:w="851" w:type="dxa"/>
            <w:noWrap/>
            <w:vAlign w:val="center"/>
          </w:tcPr>
          <w:p w:rsidR="00496C39" w:rsidRPr="00496C39" w:rsidRDefault="00496C39" w:rsidP="00496C3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0,6</w:t>
            </w:r>
          </w:p>
        </w:tc>
      </w:tr>
      <w:tr w:rsidR="00496C39" w:rsidRPr="00496C39" w:rsidTr="00D45D03">
        <w:trPr>
          <w:trHeight w:val="415"/>
          <w:jc w:val="center"/>
        </w:trPr>
        <w:tc>
          <w:tcPr>
            <w:cnfStyle w:val="001000000000" w:firstRow="0" w:lastRow="0" w:firstColumn="1" w:lastColumn="0" w:oddVBand="0" w:evenVBand="0" w:oddHBand="0" w:evenHBand="0" w:firstRowFirstColumn="0" w:firstRowLastColumn="0" w:lastRowFirstColumn="0" w:lastRowLastColumn="0"/>
            <w:tcW w:w="4111" w:type="dxa"/>
            <w:hideMark/>
          </w:tcPr>
          <w:p w:rsidR="00496C39" w:rsidRPr="00496C39" w:rsidRDefault="00496C39" w:rsidP="00496C39">
            <w:pPr>
              <w:spacing w:after="0" w:line="240" w:lineRule="auto"/>
              <w:rPr>
                <w:rFonts w:ascii="Times New Roman" w:eastAsia="Times New Roman" w:hAnsi="Times New Roman" w:cs="Times New Roman"/>
                <w:b w:val="0"/>
                <w:color w:val="auto"/>
                <w:sz w:val="20"/>
                <w:szCs w:val="20"/>
                <w:lang w:eastAsia="lv-LV"/>
              </w:rPr>
            </w:pPr>
            <w:r w:rsidRPr="00496C39">
              <w:rPr>
                <w:rFonts w:ascii="Times New Roman" w:eastAsia="Times New Roman" w:hAnsi="Times New Roman" w:cs="Times New Roman"/>
                <w:b w:val="0"/>
                <w:color w:val="auto"/>
                <w:sz w:val="20"/>
                <w:szCs w:val="20"/>
                <w:lang w:eastAsia="lv-LV"/>
              </w:rPr>
              <w:t>9. Ārvalstu valūtā denominētā parāda īpatsvars</w:t>
            </w:r>
          </w:p>
        </w:tc>
        <w:tc>
          <w:tcPr>
            <w:tcW w:w="851" w:type="dxa"/>
            <w:noWrap/>
            <w:hideMark/>
          </w:tcPr>
          <w:p w:rsidR="00496C39" w:rsidRPr="00496C39" w:rsidRDefault="00496C39" w:rsidP="00496C3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496C39">
              <w:rPr>
                <w:rFonts w:ascii="Times New Roman" w:eastAsia="Times New Roman" w:hAnsi="Times New Roman" w:cs="Times New Roman"/>
                <w:color w:val="auto"/>
                <w:sz w:val="20"/>
                <w:szCs w:val="20"/>
                <w:lang w:eastAsia="lv-LV"/>
              </w:rPr>
              <w:t> </w:t>
            </w:r>
          </w:p>
        </w:tc>
        <w:tc>
          <w:tcPr>
            <w:tcW w:w="1134" w:type="dxa"/>
            <w:noWrap/>
            <w:vAlign w:val="center"/>
          </w:tcPr>
          <w:p w:rsidR="00496C39" w:rsidRPr="00C23426" w:rsidRDefault="00496C39" w:rsidP="00496C3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45D03">
              <w:rPr>
                <w:rFonts w:ascii="Times New Roman" w:eastAsia="Times New Roman" w:hAnsi="Times New Roman" w:cs="Times New Roman"/>
                <w:color w:val="000000"/>
                <w:sz w:val="20"/>
                <w:szCs w:val="20"/>
              </w:rPr>
              <w:t>10,5</w:t>
            </w:r>
          </w:p>
        </w:tc>
        <w:tc>
          <w:tcPr>
            <w:tcW w:w="850" w:type="dxa"/>
            <w:noWrap/>
            <w:vAlign w:val="center"/>
          </w:tcPr>
          <w:p w:rsidR="00496C39" w:rsidRPr="00496C39" w:rsidRDefault="00496C39" w:rsidP="00496C3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10,0</w:t>
            </w:r>
          </w:p>
        </w:tc>
        <w:tc>
          <w:tcPr>
            <w:tcW w:w="851" w:type="dxa"/>
            <w:noWrap/>
            <w:vAlign w:val="center"/>
          </w:tcPr>
          <w:p w:rsidR="00496C39" w:rsidRPr="00496C39" w:rsidRDefault="00496C39" w:rsidP="00496C3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4,4</w:t>
            </w:r>
          </w:p>
        </w:tc>
        <w:tc>
          <w:tcPr>
            <w:tcW w:w="850" w:type="dxa"/>
            <w:noWrap/>
            <w:vAlign w:val="center"/>
          </w:tcPr>
          <w:p w:rsidR="00496C39" w:rsidRPr="00496C39" w:rsidRDefault="00496C39" w:rsidP="00496C3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1,3</w:t>
            </w:r>
          </w:p>
        </w:tc>
        <w:tc>
          <w:tcPr>
            <w:tcW w:w="851" w:type="dxa"/>
            <w:noWrap/>
            <w:vAlign w:val="center"/>
          </w:tcPr>
          <w:p w:rsidR="00496C39" w:rsidRPr="00496C39" w:rsidRDefault="00496C39" w:rsidP="00496C3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1,2</w:t>
            </w:r>
          </w:p>
        </w:tc>
      </w:tr>
      <w:tr w:rsidR="00496C39" w:rsidRPr="00496C39" w:rsidTr="00D45D03">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111" w:type="dxa"/>
            <w:noWrap/>
            <w:hideMark/>
          </w:tcPr>
          <w:p w:rsidR="00496C39" w:rsidRPr="00496C39" w:rsidRDefault="00496C39" w:rsidP="00496C39">
            <w:pPr>
              <w:spacing w:after="0" w:line="240" w:lineRule="auto"/>
              <w:rPr>
                <w:rFonts w:ascii="Times New Roman" w:eastAsia="Times New Roman" w:hAnsi="Times New Roman" w:cs="Times New Roman"/>
                <w:b w:val="0"/>
                <w:color w:val="auto"/>
                <w:sz w:val="20"/>
                <w:szCs w:val="20"/>
                <w:lang w:eastAsia="lv-LV"/>
              </w:rPr>
            </w:pPr>
            <w:r w:rsidRPr="00496C39">
              <w:rPr>
                <w:rFonts w:ascii="Times New Roman" w:eastAsia="Times New Roman" w:hAnsi="Times New Roman" w:cs="Times New Roman"/>
                <w:b w:val="0"/>
                <w:color w:val="auto"/>
                <w:sz w:val="20"/>
                <w:szCs w:val="20"/>
                <w:lang w:eastAsia="lv-LV"/>
              </w:rPr>
              <w:t>10. Vidējā dzēšana</w:t>
            </w:r>
          </w:p>
        </w:tc>
        <w:tc>
          <w:tcPr>
            <w:tcW w:w="851" w:type="dxa"/>
            <w:noWrap/>
            <w:hideMark/>
          </w:tcPr>
          <w:p w:rsidR="00496C39" w:rsidRPr="00496C39" w:rsidRDefault="00496C39" w:rsidP="00496C3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496C39">
              <w:rPr>
                <w:rFonts w:ascii="Times New Roman" w:eastAsia="Times New Roman" w:hAnsi="Times New Roman" w:cs="Times New Roman"/>
                <w:color w:val="auto"/>
                <w:sz w:val="20"/>
                <w:szCs w:val="20"/>
                <w:lang w:eastAsia="lv-LV"/>
              </w:rPr>
              <w:t> </w:t>
            </w:r>
          </w:p>
        </w:tc>
        <w:tc>
          <w:tcPr>
            <w:tcW w:w="1134" w:type="dxa"/>
            <w:noWrap/>
          </w:tcPr>
          <w:p w:rsidR="00496C39" w:rsidRPr="00C23426" w:rsidRDefault="00496C39" w:rsidP="00496C3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12245">
              <w:rPr>
                <w:rFonts w:ascii="Times New Roman" w:eastAsia="Times New Roman" w:hAnsi="Times New Roman" w:cs="Times New Roman"/>
                <w:color w:val="000000"/>
                <w:sz w:val="20"/>
                <w:szCs w:val="20"/>
              </w:rPr>
              <w:t>7,63 gadi</w:t>
            </w:r>
          </w:p>
        </w:tc>
        <w:tc>
          <w:tcPr>
            <w:tcW w:w="850" w:type="dxa"/>
            <w:noWrap/>
            <w:vAlign w:val="center"/>
          </w:tcPr>
          <w:p w:rsidR="00496C39" w:rsidRPr="00496C39" w:rsidRDefault="00496C39" w:rsidP="00496C3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 </w:t>
            </w:r>
          </w:p>
        </w:tc>
        <w:tc>
          <w:tcPr>
            <w:tcW w:w="851" w:type="dxa"/>
            <w:noWrap/>
            <w:vAlign w:val="center"/>
          </w:tcPr>
          <w:p w:rsidR="00496C39" w:rsidRPr="00496C39" w:rsidRDefault="00496C39" w:rsidP="00496C3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 </w:t>
            </w:r>
          </w:p>
        </w:tc>
        <w:tc>
          <w:tcPr>
            <w:tcW w:w="850" w:type="dxa"/>
            <w:noWrap/>
            <w:vAlign w:val="center"/>
          </w:tcPr>
          <w:p w:rsidR="00496C39" w:rsidRPr="00496C39" w:rsidRDefault="00496C39" w:rsidP="00496C3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 </w:t>
            </w:r>
          </w:p>
        </w:tc>
        <w:tc>
          <w:tcPr>
            <w:tcW w:w="851" w:type="dxa"/>
            <w:noWrap/>
            <w:vAlign w:val="center"/>
          </w:tcPr>
          <w:p w:rsidR="00496C39" w:rsidRPr="00496C39" w:rsidRDefault="00496C39" w:rsidP="00496C3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 </w:t>
            </w:r>
          </w:p>
        </w:tc>
      </w:tr>
    </w:tbl>
    <w:p w:rsidR="00496C39" w:rsidRDefault="00496C39" w:rsidP="0053105F">
      <w:pPr>
        <w:pStyle w:val="T"/>
        <w:spacing w:after="0"/>
        <w:ind w:left="0"/>
        <w:jc w:val="both"/>
        <w:rPr>
          <w:rFonts w:ascii="Times New Roman" w:hAnsi="Times New Roman"/>
          <w:color w:val="000000"/>
          <w:szCs w:val="24"/>
        </w:rPr>
      </w:pPr>
    </w:p>
    <w:p w:rsidR="00496C39" w:rsidRDefault="00496C39">
      <w:pPr>
        <w:spacing w:after="0" w:line="240" w:lineRule="auto"/>
        <w:rPr>
          <w:rFonts w:ascii="Times New Roman" w:eastAsia="Times New Roman" w:hAnsi="Times New Roman" w:cs="Times New Roman"/>
          <w:b/>
          <w:color w:val="000000"/>
          <w:sz w:val="24"/>
          <w:szCs w:val="24"/>
        </w:rPr>
      </w:pPr>
      <w:r>
        <w:rPr>
          <w:rFonts w:ascii="Times New Roman" w:hAnsi="Times New Roman"/>
          <w:color w:val="000000"/>
          <w:szCs w:val="24"/>
        </w:rPr>
        <w:br w:type="page"/>
      </w:r>
    </w:p>
    <w:p w:rsidR="0053105F" w:rsidRDefault="0053105F" w:rsidP="0053105F">
      <w:pPr>
        <w:pStyle w:val="T"/>
        <w:spacing w:after="0"/>
        <w:ind w:left="0"/>
        <w:jc w:val="both"/>
        <w:rPr>
          <w:rFonts w:ascii="Times New Roman" w:hAnsi="Times New Roman"/>
          <w:color w:val="000000"/>
          <w:szCs w:val="24"/>
        </w:rPr>
      </w:pPr>
      <w:r w:rsidRPr="00112DB6">
        <w:rPr>
          <w:rFonts w:ascii="Times New Roman" w:hAnsi="Times New Roman"/>
          <w:color w:val="000000"/>
          <w:szCs w:val="24"/>
        </w:rPr>
        <w:lastRenderedPageBreak/>
        <w:t>5.tabula. Cikliskā attīstība</w:t>
      </w:r>
    </w:p>
    <w:tbl>
      <w:tblPr>
        <w:tblStyle w:val="GridTable6Colorful-Accent117"/>
        <w:tblW w:w="9352" w:type="dxa"/>
        <w:jc w:val="center"/>
        <w:tblLook w:val="04A0" w:firstRow="1" w:lastRow="0" w:firstColumn="1" w:lastColumn="0" w:noHBand="0" w:noVBand="1"/>
      </w:tblPr>
      <w:tblGrid>
        <w:gridCol w:w="3681"/>
        <w:gridCol w:w="840"/>
        <w:gridCol w:w="803"/>
        <w:gridCol w:w="1007"/>
        <w:gridCol w:w="1007"/>
        <w:gridCol w:w="1007"/>
        <w:gridCol w:w="1007"/>
      </w:tblGrid>
      <w:tr w:rsidR="00496C39" w:rsidRPr="00496C39" w:rsidTr="00135E60">
        <w:trPr>
          <w:cnfStyle w:val="100000000000" w:firstRow="1" w:lastRow="0" w:firstColumn="0" w:lastColumn="0" w:oddVBand="0" w:evenVBand="0" w:oddHBand="0" w:evenHBand="0" w:firstRowFirstColumn="0" w:firstRowLastColumn="0" w:lastRowFirstColumn="0" w:lastRowLastColumn="0"/>
          <w:trHeight w:val="444"/>
          <w:jc w:val="center"/>
        </w:trPr>
        <w:tc>
          <w:tcPr>
            <w:cnfStyle w:val="001000000000" w:firstRow="0" w:lastRow="0" w:firstColumn="1" w:lastColumn="0" w:oddVBand="0" w:evenVBand="0" w:oddHBand="0" w:evenHBand="0" w:firstRowFirstColumn="0" w:firstRowLastColumn="0" w:lastRowFirstColumn="0" w:lastRowLastColumn="0"/>
            <w:tcW w:w="3681" w:type="dxa"/>
            <w:shd w:val="clear" w:color="auto" w:fill="DEEAF6"/>
            <w:noWrap/>
            <w:vAlign w:val="center"/>
            <w:hideMark/>
          </w:tcPr>
          <w:p w:rsidR="00496C39" w:rsidRPr="00496C39" w:rsidRDefault="00496C39" w:rsidP="00496C39">
            <w:pPr>
              <w:spacing w:after="0" w:line="240" w:lineRule="auto"/>
              <w:jc w:val="center"/>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 xml:space="preserve">% no IKP </w:t>
            </w:r>
          </w:p>
        </w:tc>
        <w:tc>
          <w:tcPr>
            <w:tcW w:w="840" w:type="dxa"/>
            <w:shd w:val="clear" w:color="auto" w:fill="DEEAF6"/>
            <w:vAlign w:val="center"/>
            <w:hideMark/>
          </w:tcPr>
          <w:p w:rsidR="00496C39" w:rsidRPr="00496C39" w:rsidRDefault="00496C39" w:rsidP="00496C3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EKS Kods</w:t>
            </w:r>
          </w:p>
        </w:tc>
        <w:tc>
          <w:tcPr>
            <w:tcW w:w="803" w:type="dxa"/>
            <w:shd w:val="clear" w:color="auto" w:fill="DEEAF6"/>
            <w:noWrap/>
            <w:vAlign w:val="center"/>
            <w:hideMark/>
          </w:tcPr>
          <w:p w:rsidR="00496C39" w:rsidRPr="00496C39" w:rsidRDefault="00496C39" w:rsidP="00496C3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0"/>
                <w:szCs w:val="20"/>
              </w:rPr>
            </w:pPr>
            <w:r w:rsidRPr="00496C39">
              <w:rPr>
                <w:rFonts w:ascii="Times New Roman" w:eastAsia="Times New Roman" w:hAnsi="Times New Roman" w:cs="Times New Roman"/>
                <w:bCs w:val="0"/>
                <w:color w:val="000000"/>
                <w:sz w:val="20"/>
                <w:szCs w:val="20"/>
              </w:rPr>
              <w:t>2018</w:t>
            </w:r>
          </w:p>
        </w:tc>
        <w:tc>
          <w:tcPr>
            <w:tcW w:w="1007" w:type="dxa"/>
            <w:shd w:val="clear" w:color="auto" w:fill="DEEAF6"/>
            <w:noWrap/>
            <w:vAlign w:val="center"/>
            <w:hideMark/>
          </w:tcPr>
          <w:p w:rsidR="00496C39" w:rsidRPr="00496C39" w:rsidRDefault="00496C39" w:rsidP="00496C3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0"/>
                <w:szCs w:val="20"/>
              </w:rPr>
            </w:pPr>
            <w:r w:rsidRPr="00496C39">
              <w:rPr>
                <w:rFonts w:ascii="Times New Roman" w:eastAsia="Times New Roman" w:hAnsi="Times New Roman" w:cs="Times New Roman"/>
                <w:bCs w:val="0"/>
                <w:color w:val="000000"/>
                <w:sz w:val="20"/>
                <w:szCs w:val="20"/>
              </w:rPr>
              <w:t>2019</w:t>
            </w:r>
          </w:p>
        </w:tc>
        <w:tc>
          <w:tcPr>
            <w:tcW w:w="1007" w:type="dxa"/>
            <w:shd w:val="clear" w:color="auto" w:fill="DEEAF6"/>
            <w:noWrap/>
            <w:vAlign w:val="center"/>
            <w:hideMark/>
          </w:tcPr>
          <w:p w:rsidR="00496C39" w:rsidRPr="00496C39" w:rsidRDefault="00496C39" w:rsidP="00496C3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0"/>
                <w:szCs w:val="20"/>
              </w:rPr>
            </w:pPr>
            <w:r w:rsidRPr="00496C39">
              <w:rPr>
                <w:rFonts w:ascii="Times New Roman" w:eastAsia="Times New Roman" w:hAnsi="Times New Roman" w:cs="Times New Roman"/>
                <w:bCs w:val="0"/>
                <w:color w:val="000000"/>
                <w:sz w:val="20"/>
                <w:szCs w:val="20"/>
              </w:rPr>
              <w:t>2020</w:t>
            </w:r>
          </w:p>
        </w:tc>
        <w:tc>
          <w:tcPr>
            <w:tcW w:w="1007" w:type="dxa"/>
            <w:shd w:val="clear" w:color="auto" w:fill="DEEAF6"/>
            <w:noWrap/>
            <w:vAlign w:val="center"/>
            <w:hideMark/>
          </w:tcPr>
          <w:p w:rsidR="00496C39" w:rsidRPr="00496C39" w:rsidRDefault="00496C39" w:rsidP="00496C3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0"/>
                <w:szCs w:val="20"/>
              </w:rPr>
            </w:pPr>
            <w:r w:rsidRPr="00496C39">
              <w:rPr>
                <w:rFonts w:ascii="Times New Roman" w:eastAsia="Times New Roman" w:hAnsi="Times New Roman" w:cs="Times New Roman"/>
                <w:bCs w:val="0"/>
                <w:color w:val="000000"/>
                <w:sz w:val="20"/>
                <w:szCs w:val="20"/>
              </w:rPr>
              <w:t>2021</w:t>
            </w:r>
          </w:p>
        </w:tc>
        <w:tc>
          <w:tcPr>
            <w:tcW w:w="1007" w:type="dxa"/>
            <w:shd w:val="clear" w:color="auto" w:fill="DEEAF6"/>
            <w:noWrap/>
            <w:vAlign w:val="center"/>
            <w:hideMark/>
          </w:tcPr>
          <w:p w:rsidR="00496C39" w:rsidRPr="00496C39" w:rsidRDefault="00496C39" w:rsidP="00496C3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0"/>
                <w:szCs w:val="20"/>
              </w:rPr>
            </w:pPr>
            <w:r w:rsidRPr="00496C39">
              <w:rPr>
                <w:rFonts w:ascii="Times New Roman" w:eastAsia="Times New Roman" w:hAnsi="Times New Roman" w:cs="Times New Roman"/>
                <w:bCs w:val="0"/>
                <w:color w:val="000000"/>
                <w:sz w:val="20"/>
                <w:szCs w:val="20"/>
              </w:rPr>
              <w:t>2022</w:t>
            </w:r>
          </w:p>
        </w:tc>
      </w:tr>
    </w:tbl>
    <w:tbl>
      <w:tblPr>
        <w:tblStyle w:val="GridTable6Colorful-Accent118"/>
        <w:tblW w:w="9352" w:type="dxa"/>
        <w:jc w:val="center"/>
        <w:tblLook w:val="04A0" w:firstRow="1" w:lastRow="0" w:firstColumn="1" w:lastColumn="0" w:noHBand="0" w:noVBand="1"/>
      </w:tblPr>
      <w:tblGrid>
        <w:gridCol w:w="3681"/>
        <w:gridCol w:w="840"/>
        <w:gridCol w:w="803"/>
        <w:gridCol w:w="1007"/>
        <w:gridCol w:w="1007"/>
        <w:gridCol w:w="1007"/>
        <w:gridCol w:w="1007"/>
      </w:tblGrid>
      <w:tr w:rsidR="00496C39" w:rsidRPr="00496C39" w:rsidTr="00FC4F60">
        <w:trPr>
          <w:cnfStyle w:val="100000000000" w:firstRow="1" w:lastRow="0" w:firstColumn="0" w:lastColumn="0" w:oddVBand="0" w:evenVBand="0" w:oddHBand="0"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3681" w:type="dxa"/>
            <w:noWrap/>
            <w:vAlign w:val="bottom"/>
            <w:hideMark/>
          </w:tcPr>
          <w:p w:rsidR="00496C39" w:rsidRPr="00496C39" w:rsidRDefault="00496C39" w:rsidP="00496C39">
            <w:pPr>
              <w:spacing w:after="0" w:line="240" w:lineRule="auto"/>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1. IKP pieaugums salīdzināmās cenās (%)</w:t>
            </w:r>
          </w:p>
        </w:tc>
        <w:tc>
          <w:tcPr>
            <w:tcW w:w="840" w:type="dxa"/>
            <w:noWrap/>
            <w:vAlign w:val="center"/>
            <w:hideMark/>
          </w:tcPr>
          <w:p w:rsidR="00496C39" w:rsidRPr="00496C39" w:rsidRDefault="00496C39" w:rsidP="00496C3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B1g</w:t>
            </w:r>
          </w:p>
        </w:tc>
        <w:tc>
          <w:tcPr>
            <w:tcW w:w="803" w:type="dxa"/>
            <w:noWrap/>
            <w:vAlign w:val="bottom"/>
          </w:tcPr>
          <w:p w:rsidR="00496C39" w:rsidRPr="00C23426" w:rsidRDefault="00496C39" w:rsidP="00496C3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23426">
              <w:rPr>
                <w:rFonts w:ascii="Times New Roman" w:hAnsi="Times New Roman" w:cs="Times New Roman"/>
                <w:color w:val="000000" w:themeColor="text1"/>
                <w:sz w:val="20"/>
                <w:szCs w:val="20"/>
              </w:rPr>
              <w:t>4,8</w:t>
            </w:r>
          </w:p>
        </w:tc>
        <w:tc>
          <w:tcPr>
            <w:tcW w:w="1007" w:type="dxa"/>
            <w:noWrap/>
            <w:vAlign w:val="bottom"/>
          </w:tcPr>
          <w:p w:rsidR="00496C39" w:rsidRPr="00496C39" w:rsidRDefault="00496C39" w:rsidP="00496C3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3,2</w:t>
            </w:r>
          </w:p>
        </w:tc>
        <w:tc>
          <w:tcPr>
            <w:tcW w:w="1007" w:type="dxa"/>
            <w:noWrap/>
            <w:vAlign w:val="bottom"/>
          </w:tcPr>
          <w:p w:rsidR="00496C39" w:rsidRPr="00496C39" w:rsidRDefault="00496C39" w:rsidP="00496C3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3,0</w:t>
            </w:r>
          </w:p>
        </w:tc>
        <w:tc>
          <w:tcPr>
            <w:tcW w:w="1007" w:type="dxa"/>
            <w:noWrap/>
            <w:vAlign w:val="bottom"/>
          </w:tcPr>
          <w:p w:rsidR="00496C39" w:rsidRPr="00496C39" w:rsidRDefault="00496C39" w:rsidP="00496C3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2,9</w:t>
            </w:r>
          </w:p>
        </w:tc>
        <w:tc>
          <w:tcPr>
            <w:tcW w:w="1007" w:type="dxa"/>
            <w:noWrap/>
            <w:vAlign w:val="bottom"/>
          </w:tcPr>
          <w:p w:rsidR="00496C39" w:rsidRPr="00496C39" w:rsidRDefault="00496C39" w:rsidP="00496C3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2,9</w:t>
            </w:r>
          </w:p>
        </w:tc>
      </w:tr>
      <w:tr w:rsidR="00C23426" w:rsidRPr="00496C39" w:rsidTr="00135E60">
        <w:trPr>
          <w:cnfStyle w:val="000000100000" w:firstRow="0" w:lastRow="0" w:firstColumn="0" w:lastColumn="0" w:oddVBand="0" w:evenVBand="0" w:oddHBand="1" w:evenHBand="0" w:firstRowFirstColumn="0" w:firstRowLastColumn="0" w:lastRowFirstColumn="0" w:lastRowLastColumn="0"/>
          <w:trHeight w:val="63"/>
          <w:jc w:val="center"/>
        </w:trPr>
        <w:tc>
          <w:tcPr>
            <w:cnfStyle w:val="001000000000" w:firstRow="0" w:lastRow="0" w:firstColumn="1" w:lastColumn="0" w:oddVBand="0" w:evenVBand="0" w:oddHBand="0" w:evenHBand="0" w:firstRowFirstColumn="0" w:firstRowLastColumn="0" w:lastRowFirstColumn="0" w:lastRowLastColumn="0"/>
            <w:tcW w:w="3681" w:type="dxa"/>
            <w:noWrap/>
            <w:vAlign w:val="bottom"/>
            <w:hideMark/>
          </w:tcPr>
          <w:p w:rsidR="00C23426" w:rsidRPr="00496C39" w:rsidRDefault="00C23426" w:rsidP="00C23426">
            <w:pPr>
              <w:spacing w:after="0" w:line="240" w:lineRule="auto"/>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2. Faktiskā budžeta bilance</w:t>
            </w:r>
          </w:p>
        </w:tc>
        <w:tc>
          <w:tcPr>
            <w:tcW w:w="840" w:type="dxa"/>
            <w:noWrap/>
            <w:vAlign w:val="center"/>
            <w:hideMark/>
          </w:tcPr>
          <w:p w:rsidR="00C23426" w:rsidRPr="00496C39" w:rsidRDefault="00C23426" w:rsidP="00C2342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B.9</w:t>
            </w:r>
          </w:p>
        </w:tc>
        <w:tc>
          <w:tcPr>
            <w:tcW w:w="803" w:type="dxa"/>
            <w:noWrap/>
            <w:vAlign w:val="bottom"/>
          </w:tcPr>
          <w:p w:rsidR="00C23426" w:rsidRPr="00C23426" w:rsidRDefault="00C23426" w:rsidP="00C2342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23426">
              <w:rPr>
                <w:rFonts w:ascii="Times New Roman" w:hAnsi="Times New Roman" w:cs="Times New Roman"/>
                <w:color w:val="000000" w:themeColor="text1"/>
                <w:sz w:val="20"/>
                <w:szCs w:val="20"/>
              </w:rPr>
              <w:t>-1,0</w:t>
            </w:r>
          </w:p>
        </w:tc>
        <w:tc>
          <w:tcPr>
            <w:tcW w:w="1007" w:type="dxa"/>
            <w:noWrap/>
            <w:vAlign w:val="bottom"/>
          </w:tcPr>
          <w:p w:rsidR="00C23426" w:rsidRPr="00496C39" w:rsidRDefault="00C23426" w:rsidP="00C2342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-0,5</w:t>
            </w:r>
          </w:p>
        </w:tc>
        <w:tc>
          <w:tcPr>
            <w:tcW w:w="1007" w:type="dxa"/>
            <w:noWrap/>
            <w:vAlign w:val="bottom"/>
          </w:tcPr>
          <w:p w:rsidR="00C23426" w:rsidRPr="00496C39" w:rsidRDefault="00C23426" w:rsidP="00C2342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-0,4</w:t>
            </w:r>
          </w:p>
        </w:tc>
        <w:tc>
          <w:tcPr>
            <w:tcW w:w="1007" w:type="dxa"/>
            <w:noWrap/>
            <w:vAlign w:val="bottom"/>
          </w:tcPr>
          <w:p w:rsidR="00C23426" w:rsidRPr="00496C39" w:rsidRDefault="00C23426" w:rsidP="00C2342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-0,2</w:t>
            </w:r>
          </w:p>
        </w:tc>
        <w:tc>
          <w:tcPr>
            <w:tcW w:w="1007" w:type="dxa"/>
            <w:noWrap/>
            <w:vAlign w:val="bottom"/>
          </w:tcPr>
          <w:p w:rsidR="00C23426" w:rsidRPr="00496C39" w:rsidRDefault="00C23426" w:rsidP="00C2342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-0,3</w:t>
            </w:r>
          </w:p>
        </w:tc>
      </w:tr>
      <w:tr w:rsidR="00C23426" w:rsidRPr="00496C39" w:rsidTr="00135E60">
        <w:trPr>
          <w:trHeight w:val="63"/>
          <w:jc w:val="center"/>
        </w:trPr>
        <w:tc>
          <w:tcPr>
            <w:cnfStyle w:val="001000000000" w:firstRow="0" w:lastRow="0" w:firstColumn="1" w:lastColumn="0" w:oddVBand="0" w:evenVBand="0" w:oddHBand="0" w:evenHBand="0" w:firstRowFirstColumn="0" w:firstRowLastColumn="0" w:lastRowFirstColumn="0" w:lastRowLastColumn="0"/>
            <w:tcW w:w="3681" w:type="dxa"/>
            <w:noWrap/>
            <w:vAlign w:val="bottom"/>
            <w:hideMark/>
          </w:tcPr>
          <w:p w:rsidR="00C23426" w:rsidRPr="00496C39" w:rsidRDefault="00C23426" w:rsidP="00C23426">
            <w:pPr>
              <w:spacing w:after="0" w:line="240" w:lineRule="auto"/>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3. Procentu izdevumi</w:t>
            </w:r>
          </w:p>
        </w:tc>
        <w:tc>
          <w:tcPr>
            <w:tcW w:w="840" w:type="dxa"/>
            <w:noWrap/>
            <w:vAlign w:val="center"/>
            <w:hideMark/>
          </w:tcPr>
          <w:p w:rsidR="00C23426" w:rsidRPr="00496C39" w:rsidRDefault="00C23426" w:rsidP="00C2342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D.41</w:t>
            </w:r>
          </w:p>
        </w:tc>
        <w:tc>
          <w:tcPr>
            <w:tcW w:w="803" w:type="dxa"/>
            <w:noWrap/>
            <w:vAlign w:val="bottom"/>
          </w:tcPr>
          <w:p w:rsidR="00C23426" w:rsidRPr="00C23426" w:rsidRDefault="00C23426" w:rsidP="00C2342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23426">
              <w:rPr>
                <w:rFonts w:ascii="Times New Roman" w:hAnsi="Times New Roman" w:cs="Times New Roman"/>
                <w:color w:val="000000" w:themeColor="text1"/>
                <w:sz w:val="20"/>
                <w:szCs w:val="20"/>
              </w:rPr>
              <w:t>0,7</w:t>
            </w:r>
          </w:p>
        </w:tc>
        <w:tc>
          <w:tcPr>
            <w:tcW w:w="1007" w:type="dxa"/>
            <w:noWrap/>
            <w:vAlign w:val="bottom"/>
          </w:tcPr>
          <w:p w:rsidR="00C23426" w:rsidRPr="00496C39" w:rsidRDefault="00C23426" w:rsidP="00C2342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0,7</w:t>
            </w:r>
          </w:p>
        </w:tc>
        <w:tc>
          <w:tcPr>
            <w:tcW w:w="1007" w:type="dxa"/>
            <w:noWrap/>
            <w:vAlign w:val="bottom"/>
          </w:tcPr>
          <w:p w:rsidR="00C23426" w:rsidRPr="00496C39" w:rsidRDefault="00C23426" w:rsidP="00C2342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0,8</w:t>
            </w:r>
          </w:p>
        </w:tc>
        <w:tc>
          <w:tcPr>
            <w:tcW w:w="1007" w:type="dxa"/>
            <w:noWrap/>
            <w:vAlign w:val="bottom"/>
          </w:tcPr>
          <w:p w:rsidR="00C23426" w:rsidRPr="00496C39" w:rsidRDefault="00C23426" w:rsidP="00C2342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0,8</w:t>
            </w:r>
          </w:p>
        </w:tc>
        <w:tc>
          <w:tcPr>
            <w:tcW w:w="1007" w:type="dxa"/>
            <w:noWrap/>
            <w:vAlign w:val="bottom"/>
          </w:tcPr>
          <w:p w:rsidR="00C23426" w:rsidRPr="00496C39" w:rsidRDefault="00C23426" w:rsidP="00C2342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0,8</w:t>
            </w:r>
          </w:p>
        </w:tc>
      </w:tr>
      <w:tr w:rsidR="00496C39" w:rsidRPr="00496C39" w:rsidTr="00135E60">
        <w:trPr>
          <w:cnfStyle w:val="000000100000" w:firstRow="0" w:lastRow="0" w:firstColumn="0" w:lastColumn="0" w:oddVBand="0" w:evenVBand="0" w:oddHBand="1" w:evenHBand="0" w:firstRowFirstColumn="0" w:firstRowLastColumn="0" w:lastRowFirstColumn="0" w:lastRowLastColumn="0"/>
          <w:trHeight w:val="63"/>
          <w:jc w:val="center"/>
        </w:trPr>
        <w:tc>
          <w:tcPr>
            <w:cnfStyle w:val="001000000000" w:firstRow="0" w:lastRow="0" w:firstColumn="1" w:lastColumn="0" w:oddVBand="0" w:evenVBand="0" w:oddHBand="0" w:evenHBand="0" w:firstRowFirstColumn="0" w:firstRowLastColumn="0" w:lastRowFirstColumn="0" w:lastRowLastColumn="0"/>
            <w:tcW w:w="3681" w:type="dxa"/>
            <w:noWrap/>
            <w:vAlign w:val="bottom"/>
            <w:hideMark/>
          </w:tcPr>
          <w:p w:rsidR="00496C39" w:rsidRPr="00496C39" w:rsidRDefault="00496C39" w:rsidP="00496C39">
            <w:pPr>
              <w:spacing w:after="0" w:line="240" w:lineRule="auto"/>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4. Vienreizēji un citi īslaicīgi pasākumi</w:t>
            </w:r>
            <w:r w:rsidRPr="00496C39">
              <w:rPr>
                <w:rFonts w:ascii="Garamond" w:eastAsia="Times New Roman" w:hAnsi="Garamond" w:cs="Times New Roman"/>
                <w:color w:val="000000"/>
                <w:sz w:val="20"/>
                <w:szCs w:val="20"/>
                <w:vertAlign w:val="superscript"/>
              </w:rPr>
              <w:footnoteReference w:id="10"/>
            </w:r>
          </w:p>
        </w:tc>
        <w:tc>
          <w:tcPr>
            <w:tcW w:w="840" w:type="dxa"/>
            <w:noWrap/>
            <w:vAlign w:val="center"/>
            <w:hideMark/>
          </w:tcPr>
          <w:p w:rsidR="00496C39" w:rsidRPr="00496C39" w:rsidRDefault="00496C39" w:rsidP="00496C3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803" w:type="dxa"/>
            <w:noWrap/>
          </w:tcPr>
          <w:p w:rsidR="00496C39" w:rsidRPr="00C23426" w:rsidRDefault="00496C39" w:rsidP="00496C3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1007" w:type="dxa"/>
            <w:noWrap/>
            <w:vAlign w:val="bottom"/>
          </w:tcPr>
          <w:p w:rsidR="00496C39" w:rsidRPr="00496C39" w:rsidRDefault="00496C39" w:rsidP="00496C3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0,1</w:t>
            </w:r>
          </w:p>
        </w:tc>
        <w:tc>
          <w:tcPr>
            <w:tcW w:w="1007" w:type="dxa"/>
            <w:noWrap/>
            <w:vAlign w:val="bottom"/>
          </w:tcPr>
          <w:p w:rsidR="00496C39" w:rsidRPr="00496C39" w:rsidRDefault="00496C39" w:rsidP="00496C3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1007" w:type="dxa"/>
            <w:noWrap/>
            <w:vAlign w:val="bottom"/>
          </w:tcPr>
          <w:p w:rsidR="00496C39" w:rsidRPr="00496C39" w:rsidRDefault="00496C39" w:rsidP="00496C3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1007" w:type="dxa"/>
            <w:noWrap/>
            <w:vAlign w:val="bottom"/>
          </w:tcPr>
          <w:p w:rsidR="00496C39" w:rsidRPr="00496C39" w:rsidRDefault="00496C39" w:rsidP="00496C3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r>
      <w:tr w:rsidR="00496C39" w:rsidRPr="00496C39" w:rsidTr="00135E60">
        <w:trPr>
          <w:trHeight w:val="63"/>
          <w:jc w:val="center"/>
        </w:trPr>
        <w:tc>
          <w:tcPr>
            <w:cnfStyle w:val="001000000000" w:firstRow="0" w:lastRow="0" w:firstColumn="1" w:lastColumn="0" w:oddVBand="0" w:evenVBand="0" w:oddHBand="0" w:evenHBand="0" w:firstRowFirstColumn="0" w:firstRowLastColumn="0" w:lastRowFirstColumn="0" w:lastRowLastColumn="0"/>
            <w:tcW w:w="3681" w:type="dxa"/>
            <w:noWrap/>
            <w:vAlign w:val="bottom"/>
            <w:hideMark/>
          </w:tcPr>
          <w:p w:rsidR="00496C39" w:rsidRPr="00496C39" w:rsidRDefault="00496C39" w:rsidP="00496C39">
            <w:pPr>
              <w:spacing w:after="0" w:line="240" w:lineRule="auto"/>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5. Potenciālā IKP pieaugums (%)</w:t>
            </w:r>
          </w:p>
        </w:tc>
        <w:tc>
          <w:tcPr>
            <w:tcW w:w="840" w:type="dxa"/>
            <w:noWrap/>
            <w:vAlign w:val="center"/>
            <w:hideMark/>
          </w:tcPr>
          <w:p w:rsidR="00496C39" w:rsidRPr="00496C39" w:rsidRDefault="00496C39" w:rsidP="00496C3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803" w:type="dxa"/>
            <w:noWrap/>
          </w:tcPr>
          <w:p w:rsidR="00496C39" w:rsidRPr="00C23426" w:rsidRDefault="00496C39" w:rsidP="00496C3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23426">
              <w:rPr>
                <w:rFonts w:ascii="Times New Roman" w:hAnsi="Times New Roman" w:cs="Times New Roman"/>
                <w:color w:val="000000" w:themeColor="text1"/>
                <w:sz w:val="20"/>
                <w:szCs w:val="20"/>
              </w:rPr>
              <w:t>3,5</w:t>
            </w:r>
          </w:p>
        </w:tc>
        <w:tc>
          <w:tcPr>
            <w:tcW w:w="1007" w:type="dxa"/>
            <w:noWrap/>
            <w:vAlign w:val="bottom"/>
          </w:tcPr>
          <w:p w:rsidR="00496C39" w:rsidRPr="00496C39" w:rsidRDefault="00496C39" w:rsidP="00496C3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3,5</w:t>
            </w:r>
          </w:p>
        </w:tc>
        <w:tc>
          <w:tcPr>
            <w:tcW w:w="1007" w:type="dxa"/>
            <w:noWrap/>
            <w:vAlign w:val="bottom"/>
          </w:tcPr>
          <w:p w:rsidR="00496C39" w:rsidRPr="00496C39" w:rsidRDefault="00496C39" w:rsidP="00496C3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3,4</w:t>
            </w:r>
          </w:p>
        </w:tc>
        <w:tc>
          <w:tcPr>
            <w:tcW w:w="1007" w:type="dxa"/>
            <w:noWrap/>
            <w:vAlign w:val="bottom"/>
          </w:tcPr>
          <w:p w:rsidR="00496C39" w:rsidRPr="00496C39" w:rsidRDefault="00496C39" w:rsidP="00496C3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3,2</w:t>
            </w:r>
          </w:p>
        </w:tc>
        <w:tc>
          <w:tcPr>
            <w:tcW w:w="1007" w:type="dxa"/>
            <w:noWrap/>
            <w:vAlign w:val="bottom"/>
          </w:tcPr>
          <w:p w:rsidR="00496C39" w:rsidRPr="00496C39" w:rsidRDefault="00496C39" w:rsidP="00496C3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3,2</w:t>
            </w:r>
          </w:p>
        </w:tc>
      </w:tr>
      <w:tr w:rsidR="00496C39" w:rsidRPr="00496C39" w:rsidTr="00135E60">
        <w:trPr>
          <w:cnfStyle w:val="000000100000" w:firstRow="0" w:lastRow="0" w:firstColumn="0" w:lastColumn="0" w:oddVBand="0" w:evenVBand="0" w:oddHBand="1" w:evenHBand="0" w:firstRowFirstColumn="0" w:firstRowLastColumn="0" w:lastRowFirstColumn="0" w:lastRowLastColumn="0"/>
          <w:trHeight w:val="63"/>
          <w:jc w:val="center"/>
        </w:trPr>
        <w:tc>
          <w:tcPr>
            <w:cnfStyle w:val="001000000000" w:firstRow="0" w:lastRow="0" w:firstColumn="1" w:lastColumn="0" w:oddVBand="0" w:evenVBand="0" w:oddHBand="0" w:evenHBand="0" w:firstRowFirstColumn="0" w:firstRowLastColumn="0" w:lastRowFirstColumn="0" w:lastRowLastColumn="0"/>
            <w:tcW w:w="3681" w:type="dxa"/>
            <w:noWrap/>
            <w:vAlign w:val="bottom"/>
            <w:hideMark/>
          </w:tcPr>
          <w:p w:rsidR="00496C39" w:rsidRPr="00496C39" w:rsidRDefault="00496C39" w:rsidP="00496C39">
            <w:pPr>
              <w:spacing w:after="0" w:line="240" w:lineRule="auto"/>
              <w:ind w:firstLineChars="100" w:firstLine="200"/>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ieguldījums:</w:t>
            </w:r>
          </w:p>
        </w:tc>
        <w:tc>
          <w:tcPr>
            <w:tcW w:w="840" w:type="dxa"/>
            <w:noWrap/>
            <w:vAlign w:val="center"/>
            <w:hideMark/>
          </w:tcPr>
          <w:p w:rsidR="00496C39" w:rsidRPr="00496C39" w:rsidRDefault="00496C39" w:rsidP="00496C3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803" w:type="dxa"/>
            <w:noWrap/>
          </w:tcPr>
          <w:p w:rsidR="00496C39" w:rsidRPr="00C23426" w:rsidRDefault="00496C39" w:rsidP="00496C3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1007" w:type="dxa"/>
            <w:noWrap/>
            <w:vAlign w:val="bottom"/>
          </w:tcPr>
          <w:p w:rsidR="00496C39" w:rsidRPr="00496C39" w:rsidRDefault="00496C39" w:rsidP="00496C3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 </w:t>
            </w:r>
          </w:p>
        </w:tc>
        <w:tc>
          <w:tcPr>
            <w:tcW w:w="1007" w:type="dxa"/>
            <w:noWrap/>
            <w:vAlign w:val="bottom"/>
          </w:tcPr>
          <w:p w:rsidR="00496C39" w:rsidRPr="00496C39" w:rsidRDefault="00496C39" w:rsidP="00496C3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1007" w:type="dxa"/>
            <w:noWrap/>
            <w:vAlign w:val="bottom"/>
          </w:tcPr>
          <w:p w:rsidR="00496C39" w:rsidRPr="00496C39" w:rsidRDefault="00496C39" w:rsidP="00496C3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1007" w:type="dxa"/>
            <w:noWrap/>
            <w:vAlign w:val="bottom"/>
          </w:tcPr>
          <w:p w:rsidR="00496C39" w:rsidRPr="00496C39" w:rsidRDefault="00496C39" w:rsidP="00496C3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r>
      <w:tr w:rsidR="00496C39" w:rsidRPr="00496C39" w:rsidTr="00135E60">
        <w:trPr>
          <w:trHeight w:val="63"/>
          <w:jc w:val="center"/>
        </w:trPr>
        <w:tc>
          <w:tcPr>
            <w:cnfStyle w:val="001000000000" w:firstRow="0" w:lastRow="0" w:firstColumn="1" w:lastColumn="0" w:oddVBand="0" w:evenVBand="0" w:oddHBand="0" w:evenHBand="0" w:firstRowFirstColumn="0" w:firstRowLastColumn="0" w:lastRowFirstColumn="0" w:lastRowLastColumn="0"/>
            <w:tcW w:w="3681" w:type="dxa"/>
            <w:noWrap/>
            <w:vAlign w:val="bottom"/>
            <w:hideMark/>
          </w:tcPr>
          <w:p w:rsidR="00496C39" w:rsidRPr="00496C39" w:rsidRDefault="00496C39" w:rsidP="00496C39">
            <w:pPr>
              <w:spacing w:after="0" w:line="240" w:lineRule="auto"/>
              <w:ind w:firstLineChars="200" w:firstLine="400"/>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 xml:space="preserve"> - nodarbinātības</w:t>
            </w:r>
          </w:p>
        </w:tc>
        <w:tc>
          <w:tcPr>
            <w:tcW w:w="840" w:type="dxa"/>
            <w:noWrap/>
            <w:vAlign w:val="center"/>
            <w:hideMark/>
          </w:tcPr>
          <w:p w:rsidR="00496C39" w:rsidRPr="00496C39" w:rsidRDefault="00496C39" w:rsidP="00496C3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803" w:type="dxa"/>
            <w:noWrap/>
          </w:tcPr>
          <w:p w:rsidR="00496C39" w:rsidRPr="00C23426" w:rsidRDefault="00496C39" w:rsidP="00496C3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23426">
              <w:rPr>
                <w:rFonts w:ascii="Times New Roman" w:hAnsi="Times New Roman" w:cs="Times New Roman"/>
                <w:color w:val="000000" w:themeColor="text1"/>
                <w:sz w:val="20"/>
                <w:szCs w:val="20"/>
              </w:rPr>
              <w:t>0,4</w:t>
            </w:r>
          </w:p>
        </w:tc>
        <w:tc>
          <w:tcPr>
            <w:tcW w:w="1007" w:type="dxa"/>
            <w:noWrap/>
            <w:vAlign w:val="bottom"/>
          </w:tcPr>
          <w:p w:rsidR="00496C39" w:rsidRPr="00496C39" w:rsidRDefault="00496C39" w:rsidP="00496C3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0,2</w:t>
            </w:r>
          </w:p>
        </w:tc>
        <w:tc>
          <w:tcPr>
            <w:tcW w:w="1007" w:type="dxa"/>
            <w:noWrap/>
            <w:vAlign w:val="bottom"/>
          </w:tcPr>
          <w:p w:rsidR="00496C39" w:rsidRPr="00496C39" w:rsidRDefault="00496C39" w:rsidP="00496C3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0,1</w:t>
            </w:r>
          </w:p>
        </w:tc>
        <w:tc>
          <w:tcPr>
            <w:tcW w:w="1007" w:type="dxa"/>
            <w:noWrap/>
            <w:vAlign w:val="bottom"/>
          </w:tcPr>
          <w:p w:rsidR="00496C39" w:rsidRPr="00496C39" w:rsidRDefault="00496C39" w:rsidP="00496C3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-0,1</w:t>
            </w:r>
          </w:p>
        </w:tc>
        <w:tc>
          <w:tcPr>
            <w:tcW w:w="1007" w:type="dxa"/>
            <w:noWrap/>
            <w:vAlign w:val="bottom"/>
          </w:tcPr>
          <w:p w:rsidR="00496C39" w:rsidRPr="00496C39" w:rsidRDefault="00496C39" w:rsidP="00496C3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-0,1</w:t>
            </w:r>
          </w:p>
        </w:tc>
      </w:tr>
      <w:tr w:rsidR="00496C39" w:rsidRPr="00496C39" w:rsidTr="00135E60">
        <w:trPr>
          <w:cnfStyle w:val="000000100000" w:firstRow="0" w:lastRow="0" w:firstColumn="0" w:lastColumn="0" w:oddVBand="0" w:evenVBand="0" w:oddHBand="1" w:evenHBand="0" w:firstRowFirstColumn="0" w:firstRowLastColumn="0" w:lastRowFirstColumn="0" w:lastRowLastColumn="0"/>
          <w:trHeight w:val="63"/>
          <w:jc w:val="center"/>
        </w:trPr>
        <w:tc>
          <w:tcPr>
            <w:cnfStyle w:val="001000000000" w:firstRow="0" w:lastRow="0" w:firstColumn="1" w:lastColumn="0" w:oddVBand="0" w:evenVBand="0" w:oddHBand="0" w:evenHBand="0" w:firstRowFirstColumn="0" w:firstRowLastColumn="0" w:lastRowFirstColumn="0" w:lastRowLastColumn="0"/>
            <w:tcW w:w="3681" w:type="dxa"/>
            <w:noWrap/>
            <w:vAlign w:val="bottom"/>
            <w:hideMark/>
          </w:tcPr>
          <w:p w:rsidR="00496C39" w:rsidRPr="00496C39" w:rsidRDefault="00496C39" w:rsidP="00496C39">
            <w:pPr>
              <w:spacing w:after="0" w:line="240" w:lineRule="auto"/>
              <w:ind w:firstLineChars="200" w:firstLine="400"/>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 xml:space="preserve"> - kapitāla</w:t>
            </w:r>
          </w:p>
        </w:tc>
        <w:tc>
          <w:tcPr>
            <w:tcW w:w="840" w:type="dxa"/>
            <w:noWrap/>
            <w:vAlign w:val="center"/>
            <w:hideMark/>
          </w:tcPr>
          <w:p w:rsidR="00496C39" w:rsidRPr="00496C39" w:rsidRDefault="00496C39" w:rsidP="00496C3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803" w:type="dxa"/>
            <w:noWrap/>
          </w:tcPr>
          <w:p w:rsidR="00496C39" w:rsidRPr="00C23426" w:rsidRDefault="00496C39" w:rsidP="00496C3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23426">
              <w:rPr>
                <w:rFonts w:ascii="Times New Roman" w:hAnsi="Times New Roman" w:cs="Times New Roman"/>
                <w:color w:val="000000" w:themeColor="text1"/>
                <w:sz w:val="20"/>
                <w:szCs w:val="20"/>
              </w:rPr>
              <w:t>1,2</w:t>
            </w:r>
          </w:p>
        </w:tc>
        <w:tc>
          <w:tcPr>
            <w:tcW w:w="1007" w:type="dxa"/>
            <w:noWrap/>
            <w:vAlign w:val="bottom"/>
          </w:tcPr>
          <w:p w:rsidR="00496C39" w:rsidRPr="00496C39" w:rsidRDefault="00496C39" w:rsidP="00496C3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1,3</w:t>
            </w:r>
          </w:p>
        </w:tc>
        <w:tc>
          <w:tcPr>
            <w:tcW w:w="1007" w:type="dxa"/>
            <w:noWrap/>
            <w:vAlign w:val="bottom"/>
          </w:tcPr>
          <w:p w:rsidR="00496C39" w:rsidRPr="00496C39" w:rsidRDefault="00496C39" w:rsidP="00496C3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1,3</w:t>
            </w:r>
          </w:p>
        </w:tc>
        <w:tc>
          <w:tcPr>
            <w:tcW w:w="1007" w:type="dxa"/>
            <w:noWrap/>
            <w:vAlign w:val="bottom"/>
          </w:tcPr>
          <w:p w:rsidR="00496C39" w:rsidRPr="00496C39" w:rsidRDefault="00496C39" w:rsidP="00496C3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1,3</w:t>
            </w:r>
          </w:p>
        </w:tc>
        <w:tc>
          <w:tcPr>
            <w:tcW w:w="1007" w:type="dxa"/>
            <w:noWrap/>
            <w:vAlign w:val="bottom"/>
          </w:tcPr>
          <w:p w:rsidR="00496C39" w:rsidRPr="00496C39" w:rsidRDefault="00496C39" w:rsidP="00496C3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1,3</w:t>
            </w:r>
          </w:p>
        </w:tc>
      </w:tr>
      <w:tr w:rsidR="00496C39" w:rsidRPr="00496C39" w:rsidTr="00135E60">
        <w:trPr>
          <w:trHeight w:val="63"/>
          <w:jc w:val="center"/>
        </w:trPr>
        <w:tc>
          <w:tcPr>
            <w:cnfStyle w:val="001000000000" w:firstRow="0" w:lastRow="0" w:firstColumn="1" w:lastColumn="0" w:oddVBand="0" w:evenVBand="0" w:oddHBand="0" w:evenHBand="0" w:firstRowFirstColumn="0" w:firstRowLastColumn="0" w:lastRowFirstColumn="0" w:lastRowLastColumn="0"/>
            <w:tcW w:w="3681" w:type="dxa"/>
            <w:noWrap/>
            <w:vAlign w:val="bottom"/>
            <w:hideMark/>
          </w:tcPr>
          <w:p w:rsidR="00496C39" w:rsidRPr="00496C39" w:rsidRDefault="00496C39" w:rsidP="00496C39">
            <w:pPr>
              <w:spacing w:after="0" w:line="240" w:lineRule="auto"/>
              <w:ind w:firstLineChars="200" w:firstLine="400"/>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 xml:space="preserve"> - kopējās ražošanas faktoru produktivitātes</w:t>
            </w:r>
          </w:p>
        </w:tc>
        <w:tc>
          <w:tcPr>
            <w:tcW w:w="840" w:type="dxa"/>
            <w:noWrap/>
            <w:vAlign w:val="center"/>
            <w:hideMark/>
          </w:tcPr>
          <w:p w:rsidR="00496C39" w:rsidRPr="00496C39" w:rsidRDefault="00496C39" w:rsidP="00496C3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803" w:type="dxa"/>
            <w:noWrap/>
          </w:tcPr>
          <w:p w:rsidR="00496C39" w:rsidRPr="00C23426" w:rsidRDefault="00496C39" w:rsidP="00496C3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23426">
              <w:rPr>
                <w:rFonts w:ascii="Times New Roman" w:hAnsi="Times New Roman" w:cs="Times New Roman"/>
                <w:color w:val="000000" w:themeColor="text1"/>
                <w:sz w:val="20"/>
                <w:szCs w:val="20"/>
              </w:rPr>
              <w:t>1,9</w:t>
            </w:r>
          </w:p>
        </w:tc>
        <w:tc>
          <w:tcPr>
            <w:tcW w:w="1007" w:type="dxa"/>
            <w:noWrap/>
            <w:vAlign w:val="bottom"/>
          </w:tcPr>
          <w:p w:rsidR="00496C39" w:rsidRPr="00496C39" w:rsidRDefault="00496C39" w:rsidP="00496C3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2,0</w:t>
            </w:r>
          </w:p>
        </w:tc>
        <w:tc>
          <w:tcPr>
            <w:tcW w:w="1007" w:type="dxa"/>
            <w:noWrap/>
            <w:vAlign w:val="bottom"/>
          </w:tcPr>
          <w:p w:rsidR="00496C39" w:rsidRPr="00496C39" w:rsidRDefault="00496C39" w:rsidP="00496C3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2,0</w:t>
            </w:r>
          </w:p>
        </w:tc>
        <w:tc>
          <w:tcPr>
            <w:tcW w:w="1007" w:type="dxa"/>
            <w:noWrap/>
            <w:vAlign w:val="bottom"/>
          </w:tcPr>
          <w:p w:rsidR="00496C39" w:rsidRPr="00496C39" w:rsidRDefault="00496C39" w:rsidP="00496C3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2,0</w:t>
            </w:r>
          </w:p>
        </w:tc>
        <w:tc>
          <w:tcPr>
            <w:tcW w:w="1007" w:type="dxa"/>
            <w:noWrap/>
            <w:vAlign w:val="bottom"/>
          </w:tcPr>
          <w:p w:rsidR="00496C39" w:rsidRPr="00496C39" w:rsidRDefault="00496C39" w:rsidP="00496C3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2,0</w:t>
            </w:r>
          </w:p>
        </w:tc>
      </w:tr>
      <w:tr w:rsidR="00496C39" w:rsidRPr="00496C39" w:rsidTr="00135E60">
        <w:trPr>
          <w:cnfStyle w:val="000000100000" w:firstRow="0" w:lastRow="0" w:firstColumn="0" w:lastColumn="0" w:oddVBand="0" w:evenVBand="0" w:oddHBand="1" w:evenHBand="0" w:firstRowFirstColumn="0" w:firstRowLastColumn="0" w:lastRowFirstColumn="0" w:lastRowLastColumn="0"/>
          <w:trHeight w:val="63"/>
          <w:jc w:val="center"/>
        </w:trPr>
        <w:tc>
          <w:tcPr>
            <w:cnfStyle w:val="001000000000" w:firstRow="0" w:lastRow="0" w:firstColumn="1" w:lastColumn="0" w:oddVBand="0" w:evenVBand="0" w:oddHBand="0" w:evenHBand="0" w:firstRowFirstColumn="0" w:firstRowLastColumn="0" w:lastRowFirstColumn="0" w:lastRowLastColumn="0"/>
            <w:tcW w:w="3681" w:type="dxa"/>
            <w:vAlign w:val="bottom"/>
            <w:hideMark/>
          </w:tcPr>
          <w:p w:rsidR="00496C39" w:rsidRPr="00496C39" w:rsidRDefault="00496C39" w:rsidP="00496C39">
            <w:pPr>
              <w:spacing w:after="0" w:line="240" w:lineRule="auto"/>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 xml:space="preserve">6. Starpība starp faktisko un potenciālo IKP </w:t>
            </w:r>
            <w:r w:rsidRPr="00496C39">
              <w:rPr>
                <w:rFonts w:ascii="Times New Roman" w:eastAsia="Times New Roman" w:hAnsi="Times New Roman" w:cs="Times New Roman"/>
                <w:color w:val="000000"/>
                <w:sz w:val="20"/>
                <w:szCs w:val="20"/>
              </w:rPr>
              <w:br/>
              <w:t>(% no potenciālā IKP)</w:t>
            </w:r>
          </w:p>
        </w:tc>
        <w:tc>
          <w:tcPr>
            <w:tcW w:w="840" w:type="dxa"/>
            <w:noWrap/>
            <w:vAlign w:val="center"/>
            <w:hideMark/>
          </w:tcPr>
          <w:p w:rsidR="00496C39" w:rsidRPr="00496C39" w:rsidRDefault="00496C39" w:rsidP="00496C3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803" w:type="dxa"/>
            <w:noWrap/>
          </w:tcPr>
          <w:p w:rsidR="00496C39" w:rsidRPr="00C23426" w:rsidRDefault="00496C39" w:rsidP="00496C3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23426">
              <w:rPr>
                <w:rFonts w:ascii="Times New Roman" w:hAnsi="Times New Roman" w:cs="Times New Roman"/>
                <w:color w:val="000000" w:themeColor="text1"/>
                <w:sz w:val="20"/>
                <w:szCs w:val="20"/>
              </w:rPr>
              <w:t>1,7</w:t>
            </w:r>
          </w:p>
        </w:tc>
        <w:tc>
          <w:tcPr>
            <w:tcW w:w="1007" w:type="dxa"/>
            <w:noWrap/>
            <w:vAlign w:val="bottom"/>
          </w:tcPr>
          <w:p w:rsidR="00496C39" w:rsidRPr="00496C39" w:rsidRDefault="00496C39" w:rsidP="00496C3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1,4</w:t>
            </w:r>
          </w:p>
        </w:tc>
        <w:tc>
          <w:tcPr>
            <w:tcW w:w="1007" w:type="dxa"/>
            <w:noWrap/>
            <w:vAlign w:val="bottom"/>
          </w:tcPr>
          <w:p w:rsidR="00496C39" w:rsidRPr="00496C39" w:rsidRDefault="00496C39" w:rsidP="00496C3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1,0</w:t>
            </w:r>
          </w:p>
        </w:tc>
        <w:tc>
          <w:tcPr>
            <w:tcW w:w="1007" w:type="dxa"/>
            <w:noWrap/>
            <w:vAlign w:val="bottom"/>
          </w:tcPr>
          <w:p w:rsidR="00496C39" w:rsidRPr="00496C39" w:rsidRDefault="00496C39" w:rsidP="00496C3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0,7</w:t>
            </w:r>
          </w:p>
        </w:tc>
        <w:tc>
          <w:tcPr>
            <w:tcW w:w="1007" w:type="dxa"/>
            <w:noWrap/>
            <w:vAlign w:val="bottom"/>
          </w:tcPr>
          <w:p w:rsidR="00496C39" w:rsidRPr="00496C39" w:rsidRDefault="00496C39" w:rsidP="00496C3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0,4</w:t>
            </w:r>
          </w:p>
        </w:tc>
      </w:tr>
      <w:tr w:rsidR="00496C39" w:rsidRPr="00496C39" w:rsidTr="00135E60">
        <w:trPr>
          <w:trHeight w:val="63"/>
          <w:jc w:val="center"/>
        </w:trPr>
        <w:tc>
          <w:tcPr>
            <w:cnfStyle w:val="001000000000" w:firstRow="0" w:lastRow="0" w:firstColumn="1" w:lastColumn="0" w:oddVBand="0" w:evenVBand="0" w:oddHBand="0" w:evenHBand="0" w:firstRowFirstColumn="0" w:firstRowLastColumn="0" w:lastRowFirstColumn="0" w:lastRowLastColumn="0"/>
            <w:tcW w:w="3681" w:type="dxa"/>
            <w:noWrap/>
            <w:vAlign w:val="bottom"/>
            <w:hideMark/>
          </w:tcPr>
          <w:p w:rsidR="00496C39" w:rsidRPr="00496C39" w:rsidRDefault="00496C39" w:rsidP="00496C39">
            <w:pPr>
              <w:spacing w:after="0" w:line="240" w:lineRule="auto"/>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7. Budžeta bilances cikliskā komponente</w:t>
            </w:r>
          </w:p>
        </w:tc>
        <w:tc>
          <w:tcPr>
            <w:tcW w:w="840" w:type="dxa"/>
            <w:noWrap/>
            <w:vAlign w:val="center"/>
            <w:hideMark/>
          </w:tcPr>
          <w:p w:rsidR="00496C39" w:rsidRPr="00496C39" w:rsidRDefault="00496C39" w:rsidP="00496C3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803" w:type="dxa"/>
            <w:noWrap/>
          </w:tcPr>
          <w:p w:rsidR="00496C39" w:rsidRPr="00C23426" w:rsidRDefault="00496C39" w:rsidP="00496C3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23426">
              <w:rPr>
                <w:rFonts w:ascii="Times New Roman" w:hAnsi="Times New Roman" w:cs="Times New Roman"/>
                <w:color w:val="000000" w:themeColor="text1"/>
                <w:sz w:val="20"/>
                <w:szCs w:val="20"/>
              </w:rPr>
              <w:t>0,7</w:t>
            </w:r>
          </w:p>
        </w:tc>
        <w:tc>
          <w:tcPr>
            <w:tcW w:w="1007" w:type="dxa"/>
            <w:noWrap/>
            <w:vAlign w:val="bottom"/>
          </w:tcPr>
          <w:p w:rsidR="00496C39" w:rsidRPr="00496C39" w:rsidRDefault="00496C39" w:rsidP="00496C3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0,5</w:t>
            </w:r>
          </w:p>
        </w:tc>
        <w:tc>
          <w:tcPr>
            <w:tcW w:w="1007" w:type="dxa"/>
            <w:noWrap/>
            <w:vAlign w:val="bottom"/>
          </w:tcPr>
          <w:p w:rsidR="00496C39" w:rsidRPr="00496C39" w:rsidRDefault="00496C39" w:rsidP="00496C3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0,4</w:t>
            </w:r>
          </w:p>
        </w:tc>
        <w:tc>
          <w:tcPr>
            <w:tcW w:w="1007" w:type="dxa"/>
            <w:noWrap/>
            <w:vAlign w:val="bottom"/>
          </w:tcPr>
          <w:p w:rsidR="00496C39" w:rsidRPr="00496C39" w:rsidRDefault="00496C39" w:rsidP="00496C3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0,3</w:t>
            </w:r>
          </w:p>
        </w:tc>
        <w:tc>
          <w:tcPr>
            <w:tcW w:w="1007" w:type="dxa"/>
            <w:noWrap/>
            <w:vAlign w:val="bottom"/>
          </w:tcPr>
          <w:p w:rsidR="00496C39" w:rsidRPr="00496C39" w:rsidRDefault="00496C39" w:rsidP="00496C3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0,2</w:t>
            </w:r>
          </w:p>
        </w:tc>
      </w:tr>
      <w:tr w:rsidR="00C23426" w:rsidRPr="00496C39" w:rsidTr="00135E60">
        <w:trPr>
          <w:cnfStyle w:val="000000100000" w:firstRow="0" w:lastRow="0" w:firstColumn="0" w:lastColumn="0" w:oddVBand="0" w:evenVBand="0" w:oddHBand="1" w:evenHBand="0" w:firstRowFirstColumn="0" w:firstRowLastColumn="0" w:lastRowFirstColumn="0" w:lastRowLastColumn="0"/>
          <w:trHeight w:val="63"/>
          <w:jc w:val="center"/>
        </w:trPr>
        <w:tc>
          <w:tcPr>
            <w:cnfStyle w:val="001000000000" w:firstRow="0" w:lastRow="0" w:firstColumn="1" w:lastColumn="0" w:oddVBand="0" w:evenVBand="0" w:oddHBand="0" w:evenHBand="0" w:firstRowFirstColumn="0" w:firstRowLastColumn="0" w:lastRowFirstColumn="0" w:lastRowLastColumn="0"/>
            <w:tcW w:w="3681" w:type="dxa"/>
            <w:noWrap/>
            <w:vAlign w:val="bottom"/>
            <w:hideMark/>
          </w:tcPr>
          <w:p w:rsidR="00C23426" w:rsidRPr="00496C39" w:rsidRDefault="00C23426" w:rsidP="00C23426">
            <w:pPr>
              <w:spacing w:after="0" w:line="240" w:lineRule="auto"/>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8. Cikliski koriģētā bilance (2–7)</w:t>
            </w:r>
          </w:p>
        </w:tc>
        <w:tc>
          <w:tcPr>
            <w:tcW w:w="840" w:type="dxa"/>
            <w:noWrap/>
            <w:vAlign w:val="center"/>
            <w:hideMark/>
          </w:tcPr>
          <w:p w:rsidR="00C23426" w:rsidRPr="00496C39" w:rsidRDefault="00C23426" w:rsidP="00C2342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803" w:type="dxa"/>
            <w:noWrap/>
            <w:vAlign w:val="bottom"/>
          </w:tcPr>
          <w:p w:rsidR="00C23426" w:rsidRPr="00C23426" w:rsidRDefault="00C23426" w:rsidP="00C2342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23426">
              <w:rPr>
                <w:rFonts w:ascii="Times New Roman" w:hAnsi="Times New Roman" w:cs="Times New Roman"/>
                <w:color w:val="000000" w:themeColor="text1"/>
                <w:sz w:val="20"/>
                <w:szCs w:val="20"/>
              </w:rPr>
              <w:t>-1,7</w:t>
            </w:r>
          </w:p>
        </w:tc>
        <w:tc>
          <w:tcPr>
            <w:tcW w:w="1007" w:type="dxa"/>
            <w:noWrap/>
            <w:vAlign w:val="bottom"/>
          </w:tcPr>
          <w:p w:rsidR="00C23426" w:rsidRPr="00496C39" w:rsidRDefault="00C23426" w:rsidP="00C2342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-1,1</w:t>
            </w:r>
          </w:p>
        </w:tc>
        <w:tc>
          <w:tcPr>
            <w:tcW w:w="1007" w:type="dxa"/>
            <w:noWrap/>
            <w:vAlign w:val="bottom"/>
          </w:tcPr>
          <w:p w:rsidR="00C23426" w:rsidRPr="00496C39" w:rsidRDefault="00C23426" w:rsidP="00C2342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-0,8</w:t>
            </w:r>
          </w:p>
        </w:tc>
        <w:tc>
          <w:tcPr>
            <w:tcW w:w="1007" w:type="dxa"/>
            <w:noWrap/>
            <w:vAlign w:val="bottom"/>
          </w:tcPr>
          <w:p w:rsidR="00C23426" w:rsidRPr="00496C39" w:rsidRDefault="00C23426" w:rsidP="00C2342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-0,5</w:t>
            </w:r>
          </w:p>
        </w:tc>
        <w:tc>
          <w:tcPr>
            <w:tcW w:w="1007" w:type="dxa"/>
            <w:noWrap/>
            <w:vAlign w:val="bottom"/>
          </w:tcPr>
          <w:p w:rsidR="00C23426" w:rsidRPr="00496C39" w:rsidRDefault="00C23426" w:rsidP="00C2342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-0,5</w:t>
            </w:r>
          </w:p>
        </w:tc>
      </w:tr>
      <w:tr w:rsidR="00C23426" w:rsidRPr="00496C39" w:rsidTr="00135E60">
        <w:trPr>
          <w:trHeight w:val="63"/>
          <w:jc w:val="center"/>
        </w:trPr>
        <w:tc>
          <w:tcPr>
            <w:cnfStyle w:val="001000000000" w:firstRow="0" w:lastRow="0" w:firstColumn="1" w:lastColumn="0" w:oddVBand="0" w:evenVBand="0" w:oddHBand="0" w:evenHBand="0" w:firstRowFirstColumn="0" w:firstRowLastColumn="0" w:lastRowFirstColumn="0" w:lastRowLastColumn="0"/>
            <w:tcW w:w="3681" w:type="dxa"/>
            <w:noWrap/>
            <w:vAlign w:val="bottom"/>
            <w:hideMark/>
          </w:tcPr>
          <w:p w:rsidR="00C23426" w:rsidRPr="00496C39" w:rsidRDefault="00C23426" w:rsidP="00C23426">
            <w:pPr>
              <w:spacing w:after="0" w:line="240" w:lineRule="auto"/>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9. Cikliski koriģētā primārā bilance (8+3)</w:t>
            </w:r>
          </w:p>
        </w:tc>
        <w:tc>
          <w:tcPr>
            <w:tcW w:w="840" w:type="dxa"/>
            <w:noWrap/>
            <w:vAlign w:val="center"/>
            <w:hideMark/>
          </w:tcPr>
          <w:p w:rsidR="00C23426" w:rsidRPr="00496C39" w:rsidRDefault="00C23426" w:rsidP="00C2342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803" w:type="dxa"/>
            <w:noWrap/>
            <w:vAlign w:val="bottom"/>
          </w:tcPr>
          <w:p w:rsidR="00C23426" w:rsidRPr="00496C39" w:rsidRDefault="00C23426" w:rsidP="00C2342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112DB6">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1,0</w:t>
            </w:r>
          </w:p>
        </w:tc>
        <w:tc>
          <w:tcPr>
            <w:tcW w:w="1007" w:type="dxa"/>
            <w:noWrap/>
            <w:vAlign w:val="bottom"/>
          </w:tcPr>
          <w:p w:rsidR="00C23426" w:rsidRPr="00496C39" w:rsidRDefault="00C23426" w:rsidP="00C2342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-0,3</w:t>
            </w:r>
          </w:p>
        </w:tc>
        <w:tc>
          <w:tcPr>
            <w:tcW w:w="1007" w:type="dxa"/>
            <w:noWrap/>
            <w:vAlign w:val="bottom"/>
          </w:tcPr>
          <w:p w:rsidR="00C23426" w:rsidRPr="00496C39" w:rsidRDefault="00C23426" w:rsidP="00C2342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0,0</w:t>
            </w:r>
          </w:p>
        </w:tc>
        <w:tc>
          <w:tcPr>
            <w:tcW w:w="1007" w:type="dxa"/>
            <w:noWrap/>
            <w:vAlign w:val="bottom"/>
          </w:tcPr>
          <w:p w:rsidR="00C23426" w:rsidRPr="00496C39" w:rsidRDefault="00C23426" w:rsidP="00C2342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0,3</w:t>
            </w:r>
          </w:p>
        </w:tc>
        <w:tc>
          <w:tcPr>
            <w:tcW w:w="1007" w:type="dxa"/>
            <w:noWrap/>
            <w:vAlign w:val="bottom"/>
          </w:tcPr>
          <w:p w:rsidR="00C23426" w:rsidRPr="00496C39" w:rsidRDefault="00C23426" w:rsidP="00C2342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0,3</w:t>
            </w:r>
          </w:p>
        </w:tc>
      </w:tr>
      <w:tr w:rsidR="00C23426" w:rsidRPr="00496C39" w:rsidTr="00135E60">
        <w:trPr>
          <w:cnfStyle w:val="000000100000" w:firstRow="0" w:lastRow="0" w:firstColumn="0" w:lastColumn="0" w:oddVBand="0" w:evenVBand="0" w:oddHBand="1" w:evenHBand="0" w:firstRowFirstColumn="0" w:firstRowLastColumn="0" w:lastRowFirstColumn="0" w:lastRowLastColumn="0"/>
          <w:trHeight w:val="63"/>
          <w:jc w:val="center"/>
        </w:trPr>
        <w:tc>
          <w:tcPr>
            <w:cnfStyle w:val="001000000000" w:firstRow="0" w:lastRow="0" w:firstColumn="1" w:lastColumn="0" w:oddVBand="0" w:evenVBand="0" w:oddHBand="0" w:evenHBand="0" w:firstRowFirstColumn="0" w:firstRowLastColumn="0" w:lastRowFirstColumn="0" w:lastRowLastColumn="0"/>
            <w:tcW w:w="3681" w:type="dxa"/>
            <w:noWrap/>
            <w:vAlign w:val="bottom"/>
            <w:hideMark/>
          </w:tcPr>
          <w:p w:rsidR="00C23426" w:rsidRPr="00496C39" w:rsidRDefault="00C23426" w:rsidP="00C23426">
            <w:pPr>
              <w:spacing w:after="0" w:line="240" w:lineRule="auto"/>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10. Strukturālā bilance (8–4)</w:t>
            </w:r>
            <w:r w:rsidRPr="00496C39">
              <w:rPr>
                <w:rFonts w:ascii="Garamond" w:eastAsia="Times New Roman" w:hAnsi="Garamond" w:cs="Times New Roman"/>
                <w:color w:val="000000"/>
                <w:sz w:val="20"/>
                <w:szCs w:val="20"/>
                <w:vertAlign w:val="superscript"/>
              </w:rPr>
              <w:footnoteReference w:id="11"/>
            </w:r>
          </w:p>
        </w:tc>
        <w:tc>
          <w:tcPr>
            <w:tcW w:w="840" w:type="dxa"/>
            <w:noWrap/>
            <w:vAlign w:val="center"/>
            <w:hideMark/>
          </w:tcPr>
          <w:p w:rsidR="00C23426" w:rsidRPr="00496C39" w:rsidRDefault="00C23426" w:rsidP="00C2342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803" w:type="dxa"/>
            <w:noWrap/>
            <w:vAlign w:val="bottom"/>
          </w:tcPr>
          <w:p w:rsidR="00C23426" w:rsidRPr="00496C39" w:rsidRDefault="00C23426" w:rsidP="00C2342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12DB6">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rPr>
              <w:t>7</w:t>
            </w:r>
          </w:p>
        </w:tc>
        <w:tc>
          <w:tcPr>
            <w:tcW w:w="1007" w:type="dxa"/>
            <w:noWrap/>
            <w:vAlign w:val="bottom"/>
          </w:tcPr>
          <w:p w:rsidR="00C23426" w:rsidRPr="00496C39" w:rsidRDefault="00C23426" w:rsidP="00C2342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-1,1</w:t>
            </w:r>
          </w:p>
        </w:tc>
        <w:tc>
          <w:tcPr>
            <w:tcW w:w="1007" w:type="dxa"/>
            <w:noWrap/>
            <w:vAlign w:val="bottom"/>
          </w:tcPr>
          <w:p w:rsidR="00C23426" w:rsidRPr="00496C39" w:rsidRDefault="00C23426" w:rsidP="00C2342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-0,8</w:t>
            </w:r>
          </w:p>
        </w:tc>
        <w:tc>
          <w:tcPr>
            <w:tcW w:w="1007" w:type="dxa"/>
            <w:noWrap/>
            <w:vAlign w:val="bottom"/>
          </w:tcPr>
          <w:p w:rsidR="00C23426" w:rsidRPr="00496C39" w:rsidRDefault="00C23426" w:rsidP="00C2342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-0,5</w:t>
            </w:r>
          </w:p>
        </w:tc>
        <w:tc>
          <w:tcPr>
            <w:tcW w:w="1007" w:type="dxa"/>
            <w:noWrap/>
            <w:vAlign w:val="bottom"/>
          </w:tcPr>
          <w:p w:rsidR="00C23426" w:rsidRPr="00496C39" w:rsidRDefault="00C23426" w:rsidP="00C2342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-0,5</w:t>
            </w:r>
          </w:p>
        </w:tc>
      </w:tr>
    </w:tbl>
    <w:p w:rsidR="00496C39" w:rsidRDefault="00496C39" w:rsidP="0053105F">
      <w:pPr>
        <w:pStyle w:val="T"/>
        <w:spacing w:after="0"/>
        <w:ind w:left="0"/>
        <w:jc w:val="both"/>
        <w:rPr>
          <w:rFonts w:ascii="Times New Roman" w:hAnsi="Times New Roman"/>
          <w:color w:val="000000"/>
          <w:szCs w:val="24"/>
        </w:rPr>
      </w:pPr>
    </w:p>
    <w:p w:rsidR="00DA2B04" w:rsidRDefault="00DA2B04" w:rsidP="0053105F">
      <w:pPr>
        <w:pStyle w:val="T"/>
        <w:spacing w:after="0"/>
        <w:ind w:left="0"/>
        <w:jc w:val="both"/>
        <w:rPr>
          <w:rFonts w:ascii="Times New Roman" w:hAnsi="Times New Roman"/>
          <w:color w:val="000000"/>
          <w:szCs w:val="24"/>
        </w:rPr>
      </w:pPr>
    </w:p>
    <w:p w:rsidR="0053105F" w:rsidRDefault="0053105F" w:rsidP="0053105F">
      <w:pPr>
        <w:pStyle w:val="T"/>
        <w:spacing w:after="0"/>
        <w:ind w:left="0"/>
        <w:rPr>
          <w:rFonts w:ascii="Times New Roman" w:hAnsi="Times New Roman"/>
          <w:color w:val="000000"/>
          <w:szCs w:val="24"/>
        </w:rPr>
      </w:pPr>
      <w:r w:rsidRPr="00077549">
        <w:rPr>
          <w:rFonts w:ascii="Times New Roman" w:hAnsi="Times New Roman"/>
          <w:color w:val="000000"/>
          <w:szCs w:val="24"/>
        </w:rPr>
        <w:t>6.tabula. Salīdzinājums ar Stabilitātes programmas 2018.</w:t>
      </w:r>
      <w:r w:rsidRPr="00077549">
        <w:rPr>
          <w:rFonts w:eastAsia="Calibri"/>
        </w:rPr>
        <w:t xml:space="preserve"> </w:t>
      </w:r>
      <w:r w:rsidRPr="00077549">
        <w:rPr>
          <w:rFonts w:ascii="Times New Roman" w:hAnsi="Times New Roman"/>
          <w:color w:val="000000"/>
          <w:szCs w:val="24"/>
        </w:rPr>
        <w:t>– 2021.gadam prognozēm</w:t>
      </w:r>
    </w:p>
    <w:tbl>
      <w:tblPr>
        <w:tblW w:w="9335" w:type="dxa"/>
        <w:jc w:val="center"/>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4A0" w:firstRow="1" w:lastRow="0" w:firstColumn="1" w:lastColumn="0" w:noHBand="0" w:noVBand="1"/>
      </w:tblPr>
      <w:tblGrid>
        <w:gridCol w:w="4389"/>
        <w:gridCol w:w="694"/>
        <w:gridCol w:w="850"/>
        <w:gridCol w:w="851"/>
        <w:gridCol w:w="850"/>
        <w:gridCol w:w="851"/>
        <w:gridCol w:w="850"/>
      </w:tblGrid>
      <w:tr w:rsidR="00496C39" w:rsidRPr="00496C39" w:rsidTr="00496C39">
        <w:trPr>
          <w:jc w:val="center"/>
        </w:trPr>
        <w:tc>
          <w:tcPr>
            <w:tcW w:w="4389" w:type="dxa"/>
            <w:shd w:val="clear" w:color="auto" w:fill="auto"/>
          </w:tcPr>
          <w:p w:rsidR="00496C39" w:rsidRPr="00496C39" w:rsidRDefault="00496C39" w:rsidP="00496C39">
            <w:pPr>
              <w:spacing w:after="0" w:line="240" w:lineRule="auto"/>
              <w:rPr>
                <w:rFonts w:ascii="Times New Roman" w:eastAsia="Times New Roman" w:hAnsi="Times New Roman" w:cs="Times New Roman"/>
                <w:b/>
                <w:bCs/>
                <w:sz w:val="20"/>
                <w:szCs w:val="20"/>
              </w:rPr>
            </w:pPr>
          </w:p>
        </w:tc>
        <w:tc>
          <w:tcPr>
            <w:tcW w:w="694" w:type="dxa"/>
            <w:shd w:val="clear" w:color="auto" w:fill="auto"/>
            <w:vAlign w:val="center"/>
          </w:tcPr>
          <w:p w:rsidR="00496C39" w:rsidRPr="00496C39" w:rsidRDefault="00496C39" w:rsidP="00496C39">
            <w:pPr>
              <w:spacing w:after="0" w:line="240" w:lineRule="auto"/>
              <w:jc w:val="center"/>
              <w:rPr>
                <w:rFonts w:ascii="Times New Roman" w:eastAsia="Times New Roman" w:hAnsi="Times New Roman" w:cs="Times New Roman"/>
                <w:b/>
                <w:bCs/>
                <w:sz w:val="20"/>
                <w:szCs w:val="20"/>
              </w:rPr>
            </w:pPr>
            <w:r w:rsidRPr="00496C39">
              <w:rPr>
                <w:rFonts w:ascii="Times New Roman" w:eastAsia="Times New Roman" w:hAnsi="Times New Roman" w:cs="Times New Roman"/>
                <w:b/>
                <w:bCs/>
                <w:sz w:val="20"/>
                <w:szCs w:val="20"/>
              </w:rPr>
              <w:t>EKS kods</w:t>
            </w:r>
          </w:p>
        </w:tc>
        <w:tc>
          <w:tcPr>
            <w:tcW w:w="850" w:type="dxa"/>
            <w:shd w:val="clear" w:color="auto" w:fill="auto"/>
            <w:vAlign w:val="center"/>
          </w:tcPr>
          <w:p w:rsidR="00496C39" w:rsidRPr="00496C39" w:rsidRDefault="00496C39" w:rsidP="00496C39">
            <w:pPr>
              <w:spacing w:after="0" w:line="240" w:lineRule="auto"/>
              <w:jc w:val="center"/>
              <w:rPr>
                <w:rFonts w:ascii="Times New Roman" w:eastAsia="Times New Roman" w:hAnsi="Times New Roman" w:cs="Times New Roman"/>
                <w:b/>
                <w:bCs/>
                <w:sz w:val="20"/>
                <w:szCs w:val="20"/>
              </w:rPr>
            </w:pPr>
            <w:r w:rsidRPr="00496C39">
              <w:rPr>
                <w:rFonts w:ascii="Times New Roman" w:eastAsia="Times New Roman" w:hAnsi="Times New Roman" w:cs="Times New Roman"/>
                <w:b/>
                <w:bCs/>
                <w:sz w:val="20"/>
                <w:szCs w:val="20"/>
              </w:rPr>
              <w:t>2018</w:t>
            </w:r>
          </w:p>
        </w:tc>
        <w:tc>
          <w:tcPr>
            <w:tcW w:w="851" w:type="dxa"/>
            <w:shd w:val="clear" w:color="auto" w:fill="auto"/>
            <w:vAlign w:val="center"/>
          </w:tcPr>
          <w:p w:rsidR="00496C39" w:rsidRPr="00496C39" w:rsidRDefault="00496C39" w:rsidP="00496C39">
            <w:pPr>
              <w:spacing w:after="0" w:line="240" w:lineRule="auto"/>
              <w:jc w:val="center"/>
              <w:rPr>
                <w:rFonts w:ascii="Times New Roman" w:eastAsia="Times New Roman" w:hAnsi="Times New Roman" w:cs="Times New Roman"/>
                <w:b/>
                <w:bCs/>
                <w:sz w:val="20"/>
                <w:szCs w:val="20"/>
              </w:rPr>
            </w:pPr>
            <w:r w:rsidRPr="00496C39">
              <w:rPr>
                <w:rFonts w:ascii="Times New Roman" w:eastAsia="Times New Roman" w:hAnsi="Times New Roman" w:cs="Times New Roman"/>
                <w:b/>
                <w:bCs/>
                <w:sz w:val="20"/>
                <w:szCs w:val="20"/>
              </w:rPr>
              <w:t>2019</w:t>
            </w:r>
          </w:p>
        </w:tc>
        <w:tc>
          <w:tcPr>
            <w:tcW w:w="850" w:type="dxa"/>
            <w:shd w:val="clear" w:color="auto" w:fill="auto"/>
            <w:vAlign w:val="center"/>
          </w:tcPr>
          <w:p w:rsidR="00496C39" w:rsidRPr="00496C39" w:rsidRDefault="00496C39" w:rsidP="00496C39">
            <w:pPr>
              <w:spacing w:after="0" w:line="240" w:lineRule="auto"/>
              <w:jc w:val="center"/>
              <w:rPr>
                <w:rFonts w:ascii="Times New Roman" w:eastAsia="Times New Roman" w:hAnsi="Times New Roman" w:cs="Times New Roman"/>
                <w:b/>
                <w:bCs/>
                <w:sz w:val="20"/>
                <w:szCs w:val="20"/>
              </w:rPr>
            </w:pPr>
            <w:r w:rsidRPr="00496C39">
              <w:rPr>
                <w:rFonts w:ascii="Times New Roman" w:eastAsia="Times New Roman" w:hAnsi="Times New Roman" w:cs="Times New Roman"/>
                <w:b/>
                <w:bCs/>
                <w:sz w:val="20"/>
                <w:szCs w:val="20"/>
              </w:rPr>
              <w:t>2020</w:t>
            </w:r>
          </w:p>
        </w:tc>
        <w:tc>
          <w:tcPr>
            <w:tcW w:w="851" w:type="dxa"/>
            <w:shd w:val="clear" w:color="auto" w:fill="auto"/>
            <w:vAlign w:val="center"/>
          </w:tcPr>
          <w:p w:rsidR="00496C39" w:rsidRPr="00496C39" w:rsidRDefault="00496C39" w:rsidP="00496C39">
            <w:pPr>
              <w:spacing w:after="0" w:line="240" w:lineRule="auto"/>
              <w:jc w:val="center"/>
              <w:rPr>
                <w:rFonts w:ascii="Times New Roman" w:eastAsia="Times New Roman" w:hAnsi="Times New Roman" w:cs="Times New Roman"/>
                <w:b/>
                <w:bCs/>
                <w:sz w:val="20"/>
                <w:szCs w:val="20"/>
              </w:rPr>
            </w:pPr>
            <w:r w:rsidRPr="00496C39">
              <w:rPr>
                <w:rFonts w:ascii="Times New Roman" w:eastAsia="Times New Roman" w:hAnsi="Times New Roman" w:cs="Times New Roman"/>
                <w:b/>
                <w:bCs/>
                <w:sz w:val="20"/>
                <w:szCs w:val="20"/>
              </w:rPr>
              <w:t>2021</w:t>
            </w:r>
          </w:p>
        </w:tc>
        <w:tc>
          <w:tcPr>
            <w:tcW w:w="850" w:type="dxa"/>
            <w:shd w:val="clear" w:color="auto" w:fill="auto"/>
            <w:vAlign w:val="center"/>
          </w:tcPr>
          <w:p w:rsidR="00496C39" w:rsidRPr="00496C39" w:rsidRDefault="00496C39" w:rsidP="00496C39">
            <w:pPr>
              <w:spacing w:after="0" w:line="240" w:lineRule="auto"/>
              <w:jc w:val="center"/>
              <w:rPr>
                <w:rFonts w:ascii="Times New Roman" w:eastAsia="Times New Roman" w:hAnsi="Times New Roman" w:cs="Times New Roman"/>
                <w:b/>
                <w:bCs/>
                <w:sz w:val="20"/>
                <w:szCs w:val="20"/>
              </w:rPr>
            </w:pPr>
            <w:r w:rsidRPr="00496C39">
              <w:rPr>
                <w:rFonts w:ascii="Times New Roman" w:eastAsia="Times New Roman" w:hAnsi="Times New Roman" w:cs="Times New Roman"/>
                <w:b/>
                <w:bCs/>
                <w:sz w:val="20"/>
                <w:szCs w:val="20"/>
              </w:rPr>
              <w:t>2022</w:t>
            </w:r>
          </w:p>
        </w:tc>
      </w:tr>
      <w:tr w:rsidR="00496C39" w:rsidRPr="00496C39" w:rsidTr="00496C39">
        <w:trPr>
          <w:jc w:val="center"/>
        </w:trPr>
        <w:tc>
          <w:tcPr>
            <w:tcW w:w="4389" w:type="dxa"/>
            <w:shd w:val="clear" w:color="auto" w:fill="DEEAF6"/>
          </w:tcPr>
          <w:p w:rsidR="00496C39" w:rsidRPr="00496C39" w:rsidRDefault="00496C39" w:rsidP="00496C39">
            <w:pPr>
              <w:spacing w:after="0" w:line="240" w:lineRule="auto"/>
              <w:rPr>
                <w:rFonts w:ascii="Times New Roman" w:eastAsia="Times New Roman" w:hAnsi="Times New Roman" w:cs="Times New Roman"/>
                <w:b/>
                <w:bCs/>
                <w:sz w:val="20"/>
                <w:szCs w:val="20"/>
                <w:lang w:eastAsia="lv-LV"/>
              </w:rPr>
            </w:pPr>
            <w:r w:rsidRPr="00496C39">
              <w:rPr>
                <w:rFonts w:ascii="Times New Roman" w:eastAsia="Times New Roman" w:hAnsi="Times New Roman" w:cs="Times New Roman"/>
                <w:b/>
                <w:bCs/>
                <w:sz w:val="20"/>
                <w:szCs w:val="20"/>
                <w:lang w:eastAsia="lv-LV"/>
              </w:rPr>
              <w:t>IKP pieaugums (%)</w:t>
            </w:r>
          </w:p>
        </w:tc>
        <w:tc>
          <w:tcPr>
            <w:tcW w:w="694" w:type="dxa"/>
            <w:shd w:val="clear" w:color="auto" w:fill="DEEAF6"/>
            <w:vAlign w:val="center"/>
          </w:tcPr>
          <w:p w:rsidR="00496C39" w:rsidRPr="00496C39" w:rsidRDefault="00496C39" w:rsidP="00496C39">
            <w:pPr>
              <w:spacing w:after="0" w:line="240" w:lineRule="auto"/>
              <w:jc w:val="center"/>
              <w:rPr>
                <w:rFonts w:ascii="Times New Roman" w:eastAsia="Times New Roman" w:hAnsi="Times New Roman" w:cs="Times New Roman"/>
                <w:b/>
                <w:bCs/>
                <w:sz w:val="20"/>
                <w:szCs w:val="20"/>
                <w:lang w:eastAsia="lv-LV"/>
              </w:rPr>
            </w:pPr>
            <w:r w:rsidRPr="00496C39">
              <w:rPr>
                <w:rFonts w:ascii="Times New Roman" w:eastAsia="Times New Roman" w:hAnsi="Times New Roman" w:cs="Times New Roman"/>
                <w:b/>
                <w:bCs/>
                <w:sz w:val="20"/>
                <w:szCs w:val="20"/>
                <w:lang w:eastAsia="lv-LV"/>
              </w:rPr>
              <w:t>B1g</w:t>
            </w:r>
          </w:p>
        </w:tc>
        <w:tc>
          <w:tcPr>
            <w:tcW w:w="850" w:type="dxa"/>
            <w:shd w:val="clear" w:color="auto" w:fill="DEEAF6"/>
            <w:vAlign w:val="center"/>
          </w:tcPr>
          <w:p w:rsidR="00496C39" w:rsidRPr="00496C39" w:rsidRDefault="00496C39" w:rsidP="00496C39">
            <w:pPr>
              <w:spacing w:after="0" w:line="240" w:lineRule="auto"/>
              <w:jc w:val="center"/>
              <w:rPr>
                <w:rFonts w:ascii="Times New Roman" w:eastAsia="Times New Roman" w:hAnsi="Times New Roman" w:cs="Times New Roman"/>
                <w:b/>
                <w:bCs/>
                <w:sz w:val="20"/>
                <w:szCs w:val="20"/>
                <w:lang w:eastAsia="lv-LV"/>
              </w:rPr>
            </w:pPr>
          </w:p>
        </w:tc>
        <w:tc>
          <w:tcPr>
            <w:tcW w:w="851" w:type="dxa"/>
            <w:shd w:val="clear" w:color="auto" w:fill="DEEAF6"/>
            <w:vAlign w:val="center"/>
          </w:tcPr>
          <w:p w:rsidR="00496C39" w:rsidRPr="00496C39" w:rsidRDefault="00496C39" w:rsidP="00496C39">
            <w:pPr>
              <w:spacing w:after="0" w:line="240" w:lineRule="auto"/>
              <w:jc w:val="center"/>
              <w:rPr>
                <w:rFonts w:ascii="Times New Roman" w:eastAsia="Times New Roman" w:hAnsi="Times New Roman" w:cs="Times New Roman"/>
                <w:b/>
                <w:bCs/>
                <w:sz w:val="20"/>
                <w:szCs w:val="20"/>
                <w:lang w:eastAsia="lv-LV"/>
              </w:rPr>
            </w:pPr>
          </w:p>
        </w:tc>
        <w:tc>
          <w:tcPr>
            <w:tcW w:w="850" w:type="dxa"/>
            <w:shd w:val="clear" w:color="auto" w:fill="DEEAF6"/>
            <w:vAlign w:val="center"/>
          </w:tcPr>
          <w:p w:rsidR="00496C39" w:rsidRPr="00496C39" w:rsidRDefault="00496C39" w:rsidP="00496C39">
            <w:pPr>
              <w:spacing w:after="0" w:line="240" w:lineRule="auto"/>
              <w:jc w:val="center"/>
              <w:rPr>
                <w:rFonts w:ascii="Times New Roman" w:eastAsia="Times New Roman" w:hAnsi="Times New Roman" w:cs="Times New Roman"/>
                <w:b/>
                <w:bCs/>
                <w:sz w:val="20"/>
                <w:szCs w:val="20"/>
                <w:lang w:eastAsia="lv-LV"/>
              </w:rPr>
            </w:pPr>
          </w:p>
        </w:tc>
        <w:tc>
          <w:tcPr>
            <w:tcW w:w="851" w:type="dxa"/>
            <w:shd w:val="clear" w:color="auto" w:fill="DEEAF6"/>
            <w:vAlign w:val="center"/>
          </w:tcPr>
          <w:p w:rsidR="00496C39" w:rsidRPr="00496C39" w:rsidRDefault="00496C39" w:rsidP="00496C39">
            <w:pPr>
              <w:spacing w:after="0" w:line="240" w:lineRule="auto"/>
              <w:jc w:val="center"/>
              <w:rPr>
                <w:rFonts w:ascii="Times New Roman" w:eastAsia="Times New Roman" w:hAnsi="Times New Roman" w:cs="Times New Roman"/>
                <w:b/>
                <w:bCs/>
                <w:sz w:val="20"/>
                <w:szCs w:val="20"/>
                <w:lang w:eastAsia="lv-LV"/>
              </w:rPr>
            </w:pPr>
          </w:p>
        </w:tc>
        <w:tc>
          <w:tcPr>
            <w:tcW w:w="850" w:type="dxa"/>
            <w:shd w:val="clear" w:color="auto" w:fill="DEEAF6"/>
            <w:vAlign w:val="center"/>
          </w:tcPr>
          <w:p w:rsidR="00496C39" w:rsidRPr="00496C39" w:rsidRDefault="00496C39" w:rsidP="00496C39">
            <w:pPr>
              <w:spacing w:after="0" w:line="240" w:lineRule="auto"/>
              <w:jc w:val="center"/>
              <w:rPr>
                <w:rFonts w:ascii="Times New Roman" w:eastAsia="Times New Roman" w:hAnsi="Times New Roman" w:cs="Times New Roman"/>
                <w:b/>
                <w:bCs/>
                <w:sz w:val="20"/>
                <w:szCs w:val="20"/>
                <w:lang w:eastAsia="lv-LV"/>
              </w:rPr>
            </w:pPr>
          </w:p>
        </w:tc>
      </w:tr>
      <w:tr w:rsidR="00496C39" w:rsidRPr="00496C39" w:rsidTr="00496C39">
        <w:trPr>
          <w:jc w:val="center"/>
        </w:trPr>
        <w:tc>
          <w:tcPr>
            <w:tcW w:w="4389" w:type="dxa"/>
            <w:shd w:val="clear" w:color="auto" w:fill="auto"/>
          </w:tcPr>
          <w:p w:rsidR="00496C39" w:rsidRPr="00496C39" w:rsidRDefault="00496C39" w:rsidP="00496C39">
            <w:pPr>
              <w:spacing w:after="0" w:line="240" w:lineRule="auto"/>
              <w:jc w:val="right"/>
              <w:rPr>
                <w:rFonts w:ascii="Times New Roman" w:eastAsia="Times New Roman" w:hAnsi="Times New Roman" w:cs="Times New Roman"/>
                <w:bCs/>
                <w:sz w:val="20"/>
                <w:szCs w:val="20"/>
              </w:rPr>
            </w:pPr>
            <w:r w:rsidRPr="00496C39">
              <w:rPr>
                <w:rFonts w:ascii="Times New Roman" w:eastAsia="Times New Roman" w:hAnsi="Times New Roman" w:cs="Times New Roman"/>
                <w:bCs/>
                <w:sz w:val="20"/>
                <w:szCs w:val="20"/>
              </w:rPr>
              <w:t>2018.gads</w:t>
            </w:r>
          </w:p>
        </w:tc>
        <w:tc>
          <w:tcPr>
            <w:tcW w:w="694" w:type="dxa"/>
            <w:shd w:val="clear" w:color="auto" w:fill="auto"/>
            <w:vAlign w:val="center"/>
          </w:tcPr>
          <w:p w:rsidR="00496C39" w:rsidRPr="00496C39" w:rsidRDefault="00496C39" w:rsidP="00496C39">
            <w:pPr>
              <w:spacing w:after="0" w:line="240" w:lineRule="auto"/>
              <w:jc w:val="center"/>
              <w:rPr>
                <w:rFonts w:ascii="Times New Roman" w:eastAsia="Times New Roman" w:hAnsi="Times New Roman" w:cs="Times New Roman"/>
                <w:sz w:val="20"/>
                <w:szCs w:val="20"/>
              </w:rPr>
            </w:pPr>
          </w:p>
        </w:tc>
        <w:tc>
          <w:tcPr>
            <w:tcW w:w="850" w:type="dxa"/>
            <w:shd w:val="clear" w:color="auto" w:fill="auto"/>
            <w:vAlign w:val="bottom"/>
          </w:tcPr>
          <w:p w:rsidR="00496C39" w:rsidRPr="00496C39" w:rsidRDefault="00496C39" w:rsidP="00496C39">
            <w:pPr>
              <w:spacing w:after="0" w:line="240" w:lineRule="auto"/>
              <w:jc w:val="center"/>
              <w:rPr>
                <w:rFonts w:ascii="Times New Roman" w:eastAsia="Calibri" w:hAnsi="Times New Roman" w:cs="Times New Roman"/>
                <w:sz w:val="20"/>
                <w:szCs w:val="20"/>
              </w:rPr>
            </w:pPr>
            <w:r w:rsidRPr="00496C39">
              <w:rPr>
                <w:rFonts w:ascii="Times New Roman" w:eastAsia="Calibri" w:hAnsi="Times New Roman" w:cs="Times New Roman"/>
                <w:sz w:val="20"/>
                <w:szCs w:val="20"/>
              </w:rPr>
              <w:t>4,0</w:t>
            </w:r>
          </w:p>
        </w:tc>
        <w:tc>
          <w:tcPr>
            <w:tcW w:w="851" w:type="dxa"/>
            <w:shd w:val="clear" w:color="auto" w:fill="auto"/>
            <w:vAlign w:val="bottom"/>
          </w:tcPr>
          <w:p w:rsidR="00496C39" w:rsidRPr="00496C39" w:rsidRDefault="00496C39" w:rsidP="00496C39">
            <w:pPr>
              <w:spacing w:after="0" w:line="240" w:lineRule="auto"/>
              <w:jc w:val="center"/>
              <w:rPr>
                <w:rFonts w:ascii="Times New Roman" w:eastAsia="Calibri" w:hAnsi="Times New Roman" w:cs="Times New Roman"/>
                <w:sz w:val="20"/>
                <w:szCs w:val="20"/>
              </w:rPr>
            </w:pPr>
            <w:r w:rsidRPr="00496C39">
              <w:rPr>
                <w:rFonts w:ascii="Times New Roman" w:eastAsia="Calibri" w:hAnsi="Times New Roman" w:cs="Times New Roman"/>
                <w:sz w:val="20"/>
                <w:szCs w:val="20"/>
              </w:rPr>
              <w:t>3,4</w:t>
            </w:r>
          </w:p>
        </w:tc>
        <w:tc>
          <w:tcPr>
            <w:tcW w:w="850" w:type="dxa"/>
            <w:shd w:val="clear" w:color="auto" w:fill="auto"/>
            <w:vAlign w:val="bottom"/>
          </w:tcPr>
          <w:p w:rsidR="00496C39" w:rsidRPr="00496C39" w:rsidRDefault="00496C39" w:rsidP="00496C39">
            <w:pPr>
              <w:spacing w:after="0" w:line="240" w:lineRule="auto"/>
              <w:jc w:val="center"/>
              <w:rPr>
                <w:rFonts w:ascii="Times New Roman" w:eastAsia="Calibri" w:hAnsi="Times New Roman" w:cs="Times New Roman"/>
                <w:sz w:val="20"/>
                <w:szCs w:val="20"/>
              </w:rPr>
            </w:pPr>
            <w:r w:rsidRPr="00496C39">
              <w:rPr>
                <w:rFonts w:ascii="Times New Roman" w:eastAsia="Calibri" w:hAnsi="Times New Roman" w:cs="Times New Roman"/>
                <w:sz w:val="20"/>
                <w:szCs w:val="20"/>
              </w:rPr>
              <w:t>3,0</w:t>
            </w:r>
          </w:p>
        </w:tc>
        <w:tc>
          <w:tcPr>
            <w:tcW w:w="851" w:type="dxa"/>
            <w:shd w:val="clear" w:color="auto" w:fill="auto"/>
            <w:vAlign w:val="bottom"/>
          </w:tcPr>
          <w:p w:rsidR="00496C39" w:rsidRPr="00496C39" w:rsidRDefault="00496C39" w:rsidP="00496C39">
            <w:pPr>
              <w:spacing w:after="0" w:line="240" w:lineRule="auto"/>
              <w:jc w:val="center"/>
              <w:rPr>
                <w:rFonts w:ascii="Times New Roman" w:eastAsia="Calibri" w:hAnsi="Times New Roman" w:cs="Times New Roman"/>
                <w:sz w:val="20"/>
                <w:szCs w:val="20"/>
              </w:rPr>
            </w:pPr>
            <w:r w:rsidRPr="00496C39">
              <w:rPr>
                <w:rFonts w:ascii="Times New Roman" w:eastAsia="Calibri" w:hAnsi="Times New Roman" w:cs="Times New Roman"/>
                <w:sz w:val="20"/>
                <w:szCs w:val="20"/>
              </w:rPr>
              <w:t>2,9</w:t>
            </w:r>
          </w:p>
        </w:tc>
        <w:tc>
          <w:tcPr>
            <w:tcW w:w="850" w:type="dxa"/>
            <w:shd w:val="clear" w:color="auto" w:fill="auto"/>
            <w:vAlign w:val="bottom"/>
          </w:tcPr>
          <w:p w:rsidR="00496C39" w:rsidRPr="00496C39" w:rsidRDefault="00496C39" w:rsidP="00496C39">
            <w:pPr>
              <w:spacing w:after="0" w:line="240" w:lineRule="auto"/>
              <w:jc w:val="center"/>
              <w:rPr>
                <w:rFonts w:ascii="Times New Roman" w:eastAsia="Calibri" w:hAnsi="Times New Roman" w:cs="Times New Roman"/>
                <w:sz w:val="20"/>
                <w:szCs w:val="20"/>
              </w:rPr>
            </w:pPr>
            <w:r w:rsidRPr="00496C39">
              <w:rPr>
                <w:rFonts w:ascii="Times New Roman" w:eastAsia="Calibri" w:hAnsi="Times New Roman" w:cs="Times New Roman"/>
                <w:sz w:val="20"/>
                <w:szCs w:val="20"/>
              </w:rPr>
              <w:t>-</w:t>
            </w:r>
          </w:p>
        </w:tc>
      </w:tr>
      <w:tr w:rsidR="00496C39" w:rsidRPr="00496C39" w:rsidTr="00496C39">
        <w:trPr>
          <w:jc w:val="center"/>
        </w:trPr>
        <w:tc>
          <w:tcPr>
            <w:tcW w:w="4389" w:type="dxa"/>
            <w:shd w:val="clear" w:color="auto" w:fill="DEEAF6"/>
          </w:tcPr>
          <w:p w:rsidR="00496C39" w:rsidRPr="00496C39" w:rsidRDefault="00496C39" w:rsidP="00496C39">
            <w:pPr>
              <w:spacing w:after="0" w:line="240" w:lineRule="auto"/>
              <w:jc w:val="right"/>
              <w:rPr>
                <w:rFonts w:ascii="Times New Roman" w:eastAsia="Times New Roman" w:hAnsi="Times New Roman" w:cs="Times New Roman"/>
                <w:bCs/>
                <w:sz w:val="20"/>
                <w:szCs w:val="20"/>
              </w:rPr>
            </w:pPr>
            <w:r w:rsidRPr="00496C39">
              <w:rPr>
                <w:rFonts w:ascii="Times New Roman" w:eastAsia="Times New Roman" w:hAnsi="Times New Roman" w:cs="Times New Roman"/>
                <w:bCs/>
                <w:sz w:val="20"/>
                <w:szCs w:val="20"/>
              </w:rPr>
              <w:t>2019.gads</w:t>
            </w:r>
          </w:p>
        </w:tc>
        <w:tc>
          <w:tcPr>
            <w:tcW w:w="694" w:type="dxa"/>
            <w:shd w:val="clear" w:color="auto" w:fill="DEEAF6"/>
            <w:vAlign w:val="center"/>
          </w:tcPr>
          <w:p w:rsidR="00496C39" w:rsidRPr="00496C39" w:rsidRDefault="00496C39" w:rsidP="00496C39">
            <w:pPr>
              <w:spacing w:after="0" w:line="240" w:lineRule="auto"/>
              <w:jc w:val="center"/>
              <w:rPr>
                <w:rFonts w:ascii="Times New Roman" w:eastAsia="Times New Roman" w:hAnsi="Times New Roman" w:cs="Times New Roman"/>
                <w:sz w:val="20"/>
                <w:szCs w:val="20"/>
              </w:rPr>
            </w:pPr>
          </w:p>
        </w:tc>
        <w:tc>
          <w:tcPr>
            <w:tcW w:w="850" w:type="dxa"/>
            <w:shd w:val="clear" w:color="auto" w:fill="DEEAF6"/>
            <w:vAlign w:val="bottom"/>
          </w:tcPr>
          <w:p w:rsidR="00496C39" w:rsidRPr="00496C39" w:rsidRDefault="00496C39" w:rsidP="00496C39">
            <w:pPr>
              <w:spacing w:after="0" w:line="240" w:lineRule="auto"/>
              <w:jc w:val="center"/>
              <w:rPr>
                <w:rFonts w:ascii="Times New Roman" w:eastAsia="Calibri" w:hAnsi="Times New Roman" w:cs="Times New Roman"/>
                <w:sz w:val="20"/>
                <w:szCs w:val="20"/>
              </w:rPr>
            </w:pPr>
            <w:r w:rsidRPr="00496C39">
              <w:rPr>
                <w:rFonts w:ascii="Times New Roman" w:eastAsia="Calibri" w:hAnsi="Times New Roman" w:cs="Times New Roman"/>
                <w:sz w:val="20"/>
                <w:szCs w:val="20"/>
              </w:rPr>
              <w:t>4,8</w:t>
            </w:r>
          </w:p>
        </w:tc>
        <w:tc>
          <w:tcPr>
            <w:tcW w:w="851" w:type="dxa"/>
            <w:shd w:val="clear" w:color="auto" w:fill="DEEAF6"/>
            <w:vAlign w:val="bottom"/>
          </w:tcPr>
          <w:p w:rsidR="00496C39" w:rsidRPr="00496C39" w:rsidRDefault="00496C39" w:rsidP="00496C39">
            <w:pPr>
              <w:spacing w:after="0" w:line="240" w:lineRule="auto"/>
              <w:jc w:val="center"/>
              <w:rPr>
                <w:rFonts w:ascii="Times New Roman" w:eastAsia="Calibri" w:hAnsi="Times New Roman" w:cs="Times New Roman"/>
                <w:sz w:val="20"/>
                <w:szCs w:val="20"/>
              </w:rPr>
            </w:pPr>
            <w:r w:rsidRPr="00496C39">
              <w:rPr>
                <w:rFonts w:ascii="Times New Roman" w:eastAsia="Calibri" w:hAnsi="Times New Roman" w:cs="Times New Roman"/>
                <w:sz w:val="20"/>
                <w:szCs w:val="20"/>
              </w:rPr>
              <w:t>3,2</w:t>
            </w:r>
          </w:p>
        </w:tc>
        <w:tc>
          <w:tcPr>
            <w:tcW w:w="850" w:type="dxa"/>
            <w:shd w:val="clear" w:color="auto" w:fill="DEEAF6"/>
            <w:vAlign w:val="bottom"/>
          </w:tcPr>
          <w:p w:rsidR="00496C39" w:rsidRPr="00496C39" w:rsidRDefault="00496C39" w:rsidP="00496C39">
            <w:pPr>
              <w:spacing w:after="0" w:line="240" w:lineRule="auto"/>
              <w:jc w:val="center"/>
              <w:rPr>
                <w:rFonts w:ascii="Times New Roman" w:eastAsia="Calibri" w:hAnsi="Times New Roman" w:cs="Times New Roman"/>
                <w:sz w:val="20"/>
                <w:szCs w:val="20"/>
              </w:rPr>
            </w:pPr>
            <w:r w:rsidRPr="00496C39">
              <w:rPr>
                <w:rFonts w:ascii="Times New Roman" w:eastAsia="Calibri" w:hAnsi="Times New Roman" w:cs="Times New Roman"/>
                <w:sz w:val="20"/>
                <w:szCs w:val="20"/>
              </w:rPr>
              <w:t>3,0</w:t>
            </w:r>
          </w:p>
        </w:tc>
        <w:tc>
          <w:tcPr>
            <w:tcW w:w="851" w:type="dxa"/>
            <w:shd w:val="clear" w:color="auto" w:fill="DEEAF6"/>
            <w:vAlign w:val="bottom"/>
          </w:tcPr>
          <w:p w:rsidR="00496C39" w:rsidRPr="00496C39" w:rsidRDefault="00496C39" w:rsidP="00496C39">
            <w:pPr>
              <w:spacing w:after="0" w:line="240" w:lineRule="auto"/>
              <w:jc w:val="center"/>
              <w:rPr>
                <w:rFonts w:ascii="Times New Roman" w:eastAsia="Calibri" w:hAnsi="Times New Roman" w:cs="Times New Roman"/>
                <w:sz w:val="20"/>
                <w:szCs w:val="20"/>
              </w:rPr>
            </w:pPr>
            <w:r w:rsidRPr="00496C39">
              <w:rPr>
                <w:rFonts w:ascii="Times New Roman" w:eastAsia="Calibri" w:hAnsi="Times New Roman" w:cs="Times New Roman"/>
                <w:sz w:val="20"/>
                <w:szCs w:val="20"/>
              </w:rPr>
              <w:t>2,9</w:t>
            </w:r>
          </w:p>
        </w:tc>
        <w:tc>
          <w:tcPr>
            <w:tcW w:w="850" w:type="dxa"/>
            <w:shd w:val="clear" w:color="auto" w:fill="DEEAF6"/>
            <w:vAlign w:val="bottom"/>
          </w:tcPr>
          <w:p w:rsidR="00496C39" w:rsidRPr="00496C39" w:rsidRDefault="00496C39" w:rsidP="00496C39">
            <w:pPr>
              <w:spacing w:after="0" w:line="240" w:lineRule="auto"/>
              <w:jc w:val="center"/>
              <w:rPr>
                <w:rFonts w:ascii="Times New Roman" w:eastAsia="Calibri" w:hAnsi="Times New Roman" w:cs="Times New Roman"/>
                <w:sz w:val="20"/>
                <w:szCs w:val="20"/>
              </w:rPr>
            </w:pPr>
            <w:r w:rsidRPr="00496C39">
              <w:rPr>
                <w:rFonts w:ascii="Times New Roman" w:eastAsia="Calibri" w:hAnsi="Times New Roman" w:cs="Times New Roman"/>
                <w:sz w:val="20"/>
                <w:szCs w:val="20"/>
              </w:rPr>
              <w:t>2,9</w:t>
            </w:r>
          </w:p>
        </w:tc>
      </w:tr>
      <w:tr w:rsidR="00496C39" w:rsidRPr="00496C39" w:rsidTr="00496C39">
        <w:trPr>
          <w:jc w:val="center"/>
        </w:trPr>
        <w:tc>
          <w:tcPr>
            <w:tcW w:w="4389" w:type="dxa"/>
            <w:shd w:val="clear" w:color="auto" w:fill="auto"/>
          </w:tcPr>
          <w:p w:rsidR="00496C39" w:rsidRPr="00496C39" w:rsidRDefault="00496C39" w:rsidP="00496C39">
            <w:pPr>
              <w:spacing w:after="0" w:line="240" w:lineRule="auto"/>
              <w:jc w:val="right"/>
              <w:rPr>
                <w:rFonts w:ascii="Times New Roman" w:eastAsia="Times New Roman" w:hAnsi="Times New Roman" w:cs="Times New Roman"/>
                <w:bCs/>
                <w:snapToGrid w:val="0"/>
                <w:sz w:val="20"/>
                <w:szCs w:val="20"/>
              </w:rPr>
            </w:pPr>
            <w:r w:rsidRPr="00496C39">
              <w:rPr>
                <w:rFonts w:ascii="Times New Roman" w:eastAsia="Times New Roman" w:hAnsi="Times New Roman" w:cs="Times New Roman"/>
                <w:bCs/>
                <w:snapToGrid w:val="0"/>
                <w:sz w:val="20"/>
                <w:szCs w:val="20"/>
              </w:rPr>
              <w:t>Izmaiņas</w:t>
            </w:r>
          </w:p>
        </w:tc>
        <w:tc>
          <w:tcPr>
            <w:tcW w:w="694" w:type="dxa"/>
            <w:shd w:val="clear" w:color="auto" w:fill="auto"/>
            <w:vAlign w:val="center"/>
          </w:tcPr>
          <w:p w:rsidR="00496C39" w:rsidRPr="00496C39" w:rsidRDefault="00496C39" w:rsidP="00496C39">
            <w:pPr>
              <w:spacing w:after="0" w:line="240" w:lineRule="auto"/>
              <w:jc w:val="center"/>
              <w:rPr>
                <w:rFonts w:ascii="Times New Roman" w:eastAsia="Times New Roman" w:hAnsi="Times New Roman" w:cs="Times New Roman"/>
                <w:sz w:val="20"/>
                <w:szCs w:val="20"/>
              </w:rPr>
            </w:pPr>
          </w:p>
        </w:tc>
        <w:tc>
          <w:tcPr>
            <w:tcW w:w="850" w:type="dxa"/>
            <w:shd w:val="clear" w:color="auto" w:fill="auto"/>
            <w:vAlign w:val="bottom"/>
          </w:tcPr>
          <w:p w:rsidR="00496C39" w:rsidRPr="00496C39" w:rsidRDefault="00496C39" w:rsidP="00496C39">
            <w:pPr>
              <w:spacing w:after="0" w:line="240" w:lineRule="auto"/>
              <w:jc w:val="center"/>
              <w:rPr>
                <w:rFonts w:ascii="Times New Roman" w:eastAsia="Calibri" w:hAnsi="Times New Roman" w:cs="Times New Roman"/>
                <w:sz w:val="20"/>
                <w:szCs w:val="20"/>
              </w:rPr>
            </w:pPr>
            <w:r w:rsidRPr="00496C39">
              <w:rPr>
                <w:rFonts w:ascii="Times New Roman" w:eastAsia="Calibri" w:hAnsi="Times New Roman" w:cs="Times New Roman"/>
                <w:sz w:val="20"/>
                <w:szCs w:val="20"/>
              </w:rPr>
              <w:t>0,8</w:t>
            </w:r>
          </w:p>
        </w:tc>
        <w:tc>
          <w:tcPr>
            <w:tcW w:w="851" w:type="dxa"/>
            <w:shd w:val="clear" w:color="auto" w:fill="auto"/>
            <w:vAlign w:val="bottom"/>
          </w:tcPr>
          <w:p w:rsidR="00496C39" w:rsidRPr="00496C39" w:rsidRDefault="00496C39" w:rsidP="00496C39">
            <w:pPr>
              <w:spacing w:after="0" w:line="240" w:lineRule="auto"/>
              <w:jc w:val="center"/>
              <w:rPr>
                <w:rFonts w:ascii="Times New Roman" w:eastAsia="Calibri" w:hAnsi="Times New Roman" w:cs="Times New Roman"/>
                <w:sz w:val="20"/>
                <w:szCs w:val="20"/>
              </w:rPr>
            </w:pPr>
            <w:r w:rsidRPr="00496C39">
              <w:rPr>
                <w:rFonts w:ascii="Times New Roman" w:eastAsia="Calibri" w:hAnsi="Times New Roman" w:cs="Times New Roman"/>
                <w:sz w:val="20"/>
                <w:szCs w:val="20"/>
              </w:rPr>
              <w:t>-0,2</w:t>
            </w:r>
          </w:p>
        </w:tc>
        <w:tc>
          <w:tcPr>
            <w:tcW w:w="850" w:type="dxa"/>
            <w:shd w:val="clear" w:color="auto" w:fill="auto"/>
            <w:vAlign w:val="bottom"/>
          </w:tcPr>
          <w:p w:rsidR="00496C39" w:rsidRPr="00496C39" w:rsidRDefault="00496C39" w:rsidP="00496C39">
            <w:pPr>
              <w:spacing w:after="0" w:line="240" w:lineRule="auto"/>
              <w:jc w:val="center"/>
              <w:rPr>
                <w:rFonts w:ascii="Times New Roman" w:eastAsia="Calibri" w:hAnsi="Times New Roman" w:cs="Times New Roman"/>
                <w:sz w:val="20"/>
                <w:szCs w:val="20"/>
              </w:rPr>
            </w:pPr>
            <w:r w:rsidRPr="00496C39">
              <w:rPr>
                <w:rFonts w:ascii="Times New Roman" w:eastAsia="Calibri" w:hAnsi="Times New Roman" w:cs="Times New Roman"/>
                <w:sz w:val="20"/>
                <w:szCs w:val="20"/>
              </w:rPr>
              <w:t>0,0</w:t>
            </w:r>
          </w:p>
        </w:tc>
        <w:tc>
          <w:tcPr>
            <w:tcW w:w="851" w:type="dxa"/>
            <w:shd w:val="clear" w:color="auto" w:fill="auto"/>
            <w:vAlign w:val="bottom"/>
          </w:tcPr>
          <w:p w:rsidR="00496C39" w:rsidRPr="00496C39" w:rsidRDefault="00496C39" w:rsidP="00496C39">
            <w:pPr>
              <w:spacing w:after="0" w:line="240" w:lineRule="auto"/>
              <w:jc w:val="center"/>
              <w:rPr>
                <w:rFonts w:ascii="Times New Roman" w:eastAsia="Calibri" w:hAnsi="Times New Roman" w:cs="Times New Roman"/>
                <w:sz w:val="20"/>
                <w:szCs w:val="20"/>
              </w:rPr>
            </w:pPr>
            <w:r w:rsidRPr="00496C39">
              <w:rPr>
                <w:rFonts w:ascii="Times New Roman" w:eastAsia="Calibri" w:hAnsi="Times New Roman" w:cs="Times New Roman"/>
                <w:sz w:val="20"/>
                <w:szCs w:val="20"/>
              </w:rPr>
              <w:t>0,0</w:t>
            </w:r>
          </w:p>
        </w:tc>
        <w:tc>
          <w:tcPr>
            <w:tcW w:w="850" w:type="dxa"/>
            <w:shd w:val="clear" w:color="auto" w:fill="auto"/>
            <w:vAlign w:val="bottom"/>
          </w:tcPr>
          <w:p w:rsidR="00496C39" w:rsidRPr="00496C39" w:rsidRDefault="00496C39" w:rsidP="00496C39">
            <w:pPr>
              <w:spacing w:after="0" w:line="240" w:lineRule="auto"/>
              <w:jc w:val="center"/>
              <w:rPr>
                <w:rFonts w:ascii="Times New Roman" w:eastAsia="Calibri" w:hAnsi="Times New Roman" w:cs="Times New Roman"/>
                <w:sz w:val="20"/>
                <w:szCs w:val="20"/>
              </w:rPr>
            </w:pPr>
            <w:r w:rsidRPr="00496C39">
              <w:rPr>
                <w:rFonts w:ascii="Times New Roman" w:eastAsia="Calibri" w:hAnsi="Times New Roman" w:cs="Times New Roman"/>
                <w:sz w:val="20"/>
                <w:szCs w:val="20"/>
              </w:rPr>
              <w:t>-</w:t>
            </w:r>
          </w:p>
        </w:tc>
      </w:tr>
      <w:tr w:rsidR="00496C39" w:rsidRPr="00496C39" w:rsidTr="00496C39">
        <w:trPr>
          <w:jc w:val="center"/>
        </w:trPr>
        <w:tc>
          <w:tcPr>
            <w:tcW w:w="4389" w:type="dxa"/>
            <w:shd w:val="clear" w:color="auto" w:fill="DEEAF6"/>
          </w:tcPr>
          <w:p w:rsidR="00496C39" w:rsidRPr="00496C39" w:rsidRDefault="00496C39" w:rsidP="00496C39">
            <w:pPr>
              <w:spacing w:after="0" w:line="240" w:lineRule="auto"/>
              <w:rPr>
                <w:rFonts w:ascii="Times New Roman" w:eastAsia="Times New Roman" w:hAnsi="Times New Roman" w:cs="Times New Roman"/>
                <w:b/>
                <w:bCs/>
                <w:sz w:val="20"/>
                <w:szCs w:val="20"/>
                <w:lang w:eastAsia="lv-LV"/>
              </w:rPr>
            </w:pPr>
            <w:r w:rsidRPr="00496C39">
              <w:rPr>
                <w:rFonts w:ascii="Times New Roman" w:eastAsia="Times New Roman" w:hAnsi="Times New Roman" w:cs="Times New Roman"/>
                <w:b/>
                <w:bCs/>
                <w:sz w:val="20"/>
                <w:szCs w:val="20"/>
                <w:lang w:eastAsia="lv-LV"/>
              </w:rPr>
              <w:t>Faktiskā budžeta bilance</w:t>
            </w:r>
          </w:p>
          <w:p w:rsidR="00496C39" w:rsidRPr="00496C39" w:rsidRDefault="00496C39" w:rsidP="00496C39">
            <w:pPr>
              <w:spacing w:after="0" w:line="240" w:lineRule="auto"/>
              <w:rPr>
                <w:rFonts w:ascii="Times New Roman" w:eastAsia="Times New Roman" w:hAnsi="Times New Roman" w:cs="Times New Roman"/>
                <w:b/>
                <w:bCs/>
                <w:sz w:val="20"/>
                <w:szCs w:val="20"/>
                <w:lang w:eastAsia="lv-LV"/>
              </w:rPr>
            </w:pPr>
            <w:r w:rsidRPr="00496C39">
              <w:rPr>
                <w:rFonts w:ascii="Times New Roman" w:eastAsia="Times New Roman" w:hAnsi="Times New Roman" w:cs="Times New Roman"/>
                <w:b/>
                <w:bCs/>
                <w:sz w:val="20"/>
                <w:szCs w:val="20"/>
                <w:lang w:eastAsia="lv-LV"/>
              </w:rPr>
              <w:t>(% no IKP)</w:t>
            </w:r>
          </w:p>
        </w:tc>
        <w:tc>
          <w:tcPr>
            <w:tcW w:w="694" w:type="dxa"/>
            <w:shd w:val="clear" w:color="auto" w:fill="DEEAF6"/>
            <w:vAlign w:val="center"/>
          </w:tcPr>
          <w:p w:rsidR="00496C39" w:rsidRPr="00496C39" w:rsidRDefault="00496C39" w:rsidP="00496C39">
            <w:pPr>
              <w:spacing w:after="0" w:line="240" w:lineRule="auto"/>
              <w:jc w:val="center"/>
              <w:rPr>
                <w:rFonts w:ascii="Times New Roman" w:eastAsia="Times New Roman" w:hAnsi="Times New Roman" w:cs="Times New Roman"/>
                <w:b/>
                <w:bCs/>
                <w:sz w:val="20"/>
                <w:szCs w:val="20"/>
                <w:lang w:eastAsia="lv-LV"/>
              </w:rPr>
            </w:pPr>
            <w:r w:rsidRPr="00496C39">
              <w:rPr>
                <w:rFonts w:ascii="Times New Roman" w:eastAsia="Times New Roman" w:hAnsi="Times New Roman" w:cs="Times New Roman"/>
                <w:b/>
                <w:bCs/>
                <w:sz w:val="20"/>
                <w:szCs w:val="20"/>
                <w:lang w:eastAsia="lv-LV"/>
              </w:rPr>
              <w:t>B.9</w:t>
            </w:r>
          </w:p>
        </w:tc>
        <w:tc>
          <w:tcPr>
            <w:tcW w:w="850" w:type="dxa"/>
            <w:shd w:val="clear" w:color="auto" w:fill="DEEAF6"/>
            <w:vAlign w:val="center"/>
          </w:tcPr>
          <w:p w:rsidR="00496C39" w:rsidRPr="00496C39" w:rsidRDefault="00496C39" w:rsidP="00496C39">
            <w:pPr>
              <w:spacing w:after="0" w:line="240" w:lineRule="auto"/>
              <w:jc w:val="center"/>
              <w:rPr>
                <w:rFonts w:ascii="Times New Roman" w:eastAsia="Times New Roman" w:hAnsi="Times New Roman" w:cs="Times New Roman"/>
                <w:b/>
                <w:bCs/>
                <w:sz w:val="20"/>
                <w:szCs w:val="20"/>
                <w:lang w:eastAsia="lv-LV"/>
              </w:rPr>
            </w:pPr>
          </w:p>
        </w:tc>
        <w:tc>
          <w:tcPr>
            <w:tcW w:w="851" w:type="dxa"/>
            <w:shd w:val="clear" w:color="auto" w:fill="DEEAF6"/>
            <w:vAlign w:val="center"/>
          </w:tcPr>
          <w:p w:rsidR="00496C39" w:rsidRPr="00496C39" w:rsidRDefault="00496C39" w:rsidP="00496C39">
            <w:pPr>
              <w:spacing w:after="0" w:line="240" w:lineRule="auto"/>
              <w:jc w:val="center"/>
              <w:rPr>
                <w:rFonts w:ascii="Times New Roman" w:eastAsia="Times New Roman" w:hAnsi="Times New Roman" w:cs="Times New Roman"/>
                <w:b/>
                <w:bCs/>
                <w:sz w:val="20"/>
                <w:szCs w:val="20"/>
                <w:lang w:eastAsia="lv-LV"/>
              </w:rPr>
            </w:pPr>
          </w:p>
        </w:tc>
        <w:tc>
          <w:tcPr>
            <w:tcW w:w="850" w:type="dxa"/>
            <w:shd w:val="clear" w:color="auto" w:fill="DEEAF6"/>
            <w:vAlign w:val="center"/>
          </w:tcPr>
          <w:p w:rsidR="00496C39" w:rsidRPr="00496C39" w:rsidRDefault="00496C39" w:rsidP="00496C39">
            <w:pPr>
              <w:spacing w:after="0" w:line="240" w:lineRule="auto"/>
              <w:jc w:val="center"/>
              <w:rPr>
                <w:rFonts w:ascii="Times New Roman" w:eastAsia="Times New Roman" w:hAnsi="Times New Roman" w:cs="Times New Roman"/>
                <w:b/>
                <w:bCs/>
                <w:sz w:val="20"/>
                <w:szCs w:val="20"/>
                <w:lang w:eastAsia="lv-LV"/>
              </w:rPr>
            </w:pPr>
          </w:p>
        </w:tc>
        <w:tc>
          <w:tcPr>
            <w:tcW w:w="851" w:type="dxa"/>
            <w:shd w:val="clear" w:color="auto" w:fill="DEEAF6"/>
            <w:vAlign w:val="center"/>
          </w:tcPr>
          <w:p w:rsidR="00496C39" w:rsidRPr="00496C39" w:rsidRDefault="00496C39" w:rsidP="00496C39">
            <w:pPr>
              <w:spacing w:after="0" w:line="240" w:lineRule="auto"/>
              <w:jc w:val="center"/>
              <w:rPr>
                <w:rFonts w:ascii="Times New Roman" w:eastAsia="Times New Roman" w:hAnsi="Times New Roman" w:cs="Times New Roman"/>
                <w:b/>
                <w:bCs/>
                <w:sz w:val="20"/>
                <w:szCs w:val="20"/>
                <w:lang w:eastAsia="lv-LV"/>
              </w:rPr>
            </w:pPr>
          </w:p>
        </w:tc>
        <w:tc>
          <w:tcPr>
            <w:tcW w:w="850" w:type="dxa"/>
            <w:shd w:val="clear" w:color="auto" w:fill="DEEAF6"/>
            <w:vAlign w:val="center"/>
          </w:tcPr>
          <w:p w:rsidR="00496C39" w:rsidRPr="00496C39" w:rsidRDefault="00496C39" w:rsidP="00496C39">
            <w:pPr>
              <w:spacing w:after="0" w:line="240" w:lineRule="auto"/>
              <w:jc w:val="center"/>
              <w:rPr>
                <w:rFonts w:ascii="Times New Roman" w:eastAsia="Times New Roman" w:hAnsi="Times New Roman" w:cs="Times New Roman"/>
                <w:b/>
                <w:bCs/>
                <w:sz w:val="20"/>
                <w:szCs w:val="20"/>
                <w:lang w:eastAsia="lv-LV"/>
              </w:rPr>
            </w:pPr>
          </w:p>
        </w:tc>
      </w:tr>
      <w:tr w:rsidR="00496C39" w:rsidRPr="00496C39" w:rsidTr="00135E60">
        <w:trPr>
          <w:jc w:val="center"/>
        </w:trPr>
        <w:tc>
          <w:tcPr>
            <w:tcW w:w="4389" w:type="dxa"/>
            <w:shd w:val="clear" w:color="auto" w:fill="auto"/>
          </w:tcPr>
          <w:p w:rsidR="00496C39" w:rsidRPr="00496C39" w:rsidRDefault="00496C39" w:rsidP="00496C39">
            <w:pPr>
              <w:spacing w:after="0" w:line="240" w:lineRule="auto"/>
              <w:jc w:val="right"/>
              <w:rPr>
                <w:rFonts w:ascii="Times New Roman" w:eastAsia="Times New Roman" w:hAnsi="Times New Roman" w:cs="Times New Roman"/>
                <w:bCs/>
                <w:sz w:val="20"/>
                <w:szCs w:val="20"/>
              </w:rPr>
            </w:pPr>
            <w:r w:rsidRPr="00496C39">
              <w:rPr>
                <w:rFonts w:ascii="Times New Roman" w:eastAsia="Times New Roman" w:hAnsi="Times New Roman" w:cs="Times New Roman"/>
                <w:bCs/>
                <w:sz w:val="20"/>
                <w:szCs w:val="20"/>
              </w:rPr>
              <w:t>2018.gads</w:t>
            </w:r>
          </w:p>
        </w:tc>
        <w:tc>
          <w:tcPr>
            <w:tcW w:w="694" w:type="dxa"/>
            <w:shd w:val="clear" w:color="auto" w:fill="auto"/>
            <w:vAlign w:val="center"/>
          </w:tcPr>
          <w:p w:rsidR="00496C39" w:rsidRPr="00496C39" w:rsidRDefault="00496C39" w:rsidP="00496C39">
            <w:pPr>
              <w:spacing w:after="0" w:line="240" w:lineRule="auto"/>
              <w:jc w:val="center"/>
              <w:rPr>
                <w:rFonts w:ascii="Times New Roman" w:eastAsia="Times New Roman" w:hAnsi="Times New Roman" w:cs="Times New Roman"/>
                <w:sz w:val="20"/>
                <w:szCs w:val="20"/>
              </w:rPr>
            </w:pPr>
          </w:p>
        </w:tc>
        <w:tc>
          <w:tcPr>
            <w:tcW w:w="850" w:type="dxa"/>
            <w:shd w:val="clear" w:color="auto" w:fill="auto"/>
          </w:tcPr>
          <w:p w:rsidR="00496C39" w:rsidRPr="00496C39" w:rsidRDefault="00496C39" w:rsidP="00496C39">
            <w:pPr>
              <w:spacing w:after="0" w:line="240" w:lineRule="auto"/>
              <w:jc w:val="center"/>
              <w:rPr>
                <w:rFonts w:ascii="Times New Roman" w:eastAsia="Calibri" w:hAnsi="Times New Roman" w:cs="Times New Roman"/>
                <w:sz w:val="20"/>
                <w:szCs w:val="20"/>
              </w:rPr>
            </w:pPr>
            <w:r w:rsidRPr="00C23426">
              <w:rPr>
                <w:rFonts w:ascii="Times New Roman" w:eastAsia="Calibri" w:hAnsi="Times New Roman"/>
                <w:sz w:val="20"/>
                <w:szCs w:val="20"/>
              </w:rPr>
              <w:t>-0,9</w:t>
            </w:r>
          </w:p>
        </w:tc>
        <w:tc>
          <w:tcPr>
            <w:tcW w:w="851" w:type="dxa"/>
            <w:shd w:val="clear" w:color="auto" w:fill="auto"/>
            <w:vAlign w:val="bottom"/>
          </w:tcPr>
          <w:p w:rsidR="00496C39" w:rsidRPr="00496C39" w:rsidRDefault="00496C39" w:rsidP="00496C39">
            <w:pPr>
              <w:spacing w:after="0" w:line="240" w:lineRule="auto"/>
              <w:jc w:val="center"/>
              <w:rPr>
                <w:rFonts w:ascii="Times New Roman" w:eastAsia="Calibri" w:hAnsi="Times New Roman" w:cs="Times New Roman"/>
                <w:sz w:val="20"/>
                <w:szCs w:val="20"/>
              </w:rPr>
            </w:pPr>
            <w:r w:rsidRPr="00496C39">
              <w:rPr>
                <w:rFonts w:ascii="Times New Roman" w:eastAsia="Calibri" w:hAnsi="Times New Roman" w:cs="Times New Roman"/>
                <w:sz w:val="20"/>
                <w:szCs w:val="20"/>
              </w:rPr>
              <w:t>-0,9</w:t>
            </w:r>
          </w:p>
        </w:tc>
        <w:tc>
          <w:tcPr>
            <w:tcW w:w="850" w:type="dxa"/>
            <w:shd w:val="clear" w:color="auto" w:fill="auto"/>
            <w:vAlign w:val="bottom"/>
          </w:tcPr>
          <w:p w:rsidR="00496C39" w:rsidRPr="00496C39" w:rsidRDefault="00496C39" w:rsidP="00496C39">
            <w:pPr>
              <w:spacing w:after="0" w:line="240" w:lineRule="auto"/>
              <w:jc w:val="center"/>
              <w:rPr>
                <w:rFonts w:ascii="Times New Roman" w:eastAsia="Calibri" w:hAnsi="Times New Roman" w:cs="Times New Roman"/>
                <w:sz w:val="20"/>
                <w:szCs w:val="20"/>
              </w:rPr>
            </w:pPr>
            <w:r w:rsidRPr="00496C39">
              <w:rPr>
                <w:rFonts w:ascii="Times New Roman" w:eastAsia="Calibri" w:hAnsi="Times New Roman" w:cs="Times New Roman"/>
                <w:sz w:val="20"/>
                <w:szCs w:val="20"/>
              </w:rPr>
              <w:t>-0,4</w:t>
            </w:r>
          </w:p>
        </w:tc>
        <w:tc>
          <w:tcPr>
            <w:tcW w:w="851" w:type="dxa"/>
            <w:shd w:val="clear" w:color="auto" w:fill="auto"/>
            <w:vAlign w:val="bottom"/>
          </w:tcPr>
          <w:p w:rsidR="00496C39" w:rsidRPr="00496C39" w:rsidRDefault="00496C39" w:rsidP="00496C39">
            <w:pPr>
              <w:spacing w:after="0" w:line="240" w:lineRule="auto"/>
              <w:jc w:val="center"/>
              <w:rPr>
                <w:rFonts w:ascii="Times New Roman" w:eastAsia="Calibri" w:hAnsi="Times New Roman" w:cs="Times New Roman"/>
                <w:sz w:val="20"/>
                <w:szCs w:val="20"/>
              </w:rPr>
            </w:pPr>
            <w:r w:rsidRPr="00496C39">
              <w:rPr>
                <w:rFonts w:ascii="Times New Roman" w:eastAsia="Calibri" w:hAnsi="Times New Roman" w:cs="Times New Roman"/>
                <w:sz w:val="20"/>
                <w:szCs w:val="20"/>
              </w:rPr>
              <w:t>-0,4</w:t>
            </w:r>
          </w:p>
        </w:tc>
        <w:tc>
          <w:tcPr>
            <w:tcW w:w="850" w:type="dxa"/>
            <w:shd w:val="clear" w:color="auto" w:fill="auto"/>
            <w:vAlign w:val="bottom"/>
          </w:tcPr>
          <w:p w:rsidR="00496C39" w:rsidRPr="00496C39" w:rsidRDefault="00496C39" w:rsidP="00496C39">
            <w:pPr>
              <w:spacing w:after="0" w:line="240" w:lineRule="auto"/>
              <w:jc w:val="center"/>
              <w:rPr>
                <w:rFonts w:ascii="Times New Roman" w:eastAsia="Calibri" w:hAnsi="Times New Roman" w:cs="Times New Roman"/>
                <w:sz w:val="20"/>
                <w:szCs w:val="20"/>
              </w:rPr>
            </w:pPr>
            <w:r w:rsidRPr="00496C39">
              <w:rPr>
                <w:rFonts w:ascii="Times New Roman" w:eastAsia="Calibri" w:hAnsi="Times New Roman" w:cs="Times New Roman"/>
                <w:sz w:val="20"/>
                <w:szCs w:val="20"/>
              </w:rPr>
              <w:t xml:space="preserve"> -</w:t>
            </w:r>
          </w:p>
        </w:tc>
      </w:tr>
      <w:tr w:rsidR="00C23426" w:rsidRPr="00496C39" w:rsidTr="00496C39">
        <w:trPr>
          <w:jc w:val="center"/>
        </w:trPr>
        <w:tc>
          <w:tcPr>
            <w:tcW w:w="4389" w:type="dxa"/>
            <w:shd w:val="clear" w:color="auto" w:fill="DEEAF6"/>
          </w:tcPr>
          <w:p w:rsidR="00C23426" w:rsidRPr="00496C39" w:rsidRDefault="00C23426" w:rsidP="00C23426">
            <w:pPr>
              <w:spacing w:after="0" w:line="240" w:lineRule="auto"/>
              <w:jc w:val="right"/>
              <w:rPr>
                <w:rFonts w:ascii="Times New Roman" w:eastAsia="Times New Roman" w:hAnsi="Times New Roman" w:cs="Times New Roman"/>
                <w:bCs/>
                <w:sz w:val="20"/>
                <w:szCs w:val="20"/>
              </w:rPr>
            </w:pPr>
            <w:r w:rsidRPr="00496C39">
              <w:rPr>
                <w:rFonts w:ascii="Times New Roman" w:eastAsia="Times New Roman" w:hAnsi="Times New Roman" w:cs="Times New Roman"/>
                <w:bCs/>
                <w:sz w:val="20"/>
                <w:szCs w:val="20"/>
              </w:rPr>
              <w:t>2019.gads</w:t>
            </w:r>
          </w:p>
        </w:tc>
        <w:tc>
          <w:tcPr>
            <w:tcW w:w="694" w:type="dxa"/>
            <w:shd w:val="clear" w:color="auto" w:fill="DEEAF6"/>
            <w:vAlign w:val="center"/>
          </w:tcPr>
          <w:p w:rsidR="00C23426" w:rsidRPr="00496C39" w:rsidRDefault="00C23426" w:rsidP="00C23426">
            <w:pPr>
              <w:spacing w:after="0" w:line="240" w:lineRule="auto"/>
              <w:jc w:val="center"/>
              <w:rPr>
                <w:rFonts w:ascii="Times New Roman" w:eastAsia="Times New Roman" w:hAnsi="Times New Roman" w:cs="Times New Roman"/>
                <w:sz w:val="20"/>
                <w:szCs w:val="20"/>
              </w:rPr>
            </w:pPr>
          </w:p>
        </w:tc>
        <w:tc>
          <w:tcPr>
            <w:tcW w:w="850" w:type="dxa"/>
            <w:shd w:val="clear" w:color="auto" w:fill="DEEAF6"/>
          </w:tcPr>
          <w:p w:rsidR="00C23426" w:rsidRPr="00496C39" w:rsidRDefault="00C23426" w:rsidP="00C23426">
            <w:pPr>
              <w:spacing w:after="0" w:line="240" w:lineRule="auto"/>
              <w:jc w:val="center"/>
              <w:rPr>
                <w:rFonts w:ascii="Times New Roman" w:eastAsia="Calibri" w:hAnsi="Times New Roman" w:cs="Times New Roman"/>
                <w:sz w:val="20"/>
                <w:szCs w:val="20"/>
              </w:rPr>
            </w:pPr>
            <w:r w:rsidRPr="00112DB6">
              <w:rPr>
                <w:rFonts w:ascii="Times New Roman" w:eastAsia="Calibri" w:hAnsi="Times New Roman"/>
                <w:sz w:val="20"/>
                <w:szCs w:val="20"/>
              </w:rPr>
              <w:t>-</w:t>
            </w:r>
            <w:r>
              <w:rPr>
                <w:rFonts w:ascii="Times New Roman" w:eastAsia="Calibri" w:hAnsi="Times New Roman"/>
                <w:sz w:val="20"/>
                <w:szCs w:val="20"/>
              </w:rPr>
              <w:t>1,0</w:t>
            </w:r>
          </w:p>
        </w:tc>
        <w:tc>
          <w:tcPr>
            <w:tcW w:w="851" w:type="dxa"/>
            <w:shd w:val="clear" w:color="auto" w:fill="DEEAF6"/>
          </w:tcPr>
          <w:p w:rsidR="00C23426" w:rsidRPr="00496C39" w:rsidRDefault="00C23426" w:rsidP="00C23426">
            <w:pPr>
              <w:spacing w:after="0" w:line="240" w:lineRule="auto"/>
              <w:jc w:val="center"/>
              <w:rPr>
                <w:rFonts w:ascii="Times New Roman" w:eastAsia="Calibri" w:hAnsi="Times New Roman" w:cs="Times New Roman"/>
                <w:sz w:val="20"/>
                <w:szCs w:val="20"/>
              </w:rPr>
            </w:pPr>
            <w:r w:rsidRPr="00496C39">
              <w:rPr>
                <w:rFonts w:ascii="Times New Roman" w:eastAsia="Calibri" w:hAnsi="Times New Roman" w:cs="Times New Roman"/>
                <w:sz w:val="20"/>
                <w:szCs w:val="20"/>
              </w:rPr>
              <w:t>-0,5</w:t>
            </w:r>
          </w:p>
        </w:tc>
        <w:tc>
          <w:tcPr>
            <w:tcW w:w="850" w:type="dxa"/>
            <w:shd w:val="clear" w:color="auto" w:fill="DEEAF6"/>
          </w:tcPr>
          <w:p w:rsidR="00C23426" w:rsidRPr="00496C39" w:rsidRDefault="00C23426" w:rsidP="00C23426">
            <w:pPr>
              <w:spacing w:after="0" w:line="240" w:lineRule="auto"/>
              <w:jc w:val="center"/>
              <w:rPr>
                <w:rFonts w:ascii="Times New Roman" w:eastAsia="Calibri" w:hAnsi="Times New Roman" w:cs="Times New Roman"/>
                <w:sz w:val="20"/>
                <w:szCs w:val="20"/>
              </w:rPr>
            </w:pPr>
            <w:r w:rsidRPr="00496C39">
              <w:rPr>
                <w:rFonts w:ascii="Times New Roman" w:eastAsia="Calibri" w:hAnsi="Times New Roman" w:cs="Times New Roman"/>
                <w:sz w:val="20"/>
                <w:szCs w:val="20"/>
              </w:rPr>
              <w:t>-0,4</w:t>
            </w:r>
          </w:p>
        </w:tc>
        <w:tc>
          <w:tcPr>
            <w:tcW w:w="851" w:type="dxa"/>
            <w:shd w:val="clear" w:color="auto" w:fill="DEEAF6"/>
          </w:tcPr>
          <w:p w:rsidR="00C23426" w:rsidRPr="00496C39" w:rsidRDefault="00C23426" w:rsidP="00C23426">
            <w:pPr>
              <w:spacing w:after="0" w:line="240" w:lineRule="auto"/>
              <w:jc w:val="center"/>
              <w:rPr>
                <w:rFonts w:ascii="Times New Roman" w:eastAsia="Calibri" w:hAnsi="Times New Roman" w:cs="Times New Roman"/>
                <w:sz w:val="20"/>
                <w:szCs w:val="20"/>
              </w:rPr>
            </w:pPr>
            <w:r w:rsidRPr="00496C39">
              <w:rPr>
                <w:rFonts w:ascii="Times New Roman" w:eastAsia="Calibri" w:hAnsi="Times New Roman" w:cs="Times New Roman"/>
                <w:sz w:val="20"/>
                <w:szCs w:val="20"/>
              </w:rPr>
              <w:t>-0,2</w:t>
            </w:r>
          </w:p>
        </w:tc>
        <w:tc>
          <w:tcPr>
            <w:tcW w:w="850" w:type="dxa"/>
            <w:shd w:val="clear" w:color="auto" w:fill="DEEAF6"/>
          </w:tcPr>
          <w:p w:rsidR="00C23426" w:rsidRPr="00496C39" w:rsidRDefault="00C23426" w:rsidP="00C23426">
            <w:pPr>
              <w:spacing w:after="0" w:line="240" w:lineRule="auto"/>
              <w:jc w:val="center"/>
              <w:rPr>
                <w:rFonts w:ascii="Times New Roman" w:eastAsia="Calibri" w:hAnsi="Times New Roman" w:cs="Times New Roman"/>
                <w:sz w:val="20"/>
                <w:szCs w:val="20"/>
              </w:rPr>
            </w:pPr>
            <w:r w:rsidRPr="00496C39">
              <w:rPr>
                <w:rFonts w:ascii="Times New Roman" w:eastAsia="Calibri" w:hAnsi="Times New Roman" w:cs="Times New Roman"/>
                <w:sz w:val="20"/>
                <w:szCs w:val="20"/>
              </w:rPr>
              <w:t>-0,3</w:t>
            </w:r>
          </w:p>
        </w:tc>
      </w:tr>
      <w:tr w:rsidR="00C23426" w:rsidRPr="00496C39" w:rsidTr="00496C39">
        <w:trPr>
          <w:jc w:val="center"/>
        </w:trPr>
        <w:tc>
          <w:tcPr>
            <w:tcW w:w="4389" w:type="dxa"/>
            <w:shd w:val="clear" w:color="auto" w:fill="auto"/>
          </w:tcPr>
          <w:p w:rsidR="00C23426" w:rsidRPr="00496C39" w:rsidRDefault="00C23426" w:rsidP="00C23426">
            <w:pPr>
              <w:spacing w:after="0" w:line="240" w:lineRule="auto"/>
              <w:jc w:val="right"/>
              <w:rPr>
                <w:rFonts w:ascii="Times New Roman" w:eastAsia="Times New Roman" w:hAnsi="Times New Roman" w:cs="Times New Roman"/>
                <w:bCs/>
                <w:snapToGrid w:val="0"/>
                <w:sz w:val="20"/>
                <w:szCs w:val="20"/>
              </w:rPr>
            </w:pPr>
            <w:r w:rsidRPr="00496C39">
              <w:rPr>
                <w:rFonts w:ascii="Times New Roman" w:eastAsia="Times New Roman" w:hAnsi="Times New Roman" w:cs="Times New Roman"/>
                <w:bCs/>
                <w:snapToGrid w:val="0"/>
                <w:sz w:val="20"/>
                <w:szCs w:val="20"/>
              </w:rPr>
              <w:t>Izmaiņas</w:t>
            </w:r>
          </w:p>
        </w:tc>
        <w:tc>
          <w:tcPr>
            <w:tcW w:w="694" w:type="dxa"/>
            <w:shd w:val="clear" w:color="auto" w:fill="auto"/>
            <w:vAlign w:val="center"/>
          </w:tcPr>
          <w:p w:rsidR="00C23426" w:rsidRPr="00496C39" w:rsidRDefault="00C23426" w:rsidP="00C23426">
            <w:pPr>
              <w:spacing w:after="0" w:line="240" w:lineRule="auto"/>
              <w:jc w:val="center"/>
              <w:rPr>
                <w:rFonts w:ascii="Times New Roman" w:eastAsia="Times New Roman" w:hAnsi="Times New Roman" w:cs="Times New Roman"/>
                <w:sz w:val="20"/>
                <w:szCs w:val="20"/>
              </w:rPr>
            </w:pPr>
          </w:p>
        </w:tc>
        <w:tc>
          <w:tcPr>
            <w:tcW w:w="850" w:type="dxa"/>
            <w:shd w:val="clear" w:color="auto" w:fill="auto"/>
          </w:tcPr>
          <w:p w:rsidR="00C23426" w:rsidRPr="00496C39" w:rsidRDefault="00C23426" w:rsidP="00C23426">
            <w:pPr>
              <w:spacing w:after="0" w:line="240" w:lineRule="auto"/>
              <w:jc w:val="center"/>
              <w:rPr>
                <w:rFonts w:ascii="Times New Roman" w:eastAsia="Calibri" w:hAnsi="Times New Roman" w:cs="Times New Roman"/>
                <w:sz w:val="20"/>
                <w:szCs w:val="20"/>
              </w:rPr>
            </w:pPr>
            <w:r>
              <w:rPr>
                <w:rFonts w:ascii="Times New Roman" w:eastAsia="Calibri" w:hAnsi="Times New Roman"/>
                <w:sz w:val="20"/>
                <w:szCs w:val="20"/>
              </w:rPr>
              <w:t>-0,1</w:t>
            </w:r>
          </w:p>
        </w:tc>
        <w:tc>
          <w:tcPr>
            <w:tcW w:w="851" w:type="dxa"/>
            <w:shd w:val="clear" w:color="auto" w:fill="auto"/>
          </w:tcPr>
          <w:p w:rsidR="00C23426" w:rsidRPr="00496C39" w:rsidRDefault="00C23426" w:rsidP="00C23426">
            <w:pPr>
              <w:spacing w:after="0" w:line="240" w:lineRule="auto"/>
              <w:jc w:val="center"/>
              <w:rPr>
                <w:rFonts w:ascii="Times New Roman" w:eastAsia="Calibri" w:hAnsi="Times New Roman" w:cs="Times New Roman"/>
                <w:sz w:val="20"/>
                <w:szCs w:val="20"/>
              </w:rPr>
            </w:pPr>
            <w:r w:rsidRPr="00496C39">
              <w:rPr>
                <w:rFonts w:ascii="Times New Roman" w:eastAsia="Calibri" w:hAnsi="Times New Roman" w:cs="Times New Roman"/>
                <w:sz w:val="20"/>
                <w:szCs w:val="20"/>
              </w:rPr>
              <w:t>0,4</w:t>
            </w:r>
          </w:p>
        </w:tc>
        <w:tc>
          <w:tcPr>
            <w:tcW w:w="850" w:type="dxa"/>
            <w:shd w:val="clear" w:color="auto" w:fill="auto"/>
          </w:tcPr>
          <w:p w:rsidR="00C23426" w:rsidRPr="00496C39" w:rsidRDefault="00C23426" w:rsidP="00C23426">
            <w:pPr>
              <w:spacing w:after="0" w:line="240" w:lineRule="auto"/>
              <w:jc w:val="center"/>
              <w:rPr>
                <w:rFonts w:ascii="Times New Roman" w:eastAsia="Calibri" w:hAnsi="Times New Roman" w:cs="Times New Roman"/>
                <w:sz w:val="20"/>
                <w:szCs w:val="20"/>
              </w:rPr>
            </w:pPr>
            <w:r w:rsidRPr="00496C39">
              <w:rPr>
                <w:rFonts w:ascii="Times New Roman" w:eastAsia="Calibri" w:hAnsi="Times New Roman" w:cs="Times New Roman"/>
                <w:sz w:val="20"/>
                <w:szCs w:val="20"/>
              </w:rPr>
              <w:t>0,0</w:t>
            </w:r>
          </w:p>
        </w:tc>
        <w:tc>
          <w:tcPr>
            <w:tcW w:w="851" w:type="dxa"/>
            <w:shd w:val="clear" w:color="auto" w:fill="auto"/>
          </w:tcPr>
          <w:p w:rsidR="00C23426" w:rsidRPr="00496C39" w:rsidRDefault="00C23426" w:rsidP="00C23426">
            <w:pPr>
              <w:spacing w:after="0" w:line="240" w:lineRule="auto"/>
              <w:jc w:val="center"/>
              <w:rPr>
                <w:rFonts w:ascii="Times New Roman" w:eastAsia="Calibri" w:hAnsi="Times New Roman" w:cs="Times New Roman"/>
                <w:sz w:val="20"/>
                <w:szCs w:val="20"/>
              </w:rPr>
            </w:pPr>
            <w:r w:rsidRPr="00496C39">
              <w:rPr>
                <w:rFonts w:ascii="Times New Roman" w:eastAsia="Calibri" w:hAnsi="Times New Roman" w:cs="Times New Roman"/>
                <w:sz w:val="20"/>
                <w:szCs w:val="20"/>
              </w:rPr>
              <w:t>0,14</w:t>
            </w:r>
          </w:p>
        </w:tc>
        <w:tc>
          <w:tcPr>
            <w:tcW w:w="850" w:type="dxa"/>
            <w:shd w:val="clear" w:color="auto" w:fill="auto"/>
          </w:tcPr>
          <w:p w:rsidR="00C23426" w:rsidRPr="00496C39" w:rsidRDefault="00C23426" w:rsidP="00C23426">
            <w:pPr>
              <w:spacing w:after="0" w:line="240" w:lineRule="auto"/>
              <w:jc w:val="center"/>
              <w:rPr>
                <w:rFonts w:ascii="Times New Roman" w:eastAsia="Calibri" w:hAnsi="Times New Roman" w:cs="Times New Roman"/>
                <w:sz w:val="20"/>
                <w:szCs w:val="20"/>
              </w:rPr>
            </w:pPr>
            <w:r w:rsidRPr="00496C39">
              <w:rPr>
                <w:rFonts w:ascii="Times New Roman" w:eastAsia="Calibri" w:hAnsi="Times New Roman" w:cs="Times New Roman"/>
                <w:sz w:val="20"/>
                <w:szCs w:val="20"/>
              </w:rPr>
              <w:t xml:space="preserve"> -</w:t>
            </w:r>
          </w:p>
        </w:tc>
      </w:tr>
      <w:tr w:rsidR="00496C39" w:rsidRPr="00496C39" w:rsidTr="00496C39">
        <w:trPr>
          <w:jc w:val="center"/>
        </w:trPr>
        <w:tc>
          <w:tcPr>
            <w:tcW w:w="4389" w:type="dxa"/>
            <w:shd w:val="clear" w:color="auto" w:fill="DEEAF6"/>
          </w:tcPr>
          <w:p w:rsidR="00496C39" w:rsidRPr="00496C39" w:rsidRDefault="00496C39" w:rsidP="00496C39">
            <w:pPr>
              <w:spacing w:after="0" w:line="240" w:lineRule="auto"/>
              <w:rPr>
                <w:rFonts w:ascii="Times New Roman" w:eastAsia="Times New Roman" w:hAnsi="Times New Roman" w:cs="Times New Roman"/>
                <w:b/>
                <w:bCs/>
                <w:sz w:val="20"/>
                <w:szCs w:val="20"/>
                <w:lang w:eastAsia="lv-LV"/>
              </w:rPr>
            </w:pPr>
            <w:r w:rsidRPr="00496C39">
              <w:rPr>
                <w:rFonts w:ascii="Times New Roman" w:eastAsia="Times New Roman" w:hAnsi="Times New Roman" w:cs="Times New Roman"/>
                <w:b/>
                <w:bCs/>
                <w:sz w:val="20"/>
                <w:szCs w:val="20"/>
                <w:lang w:eastAsia="lv-LV"/>
              </w:rPr>
              <w:t>Vispārējās valdības kopējais parāds (% no IKP)</w:t>
            </w:r>
          </w:p>
        </w:tc>
        <w:tc>
          <w:tcPr>
            <w:tcW w:w="694" w:type="dxa"/>
            <w:shd w:val="clear" w:color="auto" w:fill="DEEAF6"/>
            <w:vAlign w:val="center"/>
          </w:tcPr>
          <w:p w:rsidR="00496C39" w:rsidRPr="00496C39" w:rsidRDefault="00496C39" w:rsidP="00496C39">
            <w:pPr>
              <w:spacing w:after="0" w:line="240" w:lineRule="auto"/>
              <w:jc w:val="center"/>
              <w:rPr>
                <w:rFonts w:ascii="Times New Roman" w:eastAsia="Times New Roman" w:hAnsi="Times New Roman" w:cs="Times New Roman"/>
                <w:b/>
                <w:bCs/>
                <w:sz w:val="20"/>
                <w:szCs w:val="20"/>
                <w:lang w:eastAsia="lv-LV"/>
              </w:rPr>
            </w:pPr>
          </w:p>
        </w:tc>
        <w:tc>
          <w:tcPr>
            <w:tcW w:w="850" w:type="dxa"/>
            <w:shd w:val="clear" w:color="auto" w:fill="DEEAF6"/>
            <w:vAlign w:val="center"/>
          </w:tcPr>
          <w:p w:rsidR="00496C39" w:rsidRPr="00496C39" w:rsidRDefault="00496C39" w:rsidP="00496C39">
            <w:pPr>
              <w:tabs>
                <w:tab w:val="decimal" w:pos="330"/>
              </w:tabs>
              <w:spacing w:after="0" w:line="240" w:lineRule="auto"/>
              <w:jc w:val="center"/>
              <w:rPr>
                <w:rFonts w:ascii="Times New Roman" w:eastAsia="Times New Roman" w:hAnsi="Times New Roman" w:cs="Times New Roman"/>
                <w:b/>
                <w:bCs/>
                <w:sz w:val="20"/>
                <w:szCs w:val="20"/>
                <w:lang w:eastAsia="lv-LV"/>
              </w:rPr>
            </w:pPr>
          </w:p>
        </w:tc>
        <w:tc>
          <w:tcPr>
            <w:tcW w:w="851" w:type="dxa"/>
            <w:shd w:val="clear" w:color="auto" w:fill="DEEAF6"/>
            <w:vAlign w:val="center"/>
          </w:tcPr>
          <w:p w:rsidR="00496C39" w:rsidRPr="00496C39" w:rsidRDefault="00496C39" w:rsidP="00496C39">
            <w:pPr>
              <w:tabs>
                <w:tab w:val="decimal" w:pos="330"/>
              </w:tabs>
              <w:spacing w:after="0" w:line="240" w:lineRule="auto"/>
              <w:jc w:val="center"/>
              <w:rPr>
                <w:rFonts w:ascii="Times New Roman" w:eastAsia="Times New Roman" w:hAnsi="Times New Roman" w:cs="Times New Roman"/>
                <w:b/>
                <w:bCs/>
                <w:sz w:val="20"/>
                <w:szCs w:val="20"/>
                <w:lang w:eastAsia="lv-LV"/>
              </w:rPr>
            </w:pPr>
          </w:p>
        </w:tc>
        <w:tc>
          <w:tcPr>
            <w:tcW w:w="850" w:type="dxa"/>
            <w:shd w:val="clear" w:color="auto" w:fill="DEEAF6"/>
            <w:vAlign w:val="center"/>
          </w:tcPr>
          <w:p w:rsidR="00496C39" w:rsidRPr="00496C39" w:rsidRDefault="00496C39" w:rsidP="00496C39">
            <w:pPr>
              <w:tabs>
                <w:tab w:val="decimal" w:pos="330"/>
              </w:tabs>
              <w:spacing w:after="0" w:line="240" w:lineRule="auto"/>
              <w:jc w:val="center"/>
              <w:rPr>
                <w:rFonts w:ascii="Times New Roman" w:eastAsia="Times New Roman" w:hAnsi="Times New Roman" w:cs="Times New Roman"/>
                <w:b/>
                <w:bCs/>
                <w:sz w:val="20"/>
                <w:szCs w:val="20"/>
                <w:lang w:eastAsia="lv-LV"/>
              </w:rPr>
            </w:pPr>
          </w:p>
        </w:tc>
        <w:tc>
          <w:tcPr>
            <w:tcW w:w="851" w:type="dxa"/>
            <w:shd w:val="clear" w:color="auto" w:fill="DEEAF6"/>
            <w:vAlign w:val="center"/>
          </w:tcPr>
          <w:p w:rsidR="00496C39" w:rsidRPr="00496C39" w:rsidRDefault="00496C39" w:rsidP="00496C39">
            <w:pPr>
              <w:tabs>
                <w:tab w:val="decimal" w:pos="330"/>
              </w:tabs>
              <w:spacing w:after="0" w:line="240" w:lineRule="auto"/>
              <w:jc w:val="center"/>
              <w:rPr>
                <w:rFonts w:ascii="Times New Roman" w:eastAsia="Times New Roman" w:hAnsi="Times New Roman" w:cs="Times New Roman"/>
                <w:b/>
                <w:bCs/>
                <w:sz w:val="20"/>
                <w:szCs w:val="20"/>
                <w:lang w:eastAsia="lv-LV"/>
              </w:rPr>
            </w:pPr>
          </w:p>
        </w:tc>
        <w:tc>
          <w:tcPr>
            <w:tcW w:w="850" w:type="dxa"/>
            <w:shd w:val="clear" w:color="auto" w:fill="DEEAF6"/>
            <w:vAlign w:val="center"/>
          </w:tcPr>
          <w:p w:rsidR="00496C39" w:rsidRPr="00496C39" w:rsidRDefault="00496C39" w:rsidP="00496C39">
            <w:pPr>
              <w:spacing w:after="0" w:line="240" w:lineRule="auto"/>
              <w:jc w:val="center"/>
              <w:rPr>
                <w:rFonts w:ascii="Times New Roman" w:eastAsia="Times New Roman" w:hAnsi="Times New Roman" w:cs="Times New Roman"/>
                <w:b/>
                <w:bCs/>
                <w:sz w:val="20"/>
                <w:szCs w:val="20"/>
                <w:lang w:eastAsia="lv-LV"/>
              </w:rPr>
            </w:pPr>
          </w:p>
        </w:tc>
      </w:tr>
      <w:tr w:rsidR="00496C39" w:rsidRPr="00496C39" w:rsidTr="00496C39">
        <w:trPr>
          <w:jc w:val="center"/>
        </w:trPr>
        <w:tc>
          <w:tcPr>
            <w:tcW w:w="4389" w:type="dxa"/>
            <w:shd w:val="clear" w:color="auto" w:fill="auto"/>
          </w:tcPr>
          <w:p w:rsidR="00496C39" w:rsidRPr="00496C39" w:rsidRDefault="00496C39" w:rsidP="00496C39">
            <w:pPr>
              <w:spacing w:after="0" w:line="240" w:lineRule="auto"/>
              <w:jc w:val="right"/>
              <w:rPr>
                <w:rFonts w:ascii="Times New Roman" w:eastAsia="Times New Roman" w:hAnsi="Times New Roman" w:cs="Times New Roman"/>
                <w:bCs/>
                <w:sz w:val="20"/>
                <w:szCs w:val="20"/>
              </w:rPr>
            </w:pPr>
            <w:r w:rsidRPr="00496C39">
              <w:rPr>
                <w:rFonts w:ascii="Times New Roman" w:eastAsia="Times New Roman" w:hAnsi="Times New Roman" w:cs="Times New Roman"/>
                <w:bCs/>
                <w:sz w:val="20"/>
                <w:szCs w:val="20"/>
              </w:rPr>
              <w:t>2018.gads</w:t>
            </w:r>
          </w:p>
        </w:tc>
        <w:tc>
          <w:tcPr>
            <w:tcW w:w="694" w:type="dxa"/>
            <w:shd w:val="clear" w:color="auto" w:fill="auto"/>
            <w:vAlign w:val="center"/>
          </w:tcPr>
          <w:p w:rsidR="00496C39" w:rsidRPr="00496C39" w:rsidRDefault="00496C39" w:rsidP="00496C39">
            <w:pPr>
              <w:spacing w:after="0" w:line="240" w:lineRule="auto"/>
              <w:jc w:val="center"/>
              <w:rPr>
                <w:rFonts w:ascii="Times New Roman" w:eastAsia="Times New Roman" w:hAnsi="Times New Roman" w:cs="Times New Roman"/>
                <w:sz w:val="20"/>
                <w:szCs w:val="20"/>
              </w:rPr>
            </w:pPr>
          </w:p>
        </w:tc>
        <w:tc>
          <w:tcPr>
            <w:tcW w:w="850" w:type="dxa"/>
            <w:shd w:val="clear" w:color="auto" w:fill="auto"/>
          </w:tcPr>
          <w:p w:rsidR="00496C39" w:rsidRPr="00496C39" w:rsidRDefault="00496C39" w:rsidP="00496C39">
            <w:pPr>
              <w:spacing w:after="0" w:line="240" w:lineRule="auto"/>
              <w:jc w:val="center"/>
              <w:rPr>
                <w:rFonts w:ascii="Times New Roman" w:eastAsia="Calibri" w:hAnsi="Times New Roman" w:cs="Times New Roman"/>
                <w:sz w:val="20"/>
                <w:szCs w:val="20"/>
              </w:rPr>
            </w:pPr>
            <w:r w:rsidRPr="00C23426">
              <w:rPr>
                <w:rFonts w:ascii="Times New Roman" w:eastAsia="Calibri" w:hAnsi="Times New Roman"/>
                <w:sz w:val="20"/>
                <w:szCs w:val="20"/>
              </w:rPr>
              <w:t>38,4</w:t>
            </w:r>
          </w:p>
        </w:tc>
        <w:tc>
          <w:tcPr>
            <w:tcW w:w="851" w:type="dxa"/>
            <w:shd w:val="clear" w:color="auto" w:fill="auto"/>
          </w:tcPr>
          <w:p w:rsidR="00496C39" w:rsidRPr="00496C39" w:rsidRDefault="00496C39" w:rsidP="00496C39">
            <w:pPr>
              <w:spacing w:after="0" w:line="240" w:lineRule="auto"/>
              <w:jc w:val="center"/>
              <w:rPr>
                <w:rFonts w:ascii="Times New Roman" w:eastAsia="Calibri" w:hAnsi="Times New Roman" w:cs="Times New Roman"/>
                <w:sz w:val="20"/>
                <w:szCs w:val="20"/>
              </w:rPr>
            </w:pPr>
            <w:r w:rsidRPr="00496C39">
              <w:rPr>
                <w:rFonts w:ascii="Times New Roman" w:eastAsia="Calibri" w:hAnsi="Times New Roman" w:cs="Times New Roman"/>
                <w:sz w:val="20"/>
                <w:szCs w:val="20"/>
              </w:rPr>
              <w:t>37,4</w:t>
            </w:r>
          </w:p>
        </w:tc>
        <w:tc>
          <w:tcPr>
            <w:tcW w:w="850" w:type="dxa"/>
            <w:shd w:val="clear" w:color="auto" w:fill="auto"/>
          </w:tcPr>
          <w:p w:rsidR="00496C39" w:rsidRPr="00496C39" w:rsidRDefault="00496C39" w:rsidP="00496C39">
            <w:pPr>
              <w:spacing w:after="0" w:line="240" w:lineRule="auto"/>
              <w:jc w:val="center"/>
              <w:rPr>
                <w:rFonts w:ascii="Times New Roman" w:eastAsia="Calibri" w:hAnsi="Times New Roman" w:cs="Times New Roman"/>
                <w:sz w:val="20"/>
                <w:szCs w:val="20"/>
              </w:rPr>
            </w:pPr>
            <w:r w:rsidRPr="00496C39">
              <w:rPr>
                <w:rFonts w:ascii="Times New Roman" w:eastAsia="Calibri" w:hAnsi="Times New Roman" w:cs="Times New Roman"/>
                <w:sz w:val="20"/>
                <w:szCs w:val="20"/>
              </w:rPr>
              <w:t>38,0</w:t>
            </w:r>
          </w:p>
        </w:tc>
        <w:tc>
          <w:tcPr>
            <w:tcW w:w="851" w:type="dxa"/>
            <w:shd w:val="clear" w:color="auto" w:fill="auto"/>
          </w:tcPr>
          <w:p w:rsidR="00496C39" w:rsidRPr="00496C39" w:rsidRDefault="00496C39" w:rsidP="00496C39">
            <w:pPr>
              <w:spacing w:after="0" w:line="240" w:lineRule="auto"/>
              <w:jc w:val="center"/>
              <w:rPr>
                <w:rFonts w:ascii="Times New Roman" w:eastAsia="Calibri" w:hAnsi="Times New Roman" w:cs="Times New Roman"/>
                <w:sz w:val="20"/>
                <w:szCs w:val="20"/>
              </w:rPr>
            </w:pPr>
            <w:r w:rsidRPr="00496C39">
              <w:rPr>
                <w:rFonts w:ascii="Times New Roman" w:eastAsia="Calibri" w:hAnsi="Times New Roman" w:cs="Times New Roman"/>
                <w:sz w:val="20"/>
                <w:szCs w:val="20"/>
              </w:rPr>
              <w:t>35,6</w:t>
            </w:r>
          </w:p>
        </w:tc>
        <w:tc>
          <w:tcPr>
            <w:tcW w:w="850" w:type="dxa"/>
            <w:shd w:val="clear" w:color="auto" w:fill="auto"/>
          </w:tcPr>
          <w:p w:rsidR="00496C39" w:rsidRPr="00496C39" w:rsidRDefault="00496C39" w:rsidP="00496C39">
            <w:pPr>
              <w:tabs>
                <w:tab w:val="decimal" w:pos="330"/>
              </w:tabs>
              <w:spacing w:after="0" w:line="240" w:lineRule="auto"/>
              <w:jc w:val="center"/>
              <w:rPr>
                <w:rFonts w:ascii="Times New Roman" w:eastAsia="Calibri" w:hAnsi="Times New Roman" w:cs="Times New Roman"/>
                <w:sz w:val="20"/>
                <w:szCs w:val="20"/>
              </w:rPr>
            </w:pPr>
            <w:r w:rsidRPr="00496C39">
              <w:rPr>
                <w:rFonts w:ascii="Times New Roman" w:eastAsia="Calibri" w:hAnsi="Times New Roman" w:cs="Times New Roman"/>
                <w:sz w:val="20"/>
                <w:szCs w:val="20"/>
              </w:rPr>
              <w:t>-</w:t>
            </w:r>
          </w:p>
        </w:tc>
      </w:tr>
      <w:tr w:rsidR="00496C39" w:rsidRPr="00496C39" w:rsidTr="00496C39">
        <w:trPr>
          <w:trHeight w:val="70"/>
          <w:jc w:val="center"/>
        </w:trPr>
        <w:tc>
          <w:tcPr>
            <w:tcW w:w="4389" w:type="dxa"/>
            <w:shd w:val="clear" w:color="auto" w:fill="DEEAF6"/>
          </w:tcPr>
          <w:p w:rsidR="00496C39" w:rsidRPr="00496C39" w:rsidRDefault="00496C39" w:rsidP="00496C39">
            <w:pPr>
              <w:spacing w:after="0" w:line="240" w:lineRule="auto"/>
              <w:jc w:val="right"/>
              <w:rPr>
                <w:rFonts w:ascii="Times New Roman" w:eastAsia="Times New Roman" w:hAnsi="Times New Roman" w:cs="Times New Roman"/>
                <w:bCs/>
                <w:sz w:val="20"/>
                <w:szCs w:val="20"/>
              </w:rPr>
            </w:pPr>
            <w:r w:rsidRPr="00496C39">
              <w:rPr>
                <w:rFonts w:ascii="Times New Roman" w:eastAsia="Times New Roman" w:hAnsi="Times New Roman" w:cs="Times New Roman"/>
                <w:bCs/>
                <w:sz w:val="20"/>
                <w:szCs w:val="20"/>
              </w:rPr>
              <w:t>2019.gads</w:t>
            </w:r>
          </w:p>
        </w:tc>
        <w:tc>
          <w:tcPr>
            <w:tcW w:w="694" w:type="dxa"/>
            <w:shd w:val="clear" w:color="auto" w:fill="DEEAF6"/>
            <w:vAlign w:val="center"/>
          </w:tcPr>
          <w:p w:rsidR="00496C39" w:rsidRPr="00496C39" w:rsidRDefault="00496C39" w:rsidP="00496C39">
            <w:pPr>
              <w:spacing w:after="0" w:line="240" w:lineRule="auto"/>
              <w:jc w:val="center"/>
              <w:rPr>
                <w:rFonts w:ascii="Times New Roman" w:eastAsia="Times New Roman" w:hAnsi="Times New Roman" w:cs="Times New Roman"/>
                <w:sz w:val="20"/>
                <w:szCs w:val="20"/>
              </w:rPr>
            </w:pPr>
          </w:p>
        </w:tc>
        <w:tc>
          <w:tcPr>
            <w:tcW w:w="850" w:type="dxa"/>
            <w:shd w:val="clear" w:color="auto" w:fill="DEEAF6"/>
          </w:tcPr>
          <w:p w:rsidR="00496C39" w:rsidRPr="007D040E" w:rsidRDefault="00496C39" w:rsidP="00496C39">
            <w:pPr>
              <w:spacing w:after="0" w:line="240" w:lineRule="auto"/>
              <w:jc w:val="center"/>
              <w:rPr>
                <w:rFonts w:ascii="Times New Roman" w:eastAsia="Calibri" w:hAnsi="Times New Roman" w:cs="Times New Roman"/>
                <w:sz w:val="20"/>
                <w:szCs w:val="20"/>
              </w:rPr>
            </w:pPr>
            <w:r w:rsidRPr="007D040E">
              <w:rPr>
                <w:rFonts w:ascii="Times New Roman" w:eastAsia="Calibri" w:hAnsi="Times New Roman"/>
                <w:sz w:val="20"/>
                <w:szCs w:val="20"/>
              </w:rPr>
              <w:t>35,9</w:t>
            </w:r>
          </w:p>
        </w:tc>
        <w:tc>
          <w:tcPr>
            <w:tcW w:w="851" w:type="dxa"/>
            <w:shd w:val="clear" w:color="auto" w:fill="DEEAF6"/>
          </w:tcPr>
          <w:p w:rsidR="00496C39" w:rsidRPr="00496C39" w:rsidRDefault="00496C39" w:rsidP="00496C39">
            <w:pPr>
              <w:spacing w:after="0" w:line="240" w:lineRule="auto"/>
              <w:jc w:val="center"/>
              <w:rPr>
                <w:rFonts w:ascii="Times New Roman" w:eastAsia="Calibri" w:hAnsi="Times New Roman" w:cs="Times New Roman"/>
                <w:sz w:val="20"/>
                <w:szCs w:val="20"/>
              </w:rPr>
            </w:pPr>
            <w:r w:rsidRPr="00496C39">
              <w:rPr>
                <w:rFonts w:ascii="Times New Roman" w:eastAsia="Calibri" w:hAnsi="Times New Roman" w:cs="Times New Roman"/>
                <w:sz w:val="20"/>
                <w:szCs w:val="20"/>
              </w:rPr>
              <w:t>37,4</w:t>
            </w:r>
          </w:p>
        </w:tc>
        <w:tc>
          <w:tcPr>
            <w:tcW w:w="850" w:type="dxa"/>
            <w:shd w:val="clear" w:color="auto" w:fill="DEEAF6"/>
          </w:tcPr>
          <w:p w:rsidR="00496C39" w:rsidRPr="00496C39" w:rsidRDefault="00496C39" w:rsidP="00496C39">
            <w:pPr>
              <w:spacing w:after="0" w:line="240" w:lineRule="auto"/>
              <w:jc w:val="center"/>
              <w:rPr>
                <w:rFonts w:ascii="Times New Roman" w:eastAsia="Calibri" w:hAnsi="Times New Roman" w:cs="Times New Roman"/>
                <w:sz w:val="20"/>
                <w:szCs w:val="20"/>
              </w:rPr>
            </w:pPr>
            <w:r w:rsidRPr="00496C39">
              <w:rPr>
                <w:rFonts w:ascii="Times New Roman" w:eastAsia="Calibri" w:hAnsi="Times New Roman" w:cs="Times New Roman"/>
                <w:sz w:val="20"/>
                <w:szCs w:val="20"/>
              </w:rPr>
              <w:t>36,1</w:t>
            </w:r>
          </w:p>
        </w:tc>
        <w:tc>
          <w:tcPr>
            <w:tcW w:w="851" w:type="dxa"/>
            <w:shd w:val="clear" w:color="auto" w:fill="DEEAF6"/>
          </w:tcPr>
          <w:p w:rsidR="00496C39" w:rsidRPr="00496C39" w:rsidRDefault="00496C39" w:rsidP="00496C39">
            <w:pPr>
              <w:spacing w:after="0" w:line="240" w:lineRule="auto"/>
              <w:jc w:val="center"/>
              <w:rPr>
                <w:rFonts w:ascii="Times New Roman" w:eastAsia="Calibri" w:hAnsi="Times New Roman" w:cs="Times New Roman"/>
                <w:sz w:val="20"/>
                <w:szCs w:val="20"/>
              </w:rPr>
            </w:pPr>
            <w:r w:rsidRPr="00496C39">
              <w:rPr>
                <w:rFonts w:ascii="Times New Roman" w:eastAsia="Calibri" w:hAnsi="Times New Roman" w:cs="Times New Roman"/>
                <w:sz w:val="20"/>
                <w:szCs w:val="20"/>
              </w:rPr>
              <w:t>33,5</w:t>
            </w:r>
          </w:p>
        </w:tc>
        <w:tc>
          <w:tcPr>
            <w:tcW w:w="850" w:type="dxa"/>
            <w:shd w:val="clear" w:color="auto" w:fill="DEEAF6"/>
          </w:tcPr>
          <w:p w:rsidR="00496C39" w:rsidRPr="00496C39" w:rsidRDefault="00496C39" w:rsidP="00496C39">
            <w:pPr>
              <w:spacing w:after="0" w:line="240" w:lineRule="auto"/>
              <w:jc w:val="center"/>
              <w:rPr>
                <w:rFonts w:ascii="Times New Roman" w:eastAsia="Calibri" w:hAnsi="Times New Roman" w:cs="Times New Roman"/>
                <w:sz w:val="20"/>
                <w:szCs w:val="20"/>
              </w:rPr>
            </w:pPr>
            <w:r w:rsidRPr="00496C39">
              <w:rPr>
                <w:rFonts w:ascii="Times New Roman" w:eastAsia="Calibri" w:hAnsi="Times New Roman" w:cs="Times New Roman"/>
                <w:sz w:val="20"/>
                <w:szCs w:val="20"/>
              </w:rPr>
              <w:t>33,1</w:t>
            </w:r>
          </w:p>
        </w:tc>
      </w:tr>
      <w:tr w:rsidR="00496C39" w:rsidRPr="00496C39" w:rsidTr="00496C39">
        <w:trPr>
          <w:jc w:val="center"/>
        </w:trPr>
        <w:tc>
          <w:tcPr>
            <w:tcW w:w="4389" w:type="dxa"/>
            <w:shd w:val="clear" w:color="auto" w:fill="auto"/>
          </w:tcPr>
          <w:p w:rsidR="00496C39" w:rsidRPr="00496C39" w:rsidRDefault="00496C39" w:rsidP="00496C39">
            <w:pPr>
              <w:spacing w:after="0" w:line="240" w:lineRule="auto"/>
              <w:jc w:val="right"/>
              <w:rPr>
                <w:rFonts w:ascii="Times New Roman" w:eastAsia="Times New Roman" w:hAnsi="Times New Roman" w:cs="Times New Roman"/>
                <w:bCs/>
                <w:snapToGrid w:val="0"/>
                <w:sz w:val="20"/>
                <w:szCs w:val="20"/>
              </w:rPr>
            </w:pPr>
            <w:r w:rsidRPr="00496C39">
              <w:rPr>
                <w:rFonts w:ascii="Times New Roman" w:eastAsia="Times New Roman" w:hAnsi="Times New Roman" w:cs="Times New Roman"/>
                <w:sz w:val="20"/>
              </w:rPr>
              <w:t>Izmaiņas</w:t>
            </w:r>
          </w:p>
        </w:tc>
        <w:tc>
          <w:tcPr>
            <w:tcW w:w="694" w:type="dxa"/>
            <w:shd w:val="clear" w:color="auto" w:fill="auto"/>
            <w:vAlign w:val="center"/>
          </w:tcPr>
          <w:p w:rsidR="00496C39" w:rsidRPr="00496C39" w:rsidRDefault="00496C39" w:rsidP="00496C39">
            <w:pPr>
              <w:spacing w:after="0" w:line="240" w:lineRule="auto"/>
              <w:jc w:val="center"/>
              <w:rPr>
                <w:rFonts w:ascii="Times New Roman" w:eastAsia="Times New Roman" w:hAnsi="Times New Roman" w:cs="Times New Roman"/>
                <w:sz w:val="20"/>
                <w:szCs w:val="20"/>
              </w:rPr>
            </w:pPr>
          </w:p>
        </w:tc>
        <w:tc>
          <w:tcPr>
            <w:tcW w:w="850" w:type="dxa"/>
            <w:shd w:val="clear" w:color="auto" w:fill="auto"/>
          </w:tcPr>
          <w:p w:rsidR="00496C39" w:rsidRPr="007D040E" w:rsidRDefault="00496C39" w:rsidP="00496C39">
            <w:pPr>
              <w:spacing w:after="0" w:line="240" w:lineRule="auto"/>
              <w:jc w:val="center"/>
              <w:rPr>
                <w:rFonts w:ascii="Times New Roman" w:eastAsia="Calibri" w:hAnsi="Times New Roman" w:cs="Times New Roman"/>
                <w:sz w:val="20"/>
                <w:szCs w:val="20"/>
              </w:rPr>
            </w:pPr>
            <w:r w:rsidRPr="007D040E">
              <w:rPr>
                <w:rFonts w:ascii="Times New Roman" w:eastAsia="Calibri" w:hAnsi="Times New Roman"/>
                <w:sz w:val="20"/>
                <w:szCs w:val="20"/>
              </w:rPr>
              <w:t>-2,5</w:t>
            </w:r>
          </w:p>
        </w:tc>
        <w:tc>
          <w:tcPr>
            <w:tcW w:w="851" w:type="dxa"/>
            <w:shd w:val="clear" w:color="auto" w:fill="auto"/>
          </w:tcPr>
          <w:p w:rsidR="00496C39" w:rsidRPr="00496C39" w:rsidRDefault="00496C39" w:rsidP="00496C39">
            <w:pPr>
              <w:spacing w:after="0" w:line="240" w:lineRule="auto"/>
              <w:jc w:val="center"/>
              <w:rPr>
                <w:rFonts w:ascii="Times New Roman" w:eastAsia="Calibri" w:hAnsi="Times New Roman" w:cs="Times New Roman"/>
                <w:sz w:val="20"/>
                <w:szCs w:val="20"/>
              </w:rPr>
            </w:pPr>
            <w:r w:rsidRPr="00496C39">
              <w:rPr>
                <w:rFonts w:ascii="Times New Roman" w:eastAsia="Calibri" w:hAnsi="Times New Roman" w:cs="Times New Roman"/>
                <w:sz w:val="20"/>
                <w:szCs w:val="20"/>
              </w:rPr>
              <w:t>-0,0</w:t>
            </w:r>
          </w:p>
        </w:tc>
        <w:tc>
          <w:tcPr>
            <w:tcW w:w="850" w:type="dxa"/>
            <w:shd w:val="clear" w:color="auto" w:fill="auto"/>
          </w:tcPr>
          <w:p w:rsidR="00496C39" w:rsidRPr="00496C39" w:rsidRDefault="00496C39" w:rsidP="00496C39">
            <w:pPr>
              <w:spacing w:after="0" w:line="240" w:lineRule="auto"/>
              <w:jc w:val="center"/>
              <w:rPr>
                <w:rFonts w:ascii="Times New Roman" w:eastAsia="Calibri" w:hAnsi="Times New Roman" w:cs="Times New Roman"/>
                <w:sz w:val="20"/>
                <w:szCs w:val="20"/>
              </w:rPr>
            </w:pPr>
            <w:r w:rsidRPr="00496C39">
              <w:rPr>
                <w:rFonts w:ascii="Times New Roman" w:eastAsia="Calibri" w:hAnsi="Times New Roman" w:cs="Times New Roman"/>
                <w:sz w:val="20"/>
                <w:szCs w:val="20"/>
              </w:rPr>
              <w:t>-1,9</w:t>
            </w:r>
          </w:p>
        </w:tc>
        <w:tc>
          <w:tcPr>
            <w:tcW w:w="851" w:type="dxa"/>
            <w:shd w:val="clear" w:color="auto" w:fill="auto"/>
          </w:tcPr>
          <w:p w:rsidR="00496C39" w:rsidRPr="00496C39" w:rsidRDefault="00496C39" w:rsidP="00496C39">
            <w:pPr>
              <w:spacing w:after="0" w:line="240" w:lineRule="auto"/>
              <w:jc w:val="center"/>
              <w:rPr>
                <w:rFonts w:ascii="Times New Roman" w:eastAsia="Calibri" w:hAnsi="Times New Roman" w:cs="Times New Roman"/>
                <w:sz w:val="20"/>
                <w:szCs w:val="20"/>
              </w:rPr>
            </w:pPr>
            <w:r w:rsidRPr="00496C39">
              <w:rPr>
                <w:rFonts w:ascii="Times New Roman" w:eastAsia="Calibri" w:hAnsi="Times New Roman" w:cs="Times New Roman"/>
                <w:sz w:val="20"/>
                <w:szCs w:val="20"/>
              </w:rPr>
              <w:t>-2,1</w:t>
            </w:r>
          </w:p>
        </w:tc>
        <w:tc>
          <w:tcPr>
            <w:tcW w:w="850" w:type="dxa"/>
            <w:shd w:val="clear" w:color="auto" w:fill="auto"/>
          </w:tcPr>
          <w:p w:rsidR="00496C39" w:rsidRPr="00496C39" w:rsidRDefault="00496C39" w:rsidP="00496C39">
            <w:pPr>
              <w:spacing w:after="0" w:line="240" w:lineRule="auto"/>
              <w:jc w:val="center"/>
              <w:rPr>
                <w:rFonts w:ascii="Times New Roman" w:eastAsia="Calibri" w:hAnsi="Times New Roman" w:cs="Times New Roman"/>
                <w:sz w:val="20"/>
                <w:szCs w:val="20"/>
              </w:rPr>
            </w:pPr>
            <w:r w:rsidRPr="00496C39">
              <w:rPr>
                <w:rFonts w:ascii="Times New Roman" w:eastAsia="Calibri" w:hAnsi="Times New Roman" w:cs="Times New Roman"/>
                <w:sz w:val="20"/>
                <w:szCs w:val="20"/>
              </w:rPr>
              <w:t>-</w:t>
            </w:r>
          </w:p>
        </w:tc>
      </w:tr>
    </w:tbl>
    <w:p w:rsidR="0053105F" w:rsidRPr="00782778" w:rsidRDefault="0053105F" w:rsidP="0053105F">
      <w:pPr>
        <w:rPr>
          <w:rFonts w:ascii="Times New Roman" w:hAnsi="Times New Roman" w:cs="Times New Roman"/>
          <w:b/>
          <w:bCs/>
          <w:color w:val="000000"/>
          <w:sz w:val="24"/>
          <w:szCs w:val="24"/>
          <w:highlight w:val="yellow"/>
        </w:rPr>
      </w:pPr>
      <w:r w:rsidRPr="00DF38C8">
        <w:rPr>
          <w:rFonts w:ascii="Times New Roman" w:eastAsia="Times New Roman" w:hAnsi="Times New Roman" w:cs="Times New Roman"/>
          <w:color w:val="000000"/>
          <w:sz w:val="18"/>
          <w:szCs w:val="18"/>
          <w:lang w:eastAsia="lv-LV"/>
        </w:rPr>
        <w:t>Datu avots:  EC EPC AWG, The 2018 Ageing Report</w:t>
      </w:r>
    </w:p>
    <w:p w:rsidR="003D44E6" w:rsidRDefault="003D44E6" w:rsidP="0053105F">
      <w:pPr>
        <w:spacing w:after="0"/>
        <w:rPr>
          <w:rFonts w:ascii="Times New Roman" w:hAnsi="Times New Roman" w:cs="Times New Roman"/>
          <w:b/>
          <w:bCs/>
          <w:color w:val="000000"/>
          <w:sz w:val="20"/>
          <w:szCs w:val="20"/>
        </w:rPr>
      </w:pPr>
    </w:p>
    <w:p w:rsidR="00DA2B04" w:rsidRDefault="00DA2B04">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br w:type="page"/>
      </w:r>
    </w:p>
    <w:p w:rsidR="00DA2B04" w:rsidRPr="00496C39" w:rsidRDefault="00DA2B04" w:rsidP="0053105F">
      <w:pPr>
        <w:spacing w:after="0"/>
        <w:rPr>
          <w:rFonts w:ascii="Times New Roman" w:hAnsi="Times New Roman" w:cs="Times New Roman"/>
          <w:b/>
          <w:bCs/>
          <w:color w:val="000000"/>
          <w:sz w:val="20"/>
          <w:szCs w:val="20"/>
        </w:rPr>
      </w:pPr>
    </w:p>
    <w:p w:rsidR="0053105F" w:rsidRDefault="0053105F" w:rsidP="0053105F">
      <w:pPr>
        <w:spacing w:after="0"/>
        <w:rPr>
          <w:rFonts w:ascii="Times New Roman" w:hAnsi="Times New Roman" w:cs="Times New Roman"/>
          <w:b/>
          <w:bCs/>
          <w:color w:val="000000"/>
          <w:sz w:val="24"/>
          <w:szCs w:val="24"/>
        </w:rPr>
      </w:pPr>
      <w:r w:rsidRPr="002F4FBB">
        <w:rPr>
          <w:rFonts w:ascii="Times New Roman" w:hAnsi="Times New Roman" w:cs="Times New Roman"/>
          <w:b/>
          <w:bCs/>
          <w:color w:val="000000"/>
          <w:sz w:val="24"/>
          <w:szCs w:val="24"/>
        </w:rPr>
        <w:t>7a.tabula Netiešās saistības</w:t>
      </w:r>
    </w:p>
    <w:tbl>
      <w:tblPr>
        <w:tblStyle w:val="GridTable6Colorful-Accent119"/>
        <w:tblW w:w="0" w:type="auto"/>
        <w:tblInd w:w="137" w:type="dxa"/>
        <w:tblLayout w:type="fixed"/>
        <w:tblLook w:val="04A0" w:firstRow="1" w:lastRow="0" w:firstColumn="1" w:lastColumn="0" w:noHBand="0" w:noVBand="1"/>
      </w:tblPr>
      <w:tblGrid>
        <w:gridCol w:w="3250"/>
        <w:gridCol w:w="993"/>
      </w:tblGrid>
      <w:tr w:rsidR="00496C39" w:rsidRPr="00496C39" w:rsidTr="00880823">
        <w:trPr>
          <w:cnfStyle w:val="100000000000" w:firstRow="1" w:lastRow="0" w:firstColumn="0" w:lastColumn="0" w:oddVBand="0" w:evenVBand="0" w:oddHBand="0"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3250" w:type="dxa"/>
            <w:vAlign w:val="center"/>
          </w:tcPr>
          <w:p w:rsidR="00496C39" w:rsidRPr="00496C39" w:rsidRDefault="00496C39" w:rsidP="00496C39">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496C39">
              <w:rPr>
                <w:rFonts w:ascii="Times New Roman" w:eastAsia="Times New Roman" w:hAnsi="Times New Roman" w:cs="Times New Roman"/>
                <w:color w:val="000000"/>
                <w:sz w:val="20"/>
                <w:szCs w:val="20"/>
              </w:rPr>
              <w:t>% no IKP</w:t>
            </w:r>
          </w:p>
        </w:tc>
        <w:tc>
          <w:tcPr>
            <w:tcW w:w="993" w:type="dxa"/>
            <w:vAlign w:val="center"/>
          </w:tcPr>
          <w:p w:rsidR="00496C39" w:rsidRPr="007D040E" w:rsidRDefault="00496C39" w:rsidP="00496C39">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rPr>
            </w:pPr>
            <w:r w:rsidRPr="007D040E">
              <w:rPr>
                <w:rFonts w:ascii="Times New Roman" w:hAnsi="Times New Roman"/>
                <w:color w:val="000000"/>
                <w:sz w:val="20"/>
              </w:rPr>
              <w:t>2018</w:t>
            </w:r>
          </w:p>
        </w:tc>
      </w:tr>
      <w:tr w:rsidR="00496C39" w:rsidRPr="00496C39" w:rsidTr="00880823">
        <w:trPr>
          <w:cnfStyle w:val="000000100000" w:firstRow="0" w:lastRow="0" w:firstColumn="0" w:lastColumn="0" w:oddVBand="0" w:evenVBand="0" w:oddHBand="1"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3250" w:type="dxa"/>
          </w:tcPr>
          <w:p w:rsidR="00496C39" w:rsidRPr="00496C39" w:rsidRDefault="00496C39" w:rsidP="00496C39">
            <w:pPr>
              <w:spacing w:after="0" w:line="240" w:lineRule="auto"/>
              <w:rPr>
                <w:rFonts w:ascii="Times New Roman" w:eastAsia="Times New Roman" w:hAnsi="Times New Roman" w:cs="Times New Roman"/>
                <w:b w:val="0"/>
                <w:bCs w:val="0"/>
                <w:color w:val="000000"/>
                <w:sz w:val="20"/>
                <w:szCs w:val="20"/>
              </w:rPr>
            </w:pPr>
            <w:r w:rsidRPr="00496C39">
              <w:rPr>
                <w:rFonts w:ascii="Times New Roman" w:eastAsia="Times New Roman" w:hAnsi="Times New Roman" w:cs="Times New Roman"/>
                <w:b w:val="0"/>
                <w:color w:val="000000"/>
                <w:sz w:val="20"/>
                <w:szCs w:val="20"/>
              </w:rPr>
              <w:t>Valsts un pašvaldību galvojumi</w:t>
            </w:r>
          </w:p>
        </w:tc>
        <w:tc>
          <w:tcPr>
            <w:tcW w:w="993" w:type="dxa"/>
          </w:tcPr>
          <w:p w:rsidR="00496C39" w:rsidRPr="007D040E" w:rsidRDefault="00496C39" w:rsidP="00496C39">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rPr>
            </w:pPr>
            <w:r w:rsidRPr="007D040E">
              <w:rPr>
                <w:rFonts w:ascii="Times New Roman" w:eastAsia="Times New Roman" w:hAnsi="Times New Roman" w:cs="Times New Roman"/>
                <w:color w:val="000000" w:themeColor="text1"/>
                <w:sz w:val="20"/>
                <w:szCs w:val="20"/>
                <w:lang w:eastAsia="lv-LV"/>
              </w:rPr>
              <w:t>1,4%</w:t>
            </w:r>
          </w:p>
        </w:tc>
      </w:tr>
      <w:tr w:rsidR="00496C39" w:rsidRPr="00496C39" w:rsidTr="00880823">
        <w:trPr>
          <w:trHeight w:val="133"/>
        </w:trPr>
        <w:tc>
          <w:tcPr>
            <w:cnfStyle w:val="001000000000" w:firstRow="0" w:lastRow="0" w:firstColumn="1" w:lastColumn="0" w:oddVBand="0" w:evenVBand="0" w:oddHBand="0" w:evenHBand="0" w:firstRowFirstColumn="0" w:firstRowLastColumn="0" w:lastRowFirstColumn="0" w:lastRowLastColumn="0"/>
            <w:tcW w:w="3250" w:type="dxa"/>
          </w:tcPr>
          <w:p w:rsidR="00496C39" w:rsidRPr="00496C39" w:rsidRDefault="00496C39" w:rsidP="00496C39">
            <w:pPr>
              <w:spacing w:after="0" w:line="240" w:lineRule="auto"/>
              <w:rPr>
                <w:rFonts w:ascii="Times New Roman" w:eastAsia="Times New Roman" w:hAnsi="Times New Roman" w:cs="Times New Roman"/>
                <w:b w:val="0"/>
                <w:i/>
                <w:iCs/>
                <w:color w:val="000000"/>
                <w:sz w:val="20"/>
                <w:szCs w:val="20"/>
              </w:rPr>
            </w:pPr>
            <w:r w:rsidRPr="00496C39">
              <w:rPr>
                <w:rFonts w:ascii="Times New Roman" w:eastAsia="Times New Roman" w:hAnsi="Times New Roman" w:cs="Times New Roman"/>
                <w:b w:val="0"/>
                <w:i/>
                <w:iCs/>
                <w:color w:val="000000"/>
                <w:sz w:val="20"/>
                <w:szCs w:val="20"/>
              </w:rPr>
              <w:t xml:space="preserve">No kurām saistīti ar finanšu sektoru </w:t>
            </w:r>
          </w:p>
        </w:tc>
        <w:tc>
          <w:tcPr>
            <w:tcW w:w="993" w:type="dxa"/>
          </w:tcPr>
          <w:p w:rsidR="00496C39" w:rsidRPr="007D040E" w:rsidRDefault="00496C39" w:rsidP="00496C39">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rPr>
            </w:pPr>
            <w:r w:rsidRPr="007D040E">
              <w:rPr>
                <w:rFonts w:ascii="Times New Roman" w:eastAsia="Times New Roman" w:hAnsi="Times New Roman" w:cs="Times New Roman"/>
                <w:color w:val="000000" w:themeColor="text1"/>
                <w:sz w:val="20"/>
                <w:szCs w:val="20"/>
                <w:lang w:eastAsia="lv-LV"/>
              </w:rPr>
              <w:t>0,8%</w:t>
            </w:r>
          </w:p>
        </w:tc>
      </w:tr>
    </w:tbl>
    <w:p w:rsidR="00DA2B04" w:rsidRDefault="00DA2B04" w:rsidP="00DA2B04">
      <w:pPr>
        <w:tabs>
          <w:tab w:val="left" w:pos="851"/>
          <w:tab w:val="left" w:pos="6663"/>
        </w:tabs>
        <w:spacing w:after="0" w:line="240" w:lineRule="auto"/>
        <w:rPr>
          <w:rFonts w:ascii="Times New Roman" w:hAnsi="Times New Roman"/>
          <w:sz w:val="28"/>
          <w:szCs w:val="28"/>
        </w:rPr>
      </w:pPr>
    </w:p>
    <w:p w:rsidR="00DA2B04" w:rsidRDefault="00DA2B04" w:rsidP="00DA2B04">
      <w:pPr>
        <w:tabs>
          <w:tab w:val="left" w:pos="851"/>
          <w:tab w:val="left" w:pos="6663"/>
        </w:tabs>
        <w:spacing w:after="0" w:line="240" w:lineRule="auto"/>
        <w:rPr>
          <w:rFonts w:ascii="Times New Roman" w:hAnsi="Times New Roman"/>
          <w:sz w:val="28"/>
          <w:szCs w:val="28"/>
        </w:rPr>
      </w:pPr>
    </w:p>
    <w:p w:rsidR="00DA2B04" w:rsidRDefault="00DA2B04" w:rsidP="00DA2B04">
      <w:pPr>
        <w:tabs>
          <w:tab w:val="left" w:pos="851"/>
          <w:tab w:val="left" w:pos="6663"/>
        </w:tabs>
        <w:spacing w:after="0" w:line="240" w:lineRule="auto"/>
        <w:rPr>
          <w:rFonts w:ascii="Times New Roman" w:hAnsi="Times New Roman"/>
          <w:sz w:val="28"/>
          <w:szCs w:val="28"/>
        </w:rPr>
      </w:pPr>
    </w:p>
    <w:p w:rsidR="00DA2B04" w:rsidRDefault="00DA2B04" w:rsidP="00DA2B04">
      <w:pPr>
        <w:tabs>
          <w:tab w:val="left" w:pos="851"/>
          <w:tab w:val="left" w:pos="6663"/>
        </w:tabs>
        <w:spacing w:after="0" w:line="240" w:lineRule="auto"/>
        <w:rPr>
          <w:rFonts w:ascii="Times New Roman" w:hAnsi="Times New Roman"/>
          <w:sz w:val="28"/>
          <w:szCs w:val="28"/>
        </w:rPr>
      </w:pPr>
    </w:p>
    <w:p w:rsidR="00DA2B04" w:rsidRDefault="00DA2B04" w:rsidP="00DA2B04">
      <w:pPr>
        <w:tabs>
          <w:tab w:val="left" w:pos="851"/>
          <w:tab w:val="left" w:pos="6663"/>
        </w:tabs>
        <w:spacing w:after="0" w:line="240" w:lineRule="auto"/>
        <w:rPr>
          <w:rFonts w:ascii="Times New Roman" w:hAnsi="Times New Roman"/>
          <w:sz w:val="28"/>
          <w:szCs w:val="28"/>
        </w:rPr>
      </w:pPr>
    </w:p>
    <w:p w:rsidR="00DA2B04" w:rsidRDefault="00DA2B04" w:rsidP="00DA2B04">
      <w:pPr>
        <w:tabs>
          <w:tab w:val="left" w:pos="851"/>
          <w:tab w:val="left" w:pos="6663"/>
        </w:tabs>
        <w:spacing w:after="0" w:line="240" w:lineRule="auto"/>
        <w:rPr>
          <w:rFonts w:ascii="Times New Roman" w:hAnsi="Times New Roman"/>
          <w:sz w:val="28"/>
          <w:szCs w:val="28"/>
        </w:rPr>
      </w:pPr>
    </w:p>
    <w:p w:rsidR="00DA2B04" w:rsidRDefault="00DA2B04" w:rsidP="00DA2B04">
      <w:pPr>
        <w:tabs>
          <w:tab w:val="left" w:pos="851"/>
          <w:tab w:val="left" w:pos="6663"/>
        </w:tabs>
        <w:spacing w:after="0" w:line="240" w:lineRule="auto"/>
        <w:rPr>
          <w:rFonts w:ascii="Times New Roman" w:hAnsi="Times New Roman"/>
          <w:sz w:val="28"/>
          <w:szCs w:val="28"/>
        </w:rPr>
      </w:pPr>
    </w:p>
    <w:p w:rsidR="00DA2B04" w:rsidRDefault="00DA2B04" w:rsidP="00DA2B04">
      <w:pPr>
        <w:tabs>
          <w:tab w:val="left" w:pos="851"/>
          <w:tab w:val="left" w:pos="6663"/>
        </w:tabs>
        <w:spacing w:after="0" w:line="240" w:lineRule="auto"/>
        <w:rPr>
          <w:rFonts w:ascii="Times New Roman" w:hAnsi="Times New Roman"/>
          <w:sz w:val="28"/>
          <w:szCs w:val="28"/>
        </w:rPr>
      </w:pPr>
    </w:p>
    <w:p w:rsidR="00DA2B04" w:rsidRDefault="00DA2B04" w:rsidP="00DA2B04">
      <w:pPr>
        <w:tabs>
          <w:tab w:val="left" w:pos="851"/>
          <w:tab w:val="left" w:pos="6663"/>
        </w:tabs>
        <w:spacing w:after="0" w:line="240" w:lineRule="auto"/>
        <w:rPr>
          <w:rFonts w:ascii="Times New Roman" w:hAnsi="Times New Roman"/>
          <w:sz w:val="28"/>
          <w:szCs w:val="28"/>
        </w:rPr>
      </w:pPr>
    </w:p>
    <w:p w:rsidR="00DA2B04" w:rsidRDefault="00DA2B04" w:rsidP="00DA2B04">
      <w:pPr>
        <w:tabs>
          <w:tab w:val="left" w:pos="851"/>
          <w:tab w:val="left" w:pos="6663"/>
        </w:tabs>
        <w:spacing w:after="0" w:line="240" w:lineRule="auto"/>
        <w:rPr>
          <w:rFonts w:ascii="Times New Roman" w:hAnsi="Times New Roman"/>
          <w:sz w:val="28"/>
          <w:szCs w:val="28"/>
        </w:rPr>
      </w:pPr>
    </w:p>
    <w:p w:rsidR="00DA2B04" w:rsidRPr="00DA2B04" w:rsidRDefault="00DA2B04" w:rsidP="00DA2B04">
      <w:pPr>
        <w:tabs>
          <w:tab w:val="left" w:pos="851"/>
          <w:tab w:val="left" w:pos="6663"/>
        </w:tabs>
        <w:spacing w:after="0" w:line="240" w:lineRule="auto"/>
        <w:rPr>
          <w:rFonts w:ascii="Times New Roman" w:hAnsi="Times New Roman"/>
          <w:sz w:val="24"/>
          <w:szCs w:val="24"/>
        </w:rPr>
      </w:pPr>
      <w:r w:rsidRPr="00DA2B04">
        <w:rPr>
          <w:rFonts w:ascii="Times New Roman" w:hAnsi="Times New Roman"/>
          <w:sz w:val="24"/>
          <w:szCs w:val="24"/>
        </w:rPr>
        <w:t>Finanšu ministra vietā</w:t>
      </w:r>
    </w:p>
    <w:p w:rsidR="00DA2B04" w:rsidRPr="00DA2B04" w:rsidRDefault="00DA2B04" w:rsidP="00DA2B04">
      <w:pPr>
        <w:tabs>
          <w:tab w:val="left" w:pos="851"/>
          <w:tab w:val="left" w:pos="6663"/>
        </w:tabs>
        <w:spacing w:after="0" w:line="240" w:lineRule="auto"/>
        <w:rPr>
          <w:rFonts w:ascii="Times New Roman" w:hAnsi="Times New Roman"/>
          <w:sz w:val="24"/>
          <w:szCs w:val="24"/>
        </w:rPr>
      </w:pPr>
      <w:r w:rsidRPr="00DA2B04">
        <w:rPr>
          <w:rFonts w:ascii="Times New Roman" w:hAnsi="Times New Roman"/>
          <w:sz w:val="24"/>
          <w:szCs w:val="24"/>
        </w:rPr>
        <w:t xml:space="preserve">Veselības ministre </w:t>
      </w:r>
      <w:r>
        <w:rPr>
          <w:rFonts w:ascii="Times New Roman" w:hAnsi="Times New Roman"/>
          <w:sz w:val="24"/>
          <w:szCs w:val="24"/>
        </w:rPr>
        <w:tab/>
      </w:r>
      <w:r>
        <w:rPr>
          <w:rFonts w:ascii="Times New Roman" w:hAnsi="Times New Roman"/>
          <w:sz w:val="24"/>
          <w:szCs w:val="24"/>
        </w:rPr>
        <w:tab/>
        <w:t xml:space="preserve">  </w:t>
      </w:r>
      <w:r w:rsidRPr="00DA2B04">
        <w:rPr>
          <w:rFonts w:ascii="Times New Roman" w:hAnsi="Times New Roman"/>
          <w:sz w:val="24"/>
          <w:szCs w:val="24"/>
        </w:rPr>
        <w:t>I. Viņķele</w:t>
      </w:r>
    </w:p>
    <w:p w:rsidR="0053105F" w:rsidRPr="00DA2B04" w:rsidRDefault="0053105F" w:rsidP="00496C39">
      <w:pPr>
        <w:tabs>
          <w:tab w:val="left" w:pos="1122"/>
        </w:tabs>
        <w:autoSpaceDE w:val="0"/>
        <w:autoSpaceDN w:val="0"/>
        <w:adjustRightInd w:val="0"/>
        <w:spacing w:before="120" w:after="0" w:line="240" w:lineRule="auto"/>
        <w:jc w:val="both"/>
        <w:rPr>
          <w:rFonts w:ascii="Times New Roman" w:eastAsia="Times New Roman" w:hAnsi="Times New Roman" w:cs="Times New Roman"/>
          <w:color w:val="000000"/>
          <w:sz w:val="24"/>
          <w:szCs w:val="24"/>
          <w:lang w:eastAsia="lv-LV"/>
        </w:rPr>
      </w:pPr>
    </w:p>
    <w:p w:rsidR="00DA2B04" w:rsidRDefault="00DA2B04" w:rsidP="00496C39">
      <w:pPr>
        <w:tabs>
          <w:tab w:val="left" w:pos="1122"/>
        </w:tabs>
        <w:autoSpaceDE w:val="0"/>
        <w:autoSpaceDN w:val="0"/>
        <w:adjustRightInd w:val="0"/>
        <w:spacing w:before="120" w:after="0" w:line="240" w:lineRule="auto"/>
        <w:jc w:val="both"/>
        <w:rPr>
          <w:rFonts w:ascii="Times New Roman" w:eastAsia="Times New Roman" w:hAnsi="Times New Roman" w:cs="Times New Roman"/>
          <w:color w:val="000000"/>
          <w:sz w:val="24"/>
          <w:szCs w:val="24"/>
          <w:lang w:eastAsia="lv-LV"/>
        </w:rPr>
      </w:pPr>
    </w:p>
    <w:p w:rsidR="00DA2B04" w:rsidRDefault="00DA2B04" w:rsidP="00496C39">
      <w:pPr>
        <w:tabs>
          <w:tab w:val="left" w:pos="1122"/>
        </w:tabs>
        <w:autoSpaceDE w:val="0"/>
        <w:autoSpaceDN w:val="0"/>
        <w:adjustRightInd w:val="0"/>
        <w:spacing w:before="120" w:after="0" w:line="240" w:lineRule="auto"/>
        <w:jc w:val="both"/>
        <w:rPr>
          <w:rFonts w:ascii="Times New Roman" w:eastAsia="Times New Roman" w:hAnsi="Times New Roman" w:cs="Times New Roman"/>
          <w:color w:val="000000"/>
          <w:sz w:val="24"/>
          <w:szCs w:val="24"/>
          <w:lang w:eastAsia="lv-LV"/>
        </w:rPr>
      </w:pPr>
    </w:p>
    <w:p w:rsidR="00DA2B04" w:rsidRDefault="00DA2B04" w:rsidP="00496C39">
      <w:pPr>
        <w:tabs>
          <w:tab w:val="left" w:pos="1122"/>
        </w:tabs>
        <w:autoSpaceDE w:val="0"/>
        <w:autoSpaceDN w:val="0"/>
        <w:adjustRightInd w:val="0"/>
        <w:spacing w:before="120" w:after="0" w:line="240" w:lineRule="auto"/>
        <w:jc w:val="both"/>
        <w:rPr>
          <w:rFonts w:ascii="Times New Roman" w:eastAsia="Times New Roman" w:hAnsi="Times New Roman" w:cs="Times New Roman"/>
          <w:color w:val="000000"/>
          <w:sz w:val="24"/>
          <w:szCs w:val="24"/>
          <w:lang w:eastAsia="lv-LV"/>
        </w:rPr>
      </w:pPr>
    </w:p>
    <w:p w:rsidR="00DA2B04" w:rsidRDefault="00DA2B04" w:rsidP="00496C39">
      <w:pPr>
        <w:tabs>
          <w:tab w:val="left" w:pos="1122"/>
        </w:tabs>
        <w:autoSpaceDE w:val="0"/>
        <w:autoSpaceDN w:val="0"/>
        <w:adjustRightInd w:val="0"/>
        <w:spacing w:before="120" w:after="0" w:line="240" w:lineRule="auto"/>
        <w:jc w:val="both"/>
        <w:rPr>
          <w:rFonts w:ascii="Times New Roman" w:eastAsia="Times New Roman" w:hAnsi="Times New Roman" w:cs="Times New Roman"/>
          <w:color w:val="000000"/>
          <w:sz w:val="24"/>
          <w:szCs w:val="24"/>
          <w:lang w:eastAsia="lv-LV"/>
        </w:rPr>
      </w:pPr>
    </w:p>
    <w:p w:rsidR="00DA2B04" w:rsidRDefault="00DA2B04" w:rsidP="00496C39">
      <w:pPr>
        <w:tabs>
          <w:tab w:val="left" w:pos="1122"/>
        </w:tabs>
        <w:autoSpaceDE w:val="0"/>
        <w:autoSpaceDN w:val="0"/>
        <w:adjustRightInd w:val="0"/>
        <w:spacing w:before="120" w:after="0" w:line="240" w:lineRule="auto"/>
        <w:jc w:val="both"/>
        <w:rPr>
          <w:rFonts w:ascii="Times New Roman" w:eastAsia="Times New Roman" w:hAnsi="Times New Roman" w:cs="Times New Roman"/>
          <w:color w:val="000000"/>
          <w:sz w:val="24"/>
          <w:szCs w:val="24"/>
          <w:lang w:eastAsia="lv-LV"/>
        </w:rPr>
      </w:pPr>
    </w:p>
    <w:p w:rsidR="00DA2B04" w:rsidRDefault="00DA2B04" w:rsidP="00496C39">
      <w:pPr>
        <w:tabs>
          <w:tab w:val="left" w:pos="1122"/>
        </w:tabs>
        <w:autoSpaceDE w:val="0"/>
        <w:autoSpaceDN w:val="0"/>
        <w:adjustRightInd w:val="0"/>
        <w:spacing w:before="120" w:after="0" w:line="240" w:lineRule="auto"/>
        <w:jc w:val="both"/>
        <w:rPr>
          <w:rFonts w:ascii="Times New Roman" w:eastAsia="Times New Roman" w:hAnsi="Times New Roman" w:cs="Times New Roman"/>
          <w:color w:val="000000"/>
          <w:sz w:val="24"/>
          <w:szCs w:val="24"/>
          <w:lang w:eastAsia="lv-LV"/>
        </w:rPr>
      </w:pPr>
    </w:p>
    <w:p w:rsidR="00DA2B04" w:rsidRDefault="00DA2B04" w:rsidP="00496C39">
      <w:pPr>
        <w:tabs>
          <w:tab w:val="left" w:pos="1122"/>
        </w:tabs>
        <w:autoSpaceDE w:val="0"/>
        <w:autoSpaceDN w:val="0"/>
        <w:adjustRightInd w:val="0"/>
        <w:spacing w:before="120" w:after="0" w:line="240" w:lineRule="auto"/>
        <w:jc w:val="both"/>
        <w:rPr>
          <w:rFonts w:ascii="Times New Roman" w:eastAsia="Times New Roman" w:hAnsi="Times New Roman" w:cs="Times New Roman"/>
          <w:color w:val="000000"/>
          <w:sz w:val="24"/>
          <w:szCs w:val="24"/>
          <w:lang w:eastAsia="lv-LV"/>
        </w:rPr>
      </w:pPr>
    </w:p>
    <w:p w:rsidR="00DA2B04" w:rsidRDefault="00DA2B04" w:rsidP="00496C39">
      <w:pPr>
        <w:tabs>
          <w:tab w:val="left" w:pos="1122"/>
        </w:tabs>
        <w:autoSpaceDE w:val="0"/>
        <w:autoSpaceDN w:val="0"/>
        <w:adjustRightInd w:val="0"/>
        <w:spacing w:before="120" w:after="0" w:line="240" w:lineRule="auto"/>
        <w:jc w:val="both"/>
        <w:rPr>
          <w:rFonts w:ascii="Times New Roman" w:eastAsia="Times New Roman" w:hAnsi="Times New Roman" w:cs="Times New Roman"/>
          <w:color w:val="000000"/>
          <w:sz w:val="24"/>
          <w:szCs w:val="24"/>
          <w:lang w:eastAsia="lv-LV"/>
        </w:rPr>
      </w:pPr>
    </w:p>
    <w:p w:rsidR="00DA2B04" w:rsidRDefault="00DA2B04" w:rsidP="00496C39">
      <w:pPr>
        <w:tabs>
          <w:tab w:val="left" w:pos="1122"/>
        </w:tabs>
        <w:autoSpaceDE w:val="0"/>
        <w:autoSpaceDN w:val="0"/>
        <w:adjustRightInd w:val="0"/>
        <w:spacing w:before="120" w:after="0" w:line="240" w:lineRule="auto"/>
        <w:jc w:val="both"/>
        <w:rPr>
          <w:rFonts w:ascii="Times New Roman" w:eastAsia="Times New Roman" w:hAnsi="Times New Roman" w:cs="Times New Roman"/>
          <w:color w:val="000000"/>
          <w:sz w:val="24"/>
          <w:szCs w:val="24"/>
          <w:lang w:eastAsia="lv-LV"/>
        </w:rPr>
      </w:pPr>
    </w:p>
    <w:p w:rsidR="00DA2B04" w:rsidRDefault="00DA2B04" w:rsidP="00496C39">
      <w:pPr>
        <w:tabs>
          <w:tab w:val="left" w:pos="1122"/>
        </w:tabs>
        <w:autoSpaceDE w:val="0"/>
        <w:autoSpaceDN w:val="0"/>
        <w:adjustRightInd w:val="0"/>
        <w:spacing w:before="120" w:after="0" w:line="240" w:lineRule="auto"/>
        <w:jc w:val="both"/>
        <w:rPr>
          <w:rFonts w:ascii="Times New Roman" w:eastAsia="Times New Roman" w:hAnsi="Times New Roman" w:cs="Times New Roman"/>
          <w:color w:val="000000"/>
          <w:sz w:val="24"/>
          <w:szCs w:val="24"/>
          <w:lang w:eastAsia="lv-LV"/>
        </w:rPr>
      </w:pPr>
    </w:p>
    <w:p w:rsidR="00DA2B04" w:rsidRDefault="00DA2B04" w:rsidP="00496C39">
      <w:pPr>
        <w:tabs>
          <w:tab w:val="left" w:pos="1122"/>
        </w:tabs>
        <w:autoSpaceDE w:val="0"/>
        <w:autoSpaceDN w:val="0"/>
        <w:adjustRightInd w:val="0"/>
        <w:spacing w:before="120" w:after="0" w:line="240" w:lineRule="auto"/>
        <w:jc w:val="both"/>
        <w:rPr>
          <w:rFonts w:ascii="Times New Roman" w:eastAsia="Times New Roman" w:hAnsi="Times New Roman" w:cs="Times New Roman"/>
          <w:color w:val="000000"/>
          <w:sz w:val="24"/>
          <w:szCs w:val="24"/>
          <w:lang w:eastAsia="lv-LV"/>
        </w:rPr>
      </w:pPr>
    </w:p>
    <w:p w:rsidR="00DA2B04" w:rsidRDefault="00DA2B04" w:rsidP="00DA2B04">
      <w:pPr>
        <w:spacing w:after="0" w:line="240" w:lineRule="auto"/>
        <w:rPr>
          <w:rFonts w:ascii="Times New Roman" w:hAnsi="Times New Roman"/>
          <w:sz w:val="24"/>
          <w:szCs w:val="24"/>
        </w:rPr>
      </w:pPr>
    </w:p>
    <w:p w:rsidR="00DA2B04" w:rsidRPr="002D3A01" w:rsidRDefault="00DA2B04" w:rsidP="00DA2B04">
      <w:pPr>
        <w:spacing w:after="0" w:line="240" w:lineRule="auto"/>
        <w:rPr>
          <w:rFonts w:ascii="Times New Roman" w:hAnsi="Times New Roman"/>
          <w:sz w:val="24"/>
          <w:szCs w:val="24"/>
        </w:rPr>
      </w:pPr>
      <w:r w:rsidRPr="002D3A01">
        <w:rPr>
          <w:rFonts w:ascii="Times New Roman" w:hAnsi="Times New Roman"/>
          <w:sz w:val="24"/>
          <w:szCs w:val="24"/>
        </w:rPr>
        <w:t>Gusāre 670</w:t>
      </w:r>
      <w:r>
        <w:rPr>
          <w:rFonts w:ascii="Times New Roman" w:hAnsi="Times New Roman"/>
          <w:sz w:val="24"/>
          <w:szCs w:val="24"/>
        </w:rPr>
        <w:t>839</w:t>
      </w:r>
      <w:r w:rsidRPr="002D3A01">
        <w:rPr>
          <w:rFonts w:ascii="Times New Roman" w:hAnsi="Times New Roman"/>
          <w:sz w:val="24"/>
          <w:szCs w:val="24"/>
        </w:rPr>
        <w:t>11</w:t>
      </w:r>
    </w:p>
    <w:p w:rsidR="00DA2B04" w:rsidRPr="001D1D2E" w:rsidRDefault="00DA2B04" w:rsidP="00DA2B04">
      <w:pPr>
        <w:spacing w:after="0" w:line="240" w:lineRule="auto"/>
        <w:rPr>
          <w:rFonts w:ascii="Times New Roman" w:hAnsi="Times New Roman"/>
          <w:sz w:val="24"/>
          <w:szCs w:val="24"/>
        </w:rPr>
      </w:pPr>
      <w:r w:rsidRPr="002D3A01">
        <w:rPr>
          <w:rFonts w:ascii="Times New Roman" w:hAnsi="Times New Roman"/>
          <w:sz w:val="24"/>
          <w:szCs w:val="24"/>
        </w:rPr>
        <w:t>elina.gusare@fm.gov.lv</w:t>
      </w:r>
    </w:p>
    <w:p w:rsidR="00DA2B04" w:rsidRDefault="00DA2B04" w:rsidP="00496C39">
      <w:pPr>
        <w:tabs>
          <w:tab w:val="left" w:pos="1122"/>
        </w:tabs>
        <w:autoSpaceDE w:val="0"/>
        <w:autoSpaceDN w:val="0"/>
        <w:adjustRightInd w:val="0"/>
        <w:spacing w:before="120" w:after="0" w:line="240" w:lineRule="auto"/>
        <w:jc w:val="both"/>
        <w:rPr>
          <w:rFonts w:ascii="Times New Roman" w:eastAsia="Times New Roman" w:hAnsi="Times New Roman" w:cs="Times New Roman"/>
          <w:color w:val="000000"/>
          <w:sz w:val="24"/>
          <w:szCs w:val="24"/>
          <w:lang w:eastAsia="lv-LV"/>
        </w:rPr>
      </w:pPr>
    </w:p>
    <w:sectPr w:rsidR="00DA2B04" w:rsidSect="000875BB">
      <w:headerReference w:type="default" r:id="rId13"/>
      <w:footerReference w:type="defaul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D8A" w:rsidRDefault="00C41D8A" w:rsidP="0082255C">
      <w:pPr>
        <w:spacing w:after="0" w:line="240" w:lineRule="auto"/>
      </w:pPr>
      <w:r>
        <w:separator/>
      </w:r>
    </w:p>
  </w:endnote>
  <w:endnote w:type="continuationSeparator" w:id="0">
    <w:p w:rsidR="00C41D8A" w:rsidRDefault="00C41D8A" w:rsidP="00822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BA"/>
    <w:family w:val="roman"/>
    <w:pitch w:val="variable"/>
    <w:sig w:usb0="00000287" w:usb1="00000000" w:usb2="00000000" w:usb3="00000000" w:csb0="0000009F" w:csb1="00000000"/>
  </w:font>
  <w:font w:name="Consolas">
    <w:panose1 w:val="020B0609020204030204"/>
    <w:charset w:val="BA"/>
    <w:family w:val="modern"/>
    <w:pitch w:val="fixed"/>
    <w:sig w:usb0="E00006FF" w:usb1="0000FCFF" w:usb2="00000001" w:usb3="00000000" w:csb0="0000019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BA"/>
    <w:family w:val="swiss"/>
    <w:pitch w:val="variable"/>
    <w:sig w:usb0="E4002EFF" w:usb1="C000E47F" w:usb2="00000009" w:usb3="00000000" w:csb0="000001FF"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271515"/>
      <w:docPartObj>
        <w:docPartGallery w:val="Page Numbers (Bottom of Page)"/>
        <w:docPartUnique/>
      </w:docPartObj>
    </w:sdtPr>
    <w:sdtEndPr>
      <w:rPr>
        <w:noProof/>
      </w:rPr>
    </w:sdtEndPr>
    <w:sdtContent>
      <w:p w:rsidR="00871F50" w:rsidRDefault="00871F50">
        <w:pPr>
          <w:pStyle w:val="Footer"/>
          <w:jc w:val="right"/>
        </w:pPr>
        <w:r>
          <w:fldChar w:fldCharType="begin"/>
        </w:r>
        <w:r>
          <w:instrText xml:space="preserve"> PAGE   \* MERGEFORMAT </w:instrText>
        </w:r>
        <w:r>
          <w:fldChar w:fldCharType="separate"/>
        </w:r>
        <w:r w:rsidR="00F56FE6">
          <w:rPr>
            <w:noProof/>
          </w:rPr>
          <w:t>2</w:t>
        </w:r>
        <w:r>
          <w:rPr>
            <w:noProof/>
          </w:rPr>
          <w:fldChar w:fldCharType="end"/>
        </w:r>
      </w:p>
    </w:sdtContent>
  </w:sdt>
  <w:p w:rsidR="00730998" w:rsidRPr="000875BB" w:rsidRDefault="00730998">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D8A" w:rsidRDefault="00C41D8A" w:rsidP="0082255C">
      <w:pPr>
        <w:spacing w:after="0" w:line="240" w:lineRule="auto"/>
      </w:pPr>
      <w:r>
        <w:separator/>
      </w:r>
    </w:p>
  </w:footnote>
  <w:footnote w:type="continuationSeparator" w:id="0">
    <w:p w:rsidR="00C41D8A" w:rsidRDefault="00C41D8A" w:rsidP="0082255C">
      <w:pPr>
        <w:spacing w:after="0" w:line="240" w:lineRule="auto"/>
      </w:pPr>
      <w:r>
        <w:continuationSeparator/>
      </w:r>
    </w:p>
  </w:footnote>
  <w:footnote w:id="1">
    <w:p w:rsidR="00730998" w:rsidRPr="00EE1979" w:rsidRDefault="00730998" w:rsidP="00EE1979">
      <w:pPr>
        <w:pStyle w:val="FootnoteText"/>
        <w:rPr>
          <w:rFonts w:ascii="Times New Roman" w:hAnsi="Times New Roman" w:cs="Times New Roman"/>
        </w:rPr>
      </w:pPr>
      <w:r w:rsidRPr="00EE1979">
        <w:rPr>
          <w:rStyle w:val="FootnoteCharacters"/>
          <w:rFonts w:ascii="Times New Roman" w:eastAsiaTheme="majorEastAsia" w:hAnsi="Times New Roman" w:cs="Times New Roman"/>
        </w:rPr>
        <w:footnoteRef/>
      </w:r>
      <w:r w:rsidRPr="00EE1979">
        <w:rPr>
          <w:rFonts w:ascii="Times New Roman" w:hAnsi="Times New Roman" w:cs="Times New Roman"/>
        </w:rPr>
        <w:t>Nodokļu slogs (D.2 (iesk.ES daļu)+D.5+D.61+D91).</w:t>
      </w:r>
    </w:p>
  </w:footnote>
  <w:footnote w:id="2">
    <w:p w:rsidR="00730998" w:rsidRPr="00362E1B" w:rsidRDefault="00730998" w:rsidP="00DF2CC5">
      <w:pPr>
        <w:pStyle w:val="FootnoteText"/>
        <w:spacing w:afterLines="40" w:after="96"/>
        <w:ind w:hanging="56"/>
        <w:jc w:val="both"/>
        <w:rPr>
          <w:rFonts w:ascii="Times New Roman" w:hAnsi="Times New Roman" w:cs="Times New Roman"/>
        </w:rPr>
      </w:pPr>
      <w:r w:rsidRPr="00362E1B">
        <w:rPr>
          <w:rStyle w:val="FootnoteReference"/>
          <w:rFonts w:ascii="Times New Roman" w:eastAsia="Times New Roman" w:hAnsi="Times New Roman" w:cs="Times New Roman"/>
        </w:rPr>
        <w:footnoteRef/>
      </w:r>
      <w:r w:rsidRPr="00362E1B">
        <w:rPr>
          <w:rFonts w:ascii="Times New Roman" w:hAnsi="Times New Roman" w:cs="Times New Roman"/>
        </w:rPr>
        <w:t xml:space="preserve"> Budžeta bilances cikliskās komponentes aprēķinā izmantota budžeta pus-elastība 0,38 (Datu avots: </w:t>
      </w:r>
      <w:r w:rsidRPr="00362E1B">
        <w:rPr>
          <w:rFonts w:ascii="Times New Roman" w:hAnsi="Times New Roman" w:cs="Times New Roman"/>
          <w:lang w:val="en-GB"/>
        </w:rPr>
        <w:t>An update of the semi-elasticities of the budget balance based on new weights. Note to the attention of the members of the Output Gap Working Group</w:t>
      </w:r>
      <w:r w:rsidRPr="00362E1B">
        <w:rPr>
          <w:rFonts w:ascii="Times New Roman" w:hAnsi="Times New Roman" w:cs="Times New Roman"/>
          <w:noProof/>
          <w:szCs w:val="24"/>
          <w:lang w:val="en-GB"/>
        </w:rPr>
        <w:t>).</w:t>
      </w:r>
    </w:p>
  </w:footnote>
  <w:footnote w:id="3">
    <w:p w:rsidR="00730998" w:rsidRDefault="00730998" w:rsidP="00DF2CC5">
      <w:pPr>
        <w:pStyle w:val="FootnoteText"/>
        <w:spacing w:afterLines="40" w:after="96"/>
        <w:jc w:val="both"/>
      </w:pPr>
      <w:r w:rsidRPr="00362E1B">
        <w:rPr>
          <w:rStyle w:val="FootnoteReference"/>
          <w:rFonts w:ascii="Times New Roman" w:hAnsi="Times New Roman" w:cs="Times New Roman"/>
        </w:rPr>
        <w:footnoteRef/>
      </w:r>
      <w:r w:rsidRPr="00362E1B">
        <w:rPr>
          <w:rFonts w:ascii="Times New Roman" w:hAnsi="Times New Roman" w:cs="Times New Roman"/>
        </w:rPr>
        <w:t xml:space="preserve"> Ieņēmumu daļa 18,2 milj. </w:t>
      </w:r>
      <w:r w:rsidRPr="00362E1B">
        <w:rPr>
          <w:rFonts w:ascii="Times New Roman" w:hAnsi="Times New Roman" w:cs="Times New Roman"/>
          <w:i/>
        </w:rPr>
        <w:t>euro</w:t>
      </w:r>
      <w:r w:rsidRPr="00362E1B">
        <w:rPr>
          <w:rFonts w:ascii="Times New Roman" w:hAnsi="Times New Roman" w:cs="Times New Roman"/>
        </w:rPr>
        <w:t xml:space="preserve"> apmērā no Latvijai piešķirto emisijas kvotu izsolīšanas, kas notika 2018.gada novembrī un ir attiecināms uz apjoma pieaugumu ir iekļauta budžeta plāna projektā kā vienreizējs pasākums. Savukārt ieņēmumu pieaugums no šī darījumā, kas ir attiecināms uz cenas svārstībām 2019.gadā šajā budžeta plānā netiek uzskatīts par vienreizēju pasākumu.</w:t>
      </w:r>
    </w:p>
  </w:footnote>
  <w:footnote w:id="4">
    <w:p w:rsidR="00730998" w:rsidRPr="00DF2CC5" w:rsidRDefault="00730998" w:rsidP="00EE1979">
      <w:pPr>
        <w:pStyle w:val="FootnoteText"/>
        <w:spacing w:afterLines="40" w:after="96"/>
        <w:jc w:val="both"/>
        <w:rPr>
          <w:rFonts w:ascii="Times New Roman" w:hAnsi="Times New Roman" w:cs="Times New Roman"/>
        </w:rPr>
      </w:pPr>
      <w:r w:rsidRPr="00DF2CC5">
        <w:rPr>
          <w:rStyle w:val="FootnoteReference"/>
          <w:rFonts w:ascii="Times New Roman" w:hAnsi="Times New Roman" w:cs="Times New Roman"/>
        </w:rPr>
        <w:footnoteRef/>
      </w:r>
      <w:r w:rsidRPr="00DF2CC5">
        <w:rPr>
          <w:rFonts w:ascii="Times New Roman" w:hAnsi="Times New Roman" w:cs="Times New Roman"/>
        </w:rPr>
        <w:t xml:space="preserve"> Lai atvieglotu datu salīdzināmību, strukturālā bilance 2019. un 2020. gadā ir parādīta kopā ar nodokļu reformas neto ieņēmumu samazinājumu, attiecīgi 0,5% no IKP un 0,3% no IKP, kas ir īslaicīgs un Latvijas fiskālajā ietvarā tiek atzīts par vienreizējo pasākumu, bet EK šo efektu ietver strukturālajā bilancē, jo ieņēmumus samazinošos/ izdevumus palielinošos pasākumus EK kā likums neatzīst par vienreizējiem/ īslaicīgajiem pasākumiem.  </w:t>
      </w:r>
    </w:p>
  </w:footnote>
  <w:footnote w:id="5">
    <w:p w:rsidR="00730998" w:rsidRPr="00362E1B" w:rsidRDefault="00730998" w:rsidP="00EE1979">
      <w:pPr>
        <w:pStyle w:val="FootnoteText"/>
        <w:jc w:val="both"/>
        <w:rPr>
          <w:rFonts w:ascii="Times New Roman" w:hAnsi="Times New Roman" w:cs="Times New Roman"/>
        </w:rPr>
      </w:pPr>
      <w:r w:rsidRPr="00362E1B">
        <w:rPr>
          <w:rStyle w:val="FootnoteReference"/>
          <w:rFonts w:ascii="Times New Roman" w:hAnsi="Times New Roman" w:cs="Times New Roman"/>
        </w:rPr>
        <w:footnoteRef/>
      </w:r>
      <w:r w:rsidRPr="00362E1B">
        <w:rPr>
          <w:rFonts w:ascii="Times New Roman" w:hAnsi="Times New Roman" w:cs="Times New Roman"/>
        </w:rPr>
        <w:t xml:space="preserve"> Budžeta bilances cikliskās komponentes aprēķinā izmantota budžeta pus-elastība 0,38 (Datu avots: </w:t>
      </w:r>
      <w:r w:rsidRPr="00362E1B">
        <w:rPr>
          <w:rFonts w:ascii="Times New Roman" w:hAnsi="Times New Roman" w:cs="Times New Roman"/>
          <w:lang w:val="en-GB"/>
        </w:rPr>
        <w:t>An update of the semi-elasticities of the budget balance based on new weights. Note to the attention of the members of the Output Gap Working Group</w:t>
      </w:r>
      <w:r w:rsidRPr="00362E1B">
        <w:rPr>
          <w:rFonts w:ascii="Times New Roman" w:hAnsi="Times New Roman" w:cs="Times New Roman"/>
          <w:noProof/>
          <w:szCs w:val="24"/>
          <w:lang w:val="en-GB"/>
        </w:rPr>
        <w:t>).</w:t>
      </w:r>
    </w:p>
  </w:footnote>
  <w:footnote w:id="6">
    <w:p w:rsidR="00730998" w:rsidRPr="00362E1B" w:rsidRDefault="00730998" w:rsidP="00EE1979">
      <w:pPr>
        <w:pStyle w:val="FootnoteText"/>
        <w:jc w:val="both"/>
        <w:rPr>
          <w:rFonts w:ascii="Times New Roman" w:hAnsi="Times New Roman" w:cs="Times New Roman"/>
        </w:rPr>
      </w:pPr>
      <w:r w:rsidRPr="00362E1B">
        <w:rPr>
          <w:rStyle w:val="FootnoteReference"/>
          <w:rFonts w:ascii="Times New Roman" w:hAnsi="Times New Roman" w:cs="Times New Roman"/>
        </w:rPr>
        <w:footnoteRef/>
      </w:r>
      <w:r w:rsidRPr="00362E1B">
        <w:rPr>
          <w:rFonts w:ascii="Times New Roman" w:hAnsi="Times New Roman" w:cs="Times New Roman"/>
        </w:rPr>
        <w:t xml:space="preserve"> Ieņēmumu daļa 18,2 milj. </w:t>
      </w:r>
      <w:r w:rsidRPr="00362E1B">
        <w:rPr>
          <w:rFonts w:ascii="Times New Roman" w:hAnsi="Times New Roman" w:cs="Times New Roman"/>
          <w:i/>
        </w:rPr>
        <w:t>euro</w:t>
      </w:r>
      <w:r w:rsidRPr="00362E1B">
        <w:rPr>
          <w:rFonts w:ascii="Times New Roman" w:hAnsi="Times New Roman" w:cs="Times New Roman"/>
        </w:rPr>
        <w:t xml:space="preserve"> apmērā no Latvijai piešķirto emisijas kvotu izsolīšanas, kas notika 2018.gada novembrī un ir attiecināms uz apjoma pieaugumu ir iekļauta budžeta plāna projektā kā vienreizējs pasākums. Savukārt ieņēmumu pieaugums no šī darījumā, kas ir attiecināms uz cenas svārstībām 2019.gadā šajā budžeta plānā netiek uzskatīts par vienreizēju pasākumu.</w:t>
      </w:r>
    </w:p>
  </w:footnote>
  <w:footnote w:id="7">
    <w:p w:rsidR="00730998" w:rsidRPr="00120ED6" w:rsidRDefault="00730998" w:rsidP="00EE1979">
      <w:pPr>
        <w:pStyle w:val="FootnoteText"/>
        <w:jc w:val="both"/>
      </w:pPr>
      <w:r w:rsidRPr="00362E1B">
        <w:rPr>
          <w:rStyle w:val="FootnoteReference"/>
          <w:rFonts w:ascii="Times New Roman" w:hAnsi="Times New Roman" w:cs="Times New Roman"/>
        </w:rPr>
        <w:footnoteRef/>
      </w:r>
      <w:r w:rsidRPr="00362E1B">
        <w:rPr>
          <w:rFonts w:ascii="Times New Roman" w:hAnsi="Times New Roman" w:cs="Times New Roman"/>
        </w:rPr>
        <w:t xml:space="preserve"> Lai atvieglotu datu salīdzināmību, strukturālā bilance 2019. un 2020. gadā ir parādīta kopā ar nodokļu reformas neto ieņēmumu samazinājumu, attiecīgi 0,5% no IKP un 0,3% no IKP, kas ir īslaicīgs un Latvijas fiskālajā ietvarā tiek atzīts par vienreizējo pasākumu, bet EK šo efektu ietver strukturālajā bilancē, jo ieņēmumus samazinošos/ izdevumus palielinošos pasākumus EK parasti neatzīst par vienreizējiem/ īslaicīgajiem pasākumiem.</w:t>
      </w:r>
    </w:p>
  </w:footnote>
  <w:footnote w:id="8">
    <w:p w:rsidR="00730998" w:rsidRDefault="00730998" w:rsidP="00D77D33">
      <w:pPr>
        <w:pStyle w:val="FootnoteText"/>
      </w:pPr>
      <w:r>
        <w:rPr>
          <w:rStyle w:val="FootnoteReference"/>
        </w:rPr>
        <w:footnoteRef/>
      </w:r>
      <w:r>
        <w:t xml:space="preserve"> Ņemot vērā </w:t>
      </w:r>
      <w:r w:rsidRPr="0060070B">
        <w:t>Valsts kases administrētajiem ārējiem aizņēmumiem un parāda vērtspapīriem piesaistīto atvasināto finanšu instrumentu valūtas rezultāt</w:t>
      </w:r>
      <w:r>
        <w:t>u</w:t>
      </w:r>
    </w:p>
  </w:footnote>
  <w:footnote w:id="9">
    <w:p w:rsidR="00730998" w:rsidRPr="004C5D83" w:rsidRDefault="00730998" w:rsidP="004C5D83">
      <w:pPr>
        <w:pStyle w:val="FootnoteText"/>
        <w:rPr>
          <w:rFonts w:ascii="Times New Roman" w:hAnsi="Times New Roman" w:cs="Times New Roman"/>
        </w:rPr>
      </w:pPr>
      <w:r w:rsidRPr="004C5D83">
        <w:rPr>
          <w:rStyle w:val="FootnoteReference"/>
          <w:rFonts w:ascii="Times New Roman" w:hAnsi="Times New Roman" w:cs="Times New Roman"/>
        </w:rPr>
        <w:footnoteRef/>
      </w:r>
      <w:r w:rsidRPr="004C5D83">
        <w:rPr>
          <w:rFonts w:ascii="Times New Roman" w:hAnsi="Times New Roman" w:cs="Times New Roman"/>
        </w:rPr>
        <w:t xml:space="preserve"> Ieņēmumu daļa 18,2 milj. euro apmērā no Latvijai piešķirto emisijas kvotu izsolīšanas, kas notika 2018.gada novembrī un ir attiecināms uz apjoma pieaugumu ir iekļauta budžeta plāna projektā kā vienreizējs pasākums. Savukārt ieņēmumu pieaugums no šī darījumā, kas ir attiecināms uz cenas svārstībām 2019.gadā šajā budžeta plānā netiek uzskatīts par vienreizēju pasākumu.</w:t>
      </w:r>
    </w:p>
  </w:footnote>
  <w:footnote w:id="10">
    <w:p w:rsidR="00730998" w:rsidRPr="00496C39" w:rsidRDefault="00730998" w:rsidP="00496C39">
      <w:pPr>
        <w:pStyle w:val="FootnoteText"/>
        <w:ind w:right="-625"/>
        <w:jc w:val="both"/>
        <w:rPr>
          <w:rFonts w:ascii="Times New Roman" w:hAnsi="Times New Roman" w:cs="Times New Roman"/>
        </w:rPr>
      </w:pPr>
      <w:r w:rsidRPr="00496C39">
        <w:rPr>
          <w:rStyle w:val="FootnoteReference"/>
          <w:rFonts w:ascii="Times New Roman" w:hAnsi="Times New Roman" w:cs="Times New Roman"/>
        </w:rPr>
        <w:footnoteRef/>
      </w:r>
      <w:r w:rsidRPr="00496C39">
        <w:rPr>
          <w:rFonts w:ascii="Times New Roman" w:hAnsi="Times New Roman" w:cs="Times New Roman"/>
        </w:rPr>
        <w:t xml:space="preserve"> Ieņēmumu daļa 18,2 milj. </w:t>
      </w:r>
      <w:r w:rsidRPr="00730998">
        <w:rPr>
          <w:rFonts w:ascii="Times New Roman" w:hAnsi="Times New Roman" w:cs="Times New Roman"/>
          <w:i/>
        </w:rPr>
        <w:t>euro</w:t>
      </w:r>
      <w:r w:rsidRPr="00496C39">
        <w:rPr>
          <w:rFonts w:ascii="Times New Roman" w:hAnsi="Times New Roman" w:cs="Times New Roman"/>
        </w:rPr>
        <w:t xml:space="preserve"> apmērā no Latvijai piešķirto emisijas kvotu izsolīšanas, kas notika 2018.gada novembrī un ir attiecināms uz apjoma pieaugumu ir iekļauta budžeta plāna projektā kā vienreizējs pasākums. Savukārt ieņēmumu pieaugums no šī darījumā, kas ir attiecināms uz cenas svārstībām 2019.gadā šajā budžeta plānā netiek uzskatīts par vienreizēju pasākumu.</w:t>
      </w:r>
    </w:p>
  </w:footnote>
  <w:footnote w:id="11">
    <w:p w:rsidR="00730998" w:rsidRDefault="00730998" w:rsidP="00496C39">
      <w:pPr>
        <w:pStyle w:val="FootnoteText"/>
        <w:ind w:right="-625"/>
        <w:jc w:val="both"/>
      </w:pPr>
      <w:r w:rsidRPr="00496C39">
        <w:rPr>
          <w:rStyle w:val="FootnoteReference"/>
          <w:rFonts w:ascii="Times New Roman" w:hAnsi="Times New Roman" w:cs="Times New Roman"/>
        </w:rPr>
        <w:footnoteRef/>
      </w:r>
      <w:r w:rsidRPr="00496C39">
        <w:rPr>
          <w:rFonts w:ascii="Times New Roman" w:hAnsi="Times New Roman" w:cs="Times New Roman"/>
        </w:rPr>
        <w:t xml:space="preserve"> Lai atvieglotu datu salīdzināmību, strukturālā bilance 2019. un 2020. gadā ir parādīta kopā ar nodokļu reformas neto ieņēmumu samazinājumu, attiecīgi 0,5% no IKP un 0,3% no IKP, kas ir īslaicīgs un Latvijas fiskālajā ietvarā tiek atzīts par vienreizējo pasākumu, bet EK šo efektu ietver strukturālajā bilancē, jo ieņēmumus samazinošos/ izdevumus palielinošos pasākumus EK kā likums neatzīst par vienreizējiem/ īslaicīgajiem pasākumiem.</w:t>
      </w:r>
      <w:r w:rsidRPr="006B2F8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998" w:rsidRDefault="00730998">
    <w:pPr>
      <w:pStyle w:val="Header"/>
    </w:pPr>
  </w:p>
  <w:p w:rsidR="00730998" w:rsidRDefault="007309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879"/>
    <w:multiLevelType w:val="hybridMultilevel"/>
    <w:tmpl w:val="98488F72"/>
    <w:lvl w:ilvl="0" w:tplc="04260001">
      <w:start w:val="1"/>
      <w:numFmt w:val="bullet"/>
      <w:lvlText w:val=""/>
      <w:lvlJc w:val="left"/>
      <w:pPr>
        <w:ind w:left="363" w:hanging="360"/>
      </w:pPr>
      <w:rPr>
        <w:rFonts w:ascii="Symbol" w:hAnsi="Symbol" w:hint="default"/>
      </w:rPr>
    </w:lvl>
    <w:lvl w:ilvl="1" w:tplc="04260003" w:tentative="1">
      <w:start w:val="1"/>
      <w:numFmt w:val="bullet"/>
      <w:lvlText w:val="o"/>
      <w:lvlJc w:val="left"/>
      <w:pPr>
        <w:ind w:left="1083" w:hanging="360"/>
      </w:pPr>
      <w:rPr>
        <w:rFonts w:ascii="Courier New" w:hAnsi="Courier New" w:cs="Courier New" w:hint="default"/>
      </w:rPr>
    </w:lvl>
    <w:lvl w:ilvl="2" w:tplc="04260005" w:tentative="1">
      <w:start w:val="1"/>
      <w:numFmt w:val="bullet"/>
      <w:lvlText w:val=""/>
      <w:lvlJc w:val="left"/>
      <w:pPr>
        <w:ind w:left="1803" w:hanging="360"/>
      </w:pPr>
      <w:rPr>
        <w:rFonts w:ascii="Wingdings" w:hAnsi="Wingdings" w:hint="default"/>
      </w:rPr>
    </w:lvl>
    <w:lvl w:ilvl="3" w:tplc="04260001" w:tentative="1">
      <w:start w:val="1"/>
      <w:numFmt w:val="bullet"/>
      <w:lvlText w:val=""/>
      <w:lvlJc w:val="left"/>
      <w:pPr>
        <w:ind w:left="2523" w:hanging="360"/>
      </w:pPr>
      <w:rPr>
        <w:rFonts w:ascii="Symbol" w:hAnsi="Symbol" w:hint="default"/>
      </w:rPr>
    </w:lvl>
    <w:lvl w:ilvl="4" w:tplc="04260003" w:tentative="1">
      <w:start w:val="1"/>
      <w:numFmt w:val="bullet"/>
      <w:lvlText w:val="o"/>
      <w:lvlJc w:val="left"/>
      <w:pPr>
        <w:ind w:left="3243" w:hanging="360"/>
      </w:pPr>
      <w:rPr>
        <w:rFonts w:ascii="Courier New" w:hAnsi="Courier New" w:cs="Courier New" w:hint="default"/>
      </w:rPr>
    </w:lvl>
    <w:lvl w:ilvl="5" w:tplc="04260005" w:tentative="1">
      <w:start w:val="1"/>
      <w:numFmt w:val="bullet"/>
      <w:lvlText w:val=""/>
      <w:lvlJc w:val="left"/>
      <w:pPr>
        <w:ind w:left="3963" w:hanging="360"/>
      </w:pPr>
      <w:rPr>
        <w:rFonts w:ascii="Wingdings" w:hAnsi="Wingdings" w:hint="default"/>
      </w:rPr>
    </w:lvl>
    <w:lvl w:ilvl="6" w:tplc="04260001" w:tentative="1">
      <w:start w:val="1"/>
      <w:numFmt w:val="bullet"/>
      <w:lvlText w:val=""/>
      <w:lvlJc w:val="left"/>
      <w:pPr>
        <w:ind w:left="4683" w:hanging="360"/>
      </w:pPr>
      <w:rPr>
        <w:rFonts w:ascii="Symbol" w:hAnsi="Symbol" w:hint="default"/>
      </w:rPr>
    </w:lvl>
    <w:lvl w:ilvl="7" w:tplc="04260003" w:tentative="1">
      <w:start w:val="1"/>
      <w:numFmt w:val="bullet"/>
      <w:lvlText w:val="o"/>
      <w:lvlJc w:val="left"/>
      <w:pPr>
        <w:ind w:left="5403" w:hanging="360"/>
      </w:pPr>
      <w:rPr>
        <w:rFonts w:ascii="Courier New" w:hAnsi="Courier New" w:cs="Courier New" w:hint="default"/>
      </w:rPr>
    </w:lvl>
    <w:lvl w:ilvl="8" w:tplc="04260005" w:tentative="1">
      <w:start w:val="1"/>
      <w:numFmt w:val="bullet"/>
      <w:lvlText w:val=""/>
      <w:lvlJc w:val="left"/>
      <w:pPr>
        <w:ind w:left="6123" w:hanging="360"/>
      </w:pPr>
      <w:rPr>
        <w:rFonts w:ascii="Wingdings" w:hAnsi="Wingdings" w:hint="default"/>
      </w:rPr>
    </w:lvl>
  </w:abstractNum>
  <w:abstractNum w:abstractNumId="1" w15:restartNumberingAfterBreak="0">
    <w:nsid w:val="07917C91"/>
    <w:multiLevelType w:val="hybridMultilevel"/>
    <w:tmpl w:val="279C01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225EFC"/>
    <w:multiLevelType w:val="hybridMultilevel"/>
    <w:tmpl w:val="8C341A4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0A813916"/>
    <w:multiLevelType w:val="hybridMultilevel"/>
    <w:tmpl w:val="697E87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B305630"/>
    <w:multiLevelType w:val="hybridMultilevel"/>
    <w:tmpl w:val="586A5AFE"/>
    <w:lvl w:ilvl="0" w:tplc="35E61B94">
      <w:start w:val="1"/>
      <w:numFmt w:val="bullet"/>
      <w:lvlText w:val=""/>
      <w:lvlJc w:val="left"/>
      <w:pPr>
        <w:ind w:left="720" w:hanging="360"/>
      </w:pPr>
      <w:rPr>
        <w:rFonts w:ascii="Symbol" w:hAnsi="Symbol"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DB1771C"/>
    <w:multiLevelType w:val="hybridMultilevel"/>
    <w:tmpl w:val="09CE5F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16D4125"/>
    <w:multiLevelType w:val="hybridMultilevel"/>
    <w:tmpl w:val="7D520EDE"/>
    <w:lvl w:ilvl="0" w:tplc="B694E9AE">
      <w:start w:val="1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4105CA9"/>
    <w:multiLevelType w:val="hybridMultilevel"/>
    <w:tmpl w:val="D89EE4A2"/>
    <w:lvl w:ilvl="0" w:tplc="BD841C0E">
      <w:start w:val="1"/>
      <w:numFmt w:val="decimal"/>
      <w:pStyle w:val="ParagraphNumbering"/>
      <w:lvlText w:val="%1.     "/>
      <w:lvlJc w:val="left"/>
      <w:pPr>
        <w:tabs>
          <w:tab w:val="num" w:pos="720"/>
        </w:tabs>
        <w:ind w:left="0" w:firstLine="0"/>
      </w:pPr>
      <w:rPr>
        <w:rFonts w:hint="default"/>
        <w:b/>
        <w:strike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82775B"/>
    <w:multiLevelType w:val="multilevel"/>
    <w:tmpl w:val="61E4D43A"/>
    <w:lvl w:ilvl="0">
      <w:start w:val="1"/>
      <w:numFmt w:val="decimal"/>
      <w:pStyle w:val="Heading1"/>
      <w:lvlText w:val="%1"/>
      <w:lvlJc w:val="left"/>
      <w:pPr>
        <w:ind w:left="716" w:hanging="432"/>
      </w:pPr>
    </w:lvl>
    <w:lvl w:ilvl="1">
      <w:start w:val="1"/>
      <w:numFmt w:val="decimal"/>
      <w:pStyle w:val="Heading2"/>
      <w:lvlText w:val="%1.%2"/>
      <w:lvlJc w:val="left"/>
      <w:pPr>
        <w:ind w:left="860" w:hanging="576"/>
      </w:pPr>
    </w:lvl>
    <w:lvl w:ilvl="2">
      <w:start w:val="1"/>
      <w:numFmt w:val="decimal"/>
      <w:pStyle w:val="Heading3"/>
      <w:lvlText w:val="%1.%2.%3"/>
      <w:lvlJc w:val="left"/>
      <w:pPr>
        <w:ind w:left="1004" w:hanging="720"/>
      </w:pPr>
    </w:lvl>
    <w:lvl w:ilvl="3">
      <w:start w:val="1"/>
      <w:numFmt w:val="decimal"/>
      <w:pStyle w:val="Heading4"/>
      <w:lvlText w:val="%1.%2.%3.%4"/>
      <w:lvlJc w:val="left"/>
      <w:pPr>
        <w:ind w:left="1148" w:hanging="864"/>
      </w:pPr>
    </w:lvl>
    <w:lvl w:ilvl="4">
      <w:start w:val="1"/>
      <w:numFmt w:val="decimal"/>
      <w:pStyle w:val="Heading5"/>
      <w:lvlText w:val="%1.%2.%3.%4.%5"/>
      <w:lvlJc w:val="left"/>
      <w:pPr>
        <w:ind w:left="1292" w:hanging="1008"/>
      </w:pPr>
    </w:lvl>
    <w:lvl w:ilvl="5">
      <w:start w:val="1"/>
      <w:numFmt w:val="decimal"/>
      <w:pStyle w:val="Heading6"/>
      <w:lvlText w:val="%1.%2.%3.%4.%5.%6"/>
      <w:lvlJc w:val="left"/>
      <w:pPr>
        <w:ind w:left="1436" w:hanging="1152"/>
      </w:pPr>
    </w:lvl>
    <w:lvl w:ilvl="6">
      <w:start w:val="1"/>
      <w:numFmt w:val="decimal"/>
      <w:pStyle w:val="Heading7"/>
      <w:lvlText w:val="%1.%2.%3.%4.%5.%6.%7"/>
      <w:lvlJc w:val="left"/>
      <w:pPr>
        <w:ind w:left="1580" w:hanging="1296"/>
      </w:pPr>
    </w:lvl>
    <w:lvl w:ilvl="7">
      <w:start w:val="1"/>
      <w:numFmt w:val="decimal"/>
      <w:pStyle w:val="Heading8"/>
      <w:lvlText w:val="%1.%2.%3.%4.%5.%6.%7.%8"/>
      <w:lvlJc w:val="left"/>
      <w:pPr>
        <w:ind w:left="1724" w:hanging="1440"/>
      </w:pPr>
    </w:lvl>
    <w:lvl w:ilvl="8">
      <w:start w:val="1"/>
      <w:numFmt w:val="decimal"/>
      <w:pStyle w:val="Heading9"/>
      <w:lvlText w:val="%1.%2.%3.%4.%5.%6.%7.%8.%9"/>
      <w:lvlJc w:val="left"/>
      <w:pPr>
        <w:ind w:left="1868" w:hanging="1584"/>
      </w:pPr>
    </w:lvl>
  </w:abstractNum>
  <w:abstractNum w:abstractNumId="9" w15:restartNumberingAfterBreak="0">
    <w:nsid w:val="17584AE8"/>
    <w:multiLevelType w:val="multilevel"/>
    <w:tmpl w:val="F44CB90C"/>
    <w:lvl w:ilvl="0">
      <w:start w:val="3"/>
      <w:numFmt w:val="decimal"/>
      <w:lvlText w:val="%1."/>
      <w:lvlJc w:val="left"/>
      <w:pPr>
        <w:ind w:left="360" w:hanging="360"/>
      </w:pPr>
      <w:rPr>
        <w:rFonts w:ascii="Times New Roman" w:eastAsia="Calibri" w:hAnsi="Times New Roman" w:hint="default"/>
      </w:rPr>
    </w:lvl>
    <w:lvl w:ilvl="1">
      <w:start w:val="4"/>
      <w:numFmt w:val="decimal"/>
      <w:lvlText w:val="%1.%2."/>
      <w:lvlJc w:val="left"/>
      <w:pPr>
        <w:ind w:left="2717" w:hanging="720"/>
      </w:pPr>
      <w:rPr>
        <w:rFonts w:ascii="Times New Roman" w:eastAsia="Calibri" w:hAnsi="Times New Roman" w:hint="default"/>
      </w:rPr>
    </w:lvl>
    <w:lvl w:ilvl="2">
      <w:start w:val="1"/>
      <w:numFmt w:val="decimal"/>
      <w:lvlText w:val="%1.%2.%3."/>
      <w:lvlJc w:val="left"/>
      <w:pPr>
        <w:ind w:left="4714" w:hanging="720"/>
      </w:pPr>
      <w:rPr>
        <w:rFonts w:ascii="Times New Roman" w:eastAsia="Calibri" w:hAnsi="Times New Roman" w:hint="default"/>
      </w:rPr>
    </w:lvl>
    <w:lvl w:ilvl="3">
      <w:start w:val="1"/>
      <w:numFmt w:val="decimal"/>
      <w:lvlText w:val="%1.%2.%3.%4."/>
      <w:lvlJc w:val="left"/>
      <w:pPr>
        <w:ind w:left="7071" w:hanging="1080"/>
      </w:pPr>
      <w:rPr>
        <w:rFonts w:ascii="Times New Roman" w:eastAsia="Calibri" w:hAnsi="Times New Roman" w:hint="default"/>
      </w:rPr>
    </w:lvl>
    <w:lvl w:ilvl="4">
      <w:start w:val="1"/>
      <w:numFmt w:val="decimal"/>
      <w:lvlText w:val="%1.%2.%3.%4.%5."/>
      <w:lvlJc w:val="left"/>
      <w:pPr>
        <w:ind w:left="9428" w:hanging="1440"/>
      </w:pPr>
      <w:rPr>
        <w:rFonts w:ascii="Times New Roman" w:eastAsia="Calibri" w:hAnsi="Times New Roman" w:hint="default"/>
      </w:rPr>
    </w:lvl>
    <w:lvl w:ilvl="5">
      <w:start w:val="1"/>
      <w:numFmt w:val="decimal"/>
      <w:lvlText w:val="%1.%2.%3.%4.%5.%6."/>
      <w:lvlJc w:val="left"/>
      <w:pPr>
        <w:ind w:left="11425" w:hanging="1440"/>
      </w:pPr>
      <w:rPr>
        <w:rFonts w:ascii="Times New Roman" w:eastAsia="Calibri" w:hAnsi="Times New Roman" w:hint="default"/>
      </w:rPr>
    </w:lvl>
    <w:lvl w:ilvl="6">
      <w:start w:val="1"/>
      <w:numFmt w:val="decimal"/>
      <w:lvlText w:val="%1.%2.%3.%4.%5.%6.%7."/>
      <w:lvlJc w:val="left"/>
      <w:pPr>
        <w:ind w:left="13782" w:hanging="1800"/>
      </w:pPr>
      <w:rPr>
        <w:rFonts w:ascii="Times New Roman" w:eastAsia="Calibri" w:hAnsi="Times New Roman" w:hint="default"/>
      </w:rPr>
    </w:lvl>
    <w:lvl w:ilvl="7">
      <w:start w:val="1"/>
      <w:numFmt w:val="decimal"/>
      <w:lvlText w:val="%1.%2.%3.%4.%5.%6.%7.%8."/>
      <w:lvlJc w:val="left"/>
      <w:pPr>
        <w:ind w:left="15779" w:hanging="1800"/>
      </w:pPr>
      <w:rPr>
        <w:rFonts w:ascii="Times New Roman" w:eastAsia="Calibri" w:hAnsi="Times New Roman" w:hint="default"/>
      </w:rPr>
    </w:lvl>
    <w:lvl w:ilvl="8">
      <w:start w:val="1"/>
      <w:numFmt w:val="decimal"/>
      <w:lvlText w:val="%1.%2.%3.%4.%5.%6.%7.%8.%9."/>
      <w:lvlJc w:val="left"/>
      <w:pPr>
        <w:ind w:left="18136" w:hanging="2160"/>
      </w:pPr>
      <w:rPr>
        <w:rFonts w:ascii="Times New Roman" w:eastAsia="Calibri" w:hAnsi="Times New Roman" w:hint="default"/>
      </w:rPr>
    </w:lvl>
  </w:abstractNum>
  <w:abstractNum w:abstractNumId="10" w15:restartNumberingAfterBreak="0">
    <w:nsid w:val="17CE7097"/>
    <w:multiLevelType w:val="hybridMultilevel"/>
    <w:tmpl w:val="D2B86E3E"/>
    <w:lvl w:ilvl="0" w:tplc="04260001">
      <w:start w:val="1"/>
      <w:numFmt w:val="bullet"/>
      <w:lvlText w:val=""/>
      <w:lvlJc w:val="left"/>
      <w:pPr>
        <w:ind w:left="1500" w:hanging="360"/>
      </w:pPr>
      <w:rPr>
        <w:rFonts w:ascii="Symbol" w:hAnsi="Symbol" w:hint="default"/>
      </w:rPr>
    </w:lvl>
    <w:lvl w:ilvl="1" w:tplc="04260003">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11" w15:restartNumberingAfterBreak="0">
    <w:nsid w:val="194934AC"/>
    <w:multiLevelType w:val="hybridMultilevel"/>
    <w:tmpl w:val="4CD282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A9E467D"/>
    <w:multiLevelType w:val="hybridMultilevel"/>
    <w:tmpl w:val="758E2392"/>
    <w:lvl w:ilvl="0" w:tplc="9B4C19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C080CE6"/>
    <w:multiLevelType w:val="hybridMultilevel"/>
    <w:tmpl w:val="EA38E6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CE3652A"/>
    <w:multiLevelType w:val="multilevel"/>
    <w:tmpl w:val="B3DCB02A"/>
    <w:lvl w:ilvl="0">
      <w:start w:val="2"/>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15" w15:restartNumberingAfterBreak="0">
    <w:nsid w:val="212003EA"/>
    <w:multiLevelType w:val="hybridMultilevel"/>
    <w:tmpl w:val="82927FA2"/>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4631505"/>
    <w:multiLevelType w:val="hybridMultilevel"/>
    <w:tmpl w:val="BE3A4222"/>
    <w:lvl w:ilvl="0" w:tplc="07D0FB2C">
      <w:start w:val="6"/>
      <w:numFmt w:val="bullet"/>
      <w:lvlText w:val="-"/>
      <w:lvlJc w:val="left"/>
      <w:pPr>
        <w:ind w:left="1636" w:hanging="360"/>
      </w:pPr>
      <w:rPr>
        <w:rFonts w:ascii="Times New Roman" w:eastAsia="Times New Roman" w:hAnsi="Times New Roman" w:cs="Times New Roman" w:hint="default"/>
      </w:rPr>
    </w:lvl>
    <w:lvl w:ilvl="1" w:tplc="5D4E0180">
      <w:numFmt w:val="bullet"/>
      <w:lvlText w:val="•"/>
      <w:lvlJc w:val="left"/>
      <w:pPr>
        <w:ind w:left="2356" w:hanging="360"/>
      </w:pPr>
      <w:rPr>
        <w:rFonts w:ascii="Times New Roman" w:eastAsia="Calibri" w:hAnsi="Times New Roman" w:cs="Times New Roman" w:hint="default"/>
      </w:rPr>
    </w:lvl>
    <w:lvl w:ilvl="2" w:tplc="04260005" w:tentative="1">
      <w:start w:val="1"/>
      <w:numFmt w:val="bullet"/>
      <w:lvlText w:val=""/>
      <w:lvlJc w:val="left"/>
      <w:pPr>
        <w:ind w:left="3076" w:hanging="360"/>
      </w:pPr>
      <w:rPr>
        <w:rFonts w:ascii="Wingdings" w:hAnsi="Wingdings" w:hint="default"/>
      </w:rPr>
    </w:lvl>
    <w:lvl w:ilvl="3" w:tplc="04260001" w:tentative="1">
      <w:start w:val="1"/>
      <w:numFmt w:val="bullet"/>
      <w:lvlText w:val=""/>
      <w:lvlJc w:val="left"/>
      <w:pPr>
        <w:ind w:left="3796" w:hanging="360"/>
      </w:pPr>
      <w:rPr>
        <w:rFonts w:ascii="Symbol" w:hAnsi="Symbol" w:hint="default"/>
      </w:rPr>
    </w:lvl>
    <w:lvl w:ilvl="4" w:tplc="04260003" w:tentative="1">
      <w:start w:val="1"/>
      <w:numFmt w:val="bullet"/>
      <w:lvlText w:val="o"/>
      <w:lvlJc w:val="left"/>
      <w:pPr>
        <w:ind w:left="4516" w:hanging="360"/>
      </w:pPr>
      <w:rPr>
        <w:rFonts w:ascii="Courier New" w:hAnsi="Courier New" w:cs="Courier New" w:hint="default"/>
      </w:rPr>
    </w:lvl>
    <w:lvl w:ilvl="5" w:tplc="04260005" w:tentative="1">
      <w:start w:val="1"/>
      <w:numFmt w:val="bullet"/>
      <w:lvlText w:val=""/>
      <w:lvlJc w:val="left"/>
      <w:pPr>
        <w:ind w:left="5236" w:hanging="360"/>
      </w:pPr>
      <w:rPr>
        <w:rFonts w:ascii="Wingdings" w:hAnsi="Wingdings" w:hint="default"/>
      </w:rPr>
    </w:lvl>
    <w:lvl w:ilvl="6" w:tplc="04260001" w:tentative="1">
      <w:start w:val="1"/>
      <w:numFmt w:val="bullet"/>
      <w:lvlText w:val=""/>
      <w:lvlJc w:val="left"/>
      <w:pPr>
        <w:ind w:left="5956" w:hanging="360"/>
      </w:pPr>
      <w:rPr>
        <w:rFonts w:ascii="Symbol" w:hAnsi="Symbol" w:hint="default"/>
      </w:rPr>
    </w:lvl>
    <w:lvl w:ilvl="7" w:tplc="04260003" w:tentative="1">
      <w:start w:val="1"/>
      <w:numFmt w:val="bullet"/>
      <w:lvlText w:val="o"/>
      <w:lvlJc w:val="left"/>
      <w:pPr>
        <w:ind w:left="6676" w:hanging="360"/>
      </w:pPr>
      <w:rPr>
        <w:rFonts w:ascii="Courier New" w:hAnsi="Courier New" w:cs="Courier New" w:hint="default"/>
      </w:rPr>
    </w:lvl>
    <w:lvl w:ilvl="8" w:tplc="04260005" w:tentative="1">
      <w:start w:val="1"/>
      <w:numFmt w:val="bullet"/>
      <w:lvlText w:val=""/>
      <w:lvlJc w:val="left"/>
      <w:pPr>
        <w:ind w:left="7396" w:hanging="360"/>
      </w:pPr>
      <w:rPr>
        <w:rFonts w:ascii="Wingdings" w:hAnsi="Wingdings" w:hint="default"/>
      </w:rPr>
    </w:lvl>
  </w:abstractNum>
  <w:abstractNum w:abstractNumId="17" w15:restartNumberingAfterBreak="0">
    <w:nsid w:val="2CEE737A"/>
    <w:multiLevelType w:val="hybridMultilevel"/>
    <w:tmpl w:val="D7C8B9AC"/>
    <w:lvl w:ilvl="0" w:tplc="04260001">
      <w:start w:val="1"/>
      <w:numFmt w:val="bullet"/>
      <w:lvlText w:val=""/>
      <w:lvlJc w:val="left"/>
      <w:pPr>
        <w:ind w:left="1346" w:hanging="360"/>
      </w:pPr>
      <w:rPr>
        <w:rFonts w:ascii="Symbol" w:hAnsi="Symbol" w:hint="default"/>
      </w:rPr>
    </w:lvl>
    <w:lvl w:ilvl="1" w:tplc="04260003" w:tentative="1">
      <w:start w:val="1"/>
      <w:numFmt w:val="bullet"/>
      <w:lvlText w:val="o"/>
      <w:lvlJc w:val="left"/>
      <w:pPr>
        <w:ind w:left="2066" w:hanging="360"/>
      </w:pPr>
      <w:rPr>
        <w:rFonts w:ascii="Courier New" w:hAnsi="Courier New" w:cs="Courier New" w:hint="default"/>
      </w:rPr>
    </w:lvl>
    <w:lvl w:ilvl="2" w:tplc="04260005" w:tentative="1">
      <w:start w:val="1"/>
      <w:numFmt w:val="bullet"/>
      <w:lvlText w:val=""/>
      <w:lvlJc w:val="left"/>
      <w:pPr>
        <w:ind w:left="2786" w:hanging="360"/>
      </w:pPr>
      <w:rPr>
        <w:rFonts w:ascii="Wingdings" w:hAnsi="Wingdings" w:hint="default"/>
      </w:rPr>
    </w:lvl>
    <w:lvl w:ilvl="3" w:tplc="04260001" w:tentative="1">
      <w:start w:val="1"/>
      <w:numFmt w:val="bullet"/>
      <w:lvlText w:val=""/>
      <w:lvlJc w:val="left"/>
      <w:pPr>
        <w:ind w:left="3506" w:hanging="360"/>
      </w:pPr>
      <w:rPr>
        <w:rFonts w:ascii="Symbol" w:hAnsi="Symbol" w:hint="default"/>
      </w:rPr>
    </w:lvl>
    <w:lvl w:ilvl="4" w:tplc="04260003" w:tentative="1">
      <w:start w:val="1"/>
      <w:numFmt w:val="bullet"/>
      <w:lvlText w:val="o"/>
      <w:lvlJc w:val="left"/>
      <w:pPr>
        <w:ind w:left="4226" w:hanging="360"/>
      </w:pPr>
      <w:rPr>
        <w:rFonts w:ascii="Courier New" w:hAnsi="Courier New" w:cs="Courier New" w:hint="default"/>
      </w:rPr>
    </w:lvl>
    <w:lvl w:ilvl="5" w:tplc="04260005" w:tentative="1">
      <w:start w:val="1"/>
      <w:numFmt w:val="bullet"/>
      <w:lvlText w:val=""/>
      <w:lvlJc w:val="left"/>
      <w:pPr>
        <w:ind w:left="4946" w:hanging="360"/>
      </w:pPr>
      <w:rPr>
        <w:rFonts w:ascii="Wingdings" w:hAnsi="Wingdings" w:hint="default"/>
      </w:rPr>
    </w:lvl>
    <w:lvl w:ilvl="6" w:tplc="04260001" w:tentative="1">
      <w:start w:val="1"/>
      <w:numFmt w:val="bullet"/>
      <w:lvlText w:val=""/>
      <w:lvlJc w:val="left"/>
      <w:pPr>
        <w:ind w:left="5666" w:hanging="360"/>
      </w:pPr>
      <w:rPr>
        <w:rFonts w:ascii="Symbol" w:hAnsi="Symbol" w:hint="default"/>
      </w:rPr>
    </w:lvl>
    <w:lvl w:ilvl="7" w:tplc="04260003" w:tentative="1">
      <w:start w:val="1"/>
      <w:numFmt w:val="bullet"/>
      <w:lvlText w:val="o"/>
      <w:lvlJc w:val="left"/>
      <w:pPr>
        <w:ind w:left="6386" w:hanging="360"/>
      </w:pPr>
      <w:rPr>
        <w:rFonts w:ascii="Courier New" w:hAnsi="Courier New" w:cs="Courier New" w:hint="default"/>
      </w:rPr>
    </w:lvl>
    <w:lvl w:ilvl="8" w:tplc="04260005" w:tentative="1">
      <w:start w:val="1"/>
      <w:numFmt w:val="bullet"/>
      <w:lvlText w:val=""/>
      <w:lvlJc w:val="left"/>
      <w:pPr>
        <w:ind w:left="7106" w:hanging="360"/>
      </w:pPr>
      <w:rPr>
        <w:rFonts w:ascii="Wingdings" w:hAnsi="Wingdings" w:hint="default"/>
      </w:rPr>
    </w:lvl>
  </w:abstractNum>
  <w:abstractNum w:abstractNumId="18" w15:restartNumberingAfterBreak="0">
    <w:nsid w:val="311B02A4"/>
    <w:multiLevelType w:val="hybridMultilevel"/>
    <w:tmpl w:val="EC704792"/>
    <w:lvl w:ilvl="0" w:tplc="04260001">
      <w:start w:val="1"/>
      <w:numFmt w:val="bullet"/>
      <w:lvlText w:val=""/>
      <w:lvlJc w:val="left"/>
      <w:pPr>
        <w:ind w:left="2520" w:hanging="360"/>
      </w:pPr>
      <w:rPr>
        <w:rFonts w:ascii="Symbol" w:hAnsi="Symbol" w:hint="default"/>
      </w:rPr>
    </w:lvl>
    <w:lvl w:ilvl="1" w:tplc="04260003" w:tentative="1">
      <w:start w:val="1"/>
      <w:numFmt w:val="bullet"/>
      <w:lvlText w:val="o"/>
      <w:lvlJc w:val="left"/>
      <w:pPr>
        <w:ind w:left="3240" w:hanging="360"/>
      </w:pPr>
      <w:rPr>
        <w:rFonts w:ascii="Courier New" w:hAnsi="Courier New" w:cs="Courier New" w:hint="default"/>
      </w:rPr>
    </w:lvl>
    <w:lvl w:ilvl="2" w:tplc="04260005" w:tentative="1">
      <w:start w:val="1"/>
      <w:numFmt w:val="bullet"/>
      <w:lvlText w:val=""/>
      <w:lvlJc w:val="left"/>
      <w:pPr>
        <w:ind w:left="3960" w:hanging="360"/>
      </w:pPr>
      <w:rPr>
        <w:rFonts w:ascii="Wingdings" w:hAnsi="Wingdings" w:hint="default"/>
      </w:rPr>
    </w:lvl>
    <w:lvl w:ilvl="3" w:tplc="04260001" w:tentative="1">
      <w:start w:val="1"/>
      <w:numFmt w:val="bullet"/>
      <w:lvlText w:val=""/>
      <w:lvlJc w:val="left"/>
      <w:pPr>
        <w:ind w:left="4680" w:hanging="360"/>
      </w:pPr>
      <w:rPr>
        <w:rFonts w:ascii="Symbol" w:hAnsi="Symbol" w:hint="default"/>
      </w:rPr>
    </w:lvl>
    <w:lvl w:ilvl="4" w:tplc="04260003" w:tentative="1">
      <w:start w:val="1"/>
      <w:numFmt w:val="bullet"/>
      <w:lvlText w:val="o"/>
      <w:lvlJc w:val="left"/>
      <w:pPr>
        <w:ind w:left="5400" w:hanging="360"/>
      </w:pPr>
      <w:rPr>
        <w:rFonts w:ascii="Courier New" w:hAnsi="Courier New" w:cs="Courier New" w:hint="default"/>
      </w:rPr>
    </w:lvl>
    <w:lvl w:ilvl="5" w:tplc="04260005" w:tentative="1">
      <w:start w:val="1"/>
      <w:numFmt w:val="bullet"/>
      <w:lvlText w:val=""/>
      <w:lvlJc w:val="left"/>
      <w:pPr>
        <w:ind w:left="6120" w:hanging="360"/>
      </w:pPr>
      <w:rPr>
        <w:rFonts w:ascii="Wingdings" w:hAnsi="Wingdings" w:hint="default"/>
      </w:rPr>
    </w:lvl>
    <w:lvl w:ilvl="6" w:tplc="04260001" w:tentative="1">
      <w:start w:val="1"/>
      <w:numFmt w:val="bullet"/>
      <w:lvlText w:val=""/>
      <w:lvlJc w:val="left"/>
      <w:pPr>
        <w:ind w:left="6840" w:hanging="360"/>
      </w:pPr>
      <w:rPr>
        <w:rFonts w:ascii="Symbol" w:hAnsi="Symbol" w:hint="default"/>
      </w:rPr>
    </w:lvl>
    <w:lvl w:ilvl="7" w:tplc="04260003" w:tentative="1">
      <w:start w:val="1"/>
      <w:numFmt w:val="bullet"/>
      <w:lvlText w:val="o"/>
      <w:lvlJc w:val="left"/>
      <w:pPr>
        <w:ind w:left="7560" w:hanging="360"/>
      </w:pPr>
      <w:rPr>
        <w:rFonts w:ascii="Courier New" w:hAnsi="Courier New" w:cs="Courier New" w:hint="default"/>
      </w:rPr>
    </w:lvl>
    <w:lvl w:ilvl="8" w:tplc="04260005" w:tentative="1">
      <w:start w:val="1"/>
      <w:numFmt w:val="bullet"/>
      <w:lvlText w:val=""/>
      <w:lvlJc w:val="left"/>
      <w:pPr>
        <w:ind w:left="8280" w:hanging="360"/>
      </w:pPr>
      <w:rPr>
        <w:rFonts w:ascii="Wingdings" w:hAnsi="Wingdings" w:hint="default"/>
      </w:rPr>
    </w:lvl>
  </w:abstractNum>
  <w:abstractNum w:abstractNumId="19" w15:restartNumberingAfterBreak="0">
    <w:nsid w:val="3F765F44"/>
    <w:multiLevelType w:val="multilevel"/>
    <w:tmpl w:val="E3C81CEC"/>
    <w:lvl w:ilvl="0">
      <w:start w:val="4"/>
      <w:numFmt w:val="decimal"/>
      <w:lvlText w:val="%1."/>
      <w:lvlJc w:val="left"/>
      <w:pPr>
        <w:ind w:left="540" w:hanging="540"/>
      </w:pPr>
      <w:rPr>
        <w:rFonts w:hint="default"/>
      </w:rPr>
    </w:lvl>
    <w:lvl w:ilvl="1">
      <w:start w:val="2"/>
      <w:numFmt w:val="decimal"/>
      <w:lvlText w:val="%1.%2."/>
      <w:lvlJc w:val="left"/>
      <w:pPr>
        <w:ind w:left="1178" w:hanging="54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20" w15:restartNumberingAfterBreak="0">
    <w:nsid w:val="41117A0E"/>
    <w:multiLevelType w:val="multilevel"/>
    <w:tmpl w:val="5694BCC8"/>
    <w:lvl w:ilvl="0">
      <w:start w:val="4"/>
      <w:numFmt w:val="decimal"/>
      <w:lvlText w:val="%1."/>
      <w:lvlJc w:val="left"/>
      <w:pPr>
        <w:ind w:left="360" w:hanging="360"/>
      </w:pPr>
      <w:rPr>
        <w:rFonts w:hint="default"/>
      </w:rPr>
    </w:lvl>
    <w:lvl w:ilvl="1">
      <w:start w:val="2"/>
      <w:numFmt w:val="decimal"/>
      <w:lvlText w:val="%1.%2."/>
      <w:lvlJc w:val="left"/>
      <w:pPr>
        <w:ind w:left="2357" w:hanging="360"/>
      </w:pPr>
      <w:rPr>
        <w:rFonts w:hint="default"/>
      </w:rPr>
    </w:lvl>
    <w:lvl w:ilvl="2">
      <w:start w:val="1"/>
      <w:numFmt w:val="upperLetter"/>
      <w:lvlText w:val="%1.%2.%3."/>
      <w:lvlJc w:val="left"/>
      <w:pPr>
        <w:ind w:left="1997" w:hanging="720"/>
      </w:pPr>
      <w:rPr>
        <w:rFonts w:hint="default"/>
      </w:rPr>
    </w:lvl>
    <w:lvl w:ilvl="3">
      <w:start w:val="1"/>
      <w:numFmt w:val="decimal"/>
      <w:lvlText w:val="%1.%2.%3.%4."/>
      <w:lvlJc w:val="left"/>
      <w:pPr>
        <w:ind w:left="6711" w:hanging="720"/>
      </w:pPr>
      <w:rPr>
        <w:rFonts w:hint="default"/>
      </w:rPr>
    </w:lvl>
    <w:lvl w:ilvl="4">
      <w:start w:val="1"/>
      <w:numFmt w:val="decimal"/>
      <w:lvlText w:val="%1.%2.%3.%4.%5."/>
      <w:lvlJc w:val="left"/>
      <w:pPr>
        <w:ind w:left="9068" w:hanging="1080"/>
      </w:pPr>
      <w:rPr>
        <w:rFonts w:hint="default"/>
      </w:rPr>
    </w:lvl>
    <w:lvl w:ilvl="5">
      <w:start w:val="1"/>
      <w:numFmt w:val="decimal"/>
      <w:lvlText w:val="%1.%2.%3.%4.%5.%6."/>
      <w:lvlJc w:val="left"/>
      <w:pPr>
        <w:ind w:left="11065" w:hanging="1080"/>
      </w:pPr>
      <w:rPr>
        <w:rFonts w:hint="default"/>
      </w:rPr>
    </w:lvl>
    <w:lvl w:ilvl="6">
      <w:start w:val="1"/>
      <w:numFmt w:val="decimal"/>
      <w:lvlText w:val="%1.%2.%3.%4.%5.%6.%7."/>
      <w:lvlJc w:val="left"/>
      <w:pPr>
        <w:ind w:left="13422" w:hanging="1440"/>
      </w:pPr>
      <w:rPr>
        <w:rFonts w:hint="default"/>
      </w:rPr>
    </w:lvl>
    <w:lvl w:ilvl="7">
      <w:start w:val="1"/>
      <w:numFmt w:val="decimal"/>
      <w:lvlText w:val="%1.%2.%3.%4.%5.%6.%7.%8."/>
      <w:lvlJc w:val="left"/>
      <w:pPr>
        <w:ind w:left="15419" w:hanging="1440"/>
      </w:pPr>
      <w:rPr>
        <w:rFonts w:hint="default"/>
      </w:rPr>
    </w:lvl>
    <w:lvl w:ilvl="8">
      <w:start w:val="1"/>
      <w:numFmt w:val="decimal"/>
      <w:lvlText w:val="%1.%2.%3.%4.%5.%6.%7.%8.%9."/>
      <w:lvlJc w:val="left"/>
      <w:pPr>
        <w:ind w:left="17776" w:hanging="1800"/>
      </w:pPr>
      <w:rPr>
        <w:rFonts w:hint="default"/>
      </w:rPr>
    </w:lvl>
  </w:abstractNum>
  <w:abstractNum w:abstractNumId="21" w15:restartNumberingAfterBreak="0">
    <w:nsid w:val="41A87B02"/>
    <w:multiLevelType w:val="hybridMultilevel"/>
    <w:tmpl w:val="1EE20C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B3567C6"/>
    <w:multiLevelType w:val="multilevel"/>
    <w:tmpl w:val="C4A207E0"/>
    <w:lvl w:ilvl="0">
      <w:start w:val="1"/>
      <w:numFmt w:val="decimal"/>
      <w:lvlText w:val="%1."/>
      <w:lvlJc w:val="left"/>
      <w:pPr>
        <w:ind w:left="720" w:hanging="360"/>
      </w:pPr>
    </w:lvl>
    <w:lvl w:ilvl="1">
      <w:start w:val="2"/>
      <w:numFmt w:val="decimal"/>
      <w:isLgl/>
      <w:lvlText w:val="%1.%2."/>
      <w:lvlJc w:val="left"/>
      <w:pPr>
        <w:ind w:left="2350" w:hanging="540"/>
      </w:pPr>
      <w:rPr>
        <w:rFonts w:hint="default"/>
      </w:rPr>
    </w:lvl>
    <w:lvl w:ilvl="2">
      <w:start w:val="3"/>
      <w:numFmt w:val="decimal"/>
      <w:isLgl/>
      <w:lvlText w:val="%1.%2.%3."/>
      <w:lvlJc w:val="left"/>
      <w:pPr>
        <w:ind w:left="3980" w:hanging="720"/>
      </w:pPr>
      <w:rPr>
        <w:rFonts w:hint="default"/>
      </w:rPr>
    </w:lvl>
    <w:lvl w:ilvl="3">
      <w:start w:val="1"/>
      <w:numFmt w:val="decimal"/>
      <w:isLgl/>
      <w:lvlText w:val="%1.%2.%3.%4."/>
      <w:lvlJc w:val="left"/>
      <w:pPr>
        <w:ind w:left="5430" w:hanging="720"/>
      </w:pPr>
      <w:rPr>
        <w:rFonts w:hint="default"/>
      </w:rPr>
    </w:lvl>
    <w:lvl w:ilvl="4">
      <w:start w:val="1"/>
      <w:numFmt w:val="decimal"/>
      <w:isLgl/>
      <w:lvlText w:val="%1.%2.%3.%4.%5."/>
      <w:lvlJc w:val="left"/>
      <w:pPr>
        <w:ind w:left="7240" w:hanging="1080"/>
      </w:pPr>
      <w:rPr>
        <w:rFonts w:hint="default"/>
      </w:rPr>
    </w:lvl>
    <w:lvl w:ilvl="5">
      <w:start w:val="1"/>
      <w:numFmt w:val="decimal"/>
      <w:isLgl/>
      <w:lvlText w:val="%1.%2.%3.%4.%5.%6."/>
      <w:lvlJc w:val="left"/>
      <w:pPr>
        <w:ind w:left="8690" w:hanging="1080"/>
      </w:pPr>
      <w:rPr>
        <w:rFonts w:hint="default"/>
      </w:rPr>
    </w:lvl>
    <w:lvl w:ilvl="6">
      <w:start w:val="1"/>
      <w:numFmt w:val="decimal"/>
      <w:isLgl/>
      <w:lvlText w:val="%1.%2.%3.%4.%5.%6.%7."/>
      <w:lvlJc w:val="left"/>
      <w:pPr>
        <w:ind w:left="10500" w:hanging="1440"/>
      </w:pPr>
      <w:rPr>
        <w:rFonts w:hint="default"/>
      </w:rPr>
    </w:lvl>
    <w:lvl w:ilvl="7">
      <w:start w:val="1"/>
      <w:numFmt w:val="decimal"/>
      <w:isLgl/>
      <w:lvlText w:val="%1.%2.%3.%4.%5.%6.%7.%8."/>
      <w:lvlJc w:val="left"/>
      <w:pPr>
        <w:ind w:left="11950" w:hanging="1440"/>
      </w:pPr>
      <w:rPr>
        <w:rFonts w:hint="default"/>
      </w:rPr>
    </w:lvl>
    <w:lvl w:ilvl="8">
      <w:start w:val="1"/>
      <w:numFmt w:val="decimal"/>
      <w:isLgl/>
      <w:lvlText w:val="%1.%2.%3.%4.%5.%6.%7.%8.%9."/>
      <w:lvlJc w:val="left"/>
      <w:pPr>
        <w:ind w:left="13760" w:hanging="1800"/>
      </w:pPr>
      <w:rPr>
        <w:rFonts w:hint="default"/>
      </w:rPr>
    </w:lvl>
  </w:abstractNum>
  <w:abstractNum w:abstractNumId="23" w15:restartNumberingAfterBreak="0">
    <w:nsid w:val="4CF93443"/>
    <w:multiLevelType w:val="multilevel"/>
    <w:tmpl w:val="34F283AC"/>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4" w15:restartNumberingAfterBreak="0">
    <w:nsid w:val="4D823B26"/>
    <w:multiLevelType w:val="hybridMultilevel"/>
    <w:tmpl w:val="AE928E5E"/>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5" w15:restartNumberingAfterBreak="0">
    <w:nsid w:val="51974980"/>
    <w:multiLevelType w:val="hybridMultilevel"/>
    <w:tmpl w:val="768AFFEC"/>
    <w:lvl w:ilvl="0" w:tplc="84842E00">
      <w:start w:val="1"/>
      <w:numFmt w:val="bullet"/>
      <w:lvlText w:val=""/>
      <w:lvlJc w:val="left"/>
      <w:pPr>
        <w:ind w:left="1080" w:hanging="360"/>
      </w:pPr>
      <w:rPr>
        <w:rFonts w:ascii="Symbol" w:hAnsi="Symbol" w:hint="default"/>
        <w:sz w:val="24"/>
        <w:szCs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1">
    <w:nsid w:val="5D7B6F95"/>
    <w:multiLevelType w:val="multilevel"/>
    <w:tmpl w:val="738635FA"/>
    <w:lvl w:ilvl="0">
      <w:start w:val="1"/>
      <w:numFmt w:val="decimal"/>
      <w:lvlText w:val="%1."/>
      <w:lvlJc w:val="left"/>
      <w:pPr>
        <w:ind w:left="1129" w:hanging="360"/>
      </w:pPr>
      <w:rPr>
        <w:rFonts w:hint="default"/>
        <w:color w:val="000000"/>
      </w:rPr>
    </w:lvl>
    <w:lvl w:ilvl="1">
      <w:start w:val="1"/>
      <w:numFmt w:val="decimal"/>
      <w:isLgl/>
      <w:lvlText w:val="%1.%2."/>
      <w:lvlJc w:val="left"/>
      <w:pPr>
        <w:ind w:left="1489" w:hanging="360"/>
      </w:pPr>
      <w:rPr>
        <w:rFonts w:hint="default"/>
      </w:rPr>
    </w:lvl>
    <w:lvl w:ilvl="2">
      <w:start w:val="1"/>
      <w:numFmt w:val="decimal"/>
      <w:isLgl/>
      <w:lvlText w:val="%1.%2.%3."/>
      <w:lvlJc w:val="left"/>
      <w:pPr>
        <w:ind w:left="2209" w:hanging="720"/>
      </w:pPr>
      <w:rPr>
        <w:rFonts w:hint="default"/>
      </w:rPr>
    </w:lvl>
    <w:lvl w:ilvl="3">
      <w:start w:val="1"/>
      <w:numFmt w:val="decimal"/>
      <w:isLgl/>
      <w:lvlText w:val="%1.%2.%3.%4."/>
      <w:lvlJc w:val="left"/>
      <w:pPr>
        <w:ind w:left="2569" w:hanging="720"/>
      </w:pPr>
      <w:rPr>
        <w:rFonts w:hint="default"/>
      </w:rPr>
    </w:lvl>
    <w:lvl w:ilvl="4">
      <w:start w:val="1"/>
      <w:numFmt w:val="decimal"/>
      <w:isLgl/>
      <w:lvlText w:val="%1.%2.%3.%4.%5."/>
      <w:lvlJc w:val="left"/>
      <w:pPr>
        <w:ind w:left="3289" w:hanging="1080"/>
      </w:pPr>
      <w:rPr>
        <w:rFonts w:hint="default"/>
      </w:rPr>
    </w:lvl>
    <w:lvl w:ilvl="5">
      <w:start w:val="1"/>
      <w:numFmt w:val="decimal"/>
      <w:isLgl/>
      <w:lvlText w:val="%1.%2.%3.%4.%5.%6."/>
      <w:lvlJc w:val="left"/>
      <w:pPr>
        <w:ind w:left="3649" w:hanging="1080"/>
      </w:pPr>
      <w:rPr>
        <w:rFonts w:hint="default"/>
      </w:rPr>
    </w:lvl>
    <w:lvl w:ilvl="6">
      <w:start w:val="1"/>
      <w:numFmt w:val="decimal"/>
      <w:isLgl/>
      <w:lvlText w:val="%1.%2.%3.%4.%5.%6.%7."/>
      <w:lvlJc w:val="left"/>
      <w:pPr>
        <w:ind w:left="4369" w:hanging="1440"/>
      </w:pPr>
      <w:rPr>
        <w:rFonts w:hint="default"/>
      </w:rPr>
    </w:lvl>
    <w:lvl w:ilvl="7">
      <w:start w:val="1"/>
      <w:numFmt w:val="decimal"/>
      <w:isLgl/>
      <w:lvlText w:val="%1.%2.%3.%4.%5.%6.%7.%8."/>
      <w:lvlJc w:val="left"/>
      <w:pPr>
        <w:ind w:left="4729" w:hanging="1440"/>
      </w:pPr>
      <w:rPr>
        <w:rFonts w:hint="default"/>
      </w:rPr>
    </w:lvl>
    <w:lvl w:ilvl="8">
      <w:start w:val="1"/>
      <w:numFmt w:val="decimal"/>
      <w:isLgl/>
      <w:lvlText w:val="%1.%2.%3.%4.%5.%6.%7.%8.%9."/>
      <w:lvlJc w:val="left"/>
      <w:pPr>
        <w:ind w:left="5449" w:hanging="1800"/>
      </w:pPr>
      <w:rPr>
        <w:rFonts w:hint="default"/>
      </w:rPr>
    </w:lvl>
  </w:abstractNum>
  <w:abstractNum w:abstractNumId="27" w15:restartNumberingAfterBreak="0">
    <w:nsid w:val="63B55768"/>
    <w:multiLevelType w:val="multilevel"/>
    <w:tmpl w:val="F356E262"/>
    <w:lvl w:ilvl="0">
      <w:start w:val="1"/>
      <w:numFmt w:val="decimal"/>
      <w:lvlText w:val="%1."/>
      <w:lvlJc w:val="left"/>
      <w:pPr>
        <w:ind w:left="1129" w:hanging="360"/>
      </w:pPr>
      <w:rPr>
        <w:rFonts w:hint="default"/>
        <w:color w:val="000000"/>
      </w:rPr>
    </w:lvl>
    <w:lvl w:ilvl="1">
      <w:start w:val="3"/>
      <w:numFmt w:val="decimal"/>
      <w:isLgl/>
      <w:lvlText w:val="%1.%2."/>
      <w:lvlJc w:val="left"/>
      <w:pPr>
        <w:ind w:left="1294" w:hanging="525"/>
      </w:pPr>
      <w:rPr>
        <w:rFonts w:hint="default"/>
      </w:rPr>
    </w:lvl>
    <w:lvl w:ilvl="2">
      <w:start w:val="2"/>
      <w:numFmt w:val="decimal"/>
      <w:isLgl/>
      <w:lvlText w:val="%1.%2.%3."/>
      <w:lvlJc w:val="left"/>
      <w:pPr>
        <w:ind w:left="1489" w:hanging="720"/>
      </w:pPr>
      <w:rPr>
        <w:rFonts w:hint="default"/>
      </w:rPr>
    </w:lvl>
    <w:lvl w:ilvl="3">
      <w:start w:val="1"/>
      <w:numFmt w:val="decimal"/>
      <w:isLgl/>
      <w:lvlText w:val="%1.%2.%3.%4."/>
      <w:lvlJc w:val="left"/>
      <w:pPr>
        <w:ind w:left="1489" w:hanging="720"/>
      </w:pPr>
      <w:rPr>
        <w:rFonts w:hint="default"/>
      </w:rPr>
    </w:lvl>
    <w:lvl w:ilvl="4">
      <w:start w:val="1"/>
      <w:numFmt w:val="decimal"/>
      <w:isLgl/>
      <w:lvlText w:val="%1.%2.%3.%4.%5."/>
      <w:lvlJc w:val="left"/>
      <w:pPr>
        <w:ind w:left="1849" w:hanging="1080"/>
      </w:pPr>
      <w:rPr>
        <w:rFonts w:hint="default"/>
      </w:rPr>
    </w:lvl>
    <w:lvl w:ilvl="5">
      <w:start w:val="1"/>
      <w:numFmt w:val="decimal"/>
      <w:isLgl/>
      <w:lvlText w:val="%1.%2.%3.%4.%5.%6."/>
      <w:lvlJc w:val="left"/>
      <w:pPr>
        <w:ind w:left="1849" w:hanging="1080"/>
      </w:pPr>
      <w:rPr>
        <w:rFonts w:hint="default"/>
      </w:rPr>
    </w:lvl>
    <w:lvl w:ilvl="6">
      <w:start w:val="1"/>
      <w:numFmt w:val="decimal"/>
      <w:isLgl/>
      <w:lvlText w:val="%1.%2.%3.%4.%5.%6.%7."/>
      <w:lvlJc w:val="left"/>
      <w:pPr>
        <w:ind w:left="2209" w:hanging="1440"/>
      </w:pPr>
      <w:rPr>
        <w:rFonts w:hint="default"/>
      </w:rPr>
    </w:lvl>
    <w:lvl w:ilvl="7">
      <w:start w:val="1"/>
      <w:numFmt w:val="decimal"/>
      <w:isLgl/>
      <w:lvlText w:val="%1.%2.%3.%4.%5.%6.%7.%8."/>
      <w:lvlJc w:val="left"/>
      <w:pPr>
        <w:ind w:left="2209" w:hanging="1440"/>
      </w:pPr>
      <w:rPr>
        <w:rFonts w:hint="default"/>
      </w:rPr>
    </w:lvl>
    <w:lvl w:ilvl="8">
      <w:start w:val="1"/>
      <w:numFmt w:val="decimal"/>
      <w:isLgl/>
      <w:lvlText w:val="%1.%2.%3.%4.%5.%6.%7.%8.%9."/>
      <w:lvlJc w:val="left"/>
      <w:pPr>
        <w:ind w:left="2569" w:hanging="1800"/>
      </w:pPr>
      <w:rPr>
        <w:rFonts w:hint="default"/>
      </w:rPr>
    </w:lvl>
  </w:abstractNum>
  <w:abstractNum w:abstractNumId="28" w15:restartNumberingAfterBreak="0">
    <w:nsid w:val="6CA36502"/>
    <w:multiLevelType w:val="hybridMultilevel"/>
    <w:tmpl w:val="4D98422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FE74676"/>
    <w:multiLevelType w:val="hybridMultilevel"/>
    <w:tmpl w:val="E41CA168"/>
    <w:lvl w:ilvl="0" w:tplc="07D0FB2C">
      <w:start w:val="6"/>
      <w:numFmt w:val="bullet"/>
      <w:lvlText w:val="-"/>
      <w:lvlJc w:val="left"/>
      <w:pPr>
        <w:ind w:left="3632" w:hanging="360"/>
      </w:pPr>
      <w:rPr>
        <w:rFonts w:ascii="Times New Roman" w:eastAsia="Times New Roman" w:hAnsi="Times New Roman" w:cs="Times New Roman" w:hint="default"/>
      </w:rPr>
    </w:lvl>
    <w:lvl w:ilvl="1" w:tplc="04260003" w:tentative="1">
      <w:start w:val="1"/>
      <w:numFmt w:val="bullet"/>
      <w:lvlText w:val="o"/>
      <w:lvlJc w:val="left"/>
      <w:pPr>
        <w:ind w:left="3436" w:hanging="360"/>
      </w:pPr>
      <w:rPr>
        <w:rFonts w:ascii="Courier New" w:hAnsi="Courier New" w:cs="Courier New" w:hint="default"/>
      </w:rPr>
    </w:lvl>
    <w:lvl w:ilvl="2" w:tplc="04260005">
      <w:start w:val="1"/>
      <w:numFmt w:val="bullet"/>
      <w:lvlText w:val=""/>
      <w:lvlJc w:val="left"/>
      <w:pPr>
        <w:ind w:left="4156" w:hanging="360"/>
      </w:pPr>
      <w:rPr>
        <w:rFonts w:ascii="Wingdings" w:hAnsi="Wingdings" w:hint="default"/>
      </w:rPr>
    </w:lvl>
    <w:lvl w:ilvl="3" w:tplc="04260001" w:tentative="1">
      <w:start w:val="1"/>
      <w:numFmt w:val="bullet"/>
      <w:lvlText w:val=""/>
      <w:lvlJc w:val="left"/>
      <w:pPr>
        <w:ind w:left="4876" w:hanging="360"/>
      </w:pPr>
      <w:rPr>
        <w:rFonts w:ascii="Symbol" w:hAnsi="Symbol" w:hint="default"/>
      </w:rPr>
    </w:lvl>
    <w:lvl w:ilvl="4" w:tplc="04260003" w:tentative="1">
      <w:start w:val="1"/>
      <w:numFmt w:val="bullet"/>
      <w:lvlText w:val="o"/>
      <w:lvlJc w:val="left"/>
      <w:pPr>
        <w:ind w:left="5596" w:hanging="360"/>
      </w:pPr>
      <w:rPr>
        <w:rFonts w:ascii="Courier New" w:hAnsi="Courier New" w:cs="Courier New" w:hint="default"/>
      </w:rPr>
    </w:lvl>
    <w:lvl w:ilvl="5" w:tplc="04260005" w:tentative="1">
      <w:start w:val="1"/>
      <w:numFmt w:val="bullet"/>
      <w:lvlText w:val=""/>
      <w:lvlJc w:val="left"/>
      <w:pPr>
        <w:ind w:left="6316" w:hanging="360"/>
      </w:pPr>
      <w:rPr>
        <w:rFonts w:ascii="Wingdings" w:hAnsi="Wingdings" w:hint="default"/>
      </w:rPr>
    </w:lvl>
    <w:lvl w:ilvl="6" w:tplc="04260001" w:tentative="1">
      <w:start w:val="1"/>
      <w:numFmt w:val="bullet"/>
      <w:lvlText w:val=""/>
      <w:lvlJc w:val="left"/>
      <w:pPr>
        <w:ind w:left="7036" w:hanging="360"/>
      </w:pPr>
      <w:rPr>
        <w:rFonts w:ascii="Symbol" w:hAnsi="Symbol" w:hint="default"/>
      </w:rPr>
    </w:lvl>
    <w:lvl w:ilvl="7" w:tplc="04260003" w:tentative="1">
      <w:start w:val="1"/>
      <w:numFmt w:val="bullet"/>
      <w:lvlText w:val="o"/>
      <w:lvlJc w:val="left"/>
      <w:pPr>
        <w:ind w:left="7756" w:hanging="360"/>
      </w:pPr>
      <w:rPr>
        <w:rFonts w:ascii="Courier New" w:hAnsi="Courier New" w:cs="Courier New" w:hint="default"/>
      </w:rPr>
    </w:lvl>
    <w:lvl w:ilvl="8" w:tplc="04260005" w:tentative="1">
      <w:start w:val="1"/>
      <w:numFmt w:val="bullet"/>
      <w:lvlText w:val=""/>
      <w:lvlJc w:val="left"/>
      <w:pPr>
        <w:ind w:left="8476" w:hanging="360"/>
      </w:pPr>
      <w:rPr>
        <w:rFonts w:ascii="Wingdings" w:hAnsi="Wingdings" w:hint="default"/>
      </w:rPr>
    </w:lvl>
  </w:abstractNum>
  <w:abstractNum w:abstractNumId="30" w15:restartNumberingAfterBreak="0">
    <w:nsid w:val="71A80881"/>
    <w:multiLevelType w:val="hybridMultilevel"/>
    <w:tmpl w:val="C6AC51E8"/>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1" w15:restartNumberingAfterBreak="0">
    <w:nsid w:val="7791595E"/>
    <w:multiLevelType w:val="hybridMultilevel"/>
    <w:tmpl w:val="B96268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ACC2972"/>
    <w:multiLevelType w:val="hybridMultilevel"/>
    <w:tmpl w:val="8BB05AF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3" w15:restartNumberingAfterBreak="0">
    <w:nsid w:val="7B511985"/>
    <w:multiLevelType w:val="multilevel"/>
    <w:tmpl w:val="FCFC10EC"/>
    <w:lvl w:ilvl="0">
      <w:start w:val="1"/>
      <w:numFmt w:val="decimal"/>
      <w:lvlText w:val="%1."/>
      <w:lvlJc w:val="left"/>
      <w:pPr>
        <w:ind w:left="9432" w:hanging="360"/>
      </w:pPr>
      <w:rPr>
        <w:rFonts w:hint="default"/>
        <w:sz w:val="32"/>
      </w:rPr>
    </w:lvl>
    <w:lvl w:ilvl="1">
      <w:start w:val="1"/>
      <w:numFmt w:val="decimal"/>
      <w:isLgl/>
      <w:lvlText w:val="%1.%2."/>
      <w:lvlJc w:val="left"/>
      <w:pPr>
        <w:ind w:left="1997" w:hanging="720"/>
      </w:pPr>
      <w:rPr>
        <w:rFonts w:ascii="Times New Roman" w:hAnsi="Times New Roman" w:cs="Times New Roman" w:hint="default"/>
        <w:sz w:val="24"/>
      </w:rPr>
    </w:lvl>
    <w:lvl w:ilvl="2">
      <w:start w:val="1"/>
      <w:numFmt w:val="decimal"/>
      <w:isLgl/>
      <w:lvlText w:val="%1.%2.%3."/>
      <w:lvlJc w:val="left"/>
      <w:pPr>
        <w:ind w:left="3981" w:hanging="720"/>
      </w:pPr>
      <w:rPr>
        <w:rFonts w:hint="default"/>
        <w:b/>
      </w:rPr>
    </w:lvl>
    <w:lvl w:ilvl="3">
      <w:start w:val="1"/>
      <w:numFmt w:val="decimal"/>
      <w:isLgl/>
      <w:lvlText w:val="%1.%2.%3.%4."/>
      <w:lvlJc w:val="left"/>
      <w:pPr>
        <w:ind w:left="2088" w:hanging="1080"/>
      </w:pPr>
      <w:rPr>
        <w:rFonts w:hint="default"/>
        <w:b/>
      </w:rPr>
    </w:lvl>
    <w:lvl w:ilvl="4">
      <w:start w:val="1"/>
      <w:numFmt w:val="decimal"/>
      <w:isLgl/>
      <w:lvlText w:val="%1.%2.%3.%4.%5."/>
      <w:lvlJc w:val="left"/>
      <w:pPr>
        <w:ind w:left="2304"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4248" w:hanging="2160"/>
      </w:pPr>
      <w:rPr>
        <w:rFonts w:hint="default"/>
      </w:rPr>
    </w:lvl>
  </w:abstractNum>
  <w:abstractNum w:abstractNumId="34" w15:restartNumberingAfterBreak="0">
    <w:nsid w:val="7B703E90"/>
    <w:multiLevelType w:val="hybridMultilevel"/>
    <w:tmpl w:val="C99AD828"/>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35" w15:restartNumberingAfterBreak="0">
    <w:nsid w:val="7BB05D1E"/>
    <w:multiLevelType w:val="hybridMultilevel"/>
    <w:tmpl w:val="921000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DEB6A0E"/>
    <w:multiLevelType w:val="hybridMultilevel"/>
    <w:tmpl w:val="926EECD4"/>
    <w:lvl w:ilvl="0" w:tplc="35E61B94">
      <w:start w:val="1"/>
      <w:numFmt w:val="bullet"/>
      <w:lvlText w:val=""/>
      <w:lvlJc w:val="left"/>
      <w:pPr>
        <w:ind w:left="360" w:hanging="360"/>
      </w:pPr>
      <w:rPr>
        <w:rFonts w:ascii="Symbol" w:hAnsi="Symbol"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3"/>
  </w:num>
  <w:num w:numId="2">
    <w:abstractNumId w:val="8"/>
  </w:num>
  <w:num w:numId="3">
    <w:abstractNumId w:val="28"/>
  </w:num>
  <w:num w:numId="4">
    <w:abstractNumId w:val="7"/>
  </w:num>
  <w:num w:numId="5">
    <w:abstractNumId w:val="21"/>
  </w:num>
  <w:num w:numId="6">
    <w:abstractNumId w:val="25"/>
  </w:num>
  <w:num w:numId="7">
    <w:abstractNumId w:val="36"/>
  </w:num>
  <w:num w:numId="8">
    <w:abstractNumId w:val="31"/>
  </w:num>
  <w:num w:numId="9">
    <w:abstractNumId w:val="4"/>
  </w:num>
  <w:num w:numId="10">
    <w:abstractNumId w:val="32"/>
  </w:num>
  <w:num w:numId="11">
    <w:abstractNumId w:val="0"/>
  </w:num>
  <w:num w:numId="12">
    <w:abstractNumId w:val="35"/>
  </w:num>
  <w:num w:numId="13">
    <w:abstractNumId w:val="14"/>
  </w:num>
  <w:num w:numId="14">
    <w:abstractNumId w:val="23"/>
  </w:num>
  <w:num w:numId="15">
    <w:abstractNumId w:val="24"/>
  </w:num>
  <w:num w:numId="16">
    <w:abstractNumId w:val="10"/>
  </w:num>
  <w:num w:numId="17">
    <w:abstractNumId w:val="13"/>
  </w:num>
  <w:num w:numId="18">
    <w:abstractNumId w:val="18"/>
  </w:num>
  <w:num w:numId="19">
    <w:abstractNumId w:val="2"/>
  </w:num>
  <w:num w:numId="20">
    <w:abstractNumId w:val="22"/>
  </w:num>
  <w:num w:numId="21">
    <w:abstractNumId w:val="12"/>
  </w:num>
  <w:num w:numId="22">
    <w:abstractNumId w:val="27"/>
  </w:num>
  <w:num w:numId="23">
    <w:abstractNumId w:val="6"/>
  </w:num>
  <w:num w:numId="24">
    <w:abstractNumId w:val="3"/>
  </w:num>
  <w:num w:numId="25">
    <w:abstractNumId w:val="17"/>
  </w:num>
  <w:num w:numId="26">
    <w:abstractNumId w:val="5"/>
  </w:num>
  <w:num w:numId="27">
    <w:abstractNumId w:val="30"/>
  </w:num>
  <w:num w:numId="28">
    <w:abstractNumId w:val="1"/>
  </w:num>
  <w:num w:numId="29">
    <w:abstractNumId w:val="16"/>
  </w:num>
  <w:num w:numId="30">
    <w:abstractNumId w:val="34"/>
  </w:num>
  <w:num w:numId="31">
    <w:abstractNumId w:val="29"/>
  </w:num>
  <w:num w:numId="32">
    <w:abstractNumId w:val="26"/>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20"/>
  </w:num>
  <w:num w:numId="36">
    <w:abstractNumId w:val="19"/>
  </w:num>
  <w:num w:numId="37">
    <w:abstractNumId w:val="11"/>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AF8"/>
    <w:rsid w:val="000577DD"/>
    <w:rsid w:val="00063933"/>
    <w:rsid w:val="000875BB"/>
    <w:rsid w:val="00112245"/>
    <w:rsid w:val="00135E60"/>
    <w:rsid w:val="001549FD"/>
    <w:rsid w:val="001B2007"/>
    <w:rsid w:val="001D776B"/>
    <w:rsid w:val="002B222F"/>
    <w:rsid w:val="00304BD3"/>
    <w:rsid w:val="0035708F"/>
    <w:rsid w:val="00362E1B"/>
    <w:rsid w:val="003C4DC0"/>
    <w:rsid w:val="003D44E6"/>
    <w:rsid w:val="003F595F"/>
    <w:rsid w:val="00443E99"/>
    <w:rsid w:val="0046637F"/>
    <w:rsid w:val="00475724"/>
    <w:rsid w:val="004851EE"/>
    <w:rsid w:val="00496C39"/>
    <w:rsid w:val="004B4D8D"/>
    <w:rsid w:val="004C5D83"/>
    <w:rsid w:val="0053105F"/>
    <w:rsid w:val="005721ED"/>
    <w:rsid w:val="005E2313"/>
    <w:rsid w:val="00620243"/>
    <w:rsid w:val="00686681"/>
    <w:rsid w:val="00705A72"/>
    <w:rsid w:val="0071501E"/>
    <w:rsid w:val="00730998"/>
    <w:rsid w:val="00774588"/>
    <w:rsid w:val="00786A6A"/>
    <w:rsid w:val="007D040E"/>
    <w:rsid w:val="0082255C"/>
    <w:rsid w:val="00857DB3"/>
    <w:rsid w:val="00871F50"/>
    <w:rsid w:val="00880823"/>
    <w:rsid w:val="008C2EFE"/>
    <w:rsid w:val="008D7E1D"/>
    <w:rsid w:val="008F4C43"/>
    <w:rsid w:val="00955AE4"/>
    <w:rsid w:val="009622C0"/>
    <w:rsid w:val="009D62AC"/>
    <w:rsid w:val="009D6EFE"/>
    <w:rsid w:val="009E392C"/>
    <w:rsid w:val="00A05127"/>
    <w:rsid w:val="00A1238D"/>
    <w:rsid w:val="00A2404C"/>
    <w:rsid w:val="00AA14E2"/>
    <w:rsid w:val="00B6059C"/>
    <w:rsid w:val="00C052E5"/>
    <w:rsid w:val="00C0710F"/>
    <w:rsid w:val="00C10D3A"/>
    <w:rsid w:val="00C142C2"/>
    <w:rsid w:val="00C23426"/>
    <w:rsid w:val="00C4178E"/>
    <w:rsid w:val="00C41D8A"/>
    <w:rsid w:val="00C470BD"/>
    <w:rsid w:val="00CE026F"/>
    <w:rsid w:val="00CF2F0C"/>
    <w:rsid w:val="00CF7AF8"/>
    <w:rsid w:val="00D06060"/>
    <w:rsid w:val="00D45D03"/>
    <w:rsid w:val="00D46E80"/>
    <w:rsid w:val="00D61AD7"/>
    <w:rsid w:val="00D64093"/>
    <w:rsid w:val="00D77D33"/>
    <w:rsid w:val="00DA004E"/>
    <w:rsid w:val="00DA2B04"/>
    <w:rsid w:val="00DC580E"/>
    <w:rsid w:val="00DF2CC5"/>
    <w:rsid w:val="00E10A36"/>
    <w:rsid w:val="00E67368"/>
    <w:rsid w:val="00EC4693"/>
    <w:rsid w:val="00EE1979"/>
    <w:rsid w:val="00EF7156"/>
    <w:rsid w:val="00F36AE3"/>
    <w:rsid w:val="00F56FE6"/>
    <w:rsid w:val="00F73774"/>
    <w:rsid w:val="00FC4F60"/>
    <w:rsid w:val="00FD2E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8F55FBEB-A015-48F5-9F0E-1A155023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243"/>
    <w:pPr>
      <w:spacing w:after="160" w:line="259" w:lineRule="auto"/>
    </w:pPr>
    <w:rPr>
      <w:rFonts w:asciiTheme="minorHAnsi" w:eastAsiaTheme="minorEastAsia" w:hAnsiTheme="minorHAnsi"/>
      <w:sz w:val="22"/>
    </w:rPr>
  </w:style>
  <w:style w:type="paragraph" w:styleId="Heading1">
    <w:name w:val="heading 1"/>
    <w:basedOn w:val="Normal"/>
    <w:next w:val="Normal"/>
    <w:link w:val="Heading1Char"/>
    <w:uiPriority w:val="9"/>
    <w:qFormat/>
    <w:rsid w:val="00620243"/>
    <w:pPr>
      <w:keepNext/>
      <w:keepLines/>
      <w:numPr>
        <w:numId w:val="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620243"/>
    <w:pPr>
      <w:keepNext/>
      <w:keepLines/>
      <w:numPr>
        <w:ilvl w:val="1"/>
        <w:numId w:val="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620243"/>
    <w:pPr>
      <w:keepNext/>
      <w:keepLines/>
      <w:numPr>
        <w:ilvl w:val="2"/>
        <w:numId w:val="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620243"/>
    <w:pPr>
      <w:keepNext/>
      <w:keepLines/>
      <w:numPr>
        <w:ilvl w:val="3"/>
        <w:numId w:val="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620243"/>
    <w:pPr>
      <w:keepNext/>
      <w:keepLines/>
      <w:numPr>
        <w:ilvl w:val="4"/>
        <w:numId w:val="2"/>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620243"/>
    <w:pPr>
      <w:keepNext/>
      <w:keepLines/>
      <w:numPr>
        <w:ilvl w:val="5"/>
        <w:numId w:val="2"/>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62024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2024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2024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0243"/>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620243"/>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620243"/>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9"/>
    <w:semiHidden/>
    <w:rsid w:val="00620243"/>
    <w:rPr>
      <w:rFonts w:asciiTheme="majorHAnsi" w:eastAsiaTheme="majorEastAsia" w:hAnsiTheme="majorHAnsi" w:cstheme="majorBidi"/>
      <w:b/>
      <w:bCs/>
      <w:i/>
      <w:iCs/>
      <w:color w:val="000000" w:themeColor="text1"/>
      <w:sz w:val="22"/>
    </w:rPr>
  </w:style>
  <w:style w:type="character" w:customStyle="1" w:styleId="Heading5Char">
    <w:name w:val="Heading 5 Char"/>
    <w:basedOn w:val="DefaultParagraphFont"/>
    <w:link w:val="Heading5"/>
    <w:uiPriority w:val="9"/>
    <w:semiHidden/>
    <w:rsid w:val="00620243"/>
    <w:rPr>
      <w:rFonts w:asciiTheme="majorHAnsi" w:eastAsiaTheme="majorEastAsia" w:hAnsiTheme="majorHAnsi" w:cstheme="majorBidi"/>
      <w:color w:val="323E4F" w:themeColor="text2" w:themeShade="BF"/>
      <w:sz w:val="22"/>
    </w:rPr>
  </w:style>
  <w:style w:type="character" w:customStyle="1" w:styleId="Heading6Char">
    <w:name w:val="Heading 6 Char"/>
    <w:basedOn w:val="DefaultParagraphFont"/>
    <w:link w:val="Heading6"/>
    <w:uiPriority w:val="9"/>
    <w:semiHidden/>
    <w:rsid w:val="00620243"/>
    <w:rPr>
      <w:rFonts w:asciiTheme="majorHAnsi" w:eastAsiaTheme="majorEastAsia" w:hAnsiTheme="majorHAnsi" w:cstheme="majorBidi"/>
      <w:i/>
      <w:iCs/>
      <w:color w:val="323E4F" w:themeColor="text2" w:themeShade="BF"/>
      <w:sz w:val="22"/>
    </w:rPr>
  </w:style>
  <w:style w:type="character" w:customStyle="1" w:styleId="Heading7Char">
    <w:name w:val="Heading 7 Char"/>
    <w:basedOn w:val="DefaultParagraphFont"/>
    <w:link w:val="Heading7"/>
    <w:uiPriority w:val="9"/>
    <w:semiHidden/>
    <w:rsid w:val="00620243"/>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62024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20243"/>
    <w:rPr>
      <w:rFonts w:asciiTheme="majorHAnsi" w:eastAsiaTheme="majorEastAsia" w:hAnsiTheme="majorHAnsi" w:cstheme="majorBidi"/>
      <w:i/>
      <w:iCs/>
      <w:color w:val="404040" w:themeColor="text1" w:themeTint="BF"/>
      <w:sz w:val="20"/>
      <w:szCs w:val="20"/>
    </w:rPr>
  </w:style>
  <w:style w:type="paragraph" w:styleId="NoSpacing">
    <w:name w:val="No Spacing"/>
    <w:aliases w:val="Normal1,No Spacing1,Parastais"/>
    <w:link w:val="NoSpacingChar"/>
    <w:uiPriority w:val="1"/>
    <w:qFormat/>
    <w:rsid w:val="00620243"/>
    <w:rPr>
      <w:rFonts w:asciiTheme="minorHAnsi" w:eastAsiaTheme="minorEastAsia" w:hAnsiTheme="minorHAnsi"/>
      <w:sz w:val="22"/>
    </w:rPr>
  </w:style>
  <w:style w:type="paragraph" w:styleId="TOCHeading">
    <w:name w:val="TOC Heading"/>
    <w:basedOn w:val="Heading1"/>
    <w:next w:val="Normal"/>
    <w:uiPriority w:val="39"/>
    <w:unhideWhenUsed/>
    <w:qFormat/>
    <w:rsid w:val="00620243"/>
    <w:pPr>
      <w:outlineLvl w:val="9"/>
    </w:pPr>
  </w:style>
  <w:style w:type="character" w:customStyle="1" w:styleId="NoSpacingChar">
    <w:name w:val="No Spacing Char"/>
    <w:aliases w:val="Normal1 Char,No Spacing1 Char,Parastais Char"/>
    <w:basedOn w:val="DefaultParagraphFont"/>
    <w:link w:val="NoSpacing"/>
    <w:uiPriority w:val="1"/>
    <w:rsid w:val="00620243"/>
    <w:rPr>
      <w:rFonts w:asciiTheme="minorHAnsi" w:eastAsiaTheme="minorEastAsia" w:hAnsiTheme="minorHAnsi"/>
      <w:sz w:val="22"/>
    </w:rPr>
  </w:style>
  <w:style w:type="paragraph" w:styleId="TOC1">
    <w:name w:val="toc 1"/>
    <w:basedOn w:val="Normal"/>
    <w:next w:val="Normal"/>
    <w:autoRedefine/>
    <w:uiPriority w:val="39"/>
    <w:unhideWhenUsed/>
    <w:rsid w:val="00620243"/>
    <w:pPr>
      <w:tabs>
        <w:tab w:val="left" w:pos="284"/>
        <w:tab w:val="right" w:leader="dot" w:pos="9072"/>
      </w:tabs>
      <w:spacing w:after="0" w:line="240" w:lineRule="auto"/>
      <w:ind w:left="284" w:hanging="284"/>
      <w:jc w:val="both"/>
    </w:pPr>
    <w:rPr>
      <w:rFonts w:ascii="Times New Roman" w:eastAsia="Times New Roman" w:hAnsi="Times New Roman" w:cs="Times New Roman"/>
      <w:sz w:val="24"/>
      <w:szCs w:val="20"/>
    </w:rPr>
  </w:style>
  <w:style w:type="paragraph" w:styleId="TOC2">
    <w:name w:val="toc 2"/>
    <w:basedOn w:val="Normal"/>
    <w:next w:val="Normal"/>
    <w:autoRedefine/>
    <w:uiPriority w:val="39"/>
    <w:unhideWhenUsed/>
    <w:rsid w:val="00620243"/>
    <w:pPr>
      <w:tabs>
        <w:tab w:val="right" w:leader="dot" w:pos="9072"/>
      </w:tabs>
      <w:spacing w:after="0" w:line="240" w:lineRule="auto"/>
      <w:ind w:left="238" w:firstLine="46"/>
      <w:jc w:val="both"/>
    </w:pPr>
    <w:rPr>
      <w:rFonts w:ascii="Times New Roman" w:eastAsia="Times New Roman" w:hAnsi="Times New Roman" w:cs="Times New Roman"/>
      <w:sz w:val="24"/>
      <w:szCs w:val="20"/>
    </w:rPr>
  </w:style>
  <w:style w:type="paragraph" w:styleId="TOC3">
    <w:name w:val="toc 3"/>
    <w:basedOn w:val="Normal"/>
    <w:next w:val="Normal"/>
    <w:autoRedefine/>
    <w:uiPriority w:val="39"/>
    <w:unhideWhenUsed/>
    <w:rsid w:val="00620243"/>
    <w:pPr>
      <w:tabs>
        <w:tab w:val="left" w:pos="1418"/>
        <w:tab w:val="right" w:leader="dot" w:pos="9061"/>
      </w:tabs>
      <w:spacing w:after="0" w:line="240" w:lineRule="auto"/>
      <w:ind w:left="482" w:firstLine="227"/>
      <w:jc w:val="both"/>
    </w:pPr>
    <w:rPr>
      <w:rFonts w:ascii="Times New Roman" w:eastAsia="Times New Roman" w:hAnsi="Times New Roman" w:cs="Times New Roman"/>
      <w:sz w:val="24"/>
      <w:szCs w:val="20"/>
    </w:rPr>
  </w:style>
  <w:style w:type="character" w:styleId="Hyperlink">
    <w:name w:val="Hyperlink"/>
    <w:uiPriority w:val="99"/>
    <w:unhideWhenUsed/>
    <w:rsid w:val="00620243"/>
    <w:rPr>
      <w:color w:val="0000FF"/>
      <w:u w:val="single"/>
    </w:rPr>
  </w:style>
  <w:style w:type="paragraph" w:styleId="NormalWeb">
    <w:name w:val="Normal (Web)"/>
    <w:basedOn w:val="Normal"/>
    <w:uiPriority w:val="99"/>
    <w:unhideWhenUsed/>
    <w:rsid w:val="00D64093"/>
    <w:pPr>
      <w:spacing w:after="0" w:line="240" w:lineRule="auto"/>
    </w:pPr>
    <w:rPr>
      <w:rFonts w:ascii="Times New Roman" w:eastAsiaTheme="minorHAnsi" w:hAnsi="Times New Roman" w:cs="Times New Roman"/>
      <w:sz w:val="24"/>
      <w:szCs w:val="24"/>
      <w:lang w:eastAsia="lv-LV"/>
    </w:rPr>
  </w:style>
  <w:style w:type="paragraph" w:styleId="FootnoteText">
    <w:name w:val="footnote text"/>
    <w:aliases w:val="Footnote,Fußnote,Fußnote Char Char Char,single space,ft Rakstz. Rakstz.,ft Rakstz.,ft,-E Fußnotentext,Fußnotentext Ursprung,Vēres teksts Char Char Char Char Char,Char Char Char Char Char Char Char Char Char Char Char Char,footnote tex"/>
    <w:basedOn w:val="Normal"/>
    <w:link w:val="FootnoteTextChar"/>
    <w:unhideWhenUsed/>
    <w:qFormat/>
    <w:rsid w:val="0082255C"/>
    <w:pPr>
      <w:spacing w:after="0" w:line="240" w:lineRule="auto"/>
    </w:pPr>
    <w:rPr>
      <w:sz w:val="20"/>
      <w:szCs w:val="20"/>
    </w:rPr>
  </w:style>
  <w:style w:type="character" w:customStyle="1" w:styleId="FootnoteTextChar">
    <w:name w:val="Footnote Text Char"/>
    <w:aliases w:val="Footnote Char,Fußnote Char,Fußnote Char Char Char Char,single space Char,ft Rakstz. Rakstz. Char,ft Rakstz. Char,ft Char,-E Fußnotentext Char,Fußnotentext Ursprung Char,Vēres teksts Char Char Char Char Char Char,footnote tex Char"/>
    <w:basedOn w:val="DefaultParagraphFont"/>
    <w:link w:val="FootnoteText"/>
    <w:rsid w:val="0082255C"/>
    <w:rPr>
      <w:rFonts w:asciiTheme="minorHAnsi" w:eastAsiaTheme="minorEastAsia" w:hAnsiTheme="minorHAnsi"/>
      <w:sz w:val="20"/>
      <w:szCs w:val="20"/>
    </w:rPr>
  </w:style>
  <w:style w:type="character" w:styleId="FootnoteReference">
    <w:name w:val="footnote reference"/>
    <w:aliases w:val="Footnote Reference Number,Footnote symbol,Footnote Reference Superscript,ftref,Footnote Refernece,Odwołanie przypisu,BVI fnr,Footnotes refss,SUPERS,Ref,de nota al pie,-E Fußnotenzeichen,Footnote reference number,Times 10 Point,E,E FNZ"/>
    <w:basedOn w:val="DefaultParagraphFont"/>
    <w:link w:val="Char2"/>
    <w:unhideWhenUsed/>
    <w:qFormat/>
    <w:rsid w:val="0082255C"/>
    <w:rPr>
      <w:vertAlign w:val="superscript"/>
    </w:rPr>
  </w:style>
  <w:style w:type="paragraph" w:styleId="IntenseQuote">
    <w:name w:val="Intense Quote"/>
    <w:basedOn w:val="Normal"/>
    <w:next w:val="Normal"/>
    <w:link w:val="IntenseQuoteChar"/>
    <w:uiPriority w:val="30"/>
    <w:qFormat/>
    <w:rsid w:val="0053105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53105F"/>
    <w:rPr>
      <w:rFonts w:asciiTheme="minorHAnsi" w:eastAsiaTheme="minorEastAsia" w:hAnsiTheme="minorHAnsi"/>
      <w:color w:val="000000" w:themeColor="text1"/>
      <w:sz w:val="22"/>
      <w:shd w:val="clear" w:color="auto" w:fill="F2F2F2" w:themeFill="background1" w:themeFillShade="F2"/>
    </w:rPr>
  </w:style>
  <w:style w:type="paragraph" w:styleId="Caption">
    <w:name w:val="caption"/>
    <w:basedOn w:val="Normal"/>
    <w:next w:val="Normal"/>
    <w:uiPriority w:val="35"/>
    <w:semiHidden/>
    <w:unhideWhenUsed/>
    <w:qFormat/>
    <w:rsid w:val="0053105F"/>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53105F"/>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53105F"/>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53105F"/>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53105F"/>
    <w:rPr>
      <w:rFonts w:asciiTheme="minorHAnsi" w:eastAsiaTheme="minorEastAsia" w:hAnsiTheme="minorHAnsi"/>
      <w:color w:val="5A5A5A" w:themeColor="text1" w:themeTint="A5"/>
      <w:spacing w:val="10"/>
      <w:sz w:val="22"/>
    </w:rPr>
  </w:style>
  <w:style w:type="character" w:styleId="Strong">
    <w:name w:val="Strong"/>
    <w:basedOn w:val="DefaultParagraphFont"/>
    <w:uiPriority w:val="22"/>
    <w:qFormat/>
    <w:rsid w:val="0053105F"/>
    <w:rPr>
      <w:b/>
      <w:bCs/>
      <w:color w:val="000000" w:themeColor="text1"/>
    </w:rPr>
  </w:style>
  <w:style w:type="character" w:styleId="Emphasis">
    <w:name w:val="Emphasis"/>
    <w:basedOn w:val="DefaultParagraphFont"/>
    <w:uiPriority w:val="20"/>
    <w:qFormat/>
    <w:rsid w:val="0053105F"/>
    <w:rPr>
      <w:i/>
      <w:iCs/>
      <w:color w:val="auto"/>
    </w:rPr>
  </w:style>
  <w:style w:type="paragraph" w:styleId="Quote">
    <w:name w:val="Quote"/>
    <w:basedOn w:val="Normal"/>
    <w:next w:val="Normal"/>
    <w:link w:val="QuoteChar"/>
    <w:uiPriority w:val="29"/>
    <w:qFormat/>
    <w:rsid w:val="0053105F"/>
    <w:pPr>
      <w:spacing w:before="160"/>
      <w:ind w:left="720" w:right="720"/>
    </w:pPr>
    <w:rPr>
      <w:i/>
      <w:iCs/>
      <w:color w:val="000000" w:themeColor="text1"/>
    </w:rPr>
  </w:style>
  <w:style w:type="character" w:customStyle="1" w:styleId="QuoteChar">
    <w:name w:val="Quote Char"/>
    <w:basedOn w:val="DefaultParagraphFont"/>
    <w:link w:val="Quote"/>
    <w:uiPriority w:val="29"/>
    <w:rsid w:val="0053105F"/>
    <w:rPr>
      <w:rFonts w:asciiTheme="minorHAnsi" w:eastAsiaTheme="minorEastAsia" w:hAnsiTheme="minorHAnsi"/>
      <w:i/>
      <w:iCs/>
      <w:color w:val="000000" w:themeColor="text1"/>
      <w:sz w:val="22"/>
    </w:rPr>
  </w:style>
  <w:style w:type="character" w:styleId="SubtleEmphasis">
    <w:name w:val="Subtle Emphasis"/>
    <w:basedOn w:val="DefaultParagraphFont"/>
    <w:uiPriority w:val="19"/>
    <w:qFormat/>
    <w:rsid w:val="0053105F"/>
    <w:rPr>
      <w:i/>
      <w:iCs/>
      <w:color w:val="404040" w:themeColor="text1" w:themeTint="BF"/>
    </w:rPr>
  </w:style>
  <w:style w:type="character" w:styleId="IntenseEmphasis">
    <w:name w:val="Intense Emphasis"/>
    <w:basedOn w:val="DefaultParagraphFont"/>
    <w:uiPriority w:val="21"/>
    <w:qFormat/>
    <w:rsid w:val="0053105F"/>
    <w:rPr>
      <w:b/>
      <w:bCs/>
      <w:i/>
      <w:iCs/>
      <w:caps/>
    </w:rPr>
  </w:style>
  <w:style w:type="character" w:styleId="SubtleReference">
    <w:name w:val="Subtle Reference"/>
    <w:basedOn w:val="DefaultParagraphFont"/>
    <w:uiPriority w:val="31"/>
    <w:qFormat/>
    <w:rsid w:val="0053105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3105F"/>
    <w:rPr>
      <w:b/>
      <w:bCs/>
      <w:smallCaps/>
      <w:u w:val="single"/>
    </w:rPr>
  </w:style>
  <w:style w:type="character" w:styleId="BookTitle">
    <w:name w:val="Book Title"/>
    <w:basedOn w:val="DefaultParagraphFont"/>
    <w:uiPriority w:val="33"/>
    <w:qFormat/>
    <w:rsid w:val="0053105F"/>
    <w:rPr>
      <w:b w:val="0"/>
      <w:bCs w:val="0"/>
      <w:smallCaps/>
      <w:spacing w:val="5"/>
    </w:rPr>
  </w:style>
  <w:style w:type="paragraph" w:styleId="Header">
    <w:name w:val="header"/>
    <w:basedOn w:val="Normal"/>
    <w:link w:val="HeaderChar"/>
    <w:uiPriority w:val="99"/>
    <w:unhideWhenUsed/>
    <w:rsid w:val="0053105F"/>
    <w:pPr>
      <w:tabs>
        <w:tab w:val="center" w:pos="4153"/>
        <w:tab w:val="right" w:pos="8306"/>
      </w:tabs>
      <w:spacing w:after="0" w:line="240" w:lineRule="auto"/>
    </w:pPr>
  </w:style>
  <w:style w:type="character" w:customStyle="1" w:styleId="HeaderChar">
    <w:name w:val="Header Char"/>
    <w:basedOn w:val="DefaultParagraphFont"/>
    <w:link w:val="Header"/>
    <w:uiPriority w:val="99"/>
    <w:rsid w:val="0053105F"/>
    <w:rPr>
      <w:rFonts w:asciiTheme="minorHAnsi" w:eastAsiaTheme="minorEastAsia" w:hAnsiTheme="minorHAnsi"/>
      <w:sz w:val="22"/>
    </w:rPr>
  </w:style>
  <w:style w:type="paragraph" w:styleId="Footer">
    <w:name w:val="footer"/>
    <w:basedOn w:val="Normal"/>
    <w:link w:val="FooterChar"/>
    <w:uiPriority w:val="99"/>
    <w:unhideWhenUsed/>
    <w:rsid w:val="0053105F"/>
    <w:pPr>
      <w:tabs>
        <w:tab w:val="center" w:pos="4153"/>
        <w:tab w:val="right" w:pos="8306"/>
      </w:tabs>
      <w:spacing w:after="0" w:line="240" w:lineRule="auto"/>
    </w:pPr>
  </w:style>
  <w:style w:type="character" w:customStyle="1" w:styleId="FooterChar">
    <w:name w:val="Footer Char"/>
    <w:basedOn w:val="DefaultParagraphFont"/>
    <w:link w:val="Footer"/>
    <w:uiPriority w:val="99"/>
    <w:rsid w:val="0053105F"/>
    <w:rPr>
      <w:rFonts w:asciiTheme="minorHAnsi" w:eastAsiaTheme="minorEastAsia" w:hAnsiTheme="minorHAnsi"/>
      <w:sz w:val="22"/>
    </w:rPr>
  </w:style>
  <w:style w:type="paragraph" w:styleId="ListParagraph">
    <w:name w:val="List Paragraph"/>
    <w:aliases w:val="2,Akapit z listą BS,Numbered Para 1,Dot pt,List Paragraph Char Char Char,Indicator Text,List Paragraph1,Bullet 1,Bullet Points,MAIN CONTENT,IFCL - List Paragraph,List Paragraph12,OBC Bullet,F5 List Paragraph,Strip,Punkti ar numuriem"/>
    <w:basedOn w:val="Normal"/>
    <w:link w:val="ListParagraphChar"/>
    <w:uiPriority w:val="34"/>
    <w:qFormat/>
    <w:rsid w:val="0053105F"/>
    <w:pPr>
      <w:ind w:left="720"/>
      <w:contextualSpacing/>
    </w:pPr>
  </w:style>
  <w:style w:type="paragraph" w:customStyle="1" w:styleId="PIRMAIS">
    <w:name w:val="PIRMAIS"/>
    <w:basedOn w:val="Normal"/>
    <w:link w:val="PIRMAISChar"/>
    <w:qFormat/>
    <w:rsid w:val="0053105F"/>
    <w:pPr>
      <w:keepNext/>
      <w:keepLines/>
      <w:pageBreakBefore/>
      <w:pBdr>
        <w:bottom w:val="thickThinLargeGap" w:sz="24" w:space="1" w:color="17365D"/>
      </w:pBdr>
      <w:tabs>
        <w:tab w:val="left" w:pos="567"/>
      </w:tabs>
      <w:spacing w:after="120" w:line="240" w:lineRule="auto"/>
      <w:ind w:left="567" w:hanging="567"/>
      <w:outlineLvl w:val="0"/>
    </w:pPr>
    <w:rPr>
      <w:rFonts w:ascii="Times New Roman" w:eastAsia="Times New Roman" w:hAnsi="Times New Roman" w:cs="Times New Roman"/>
      <w:b/>
      <w:sz w:val="36"/>
      <w:szCs w:val="20"/>
    </w:rPr>
  </w:style>
  <w:style w:type="character" w:customStyle="1" w:styleId="PIRMAISChar">
    <w:name w:val="PIRMAIS Char"/>
    <w:basedOn w:val="DefaultParagraphFont"/>
    <w:link w:val="PIRMAIS"/>
    <w:rsid w:val="0053105F"/>
    <w:rPr>
      <w:rFonts w:eastAsia="Times New Roman" w:cs="Times New Roman"/>
      <w:b/>
      <w:sz w:val="36"/>
      <w:szCs w:val="20"/>
    </w:rPr>
  </w:style>
  <w:style w:type="character" w:styleId="PageNumber">
    <w:name w:val="page number"/>
    <w:basedOn w:val="DefaultParagraphFont"/>
    <w:rsid w:val="0053105F"/>
  </w:style>
  <w:style w:type="character" w:customStyle="1" w:styleId="HeaderChar1">
    <w:name w:val="Header Char1"/>
    <w:uiPriority w:val="99"/>
    <w:semiHidden/>
    <w:rsid w:val="0053105F"/>
    <w:rPr>
      <w:rFonts w:eastAsia="Times New Roman" w:cs="Times New Roman"/>
      <w:sz w:val="24"/>
      <w:szCs w:val="20"/>
    </w:rPr>
  </w:style>
  <w:style w:type="paragraph" w:customStyle="1" w:styleId="H1">
    <w:name w:val="H1"/>
    <w:link w:val="H1Char"/>
    <w:rsid w:val="0053105F"/>
    <w:pPr>
      <w:keepNext/>
      <w:keepLines/>
      <w:pageBreakBefore/>
      <w:pBdr>
        <w:bottom w:val="thickThinLargeGap" w:sz="24" w:space="1" w:color="17365D"/>
      </w:pBdr>
      <w:tabs>
        <w:tab w:val="left" w:pos="1134"/>
      </w:tabs>
      <w:spacing w:after="120"/>
      <w:ind w:left="1134" w:hanging="567"/>
      <w:outlineLvl w:val="0"/>
    </w:pPr>
    <w:rPr>
      <w:rFonts w:eastAsia="Times New Roman" w:cs="Times New Roman"/>
      <w:b/>
      <w:sz w:val="36"/>
      <w:szCs w:val="20"/>
    </w:rPr>
  </w:style>
  <w:style w:type="character" w:customStyle="1" w:styleId="H1Char">
    <w:name w:val="H1 Char"/>
    <w:link w:val="H1"/>
    <w:rsid w:val="0053105F"/>
    <w:rPr>
      <w:rFonts w:eastAsia="Times New Roman" w:cs="Times New Roman"/>
      <w:b/>
      <w:sz w:val="36"/>
      <w:szCs w:val="20"/>
    </w:rPr>
  </w:style>
  <w:style w:type="character" w:styleId="CommentReference">
    <w:name w:val="annotation reference"/>
    <w:uiPriority w:val="99"/>
    <w:unhideWhenUsed/>
    <w:rsid w:val="0053105F"/>
    <w:rPr>
      <w:sz w:val="16"/>
      <w:szCs w:val="16"/>
    </w:rPr>
  </w:style>
  <w:style w:type="paragraph" w:styleId="CommentText">
    <w:name w:val="annotation text"/>
    <w:basedOn w:val="Normal"/>
    <w:link w:val="CommentTextChar"/>
    <w:uiPriority w:val="99"/>
    <w:unhideWhenUsed/>
    <w:rsid w:val="0053105F"/>
    <w:pPr>
      <w:spacing w:after="120" w:line="240" w:lineRule="auto"/>
      <w:ind w:firstLine="567"/>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3105F"/>
    <w:rPr>
      <w:rFonts w:eastAsia="Times New Roman" w:cs="Times New Roman"/>
      <w:sz w:val="20"/>
      <w:szCs w:val="20"/>
    </w:rPr>
  </w:style>
  <w:style w:type="paragraph" w:styleId="BalloonText">
    <w:name w:val="Balloon Text"/>
    <w:basedOn w:val="Normal"/>
    <w:link w:val="BalloonTextChar"/>
    <w:uiPriority w:val="99"/>
    <w:semiHidden/>
    <w:unhideWhenUsed/>
    <w:rsid w:val="0053105F"/>
    <w:pPr>
      <w:spacing w:after="0" w:line="240" w:lineRule="auto"/>
      <w:ind w:firstLine="567"/>
      <w:jc w:val="both"/>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53105F"/>
    <w:rPr>
      <w:rFonts w:ascii="Tahoma" w:eastAsia="Times New Roman" w:hAnsi="Tahoma" w:cs="Times New Roman"/>
      <w:sz w:val="16"/>
      <w:szCs w:val="16"/>
    </w:rPr>
  </w:style>
  <w:style w:type="paragraph" w:customStyle="1" w:styleId="H2">
    <w:name w:val="H2"/>
    <w:link w:val="H2Char"/>
    <w:uiPriority w:val="99"/>
    <w:rsid w:val="0053105F"/>
    <w:pPr>
      <w:keepNext/>
      <w:tabs>
        <w:tab w:val="left" w:pos="1134"/>
      </w:tabs>
      <w:spacing w:before="480" w:after="240"/>
      <w:ind w:left="1134" w:hanging="567"/>
      <w:outlineLvl w:val="1"/>
    </w:pPr>
    <w:rPr>
      <w:rFonts w:ascii="Calibri" w:eastAsia="Times New Roman" w:hAnsi="Calibri" w:cs="Times New Roman"/>
      <w:b/>
      <w:sz w:val="32"/>
      <w:szCs w:val="20"/>
    </w:rPr>
  </w:style>
  <w:style w:type="character" w:customStyle="1" w:styleId="H2Char">
    <w:name w:val="H2 Char"/>
    <w:link w:val="H2"/>
    <w:uiPriority w:val="99"/>
    <w:rsid w:val="0053105F"/>
    <w:rPr>
      <w:rFonts w:ascii="Calibri" w:eastAsia="Times New Roman" w:hAnsi="Calibri" w:cs="Times New Roman"/>
      <w:b/>
      <w:sz w:val="32"/>
      <w:szCs w:val="20"/>
    </w:rPr>
  </w:style>
  <w:style w:type="paragraph" w:customStyle="1" w:styleId="H4">
    <w:name w:val="H4"/>
    <w:uiPriority w:val="99"/>
    <w:rsid w:val="0053105F"/>
    <w:pPr>
      <w:spacing w:before="120" w:after="120"/>
      <w:ind w:left="567"/>
      <w:outlineLvl w:val="3"/>
    </w:pPr>
    <w:rPr>
      <w:rFonts w:ascii="Calibri" w:eastAsia="Times New Roman" w:hAnsi="Calibri" w:cs="Times New Roman"/>
      <w:b/>
      <w:sz w:val="28"/>
      <w:szCs w:val="20"/>
    </w:rPr>
  </w:style>
  <w:style w:type="paragraph" w:customStyle="1" w:styleId="H3">
    <w:name w:val="H3"/>
    <w:link w:val="H3Char"/>
    <w:rsid w:val="0053105F"/>
    <w:pPr>
      <w:keepNext/>
      <w:spacing w:before="480" w:after="120"/>
      <w:ind w:left="1701" w:hanging="1134"/>
      <w:outlineLvl w:val="2"/>
    </w:pPr>
    <w:rPr>
      <w:rFonts w:ascii="Calibri" w:eastAsia="Times New Roman" w:hAnsi="Calibri" w:cs="Times New Roman"/>
      <w:b/>
      <w:sz w:val="28"/>
      <w:szCs w:val="20"/>
    </w:rPr>
  </w:style>
  <w:style w:type="character" w:customStyle="1" w:styleId="H3Char">
    <w:name w:val="H3 Char"/>
    <w:link w:val="H3"/>
    <w:rsid w:val="0053105F"/>
    <w:rPr>
      <w:rFonts w:ascii="Calibri" w:eastAsia="Times New Roman" w:hAnsi="Calibri" w:cs="Times New Roman"/>
      <w:b/>
      <w:sz w:val="28"/>
      <w:szCs w:val="20"/>
    </w:rPr>
  </w:style>
  <w:style w:type="paragraph" w:customStyle="1" w:styleId="T">
    <w:name w:val="T"/>
    <w:basedOn w:val="Normal"/>
    <w:rsid w:val="0053105F"/>
    <w:pPr>
      <w:keepNext/>
      <w:spacing w:after="120" w:line="240" w:lineRule="auto"/>
      <w:ind w:left="567"/>
    </w:pPr>
    <w:rPr>
      <w:rFonts w:ascii="Calibri" w:eastAsia="Times New Roman" w:hAnsi="Calibri" w:cs="Times New Roman"/>
      <w:b/>
      <w:sz w:val="24"/>
      <w:szCs w:val="20"/>
    </w:rPr>
  </w:style>
  <w:style w:type="paragraph" w:customStyle="1" w:styleId="Z">
    <w:name w:val="Z"/>
    <w:basedOn w:val="T"/>
    <w:uiPriority w:val="99"/>
    <w:qFormat/>
    <w:rsid w:val="0053105F"/>
    <w:pPr>
      <w:ind w:right="1701"/>
    </w:pPr>
    <w:rPr>
      <w:b w:val="0"/>
      <w:sz w:val="20"/>
    </w:rPr>
  </w:style>
  <w:style w:type="paragraph" w:customStyle="1" w:styleId="tabteksts">
    <w:name w:val="tab_teksts"/>
    <w:basedOn w:val="Normal"/>
    <w:uiPriority w:val="99"/>
    <w:rsid w:val="0053105F"/>
    <w:pPr>
      <w:spacing w:after="0" w:line="240" w:lineRule="auto"/>
    </w:pPr>
    <w:rPr>
      <w:rFonts w:ascii="Times New Roman" w:eastAsia="Times New Roman" w:hAnsi="Times New Roman" w:cs="Times New Roman"/>
      <w:sz w:val="20"/>
      <w:szCs w:val="20"/>
    </w:rPr>
  </w:style>
  <w:style w:type="paragraph" w:customStyle="1" w:styleId="Zpar">
    <w:name w:val="Z_par"/>
    <w:basedOn w:val="Z"/>
    <w:rsid w:val="0053105F"/>
    <w:pPr>
      <w:spacing w:after="480"/>
      <w:ind w:left="1418" w:hanging="851"/>
    </w:pPr>
    <w:rPr>
      <w:i/>
    </w:rPr>
  </w:style>
  <w:style w:type="character" w:customStyle="1" w:styleId="ListParagraphChar">
    <w:name w:val="List Paragraph Char"/>
    <w:aliases w:val="2 Char,Akapit z listą BS Char,Numbered Para 1 Char,Dot pt Char,List Paragraph Char Char Char Char,Indicator Text Char,List Paragraph1 Char,Bullet 1 Char,Bullet Points Char,MAIN CONTENT Char,IFCL - List Paragraph Char,OBC Bullet Char"/>
    <w:link w:val="ListParagraph"/>
    <w:uiPriority w:val="34"/>
    <w:qFormat/>
    <w:locked/>
    <w:rsid w:val="0053105F"/>
    <w:rPr>
      <w:rFonts w:asciiTheme="minorHAnsi" w:eastAsiaTheme="minorEastAsia" w:hAnsiTheme="minorHAnsi"/>
      <w:sz w:val="22"/>
    </w:rPr>
  </w:style>
  <w:style w:type="paragraph" w:styleId="BodyTextIndent2">
    <w:name w:val="Body Text Indent 2"/>
    <w:basedOn w:val="Normal"/>
    <w:link w:val="BodyTextIndent2Char"/>
    <w:semiHidden/>
    <w:rsid w:val="0053105F"/>
    <w:pPr>
      <w:spacing w:before="120" w:after="120" w:line="240" w:lineRule="auto"/>
      <w:ind w:firstLine="706"/>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semiHidden/>
    <w:rsid w:val="0053105F"/>
    <w:rPr>
      <w:rFonts w:eastAsia="Times New Roman" w:cs="Times New Roman"/>
      <w:szCs w:val="20"/>
    </w:rPr>
  </w:style>
  <w:style w:type="paragraph" w:customStyle="1" w:styleId="Default">
    <w:name w:val="Default"/>
    <w:rsid w:val="0053105F"/>
    <w:pPr>
      <w:autoSpaceDE w:val="0"/>
      <w:autoSpaceDN w:val="0"/>
      <w:adjustRightInd w:val="0"/>
    </w:pPr>
    <w:rPr>
      <w:rFonts w:eastAsia="Times New Roman" w:cs="Times New Roman"/>
      <w:color w:val="000000"/>
      <w:szCs w:val="24"/>
      <w:lang w:eastAsia="lv-LV"/>
    </w:rPr>
  </w:style>
  <w:style w:type="paragraph" w:styleId="BodyTextIndent">
    <w:name w:val="Body Text Indent"/>
    <w:basedOn w:val="Normal"/>
    <w:link w:val="BodyTextIndentChar"/>
    <w:unhideWhenUsed/>
    <w:rsid w:val="0053105F"/>
    <w:pPr>
      <w:spacing w:after="120" w:line="240" w:lineRule="auto"/>
      <w:ind w:left="283" w:firstLine="567"/>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53105F"/>
    <w:rPr>
      <w:rFonts w:eastAsia="Times New Roman" w:cs="Times New Roman"/>
      <w:szCs w:val="20"/>
    </w:rPr>
  </w:style>
  <w:style w:type="paragraph" w:customStyle="1" w:styleId="ridk">
    <w:name w:val="ridk"/>
    <w:basedOn w:val="Normal"/>
    <w:rsid w:val="0053105F"/>
    <w:pPr>
      <w:spacing w:before="100" w:beforeAutospacing="1" w:after="100" w:afterAutospacing="1" w:line="240" w:lineRule="auto"/>
    </w:pPr>
    <w:rPr>
      <w:rFonts w:ascii="Arial Unicode MS" w:eastAsia="Arial Unicode MS" w:hAnsi="Arial Unicode MS" w:cs="Arial Unicode MS"/>
      <w:sz w:val="24"/>
      <w:szCs w:val="24"/>
      <w:lang w:val="en-US"/>
    </w:rPr>
  </w:style>
  <w:style w:type="table" w:styleId="TableGrid">
    <w:name w:val="Table Grid"/>
    <w:basedOn w:val="TableNormal"/>
    <w:uiPriority w:val="39"/>
    <w:rsid w:val="0053105F"/>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1">
    <w:name w:val="Virsraksts1"/>
    <w:basedOn w:val="Heading1"/>
    <w:rsid w:val="0053105F"/>
    <w:pPr>
      <w:keepLines w:val="0"/>
      <w:numPr>
        <w:numId w:val="0"/>
      </w:numPr>
      <w:pBdr>
        <w:bottom w:val="none" w:sz="0" w:space="0" w:color="auto"/>
      </w:pBdr>
      <w:spacing w:before="240" w:after="60" w:line="240" w:lineRule="auto"/>
      <w:ind w:firstLine="709"/>
      <w:jc w:val="both"/>
    </w:pPr>
    <w:rPr>
      <w:rFonts w:ascii="Times New Roman" w:eastAsia="Calibri" w:hAnsi="Times New Roman" w:cs="Times New Roman"/>
      <w:smallCaps w:val="0"/>
      <w:color w:val="auto"/>
      <w:kern w:val="32"/>
      <w:sz w:val="40"/>
      <w:szCs w:val="40"/>
    </w:rPr>
  </w:style>
  <w:style w:type="character" w:customStyle="1" w:styleId="spelle">
    <w:name w:val="spelle"/>
    <w:basedOn w:val="DefaultParagraphFont"/>
    <w:rsid w:val="0053105F"/>
  </w:style>
  <w:style w:type="paragraph" w:customStyle="1" w:styleId="ParagraphNumbering">
    <w:name w:val="Paragraph Numbering"/>
    <w:basedOn w:val="Normal"/>
    <w:uiPriority w:val="1"/>
    <w:qFormat/>
    <w:rsid w:val="0053105F"/>
    <w:pPr>
      <w:numPr>
        <w:numId w:val="4"/>
      </w:numPr>
      <w:spacing w:after="240" w:line="264" w:lineRule="auto"/>
    </w:pPr>
    <w:rPr>
      <w:rFonts w:ascii="Times New Roman" w:eastAsia="Calibri"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53105F"/>
    <w:rPr>
      <w:b/>
      <w:bCs/>
    </w:rPr>
  </w:style>
  <w:style w:type="character" w:customStyle="1" w:styleId="CommentSubjectChar">
    <w:name w:val="Comment Subject Char"/>
    <w:basedOn w:val="CommentTextChar"/>
    <w:link w:val="CommentSubject"/>
    <w:uiPriority w:val="99"/>
    <w:semiHidden/>
    <w:rsid w:val="0053105F"/>
    <w:rPr>
      <w:rFonts w:eastAsia="Times New Roman" w:cs="Times New Roman"/>
      <w:b/>
      <w:bCs/>
      <w:sz w:val="20"/>
      <w:szCs w:val="20"/>
    </w:rPr>
  </w:style>
  <w:style w:type="paragraph" w:customStyle="1" w:styleId="otrais">
    <w:name w:val="otrais"/>
    <w:basedOn w:val="H2"/>
    <w:link w:val="otraisChar"/>
    <w:qFormat/>
    <w:rsid w:val="0053105F"/>
    <w:pPr>
      <w:tabs>
        <w:tab w:val="clear" w:pos="1134"/>
        <w:tab w:val="left" w:pos="567"/>
      </w:tabs>
      <w:ind w:left="567"/>
    </w:pPr>
  </w:style>
  <w:style w:type="character" w:customStyle="1" w:styleId="otraisChar">
    <w:name w:val="otrais Char"/>
    <w:basedOn w:val="H2Char"/>
    <w:link w:val="otrais"/>
    <w:rsid w:val="0053105F"/>
    <w:rPr>
      <w:rFonts w:ascii="Calibri" w:eastAsia="Times New Roman" w:hAnsi="Calibri" w:cs="Times New Roman"/>
      <w:b/>
      <w:sz w:val="32"/>
      <w:szCs w:val="20"/>
    </w:rPr>
  </w:style>
  <w:style w:type="paragraph" w:customStyle="1" w:styleId="tresais">
    <w:name w:val="tresais"/>
    <w:basedOn w:val="H3"/>
    <w:link w:val="tresaisChar"/>
    <w:qFormat/>
    <w:rsid w:val="0053105F"/>
    <w:pPr>
      <w:ind w:left="0" w:firstLine="0"/>
    </w:pPr>
  </w:style>
  <w:style w:type="character" w:customStyle="1" w:styleId="tresaisChar">
    <w:name w:val="tresais Char"/>
    <w:basedOn w:val="H3Char"/>
    <w:link w:val="tresais"/>
    <w:rsid w:val="0053105F"/>
    <w:rPr>
      <w:rFonts w:ascii="Calibri" w:eastAsia="Times New Roman" w:hAnsi="Calibri" w:cs="Times New Roman"/>
      <w:b/>
      <w:sz w:val="28"/>
      <w:szCs w:val="20"/>
    </w:rPr>
  </w:style>
  <w:style w:type="paragraph" w:customStyle="1" w:styleId="naisf">
    <w:name w:val="naisf"/>
    <w:basedOn w:val="Normal"/>
    <w:rsid w:val="0053105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ksts">
    <w:name w:val="teksts"/>
    <w:rsid w:val="0053105F"/>
    <w:pPr>
      <w:spacing w:after="120"/>
      <w:jc w:val="both"/>
    </w:pPr>
    <w:rPr>
      <w:rFonts w:ascii="Garamond" w:eastAsia="Times New Roman" w:hAnsi="Garamond" w:cs="Times New Roman"/>
      <w:szCs w:val="20"/>
    </w:rPr>
  </w:style>
  <w:style w:type="paragraph" w:customStyle="1" w:styleId="EE-paragr">
    <w:name w:val="EE-paragr"/>
    <w:basedOn w:val="Normal"/>
    <w:autoRedefine/>
    <w:uiPriority w:val="99"/>
    <w:rsid w:val="0053105F"/>
    <w:pPr>
      <w:spacing w:before="120" w:after="120" w:line="240" w:lineRule="auto"/>
      <w:jc w:val="both"/>
    </w:pPr>
    <w:rPr>
      <w:rFonts w:ascii="Times New Roman" w:eastAsia="Times New Roman" w:hAnsi="Times New Roman" w:cs="Times New Roman"/>
      <w:iCs/>
      <w:sz w:val="24"/>
      <w:szCs w:val="24"/>
      <w:lang w:eastAsia="lv-LV" w:bidi="lo-LA"/>
    </w:rPr>
  </w:style>
  <w:style w:type="paragraph" w:customStyle="1" w:styleId="tabtekst">
    <w:name w:val="tab_tekst"/>
    <w:basedOn w:val="Normal"/>
    <w:rsid w:val="0053105F"/>
    <w:pPr>
      <w:spacing w:after="0" w:line="240" w:lineRule="auto"/>
    </w:pPr>
    <w:rPr>
      <w:rFonts w:ascii="Times New Roman" w:eastAsia="Times New Roman" w:hAnsi="Times New Roman" w:cs="Times New Roman"/>
      <w:color w:val="000000"/>
      <w:sz w:val="20"/>
      <w:szCs w:val="20"/>
    </w:rPr>
  </w:style>
  <w:style w:type="paragraph" w:customStyle="1" w:styleId="Normal11pt">
    <w:name w:val="Normal + 11 pt"/>
    <w:aliases w:val="Bold,Justified,Line spacing:  1.5 lines"/>
    <w:basedOn w:val="Normal"/>
    <w:rsid w:val="0053105F"/>
    <w:pPr>
      <w:widowControl w:val="0"/>
      <w:adjustRightInd w:val="0"/>
      <w:spacing w:after="0" w:line="360" w:lineRule="auto"/>
      <w:jc w:val="both"/>
      <w:textAlignment w:val="baseline"/>
    </w:pPr>
    <w:rPr>
      <w:rFonts w:ascii="Times New Roman" w:eastAsia="Times New Roman" w:hAnsi="Times New Roman" w:cs="Times New Roman"/>
      <w:b/>
      <w:lang w:val="en-GB" w:eastAsia="lv-LV"/>
    </w:rPr>
  </w:style>
  <w:style w:type="paragraph" w:styleId="BodyText">
    <w:name w:val="Body Text"/>
    <w:basedOn w:val="Normal"/>
    <w:link w:val="BodyTextChar"/>
    <w:uiPriority w:val="99"/>
    <w:semiHidden/>
    <w:unhideWhenUsed/>
    <w:rsid w:val="0053105F"/>
    <w:pPr>
      <w:spacing w:after="120" w:line="240" w:lineRule="auto"/>
      <w:ind w:firstLine="567"/>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semiHidden/>
    <w:rsid w:val="0053105F"/>
    <w:rPr>
      <w:rFonts w:eastAsia="Times New Roman" w:cs="Times New Roman"/>
      <w:szCs w:val="20"/>
    </w:rPr>
  </w:style>
  <w:style w:type="paragraph" w:styleId="BodyText3">
    <w:name w:val="Body Text 3"/>
    <w:basedOn w:val="Normal"/>
    <w:link w:val="BodyText3Char"/>
    <w:uiPriority w:val="99"/>
    <w:semiHidden/>
    <w:unhideWhenUsed/>
    <w:rsid w:val="0053105F"/>
    <w:pPr>
      <w:spacing w:after="120" w:line="240" w:lineRule="auto"/>
      <w:ind w:firstLine="567"/>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53105F"/>
    <w:rPr>
      <w:rFonts w:eastAsia="Times New Roman" w:cs="Times New Roman"/>
      <w:sz w:val="16"/>
      <w:szCs w:val="16"/>
    </w:rPr>
  </w:style>
  <w:style w:type="paragraph" w:styleId="TOC8">
    <w:name w:val="toc 8"/>
    <w:basedOn w:val="Normal"/>
    <w:next w:val="Normal"/>
    <w:autoRedefine/>
    <w:uiPriority w:val="39"/>
    <w:semiHidden/>
    <w:unhideWhenUsed/>
    <w:rsid w:val="0053105F"/>
    <w:pPr>
      <w:spacing w:after="120" w:line="240" w:lineRule="auto"/>
      <w:ind w:left="1680" w:firstLine="567"/>
      <w:jc w:val="both"/>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53105F"/>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53105F"/>
    <w:rPr>
      <w:rFonts w:ascii="Consolas" w:eastAsia="Calibri" w:hAnsi="Consolas" w:cs="Times New Roman"/>
      <w:sz w:val="21"/>
      <w:szCs w:val="21"/>
    </w:rPr>
  </w:style>
  <w:style w:type="paragraph" w:customStyle="1" w:styleId="Text1">
    <w:name w:val="Text 1"/>
    <w:basedOn w:val="Normal"/>
    <w:uiPriority w:val="99"/>
    <w:rsid w:val="0053105F"/>
    <w:pPr>
      <w:spacing w:before="120" w:after="120" w:line="240" w:lineRule="auto"/>
      <w:ind w:left="850"/>
      <w:jc w:val="both"/>
    </w:pPr>
    <w:rPr>
      <w:rFonts w:ascii="Times New Roman" w:eastAsia="Times New Roman" w:hAnsi="Times New Roman" w:cs="Times New Roman"/>
      <w:sz w:val="24"/>
      <w:szCs w:val="20"/>
      <w:lang w:val="en-GB" w:eastAsia="de-DE"/>
    </w:rPr>
  </w:style>
  <w:style w:type="character" w:styleId="FollowedHyperlink">
    <w:name w:val="FollowedHyperlink"/>
    <w:uiPriority w:val="99"/>
    <w:semiHidden/>
    <w:unhideWhenUsed/>
    <w:rsid w:val="0053105F"/>
    <w:rPr>
      <w:color w:val="800080"/>
      <w:u w:val="single"/>
    </w:rPr>
  </w:style>
  <w:style w:type="paragraph" w:styleId="Revision">
    <w:name w:val="Revision"/>
    <w:hidden/>
    <w:uiPriority w:val="99"/>
    <w:semiHidden/>
    <w:rsid w:val="0053105F"/>
    <w:rPr>
      <w:rFonts w:eastAsia="Times New Roman" w:cs="Times New Roman"/>
      <w:szCs w:val="20"/>
    </w:rPr>
  </w:style>
  <w:style w:type="paragraph" w:customStyle="1" w:styleId="tv2131">
    <w:name w:val="tv2131"/>
    <w:basedOn w:val="Normal"/>
    <w:rsid w:val="0053105F"/>
    <w:pPr>
      <w:spacing w:before="240" w:after="0" w:line="360" w:lineRule="auto"/>
      <w:ind w:firstLine="300"/>
      <w:jc w:val="both"/>
    </w:pPr>
    <w:rPr>
      <w:rFonts w:ascii="Verdana" w:eastAsia="Times New Roman" w:hAnsi="Verdana" w:cs="Times New Roman"/>
      <w:sz w:val="18"/>
      <w:szCs w:val="18"/>
      <w:lang w:eastAsia="lv-LV"/>
    </w:rPr>
  </w:style>
  <w:style w:type="paragraph" w:customStyle="1" w:styleId="CM1">
    <w:name w:val="CM1"/>
    <w:basedOn w:val="Default"/>
    <w:next w:val="Default"/>
    <w:uiPriority w:val="99"/>
    <w:rsid w:val="0053105F"/>
    <w:rPr>
      <w:rFonts w:ascii="EUAlbertina" w:eastAsia="Calibri" w:hAnsi="EUAlbertina"/>
      <w:color w:val="auto"/>
      <w:lang w:val="en-GB" w:eastAsia="en-GB"/>
    </w:rPr>
  </w:style>
  <w:style w:type="character" w:customStyle="1" w:styleId="st1">
    <w:name w:val="st1"/>
    <w:basedOn w:val="DefaultParagraphFont"/>
    <w:rsid w:val="0053105F"/>
  </w:style>
  <w:style w:type="paragraph" w:customStyle="1" w:styleId="mt-translation1">
    <w:name w:val="mt-translation1"/>
    <w:basedOn w:val="Normal"/>
    <w:rsid w:val="0053105F"/>
    <w:pPr>
      <w:spacing w:after="0" w:line="240" w:lineRule="auto"/>
    </w:pPr>
    <w:rPr>
      <w:rFonts w:ascii="Segoe UI" w:eastAsia="Times New Roman" w:hAnsi="Segoe UI" w:cs="Segoe UI"/>
      <w:lang w:eastAsia="lv-LV"/>
    </w:rPr>
  </w:style>
  <w:style w:type="table" w:customStyle="1" w:styleId="ListTable3-Accent11">
    <w:name w:val="List Table 3 - Accent 11"/>
    <w:basedOn w:val="TableNormal"/>
    <w:uiPriority w:val="48"/>
    <w:rsid w:val="0053105F"/>
    <w:rPr>
      <w:rFonts w:asciiTheme="minorHAnsi" w:eastAsiaTheme="minorEastAsia" w:hAnsiTheme="minorHAnsi"/>
      <w:sz w:val="22"/>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2-Accent11">
    <w:name w:val="Grid Table 2 - Accent 11"/>
    <w:basedOn w:val="TableNormal"/>
    <w:uiPriority w:val="47"/>
    <w:rsid w:val="0053105F"/>
    <w:rPr>
      <w:rFonts w:asciiTheme="minorHAnsi" w:eastAsiaTheme="minorEastAsia" w:hAnsiTheme="minorHAnsi"/>
      <w:sz w:val="22"/>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1Light-Accent11">
    <w:name w:val="Grid Table 1 Light - Accent 11"/>
    <w:basedOn w:val="TableNormal"/>
    <w:uiPriority w:val="46"/>
    <w:rsid w:val="0053105F"/>
    <w:rPr>
      <w:rFonts w:asciiTheme="minorHAnsi" w:eastAsiaTheme="minorEastAsia" w:hAnsiTheme="minorHAnsi"/>
      <w:sz w:val="22"/>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53105F"/>
    <w:rPr>
      <w:rFonts w:asciiTheme="minorHAnsi" w:eastAsiaTheme="minorEastAsia" w:hAnsiTheme="minorHAnsi"/>
      <w:sz w:val="22"/>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53105F"/>
    <w:rPr>
      <w:rFonts w:asciiTheme="minorHAnsi" w:eastAsiaTheme="minorEastAsia" w:hAnsiTheme="minorHAnsi"/>
      <w:sz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53105F"/>
    <w:rPr>
      <w:rFonts w:asciiTheme="minorHAnsi" w:eastAsiaTheme="minorEastAsia" w:hAnsiTheme="minorHAnsi"/>
      <w:sz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53105F"/>
    <w:rPr>
      <w:rFonts w:asciiTheme="minorHAnsi" w:eastAsiaTheme="minorEastAsia" w:hAnsiTheme="minorHAnsi"/>
      <w:sz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
    <w:name w:val="Table Grid Light1"/>
    <w:basedOn w:val="TableNormal"/>
    <w:uiPriority w:val="40"/>
    <w:rsid w:val="0053105F"/>
    <w:rPr>
      <w:rFonts w:asciiTheme="minorHAnsi" w:eastAsiaTheme="minorEastAsia" w:hAnsiTheme="minorHAnsi"/>
      <w:sz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39"/>
    <w:rsid w:val="0053105F"/>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3105F"/>
  </w:style>
  <w:style w:type="table" w:customStyle="1" w:styleId="TableGrid2">
    <w:name w:val="Table Grid2"/>
    <w:basedOn w:val="TableNormal"/>
    <w:next w:val="TableGrid"/>
    <w:uiPriority w:val="39"/>
    <w:rsid w:val="0053105F"/>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3105F"/>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11">
    <w:name w:val="Grid Table 6 Colorful - Accent 11"/>
    <w:basedOn w:val="TableNormal"/>
    <w:uiPriority w:val="51"/>
    <w:rsid w:val="0053105F"/>
    <w:rPr>
      <w:rFonts w:asciiTheme="minorHAnsi" w:eastAsiaTheme="minorEastAsia" w:hAnsiTheme="minorHAnsi"/>
      <w:color w:val="2E74B5" w:themeColor="accent1" w:themeShade="BF"/>
      <w:sz w:val="22"/>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51">
    <w:name w:val="Grid Table 6 Colorful - Accent 51"/>
    <w:basedOn w:val="TableNormal"/>
    <w:uiPriority w:val="51"/>
    <w:rsid w:val="0053105F"/>
    <w:rPr>
      <w:rFonts w:asciiTheme="minorHAnsi" w:eastAsiaTheme="minorEastAsia" w:hAnsiTheme="minorHAnsi"/>
      <w:color w:val="2F5496" w:themeColor="accent5" w:themeShade="BF"/>
      <w:sz w:val="22"/>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11">
    <w:name w:val="Grid Table 4 - Accent 11"/>
    <w:basedOn w:val="TableNormal"/>
    <w:uiPriority w:val="49"/>
    <w:rsid w:val="0053105F"/>
    <w:rPr>
      <w:rFonts w:asciiTheme="minorHAnsi" w:eastAsiaTheme="minorEastAsia" w:hAnsiTheme="minorHAnsi"/>
      <w:sz w:val="22"/>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ps">
    <w:name w:val="hps"/>
    <w:basedOn w:val="DefaultParagraphFont"/>
    <w:rsid w:val="0053105F"/>
  </w:style>
  <w:style w:type="numbering" w:customStyle="1" w:styleId="NoList2">
    <w:name w:val="No List2"/>
    <w:next w:val="NoList"/>
    <w:uiPriority w:val="99"/>
    <w:semiHidden/>
    <w:unhideWhenUsed/>
    <w:rsid w:val="0053105F"/>
  </w:style>
  <w:style w:type="character" w:customStyle="1" w:styleId="apple-converted-space">
    <w:name w:val="apple-converted-space"/>
    <w:basedOn w:val="DefaultParagraphFont"/>
    <w:rsid w:val="0053105F"/>
  </w:style>
  <w:style w:type="numbering" w:customStyle="1" w:styleId="NoList3">
    <w:name w:val="No List3"/>
    <w:next w:val="NoList"/>
    <w:uiPriority w:val="99"/>
    <w:semiHidden/>
    <w:unhideWhenUsed/>
    <w:rsid w:val="0053105F"/>
  </w:style>
  <w:style w:type="table" w:customStyle="1" w:styleId="TableGrid4">
    <w:name w:val="Table Grid4"/>
    <w:basedOn w:val="TableNormal"/>
    <w:next w:val="TableGrid"/>
    <w:uiPriority w:val="39"/>
    <w:rsid w:val="0053105F"/>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3105F"/>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13">
    <w:name w:val="Grid Table 6 Colorful - Accent 13"/>
    <w:basedOn w:val="TableNormal"/>
    <w:next w:val="GridTable6Colorful-Accent11"/>
    <w:uiPriority w:val="51"/>
    <w:rsid w:val="0053105F"/>
    <w:rPr>
      <w:rFonts w:asciiTheme="minorHAnsi" w:eastAsiaTheme="minorEastAsia" w:hAnsiTheme="minorHAnsi"/>
      <w:color w:val="2E74B5" w:themeColor="accent1" w:themeShade="BF"/>
      <w:sz w:val="22"/>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12">
    <w:name w:val="Grid Table 6 Colorful - Accent 12"/>
    <w:basedOn w:val="TableNormal"/>
    <w:next w:val="GridTable6Colorful-Accent11"/>
    <w:uiPriority w:val="51"/>
    <w:rsid w:val="0053105F"/>
    <w:rPr>
      <w:rFonts w:asciiTheme="minorHAnsi" w:eastAsiaTheme="minorEastAsia" w:hAnsiTheme="minorHAnsi"/>
      <w:color w:val="2E74B5" w:themeColor="accent1" w:themeShade="BF"/>
      <w:sz w:val="22"/>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Style3">
    <w:name w:val="Style3"/>
    <w:basedOn w:val="Heading3"/>
    <w:link w:val="Style3Char"/>
    <w:qFormat/>
    <w:rsid w:val="0053105F"/>
    <w:pPr>
      <w:numPr>
        <w:ilvl w:val="0"/>
        <w:numId w:val="0"/>
      </w:numPr>
      <w:jc w:val="center"/>
    </w:pPr>
    <w:rPr>
      <w:rFonts w:cs="Times New Roman"/>
      <w:sz w:val="28"/>
      <w:szCs w:val="32"/>
    </w:rPr>
  </w:style>
  <w:style w:type="table" w:customStyle="1" w:styleId="GridTable4-Accent51">
    <w:name w:val="Grid Table 4 - Accent 51"/>
    <w:basedOn w:val="TableNormal"/>
    <w:uiPriority w:val="49"/>
    <w:rsid w:val="0053105F"/>
    <w:rPr>
      <w:rFonts w:asciiTheme="minorHAnsi" w:hAnsiTheme="minorHAnsi"/>
      <w:sz w:val="22"/>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Style3Char">
    <w:name w:val="Style3 Char"/>
    <w:basedOn w:val="Heading3Char"/>
    <w:link w:val="Style3"/>
    <w:rsid w:val="0053105F"/>
    <w:rPr>
      <w:rFonts w:asciiTheme="majorHAnsi" w:eastAsiaTheme="majorEastAsia" w:hAnsiTheme="majorHAnsi" w:cs="Times New Roman"/>
      <w:b/>
      <w:bCs/>
      <w:color w:val="000000" w:themeColor="text1"/>
      <w:sz w:val="28"/>
      <w:szCs w:val="32"/>
    </w:rPr>
  </w:style>
  <w:style w:type="table" w:customStyle="1" w:styleId="ListTable3-Accent51">
    <w:name w:val="List Table 3 - Accent 51"/>
    <w:basedOn w:val="TableNormal"/>
    <w:uiPriority w:val="48"/>
    <w:rsid w:val="0053105F"/>
    <w:rPr>
      <w:rFonts w:asciiTheme="minorHAnsi" w:eastAsiaTheme="minorEastAsia" w:hAnsiTheme="minorHAnsi"/>
      <w:sz w:val="22"/>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TableGrid5">
    <w:name w:val="Table Grid5"/>
    <w:basedOn w:val="TableNormal"/>
    <w:next w:val="TableGrid"/>
    <w:uiPriority w:val="39"/>
    <w:rsid w:val="00531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53105F"/>
    <w:rPr>
      <w:rFonts w:asciiTheme="minorHAnsi" w:eastAsiaTheme="minorEastAsia" w:hAnsiTheme="minorHAnsi"/>
      <w:sz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Char2">
    <w:name w:val="Char2"/>
    <w:aliases w:val="Char Char Char Char"/>
    <w:basedOn w:val="Normal"/>
    <w:next w:val="Normal"/>
    <w:link w:val="FootnoteReference"/>
    <w:rsid w:val="0053105F"/>
    <w:pPr>
      <w:spacing w:line="240" w:lineRule="exact"/>
      <w:jc w:val="both"/>
      <w:textAlignment w:val="baseline"/>
    </w:pPr>
    <w:rPr>
      <w:rFonts w:ascii="Times New Roman" w:eastAsiaTheme="minorHAnsi" w:hAnsi="Times New Roman"/>
      <w:sz w:val="24"/>
      <w:vertAlign w:val="superscript"/>
    </w:rPr>
  </w:style>
  <w:style w:type="character" w:styleId="HTMLCite">
    <w:name w:val="HTML Cite"/>
    <w:basedOn w:val="DefaultParagraphFont"/>
    <w:uiPriority w:val="99"/>
    <w:semiHidden/>
    <w:unhideWhenUsed/>
    <w:rsid w:val="0053105F"/>
    <w:rPr>
      <w:i/>
      <w:iCs/>
    </w:rPr>
  </w:style>
  <w:style w:type="table" w:customStyle="1" w:styleId="ListTable1Light-Accent41">
    <w:name w:val="List Table 1 Light - Accent 41"/>
    <w:basedOn w:val="TableNormal"/>
    <w:uiPriority w:val="46"/>
    <w:rsid w:val="0053105F"/>
    <w:rPr>
      <w:rFonts w:asciiTheme="minorHAnsi" w:eastAsiaTheme="minorEastAsia" w:hAnsiTheme="minorHAnsi"/>
      <w:sz w:val="22"/>
    </w:r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21">
    <w:name w:val="Grid Table 6 Colorful - Accent 21"/>
    <w:basedOn w:val="TableNormal"/>
    <w:uiPriority w:val="51"/>
    <w:rsid w:val="0053105F"/>
    <w:rPr>
      <w:rFonts w:asciiTheme="minorHAnsi" w:eastAsiaTheme="minorEastAsia" w:hAnsiTheme="minorHAnsi"/>
      <w:color w:val="C45911" w:themeColor="accent2" w:themeShade="BF"/>
      <w:sz w:val="22"/>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15">
    <w:name w:val="Grid Table 6 Colorful - Accent 15"/>
    <w:basedOn w:val="TableNormal"/>
    <w:next w:val="GridTable6Colorful-Accent11"/>
    <w:uiPriority w:val="51"/>
    <w:rsid w:val="0053105F"/>
    <w:rPr>
      <w:rFonts w:asciiTheme="minorHAnsi" w:eastAsiaTheme="minorEastAsia" w:hAnsiTheme="minorHAnsi"/>
      <w:color w:val="2E74B5" w:themeColor="accent1" w:themeShade="BF"/>
      <w:sz w:val="22"/>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14">
    <w:name w:val="Grid Table 6 Colorful - Accent 14"/>
    <w:basedOn w:val="TableNormal"/>
    <w:next w:val="GridTable6Colorful-Accent11"/>
    <w:uiPriority w:val="51"/>
    <w:rsid w:val="0053105F"/>
    <w:rPr>
      <w:rFonts w:asciiTheme="minorHAnsi" w:eastAsiaTheme="minorEastAsia" w:hAnsiTheme="minorHAnsi"/>
      <w:color w:val="365F91"/>
      <w:sz w:val="22"/>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GridTable6Colorful-Accent1">
    <w:name w:val="Grid Table 6 Colorful Accent 1"/>
    <w:basedOn w:val="TableNormal"/>
    <w:uiPriority w:val="51"/>
    <w:rsid w:val="0053105F"/>
    <w:rPr>
      <w:rFonts w:asciiTheme="minorHAnsi" w:eastAsiaTheme="minorEastAsia" w:hAnsiTheme="minorHAnsi"/>
      <w:color w:val="2E74B5" w:themeColor="accent1" w:themeShade="BF"/>
      <w:sz w:val="22"/>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FootnoteCharacters">
    <w:name w:val="Footnote Characters"/>
    <w:rsid w:val="0053105F"/>
    <w:rPr>
      <w:rFonts w:ascii="Garamond" w:hAnsi="Garamond"/>
      <w:sz w:val="20"/>
      <w:vertAlign w:val="superscript"/>
    </w:rPr>
  </w:style>
  <w:style w:type="table" w:customStyle="1" w:styleId="TableGrid6">
    <w:name w:val="Table Grid6"/>
    <w:basedOn w:val="TableNormal"/>
    <w:next w:val="TableGrid"/>
    <w:uiPriority w:val="39"/>
    <w:rsid w:val="00531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16">
    <w:name w:val="Grid Table 6 Colorful - Accent 16"/>
    <w:basedOn w:val="TableNormal"/>
    <w:next w:val="GridTable6Colorful-Accent1"/>
    <w:uiPriority w:val="51"/>
    <w:rsid w:val="0053105F"/>
    <w:rPr>
      <w:rFonts w:asciiTheme="minorHAnsi" w:eastAsiaTheme="minorEastAsia" w:hAnsiTheme="minorHAnsi"/>
      <w:color w:val="2E74B5"/>
      <w:sz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6Colorful-Accent111">
    <w:name w:val="Grid Table 6 Colorful - Accent 111"/>
    <w:basedOn w:val="TableNormal"/>
    <w:uiPriority w:val="51"/>
    <w:rsid w:val="0053105F"/>
    <w:rPr>
      <w:rFonts w:asciiTheme="minorHAnsi" w:eastAsiaTheme="minorEastAsia" w:hAnsiTheme="minorHAnsi"/>
      <w:color w:val="2E74B5"/>
      <w:sz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6Colorful-Accent112">
    <w:name w:val="Grid Table 6 Colorful - Accent 112"/>
    <w:basedOn w:val="TableNormal"/>
    <w:uiPriority w:val="51"/>
    <w:rsid w:val="004C5D83"/>
    <w:rPr>
      <w:rFonts w:ascii="Calibri" w:eastAsia="Times New Roman" w:hAnsi="Calibri"/>
      <w:color w:val="2E74B5"/>
      <w:sz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6Colorful-Accent113">
    <w:name w:val="Grid Table 6 Colorful - Accent 113"/>
    <w:basedOn w:val="TableNormal"/>
    <w:uiPriority w:val="51"/>
    <w:rsid w:val="004C5D83"/>
    <w:rPr>
      <w:rFonts w:ascii="Calibri" w:eastAsia="Times New Roman" w:hAnsi="Calibri"/>
      <w:color w:val="2E74B5"/>
      <w:sz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6Colorful-Accent114">
    <w:name w:val="Grid Table 6 Colorful - Accent 114"/>
    <w:basedOn w:val="TableNormal"/>
    <w:uiPriority w:val="51"/>
    <w:rsid w:val="004C5D83"/>
    <w:rPr>
      <w:rFonts w:ascii="Calibri" w:eastAsia="Times New Roman" w:hAnsi="Calibri"/>
      <w:color w:val="2E74B5"/>
      <w:sz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6Colorful-Accent115">
    <w:name w:val="Grid Table 6 Colorful - Accent 115"/>
    <w:basedOn w:val="TableNormal"/>
    <w:uiPriority w:val="51"/>
    <w:rsid w:val="004C5D83"/>
    <w:rPr>
      <w:rFonts w:ascii="Calibri" w:eastAsia="Times New Roman" w:hAnsi="Calibri"/>
      <w:color w:val="2E74B5"/>
      <w:sz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6Colorful-Accent116">
    <w:name w:val="Grid Table 6 Colorful - Accent 116"/>
    <w:basedOn w:val="TableNormal"/>
    <w:uiPriority w:val="51"/>
    <w:rsid w:val="00496C39"/>
    <w:rPr>
      <w:rFonts w:ascii="Calibri" w:eastAsia="Times New Roman" w:hAnsi="Calibri"/>
      <w:color w:val="2E74B5"/>
      <w:sz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6Colorful-Accent117">
    <w:name w:val="Grid Table 6 Colorful - Accent 117"/>
    <w:basedOn w:val="TableNormal"/>
    <w:uiPriority w:val="51"/>
    <w:rsid w:val="00496C39"/>
    <w:rPr>
      <w:rFonts w:ascii="Calibri" w:eastAsia="Times New Roman" w:hAnsi="Calibri"/>
      <w:color w:val="2E74B5"/>
      <w:sz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6Colorful-Accent118">
    <w:name w:val="Grid Table 6 Colorful - Accent 118"/>
    <w:basedOn w:val="TableNormal"/>
    <w:uiPriority w:val="51"/>
    <w:rsid w:val="00496C39"/>
    <w:rPr>
      <w:rFonts w:ascii="Calibri" w:eastAsia="Times New Roman" w:hAnsi="Calibri"/>
      <w:color w:val="2E74B5"/>
      <w:sz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6Colorful-Accent119">
    <w:name w:val="Grid Table 6 Colorful - Accent 119"/>
    <w:basedOn w:val="TableNormal"/>
    <w:uiPriority w:val="51"/>
    <w:rsid w:val="00496C39"/>
    <w:rPr>
      <w:rFonts w:ascii="Calibri" w:eastAsia="Times New Roman" w:hAnsi="Calibri"/>
      <w:color w:val="2E74B5"/>
      <w:sz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61">
    <w:name w:val="Table Grid61"/>
    <w:basedOn w:val="TableNormal"/>
    <w:next w:val="TableGrid"/>
    <w:uiPriority w:val="39"/>
    <w:rsid w:val="00EE1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39"/>
    <w:rsid w:val="00EE1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39"/>
    <w:rsid w:val="00EE1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EC60A-3D65-4AA6-B318-9AACDF43B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22</Pages>
  <Words>27432</Words>
  <Characters>15637</Characters>
  <Application>Microsoft Office Word</Application>
  <DocSecurity>0</DocSecurity>
  <Lines>130</Lines>
  <Paragraphs>85</Paragraphs>
  <ScaleCrop>false</ScaleCrop>
  <HeadingPairs>
    <vt:vector size="2" baseType="variant">
      <vt:variant>
        <vt:lpstr>Title</vt:lpstr>
      </vt:variant>
      <vt:variant>
        <vt:i4>1</vt:i4>
      </vt:variant>
    </vt:vector>
  </HeadingPairs>
  <TitlesOfParts>
    <vt:vector size="1" baseType="lpstr">
      <vt:lpstr>Grozījumi Latvijas Stabilitātes programmā 2019. - 2022.gadam.</vt:lpstr>
    </vt:vector>
  </TitlesOfParts>
  <Company>Finanšu ministrija</Company>
  <LinksUpToDate>false</LinksUpToDate>
  <CharactersWithSpaces>42984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Latvijas Stabilitātes programmā 2019. - 2022.gadam.</dc:title>
  <dc:subject/>
  <dc:creator>Elīna Gusāre</dc:creator>
  <cp:keywords/>
  <dc:description>Elīna Gusāre, elina.gusare@fm.gov.lv_x000d_
67083911</dc:description>
  <cp:lastModifiedBy>Elīna Gusāre</cp:lastModifiedBy>
  <cp:revision>47</cp:revision>
  <dcterms:created xsi:type="dcterms:W3CDTF">2019-05-07T14:24:00Z</dcterms:created>
  <dcterms:modified xsi:type="dcterms:W3CDTF">2019-05-09T08:51:00Z</dcterms:modified>
</cp:coreProperties>
</file>