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1297C7" w14:textId="77777777" w:rsidR="00894C55" w:rsidRPr="00342B2F" w:rsidRDefault="00D80B5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C222D" w:rsidRPr="00342B2F">
            <w:rPr>
              <w:rFonts w:ascii="Times New Roman" w:eastAsia="Times New Roman" w:hAnsi="Times New Roman" w:cs="Times New Roman"/>
              <w:b/>
              <w:bCs/>
              <w:sz w:val="28"/>
              <w:szCs w:val="24"/>
              <w:lang w:eastAsia="lv-LV"/>
            </w:rPr>
            <w:t>Likumprojekta “Grozījumi likumā “Par nodokļiem un nodevām””</w:t>
          </w:r>
        </w:sdtContent>
      </w:sdt>
      <w:r w:rsidR="003B0BF9" w:rsidRPr="00342B2F">
        <w:rPr>
          <w:rFonts w:ascii="Times New Roman" w:eastAsia="Times New Roman" w:hAnsi="Times New Roman" w:cs="Times New Roman"/>
          <w:b/>
          <w:bCs/>
          <w:sz w:val="28"/>
          <w:szCs w:val="24"/>
          <w:lang w:eastAsia="lv-LV"/>
        </w:rPr>
        <w:br/>
      </w:r>
      <w:r w:rsidR="00894C55" w:rsidRPr="00342B2F">
        <w:rPr>
          <w:rFonts w:ascii="Times New Roman" w:eastAsia="Times New Roman" w:hAnsi="Times New Roman" w:cs="Times New Roman"/>
          <w:b/>
          <w:bCs/>
          <w:sz w:val="28"/>
          <w:szCs w:val="24"/>
          <w:lang w:eastAsia="lv-LV"/>
        </w:rPr>
        <w:t>sākotnējās ietekmes novērtējuma ziņojums (anotācija)</w:t>
      </w:r>
    </w:p>
    <w:p w14:paraId="47557992" w14:textId="77777777" w:rsidR="00E5323B" w:rsidRPr="00342B2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A0FB7" w:rsidRPr="00AA0FB7" w14:paraId="0154E25D" w14:textId="77777777" w:rsidTr="024DED6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25AC6F" w14:textId="77777777" w:rsidR="00655F2C" w:rsidRPr="00AA0FB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AA0FB7">
              <w:rPr>
                <w:rFonts w:ascii="Times New Roman" w:eastAsia="Times New Roman" w:hAnsi="Times New Roman" w:cs="Times New Roman"/>
                <w:b/>
                <w:bCs/>
                <w:iCs/>
                <w:sz w:val="24"/>
                <w:szCs w:val="24"/>
                <w:lang w:eastAsia="lv-LV"/>
              </w:rPr>
              <w:t>Tiesību akta projekta anotācijas kopsavilkums</w:t>
            </w:r>
          </w:p>
        </w:tc>
      </w:tr>
      <w:tr w:rsidR="00AA0FB7" w:rsidRPr="00AA0FB7" w14:paraId="69B03ACB" w14:textId="77777777" w:rsidTr="024DED6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07CBA91" w14:textId="77777777" w:rsidR="00E5323B" w:rsidRPr="00AA0FB7" w:rsidRDefault="00E5323B" w:rsidP="00E5323B">
            <w:pPr>
              <w:spacing w:after="0" w:line="240" w:lineRule="auto"/>
              <w:rPr>
                <w:rFonts w:ascii="Times New Roman" w:eastAsia="Times New Roman" w:hAnsi="Times New Roman" w:cs="Times New Roman"/>
                <w:iCs/>
                <w:sz w:val="24"/>
                <w:szCs w:val="24"/>
                <w:lang w:eastAsia="lv-LV"/>
              </w:rPr>
            </w:pPr>
            <w:r w:rsidRPr="00AA0FB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C0E09AB" w14:textId="2CFBF1E0" w:rsidR="00E5323B" w:rsidRDefault="0008617E" w:rsidP="0008617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ir p</w:t>
            </w:r>
            <w:r w:rsidRPr="0008617E">
              <w:rPr>
                <w:rFonts w:ascii="Times New Roman" w:eastAsia="Times New Roman" w:hAnsi="Times New Roman" w:cs="Times New Roman"/>
                <w:iCs/>
                <w:sz w:val="24"/>
                <w:szCs w:val="24"/>
                <w:lang w:eastAsia="lv-LV"/>
              </w:rPr>
              <w:t>recizēt likum</w:t>
            </w:r>
            <w:r w:rsidR="001C2FBC">
              <w:rPr>
                <w:rFonts w:ascii="Times New Roman" w:eastAsia="Times New Roman" w:hAnsi="Times New Roman" w:cs="Times New Roman"/>
                <w:iCs/>
                <w:sz w:val="24"/>
                <w:szCs w:val="24"/>
                <w:lang w:eastAsia="lv-LV"/>
              </w:rPr>
              <w:t>a</w:t>
            </w:r>
            <w:r w:rsidRPr="0008617E">
              <w:rPr>
                <w:rFonts w:ascii="Times New Roman" w:eastAsia="Times New Roman" w:hAnsi="Times New Roman" w:cs="Times New Roman"/>
                <w:iCs/>
                <w:sz w:val="24"/>
                <w:szCs w:val="24"/>
                <w:lang w:eastAsia="lv-LV"/>
              </w:rPr>
              <w:t xml:space="preserve"> “Par nodokļiem un nodevām” XII nodaļā iekļautās normas saistībā ar starptautisko automātisko informācijas apmaiņu nodokļu jomā, ņemot vērā Globālā Foruma</w:t>
            </w:r>
            <w:r w:rsidR="006525CB" w:rsidRPr="0034428F">
              <w:rPr>
                <w:rStyle w:val="FootnoteReference"/>
                <w:rFonts w:ascii="Times New Roman" w:eastAsia="Times New Roman" w:hAnsi="Times New Roman" w:cs="Times New Roman"/>
                <w:sz w:val="24"/>
                <w:szCs w:val="24"/>
              </w:rPr>
              <w:footnoteReference w:id="2"/>
            </w:r>
            <w:r w:rsidRPr="0008617E">
              <w:rPr>
                <w:rFonts w:ascii="Times New Roman" w:eastAsia="Times New Roman" w:hAnsi="Times New Roman" w:cs="Times New Roman"/>
                <w:iCs/>
                <w:sz w:val="24"/>
                <w:szCs w:val="24"/>
                <w:lang w:eastAsia="lv-LV"/>
              </w:rPr>
              <w:t xml:space="preserve"> sniegtās rekomend</w:t>
            </w:r>
            <w:r>
              <w:rPr>
                <w:rFonts w:ascii="Times New Roman" w:eastAsia="Times New Roman" w:hAnsi="Times New Roman" w:cs="Times New Roman"/>
                <w:iCs/>
                <w:sz w:val="24"/>
                <w:szCs w:val="24"/>
                <w:lang w:eastAsia="lv-LV"/>
              </w:rPr>
              <w:t xml:space="preserve">ācijas un starptautisko praksi. </w:t>
            </w:r>
            <w:r w:rsidRPr="0008617E">
              <w:rPr>
                <w:rFonts w:ascii="Times New Roman" w:eastAsia="Times New Roman" w:hAnsi="Times New Roman" w:cs="Times New Roman"/>
                <w:iCs/>
                <w:sz w:val="24"/>
                <w:szCs w:val="24"/>
                <w:lang w:eastAsia="lv-LV"/>
              </w:rPr>
              <w:t xml:space="preserve">Ar likumprojekta grozījumiem paredzēta arī daļēja Padomes </w:t>
            </w:r>
            <w:r w:rsidR="00E95427">
              <w:rPr>
                <w:rFonts w:ascii="Times New Roman" w:eastAsia="Times New Roman" w:hAnsi="Times New Roman" w:cs="Times New Roman"/>
                <w:iCs/>
                <w:sz w:val="24"/>
                <w:szCs w:val="24"/>
                <w:lang w:eastAsia="lv-LV"/>
              </w:rPr>
              <w:t xml:space="preserve">2018.gada 25.maija </w:t>
            </w:r>
            <w:r w:rsidRPr="0008617E">
              <w:rPr>
                <w:rFonts w:ascii="Times New Roman" w:eastAsia="Times New Roman" w:hAnsi="Times New Roman" w:cs="Times New Roman"/>
                <w:iCs/>
                <w:sz w:val="24"/>
                <w:szCs w:val="24"/>
                <w:lang w:eastAsia="lv-LV"/>
              </w:rPr>
              <w:t>direktīvas (ES) 2018/822, ar ko attiecībā uz obligāto automātisko informācijas apmaiņu nodokļu jomā saistībā ar ziņojamām pārrobežu shēmām groza Direktīvu 2011/16/ES</w:t>
            </w:r>
            <w:r w:rsidR="005D6B9B">
              <w:rPr>
                <w:rFonts w:ascii="Times New Roman" w:eastAsia="Times New Roman" w:hAnsi="Times New Roman" w:cs="Times New Roman"/>
                <w:iCs/>
                <w:sz w:val="24"/>
                <w:szCs w:val="24"/>
                <w:lang w:eastAsia="lv-LV"/>
              </w:rPr>
              <w:t xml:space="preserve"> (turpmāk – DAC 6)</w:t>
            </w:r>
            <w:r w:rsidRPr="0008617E">
              <w:rPr>
                <w:rFonts w:ascii="Times New Roman" w:eastAsia="Times New Roman" w:hAnsi="Times New Roman" w:cs="Times New Roman"/>
                <w:iCs/>
                <w:sz w:val="24"/>
                <w:szCs w:val="24"/>
                <w:lang w:eastAsia="lv-LV"/>
              </w:rPr>
              <w:t>, pārņemšana.</w:t>
            </w:r>
          </w:p>
          <w:p w14:paraId="0195C4EC" w14:textId="024DED6D" w:rsidR="0008617E" w:rsidRPr="00AA0FB7" w:rsidRDefault="024DED6D" w:rsidP="0008617E">
            <w:pPr>
              <w:spacing w:after="0" w:line="240" w:lineRule="auto"/>
              <w:jc w:val="both"/>
              <w:rPr>
                <w:rFonts w:ascii="Times New Roman" w:eastAsia="Times New Roman" w:hAnsi="Times New Roman" w:cs="Times New Roman"/>
                <w:iCs/>
                <w:sz w:val="24"/>
                <w:szCs w:val="24"/>
                <w:lang w:eastAsia="lv-LV"/>
              </w:rPr>
            </w:pPr>
            <w:r w:rsidRPr="024DED6D">
              <w:rPr>
                <w:rFonts w:ascii="Times New Roman" w:eastAsia="Times New Roman" w:hAnsi="Times New Roman" w:cs="Times New Roman"/>
                <w:sz w:val="24"/>
                <w:szCs w:val="24"/>
              </w:rPr>
              <w:t>Likums</w:t>
            </w:r>
            <w:r w:rsidR="0008617E" w:rsidRPr="024DED6D">
              <w:rPr>
                <w:rFonts w:ascii="Times New Roman" w:eastAsia="Times New Roman" w:hAnsi="Times New Roman" w:cs="Times New Roman"/>
                <w:sz w:val="24"/>
                <w:szCs w:val="24"/>
              </w:rPr>
              <w:t xml:space="preserve"> stāsies spēkā </w:t>
            </w:r>
            <w:r w:rsidRPr="024DED6D">
              <w:rPr>
                <w:rFonts w:ascii="Times New Roman" w:eastAsia="Times New Roman" w:hAnsi="Times New Roman" w:cs="Times New Roman"/>
                <w:sz w:val="24"/>
                <w:szCs w:val="24"/>
              </w:rPr>
              <w:t>vispārējā kārtībā</w:t>
            </w:r>
            <w:r w:rsidR="0008617E" w:rsidRPr="024DED6D">
              <w:rPr>
                <w:rFonts w:ascii="Times New Roman" w:eastAsia="Times New Roman" w:hAnsi="Times New Roman" w:cs="Times New Roman"/>
                <w:sz w:val="24"/>
                <w:szCs w:val="24"/>
              </w:rPr>
              <w:t>.</w:t>
            </w:r>
          </w:p>
        </w:tc>
      </w:tr>
    </w:tbl>
    <w:p w14:paraId="28CC6C45" w14:textId="77777777" w:rsidR="00E5323B" w:rsidRPr="00342B2F"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42B2F" w14:paraId="677B05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24EEF" w14:textId="77777777" w:rsidR="00655F2C" w:rsidRPr="006303D5" w:rsidRDefault="00E5323B" w:rsidP="002E7047">
            <w:pPr>
              <w:spacing w:after="0" w:line="240" w:lineRule="auto"/>
              <w:jc w:val="center"/>
              <w:rPr>
                <w:rFonts w:ascii="Times New Roman" w:eastAsia="Times New Roman" w:hAnsi="Times New Roman" w:cs="Times New Roman"/>
                <w:b/>
                <w:bCs/>
                <w:iCs/>
                <w:sz w:val="24"/>
                <w:szCs w:val="24"/>
                <w:lang w:eastAsia="lv-LV"/>
              </w:rPr>
            </w:pPr>
            <w:r w:rsidRPr="006303D5">
              <w:rPr>
                <w:rFonts w:ascii="Times New Roman" w:eastAsia="Times New Roman" w:hAnsi="Times New Roman" w:cs="Times New Roman"/>
                <w:b/>
                <w:bCs/>
                <w:iCs/>
                <w:sz w:val="24"/>
                <w:szCs w:val="24"/>
                <w:lang w:eastAsia="lv-LV"/>
              </w:rPr>
              <w:t>I. Tiesību akta projekta izstrādes nepieciešamība</w:t>
            </w:r>
          </w:p>
        </w:tc>
      </w:tr>
      <w:tr w:rsidR="00E5323B" w:rsidRPr="00342B2F" w14:paraId="0F07ED1F" w14:textId="77777777" w:rsidTr="002120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95E2C3" w14:textId="77777777" w:rsidR="00655F2C" w:rsidRPr="00CD6C4E" w:rsidRDefault="00E5323B" w:rsidP="00E5323B">
            <w:pPr>
              <w:spacing w:after="0" w:line="240" w:lineRule="auto"/>
              <w:rPr>
                <w:rFonts w:ascii="Times New Roman" w:eastAsia="Times New Roman" w:hAnsi="Times New Roman" w:cs="Times New Roman"/>
                <w:iCs/>
                <w:sz w:val="24"/>
                <w:szCs w:val="24"/>
                <w:lang w:eastAsia="lv-LV"/>
              </w:rPr>
            </w:pPr>
            <w:r w:rsidRPr="00CD6C4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94B07" w14:textId="77777777" w:rsidR="00E5323B" w:rsidRPr="00CD6C4E" w:rsidRDefault="00E5323B" w:rsidP="00E5323B">
            <w:pPr>
              <w:spacing w:after="0" w:line="240" w:lineRule="auto"/>
              <w:rPr>
                <w:rFonts w:ascii="Times New Roman" w:eastAsia="Times New Roman" w:hAnsi="Times New Roman" w:cs="Times New Roman"/>
                <w:iCs/>
                <w:sz w:val="24"/>
                <w:szCs w:val="24"/>
                <w:lang w:eastAsia="lv-LV"/>
              </w:rPr>
            </w:pPr>
            <w:r w:rsidRPr="00CD6C4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55300C81" w14:textId="254DDEC9" w:rsidR="0034428F" w:rsidRDefault="00212071" w:rsidP="0034428F">
            <w:pPr>
              <w:pStyle w:val="ListParagraph"/>
              <w:numPr>
                <w:ilvl w:val="0"/>
                <w:numId w:val="2"/>
              </w:numPr>
              <w:spacing w:after="0" w:line="240" w:lineRule="auto"/>
              <w:ind w:left="389"/>
              <w:jc w:val="both"/>
              <w:rPr>
                <w:rFonts w:ascii="Times New Roman" w:eastAsia="Times New Roman" w:hAnsi="Times New Roman" w:cs="Times New Roman"/>
                <w:sz w:val="24"/>
                <w:szCs w:val="24"/>
              </w:rPr>
            </w:pPr>
            <w:r w:rsidRPr="00CD6C4E">
              <w:rPr>
                <w:rFonts w:ascii="Times New Roman" w:eastAsia="Times New Roman" w:hAnsi="Times New Roman" w:cs="Times New Roman"/>
                <w:sz w:val="24"/>
                <w:szCs w:val="24"/>
              </w:rPr>
              <w:t>Finanšu ministrijas iniciatīva</w:t>
            </w:r>
            <w:r w:rsidRPr="0034428F">
              <w:rPr>
                <w:rFonts w:ascii="Times New Roman" w:eastAsia="Times New Roman" w:hAnsi="Times New Roman" w:cs="Times New Roman"/>
                <w:sz w:val="24"/>
                <w:szCs w:val="24"/>
              </w:rPr>
              <w:t>, ņemot vērā Globālā Foruma sniegtās rekomendācijas</w:t>
            </w:r>
            <w:r w:rsidR="006525CB">
              <w:rPr>
                <w:rFonts w:ascii="Times New Roman" w:eastAsia="Times New Roman" w:hAnsi="Times New Roman" w:cs="Times New Roman"/>
                <w:sz w:val="24"/>
                <w:szCs w:val="24"/>
              </w:rPr>
              <w:t>;</w:t>
            </w:r>
          </w:p>
          <w:p w14:paraId="2F5C9D36" w14:textId="76542E05" w:rsidR="00CD6C4E" w:rsidRPr="0034428F" w:rsidRDefault="00664037" w:rsidP="00664037">
            <w:pPr>
              <w:pStyle w:val="ListParagraph"/>
              <w:numPr>
                <w:ilvl w:val="0"/>
                <w:numId w:val="2"/>
              </w:numPr>
              <w:spacing w:after="0" w:line="240" w:lineRule="auto"/>
              <w:ind w:left="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DAC 6</w:t>
            </w:r>
            <w:r w:rsidR="00CD6C4E" w:rsidRPr="0034428F">
              <w:rPr>
                <w:rFonts w:ascii="Times New Roman" w:eastAsia="Times New Roman" w:hAnsi="Times New Roman" w:cs="Times New Roman"/>
                <w:sz w:val="24"/>
                <w:szCs w:val="24"/>
              </w:rPr>
              <w:t>.</w:t>
            </w:r>
          </w:p>
        </w:tc>
      </w:tr>
      <w:tr w:rsidR="00E5323B" w:rsidRPr="00342B2F" w14:paraId="20DD1897" w14:textId="77777777" w:rsidTr="00342B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08332" w14:textId="77777777" w:rsidR="00655F2C" w:rsidRPr="00CD6C4E" w:rsidRDefault="00E5323B" w:rsidP="00E5323B">
            <w:pPr>
              <w:spacing w:after="0" w:line="240" w:lineRule="auto"/>
              <w:rPr>
                <w:rFonts w:ascii="Times New Roman" w:eastAsia="Times New Roman" w:hAnsi="Times New Roman" w:cs="Times New Roman"/>
                <w:iCs/>
                <w:sz w:val="24"/>
                <w:szCs w:val="24"/>
                <w:lang w:eastAsia="lv-LV"/>
              </w:rPr>
            </w:pPr>
            <w:r w:rsidRPr="00CD6C4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55F334" w14:textId="77777777" w:rsidR="00E5323B" w:rsidRPr="00CD6C4E" w:rsidRDefault="00E5323B" w:rsidP="00E5323B">
            <w:pPr>
              <w:spacing w:after="0" w:line="240" w:lineRule="auto"/>
              <w:rPr>
                <w:rFonts w:ascii="Times New Roman" w:eastAsia="Times New Roman" w:hAnsi="Times New Roman" w:cs="Times New Roman"/>
                <w:iCs/>
                <w:sz w:val="24"/>
                <w:szCs w:val="24"/>
                <w:lang w:eastAsia="lv-LV"/>
              </w:rPr>
            </w:pPr>
            <w:r w:rsidRPr="00CD6C4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C5FC3CA" w14:textId="097D565A" w:rsidR="00342B2F" w:rsidRPr="00491502" w:rsidRDefault="00342B2F" w:rsidP="00342B2F">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Kā norāda Eiropas Parlaments 2016. gada 6. jūlija rezolūcijā par nodokļu nolēmumiem un citiem rakstura vai ietekmes ziņā līdzīgiem pasākumiem (2016/2038(INI))</w:t>
            </w:r>
            <w:r w:rsidR="00583D30" w:rsidRPr="00491502">
              <w:rPr>
                <w:rFonts w:ascii="Times New Roman" w:eastAsia="Times New Roman" w:hAnsi="Times New Roman" w:cs="Times New Roman"/>
                <w:iCs/>
                <w:sz w:val="24"/>
                <w:szCs w:val="24"/>
                <w:vertAlign w:val="superscript"/>
                <w:lang w:eastAsia="lv-LV"/>
              </w:rPr>
              <w:footnoteReference w:id="3"/>
            </w:r>
            <w:r w:rsidRPr="00491502">
              <w:rPr>
                <w:rFonts w:ascii="Times New Roman" w:eastAsia="Times New Roman" w:hAnsi="Times New Roman" w:cs="Times New Roman"/>
                <w:sz w:val="24"/>
                <w:szCs w:val="24"/>
              </w:rPr>
              <w:t xml:space="preserve">, ārzonās uzkrātā bagātība tiek lēsta aptuveni 10 triljonu USD apmērā. Uzņēmumi un turīgas fiziskās personas, lai izvairītos no nodokļu nomaksas, ir izmantojušas to, ka viņu rezidences valstij ir sarežģīti uzzināt par to finanšu aktīviem citās valstīs un uzzināt, kāda ir uzņēmumu grupas pilnā struktūra pasaules mērogā, jo nereti starptautiski uzņēmumi pārvieto vienā valstī iegūto peļņu, par kuru nav samaksāts nodoklis, uz citu valsti, kur ir izveidotas, piemēram, “čaulu” kompānijas. </w:t>
            </w:r>
          </w:p>
          <w:p w14:paraId="00E71B8B" w14:textId="77777777" w:rsidR="00342B2F" w:rsidRPr="00491502" w:rsidRDefault="00342B2F" w:rsidP="00342B2F">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Ņemot vērā minēto, informācijas apmaiņas starp nodokļu administrācijām sistēmas ieviešana ir nozīmīgs solis pasaules mērogā cīņā ar krāpšanos un izvairīšanos no nodokļu nomaksas.</w:t>
            </w:r>
          </w:p>
          <w:p w14:paraId="3D184870" w14:textId="77777777" w:rsidR="00342B2F" w:rsidRPr="00491502" w:rsidRDefault="00342B2F" w:rsidP="00342B2F">
            <w:pPr>
              <w:spacing w:after="0" w:line="240" w:lineRule="auto"/>
              <w:ind w:firstLine="282"/>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Viens no nodokļu administrāciju sadarbības veidiem ir automātiskā informācijas apmaiņa, kas ietver tādas sistēmas kā Globālais standarts par automātisko informācijas apmaiņu par finanšu kontiem nodokļu jomā (turpmāk – Globālais standarts), FATCA </w:t>
            </w:r>
            <w:r w:rsidRPr="00491502">
              <w:rPr>
                <w:rFonts w:ascii="Times New Roman" w:eastAsia="Times New Roman" w:hAnsi="Times New Roman" w:cs="Times New Roman"/>
                <w:sz w:val="24"/>
                <w:szCs w:val="24"/>
              </w:rPr>
              <w:lastRenderedPageBreak/>
              <w:t xml:space="preserve">automātiskās informācijas apmaiņa un Starptautiskas uzņēmumu grupas pārskata par katru valsti (jeb </w:t>
            </w:r>
            <w:proofErr w:type="spellStart"/>
            <w:r w:rsidRPr="00491502">
              <w:rPr>
                <w:rFonts w:ascii="Times New Roman" w:eastAsia="Times New Roman" w:hAnsi="Times New Roman" w:cs="Times New Roman"/>
                <w:i/>
                <w:sz w:val="24"/>
                <w:szCs w:val="24"/>
              </w:rPr>
              <w:t>Country</w:t>
            </w:r>
            <w:proofErr w:type="spellEnd"/>
            <w:r w:rsidRPr="00491502">
              <w:rPr>
                <w:rFonts w:ascii="Times New Roman" w:eastAsia="Times New Roman" w:hAnsi="Times New Roman" w:cs="Times New Roman"/>
                <w:i/>
                <w:sz w:val="24"/>
                <w:szCs w:val="24"/>
              </w:rPr>
              <w:t xml:space="preserve"> </w:t>
            </w:r>
            <w:proofErr w:type="spellStart"/>
            <w:r w:rsidRPr="00491502">
              <w:rPr>
                <w:rFonts w:ascii="Times New Roman" w:eastAsia="Times New Roman" w:hAnsi="Times New Roman" w:cs="Times New Roman"/>
                <w:i/>
                <w:sz w:val="24"/>
                <w:szCs w:val="24"/>
              </w:rPr>
              <w:t>by</w:t>
            </w:r>
            <w:proofErr w:type="spellEnd"/>
            <w:r w:rsidRPr="00491502">
              <w:rPr>
                <w:rFonts w:ascii="Times New Roman" w:eastAsia="Times New Roman" w:hAnsi="Times New Roman" w:cs="Times New Roman"/>
                <w:sz w:val="24"/>
                <w:szCs w:val="24"/>
              </w:rPr>
              <w:t xml:space="preserve"> </w:t>
            </w:r>
            <w:proofErr w:type="spellStart"/>
            <w:r w:rsidRPr="00491502">
              <w:rPr>
                <w:rFonts w:ascii="Times New Roman" w:eastAsia="Times New Roman" w:hAnsi="Times New Roman" w:cs="Times New Roman"/>
                <w:i/>
                <w:sz w:val="24"/>
                <w:szCs w:val="24"/>
              </w:rPr>
              <w:t>Country</w:t>
            </w:r>
            <w:proofErr w:type="spellEnd"/>
            <w:r w:rsidRPr="00491502">
              <w:rPr>
                <w:rFonts w:ascii="Times New Roman" w:eastAsia="Times New Roman" w:hAnsi="Times New Roman" w:cs="Times New Roman"/>
                <w:i/>
                <w:sz w:val="24"/>
                <w:szCs w:val="24"/>
              </w:rPr>
              <w:t xml:space="preserve"> </w:t>
            </w:r>
            <w:proofErr w:type="spellStart"/>
            <w:r w:rsidRPr="00491502">
              <w:rPr>
                <w:rFonts w:ascii="Times New Roman" w:eastAsia="Times New Roman" w:hAnsi="Times New Roman" w:cs="Times New Roman"/>
                <w:i/>
                <w:sz w:val="24"/>
                <w:szCs w:val="24"/>
              </w:rPr>
              <w:t>report</w:t>
            </w:r>
            <w:proofErr w:type="spellEnd"/>
            <w:r w:rsidRPr="00491502">
              <w:rPr>
                <w:rFonts w:ascii="Times New Roman" w:eastAsia="Times New Roman" w:hAnsi="Times New Roman" w:cs="Times New Roman"/>
                <w:i/>
                <w:sz w:val="24"/>
                <w:szCs w:val="24"/>
              </w:rPr>
              <w:t xml:space="preserve"> </w:t>
            </w:r>
            <w:r w:rsidRPr="00491502">
              <w:rPr>
                <w:rFonts w:ascii="Times New Roman" w:eastAsia="Times New Roman" w:hAnsi="Times New Roman" w:cs="Times New Roman"/>
                <w:sz w:val="24"/>
                <w:szCs w:val="24"/>
              </w:rPr>
              <w:t xml:space="preserve">(turpmāk -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ziņošana.</w:t>
            </w:r>
          </w:p>
          <w:p w14:paraId="679FB938" w14:textId="77777777" w:rsidR="00342B2F" w:rsidRPr="00491502" w:rsidRDefault="00342B2F" w:rsidP="00342B2F">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Katra valsts ir atbildīga, lai šīs sistēmas strādātu tās teritorijā. Jo tikai tad, ja pārskatu iesniegšanas un informācijas nodošanas sistēma ir efektīva un ievērota, tiks sasniegts informācijas apmaiņas mērķis – nodokļu administrācijām apmainīties ar informāciju, kas citai valstij var noderēt nodokļu administrēšanā (nepatiesas informācijas apmaiņu var pielīdzināt šo sistēmu neesamībai). Valstis uz saņemto informāciju varēs paļauties tikai tad, ja valstī, kura ir nosūtījusi informāciju, ir veikts viss nepieciešamais, lai tiktu ievākta pareiza un visa nepieciešamā informācija.</w:t>
            </w:r>
          </w:p>
          <w:p w14:paraId="7591780D" w14:textId="77777777" w:rsidR="004C16EB" w:rsidRDefault="004C16EB" w:rsidP="00A10604">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Likumprojekts “Grozījumi </w:t>
            </w:r>
            <w:r w:rsidR="00CD6C4E" w:rsidRPr="00491502">
              <w:rPr>
                <w:rFonts w:ascii="Times New Roman" w:eastAsia="Times New Roman" w:hAnsi="Times New Roman" w:cs="Times New Roman"/>
                <w:sz w:val="24"/>
                <w:szCs w:val="24"/>
              </w:rPr>
              <w:t>likumā “Par nodokļiem un nodevām”</w:t>
            </w:r>
            <w:r w:rsidRPr="00491502">
              <w:rPr>
                <w:rFonts w:ascii="Times New Roman" w:eastAsia="Times New Roman" w:hAnsi="Times New Roman" w:cs="Times New Roman"/>
                <w:sz w:val="24"/>
                <w:szCs w:val="24"/>
              </w:rPr>
              <w:t xml:space="preserve">” (turpmāk – likumprojekts) izstrādāts, </w:t>
            </w:r>
            <w:r w:rsidR="00A10604" w:rsidRPr="00491502">
              <w:rPr>
                <w:rFonts w:ascii="Times New Roman" w:eastAsia="Times New Roman" w:hAnsi="Times New Roman" w:cs="Times New Roman"/>
                <w:sz w:val="24"/>
                <w:szCs w:val="24"/>
              </w:rPr>
              <w:t>lai veicinātu automātisko informācijas apmai</w:t>
            </w:r>
            <w:r w:rsidR="003229DC" w:rsidRPr="00491502">
              <w:rPr>
                <w:rFonts w:ascii="Times New Roman" w:eastAsia="Times New Roman" w:hAnsi="Times New Roman" w:cs="Times New Roman"/>
                <w:sz w:val="24"/>
                <w:szCs w:val="24"/>
              </w:rPr>
              <w:t>ņ</w:t>
            </w:r>
            <w:r w:rsidR="00A10604" w:rsidRPr="00491502">
              <w:rPr>
                <w:rFonts w:ascii="Times New Roman" w:eastAsia="Times New Roman" w:hAnsi="Times New Roman" w:cs="Times New Roman"/>
                <w:sz w:val="24"/>
                <w:szCs w:val="24"/>
              </w:rPr>
              <w:t xml:space="preserve">u atbilstoši starptautiskajai praksei un ievērotu prasības, kas attiecas uz visām automātiskās informācijas apmaiņas sistēmā ietvertajām valstīm. </w:t>
            </w:r>
            <w:r w:rsidR="003229DC" w:rsidRPr="00491502">
              <w:rPr>
                <w:rFonts w:ascii="Times New Roman" w:eastAsia="Times New Roman" w:hAnsi="Times New Roman" w:cs="Times New Roman"/>
                <w:sz w:val="24"/>
                <w:szCs w:val="24"/>
              </w:rPr>
              <w:t>Turklāt i</w:t>
            </w:r>
            <w:r w:rsidR="00A10604" w:rsidRPr="00491502">
              <w:rPr>
                <w:rFonts w:ascii="Times New Roman" w:eastAsia="Times New Roman" w:hAnsi="Times New Roman" w:cs="Times New Roman"/>
                <w:sz w:val="24"/>
                <w:szCs w:val="24"/>
              </w:rPr>
              <w:t>r arī svarīgi, ka</w:t>
            </w:r>
            <w:r w:rsidR="00D703CC" w:rsidRPr="00491502">
              <w:rPr>
                <w:rFonts w:ascii="Times New Roman" w:eastAsia="Times New Roman" w:hAnsi="Times New Roman" w:cs="Times New Roman"/>
                <w:sz w:val="24"/>
                <w:szCs w:val="24"/>
              </w:rPr>
              <w:t xml:space="preserve"> </w:t>
            </w:r>
            <w:r w:rsidRPr="00491502">
              <w:rPr>
                <w:rFonts w:ascii="Times New Roman" w:eastAsia="Times New Roman" w:hAnsi="Times New Roman" w:cs="Times New Roman"/>
                <w:sz w:val="24"/>
                <w:szCs w:val="24"/>
              </w:rPr>
              <w:t xml:space="preserve">Valsts ieņēmumu dienestam (turpmāk – VID) kā kontrolējošai iestādei </w:t>
            </w:r>
            <w:r w:rsidR="00A10604" w:rsidRPr="00491502">
              <w:rPr>
                <w:rFonts w:ascii="Times New Roman" w:eastAsia="Times New Roman" w:hAnsi="Times New Roman" w:cs="Times New Roman"/>
                <w:sz w:val="24"/>
                <w:szCs w:val="24"/>
              </w:rPr>
              <w:t xml:space="preserve">ir iespēja </w:t>
            </w:r>
            <w:r w:rsidRPr="00491502">
              <w:rPr>
                <w:rFonts w:ascii="Times New Roman" w:eastAsia="Times New Roman" w:hAnsi="Times New Roman" w:cs="Times New Roman"/>
                <w:sz w:val="24"/>
                <w:szCs w:val="24"/>
              </w:rPr>
              <w:t>vērsties pret nodokļu maksātājiem, kuri neievēro normatīvajos aktos</w:t>
            </w:r>
            <w:r w:rsidR="00D703CC" w:rsidRPr="00491502">
              <w:rPr>
                <w:rFonts w:ascii="Times New Roman" w:eastAsia="Times New Roman" w:hAnsi="Times New Roman" w:cs="Times New Roman"/>
                <w:sz w:val="24"/>
                <w:szCs w:val="24"/>
              </w:rPr>
              <w:t xml:space="preserve"> </w:t>
            </w:r>
            <w:r w:rsidRPr="00491502">
              <w:rPr>
                <w:rFonts w:ascii="Times New Roman" w:eastAsia="Times New Roman" w:hAnsi="Times New Roman" w:cs="Times New Roman"/>
                <w:sz w:val="24"/>
                <w:szCs w:val="24"/>
              </w:rPr>
              <w:t>noteiktās prasības.</w:t>
            </w:r>
          </w:p>
          <w:p w14:paraId="68B77B56" w14:textId="77777777" w:rsidR="004308C0" w:rsidRPr="00491502" w:rsidRDefault="004308C0" w:rsidP="00A10604">
            <w:pPr>
              <w:spacing w:after="0" w:line="240" w:lineRule="auto"/>
              <w:ind w:firstLine="260"/>
              <w:jc w:val="both"/>
              <w:rPr>
                <w:rFonts w:ascii="Times New Roman" w:eastAsia="Times New Roman" w:hAnsi="Times New Roman" w:cs="Times New Roman"/>
                <w:sz w:val="24"/>
                <w:szCs w:val="24"/>
              </w:rPr>
            </w:pPr>
          </w:p>
          <w:p w14:paraId="620392BE" w14:textId="77777777" w:rsidR="004C16EB" w:rsidRPr="00491502" w:rsidRDefault="004C16EB" w:rsidP="004C16EB">
            <w:p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Par Globālo standartu</w:t>
            </w:r>
          </w:p>
          <w:p w14:paraId="3E217092" w14:textId="77777777" w:rsidR="004C16EB" w:rsidRPr="00491502" w:rsidRDefault="004C16EB" w:rsidP="004C16EB">
            <w:pPr>
              <w:spacing w:after="0" w:line="240" w:lineRule="auto"/>
              <w:ind w:firstLine="285"/>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Ekonomiskās sadarbības un attīstības organizācija (turpmāk – OECD) 2014. gadā izstrādāja Globālo standartu. Globālais standarts paredz sistēmu, kuras ietvaros finanšu iestādes apkopo informāciju par nerezidentu finanšu kontiem un reizi gadā </w:t>
            </w:r>
            <w:proofErr w:type="spellStart"/>
            <w:r w:rsidRPr="00491502">
              <w:rPr>
                <w:rFonts w:ascii="Times New Roman" w:eastAsia="Times New Roman" w:hAnsi="Times New Roman" w:cs="Times New Roman"/>
                <w:sz w:val="24"/>
                <w:szCs w:val="24"/>
              </w:rPr>
              <w:t>nosūta</w:t>
            </w:r>
            <w:proofErr w:type="spellEnd"/>
            <w:r w:rsidRPr="00491502">
              <w:rPr>
                <w:rFonts w:ascii="Times New Roman" w:eastAsia="Times New Roman" w:hAnsi="Times New Roman" w:cs="Times New Roman"/>
                <w:sz w:val="24"/>
                <w:szCs w:val="24"/>
              </w:rPr>
              <w:t xml:space="preserve"> apkopoto informāciju tās valsts nodokļu administrācijai, kurā finanšu iestāde atrodas. </w:t>
            </w:r>
          </w:p>
          <w:p w14:paraId="23E859F2" w14:textId="77777777" w:rsidR="004C16EB" w:rsidRPr="00491502" w:rsidRDefault="004C16EB" w:rsidP="004C16EB">
            <w:pPr>
              <w:spacing w:after="0" w:line="240" w:lineRule="auto"/>
              <w:ind w:firstLine="285"/>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Lai pārņemtu Globālo standartu Eiropas Savienībā (turpmāk – ES), ES Padome 2014. gada 9. decembrī pieņēma Direktīvu 2014/107/ES, ar ko groza Direktīvu 2011/16/ES attiecībā uz obligāto automātisko informācijas apmaiņu nodokļu jomā</w:t>
            </w:r>
            <w:r w:rsidR="006B3E93" w:rsidRPr="00491502">
              <w:rPr>
                <w:rFonts w:ascii="Times New Roman" w:eastAsia="Times New Roman" w:hAnsi="Times New Roman" w:cs="Times New Roman"/>
                <w:sz w:val="24"/>
                <w:szCs w:val="24"/>
              </w:rPr>
              <w:t xml:space="preserve"> (turpmāk – DAC 2)</w:t>
            </w:r>
            <w:r w:rsidRPr="00491502">
              <w:rPr>
                <w:rFonts w:ascii="Times New Roman" w:eastAsia="Times New Roman" w:hAnsi="Times New Roman" w:cs="Times New Roman"/>
                <w:sz w:val="24"/>
                <w:szCs w:val="24"/>
              </w:rPr>
              <w:t>. Savukārt Konvencija par savstarpējo administratīvo palīdzību nodokļu jomā (turpmāk – Konvencija) tiek izmantota kā viens no galvenajiem instrumentiem administratīvai sadarbībai ar trešajām valstīm. OECD ir izstrādājis Daudzpusējo kompetento iestāžu līgumu par automātisko informācijas apmaiņu par finanšu kontiem, kas, pamatojoties uz Konvencijas 6. pantu, ir tiesiskais pamats informācijas apmaiņai.</w:t>
            </w:r>
          </w:p>
          <w:p w14:paraId="23CF68A4"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Latvijā Globālais standarts tika ieviests, papildinot likumu “Par nodokļiem un nodevām” (turpmāk – likums) ar XII nodaļu, pieņemot Ministru kabineta 2016. gada 5. janvāra noteikumus Nr. 20 “Kārtība, kādā finanšu iestāde izpilda finanšu kontu pienācīgas </w:t>
            </w:r>
            <w:r w:rsidRPr="00491502">
              <w:rPr>
                <w:rFonts w:ascii="Times New Roman" w:eastAsia="Times New Roman" w:hAnsi="Times New Roman" w:cs="Times New Roman"/>
                <w:sz w:val="24"/>
                <w:szCs w:val="24"/>
              </w:rPr>
              <w:lastRenderedPageBreak/>
              <w:t>pārbaudes procedūras un sniedz Valsts ieņēmumu dienestam informāciju par finanšu kontiem” (turpmāk – MK noteikumi Nr.20), veicot grozījumus Kredītiestāžu likumā, kā arī stājoties spēkā ES līgumiem ar Šveici</w:t>
            </w:r>
            <w:r w:rsidRPr="00491502">
              <w:rPr>
                <w:rStyle w:val="FootnoteReference"/>
                <w:rFonts w:ascii="Times New Roman" w:eastAsia="Times New Roman" w:hAnsi="Times New Roman" w:cs="Times New Roman"/>
                <w:sz w:val="24"/>
                <w:szCs w:val="24"/>
              </w:rPr>
              <w:footnoteReference w:id="4"/>
            </w:r>
            <w:r w:rsidRPr="00491502">
              <w:rPr>
                <w:rFonts w:ascii="Times New Roman" w:eastAsia="Times New Roman" w:hAnsi="Times New Roman" w:cs="Times New Roman"/>
                <w:sz w:val="24"/>
                <w:szCs w:val="24"/>
              </w:rPr>
              <w:t>, Monako</w:t>
            </w:r>
            <w:r w:rsidRPr="00491502">
              <w:rPr>
                <w:rStyle w:val="FootnoteReference"/>
                <w:rFonts w:ascii="Times New Roman" w:eastAsia="Times New Roman" w:hAnsi="Times New Roman" w:cs="Times New Roman"/>
                <w:sz w:val="24"/>
                <w:szCs w:val="24"/>
              </w:rPr>
              <w:footnoteReference w:id="5"/>
            </w:r>
            <w:r w:rsidRPr="00491502">
              <w:rPr>
                <w:rFonts w:ascii="Times New Roman" w:eastAsia="Times New Roman" w:hAnsi="Times New Roman" w:cs="Times New Roman"/>
                <w:sz w:val="24"/>
                <w:szCs w:val="24"/>
              </w:rPr>
              <w:t>, Sanmarīno</w:t>
            </w:r>
            <w:r w:rsidRPr="00491502">
              <w:rPr>
                <w:rStyle w:val="FootnoteReference"/>
                <w:rFonts w:ascii="Times New Roman" w:eastAsia="Times New Roman" w:hAnsi="Times New Roman" w:cs="Times New Roman"/>
                <w:sz w:val="24"/>
                <w:szCs w:val="24"/>
              </w:rPr>
              <w:footnoteReference w:id="6"/>
            </w:r>
            <w:r w:rsidRPr="00491502">
              <w:rPr>
                <w:rFonts w:ascii="Times New Roman" w:eastAsia="Times New Roman" w:hAnsi="Times New Roman" w:cs="Times New Roman"/>
                <w:sz w:val="24"/>
                <w:szCs w:val="24"/>
              </w:rPr>
              <w:t>, Lihtenšteinu</w:t>
            </w:r>
            <w:r w:rsidRPr="00491502">
              <w:rPr>
                <w:rStyle w:val="FootnoteReference"/>
                <w:rFonts w:ascii="Times New Roman" w:eastAsia="Times New Roman" w:hAnsi="Times New Roman" w:cs="Times New Roman"/>
                <w:sz w:val="24"/>
                <w:szCs w:val="24"/>
              </w:rPr>
              <w:footnoteReference w:id="7"/>
            </w:r>
            <w:r w:rsidRPr="00491502">
              <w:rPr>
                <w:rFonts w:ascii="Times New Roman" w:eastAsia="Times New Roman" w:hAnsi="Times New Roman" w:cs="Times New Roman"/>
                <w:sz w:val="24"/>
                <w:szCs w:val="24"/>
              </w:rPr>
              <w:t xml:space="preserve"> un Andoru</w:t>
            </w:r>
            <w:r w:rsidRPr="00491502">
              <w:rPr>
                <w:rStyle w:val="FootnoteReference"/>
                <w:rFonts w:ascii="Times New Roman" w:eastAsia="Times New Roman" w:hAnsi="Times New Roman" w:cs="Times New Roman"/>
                <w:sz w:val="24"/>
                <w:szCs w:val="24"/>
              </w:rPr>
              <w:footnoteReference w:id="8"/>
            </w:r>
            <w:r w:rsidRPr="00491502">
              <w:rPr>
                <w:rFonts w:ascii="Times New Roman" w:eastAsia="Times New Roman" w:hAnsi="Times New Roman" w:cs="Times New Roman"/>
                <w:sz w:val="24"/>
                <w:szCs w:val="24"/>
              </w:rPr>
              <w:t>.</w:t>
            </w:r>
          </w:p>
          <w:p w14:paraId="66EE193E"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Likuma XII nodaļā ir noteikts pienākums attiecīgajām finanšu iestādēm sniegt VID informāciju, ievērojot MK noteikumos Nr.</w:t>
            </w:r>
            <w:r w:rsidR="00FB3DCD">
              <w:rPr>
                <w:rFonts w:ascii="Times New Roman" w:eastAsia="Times New Roman" w:hAnsi="Times New Roman" w:cs="Times New Roman"/>
                <w:sz w:val="24"/>
                <w:szCs w:val="24"/>
              </w:rPr>
              <w:t xml:space="preserve"> </w:t>
            </w:r>
            <w:r w:rsidRPr="00491502">
              <w:rPr>
                <w:rFonts w:ascii="Times New Roman" w:eastAsia="Times New Roman" w:hAnsi="Times New Roman" w:cs="Times New Roman"/>
                <w:sz w:val="24"/>
                <w:szCs w:val="24"/>
              </w:rPr>
              <w:t>20 noteiktās pienācīgas pārbaudes procedūras, un noteikts, kāda informācija finanšu iestādei ir jāsniedz VID. MK noteikumos N</w:t>
            </w:r>
            <w:r w:rsidR="00FB3DCD">
              <w:rPr>
                <w:rFonts w:ascii="Times New Roman" w:eastAsia="Times New Roman" w:hAnsi="Times New Roman" w:cs="Times New Roman"/>
                <w:sz w:val="24"/>
                <w:szCs w:val="24"/>
              </w:rPr>
              <w:t>r</w:t>
            </w:r>
            <w:r w:rsidRPr="00491502">
              <w:rPr>
                <w:rFonts w:ascii="Times New Roman" w:eastAsia="Times New Roman" w:hAnsi="Times New Roman" w:cs="Times New Roman"/>
                <w:sz w:val="24"/>
                <w:szCs w:val="24"/>
              </w:rPr>
              <w:t>.</w:t>
            </w:r>
            <w:r w:rsidR="00FB3DCD">
              <w:rPr>
                <w:rFonts w:ascii="Times New Roman" w:eastAsia="Times New Roman" w:hAnsi="Times New Roman" w:cs="Times New Roman"/>
                <w:sz w:val="24"/>
                <w:szCs w:val="24"/>
              </w:rPr>
              <w:t xml:space="preserve"> </w:t>
            </w:r>
            <w:r w:rsidRPr="00491502">
              <w:rPr>
                <w:rFonts w:ascii="Times New Roman" w:eastAsia="Times New Roman" w:hAnsi="Times New Roman" w:cs="Times New Roman"/>
                <w:sz w:val="24"/>
                <w:szCs w:val="24"/>
              </w:rPr>
              <w:t>20 ir noteikta kārtība, kādā finanšu iestādes izpilda finanšu kontu pienācīgas pārbaudes procedūras, lai konstatētu ziņošanai pakļautus kontus, kārtība, kādā finanšu iestādes sniedz informāciju VID</w:t>
            </w:r>
            <w:r w:rsidR="00F66179">
              <w:rPr>
                <w:rFonts w:ascii="Times New Roman" w:eastAsia="Times New Roman" w:hAnsi="Times New Roman" w:cs="Times New Roman"/>
                <w:sz w:val="24"/>
                <w:szCs w:val="24"/>
              </w:rPr>
              <w:t>,</w:t>
            </w:r>
            <w:r w:rsidRPr="00491502">
              <w:rPr>
                <w:rFonts w:ascii="Times New Roman" w:eastAsia="Times New Roman" w:hAnsi="Times New Roman" w:cs="Times New Roman"/>
                <w:sz w:val="24"/>
                <w:szCs w:val="24"/>
              </w:rPr>
              <w:t xml:space="preserve"> un saraksts ar iesaistītajām valstīm un teritorijām, par kuru rezidentiem ir jāziņo VID.</w:t>
            </w:r>
          </w:p>
          <w:p w14:paraId="574B4C2B"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Finanšu iestādei, kas atbilst likuma 71. pantā noteiktajam, ir pienākums sagatavot un iesniegt VID informāciju par visiem nerezidentu finanšu kontiem, kas atbilst likuma 89. panta definīcijai. VID no finanšu iestādēm saņemto informāciju apkopo, sagatavo nosūtīšanai iesaistītajām valstīm un, balstoties uz kādu no augstāk minētajiem instrumentiem administratīvai sadarbībai (nodokļu jomā), veic informācijas apmaiņu noteiktā termiņā. </w:t>
            </w:r>
          </w:p>
          <w:p w14:paraId="7EB5F5FE"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Pateicoties Globālajam standartam</w:t>
            </w:r>
            <w:r w:rsidR="00F96AFF" w:rsidRPr="00491502">
              <w:rPr>
                <w:rFonts w:ascii="Times New Roman" w:eastAsia="Times New Roman" w:hAnsi="Times New Roman" w:cs="Times New Roman"/>
                <w:sz w:val="24"/>
                <w:szCs w:val="24"/>
              </w:rPr>
              <w:t xml:space="preserve"> un attiecīgi dalībvalstu normatīvajos aktos ieviestajam regulējumam</w:t>
            </w:r>
            <w:r w:rsidRPr="00491502">
              <w:rPr>
                <w:rFonts w:ascii="Times New Roman" w:eastAsia="Times New Roman" w:hAnsi="Times New Roman" w:cs="Times New Roman"/>
                <w:sz w:val="24"/>
                <w:szCs w:val="24"/>
              </w:rPr>
              <w:t>, nodokļu administrācijām kļūst pieejama informācija par tās nodokļu rezidentu finanšu aktīviem citās valstīs.</w:t>
            </w:r>
          </w:p>
          <w:p w14:paraId="25AB1274"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Globālais standarts var būt efektīvs tikai tad, ja to ir ieviesušas pietiekami daudz jurisdikciju, un tās ir nodrošinājušas, ka Globālā standarta prasības šo jurisdikciju teritorijā tiek ievērotas. Šobrīd informācijas apmaiņas procesā ir iesaistījušās ap 100 valstīm. 2015. gadā Globālais Forums vienojās, ka tiks veikta Globālā </w:t>
            </w:r>
            <w:r w:rsidRPr="00491502">
              <w:rPr>
                <w:rFonts w:ascii="Times New Roman" w:eastAsia="Times New Roman" w:hAnsi="Times New Roman" w:cs="Times New Roman"/>
                <w:sz w:val="24"/>
                <w:szCs w:val="24"/>
              </w:rPr>
              <w:lastRenderedPageBreak/>
              <w:t xml:space="preserve">standarta ieviešanas uzraudzīšana, novērtēšana un ieviešanas palīdzība pēc “Pakāpeniskās pieejas” </w:t>
            </w:r>
            <w:r w:rsidRPr="00491502">
              <w:rPr>
                <w:rFonts w:ascii="Times New Roman" w:eastAsia="Times New Roman" w:hAnsi="Times New Roman" w:cs="Times New Roman"/>
                <w:i/>
                <w:iCs/>
                <w:sz w:val="24"/>
                <w:szCs w:val="24"/>
              </w:rPr>
              <w:t>(“</w:t>
            </w:r>
            <w:proofErr w:type="spellStart"/>
            <w:r w:rsidRPr="00491502">
              <w:rPr>
                <w:rFonts w:ascii="Times New Roman" w:eastAsia="Times New Roman" w:hAnsi="Times New Roman" w:cs="Times New Roman"/>
                <w:i/>
                <w:iCs/>
                <w:sz w:val="24"/>
                <w:szCs w:val="24"/>
              </w:rPr>
              <w:t>Staged</w:t>
            </w:r>
            <w:proofErr w:type="spellEnd"/>
            <w:r w:rsidRPr="00491502">
              <w:rPr>
                <w:rFonts w:ascii="Times New Roman" w:eastAsia="Times New Roman" w:hAnsi="Times New Roman" w:cs="Times New Roman"/>
                <w:i/>
                <w:iCs/>
                <w:sz w:val="24"/>
                <w:szCs w:val="24"/>
              </w:rPr>
              <w:t xml:space="preserve"> </w:t>
            </w:r>
            <w:proofErr w:type="spellStart"/>
            <w:r w:rsidRPr="00491502">
              <w:rPr>
                <w:rFonts w:ascii="Times New Roman" w:eastAsia="Times New Roman" w:hAnsi="Times New Roman" w:cs="Times New Roman"/>
                <w:i/>
                <w:iCs/>
                <w:sz w:val="24"/>
                <w:szCs w:val="24"/>
              </w:rPr>
              <w:t>Approach</w:t>
            </w:r>
            <w:proofErr w:type="spellEnd"/>
            <w:r w:rsidRPr="00491502">
              <w:rPr>
                <w:rFonts w:ascii="Times New Roman" w:eastAsia="Times New Roman" w:hAnsi="Times New Roman" w:cs="Times New Roman"/>
                <w:i/>
                <w:iCs/>
                <w:sz w:val="24"/>
                <w:szCs w:val="24"/>
              </w:rPr>
              <w:t>”)</w:t>
            </w:r>
            <w:r w:rsidRPr="00491502">
              <w:rPr>
                <w:rFonts w:ascii="Times New Roman" w:eastAsia="Times New Roman" w:hAnsi="Times New Roman" w:cs="Times New Roman"/>
                <w:sz w:val="24"/>
                <w:szCs w:val="24"/>
              </w:rPr>
              <w:t xml:space="preserve">. Tās mērķis ir nodrošināt, ka Globālais standarts ir ieviests katrā jurisdikcijā atbilstoši prasībām un efektīvi darbojas, tādējādi nodrošinot starp jurisdikcijām “vienlīdzīgus spēles noteikumus”. </w:t>
            </w:r>
          </w:p>
          <w:p w14:paraId="2EEFA550" w14:textId="77777777" w:rsidR="004C16EB"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Pirmais solis saskaņā ar “Pakāpenisko pieeju” ir jurisdikciju normatīvā regulējuma novērtēšana. Pēc šī novērtējuma veikšanas Globālais Forums, sniedzot rekomendācijas un piezīmes, norāda, kuri aspekti jurisdikcijas izveidotajā normatīvajā regulējumā neatbilst Globālā standarta prasībām. Pēc tam jurisdikcijai tiek dots apmēram gads, lai novērstu identificētās neatbilstības, kuras Globālais Forums atkāroti pārskata nākamajā novērtēšanas posmā. </w:t>
            </w:r>
          </w:p>
          <w:p w14:paraId="3AA5B83E" w14:textId="77777777" w:rsidR="00BD54ED" w:rsidRPr="00491502" w:rsidRDefault="00BD54ED" w:rsidP="004C16EB">
            <w:pPr>
              <w:spacing w:after="0" w:line="240" w:lineRule="auto"/>
              <w:ind w:firstLine="260"/>
              <w:jc w:val="both"/>
              <w:rPr>
                <w:rFonts w:ascii="Times New Roman" w:eastAsia="Times New Roman" w:hAnsi="Times New Roman" w:cs="Times New Roman"/>
                <w:sz w:val="24"/>
                <w:szCs w:val="24"/>
              </w:rPr>
            </w:pPr>
          </w:p>
          <w:p w14:paraId="0299F59F" w14:textId="77777777" w:rsidR="004C16EB" w:rsidRPr="00491502" w:rsidRDefault="004C16EB" w:rsidP="004C16EB">
            <w:p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Par FATCA automātisko informācijas apmaiņu</w:t>
            </w:r>
          </w:p>
          <w:p w14:paraId="67709918"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proofErr w:type="spellStart"/>
            <w:r w:rsidRPr="00491502">
              <w:rPr>
                <w:rFonts w:ascii="Times New Roman" w:eastAsia="Times New Roman" w:hAnsi="Times New Roman" w:cs="Times New Roman"/>
                <w:i/>
                <w:sz w:val="24"/>
                <w:szCs w:val="24"/>
              </w:rPr>
              <w:t>Foreign</w:t>
            </w:r>
            <w:proofErr w:type="spellEnd"/>
            <w:r w:rsidRPr="00491502">
              <w:rPr>
                <w:rFonts w:ascii="Times New Roman" w:eastAsia="Times New Roman" w:hAnsi="Times New Roman" w:cs="Times New Roman"/>
                <w:i/>
                <w:sz w:val="24"/>
                <w:szCs w:val="24"/>
              </w:rPr>
              <w:t xml:space="preserve"> </w:t>
            </w:r>
            <w:proofErr w:type="spellStart"/>
            <w:r w:rsidRPr="00491502">
              <w:rPr>
                <w:rFonts w:ascii="Times New Roman" w:eastAsia="Times New Roman" w:hAnsi="Times New Roman" w:cs="Times New Roman"/>
                <w:i/>
                <w:sz w:val="24"/>
                <w:szCs w:val="24"/>
              </w:rPr>
              <w:t>Account</w:t>
            </w:r>
            <w:proofErr w:type="spellEnd"/>
            <w:r w:rsidRPr="00491502">
              <w:rPr>
                <w:rFonts w:ascii="Times New Roman" w:eastAsia="Times New Roman" w:hAnsi="Times New Roman" w:cs="Times New Roman"/>
                <w:i/>
                <w:sz w:val="24"/>
                <w:szCs w:val="24"/>
              </w:rPr>
              <w:t xml:space="preserve"> </w:t>
            </w:r>
            <w:proofErr w:type="spellStart"/>
            <w:r w:rsidRPr="00491502">
              <w:rPr>
                <w:rFonts w:ascii="Times New Roman" w:eastAsia="Times New Roman" w:hAnsi="Times New Roman" w:cs="Times New Roman"/>
                <w:i/>
                <w:sz w:val="24"/>
                <w:szCs w:val="24"/>
              </w:rPr>
              <w:t>Tax</w:t>
            </w:r>
            <w:proofErr w:type="spellEnd"/>
            <w:r w:rsidRPr="00491502">
              <w:rPr>
                <w:rFonts w:ascii="Times New Roman" w:eastAsia="Times New Roman" w:hAnsi="Times New Roman" w:cs="Times New Roman"/>
                <w:i/>
                <w:sz w:val="24"/>
                <w:szCs w:val="24"/>
              </w:rPr>
              <w:t xml:space="preserve"> </w:t>
            </w:r>
            <w:proofErr w:type="spellStart"/>
            <w:r w:rsidRPr="00491502">
              <w:rPr>
                <w:rFonts w:ascii="Times New Roman" w:eastAsia="Times New Roman" w:hAnsi="Times New Roman" w:cs="Times New Roman"/>
                <w:i/>
                <w:sz w:val="24"/>
                <w:szCs w:val="24"/>
              </w:rPr>
              <w:t>Compliance</w:t>
            </w:r>
            <w:proofErr w:type="spellEnd"/>
            <w:r w:rsidRPr="00491502">
              <w:rPr>
                <w:rFonts w:ascii="Times New Roman" w:eastAsia="Times New Roman" w:hAnsi="Times New Roman" w:cs="Times New Roman"/>
                <w:i/>
                <w:sz w:val="24"/>
                <w:szCs w:val="24"/>
              </w:rPr>
              <w:t xml:space="preserve"> </w:t>
            </w:r>
            <w:proofErr w:type="spellStart"/>
            <w:r w:rsidRPr="00491502">
              <w:rPr>
                <w:rFonts w:ascii="Times New Roman" w:eastAsia="Times New Roman" w:hAnsi="Times New Roman" w:cs="Times New Roman"/>
                <w:i/>
                <w:sz w:val="24"/>
                <w:szCs w:val="24"/>
              </w:rPr>
              <w:t>Act</w:t>
            </w:r>
            <w:proofErr w:type="spellEnd"/>
            <w:r w:rsidRPr="00491502">
              <w:rPr>
                <w:rFonts w:ascii="Times New Roman" w:eastAsia="Times New Roman" w:hAnsi="Times New Roman" w:cs="Times New Roman"/>
                <w:sz w:val="24"/>
                <w:szCs w:val="24"/>
              </w:rPr>
              <w:t xml:space="preserve"> jeb FATCA ir</w:t>
            </w:r>
            <w:r w:rsidR="00D703CC" w:rsidRPr="00491502">
              <w:rPr>
                <w:rFonts w:ascii="Times New Roman" w:eastAsia="Times New Roman" w:hAnsi="Times New Roman" w:cs="Times New Roman"/>
                <w:sz w:val="24"/>
                <w:szCs w:val="24"/>
              </w:rPr>
              <w:t xml:space="preserve"> </w:t>
            </w:r>
            <w:r w:rsidRPr="00491502">
              <w:rPr>
                <w:rFonts w:ascii="Times New Roman" w:eastAsia="Times New Roman" w:hAnsi="Times New Roman" w:cs="Times New Roman"/>
                <w:sz w:val="24"/>
                <w:szCs w:val="24"/>
              </w:rPr>
              <w:t xml:space="preserve">Amerikas Savienoto </w:t>
            </w:r>
            <w:r w:rsidR="00624E61">
              <w:rPr>
                <w:rFonts w:ascii="Times New Roman" w:eastAsia="Times New Roman" w:hAnsi="Times New Roman" w:cs="Times New Roman"/>
                <w:sz w:val="24"/>
                <w:szCs w:val="24"/>
              </w:rPr>
              <w:t>V</w:t>
            </w:r>
            <w:r w:rsidRPr="00491502">
              <w:rPr>
                <w:rFonts w:ascii="Times New Roman" w:eastAsia="Times New Roman" w:hAnsi="Times New Roman" w:cs="Times New Roman"/>
                <w:sz w:val="24"/>
                <w:szCs w:val="24"/>
              </w:rPr>
              <w:t>alstu (turpmāk – ASV) normatīvais akts, uz kur</w:t>
            </w:r>
            <w:r w:rsidR="00F96AFF" w:rsidRPr="00491502">
              <w:rPr>
                <w:rFonts w:ascii="Times New Roman" w:eastAsia="Times New Roman" w:hAnsi="Times New Roman" w:cs="Times New Roman"/>
                <w:sz w:val="24"/>
                <w:szCs w:val="24"/>
              </w:rPr>
              <w:t>u</w:t>
            </w:r>
            <w:r w:rsidRPr="00491502">
              <w:rPr>
                <w:rFonts w:ascii="Times New Roman" w:eastAsia="Times New Roman" w:hAnsi="Times New Roman" w:cs="Times New Roman"/>
                <w:sz w:val="24"/>
                <w:szCs w:val="24"/>
              </w:rPr>
              <w:t xml:space="preserve"> balstoties 20</w:t>
            </w:r>
            <w:r w:rsidR="00B35680">
              <w:rPr>
                <w:rFonts w:ascii="Times New Roman" w:eastAsia="Times New Roman" w:hAnsi="Times New Roman" w:cs="Times New Roman"/>
                <w:sz w:val="24"/>
                <w:szCs w:val="24"/>
              </w:rPr>
              <w:t>14.</w:t>
            </w:r>
            <w:r w:rsidR="0028158D">
              <w:rPr>
                <w:rFonts w:ascii="Times New Roman" w:eastAsia="Times New Roman" w:hAnsi="Times New Roman" w:cs="Times New Roman"/>
                <w:sz w:val="24"/>
                <w:szCs w:val="24"/>
              </w:rPr>
              <w:t xml:space="preserve"> </w:t>
            </w:r>
            <w:r w:rsidR="00B35680">
              <w:rPr>
                <w:rFonts w:ascii="Times New Roman" w:eastAsia="Times New Roman" w:hAnsi="Times New Roman" w:cs="Times New Roman"/>
                <w:sz w:val="24"/>
                <w:szCs w:val="24"/>
              </w:rPr>
              <w:t>gada 27.</w:t>
            </w:r>
            <w:r w:rsidR="0028158D">
              <w:rPr>
                <w:rFonts w:ascii="Times New Roman" w:eastAsia="Times New Roman" w:hAnsi="Times New Roman" w:cs="Times New Roman"/>
                <w:sz w:val="24"/>
                <w:szCs w:val="24"/>
              </w:rPr>
              <w:t xml:space="preserve"> </w:t>
            </w:r>
            <w:r w:rsidR="00B35680">
              <w:rPr>
                <w:rFonts w:ascii="Times New Roman" w:eastAsia="Times New Roman" w:hAnsi="Times New Roman" w:cs="Times New Roman"/>
                <w:sz w:val="24"/>
                <w:szCs w:val="24"/>
              </w:rPr>
              <w:t>jūnijā starp Latviju</w:t>
            </w:r>
            <w:r w:rsidRPr="00491502">
              <w:rPr>
                <w:rFonts w:ascii="Times New Roman" w:eastAsia="Times New Roman" w:hAnsi="Times New Roman" w:cs="Times New Roman"/>
                <w:sz w:val="24"/>
                <w:szCs w:val="24"/>
              </w:rPr>
              <w:t xml:space="preserve"> un Amerikas Savienotajām Valstīm tika noslēgts starptautiskais līgums “Latvijas Republikas valdības un Amerikas Savienoto Valstu valdības līgums par starptautisko nodokļu pienākumu izpildes uzlabošanu un likuma par ārvalstu kontu nodokļu pienākumu izpildi ieviešanu”. Likuma 15. panta ceturtajā daļā ir noteikts pienākums finanšu iestādēm, uz kurām neattiecas šajā līgumā noteiktie izņēmumi, sniegt VID informāciju par ASV rezidentu finanšu kontiem. Balstoties uz šo līgumu, informācijas apmaiņa ar informāciju par finanšu kontiem ar ASV notiek kopš 2014. gada. </w:t>
            </w:r>
          </w:p>
          <w:p w14:paraId="65AE20BC" w14:textId="77777777" w:rsidR="004C16EB"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Tā kā FATCA automātiskās informācijas apmaiņa pēc būtības ir līdzīga Globālajam standartam, informācijas apmaiņa ar ASV notiek, balstoties uz FATCA.</w:t>
            </w:r>
          </w:p>
          <w:p w14:paraId="642AB62B" w14:textId="77777777" w:rsidR="00BD54ED" w:rsidRPr="00491502" w:rsidRDefault="00BD54ED" w:rsidP="004C16EB">
            <w:pPr>
              <w:spacing w:after="0" w:line="240" w:lineRule="auto"/>
              <w:ind w:firstLine="260"/>
              <w:jc w:val="both"/>
              <w:rPr>
                <w:rFonts w:ascii="Times New Roman" w:eastAsia="Times New Roman" w:hAnsi="Times New Roman" w:cs="Times New Roman"/>
                <w:sz w:val="24"/>
                <w:szCs w:val="24"/>
              </w:rPr>
            </w:pPr>
          </w:p>
          <w:p w14:paraId="559B82B6" w14:textId="77777777" w:rsidR="004C16EB" w:rsidRPr="00491502" w:rsidRDefault="004C16EB" w:rsidP="004C16EB">
            <w:p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 xml:space="preserve">Par </w:t>
            </w:r>
            <w:proofErr w:type="spellStart"/>
            <w:r w:rsidRPr="00491502">
              <w:rPr>
                <w:rFonts w:ascii="Times New Roman" w:eastAsia="Times New Roman" w:hAnsi="Times New Roman" w:cs="Times New Roman"/>
                <w:b/>
                <w:sz w:val="24"/>
                <w:szCs w:val="24"/>
              </w:rPr>
              <w:t>CbCr</w:t>
            </w:r>
            <w:proofErr w:type="spellEnd"/>
          </w:p>
          <w:p w14:paraId="49F259F5"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ir daļa no OECD izstrādātā rīcības plāna par nodokļu bāzes samazināšanu un peļņas novirzīšanu (</w:t>
            </w:r>
            <w:r w:rsidR="008B0137" w:rsidRPr="00491502">
              <w:rPr>
                <w:rFonts w:ascii="Times New Roman" w:eastAsia="Times New Roman" w:hAnsi="Times New Roman" w:cs="Times New Roman"/>
                <w:sz w:val="24"/>
                <w:szCs w:val="24"/>
              </w:rPr>
              <w:t xml:space="preserve">turpmāk - </w:t>
            </w:r>
            <w:r w:rsidRPr="00491502">
              <w:rPr>
                <w:rFonts w:ascii="Times New Roman" w:eastAsia="Times New Roman" w:hAnsi="Times New Roman" w:cs="Times New Roman"/>
                <w:sz w:val="24"/>
                <w:szCs w:val="24"/>
              </w:rPr>
              <w:t xml:space="preserve">BEPS) 13. aktivitātes: Transfertcenu dokumentācija un starptautiskas uzņēmumu grupas pārskats par katru valsti. Šī aktivitāte ietver vadlīnijas transfertcenu dokumentācijai, t.sk.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ES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tika pārņemts ar Padomes 2016. gada 25. maija direktīvu (ES) 2016/881, ar ko Direktīvu 2011/16/ES groza attiecībā uz obligātu automātisku informācijas apmaiņu nodokļu jomā. Ar valstīm, kas ir ārpus ES, automātiskā apmaiņa ar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notiek, balstoties uz Daudzpusējo kompetento iestāžu vienošanos par automātisku </w:t>
            </w:r>
            <w:r w:rsidRPr="00491502">
              <w:rPr>
                <w:rFonts w:ascii="Times New Roman" w:eastAsia="Times New Roman" w:hAnsi="Times New Roman" w:cs="Times New Roman"/>
                <w:sz w:val="24"/>
                <w:szCs w:val="24"/>
              </w:rPr>
              <w:lastRenderedPageBreak/>
              <w:t>informācijas apmaiņu ar ziņojumiem par katru valsti (vienošanās noslēgta, balstoties uz Konvencijas 6. pantu).</w:t>
            </w:r>
          </w:p>
          <w:p w14:paraId="7171DDAC"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Likuma 15. panta devītajā daļā ir noteikts pienākums nodokļu maksātājam – starptautiskas uzņēmumu grupas sastāvā esošai vienībai – iesniegt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VID. Savukārt Ministru kabineta 2017. gada 4. jūlija noteikumos Nr. 397 “Noteikumi par starptautiskas uzņēmumu grupas pārskatu par katru valsti”</w:t>
            </w:r>
            <w:r w:rsidR="00D703CC" w:rsidRPr="00491502">
              <w:rPr>
                <w:rFonts w:ascii="Times New Roman" w:eastAsia="Times New Roman" w:hAnsi="Times New Roman" w:cs="Times New Roman"/>
                <w:sz w:val="24"/>
                <w:szCs w:val="24"/>
              </w:rPr>
              <w:t xml:space="preserve"> </w:t>
            </w:r>
            <w:r w:rsidRPr="00491502">
              <w:rPr>
                <w:rFonts w:ascii="Times New Roman" w:eastAsia="Times New Roman" w:hAnsi="Times New Roman" w:cs="Times New Roman"/>
                <w:sz w:val="24"/>
                <w:szCs w:val="24"/>
              </w:rPr>
              <w:t xml:space="preserve">(turpmāk – MK noteikumi Nr. 397) ir noteikta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sagatavošanas un iesniegšanas kārtība.</w:t>
            </w:r>
          </w:p>
          <w:p w14:paraId="38520F3D"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Starptautiska uzņēmumu grupa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iesniedz tās valsts nodokļu administrācijai, kurā atrodas starptautiskas uzņēmumu grupas galīgais mātes uzņēmums. Savukārt nodokļu administrācija, kura saņems šo pārskatu, nodod to tām valstu nodokļu administrācijām, kurās ir pārstāvēta attiecīgā starptautiska uzņēmumu grupa, ja ar attiecīgajām valstīm Latvijai ir spēkā attiecīgs starptautisks instruments informācijas apmaiņai. </w:t>
            </w:r>
          </w:p>
          <w:p w14:paraId="3F1F6576" w14:textId="77777777" w:rsidR="004C16EB" w:rsidRPr="00491502" w:rsidRDefault="004C16EB" w:rsidP="004C16EB">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Izmantojot saņemtos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var identificēt norādes uz starptautiskas uzņēmumu grupas īstenotu agresīvu nodokļu plānošanu, kas ietver valsts un starptautisko nodokļu tiesību aktos esošo nepilnību izmantošanu, lai peļņu novirzītu no vienas valsts uz citu ar mērķi samazināt maksājamos nodokļus. Tas savukārt var norādīt, ka pastāv risks, ka tiek pārkāpti nodokļu normatīvie akti. Pirmā </w:t>
            </w:r>
            <w:proofErr w:type="spellStart"/>
            <w:r w:rsidRPr="00491502">
              <w:rPr>
                <w:rFonts w:ascii="Times New Roman" w:eastAsia="Times New Roman" w:hAnsi="Times New Roman" w:cs="Times New Roman"/>
                <w:sz w:val="24"/>
                <w:szCs w:val="24"/>
              </w:rPr>
              <w:t>CbCr</w:t>
            </w:r>
            <w:proofErr w:type="spellEnd"/>
            <w:r w:rsidRPr="00491502">
              <w:rPr>
                <w:rFonts w:ascii="Times New Roman" w:eastAsia="Times New Roman" w:hAnsi="Times New Roman" w:cs="Times New Roman"/>
                <w:sz w:val="24"/>
                <w:szCs w:val="24"/>
              </w:rPr>
              <w:t xml:space="preserve"> informācijas apmaiņa notika 2018. gada jūnijā.</w:t>
            </w:r>
          </w:p>
          <w:p w14:paraId="32843297" w14:textId="77777777" w:rsidR="004C16EB" w:rsidRDefault="004C16EB" w:rsidP="004C16EB">
            <w:pPr>
              <w:spacing w:after="0" w:line="240" w:lineRule="auto"/>
              <w:ind w:firstLine="360"/>
              <w:jc w:val="both"/>
              <w:rPr>
                <w:rFonts w:ascii="Times New Roman" w:eastAsia="Times New Roman" w:hAnsi="Times New Roman" w:cs="Times New Roman"/>
                <w:sz w:val="24"/>
                <w:szCs w:val="24"/>
              </w:rPr>
            </w:pPr>
            <w:r w:rsidRPr="00BD54ED">
              <w:rPr>
                <w:rFonts w:ascii="Times New Roman" w:eastAsia="Times New Roman" w:hAnsi="Times New Roman" w:cs="Times New Roman"/>
                <w:sz w:val="24"/>
                <w:szCs w:val="24"/>
              </w:rPr>
              <w:t xml:space="preserve">Eiropas Komisija </w:t>
            </w:r>
            <w:r w:rsidR="00BD54ED" w:rsidRPr="00491502">
              <w:rPr>
                <w:rFonts w:ascii="Times New Roman" w:eastAsia="Times New Roman" w:hAnsi="Times New Roman" w:cs="Times New Roman"/>
                <w:iCs/>
                <w:sz w:val="24"/>
                <w:szCs w:val="24"/>
                <w:lang w:eastAsia="lv-LV"/>
              </w:rPr>
              <w:t xml:space="preserve">(turpmāk – Komisija) </w:t>
            </w:r>
            <w:r w:rsidRPr="00BD54ED">
              <w:rPr>
                <w:rFonts w:ascii="Times New Roman" w:eastAsia="Times New Roman" w:hAnsi="Times New Roman" w:cs="Times New Roman"/>
                <w:sz w:val="24"/>
                <w:szCs w:val="24"/>
              </w:rPr>
              <w:t>ir atzinusi</w:t>
            </w:r>
            <w:r w:rsidRPr="00BD54ED">
              <w:rPr>
                <w:rStyle w:val="FootnoteReference"/>
                <w:rFonts w:ascii="Times New Roman" w:eastAsia="Times New Roman" w:hAnsi="Times New Roman" w:cs="Times New Roman"/>
                <w:sz w:val="24"/>
                <w:szCs w:val="24"/>
              </w:rPr>
              <w:footnoteReference w:id="9"/>
            </w:r>
            <w:r w:rsidRPr="00BD54ED">
              <w:rPr>
                <w:rFonts w:ascii="Times New Roman" w:eastAsia="Times New Roman" w:hAnsi="Times New Roman" w:cs="Times New Roman"/>
                <w:sz w:val="24"/>
                <w:szCs w:val="24"/>
              </w:rPr>
              <w:t xml:space="preserve"> automātisko informācijas apmaiņu par svarīgu instrumentu cīņā pret pārrobežu krāpšanu nodokļu jomā, izvairīšanos no nodokļu maksāšanas, kā arī agresīvu nodokļu plānošanu. Piemēram</w:t>
            </w:r>
            <w:r w:rsidRPr="00491502">
              <w:rPr>
                <w:rFonts w:ascii="Times New Roman" w:eastAsia="Times New Roman" w:hAnsi="Times New Roman" w:cs="Times New Roman"/>
                <w:sz w:val="24"/>
                <w:szCs w:val="24"/>
              </w:rPr>
              <w:t>, pateicoties likumā ietvertajam regulējumam, citu valstu nodokļu administrācijas saņem informāciju no VID par to rezidentu finanšu aktīviem Latvijas finanšu iestādēs un VID saņem informāciju par Latvijas rezidentu ārvalstīs turētajiem finanšu kontiem, un tam ir iespēja pārbaudīt, vai saistībā ar līdzekļiem, kas tiek turēti ārvalstu finanšu kontos, ir nomaksāti nodokļi. 2017. gadā notika pirmā informācijas apmaiņa, kurā Latvija, ņemot vērā saņemto informāciju no finanšu iestādēm, apmainījās ar 26 valstīm. Saskaņā ar saņemto informāciju no VID, 2017. gadā VID sniedza informāciju par nerezidentiem, kuru kopējā finanšu aktīvu vērtība uz 2016. gada 31. decembri bija virs 700 milj. </w:t>
            </w:r>
            <w:proofErr w:type="spellStart"/>
            <w:r w:rsidRPr="00491502">
              <w:rPr>
                <w:rFonts w:ascii="Times New Roman" w:eastAsia="Times New Roman" w:hAnsi="Times New Roman" w:cs="Times New Roman"/>
                <w:i/>
                <w:iCs/>
                <w:sz w:val="24"/>
                <w:szCs w:val="24"/>
              </w:rPr>
              <w:t>euro</w:t>
            </w:r>
            <w:proofErr w:type="spellEnd"/>
            <w:r w:rsidRPr="00491502">
              <w:rPr>
                <w:rFonts w:ascii="Times New Roman" w:eastAsia="Times New Roman" w:hAnsi="Times New Roman" w:cs="Times New Roman"/>
                <w:sz w:val="24"/>
                <w:szCs w:val="24"/>
              </w:rPr>
              <w:t>.</w:t>
            </w:r>
          </w:p>
          <w:p w14:paraId="149592B7" w14:textId="77777777" w:rsidR="00BD54ED" w:rsidRPr="00491502" w:rsidRDefault="00BD54ED" w:rsidP="004C16EB">
            <w:pPr>
              <w:spacing w:after="0" w:line="240" w:lineRule="auto"/>
              <w:ind w:firstLine="360"/>
              <w:jc w:val="both"/>
              <w:rPr>
                <w:rFonts w:ascii="Times New Roman" w:eastAsia="Times New Roman" w:hAnsi="Times New Roman" w:cs="Times New Roman"/>
                <w:sz w:val="24"/>
                <w:szCs w:val="24"/>
              </w:rPr>
            </w:pPr>
          </w:p>
          <w:p w14:paraId="492A3160" w14:textId="77777777" w:rsidR="00615AC2" w:rsidRPr="00491502" w:rsidRDefault="00615AC2" w:rsidP="00E5323B">
            <w:pPr>
              <w:spacing w:after="0" w:line="240" w:lineRule="auto"/>
              <w:rPr>
                <w:rFonts w:ascii="Times New Roman" w:eastAsia="Times New Roman" w:hAnsi="Times New Roman" w:cs="Times New Roman"/>
                <w:b/>
                <w:iCs/>
                <w:sz w:val="24"/>
                <w:szCs w:val="24"/>
                <w:lang w:eastAsia="lv-LV"/>
              </w:rPr>
            </w:pPr>
            <w:r w:rsidRPr="00491502">
              <w:rPr>
                <w:rFonts w:ascii="Times New Roman" w:eastAsia="Times New Roman" w:hAnsi="Times New Roman" w:cs="Times New Roman"/>
                <w:b/>
                <w:iCs/>
                <w:sz w:val="24"/>
                <w:szCs w:val="24"/>
                <w:lang w:eastAsia="lv-LV"/>
              </w:rPr>
              <w:t>Par jaun</w:t>
            </w:r>
            <w:r w:rsidR="000F7481" w:rsidRPr="00491502">
              <w:rPr>
                <w:rFonts w:ascii="Times New Roman" w:eastAsia="Times New Roman" w:hAnsi="Times New Roman" w:cs="Times New Roman"/>
                <w:b/>
                <w:iCs/>
                <w:sz w:val="24"/>
                <w:szCs w:val="24"/>
                <w:lang w:eastAsia="lv-LV"/>
              </w:rPr>
              <w:t>o</w:t>
            </w:r>
            <w:r w:rsidRPr="00491502">
              <w:rPr>
                <w:rFonts w:ascii="Times New Roman" w:eastAsia="Times New Roman" w:hAnsi="Times New Roman" w:cs="Times New Roman"/>
                <w:b/>
                <w:iCs/>
                <w:sz w:val="24"/>
                <w:szCs w:val="24"/>
                <w:lang w:eastAsia="lv-LV"/>
              </w:rPr>
              <w:t xml:space="preserve"> informācijas apmaiņas sistēmu</w:t>
            </w:r>
          </w:p>
          <w:p w14:paraId="72B500DF" w14:textId="77777777" w:rsidR="00615AC2" w:rsidRPr="00491502" w:rsidRDefault="00583D30" w:rsidP="001E087E">
            <w:pPr>
              <w:spacing w:after="0" w:line="240" w:lineRule="auto"/>
              <w:ind w:firstLine="247"/>
              <w:jc w:val="both"/>
              <w:rPr>
                <w:rFonts w:ascii="Times New Roman" w:eastAsia="Times New Roman" w:hAnsi="Times New Roman" w:cs="Times New Roman"/>
                <w:iCs/>
                <w:sz w:val="24"/>
                <w:szCs w:val="24"/>
                <w:lang w:eastAsia="lv-LV"/>
              </w:rPr>
            </w:pPr>
            <w:r w:rsidRPr="00491502">
              <w:rPr>
                <w:rFonts w:ascii="Times New Roman" w:eastAsia="Times New Roman" w:hAnsi="Times New Roman" w:cs="Times New Roman"/>
                <w:iCs/>
                <w:sz w:val="24"/>
                <w:szCs w:val="24"/>
                <w:lang w:eastAsia="lv-LV"/>
              </w:rPr>
              <w:t>Kopš 2016. gadā tika publiskoti “Panamas dokumenti”, ir aktualizējies jautājums par nodokļu konsultantu, banku un citu profesiju lomu agresīvu nodokļu shēmu izstrādē un ieviešanā. Starptautiskais Pētniecisko žurnālistu konsorcijs, veicot “Panamas dokumentu” analīzi, secināja, ka “</w:t>
            </w:r>
            <w:proofErr w:type="spellStart"/>
            <w:r w:rsidRPr="00491502">
              <w:rPr>
                <w:rFonts w:ascii="Times New Roman" w:eastAsia="Times New Roman" w:hAnsi="Times New Roman" w:cs="Times New Roman"/>
                <w:iCs/>
                <w:sz w:val="24"/>
                <w:szCs w:val="24"/>
                <w:lang w:eastAsia="lv-LV"/>
              </w:rPr>
              <w:t>Mossack</w:t>
            </w:r>
            <w:proofErr w:type="spellEnd"/>
            <w:r w:rsidRPr="00491502">
              <w:rPr>
                <w:rFonts w:ascii="Times New Roman" w:eastAsia="Times New Roman" w:hAnsi="Times New Roman" w:cs="Times New Roman"/>
                <w:iCs/>
                <w:sz w:val="24"/>
                <w:szCs w:val="24"/>
                <w:lang w:eastAsia="lv-LV"/>
              </w:rPr>
              <w:t xml:space="preserve"> </w:t>
            </w:r>
            <w:proofErr w:type="spellStart"/>
            <w:r w:rsidRPr="00491502">
              <w:rPr>
                <w:rFonts w:ascii="Times New Roman" w:eastAsia="Times New Roman" w:hAnsi="Times New Roman" w:cs="Times New Roman"/>
                <w:iCs/>
                <w:sz w:val="24"/>
                <w:szCs w:val="24"/>
                <w:lang w:eastAsia="lv-LV"/>
              </w:rPr>
              <w:t>Fonseca</w:t>
            </w:r>
            <w:proofErr w:type="spellEnd"/>
            <w:r w:rsidRPr="00491502">
              <w:rPr>
                <w:rFonts w:ascii="Times New Roman" w:eastAsia="Times New Roman" w:hAnsi="Times New Roman" w:cs="Times New Roman"/>
                <w:iCs/>
                <w:sz w:val="24"/>
                <w:szCs w:val="24"/>
                <w:lang w:eastAsia="lv-LV"/>
              </w:rPr>
              <w:t xml:space="preserve"> &amp; </w:t>
            </w:r>
            <w:proofErr w:type="spellStart"/>
            <w:r w:rsidRPr="00491502">
              <w:rPr>
                <w:rFonts w:ascii="Times New Roman" w:eastAsia="Times New Roman" w:hAnsi="Times New Roman" w:cs="Times New Roman"/>
                <w:iCs/>
                <w:sz w:val="24"/>
                <w:szCs w:val="24"/>
                <w:lang w:eastAsia="lv-LV"/>
              </w:rPr>
              <w:t>Co</w:t>
            </w:r>
            <w:proofErr w:type="spellEnd"/>
            <w:r w:rsidRPr="00491502">
              <w:rPr>
                <w:rFonts w:ascii="Times New Roman" w:eastAsia="Times New Roman" w:hAnsi="Times New Roman" w:cs="Times New Roman"/>
                <w:iCs/>
                <w:sz w:val="24"/>
                <w:szCs w:val="24"/>
                <w:lang w:eastAsia="lv-LV"/>
              </w:rPr>
              <w:t>” (Panamas Republikas juridisko pakalpojumu uzņēmums) sadarbojās ar vairāk kā 14 000 bankām, juridiskām firmām un citiem starpniekiem, lai klientiem veidotu uzņēmumus, fondus un trastus ar mērķi samazināt nodokļu slogu un “paslēpt” finanšu aktīvus ārzonās.</w:t>
            </w:r>
          </w:p>
          <w:p w14:paraId="24EF526A" w14:textId="6111715F" w:rsidR="00583D30" w:rsidRPr="00491502" w:rsidRDefault="00583D30" w:rsidP="001E087E">
            <w:pPr>
              <w:spacing w:after="0" w:line="240" w:lineRule="auto"/>
              <w:ind w:firstLine="247"/>
              <w:jc w:val="both"/>
              <w:rPr>
                <w:rFonts w:ascii="Times New Roman" w:eastAsia="Times New Roman" w:hAnsi="Times New Roman" w:cs="Times New Roman"/>
                <w:iCs/>
                <w:sz w:val="24"/>
                <w:szCs w:val="24"/>
                <w:lang w:eastAsia="lv-LV"/>
              </w:rPr>
            </w:pPr>
            <w:r w:rsidRPr="00491502">
              <w:rPr>
                <w:rFonts w:ascii="Times New Roman" w:eastAsia="Times New Roman" w:hAnsi="Times New Roman" w:cs="Times New Roman"/>
                <w:bCs/>
                <w:iCs/>
                <w:sz w:val="24"/>
                <w:szCs w:val="24"/>
                <w:lang w:eastAsia="lv-LV"/>
              </w:rPr>
              <w:t xml:space="preserve">Eiropas Parlaments jau augstāk minētajā rezolūcijā </w:t>
            </w:r>
            <w:r w:rsidRPr="00491502">
              <w:rPr>
                <w:rFonts w:ascii="Times New Roman" w:eastAsia="Times New Roman" w:hAnsi="Times New Roman" w:cs="Times New Roman"/>
                <w:iCs/>
                <w:sz w:val="24"/>
                <w:szCs w:val="24"/>
                <w:lang w:eastAsia="lv-LV"/>
              </w:rPr>
              <w:t>ir arī aicinājis ieviest stingrākus pasākumus starpniekiem, kuri palīdz tādu shēmu izstrādē un īstenošanā, kuras izmanto, lai izvairītos no nodokļu maksāšanas.</w:t>
            </w:r>
            <w:r w:rsidR="008B0137" w:rsidRPr="00491502">
              <w:rPr>
                <w:rFonts w:ascii="Times New Roman" w:eastAsia="Times New Roman" w:hAnsi="Times New Roman" w:cs="Times New Roman"/>
                <w:iCs/>
                <w:sz w:val="24"/>
                <w:szCs w:val="24"/>
                <w:lang w:eastAsia="lv-LV"/>
              </w:rPr>
              <w:t xml:space="preserve"> Savukārt ES dalībvalstis neformālajā ECOFIN padomes 2016. gada 22. aprīļa sanāksmē aicināja K</w:t>
            </w:r>
            <w:r w:rsidR="00BD54ED">
              <w:rPr>
                <w:rFonts w:ascii="Times New Roman" w:eastAsia="Times New Roman" w:hAnsi="Times New Roman" w:cs="Times New Roman"/>
                <w:iCs/>
                <w:sz w:val="24"/>
                <w:szCs w:val="24"/>
                <w:lang w:eastAsia="lv-LV"/>
              </w:rPr>
              <w:t>omisiju</w:t>
            </w:r>
            <w:r w:rsidR="008B0137" w:rsidRPr="00491502">
              <w:rPr>
                <w:rFonts w:ascii="Times New Roman" w:eastAsia="Times New Roman" w:hAnsi="Times New Roman" w:cs="Times New Roman"/>
                <w:iCs/>
                <w:sz w:val="24"/>
                <w:szCs w:val="24"/>
                <w:lang w:eastAsia="lv-LV"/>
              </w:rPr>
              <w:t xml:space="preserve"> apsvērt iespēju sagatavot iniciatīvu, ņemot par paraugu OECD BEPS 12. aktivitāti. BEPS 12. aktivitātes mērķis ir ieviest prasības, kuras mazinātu stimulus tādiem starpniekiem, kuri palīdz agresīvu nodokļu shēmu izstrādē un ieviešanā. Nodrošinot nodokļu administrācijām savlaicīgu informāciju par iespējami agresīvu nodokļu plānošanas shēmu gatavošanu un izmantošanu, to rīcībā būtu papildu instruments, vēršoties pret nodokļu nemaksāšanu.</w:t>
            </w:r>
          </w:p>
          <w:p w14:paraId="13F56C40" w14:textId="15294182" w:rsidR="00BA1D4D" w:rsidRPr="00491502" w:rsidRDefault="00BA1D4D" w:rsidP="006525CB">
            <w:pPr>
              <w:spacing w:after="0" w:line="240" w:lineRule="auto"/>
              <w:ind w:firstLine="247"/>
              <w:jc w:val="both"/>
              <w:rPr>
                <w:rFonts w:ascii="Times New Roman" w:eastAsia="Times New Roman" w:hAnsi="Times New Roman" w:cs="Times New Roman"/>
                <w:sz w:val="24"/>
                <w:szCs w:val="24"/>
              </w:rPr>
            </w:pPr>
            <w:r w:rsidRPr="00491502">
              <w:rPr>
                <w:rFonts w:ascii="Times New Roman" w:eastAsia="Times New Roman" w:hAnsi="Times New Roman" w:cs="Times New Roman"/>
                <w:iCs/>
                <w:sz w:val="24"/>
                <w:szCs w:val="24"/>
                <w:lang w:eastAsia="lv-LV"/>
              </w:rPr>
              <w:t xml:space="preserve">2018. gada 25. maijā </w:t>
            </w:r>
            <w:r w:rsidR="00B35680">
              <w:rPr>
                <w:rFonts w:ascii="Times New Roman" w:eastAsia="Times New Roman" w:hAnsi="Times New Roman" w:cs="Times New Roman"/>
                <w:iCs/>
                <w:sz w:val="24"/>
                <w:szCs w:val="24"/>
                <w:lang w:eastAsia="lv-LV"/>
              </w:rPr>
              <w:t>ECOFIN</w:t>
            </w:r>
            <w:r w:rsidRPr="00491502">
              <w:rPr>
                <w:rFonts w:ascii="Times New Roman" w:eastAsia="Times New Roman" w:hAnsi="Times New Roman" w:cs="Times New Roman"/>
                <w:iCs/>
                <w:sz w:val="24"/>
                <w:szCs w:val="24"/>
                <w:lang w:eastAsia="lv-LV"/>
              </w:rPr>
              <w:t xml:space="preserve"> pieņēma </w:t>
            </w:r>
            <w:r w:rsidR="00303885" w:rsidRPr="00491502">
              <w:rPr>
                <w:rFonts w:ascii="Times New Roman" w:eastAsia="Times New Roman" w:hAnsi="Times New Roman" w:cs="Times New Roman"/>
                <w:sz w:val="24"/>
                <w:szCs w:val="24"/>
              </w:rPr>
              <w:t>DAC</w:t>
            </w:r>
            <w:r w:rsidR="003F08F1">
              <w:rPr>
                <w:rFonts w:ascii="Times New Roman" w:eastAsia="Times New Roman" w:hAnsi="Times New Roman" w:cs="Times New Roman"/>
                <w:sz w:val="24"/>
                <w:szCs w:val="24"/>
              </w:rPr>
              <w:t> </w:t>
            </w:r>
            <w:r w:rsidR="00664037">
              <w:rPr>
                <w:rFonts w:ascii="Times New Roman" w:eastAsia="Times New Roman" w:hAnsi="Times New Roman" w:cs="Times New Roman"/>
                <w:sz w:val="24"/>
                <w:szCs w:val="24"/>
              </w:rPr>
              <w:t>6</w:t>
            </w:r>
            <w:r w:rsidRPr="00491502">
              <w:rPr>
                <w:rFonts w:ascii="Times New Roman" w:eastAsia="Times New Roman" w:hAnsi="Times New Roman" w:cs="Times New Roman"/>
                <w:sz w:val="24"/>
                <w:szCs w:val="24"/>
              </w:rPr>
              <w:t>.</w:t>
            </w:r>
            <w:r w:rsidR="003F08F1">
              <w:rPr>
                <w:rFonts w:ascii="Times New Roman" w:eastAsia="Times New Roman" w:hAnsi="Times New Roman" w:cs="Times New Roman"/>
                <w:sz w:val="24"/>
                <w:szCs w:val="24"/>
              </w:rPr>
              <w:t xml:space="preserve"> </w:t>
            </w:r>
            <w:r w:rsidR="00AB3F96" w:rsidRPr="00491502">
              <w:rPr>
                <w:rFonts w:ascii="Times New Roman" w:eastAsia="Times New Roman" w:hAnsi="Times New Roman" w:cs="Times New Roman"/>
                <w:sz w:val="24"/>
                <w:szCs w:val="24"/>
              </w:rPr>
              <w:t xml:space="preserve">DAC 6 </w:t>
            </w:r>
            <w:r w:rsidRPr="00491502">
              <w:rPr>
                <w:rFonts w:ascii="Times New Roman" w:eastAsia="Times New Roman" w:hAnsi="Times New Roman" w:cs="Times New Roman"/>
                <w:sz w:val="24"/>
                <w:szCs w:val="24"/>
              </w:rPr>
              <w:t>mērķis ir noteikt pienākumu starpniekiem (piemēram, nodokļu konsultantiem vai citiem shēmas izveidošanā, pārdošanā un ieviešanā iesaistītajiem) pienākum</w:t>
            </w:r>
            <w:r w:rsidR="00C921A9" w:rsidRPr="00491502">
              <w:rPr>
                <w:rFonts w:ascii="Times New Roman" w:eastAsia="Times New Roman" w:hAnsi="Times New Roman" w:cs="Times New Roman"/>
                <w:sz w:val="24"/>
                <w:szCs w:val="24"/>
              </w:rPr>
              <w:t>u</w:t>
            </w:r>
            <w:r w:rsidRPr="00491502">
              <w:rPr>
                <w:rFonts w:ascii="Times New Roman" w:eastAsia="Times New Roman" w:hAnsi="Times New Roman" w:cs="Times New Roman"/>
                <w:sz w:val="24"/>
                <w:szCs w:val="24"/>
              </w:rPr>
              <w:t xml:space="preserve"> iesniegt valsts kompetentajai iestādei (VID) informāciju par iespējami agresīvām </w:t>
            </w:r>
            <w:r w:rsidRPr="00491502">
              <w:rPr>
                <w:rFonts w:ascii="Times New Roman" w:eastAsia="Times New Roman" w:hAnsi="Times New Roman" w:cs="Times New Roman"/>
                <w:sz w:val="24"/>
                <w:szCs w:val="24"/>
                <w:u w:val="single"/>
              </w:rPr>
              <w:t>pārrobežu</w:t>
            </w:r>
            <w:r w:rsidRPr="00491502">
              <w:rPr>
                <w:rFonts w:ascii="Times New Roman" w:eastAsia="Times New Roman" w:hAnsi="Times New Roman" w:cs="Times New Roman"/>
                <w:sz w:val="24"/>
                <w:szCs w:val="24"/>
              </w:rPr>
              <w:t xml:space="preserve"> nodokļu shēmām. Reizi ceturksnī dalībvalstu kompetentās iestādes apmainīsies ar saņemto informāciju, izmantojot automātiskās informācijas apmaiņas sistēmu, tādējādi saņemot arī informāciju par pārrobežu shēmām, kur</w:t>
            </w:r>
            <w:r w:rsidR="00B35680">
              <w:rPr>
                <w:rFonts w:ascii="Times New Roman" w:eastAsia="Times New Roman" w:hAnsi="Times New Roman" w:cs="Times New Roman"/>
                <w:sz w:val="24"/>
                <w:szCs w:val="24"/>
              </w:rPr>
              <w:t>ās tiktu iesaistīta arī Latvija</w:t>
            </w:r>
            <w:r w:rsidRPr="00491502">
              <w:rPr>
                <w:rFonts w:ascii="Times New Roman" w:eastAsia="Times New Roman" w:hAnsi="Times New Roman" w:cs="Times New Roman"/>
                <w:sz w:val="24"/>
                <w:szCs w:val="24"/>
              </w:rPr>
              <w:t xml:space="preserve">. </w:t>
            </w:r>
            <w:r w:rsidR="00AB3F96" w:rsidRPr="00491502">
              <w:rPr>
                <w:rFonts w:ascii="Times New Roman" w:eastAsia="Times New Roman" w:hAnsi="Times New Roman" w:cs="Times New Roman"/>
                <w:sz w:val="24"/>
                <w:szCs w:val="24"/>
              </w:rPr>
              <w:t xml:space="preserve">DAC 6 </w:t>
            </w:r>
            <w:r w:rsidRPr="00491502">
              <w:rPr>
                <w:rFonts w:ascii="Times New Roman" w:eastAsia="Times New Roman" w:hAnsi="Times New Roman" w:cs="Times New Roman"/>
                <w:sz w:val="24"/>
                <w:szCs w:val="24"/>
              </w:rPr>
              <w:t xml:space="preserve">ir noteikti vairāki kritēriji, kuriem izpildoties, rodas pienākums ziņot par pārrobežu </w:t>
            </w:r>
            <w:r w:rsidR="001E087E" w:rsidRPr="00491502">
              <w:rPr>
                <w:rFonts w:ascii="Times New Roman" w:eastAsia="Times New Roman" w:hAnsi="Times New Roman" w:cs="Times New Roman"/>
                <w:sz w:val="24"/>
                <w:szCs w:val="24"/>
              </w:rPr>
              <w:t>shēmu</w:t>
            </w:r>
            <w:r w:rsidRPr="00491502">
              <w:rPr>
                <w:rFonts w:ascii="Times New Roman" w:eastAsia="Times New Roman" w:hAnsi="Times New Roman" w:cs="Times New Roman"/>
                <w:sz w:val="24"/>
                <w:szCs w:val="24"/>
              </w:rPr>
              <w:t>.</w:t>
            </w:r>
            <w:r w:rsidR="006F3511" w:rsidRPr="00491502">
              <w:rPr>
                <w:rFonts w:ascii="Times New Roman" w:eastAsia="Times New Roman" w:hAnsi="Times New Roman" w:cs="Times New Roman"/>
                <w:sz w:val="24"/>
                <w:szCs w:val="24"/>
              </w:rPr>
              <w:t xml:space="preserve"> Cita starpā būs nepieciešams ziņot arī par tādām shēmām, kuru mērķis ir izvairīties no ziņošanas Globālā standarta ietvaros.</w:t>
            </w:r>
            <w:r w:rsidRPr="00491502">
              <w:rPr>
                <w:rFonts w:ascii="Times New Roman" w:eastAsia="Times New Roman" w:hAnsi="Times New Roman" w:cs="Times New Roman"/>
                <w:sz w:val="24"/>
                <w:szCs w:val="24"/>
              </w:rPr>
              <w:t xml:space="preserve"> </w:t>
            </w:r>
          </w:p>
          <w:p w14:paraId="4946988F" w14:textId="77777777" w:rsidR="00BA1D4D" w:rsidRPr="00491502" w:rsidRDefault="00BA1D4D" w:rsidP="001E087E">
            <w:pPr>
              <w:spacing w:after="0" w:line="240" w:lineRule="auto"/>
              <w:ind w:firstLine="247"/>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Saņemot un izvērtējot informāciju par pārrobežu shēmām, VID būs iespēja reaģēt uz nevēlamu nodokļu praksi, veicot izmaiņas normatīvajos aktos vai veikt atbilstīgus riska novērtējumus un nodokļu auditu. Turklāt būs iespēja laicīgi brīdināt starpnieku vai </w:t>
            </w:r>
            <w:r w:rsidRPr="00491502">
              <w:rPr>
                <w:rFonts w:ascii="Times New Roman" w:eastAsia="Times New Roman" w:hAnsi="Times New Roman" w:cs="Times New Roman"/>
                <w:sz w:val="24"/>
                <w:szCs w:val="24"/>
              </w:rPr>
              <w:lastRenderedPageBreak/>
              <w:t>nodokļu maksātāju par nepareizu tiesību normu interpretēšanu un iespējamām sekām.</w:t>
            </w:r>
          </w:p>
          <w:p w14:paraId="34578077" w14:textId="77777777" w:rsidR="006F3511" w:rsidRPr="00491502" w:rsidRDefault="00AB3F96" w:rsidP="001E087E">
            <w:pPr>
              <w:spacing w:after="0" w:line="240" w:lineRule="auto"/>
              <w:ind w:firstLine="247"/>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DAC 6</w:t>
            </w:r>
            <w:r w:rsidR="006F3511" w:rsidRPr="00491502">
              <w:rPr>
                <w:rFonts w:ascii="Times New Roman" w:eastAsia="Times New Roman" w:hAnsi="Times New Roman" w:cs="Times New Roman"/>
                <w:sz w:val="24"/>
                <w:szCs w:val="24"/>
              </w:rPr>
              <w:t xml:space="preserve"> pārņemšanas termiņš ir 2019. gada 31. decembris, un pirmo reizi informācija būs jāsniedz līdz 2020. gada 31. oktobrim.</w:t>
            </w:r>
          </w:p>
          <w:p w14:paraId="1BE818E5" w14:textId="77777777" w:rsidR="00083258" w:rsidRPr="00491502" w:rsidRDefault="00083258" w:rsidP="001E087E">
            <w:pPr>
              <w:spacing w:after="0" w:line="240" w:lineRule="auto"/>
              <w:ind w:firstLine="247"/>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Likumprojektā ir iekļautas normas, kuru mērķis ir noteikt pienākumu noteiktiem nodokļu maksātājiem sniegt VID informāciju par pārrobežu shēmām.</w:t>
            </w:r>
          </w:p>
          <w:p w14:paraId="320FBD7E" w14:textId="77777777" w:rsidR="00664F40" w:rsidRPr="00491502" w:rsidRDefault="00664F40" w:rsidP="006F3511">
            <w:pPr>
              <w:spacing w:after="0" w:line="240" w:lineRule="auto"/>
              <w:jc w:val="both"/>
              <w:rPr>
                <w:rFonts w:ascii="Times New Roman" w:eastAsia="Times New Roman" w:hAnsi="Times New Roman" w:cs="Times New Roman"/>
                <w:sz w:val="24"/>
                <w:szCs w:val="24"/>
              </w:rPr>
            </w:pPr>
          </w:p>
          <w:p w14:paraId="20E55C5F" w14:textId="77777777" w:rsidR="00664F40" w:rsidRPr="00491502" w:rsidRDefault="00664F40" w:rsidP="006F3511">
            <w:p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Par likumprojektu</w:t>
            </w:r>
          </w:p>
          <w:p w14:paraId="1A157AEF" w14:textId="77777777" w:rsidR="00823F5F" w:rsidRPr="00491502" w:rsidRDefault="00823F5F" w:rsidP="00823F5F">
            <w:pPr>
              <w:pStyle w:val="ListParagraph"/>
              <w:numPr>
                <w:ilvl w:val="0"/>
                <w:numId w:val="2"/>
              </w:num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Likumprojekta 1. un 3. pants</w:t>
            </w:r>
          </w:p>
          <w:p w14:paraId="4519F52C" w14:textId="77777777" w:rsidR="004E3287" w:rsidRPr="00491502" w:rsidRDefault="00D703CC" w:rsidP="004E3287">
            <w:pPr>
              <w:spacing w:after="0" w:line="240" w:lineRule="auto"/>
              <w:ind w:firstLine="260"/>
              <w:jc w:val="both"/>
              <w:rPr>
                <w:rFonts w:ascii="Times New Roman" w:eastAsia="Times New Roman" w:hAnsi="Times New Roman" w:cs="Times New Roman"/>
                <w:color w:val="000000"/>
                <w:sz w:val="24"/>
                <w:szCs w:val="24"/>
              </w:rPr>
            </w:pPr>
            <w:r w:rsidRPr="00491502">
              <w:rPr>
                <w:rFonts w:ascii="Times New Roman" w:eastAsia="Times New Roman" w:hAnsi="Times New Roman" w:cs="Times New Roman"/>
                <w:color w:val="000000"/>
                <w:sz w:val="24"/>
                <w:szCs w:val="24"/>
              </w:rPr>
              <w:t>Lai nodrošinātu, ka tiek ievēroti normatīvie akti, ar kuriem ieviests Globālais standarts</w:t>
            </w:r>
            <w:r w:rsidR="004E3287" w:rsidRPr="00491502">
              <w:rPr>
                <w:rFonts w:ascii="Times New Roman" w:eastAsia="Times New Roman" w:hAnsi="Times New Roman" w:cs="Times New Roman"/>
                <w:color w:val="000000"/>
                <w:sz w:val="24"/>
                <w:szCs w:val="24"/>
              </w:rPr>
              <w:t xml:space="preserve">, likumprojektā ir noteikta soda nauda par </w:t>
            </w:r>
            <w:r w:rsidRPr="00491502">
              <w:rPr>
                <w:rFonts w:ascii="Times New Roman" w:eastAsia="Times New Roman" w:hAnsi="Times New Roman" w:cs="Times New Roman"/>
                <w:color w:val="000000"/>
                <w:sz w:val="24"/>
                <w:szCs w:val="24"/>
              </w:rPr>
              <w:t>ziņojuma</w:t>
            </w:r>
            <w:r w:rsidR="00CA3CE9" w:rsidRPr="00491502">
              <w:t xml:space="preserve"> </w:t>
            </w:r>
            <w:r w:rsidR="00CA3CE9" w:rsidRPr="00491502">
              <w:rPr>
                <w:rFonts w:ascii="Times New Roman" w:eastAsia="Times New Roman" w:hAnsi="Times New Roman" w:cs="Times New Roman"/>
                <w:color w:val="000000"/>
                <w:sz w:val="24"/>
                <w:szCs w:val="24"/>
              </w:rPr>
              <w:t>par finanšu kontiem</w:t>
            </w:r>
            <w:r w:rsidRPr="00491502">
              <w:rPr>
                <w:rFonts w:ascii="Times New Roman" w:eastAsia="Times New Roman" w:hAnsi="Times New Roman" w:cs="Times New Roman"/>
                <w:color w:val="000000"/>
                <w:sz w:val="24"/>
                <w:szCs w:val="24"/>
              </w:rPr>
              <w:t xml:space="preserve"> iesniegšanas termiņa neievērošanu, nepilnīgas vai nepatiesas informācijas iesniegšanu un </w:t>
            </w:r>
            <w:r w:rsidR="004E3287" w:rsidRPr="00491502">
              <w:rPr>
                <w:rFonts w:ascii="Times New Roman" w:eastAsia="Times New Roman" w:hAnsi="Times New Roman" w:cs="Times New Roman"/>
                <w:color w:val="000000"/>
                <w:sz w:val="24"/>
                <w:szCs w:val="24"/>
              </w:rPr>
              <w:t>pienācīgas pārbaudes procedūru un ar to saistīto dokumentācijas</w:t>
            </w:r>
            <w:r w:rsidR="00CF0E56" w:rsidRPr="00491502">
              <w:rPr>
                <w:rFonts w:ascii="Times New Roman" w:eastAsia="Times New Roman" w:hAnsi="Times New Roman" w:cs="Times New Roman"/>
                <w:color w:val="000000"/>
                <w:sz w:val="24"/>
                <w:szCs w:val="24"/>
              </w:rPr>
              <w:t xml:space="preserve"> prasību</w:t>
            </w:r>
            <w:r w:rsidR="004E3287" w:rsidRPr="00491502">
              <w:rPr>
                <w:rFonts w:ascii="Times New Roman" w:eastAsia="Times New Roman" w:hAnsi="Times New Roman" w:cs="Times New Roman"/>
                <w:color w:val="000000"/>
                <w:sz w:val="24"/>
                <w:szCs w:val="24"/>
              </w:rPr>
              <w:t xml:space="preserve"> neievērošanu.</w:t>
            </w:r>
            <w:r w:rsidR="00776538" w:rsidRPr="00491502">
              <w:rPr>
                <w:rFonts w:ascii="Times New Roman" w:eastAsia="Times New Roman" w:hAnsi="Times New Roman" w:cs="Times New Roman"/>
                <w:color w:val="000000"/>
                <w:sz w:val="24"/>
                <w:szCs w:val="24"/>
              </w:rPr>
              <w:t xml:space="preserve"> </w:t>
            </w:r>
          </w:p>
          <w:p w14:paraId="0FDF645E" w14:textId="77777777" w:rsidR="004E3287" w:rsidRPr="00491502" w:rsidRDefault="004E3287" w:rsidP="004E3287">
            <w:pPr>
              <w:spacing w:after="0" w:line="240" w:lineRule="auto"/>
              <w:ind w:firstLine="283"/>
              <w:jc w:val="both"/>
              <w:rPr>
                <w:rFonts w:ascii="Times New Roman" w:eastAsia="Times New Roman" w:hAnsi="Times New Roman" w:cs="Times New Roman"/>
                <w:sz w:val="24"/>
                <w:szCs w:val="24"/>
              </w:rPr>
            </w:pPr>
            <w:r w:rsidRPr="00491502">
              <w:rPr>
                <w:rFonts w:ascii="Times New Roman" w:eastAsia="Times New Roman" w:hAnsi="Times New Roman" w:cs="Times New Roman"/>
                <w:color w:val="000000"/>
                <w:sz w:val="24"/>
                <w:szCs w:val="24"/>
              </w:rPr>
              <w:t>Likumprojektā noteiktais soda naudas apmērs ir līdz 1% no nodokļu maksātāja</w:t>
            </w:r>
            <w:r w:rsidR="00372303">
              <w:rPr>
                <w:rFonts w:ascii="Times New Roman" w:eastAsia="Times New Roman" w:hAnsi="Times New Roman" w:cs="Times New Roman"/>
                <w:color w:val="000000"/>
                <w:sz w:val="24"/>
                <w:szCs w:val="24"/>
              </w:rPr>
              <w:t xml:space="preserve"> gada</w:t>
            </w:r>
            <w:r w:rsidRPr="00491502">
              <w:rPr>
                <w:rFonts w:ascii="Times New Roman" w:eastAsia="Times New Roman" w:hAnsi="Times New Roman" w:cs="Times New Roman"/>
                <w:color w:val="000000"/>
                <w:sz w:val="24"/>
                <w:szCs w:val="24"/>
              </w:rPr>
              <w:t xml:space="preserve"> apgrozījuma (ieņēmumi</w:t>
            </w:r>
            <w:r w:rsidR="008158BB">
              <w:rPr>
                <w:rFonts w:ascii="Times New Roman" w:eastAsia="Times New Roman" w:hAnsi="Times New Roman" w:cs="Times New Roman"/>
                <w:color w:val="000000"/>
                <w:sz w:val="24"/>
                <w:szCs w:val="24"/>
              </w:rPr>
              <w:t>em</w:t>
            </w:r>
            <w:r w:rsidRPr="00491502">
              <w:rPr>
                <w:rFonts w:ascii="Times New Roman" w:eastAsia="Times New Roman" w:hAnsi="Times New Roman" w:cs="Times New Roman"/>
                <w:color w:val="000000"/>
                <w:sz w:val="24"/>
                <w:szCs w:val="24"/>
              </w:rPr>
              <w:t xml:space="preserve">) attiecīgajā pārskata periodā, bet ne vairāk kā 14 000 </w:t>
            </w:r>
            <w:proofErr w:type="spellStart"/>
            <w:r w:rsidRPr="00491502">
              <w:rPr>
                <w:rFonts w:ascii="Times New Roman" w:eastAsia="Times New Roman" w:hAnsi="Times New Roman" w:cs="Times New Roman"/>
                <w:i/>
                <w:color w:val="000000"/>
                <w:sz w:val="24"/>
                <w:szCs w:val="24"/>
              </w:rPr>
              <w:t>euro</w:t>
            </w:r>
            <w:proofErr w:type="spellEnd"/>
            <w:r w:rsidRPr="00491502">
              <w:rPr>
                <w:rFonts w:ascii="Times New Roman" w:eastAsia="Times New Roman" w:hAnsi="Times New Roman" w:cs="Times New Roman"/>
                <w:color w:val="000000"/>
                <w:sz w:val="24"/>
                <w:szCs w:val="24"/>
              </w:rPr>
              <w:t>.</w:t>
            </w:r>
            <w:r w:rsidR="00D703CC" w:rsidRPr="00491502">
              <w:rPr>
                <w:rFonts w:ascii="Times New Roman" w:eastAsia="Times New Roman" w:hAnsi="Times New Roman" w:cs="Times New Roman"/>
                <w:color w:val="000000"/>
                <w:sz w:val="24"/>
                <w:szCs w:val="24"/>
              </w:rPr>
              <w:t xml:space="preserve"> Tas nozīmē, ka mazākām finanšu iestādēm (piemēram, ieguldījumu brokeru akciju sabiedrībai) ar kopējiem gada ieņēmumiem ap 13 000 </w:t>
            </w:r>
            <w:proofErr w:type="spellStart"/>
            <w:r w:rsidR="00D703CC" w:rsidRPr="00491502">
              <w:rPr>
                <w:rFonts w:ascii="Times New Roman" w:eastAsia="Times New Roman" w:hAnsi="Times New Roman" w:cs="Times New Roman"/>
                <w:i/>
                <w:color w:val="000000"/>
                <w:sz w:val="24"/>
                <w:szCs w:val="24"/>
              </w:rPr>
              <w:t>euro</w:t>
            </w:r>
            <w:proofErr w:type="spellEnd"/>
            <w:r w:rsidR="00D703CC" w:rsidRPr="00491502">
              <w:rPr>
                <w:rFonts w:ascii="Times New Roman" w:eastAsia="Times New Roman" w:hAnsi="Times New Roman" w:cs="Times New Roman"/>
                <w:color w:val="000000"/>
                <w:sz w:val="24"/>
                <w:szCs w:val="24"/>
              </w:rPr>
              <w:t xml:space="preserve"> soda nauda būtu </w:t>
            </w:r>
            <w:r w:rsidR="00BD4F5F" w:rsidRPr="00491502">
              <w:rPr>
                <w:rFonts w:ascii="Times New Roman" w:eastAsia="Times New Roman" w:hAnsi="Times New Roman" w:cs="Times New Roman"/>
                <w:color w:val="000000"/>
                <w:sz w:val="24"/>
                <w:szCs w:val="24"/>
              </w:rPr>
              <w:t xml:space="preserve">līdz </w:t>
            </w:r>
            <w:r w:rsidR="00D703CC" w:rsidRPr="00491502">
              <w:rPr>
                <w:rFonts w:ascii="Times New Roman" w:eastAsia="Times New Roman" w:hAnsi="Times New Roman" w:cs="Times New Roman"/>
                <w:color w:val="000000"/>
                <w:sz w:val="24"/>
                <w:szCs w:val="24"/>
              </w:rPr>
              <w:t>130 </w:t>
            </w:r>
            <w:proofErr w:type="spellStart"/>
            <w:r w:rsidR="00D703CC" w:rsidRPr="00491502">
              <w:rPr>
                <w:rFonts w:ascii="Times New Roman" w:eastAsia="Times New Roman" w:hAnsi="Times New Roman" w:cs="Times New Roman"/>
                <w:i/>
                <w:color w:val="000000"/>
                <w:sz w:val="24"/>
                <w:szCs w:val="24"/>
              </w:rPr>
              <w:t>euro</w:t>
            </w:r>
            <w:proofErr w:type="spellEnd"/>
            <w:r w:rsidR="00D703CC" w:rsidRPr="00491502">
              <w:rPr>
                <w:rFonts w:ascii="Times New Roman" w:eastAsia="Times New Roman" w:hAnsi="Times New Roman" w:cs="Times New Roman"/>
                <w:color w:val="000000"/>
                <w:sz w:val="24"/>
                <w:szCs w:val="24"/>
              </w:rPr>
              <w:t xml:space="preserve">, savukārt </w:t>
            </w:r>
            <w:r w:rsidR="00BD4F5F" w:rsidRPr="00491502">
              <w:rPr>
                <w:rFonts w:ascii="Times New Roman" w:eastAsia="Times New Roman" w:hAnsi="Times New Roman" w:cs="Times New Roman"/>
                <w:color w:val="000000"/>
                <w:sz w:val="24"/>
                <w:szCs w:val="24"/>
              </w:rPr>
              <w:t>lielai finanšu iestādei kā banka soda nauda būtu līdz 14 000 </w:t>
            </w:r>
            <w:proofErr w:type="spellStart"/>
            <w:r w:rsidR="00BD4F5F" w:rsidRPr="00491502">
              <w:rPr>
                <w:rFonts w:ascii="Times New Roman" w:eastAsia="Times New Roman" w:hAnsi="Times New Roman" w:cs="Times New Roman"/>
                <w:i/>
                <w:color w:val="000000"/>
                <w:sz w:val="24"/>
                <w:szCs w:val="24"/>
              </w:rPr>
              <w:t>euro</w:t>
            </w:r>
            <w:proofErr w:type="spellEnd"/>
            <w:r w:rsidR="00BD4F5F" w:rsidRPr="00491502">
              <w:rPr>
                <w:rFonts w:ascii="Times New Roman" w:eastAsia="Times New Roman" w:hAnsi="Times New Roman" w:cs="Times New Roman"/>
                <w:color w:val="000000"/>
                <w:sz w:val="24"/>
                <w:szCs w:val="24"/>
              </w:rPr>
              <w:t>.</w:t>
            </w:r>
            <w:r w:rsidR="00D703CC" w:rsidRPr="00491502">
              <w:rPr>
                <w:rFonts w:ascii="Times New Roman" w:eastAsia="Times New Roman" w:hAnsi="Times New Roman" w:cs="Times New Roman"/>
                <w:color w:val="000000"/>
                <w:sz w:val="24"/>
                <w:szCs w:val="24"/>
              </w:rPr>
              <w:t xml:space="preserve"> </w:t>
            </w:r>
          </w:p>
          <w:p w14:paraId="081A134A" w14:textId="77777777" w:rsidR="00127425" w:rsidRPr="00491502" w:rsidRDefault="004E3287" w:rsidP="003549F3">
            <w:pPr>
              <w:spacing w:after="0" w:line="240" w:lineRule="auto"/>
              <w:ind w:firstLine="260"/>
              <w:jc w:val="both"/>
              <w:rPr>
                <w:rFonts w:ascii="Times New Roman" w:eastAsia="Times New Roman" w:hAnsi="Times New Roman" w:cs="Times New Roman"/>
                <w:color w:val="000000"/>
                <w:sz w:val="24"/>
                <w:szCs w:val="24"/>
              </w:rPr>
            </w:pPr>
            <w:r w:rsidRPr="00491502">
              <w:rPr>
                <w:rFonts w:ascii="Times New Roman" w:eastAsia="Times New Roman" w:hAnsi="Times New Roman" w:cs="Times New Roman"/>
                <w:color w:val="000000"/>
                <w:sz w:val="24"/>
                <w:szCs w:val="24"/>
              </w:rPr>
              <w:t xml:space="preserve">Atkarībā no situācijas pārkāpuma </w:t>
            </w:r>
            <w:r w:rsidR="00D94A9A" w:rsidRPr="00491502">
              <w:rPr>
                <w:rFonts w:ascii="Times New Roman" w:eastAsia="Times New Roman" w:hAnsi="Times New Roman" w:cs="Times New Roman"/>
                <w:color w:val="000000"/>
                <w:sz w:val="24"/>
                <w:szCs w:val="24"/>
              </w:rPr>
              <w:t>rezultātā radu</w:t>
            </w:r>
            <w:r w:rsidR="009F580C" w:rsidRPr="00491502">
              <w:rPr>
                <w:rFonts w:ascii="Times New Roman" w:eastAsia="Times New Roman" w:hAnsi="Times New Roman" w:cs="Times New Roman"/>
                <w:color w:val="000000"/>
                <w:sz w:val="24"/>
                <w:szCs w:val="24"/>
              </w:rPr>
              <w:t>šās</w:t>
            </w:r>
            <w:r w:rsidR="00D94A9A" w:rsidRPr="00491502">
              <w:rPr>
                <w:rFonts w:ascii="Times New Roman" w:eastAsia="Times New Roman" w:hAnsi="Times New Roman" w:cs="Times New Roman"/>
                <w:color w:val="000000"/>
                <w:sz w:val="24"/>
                <w:szCs w:val="24"/>
              </w:rPr>
              <w:t xml:space="preserve"> </w:t>
            </w:r>
            <w:r w:rsidR="009F580C" w:rsidRPr="00491502">
              <w:rPr>
                <w:rFonts w:ascii="Times New Roman" w:eastAsia="Times New Roman" w:hAnsi="Times New Roman" w:cs="Times New Roman"/>
                <w:color w:val="000000"/>
                <w:sz w:val="24"/>
                <w:szCs w:val="24"/>
              </w:rPr>
              <w:t xml:space="preserve">sekas </w:t>
            </w:r>
            <w:r w:rsidRPr="00491502">
              <w:rPr>
                <w:rFonts w:ascii="Times New Roman" w:eastAsia="Times New Roman" w:hAnsi="Times New Roman" w:cs="Times New Roman"/>
                <w:color w:val="000000"/>
                <w:sz w:val="24"/>
                <w:szCs w:val="24"/>
              </w:rPr>
              <w:t xml:space="preserve">var krasi atšķirties, piemēram, neziņošana par kontiem, par kuriem būtu bijis jāziņo, </w:t>
            </w:r>
            <w:r w:rsidR="00D94A9A" w:rsidRPr="00491502">
              <w:rPr>
                <w:rFonts w:ascii="Times New Roman" w:eastAsia="Times New Roman" w:hAnsi="Times New Roman" w:cs="Times New Roman"/>
                <w:color w:val="000000"/>
                <w:sz w:val="24"/>
                <w:szCs w:val="24"/>
              </w:rPr>
              <w:t>vai</w:t>
            </w:r>
            <w:r w:rsidRPr="00491502">
              <w:rPr>
                <w:rFonts w:ascii="Times New Roman" w:eastAsia="Times New Roman" w:hAnsi="Times New Roman" w:cs="Times New Roman"/>
                <w:color w:val="000000"/>
                <w:sz w:val="24"/>
                <w:szCs w:val="24"/>
              </w:rPr>
              <w:t xml:space="preserve"> ziņojuma iesniegšana</w:t>
            </w:r>
            <w:r w:rsidR="00D94A9A" w:rsidRPr="00491502">
              <w:rPr>
                <w:rFonts w:ascii="Times New Roman" w:eastAsia="Times New Roman" w:hAnsi="Times New Roman" w:cs="Times New Roman"/>
                <w:color w:val="000000"/>
                <w:sz w:val="24"/>
                <w:szCs w:val="24"/>
              </w:rPr>
              <w:t>,</w:t>
            </w:r>
            <w:r w:rsidRPr="00491502">
              <w:rPr>
                <w:rFonts w:ascii="Times New Roman" w:eastAsia="Times New Roman" w:hAnsi="Times New Roman" w:cs="Times New Roman"/>
                <w:color w:val="000000"/>
                <w:sz w:val="24"/>
                <w:szCs w:val="24"/>
              </w:rPr>
              <w:t xml:space="preserve"> nokavējot noteikto termiņu. </w:t>
            </w:r>
          </w:p>
          <w:p w14:paraId="6B62A6A4" w14:textId="77777777" w:rsidR="00127425" w:rsidRPr="00491502" w:rsidRDefault="00127425" w:rsidP="00127425">
            <w:pPr>
              <w:spacing w:after="0" w:line="240" w:lineRule="auto"/>
              <w:ind w:firstLine="260"/>
              <w:jc w:val="both"/>
              <w:rPr>
                <w:rFonts w:ascii="Times New Roman" w:eastAsia="Times New Roman" w:hAnsi="Times New Roman" w:cs="Times New Roman"/>
                <w:color w:val="000000"/>
                <w:sz w:val="24"/>
                <w:szCs w:val="24"/>
              </w:rPr>
            </w:pPr>
            <w:r w:rsidRPr="00491502">
              <w:rPr>
                <w:rFonts w:ascii="Times New Roman" w:eastAsia="Times New Roman" w:hAnsi="Times New Roman" w:cs="Times New Roman"/>
                <w:color w:val="000000"/>
                <w:sz w:val="24"/>
                <w:szCs w:val="24"/>
              </w:rPr>
              <w:t xml:space="preserve">Finanšu iestādei saskaņā ar MK noteikumos Nr. 20 noteikto ir jāievēro konkrētas pienācīgo pārbaužu procedūras, </w:t>
            </w:r>
            <w:r w:rsidRPr="00491502">
              <w:rPr>
                <w:rFonts w:ascii="Times New Roman" w:eastAsia="Times New Roman" w:hAnsi="Times New Roman" w:cs="Times New Roman"/>
                <w:color w:val="000000"/>
                <w:sz w:val="24"/>
                <w:szCs w:val="24"/>
                <w:u w:val="single"/>
              </w:rPr>
              <w:t>lai tiktu ziņots par visiem nerezidentiem, par kuriem ir jāziņo</w:t>
            </w:r>
            <w:r w:rsidRPr="00491502">
              <w:rPr>
                <w:rFonts w:ascii="Times New Roman" w:eastAsia="Times New Roman" w:hAnsi="Times New Roman" w:cs="Times New Roman"/>
                <w:color w:val="000000"/>
                <w:sz w:val="24"/>
                <w:szCs w:val="24"/>
              </w:rPr>
              <w:t xml:space="preserve">, un arī jāsaglabā pierādījumi par atbilstošo pienācīgo pārbaužu procedūru veikšanu, kā arī jāsaglabā informācija, balstoties uz kuru tika noteikts, vai par klientu ir jāziņo. Tas ir nepieciešams, lai būtu iespējams pārliecināties, ka finanšu iestāde ir veikusi visas nepieciešamās darbības, lai rezultātā tiktu ziņots par visiem klientiem, par kuriem bija jāziņo saskaņā ar likuma 100. pantu. Ņemot vērā, ka procedūru neievērošanas gadījumā VID saņemtu nepatiesu informāciju (arī attiecībā uz rezidenci), to varētu pielīdzināt informācijas neiesniegšanai, jo tādā veidā netiek sasniegts mērķis – patiesas informācijas nodošana nodokļu administrācijai par tās rezidenta finanšu aktīviem. Informāciju, kuru saņem no finanšu iestādes, VID tālāk </w:t>
            </w:r>
            <w:proofErr w:type="spellStart"/>
            <w:r w:rsidRPr="00491502">
              <w:rPr>
                <w:rFonts w:ascii="Times New Roman" w:eastAsia="Times New Roman" w:hAnsi="Times New Roman" w:cs="Times New Roman"/>
                <w:color w:val="000000"/>
                <w:sz w:val="24"/>
                <w:szCs w:val="24"/>
              </w:rPr>
              <w:t>nosūta</w:t>
            </w:r>
            <w:proofErr w:type="spellEnd"/>
            <w:r w:rsidRPr="00491502">
              <w:rPr>
                <w:rFonts w:ascii="Times New Roman" w:eastAsia="Times New Roman" w:hAnsi="Times New Roman" w:cs="Times New Roman"/>
                <w:color w:val="000000"/>
                <w:sz w:val="24"/>
                <w:szCs w:val="24"/>
              </w:rPr>
              <w:t xml:space="preserve"> attiecīgajai nodokļu administrācijai. Ņemot vērā, ka otras valsts nodokļu administrācija uzticas saņemtajai informācijai (tas pats </w:t>
            </w:r>
            <w:r w:rsidRPr="00491502">
              <w:rPr>
                <w:rFonts w:ascii="Times New Roman" w:eastAsia="Times New Roman" w:hAnsi="Times New Roman" w:cs="Times New Roman"/>
                <w:color w:val="000000"/>
                <w:sz w:val="24"/>
                <w:szCs w:val="24"/>
              </w:rPr>
              <w:lastRenderedPageBreak/>
              <w:t xml:space="preserve">attiecas arī uz VID un no citas valsts saņemto informāciju), </w:t>
            </w:r>
            <w:r w:rsidRPr="00491502">
              <w:rPr>
                <w:rFonts w:ascii="Times New Roman" w:eastAsia="Times New Roman" w:hAnsi="Times New Roman" w:cs="Times New Roman"/>
                <w:color w:val="000000"/>
                <w:sz w:val="24"/>
                <w:szCs w:val="24"/>
                <w:u w:val="single"/>
              </w:rPr>
              <w:t xml:space="preserve">ir būtiski nodrošināt, ka VID saņem no finanšu iestādēm </w:t>
            </w:r>
            <w:r w:rsidR="00CA3CE9" w:rsidRPr="00491502">
              <w:rPr>
                <w:rFonts w:ascii="Times New Roman" w:eastAsia="Times New Roman" w:hAnsi="Times New Roman" w:cs="Times New Roman"/>
                <w:color w:val="000000"/>
                <w:sz w:val="24"/>
                <w:szCs w:val="24"/>
                <w:u w:val="single"/>
              </w:rPr>
              <w:t xml:space="preserve">pilnīgu un patiesu </w:t>
            </w:r>
            <w:r w:rsidRPr="00491502">
              <w:rPr>
                <w:rFonts w:ascii="Times New Roman" w:eastAsia="Times New Roman" w:hAnsi="Times New Roman" w:cs="Times New Roman"/>
                <w:color w:val="000000"/>
                <w:sz w:val="24"/>
                <w:szCs w:val="24"/>
                <w:u w:val="single"/>
              </w:rPr>
              <w:t>informāciju par visiem nerezidentiem, par kuriem ir jāziņo</w:t>
            </w:r>
            <w:r w:rsidRPr="00491502">
              <w:rPr>
                <w:rFonts w:ascii="Times New Roman" w:eastAsia="Times New Roman" w:hAnsi="Times New Roman" w:cs="Times New Roman"/>
                <w:color w:val="000000"/>
                <w:sz w:val="24"/>
                <w:szCs w:val="24"/>
              </w:rPr>
              <w:t>.</w:t>
            </w:r>
          </w:p>
          <w:p w14:paraId="429FDA96" w14:textId="77777777" w:rsidR="00127425" w:rsidRPr="00491502" w:rsidRDefault="00127425" w:rsidP="00127425">
            <w:pPr>
              <w:spacing w:after="0" w:line="240" w:lineRule="auto"/>
              <w:ind w:firstLine="260"/>
              <w:jc w:val="both"/>
              <w:rPr>
                <w:rFonts w:ascii="Times New Roman" w:eastAsia="Times New Roman" w:hAnsi="Times New Roman" w:cs="Times New Roman"/>
                <w:color w:val="000000"/>
                <w:sz w:val="24"/>
                <w:szCs w:val="24"/>
              </w:rPr>
            </w:pPr>
            <w:r w:rsidRPr="00491502">
              <w:rPr>
                <w:rFonts w:ascii="Times New Roman" w:eastAsia="Times New Roman" w:hAnsi="Times New Roman" w:cs="Times New Roman"/>
                <w:color w:val="000000"/>
                <w:sz w:val="24"/>
                <w:szCs w:val="24"/>
              </w:rPr>
              <w:t xml:space="preserve">Pārkāpums ar mazākām sekām varētu būt, piemēram, ziņojuma </w:t>
            </w:r>
            <w:r w:rsidR="00CA3CE9" w:rsidRPr="00491502">
              <w:rPr>
                <w:rFonts w:ascii="Times New Roman" w:eastAsia="Times New Roman" w:hAnsi="Times New Roman" w:cs="Times New Roman"/>
                <w:color w:val="000000"/>
                <w:sz w:val="24"/>
                <w:szCs w:val="24"/>
              </w:rPr>
              <w:t xml:space="preserve">par finanšu kontiem </w:t>
            </w:r>
            <w:r w:rsidRPr="00491502">
              <w:rPr>
                <w:rFonts w:ascii="Times New Roman" w:eastAsia="Times New Roman" w:hAnsi="Times New Roman" w:cs="Times New Roman"/>
                <w:color w:val="000000"/>
                <w:sz w:val="24"/>
                <w:szCs w:val="24"/>
              </w:rPr>
              <w:t xml:space="preserve">iesniegšanas termiņa neievērošana. Tomēr jāņem vērā, ka arī šis pārkāpums nav bez negatīvām sekām visām iesaistītajām pusēm, jo iesniegšanas termiņš ir noteikts tāds, lai VID būtu laiks informāciju apstrādāt un sagatavot nosūtīšanai. Piemēram, finanšu iestāde iesniedz ziņojumu par finanšu kontiem </w:t>
            </w:r>
            <w:r w:rsidR="00A14CDA" w:rsidRPr="00491502">
              <w:rPr>
                <w:rFonts w:ascii="Times New Roman" w:eastAsia="Times New Roman" w:hAnsi="Times New Roman" w:cs="Times New Roman"/>
                <w:color w:val="000000"/>
                <w:sz w:val="24"/>
                <w:szCs w:val="24"/>
              </w:rPr>
              <w:t xml:space="preserve">pēc noteiktā </w:t>
            </w:r>
            <w:r w:rsidRPr="00491502">
              <w:rPr>
                <w:rFonts w:ascii="Times New Roman" w:eastAsia="Times New Roman" w:hAnsi="Times New Roman" w:cs="Times New Roman"/>
                <w:color w:val="000000"/>
                <w:sz w:val="24"/>
                <w:szCs w:val="24"/>
              </w:rPr>
              <w:t xml:space="preserve">termiņa, VID, veicot automātisko ziņojuma pārbaudi, konstatē kļūdas, kuras tiek pēc tam nosūtītas finanšu iestādei izlabošanai. Tad finanšu iestāde vēl veic nepieciešamos labojumus un iesniedz VID ziņojumu par finanšu kontiem atkārtoti (kas attiecīgi notiek </w:t>
            </w:r>
            <w:r w:rsidR="00A14CDA" w:rsidRPr="00491502">
              <w:rPr>
                <w:rFonts w:ascii="Times New Roman" w:eastAsia="Times New Roman" w:hAnsi="Times New Roman" w:cs="Times New Roman"/>
                <w:color w:val="000000"/>
                <w:sz w:val="24"/>
                <w:szCs w:val="24"/>
              </w:rPr>
              <w:t xml:space="preserve">vēl ilgāk </w:t>
            </w:r>
            <w:r w:rsidRPr="00491502">
              <w:rPr>
                <w:rFonts w:ascii="Times New Roman" w:eastAsia="Times New Roman" w:hAnsi="Times New Roman" w:cs="Times New Roman"/>
                <w:color w:val="000000"/>
                <w:sz w:val="24"/>
                <w:szCs w:val="24"/>
              </w:rPr>
              <w:t xml:space="preserve">pēc </w:t>
            </w:r>
            <w:r w:rsidR="00A14CDA" w:rsidRPr="00491502">
              <w:rPr>
                <w:rFonts w:ascii="Times New Roman" w:eastAsia="Times New Roman" w:hAnsi="Times New Roman" w:cs="Times New Roman"/>
                <w:color w:val="000000"/>
                <w:sz w:val="24"/>
                <w:szCs w:val="24"/>
              </w:rPr>
              <w:t xml:space="preserve">noteiktā </w:t>
            </w:r>
            <w:r w:rsidRPr="00491502">
              <w:rPr>
                <w:rFonts w:ascii="Times New Roman" w:eastAsia="Times New Roman" w:hAnsi="Times New Roman" w:cs="Times New Roman"/>
                <w:color w:val="000000"/>
                <w:sz w:val="24"/>
                <w:szCs w:val="24"/>
              </w:rPr>
              <w:t>termiņa). Pēc tam, kad ziņojumi ir saņemti, VID IT sistēma apkopo visus datus un sagatavo informāciju nosūtīšanai attiecīgajām citu valstu nodokļu administrācijām, sadalot pa valstīm saņemto informāciju. Ņemot vērā, ka partnervalstu, par kurām tiek ievākta un nosūtīta informācija, skaits palielinās, jāņem vērā arī apstrādājamās informācijas apjoma palielināšanās. Ja informācijas apjoms, kuru VID saņēmis no finanšu iestādēm, ir ļoti liels, tad</w:t>
            </w:r>
            <w:r w:rsidR="00D703CC" w:rsidRPr="00491502">
              <w:rPr>
                <w:rFonts w:ascii="Times New Roman" w:eastAsia="Times New Roman" w:hAnsi="Times New Roman" w:cs="Times New Roman"/>
                <w:color w:val="000000"/>
                <w:sz w:val="24"/>
                <w:szCs w:val="24"/>
              </w:rPr>
              <w:t xml:space="preserve"> </w:t>
            </w:r>
            <w:r w:rsidRPr="00491502">
              <w:rPr>
                <w:rFonts w:ascii="Times New Roman" w:eastAsia="Times New Roman" w:hAnsi="Times New Roman" w:cs="Times New Roman"/>
                <w:color w:val="000000"/>
                <w:sz w:val="24"/>
                <w:szCs w:val="24"/>
              </w:rPr>
              <w:t xml:space="preserve">konkrētās valsts ziņojums vēl VID ir atsevišķi jāapstrādā, lai būtu iespējams to nosūtīt iesaistīto valstu nodokļu administrācijām. </w:t>
            </w:r>
          </w:p>
          <w:p w14:paraId="099193D2" w14:textId="77777777" w:rsidR="00127425" w:rsidRDefault="00127425" w:rsidP="00127425">
            <w:pPr>
              <w:spacing w:after="0" w:line="240" w:lineRule="auto"/>
              <w:ind w:firstLine="260"/>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Ņemot vērā augstāk aprakstīto procesu, ir būtiski, ka finanšu iestāde ne tikai ievēro procedūras, bet arī iesniedz ziņojumu par finanšu kontiem, ievērojot noteiktos termiņus, lai tad attiecīgi Latvija veiktu informācijas apmaiņu ar citu valstu nodokļu administrācijām, ievērojot </w:t>
            </w:r>
            <w:r w:rsidR="00491502" w:rsidRPr="00491502">
              <w:rPr>
                <w:rFonts w:ascii="Times New Roman" w:eastAsia="Times New Roman" w:hAnsi="Times New Roman" w:cs="Times New Roman"/>
                <w:sz w:val="24"/>
                <w:szCs w:val="24"/>
              </w:rPr>
              <w:t xml:space="preserve">likumā un </w:t>
            </w:r>
            <w:r w:rsidRPr="00491502">
              <w:rPr>
                <w:rFonts w:ascii="Times New Roman" w:eastAsia="Times New Roman" w:hAnsi="Times New Roman" w:cs="Times New Roman"/>
                <w:sz w:val="24"/>
                <w:szCs w:val="24"/>
              </w:rPr>
              <w:t>starptautiskajos līgumos, kas ir pamatā automātiskai informācijas apmaiņai, noteiktos termiņus.</w:t>
            </w:r>
          </w:p>
          <w:p w14:paraId="30E0A546" w14:textId="09DB55A8" w:rsidR="000B1E9D" w:rsidRPr="00491502" w:rsidRDefault="00354B8E" w:rsidP="002A0BFD">
            <w:pPr>
              <w:spacing w:after="0" w:line="240" w:lineRule="auto"/>
              <w:ind w:firstLine="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0B1E9D">
              <w:rPr>
                <w:rFonts w:ascii="Times New Roman" w:eastAsia="Times New Roman" w:hAnsi="Times New Roman" w:cs="Times New Roman"/>
                <w:color w:val="000000"/>
                <w:sz w:val="24"/>
                <w:szCs w:val="24"/>
              </w:rPr>
              <w:t xml:space="preserve">āņem vērā, ka likumprojektā noteiktā atbildība ir attiecināma arī uz informācijas apmaiņu par finanšu kontiem ar ASV (FATCA). No valsts finanšu sektora reputācijas aspekta skatoties, būtu svarīgi nodrošināt, ka </w:t>
            </w:r>
            <w:r w:rsidR="0078384B">
              <w:rPr>
                <w:rFonts w:ascii="Times New Roman" w:eastAsia="Times New Roman" w:hAnsi="Times New Roman" w:cs="Times New Roman"/>
                <w:color w:val="000000"/>
                <w:sz w:val="24"/>
                <w:szCs w:val="24"/>
              </w:rPr>
              <w:t>tiek nosūtīta</w:t>
            </w:r>
            <w:r w:rsidR="000B1E9D">
              <w:rPr>
                <w:rFonts w:ascii="Times New Roman" w:eastAsia="Times New Roman" w:hAnsi="Times New Roman" w:cs="Times New Roman"/>
                <w:color w:val="000000"/>
                <w:sz w:val="24"/>
                <w:szCs w:val="24"/>
              </w:rPr>
              <w:t xml:space="preserve"> inform</w:t>
            </w:r>
            <w:r w:rsidR="0078384B">
              <w:rPr>
                <w:rFonts w:ascii="Times New Roman" w:eastAsia="Times New Roman" w:hAnsi="Times New Roman" w:cs="Times New Roman"/>
                <w:color w:val="000000"/>
                <w:sz w:val="24"/>
                <w:szCs w:val="24"/>
              </w:rPr>
              <w:t>ācija</w:t>
            </w:r>
            <w:r w:rsidR="000B1E9D">
              <w:rPr>
                <w:rFonts w:ascii="Times New Roman" w:eastAsia="Times New Roman" w:hAnsi="Times New Roman" w:cs="Times New Roman"/>
                <w:color w:val="000000"/>
                <w:sz w:val="24"/>
                <w:szCs w:val="24"/>
              </w:rPr>
              <w:t xml:space="preserve"> </w:t>
            </w:r>
            <w:r w:rsidR="000B1E9D" w:rsidRPr="00372303">
              <w:rPr>
                <w:rFonts w:ascii="Times New Roman" w:eastAsia="Times New Roman" w:hAnsi="Times New Roman" w:cs="Times New Roman"/>
                <w:color w:val="000000"/>
                <w:sz w:val="24"/>
                <w:szCs w:val="24"/>
                <w:u w:val="single"/>
              </w:rPr>
              <w:t xml:space="preserve">par visiem </w:t>
            </w:r>
            <w:r w:rsidR="0078384B" w:rsidRPr="00372303">
              <w:rPr>
                <w:rFonts w:ascii="Times New Roman" w:eastAsia="Times New Roman" w:hAnsi="Times New Roman" w:cs="Times New Roman"/>
                <w:color w:val="000000"/>
                <w:sz w:val="24"/>
                <w:szCs w:val="24"/>
                <w:u w:val="single"/>
              </w:rPr>
              <w:t>ASV</w:t>
            </w:r>
            <w:r w:rsidR="000B1E9D" w:rsidRPr="00372303">
              <w:rPr>
                <w:rFonts w:ascii="Times New Roman" w:eastAsia="Times New Roman" w:hAnsi="Times New Roman" w:cs="Times New Roman"/>
                <w:color w:val="000000"/>
                <w:sz w:val="24"/>
                <w:szCs w:val="24"/>
                <w:u w:val="single"/>
              </w:rPr>
              <w:t xml:space="preserve"> pilso</w:t>
            </w:r>
            <w:r w:rsidR="0078384B" w:rsidRPr="002A0BFD">
              <w:rPr>
                <w:rFonts w:ascii="Times New Roman" w:eastAsia="Times New Roman" w:hAnsi="Times New Roman" w:cs="Times New Roman"/>
                <w:color w:val="000000"/>
                <w:sz w:val="24"/>
                <w:szCs w:val="24"/>
                <w:u w:val="single"/>
              </w:rPr>
              <w:t>ņu</w:t>
            </w:r>
            <w:r w:rsidR="000B1E9D">
              <w:rPr>
                <w:rFonts w:ascii="Times New Roman" w:eastAsia="Times New Roman" w:hAnsi="Times New Roman" w:cs="Times New Roman"/>
                <w:color w:val="000000"/>
                <w:sz w:val="24"/>
                <w:szCs w:val="24"/>
              </w:rPr>
              <w:t xml:space="preserve"> </w:t>
            </w:r>
            <w:r w:rsidR="0078384B">
              <w:rPr>
                <w:rFonts w:ascii="Times New Roman" w:eastAsia="Times New Roman" w:hAnsi="Times New Roman" w:cs="Times New Roman"/>
                <w:color w:val="000000"/>
                <w:sz w:val="24"/>
                <w:szCs w:val="24"/>
              </w:rPr>
              <w:t>finanšu kontiem</w:t>
            </w:r>
            <w:r w:rsidR="000B1E9D">
              <w:rPr>
                <w:rFonts w:ascii="Times New Roman" w:eastAsia="Times New Roman" w:hAnsi="Times New Roman" w:cs="Times New Roman"/>
                <w:color w:val="000000"/>
                <w:sz w:val="24"/>
                <w:szCs w:val="24"/>
              </w:rPr>
              <w:t xml:space="preserve"> Latvijas finanšu iestādēs</w:t>
            </w:r>
            <w:r w:rsidR="00E26D19">
              <w:rPr>
                <w:rFonts w:ascii="Times New Roman" w:eastAsia="Times New Roman" w:hAnsi="Times New Roman" w:cs="Times New Roman"/>
                <w:color w:val="000000"/>
                <w:sz w:val="24"/>
                <w:szCs w:val="24"/>
              </w:rPr>
              <w:t>, turklāt</w:t>
            </w:r>
            <w:r w:rsidR="0078384B">
              <w:rPr>
                <w:rFonts w:ascii="Times New Roman" w:eastAsia="Times New Roman" w:hAnsi="Times New Roman" w:cs="Times New Roman"/>
                <w:color w:val="000000"/>
                <w:sz w:val="24"/>
                <w:szCs w:val="24"/>
              </w:rPr>
              <w:t xml:space="preserve">, </w:t>
            </w:r>
            <w:r w:rsidR="005704CE">
              <w:rPr>
                <w:rFonts w:ascii="Times New Roman" w:eastAsia="Times New Roman" w:hAnsi="Times New Roman" w:cs="Times New Roman"/>
                <w:color w:val="000000"/>
                <w:sz w:val="24"/>
                <w:szCs w:val="24"/>
              </w:rPr>
              <w:t>svarīgi, lai</w:t>
            </w:r>
            <w:r w:rsidR="0078384B">
              <w:rPr>
                <w:rFonts w:ascii="Times New Roman" w:eastAsia="Times New Roman" w:hAnsi="Times New Roman" w:cs="Times New Roman"/>
                <w:color w:val="000000"/>
                <w:sz w:val="24"/>
                <w:szCs w:val="24"/>
              </w:rPr>
              <w:t xml:space="preserve"> šī informācija ir</w:t>
            </w:r>
            <w:r w:rsidR="00E26D19">
              <w:rPr>
                <w:rFonts w:ascii="Times New Roman" w:eastAsia="Times New Roman" w:hAnsi="Times New Roman" w:cs="Times New Roman"/>
                <w:color w:val="000000"/>
                <w:sz w:val="24"/>
                <w:szCs w:val="24"/>
              </w:rPr>
              <w:t xml:space="preserve"> piln</w:t>
            </w:r>
            <w:r w:rsidR="0078384B">
              <w:rPr>
                <w:rFonts w:ascii="Times New Roman" w:eastAsia="Times New Roman" w:hAnsi="Times New Roman" w:cs="Times New Roman"/>
                <w:color w:val="000000"/>
                <w:sz w:val="24"/>
                <w:szCs w:val="24"/>
              </w:rPr>
              <w:t>īga un patiesa</w:t>
            </w:r>
            <w:r w:rsidR="00E26D19">
              <w:rPr>
                <w:rFonts w:ascii="Times New Roman" w:eastAsia="Times New Roman" w:hAnsi="Times New Roman" w:cs="Times New Roman"/>
                <w:color w:val="000000"/>
                <w:sz w:val="24"/>
                <w:szCs w:val="24"/>
              </w:rPr>
              <w:t>.</w:t>
            </w:r>
            <w:r w:rsidR="00A0076F">
              <w:rPr>
                <w:rFonts w:ascii="Times New Roman" w:eastAsia="Times New Roman" w:hAnsi="Times New Roman" w:cs="Times New Roman"/>
                <w:color w:val="000000"/>
                <w:sz w:val="24"/>
                <w:szCs w:val="24"/>
              </w:rPr>
              <w:t xml:space="preserve"> </w:t>
            </w:r>
            <w:r w:rsidR="00AF274A">
              <w:rPr>
                <w:rFonts w:ascii="Times New Roman" w:eastAsia="Times New Roman" w:hAnsi="Times New Roman" w:cs="Times New Roman"/>
                <w:color w:val="000000"/>
                <w:sz w:val="24"/>
                <w:szCs w:val="24"/>
              </w:rPr>
              <w:t xml:space="preserve">Lai tas tiktu sasniegts, finanšu iestādēm ir jāievēro pienācīgās pārbaudes procedūras un jāievēro ziņojumu iesniegšanas termiņi. </w:t>
            </w:r>
            <w:r w:rsidR="00A0076F">
              <w:rPr>
                <w:rFonts w:ascii="Times New Roman" w:eastAsia="Times New Roman" w:hAnsi="Times New Roman" w:cs="Times New Roman"/>
                <w:color w:val="000000"/>
                <w:sz w:val="24"/>
                <w:szCs w:val="24"/>
              </w:rPr>
              <w:t>Finanšu sektora reputācijas nozīmīgu</w:t>
            </w:r>
            <w:r w:rsidR="00AF274A">
              <w:rPr>
                <w:rFonts w:ascii="Times New Roman" w:eastAsia="Times New Roman" w:hAnsi="Times New Roman" w:cs="Times New Roman"/>
                <w:color w:val="000000"/>
                <w:sz w:val="24"/>
                <w:szCs w:val="24"/>
              </w:rPr>
              <w:t>mu</w:t>
            </w:r>
            <w:r w:rsidR="00A0076F">
              <w:rPr>
                <w:rFonts w:ascii="Times New Roman" w:eastAsia="Times New Roman" w:hAnsi="Times New Roman" w:cs="Times New Roman"/>
                <w:color w:val="000000"/>
                <w:sz w:val="24"/>
                <w:szCs w:val="24"/>
              </w:rPr>
              <w:t xml:space="preserve"> </w:t>
            </w:r>
            <w:r w:rsidR="00AF274A">
              <w:rPr>
                <w:rFonts w:ascii="Times New Roman" w:eastAsia="Times New Roman" w:hAnsi="Times New Roman" w:cs="Times New Roman"/>
                <w:color w:val="000000"/>
                <w:sz w:val="24"/>
                <w:szCs w:val="24"/>
              </w:rPr>
              <w:t xml:space="preserve">šobrīd </w:t>
            </w:r>
            <w:r w:rsidR="00A0076F">
              <w:rPr>
                <w:rFonts w:ascii="Times New Roman" w:eastAsia="Times New Roman" w:hAnsi="Times New Roman" w:cs="Times New Roman"/>
                <w:color w:val="000000"/>
                <w:sz w:val="24"/>
                <w:szCs w:val="24"/>
              </w:rPr>
              <w:t xml:space="preserve">it sevišķi </w:t>
            </w:r>
            <w:r w:rsidR="00AF274A">
              <w:rPr>
                <w:rFonts w:ascii="Times New Roman" w:eastAsia="Times New Roman" w:hAnsi="Times New Roman" w:cs="Times New Roman"/>
                <w:color w:val="000000"/>
                <w:sz w:val="24"/>
                <w:szCs w:val="24"/>
              </w:rPr>
              <w:t xml:space="preserve">var redzēt kopsakarā ar </w:t>
            </w:r>
            <w:proofErr w:type="spellStart"/>
            <w:r w:rsidR="00AF274A">
              <w:rPr>
                <w:rFonts w:ascii="Times New Roman" w:eastAsia="Times New Roman" w:hAnsi="Times New Roman" w:cs="Times New Roman"/>
                <w:color w:val="000000"/>
                <w:sz w:val="24"/>
                <w:szCs w:val="24"/>
              </w:rPr>
              <w:t>Moneyval</w:t>
            </w:r>
            <w:proofErr w:type="spellEnd"/>
            <w:r w:rsidR="00AF274A">
              <w:rPr>
                <w:rFonts w:ascii="Times New Roman" w:eastAsia="Times New Roman" w:hAnsi="Times New Roman" w:cs="Times New Roman"/>
                <w:color w:val="000000"/>
                <w:sz w:val="24"/>
                <w:szCs w:val="24"/>
              </w:rPr>
              <w:t xml:space="preserve"> sniegtajām rekomendācijām.</w:t>
            </w:r>
          </w:p>
          <w:p w14:paraId="35313AEF" w14:textId="77777777" w:rsidR="00127425" w:rsidRPr="00491502" w:rsidRDefault="00127425" w:rsidP="003549F3">
            <w:pPr>
              <w:spacing w:after="0" w:line="240" w:lineRule="auto"/>
              <w:ind w:firstLine="260"/>
              <w:jc w:val="both"/>
              <w:rPr>
                <w:rFonts w:ascii="Times New Roman" w:eastAsia="Times New Roman" w:hAnsi="Times New Roman" w:cs="Times New Roman"/>
                <w:color w:val="000000"/>
                <w:sz w:val="24"/>
                <w:szCs w:val="24"/>
              </w:rPr>
            </w:pPr>
            <w:r w:rsidRPr="00491502">
              <w:rPr>
                <w:rFonts w:ascii="Times New Roman" w:eastAsia="Times New Roman" w:hAnsi="Times New Roman" w:cs="Times New Roman"/>
                <w:color w:val="000000"/>
                <w:sz w:val="24"/>
                <w:szCs w:val="24"/>
              </w:rPr>
              <w:lastRenderedPageBreak/>
              <w:t xml:space="preserve">Ņemot vērā minēto, soda naudas diapazons ir pietiekami plašs, lai konkrētajā situācijā </w:t>
            </w:r>
            <w:r w:rsidR="00633943" w:rsidRPr="00491502">
              <w:rPr>
                <w:rFonts w:ascii="Times New Roman" w:eastAsia="Times New Roman" w:hAnsi="Times New Roman" w:cs="Times New Roman"/>
                <w:color w:val="000000"/>
                <w:sz w:val="24"/>
                <w:szCs w:val="24"/>
              </w:rPr>
              <w:t xml:space="preserve">par attiecīgo pārkāpumu </w:t>
            </w:r>
            <w:r w:rsidRPr="00491502">
              <w:rPr>
                <w:rFonts w:ascii="Times New Roman" w:eastAsia="Times New Roman" w:hAnsi="Times New Roman" w:cs="Times New Roman"/>
                <w:color w:val="000000"/>
                <w:sz w:val="24"/>
                <w:szCs w:val="24"/>
              </w:rPr>
              <w:t>būtu iespējams piemērot samērīgu sodu.</w:t>
            </w:r>
          </w:p>
          <w:p w14:paraId="3CAEA7C2" w14:textId="77777777" w:rsidR="00776538" w:rsidRPr="00491502" w:rsidRDefault="00776538" w:rsidP="00635C40">
            <w:pPr>
              <w:spacing w:after="0" w:line="240" w:lineRule="auto"/>
              <w:ind w:firstLine="260"/>
              <w:jc w:val="both"/>
              <w:rPr>
                <w:rFonts w:ascii="Times New Roman" w:eastAsia="Times New Roman" w:hAnsi="Times New Roman" w:cs="Times New Roman"/>
                <w:color w:val="000000"/>
                <w:sz w:val="24"/>
                <w:szCs w:val="24"/>
              </w:rPr>
            </w:pPr>
            <w:r w:rsidRPr="00491502">
              <w:rPr>
                <w:rFonts w:ascii="Times New Roman" w:eastAsia="Times New Roman" w:hAnsi="Times New Roman" w:cs="Times New Roman"/>
                <w:color w:val="000000"/>
                <w:sz w:val="24"/>
                <w:szCs w:val="24"/>
              </w:rPr>
              <w:t>Likumprojektā noteiktā atbild</w:t>
            </w:r>
            <w:r w:rsidR="00635C40" w:rsidRPr="00491502">
              <w:rPr>
                <w:rFonts w:ascii="Times New Roman" w:eastAsia="Times New Roman" w:hAnsi="Times New Roman" w:cs="Times New Roman"/>
                <w:color w:val="000000"/>
                <w:sz w:val="24"/>
                <w:szCs w:val="24"/>
              </w:rPr>
              <w:t xml:space="preserve">ība nepieciešama, lai atbildība ir noteikta par tādiem pienākumiem, kas ir saistīti ar </w:t>
            </w:r>
            <w:r w:rsidR="00635C40" w:rsidRPr="00491502">
              <w:rPr>
                <w:rFonts w:ascii="Times New Roman" w:eastAsia="Times New Roman" w:hAnsi="Times New Roman" w:cs="Times New Roman"/>
                <w:color w:val="000000"/>
                <w:sz w:val="24"/>
                <w:szCs w:val="24"/>
                <w:u w:val="single"/>
              </w:rPr>
              <w:t>starptautiskās</w:t>
            </w:r>
            <w:r w:rsidR="00635C40" w:rsidRPr="00491502">
              <w:rPr>
                <w:rFonts w:ascii="Times New Roman" w:eastAsia="Times New Roman" w:hAnsi="Times New Roman" w:cs="Times New Roman"/>
                <w:color w:val="000000"/>
                <w:sz w:val="24"/>
                <w:szCs w:val="24"/>
              </w:rPr>
              <w:t xml:space="preserve"> automātiskās informācijas</w:t>
            </w:r>
            <w:r w:rsidR="00491502" w:rsidRPr="00491502">
              <w:rPr>
                <w:rFonts w:ascii="Times New Roman" w:eastAsia="Times New Roman" w:hAnsi="Times New Roman" w:cs="Times New Roman"/>
                <w:color w:val="000000"/>
                <w:sz w:val="24"/>
                <w:szCs w:val="24"/>
              </w:rPr>
              <w:t xml:space="preserve"> apmaiņas</w:t>
            </w:r>
            <w:r w:rsidR="00635C40" w:rsidRPr="00491502">
              <w:rPr>
                <w:rFonts w:ascii="Times New Roman" w:eastAsia="Times New Roman" w:hAnsi="Times New Roman" w:cs="Times New Roman"/>
                <w:color w:val="000000"/>
                <w:sz w:val="24"/>
                <w:szCs w:val="24"/>
              </w:rPr>
              <w:t xml:space="preserve"> jomu, atbildības </w:t>
            </w:r>
            <w:r w:rsidRPr="00491502">
              <w:rPr>
                <w:rFonts w:ascii="Times New Roman" w:eastAsia="Times New Roman" w:hAnsi="Times New Roman" w:cs="Times New Roman"/>
                <w:color w:val="000000"/>
                <w:sz w:val="24"/>
                <w:szCs w:val="24"/>
              </w:rPr>
              <w:t>apmērs būtu ar atturošu raksturu,</w:t>
            </w:r>
            <w:r w:rsidR="002829F0" w:rsidRPr="00491502">
              <w:rPr>
                <w:rFonts w:ascii="Times New Roman" w:eastAsia="Times New Roman" w:hAnsi="Times New Roman" w:cs="Times New Roman"/>
                <w:color w:val="000000"/>
                <w:sz w:val="24"/>
                <w:szCs w:val="24"/>
              </w:rPr>
              <w:t xml:space="preserve"> iespēju piemērot konkrētajai situācijai atbilstošu soda apmēru un </w:t>
            </w:r>
            <w:r w:rsidRPr="00491502">
              <w:rPr>
                <w:rFonts w:ascii="Times New Roman" w:eastAsia="Times New Roman" w:hAnsi="Times New Roman" w:cs="Times New Roman"/>
                <w:color w:val="000000"/>
                <w:sz w:val="24"/>
                <w:szCs w:val="24"/>
              </w:rPr>
              <w:t xml:space="preserve">samērīgs ar </w:t>
            </w:r>
            <w:r w:rsidR="002829F0" w:rsidRPr="00491502">
              <w:rPr>
                <w:rFonts w:ascii="Times New Roman" w:eastAsia="Times New Roman" w:hAnsi="Times New Roman" w:cs="Times New Roman"/>
                <w:color w:val="000000"/>
                <w:sz w:val="24"/>
                <w:szCs w:val="24"/>
              </w:rPr>
              <w:t xml:space="preserve">augstāk </w:t>
            </w:r>
            <w:r w:rsidRPr="00491502">
              <w:rPr>
                <w:rFonts w:ascii="Times New Roman" w:eastAsia="Times New Roman" w:hAnsi="Times New Roman" w:cs="Times New Roman"/>
                <w:color w:val="000000"/>
                <w:sz w:val="24"/>
                <w:szCs w:val="24"/>
              </w:rPr>
              <w:t>minēt</w:t>
            </w:r>
            <w:r w:rsidR="002829F0" w:rsidRPr="00491502">
              <w:rPr>
                <w:rFonts w:ascii="Times New Roman" w:eastAsia="Times New Roman" w:hAnsi="Times New Roman" w:cs="Times New Roman"/>
                <w:color w:val="000000"/>
                <w:sz w:val="24"/>
                <w:szCs w:val="24"/>
              </w:rPr>
              <w:t>ajām iespējamām sekām</w:t>
            </w:r>
            <w:r w:rsidRPr="00491502">
              <w:rPr>
                <w:rFonts w:ascii="Times New Roman" w:eastAsia="Times New Roman" w:hAnsi="Times New Roman" w:cs="Times New Roman"/>
                <w:color w:val="000000"/>
                <w:sz w:val="24"/>
                <w:szCs w:val="24"/>
              </w:rPr>
              <w:t>.</w:t>
            </w:r>
          </w:p>
          <w:p w14:paraId="13669B84" w14:textId="77777777" w:rsidR="00823F5F" w:rsidRPr="00491502" w:rsidRDefault="00B35680" w:rsidP="00323659">
            <w:pPr>
              <w:spacing w:after="0" w:line="240" w:lineRule="auto"/>
              <w:ind w:firstLine="251"/>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Kā </w:t>
            </w:r>
            <w:r w:rsidR="004E3287" w:rsidRPr="00491502">
              <w:rPr>
                <w:rFonts w:ascii="Times New Roman" w:eastAsia="Times New Roman" w:hAnsi="Times New Roman" w:cs="Times New Roman"/>
                <w:color w:val="000000"/>
                <w:sz w:val="24"/>
                <w:szCs w:val="24"/>
              </w:rPr>
              <w:t>labās prakses</w:t>
            </w:r>
            <w:r>
              <w:rPr>
                <w:rFonts w:ascii="Times New Roman" w:eastAsia="Times New Roman" w:hAnsi="Times New Roman" w:cs="Times New Roman"/>
                <w:color w:val="000000"/>
                <w:sz w:val="24"/>
                <w:szCs w:val="24"/>
              </w:rPr>
              <w:t xml:space="preserve"> </w:t>
            </w:r>
            <w:r w:rsidR="004E3287" w:rsidRPr="00491502">
              <w:rPr>
                <w:rFonts w:ascii="Times New Roman" w:eastAsia="Times New Roman" w:hAnsi="Times New Roman" w:cs="Times New Roman"/>
                <w:color w:val="000000"/>
                <w:sz w:val="24"/>
                <w:szCs w:val="24"/>
              </w:rPr>
              <w:t>piemēru var minēt Beļģiju, kur ir noteikts naudas sods finanšu iestādei par katru kontu, par kuru neziņoja vai netika ievērotas pienācīgo pārbaužu procedūras, kā arī par kuru tika ziņota nepatiesa vai nepilnīga informācija – 1 000 </w:t>
            </w:r>
            <w:proofErr w:type="spellStart"/>
            <w:r w:rsidR="004E3287" w:rsidRPr="00491502">
              <w:rPr>
                <w:rFonts w:ascii="Times New Roman" w:eastAsia="Times New Roman" w:hAnsi="Times New Roman" w:cs="Times New Roman"/>
                <w:i/>
                <w:iCs/>
                <w:color w:val="000000"/>
                <w:sz w:val="24"/>
                <w:szCs w:val="24"/>
              </w:rPr>
              <w:t>euro</w:t>
            </w:r>
            <w:proofErr w:type="spellEnd"/>
            <w:r w:rsidR="00323659" w:rsidRPr="00491502">
              <w:rPr>
                <w:rFonts w:ascii="Times New Roman" w:eastAsia="Times New Roman" w:hAnsi="Times New Roman" w:cs="Times New Roman"/>
                <w:color w:val="000000"/>
                <w:sz w:val="24"/>
                <w:szCs w:val="24"/>
              </w:rPr>
              <w:t xml:space="preserve"> apmērā, </w:t>
            </w:r>
            <w:r w:rsidR="004E3287" w:rsidRPr="00491502">
              <w:rPr>
                <w:rFonts w:ascii="Times New Roman" w:eastAsia="Times New Roman" w:hAnsi="Times New Roman" w:cs="Times New Roman"/>
                <w:color w:val="000000"/>
                <w:sz w:val="24"/>
                <w:szCs w:val="24"/>
              </w:rPr>
              <w:t>Slovākijā var sodīt finanšu iestādi ar naudas sodu līdz 10 000 </w:t>
            </w:r>
            <w:proofErr w:type="spellStart"/>
            <w:r w:rsidR="004E3287" w:rsidRPr="00491502">
              <w:rPr>
                <w:rFonts w:ascii="Times New Roman" w:eastAsia="Times New Roman" w:hAnsi="Times New Roman" w:cs="Times New Roman"/>
                <w:i/>
                <w:color w:val="000000"/>
                <w:sz w:val="24"/>
                <w:szCs w:val="24"/>
              </w:rPr>
              <w:t>euro</w:t>
            </w:r>
            <w:proofErr w:type="spellEnd"/>
            <w:r w:rsidR="004E3287" w:rsidRPr="00491502">
              <w:rPr>
                <w:rFonts w:ascii="Times New Roman" w:eastAsia="Times New Roman" w:hAnsi="Times New Roman" w:cs="Times New Roman"/>
                <w:color w:val="000000"/>
                <w:sz w:val="24"/>
                <w:szCs w:val="24"/>
              </w:rPr>
              <w:t xml:space="preserve">, </w:t>
            </w:r>
            <w:r w:rsidR="00A77C40" w:rsidRPr="00491502">
              <w:rPr>
                <w:rFonts w:ascii="Times New Roman" w:eastAsia="Times New Roman" w:hAnsi="Times New Roman" w:cs="Times New Roman"/>
                <w:color w:val="000000"/>
                <w:sz w:val="24"/>
                <w:szCs w:val="24"/>
              </w:rPr>
              <w:t>Igaunijā līdz 3 200 </w:t>
            </w:r>
            <w:proofErr w:type="spellStart"/>
            <w:r w:rsidR="00A77C40" w:rsidRPr="00491502">
              <w:rPr>
                <w:rFonts w:ascii="Times New Roman" w:eastAsia="Times New Roman" w:hAnsi="Times New Roman" w:cs="Times New Roman"/>
                <w:i/>
                <w:color w:val="000000"/>
                <w:sz w:val="24"/>
                <w:szCs w:val="24"/>
              </w:rPr>
              <w:t>euro</w:t>
            </w:r>
            <w:proofErr w:type="spellEnd"/>
            <w:r w:rsidR="00A77C40" w:rsidRPr="00491502">
              <w:rPr>
                <w:rFonts w:ascii="Times New Roman" w:eastAsia="Times New Roman" w:hAnsi="Times New Roman" w:cs="Times New Roman"/>
                <w:color w:val="000000"/>
                <w:sz w:val="24"/>
                <w:szCs w:val="24"/>
              </w:rPr>
              <w:t xml:space="preserve">, </w:t>
            </w:r>
            <w:r w:rsidR="004E3287" w:rsidRPr="00491502">
              <w:rPr>
                <w:rFonts w:ascii="Times New Roman" w:eastAsia="Times New Roman" w:hAnsi="Times New Roman" w:cs="Times New Roman"/>
                <w:color w:val="000000"/>
                <w:sz w:val="24"/>
                <w:szCs w:val="24"/>
              </w:rPr>
              <w:t xml:space="preserve">savukārt Slovēnijā noteiktais soda apmērs ir no 1 600 līdz 25 000 </w:t>
            </w:r>
            <w:proofErr w:type="spellStart"/>
            <w:r w:rsidR="004E3287" w:rsidRPr="00491502">
              <w:rPr>
                <w:rFonts w:ascii="Times New Roman" w:eastAsia="Times New Roman" w:hAnsi="Times New Roman" w:cs="Times New Roman"/>
                <w:i/>
                <w:iCs/>
                <w:color w:val="000000"/>
                <w:sz w:val="24"/>
                <w:szCs w:val="24"/>
              </w:rPr>
              <w:t>euro</w:t>
            </w:r>
            <w:proofErr w:type="spellEnd"/>
            <w:r w:rsidR="004E3287" w:rsidRPr="00491502">
              <w:rPr>
                <w:rFonts w:ascii="Times New Roman" w:eastAsia="Times New Roman" w:hAnsi="Times New Roman" w:cs="Times New Roman"/>
                <w:i/>
                <w:iCs/>
                <w:color w:val="000000"/>
                <w:sz w:val="24"/>
                <w:szCs w:val="24"/>
              </w:rPr>
              <w:t>.</w:t>
            </w:r>
          </w:p>
          <w:p w14:paraId="6268C8DB" w14:textId="77777777" w:rsidR="00043D68" w:rsidRPr="00491502" w:rsidRDefault="00043D68" w:rsidP="009C4061">
            <w:pPr>
              <w:spacing w:after="0" w:line="240" w:lineRule="auto"/>
              <w:ind w:firstLine="247"/>
              <w:jc w:val="both"/>
              <w:rPr>
                <w:rFonts w:ascii="Times New Roman" w:eastAsia="Times New Roman" w:hAnsi="Times New Roman"/>
                <w:spacing w:val="-2"/>
                <w:sz w:val="24"/>
                <w:szCs w:val="24"/>
              </w:rPr>
            </w:pPr>
            <w:r w:rsidRPr="00491502">
              <w:rPr>
                <w:rFonts w:ascii="Times New Roman" w:eastAsia="Times New Roman" w:hAnsi="Times New Roman"/>
                <w:spacing w:val="-2"/>
                <w:sz w:val="24"/>
                <w:szCs w:val="24"/>
              </w:rPr>
              <w:t xml:space="preserve">Kā izriet no </w:t>
            </w:r>
            <w:r w:rsidRPr="00491502">
              <w:rPr>
                <w:rFonts w:ascii="Times New Roman" w:eastAsia="Times New Roman" w:hAnsi="Times New Roman" w:cs="Times New Roman"/>
                <w:color w:val="000000"/>
                <w:sz w:val="24"/>
                <w:szCs w:val="24"/>
              </w:rPr>
              <w:t xml:space="preserve">MK noteikumiem Nr. 397, </w:t>
            </w:r>
            <w:proofErr w:type="spellStart"/>
            <w:r w:rsidRPr="00491502">
              <w:rPr>
                <w:rFonts w:ascii="Times New Roman" w:eastAsia="Times New Roman" w:hAnsi="Times New Roman"/>
                <w:spacing w:val="-2"/>
                <w:sz w:val="24"/>
                <w:szCs w:val="24"/>
              </w:rPr>
              <w:t>CbCr</w:t>
            </w:r>
            <w:proofErr w:type="spellEnd"/>
            <w:r w:rsidRPr="00491502">
              <w:rPr>
                <w:rFonts w:ascii="Times New Roman" w:eastAsia="Times New Roman" w:hAnsi="Times New Roman"/>
                <w:spacing w:val="-2"/>
                <w:sz w:val="24"/>
                <w:szCs w:val="24"/>
              </w:rPr>
              <w:t xml:space="preserve"> ir jāiesniedz tādu starptautisku uzņēmumu grupām, kuru apgrozījums (konsolidētais) iepriekšējā pārskata gadā ir bijis vismaz 750 milj. </w:t>
            </w:r>
            <w:proofErr w:type="spellStart"/>
            <w:r w:rsidRPr="00491502">
              <w:rPr>
                <w:rFonts w:ascii="Times New Roman" w:eastAsia="Times New Roman" w:hAnsi="Times New Roman"/>
                <w:i/>
                <w:spacing w:val="-2"/>
                <w:sz w:val="24"/>
                <w:szCs w:val="24"/>
              </w:rPr>
              <w:t>euro</w:t>
            </w:r>
            <w:proofErr w:type="spellEnd"/>
            <w:r w:rsidRPr="00491502">
              <w:rPr>
                <w:rFonts w:ascii="Times New Roman" w:eastAsia="Times New Roman" w:hAnsi="Times New Roman"/>
                <w:i/>
                <w:spacing w:val="-2"/>
                <w:sz w:val="24"/>
                <w:szCs w:val="24"/>
              </w:rPr>
              <w:t>.</w:t>
            </w:r>
            <w:r w:rsidRPr="00491502">
              <w:rPr>
                <w:rFonts w:ascii="Times New Roman" w:eastAsia="Times New Roman" w:hAnsi="Times New Roman"/>
                <w:spacing w:val="-2"/>
                <w:sz w:val="24"/>
                <w:szCs w:val="24"/>
              </w:rPr>
              <w:t xml:space="preserve"> Pārskats</w:t>
            </w:r>
            <w:r w:rsidRPr="00491502">
              <w:rPr>
                <w:rFonts w:ascii="Times New Roman" w:eastAsia="Times New Roman" w:hAnsi="Times New Roman" w:cs="Times New Roman"/>
                <w:color w:val="000000"/>
                <w:sz w:val="24"/>
                <w:szCs w:val="24"/>
              </w:rPr>
              <w:t xml:space="preserve"> </w:t>
            </w:r>
            <w:r w:rsidRPr="00491502">
              <w:rPr>
                <w:rFonts w:ascii="Times New Roman" w:eastAsia="Times New Roman" w:hAnsi="Times New Roman"/>
                <w:spacing w:val="-2"/>
                <w:sz w:val="24"/>
                <w:szCs w:val="24"/>
              </w:rPr>
              <w:t xml:space="preserve">ietver datus par starptautiskas uzņēmumu grupas ienākumu, materiālo aktīvu, darbinieku, nodokļu un citu ekonomisko indikatoru izvietojumu sadalījumā pa valstīm. Turklāt, pateicoties </w:t>
            </w:r>
            <w:proofErr w:type="spellStart"/>
            <w:r w:rsidRPr="00491502">
              <w:rPr>
                <w:rFonts w:ascii="Times New Roman" w:eastAsia="Times New Roman" w:hAnsi="Times New Roman"/>
                <w:spacing w:val="-2"/>
                <w:sz w:val="24"/>
                <w:szCs w:val="24"/>
              </w:rPr>
              <w:t>CbCr</w:t>
            </w:r>
            <w:proofErr w:type="spellEnd"/>
            <w:r w:rsidRPr="00491502">
              <w:rPr>
                <w:rFonts w:ascii="Times New Roman" w:eastAsia="Times New Roman" w:hAnsi="Times New Roman"/>
                <w:spacing w:val="-2"/>
                <w:sz w:val="24"/>
                <w:szCs w:val="24"/>
              </w:rPr>
              <w:t xml:space="preserve">, VID kļūst pieejama informācija par starptautisku grupu uzņēmumiem un to atrašanās vietām, kura nav atrodama, piemēram, gada pārskatā. </w:t>
            </w:r>
            <w:proofErr w:type="spellStart"/>
            <w:r w:rsidRPr="00491502">
              <w:rPr>
                <w:rFonts w:ascii="Times New Roman" w:eastAsia="Times New Roman" w:hAnsi="Times New Roman"/>
                <w:spacing w:val="-2"/>
                <w:sz w:val="24"/>
                <w:szCs w:val="24"/>
              </w:rPr>
              <w:t>CbCr</w:t>
            </w:r>
            <w:proofErr w:type="spellEnd"/>
            <w:r w:rsidRPr="00491502">
              <w:rPr>
                <w:rFonts w:ascii="Times New Roman" w:eastAsia="Times New Roman" w:hAnsi="Times New Roman"/>
                <w:spacing w:val="-2"/>
                <w:sz w:val="24"/>
                <w:szCs w:val="24"/>
              </w:rPr>
              <w:t xml:space="preserve"> iekļautā informācija ir sākotnējā informācija, lai uzsāktu pārbaudi, vai attiecīgajā gadījumā nodokļu maksātājs ir nepamatoti samazinājis nodokļu slogu, veicot darījumus, kuru cena neatbilst tirgus cenai. Turklāt, saņemot </w:t>
            </w:r>
            <w:proofErr w:type="spellStart"/>
            <w:r w:rsidRPr="00491502">
              <w:rPr>
                <w:rFonts w:ascii="Times New Roman" w:eastAsia="Times New Roman" w:hAnsi="Times New Roman"/>
                <w:spacing w:val="-2"/>
                <w:sz w:val="24"/>
                <w:szCs w:val="24"/>
              </w:rPr>
              <w:t>CbCr</w:t>
            </w:r>
            <w:proofErr w:type="spellEnd"/>
            <w:r w:rsidRPr="00491502">
              <w:rPr>
                <w:rFonts w:ascii="Times New Roman" w:eastAsia="Times New Roman" w:hAnsi="Times New Roman"/>
                <w:spacing w:val="-2"/>
                <w:sz w:val="24"/>
                <w:szCs w:val="24"/>
              </w:rPr>
              <w:t xml:space="preserve">, VID ir pieejama informācija, no kuras var izsecināt, kurai jurisdikcijai var prasīt detalizētāku informāciju. Tas nozīmē, ka, lai arī šī ir tikai sākotnējā informācija, no kuras nevar izdarīt secinājumus, tā ir būtiska, jo satur informāciju, kura pretējā gadījumā VID būtu grūti pieejama. Ņemot arī vērā, ka gadījumā, ja Latvija ir tā vienīgā valsts ES, kura saņem no starptautiskas uzņēmumu grupas </w:t>
            </w:r>
            <w:proofErr w:type="spellStart"/>
            <w:r w:rsidRPr="00491502">
              <w:rPr>
                <w:rFonts w:ascii="Times New Roman" w:eastAsia="Times New Roman" w:hAnsi="Times New Roman"/>
                <w:spacing w:val="-2"/>
                <w:sz w:val="24"/>
                <w:szCs w:val="24"/>
              </w:rPr>
              <w:t>CbCr</w:t>
            </w:r>
            <w:proofErr w:type="spellEnd"/>
            <w:r w:rsidRPr="00491502">
              <w:rPr>
                <w:rFonts w:ascii="Times New Roman" w:eastAsia="Times New Roman" w:hAnsi="Times New Roman"/>
                <w:spacing w:val="-2"/>
                <w:sz w:val="24"/>
                <w:szCs w:val="24"/>
              </w:rPr>
              <w:t xml:space="preserve">, Latvija šo pārskatu </w:t>
            </w:r>
            <w:proofErr w:type="spellStart"/>
            <w:r w:rsidRPr="00491502">
              <w:rPr>
                <w:rFonts w:ascii="Times New Roman" w:eastAsia="Times New Roman" w:hAnsi="Times New Roman"/>
                <w:spacing w:val="-2"/>
                <w:sz w:val="24"/>
                <w:szCs w:val="24"/>
              </w:rPr>
              <w:t>nosūta</w:t>
            </w:r>
            <w:proofErr w:type="spellEnd"/>
            <w:r w:rsidRPr="00491502">
              <w:rPr>
                <w:rFonts w:ascii="Times New Roman" w:eastAsia="Times New Roman" w:hAnsi="Times New Roman"/>
                <w:spacing w:val="-2"/>
                <w:sz w:val="24"/>
                <w:szCs w:val="24"/>
              </w:rPr>
              <w:t xml:space="preserve"> arī tai jurisdikcijai, kurā atrodas kāds starptautiskās grupas uzņēmums.</w:t>
            </w:r>
          </w:p>
          <w:p w14:paraId="68EE5259" w14:textId="77777777" w:rsidR="00043D68" w:rsidRPr="00491502" w:rsidRDefault="00323659" w:rsidP="009C4061">
            <w:pPr>
              <w:spacing w:after="0" w:line="240" w:lineRule="auto"/>
              <w:ind w:firstLine="247"/>
              <w:jc w:val="both"/>
              <w:rPr>
                <w:rFonts w:ascii="Times New Roman" w:eastAsia="Times New Roman" w:hAnsi="Times New Roman" w:cs="Times New Roman"/>
                <w:color w:val="000000"/>
                <w:sz w:val="24"/>
                <w:szCs w:val="24"/>
              </w:rPr>
            </w:pPr>
            <w:r w:rsidRPr="00491502">
              <w:rPr>
                <w:rFonts w:ascii="Times New Roman" w:eastAsia="Times New Roman" w:hAnsi="Times New Roman" w:cs="Times New Roman"/>
                <w:sz w:val="24"/>
                <w:szCs w:val="24"/>
              </w:rPr>
              <w:t xml:space="preserve">Likumprojekta 3. panta otrajā daļā ir noteikta soda nauda līdz 1% no nodokļu maksātāja </w:t>
            </w:r>
            <w:r w:rsidR="00372303">
              <w:rPr>
                <w:rFonts w:ascii="Times New Roman" w:eastAsia="Times New Roman" w:hAnsi="Times New Roman" w:cs="Times New Roman"/>
                <w:sz w:val="24"/>
                <w:szCs w:val="24"/>
              </w:rPr>
              <w:t xml:space="preserve">gada </w:t>
            </w:r>
            <w:r w:rsidRPr="00491502">
              <w:rPr>
                <w:rFonts w:ascii="Times New Roman" w:eastAsia="Times New Roman" w:hAnsi="Times New Roman" w:cs="Times New Roman"/>
                <w:sz w:val="24"/>
                <w:szCs w:val="24"/>
              </w:rPr>
              <w:t>apgrozījuma (ieņēmumi</w:t>
            </w:r>
            <w:r w:rsidR="00372303">
              <w:rPr>
                <w:rFonts w:ascii="Times New Roman" w:eastAsia="Times New Roman" w:hAnsi="Times New Roman" w:cs="Times New Roman"/>
                <w:sz w:val="24"/>
                <w:szCs w:val="24"/>
              </w:rPr>
              <w:t>em</w:t>
            </w:r>
            <w:r w:rsidRPr="00491502">
              <w:rPr>
                <w:rFonts w:ascii="Times New Roman" w:eastAsia="Times New Roman" w:hAnsi="Times New Roman" w:cs="Times New Roman"/>
                <w:sz w:val="24"/>
                <w:szCs w:val="24"/>
              </w:rPr>
              <w:t>) attiecīgajā pārskata periodā, bet ne vairāk kā 3 200 </w:t>
            </w:r>
            <w:proofErr w:type="spellStart"/>
            <w:r w:rsidRPr="00811705">
              <w:rPr>
                <w:rFonts w:ascii="Times New Roman" w:eastAsia="Times New Roman" w:hAnsi="Times New Roman" w:cs="Times New Roman"/>
                <w:i/>
                <w:sz w:val="24"/>
                <w:szCs w:val="24"/>
              </w:rPr>
              <w:t>euro</w:t>
            </w:r>
            <w:proofErr w:type="spellEnd"/>
            <w:r w:rsidRPr="00491502">
              <w:rPr>
                <w:rFonts w:ascii="Times New Roman" w:eastAsia="Times New Roman" w:hAnsi="Times New Roman" w:cs="Times New Roman"/>
                <w:sz w:val="24"/>
                <w:szCs w:val="24"/>
              </w:rPr>
              <w:t xml:space="preserve">, ja nodokļu maksātājs nav iesniedzis starptautiskas uzņēmumu grupas pārskatu par katru valsti nodokļu normatīvajos aktos noteiktā termiņā vai nav ievērojis starptautiskas uzņēmumu grupas pārskata par katru valsti normatīvajos aktos </w:t>
            </w:r>
            <w:r w:rsidRPr="00491502">
              <w:rPr>
                <w:rFonts w:ascii="Times New Roman" w:eastAsia="Times New Roman" w:hAnsi="Times New Roman" w:cs="Times New Roman"/>
                <w:sz w:val="24"/>
                <w:szCs w:val="24"/>
              </w:rPr>
              <w:lastRenderedPageBreak/>
              <w:t>paredzētās sagatavošanas un iesniegšanas kārtību</w:t>
            </w:r>
            <w:r w:rsidR="00043D68" w:rsidRPr="00491502">
              <w:rPr>
                <w:rFonts w:ascii="Times New Roman" w:eastAsia="Times New Roman" w:hAnsi="Times New Roman" w:cs="Times New Roman"/>
                <w:sz w:val="24"/>
                <w:szCs w:val="24"/>
              </w:rPr>
              <w:t xml:space="preserve">. </w:t>
            </w:r>
            <w:r w:rsidR="00861976" w:rsidRPr="00491502">
              <w:rPr>
                <w:rFonts w:ascii="Times New Roman" w:eastAsia="Times New Roman" w:hAnsi="Times New Roman" w:cs="Times New Roman"/>
                <w:color w:val="000000"/>
                <w:sz w:val="24"/>
                <w:szCs w:val="24"/>
              </w:rPr>
              <w:t>M</w:t>
            </w:r>
            <w:r w:rsidR="00861976" w:rsidRPr="00491502">
              <w:rPr>
                <w:rFonts w:ascii="Times New Roman" w:eastAsia="Times New Roman" w:hAnsi="Times New Roman"/>
                <w:spacing w:val="-2"/>
                <w:sz w:val="24"/>
                <w:szCs w:val="24"/>
              </w:rPr>
              <w:t>aksimālais</w:t>
            </w:r>
            <w:r w:rsidR="00043D68" w:rsidRPr="00491502">
              <w:rPr>
                <w:rFonts w:ascii="Times New Roman" w:eastAsia="Times New Roman" w:hAnsi="Times New Roman"/>
                <w:spacing w:val="-2"/>
                <w:sz w:val="24"/>
                <w:szCs w:val="24"/>
              </w:rPr>
              <w:t xml:space="preserve"> soda </w:t>
            </w:r>
            <w:r w:rsidR="00322B07" w:rsidRPr="00491502">
              <w:rPr>
                <w:rFonts w:ascii="Times New Roman" w:eastAsia="Times New Roman" w:hAnsi="Times New Roman"/>
                <w:spacing w:val="-2"/>
                <w:sz w:val="24"/>
                <w:szCs w:val="24"/>
              </w:rPr>
              <w:t xml:space="preserve">naudas </w:t>
            </w:r>
            <w:r w:rsidR="00043D68" w:rsidRPr="00491502">
              <w:rPr>
                <w:rFonts w:ascii="Times New Roman" w:eastAsia="Times New Roman" w:hAnsi="Times New Roman"/>
                <w:spacing w:val="-2"/>
                <w:sz w:val="24"/>
                <w:szCs w:val="24"/>
              </w:rPr>
              <w:t>līmenis ir tuv</w:t>
            </w:r>
            <w:r w:rsidR="00D94A9A" w:rsidRPr="00491502">
              <w:rPr>
                <w:rFonts w:ascii="Times New Roman" w:eastAsia="Times New Roman" w:hAnsi="Times New Roman"/>
                <w:spacing w:val="-2"/>
                <w:sz w:val="24"/>
                <w:szCs w:val="24"/>
              </w:rPr>
              <w:t>u</w:t>
            </w:r>
            <w:r w:rsidR="00043D68" w:rsidRPr="00491502">
              <w:rPr>
                <w:rFonts w:ascii="Times New Roman" w:eastAsia="Times New Roman" w:hAnsi="Times New Roman"/>
                <w:spacing w:val="-2"/>
                <w:sz w:val="24"/>
                <w:szCs w:val="24"/>
              </w:rPr>
              <w:t xml:space="preserve"> Igaunijā noteiktam. Tas ir vērā ņemams, jo starptautiskas uzņēmumu grupas pašas izvēlas, kurš, piemēram, meitas uzņēmums sniegs </w:t>
            </w:r>
            <w:proofErr w:type="spellStart"/>
            <w:r w:rsidR="00043D68" w:rsidRPr="00491502">
              <w:rPr>
                <w:rFonts w:ascii="Times New Roman" w:eastAsia="Times New Roman" w:hAnsi="Times New Roman"/>
                <w:spacing w:val="-2"/>
                <w:sz w:val="24"/>
                <w:szCs w:val="24"/>
              </w:rPr>
              <w:t>CbCr</w:t>
            </w:r>
            <w:proofErr w:type="spellEnd"/>
            <w:r w:rsidR="00043D68" w:rsidRPr="00491502">
              <w:rPr>
                <w:rFonts w:ascii="Times New Roman" w:eastAsia="Times New Roman" w:hAnsi="Times New Roman"/>
                <w:spacing w:val="-2"/>
                <w:sz w:val="24"/>
                <w:szCs w:val="24"/>
              </w:rPr>
              <w:t xml:space="preserve">, un lai tādējādi nebūtu situācija, ka Latvijā neievērot normatīvo regulējumu attiecībā uz </w:t>
            </w:r>
            <w:proofErr w:type="spellStart"/>
            <w:r w:rsidR="00043D68" w:rsidRPr="00491502">
              <w:rPr>
                <w:rFonts w:ascii="Times New Roman" w:eastAsia="Times New Roman" w:hAnsi="Times New Roman"/>
                <w:spacing w:val="-2"/>
                <w:sz w:val="24"/>
                <w:szCs w:val="24"/>
              </w:rPr>
              <w:t>CbCr</w:t>
            </w:r>
            <w:proofErr w:type="spellEnd"/>
            <w:r w:rsidR="00043D68" w:rsidRPr="00491502">
              <w:rPr>
                <w:rFonts w:ascii="Times New Roman" w:eastAsia="Times New Roman" w:hAnsi="Times New Roman"/>
                <w:spacing w:val="-2"/>
                <w:sz w:val="24"/>
                <w:szCs w:val="24"/>
              </w:rPr>
              <w:t xml:space="preserve"> būtu izdevīgāk.</w:t>
            </w:r>
          </w:p>
          <w:p w14:paraId="19DA038A" w14:textId="77777777" w:rsidR="00043D68" w:rsidRPr="00491502" w:rsidRDefault="00043D68" w:rsidP="009C4061">
            <w:pPr>
              <w:spacing w:after="0" w:line="240" w:lineRule="auto"/>
              <w:ind w:firstLine="247"/>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Salīdzinājumā ar citām valstīm – Slovākijā par pārskata neiesniegšanu noteikts sods līdz 10 000 </w:t>
            </w:r>
            <w:proofErr w:type="spellStart"/>
            <w:r w:rsidRPr="00491502">
              <w:rPr>
                <w:rFonts w:ascii="Times New Roman" w:eastAsia="Times New Roman" w:hAnsi="Times New Roman" w:cs="Times New Roman"/>
                <w:i/>
                <w:sz w:val="24"/>
                <w:szCs w:val="24"/>
              </w:rPr>
              <w:t>euro</w:t>
            </w:r>
            <w:proofErr w:type="spellEnd"/>
            <w:r w:rsidRPr="00491502">
              <w:rPr>
                <w:rFonts w:ascii="Times New Roman" w:eastAsia="Times New Roman" w:hAnsi="Times New Roman" w:cs="Times New Roman"/>
                <w:sz w:val="24"/>
                <w:szCs w:val="24"/>
              </w:rPr>
              <w:t>, bet par noteiktās kārtības neievērošanu – līdz 3 000 </w:t>
            </w:r>
            <w:proofErr w:type="spellStart"/>
            <w:r w:rsidRPr="00491502">
              <w:rPr>
                <w:rFonts w:ascii="Times New Roman" w:eastAsia="Times New Roman" w:hAnsi="Times New Roman" w:cs="Times New Roman"/>
                <w:i/>
                <w:sz w:val="24"/>
                <w:szCs w:val="24"/>
              </w:rPr>
              <w:t>euro</w:t>
            </w:r>
            <w:proofErr w:type="spellEnd"/>
            <w:r w:rsidRPr="00491502">
              <w:rPr>
                <w:rFonts w:ascii="Times New Roman" w:eastAsia="Times New Roman" w:hAnsi="Times New Roman" w:cs="Times New Roman"/>
                <w:sz w:val="24"/>
                <w:szCs w:val="24"/>
              </w:rPr>
              <w:t xml:space="preserve">; Slovēnijā - no 1 200 </w:t>
            </w:r>
            <w:proofErr w:type="spellStart"/>
            <w:r w:rsidRPr="00491502">
              <w:rPr>
                <w:rFonts w:ascii="Times New Roman" w:eastAsia="Times New Roman" w:hAnsi="Times New Roman" w:cs="Times New Roman"/>
                <w:i/>
                <w:sz w:val="24"/>
                <w:szCs w:val="24"/>
              </w:rPr>
              <w:t>euro</w:t>
            </w:r>
            <w:proofErr w:type="spellEnd"/>
            <w:r w:rsidRPr="00491502">
              <w:rPr>
                <w:rFonts w:ascii="Times New Roman" w:eastAsia="Times New Roman" w:hAnsi="Times New Roman" w:cs="Times New Roman"/>
                <w:i/>
                <w:sz w:val="24"/>
                <w:szCs w:val="24"/>
              </w:rPr>
              <w:t xml:space="preserve"> </w:t>
            </w:r>
            <w:r w:rsidRPr="00491502">
              <w:rPr>
                <w:rFonts w:ascii="Times New Roman" w:eastAsia="Times New Roman" w:hAnsi="Times New Roman" w:cs="Times New Roman"/>
                <w:sz w:val="24"/>
                <w:szCs w:val="24"/>
              </w:rPr>
              <w:t>līdz</w:t>
            </w:r>
            <w:r w:rsidRPr="00491502">
              <w:rPr>
                <w:rFonts w:ascii="Times New Roman" w:eastAsia="Times New Roman" w:hAnsi="Times New Roman" w:cs="Times New Roman"/>
                <w:i/>
                <w:sz w:val="24"/>
                <w:szCs w:val="24"/>
              </w:rPr>
              <w:t xml:space="preserve"> </w:t>
            </w:r>
            <w:r w:rsidRPr="00491502">
              <w:rPr>
                <w:rFonts w:ascii="Times New Roman" w:eastAsia="Times New Roman" w:hAnsi="Times New Roman" w:cs="Times New Roman"/>
                <w:sz w:val="24"/>
                <w:szCs w:val="24"/>
              </w:rPr>
              <w:t>pat 30 000 </w:t>
            </w:r>
            <w:proofErr w:type="spellStart"/>
            <w:r w:rsidRPr="00491502">
              <w:rPr>
                <w:rFonts w:ascii="Times New Roman" w:eastAsia="Times New Roman" w:hAnsi="Times New Roman" w:cs="Times New Roman"/>
                <w:i/>
                <w:sz w:val="24"/>
                <w:szCs w:val="24"/>
              </w:rPr>
              <w:t>euro</w:t>
            </w:r>
            <w:proofErr w:type="spellEnd"/>
            <w:r w:rsidRPr="00491502">
              <w:rPr>
                <w:rFonts w:ascii="Times New Roman" w:eastAsia="Times New Roman" w:hAnsi="Times New Roman" w:cs="Times New Roman"/>
                <w:i/>
                <w:sz w:val="24"/>
                <w:szCs w:val="24"/>
              </w:rPr>
              <w:t xml:space="preserve"> </w:t>
            </w:r>
            <w:r w:rsidRPr="00491502">
              <w:rPr>
                <w:rFonts w:ascii="Times New Roman" w:eastAsia="Times New Roman" w:hAnsi="Times New Roman" w:cs="Times New Roman"/>
                <w:sz w:val="24"/>
                <w:szCs w:val="24"/>
              </w:rPr>
              <w:t>vidēja un liela izmēra uzņēmumiem; Igaunijā ir noteikts sods līdz 3 300 </w:t>
            </w:r>
            <w:proofErr w:type="spellStart"/>
            <w:r w:rsidRPr="00491502">
              <w:rPr>
                <w:rFonts w:ascii="Times New Roman" w:eastAsia="Times New Roman" w:hAnsi="Times New Roman" w:cs="Times New Roman"/>
                <w:i/>
                <w:sz w:val="24"/>
                <w:szCs w:val="24"/>
              </w:rPr>
              <w:t>euro</w:t>
            </w:r>
            <w:proofErr w:type="spellEnd"/>
            <w:r w:rsidRPr="00491502">
              <w:rPr>
                <w:rFonts w:ascii="Times New Roman" w:eastAsia="Times New Roman" w:hAnsi="Times New Roman" w:cs="Times New Roman"/>
                <w:i/>
                <w:sz w:val="24"/>
                <w:szCs w:val="24"/>
              </w:rPr>
              <w:t>.</w:t>
            </w:r>
          </w:p>
          <w:p w14:paraId="5BC68B7D" w14:textId="77777777" w:rsidR="00861976" w:rsidRPr="00491502" w:rsidRDefault="00861976" w:rsidP="009C4061">
            <w:pPr>
              <w:spacing w:after="0" w:line="240" w:lineRule="auto"/>
              <w:ind w:left="-32" w:firstLine="279"/>
              <w:jc w:val="both"/>
              <w:rPr>
                <w:rFonts w:ascii="Times New Roman" w:eastAsia="Times New Roman" w:hAnsi="Times New Roman" w:cs="Times New Roman"/>
                <w:iCs/>
                <w:color w:val="000000"/>
                <w:sz w:val="24"/>
                <w:szCs w:val="24"/>
              </w:rPr>
            </w:pPr>
            <w:r w:rsidRPr="00491502">
              <w:rPr>
                <w:rFonts w:ascii="Times New Roman" w:eastAsia="Times New Roman" w:hAnsi="Times New Roman" w:cs="Times New Roman"/>
                <w:iCs/>
                <w:color w:val="000000"/>
                <w:sz w:val="24"/>
                <w:szCs w:val="24"/>
              </w:rPr>
              <w:t>Ņemot vērā nepieciešamību noteikt soda naudu par augstāk minētajiem pārkāpumiem, likumprojekta 1. pantā tiek attiecīgi paplašināta soda naudas definīcija.</w:t>
            </w:r>
          </w:p>
          <w:p w14:paraId="6AE229C0" w14:textId="77777777" w:rsidR="00861976" w:rsidRPr="00491502" w:rsidRDefault="00861976" w:rsidP="00861976">
            <w:pPr>
              <w:spacing w:after="0" w:line="240" w:lineRule="auto"/>
              <w:ind w:left="-32" w:firstLine="709"/>
              <w:jc w:val="both"/>
              <w:rPr>
                <w:rFonts w:ascii="Times New Roman" w:eastAsia="Times New Roman" w:hAnsi="Times New Roman" w:cs="Times New Roman"/>
                <w:iCs/>
                <w:color w:val="000000"/>
                <w:sz w:val="24"/>
                <w:szCs w:val="24"/>
              </w:rPr>
            </w:pPr>
          </w:p>
          <w:p w14:paraId="0168A7CF" w14:textId="77777777" w:rsidR="00664F40" w:rsidRPr="00491502" w:rsidRDefault="00823F5F" w:rsidP="00664F40">
            <w:pPr>
              <w:pStyle w:val="ListParagraph"/>
              <w:numPr>
                <w:ilvl w:val="0"/>
                <w:numId w:val="2"/>
              </w:num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Likumprojekta 2</w:t>
            </w:r>
            <w:r w:rsidR="00664F40" w:rsidRPr="00491502">
              <w:rPr>
                <w:rFonts w:ascii="Times New Roman" w:eastAsia="Times New Roman" w:hAnsi="Times New Roman" w:cs="Times New Roman"/>
                <w:b/>
                <w:sz w:val="24"/>
                <w:szCs w:val="24"/>
              </w:rPr>
              <w:t>. pants</w:t>
            </w:r>
          </w:p>
          <w:p w14:paraId="26FA69D2" w14:textId="77777777" w:rsidR="00664F40" w:rsidRPr="00491502" w:rsidRDefault="00AB3F96" w:rsidP="009C4061">
            <w:pPr>
              <w:pStyle w:val="ListParagraph"/>
              <w:spacing w:after="0" w:line="240" w:lineRule="auto"/>
              <w:ind w:left="106" w:firstLine="141"/>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Šajā pantā</w:t>
            </w:r>
            <w:r w:rsidR="00E73ECB" w:rsidRPr="00491502">
              <w:rPr>
                <w:rFonts w:ascii="Times New Roman" w:eastAsia="Times New Roman" w:hAnsi="Times New Roman" w:cs="Times New Roman"/>
                <w:sz w:val="24"/>
                <w:szCs w:val="24"/>
              </w:rPr>
              <w:t xml:space="preserve">, uzsākot </w:t>
            </w:r>
            <w:r w:rsidR="007A4EDC" w:rsidRPr="00491502">
              <w:rPr>
                <w:rFonts w:ascii="Times New Roman" w:eastAsia="Times New Roman" w:hAnsi="Times New Roman" w:cs="Times New Roman"/>
                <w:sz w:val="24"/>
                <w:szCs w:val="24"/>
              </w:rPr>
              <w:t xml:space="preserve">DAC 6 </w:t>
            </w:r>
            <w:r w:rsidR="00E73ECB" w:rsidRPr="00491502">
              <w:rPr>
                <w:rFonts w:ascii="Times New Roman" w:eastAsia="Times New Roman" w:hAnsi="Times New Roman" w:cs="Times New Roman"/>
                <w:sz w:val="24"/>
                <w:szCs w:val="24"/>
              </w:rPr>
              <w:t>pārņemšanu,</w:t>
            </w:r>
            <w:r w:rsidRPr="00491502">
              <w:rPr>
                <w:rFonts w:ascii="Times New Roman" w:eastAsia="Times New Roman" w:hAnsi="Times New Roman" w:cs="Times New Roman"/>
                <w:sz w:val="24"/>
                <w:szCs w:val="24"/>
              </w:rPr>
              <w:t xml:space="preserve"> tiek noteikts pienākums nodokļu maksātājam sniegt informāciju </w:t>
            </w:r>
            <w:r w:rsidR="00322B07" w:rsidRPr="00491502">
              <w:rPr>
                <w:rFonts w:ascii="Times New Roman" w:eastAsia="Times New Roman" w:hAnsi="Times New Roman" w:cs="Times New Roman"/>
                <w:sz w:val="24"/>
                <w:szCs w:val="24"/>
              </w:rPr>
              <w:t>VID</w:t>
            </w:r>
            <w:r w:rsidRPr="00491502">
              <w:rPr>
                <w:rFonts w:ascii="Times New Roman" w:eastAsia="Times New Roman" w:hAnsi="Times New Roman" w:cs="Times New Roman"/>
                <w:sz w:val="24"/>
                <w:szCs w:val="24"/>
              </w:rPr>
              <w:t xml:space="preserve"> par ziņojamām pārrobežu shēmām. Tāpat tiek noteikts deleģējums Ministru kabinetam noteikt nosacījumus, kuriem iestājoties ir sniedzams </w:t>
            </w:r>
            <w:r w:rsidR="00E73ECB" w:rsidRPr="00491502">
              <w:rPr>
                <w:rFonts w:ascii="Times New Roman" w:eastAsia="Times New Roman" w:hAnsi="Times New Roman" w:cs="Times New Roman"/>
                <w:sz w:val="24"/>
                <w:szCs w:val="24"/>
              </w:rPr>
              <w:t xml:space="preserve">konkrētais </w:t>
            </w:r>
            <w:r w:rsidRPr="00491502">
              <w:rPr>
                <w:rFonts w:ascii="Times New Roman" w:eastAsia="Times New Roman" w:hAnsi="Times New Roman" w:cs="Times New Roman"/>
                <w:sz w:val="24"/>
                <w:szCs w:val="24"/>
              </w:rPr>
              <w:t xml:space="preserve">ziņojums, ziņojuma struktūru un saturu, ziņojumā lietoto terminu skaidrojumu, kā arī tā sagatavošanas un iesniegšanas kārtību un kārtību, kādā veic automātisko informācijas par ziņojamām pārrobežu shēmām apmaiņu starp Latvijas un citu </w:t>
            </w:r>
            <w:r w:rsidR="00C225EA">
              <w:rPr>
                <w:rFonts w:ascii="Times New Roman" w:eastAsia="Times New Roman" w:hAnsi="Times New Roman" w:cs="Times New Roman"/>
                <w:sz w:val="24"/>
                <w:szCs w:val="24"/>
              </w:rPr>
              <w:t>ES</w:t>
            </w:r>
            <w:r w:rsidRPr="00491502">
              <w:rPr>
                <w:rFonts w:ascii="Times New Roman" w:eastAsia="Times New Roman" w:hAnsi="Times New Roman" w:cs="Times New Roman"/>
                <w:sz w:val="24"/>
                <w:szCs w:val="24"/>
              </w:rPr>
              <w:t xml:space="preserve"> dalībvalstu kompetentajām iestādēm vai jebkuru citas valsts kompetento iestādi, ar kuru Latvijas kompetentā iestāde, pamatojoties uz Latvijas noslēgto starptautisko līgumu, noslēgusi attiecīgu kompetento iestāžu līgumu.</w:t>
            </w:r>
          </w:p>
          <w:p w14:paraId="6FBA6AEA" w14:textId="77777777" w:rsidR="005B7059" w:rsidRPr="00491502" w:rsidRDefault="005B7059" w:rsidP="00AB3F96">
            <w:pPr>
              <w:pStyle w:val="ListParagraph"/>
              <w:spacing w:after="0" w:line="240" w:lineRule="auto"/>
              <w:ind w:left="106"/>
              <w:jc w:val="both"/>
              <w:rPr>
                <w:rFonts w:ascii="Times New Roman" w:eastAsia="Times New Roman" w:hAnsi="Times New Roman" w:cs="Times New Roman"/>
                <w:sz w:val="24"/>
                <w:szCs w:val="24"/>
              </w:rPr>
            </w:pPr>
          </w:p>
          <w:p w14:paraId="5DA47F3E" w14:textId="77777777" w:rsidR="00AB3F96" w:rsidRPr="00491502" w:rsidRDefault="00AB3F96" w:rsidP="00AB3F96">
            <w:pPr>
              <w:pStyle w:val="ListParagraph"/>
              <w:numPr>
                <w:ilvl w:val="0"/>
                <w:numId w:val="2"/>
              </w:num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 xml:space="preserve">Likumprojekta </w:t>
            </w:r>
            <w:r w:rsidR="00211AC2" w:rsidRPr="00491502">
              <w:rPr>
                <w:rFonts w:ascii="Times New Roman" w:eastAsia="Times New Roman" w:hAnsi="Times New Roman" w:cs="Times New Roman"/>
                <w:b/>
                <w:sz w:val="24"/>
                <w:szCs w:val="24"/>
              </w:rPr>
              <w:t>4</w:t>
            </w:r>
            <w:r w:rsidR="00823F5F" w:rsidRPr="00491502">
              <w:rPr>
                <w:rFonts w:ascii="Times New Roman" w:eastAsia="Times New Roman" w:hAnsi="Times New Roman" w:cs="Times New Roman"/>
                <w:b/>
                <w:sz w:val="24"/>
                <w:szCs w:val="24"/>
              </w:rPr>
              <w:t>.</w:t>
            </w:r>
            <w:r w:rsidRPr="00491502">
              <w:rPr>
                <w:rFonts w:ascii="Times New Roman" w:eastAsia="Times New Roman" w:hAnsi="Times New Roman" w:cs="Times New Roman"/>
                <w:b/>
                <w:sz w:val="24"/>
                <w:szCs w:val="24"/>
              </w:rPr>
              <w:t xml:space="preserve"> </w:t>
            </w:r>
            <w:r w:rsidR="00C21E65" w:rsidRPr="00491502">
              <w:rPr>
                <w:rFonts w:ascii="Times New Roman" w:eastAsia="Times New Roman" w:hAnsi="Times New Roman" w:cs="Times New Roman"/>
                <w:b/>
                <w:sz w:val="24"/>
                <w:szCs w:val="24"/>
              </w:rPr>
              <w:t xml:space="preserve">– </w:t>
            </w:r>
            <w:r w:rsidR="007A4EDC" w:rsidRPr="00491502">
              <w:rPr>
                <w:rFonts w:ascii="Times New Roman" w:eastAsia="Times New Roman" w:hAnsi="Times New Roman" w:cs="Times New Roman"/>
                <w:b/>
                <w:sz w:val="24"/>
                <w:szCs w:val="24"/>
              </w:rPr>
              <w:t>9</w:t>
            </w:r>
            <w:r w:rsidR="00C21E65" w:rsidRPr="00491502">
              <w:rPr>
                <w:rFonts w:ascii="Times New Roman" w:eastAsia="Times New Roman" w:hAnsi="Times New Roman" w:cs="Times New Roman"/>
                <w:b/>
                <w:sz w:val="24"/>
                <w:szCs w:val="24"/>
              </w:rPr>
              <w:t xml:space="preserve">. </w:t>
            </w:r>
            <w:r w:rsidRPr="00491502">
              <w:rPr>
                <w:rFonts w:ascii="Times New Roman" w:eastAsia="Times New Roman" w:hAnsi="Times New Roman" w:cs="Times New Roman"/>
                <w:b/>
                <w:sz w:val="24"/>
                <w:szCs w:val="24"/>
              </w:rPr>
              <w:t>pants</w:t>
            </w:r>
          </w:p>
          <w:p w14:paraId="0AB242DF" w14:textId="77777777" w:rsidR="005C30A3" w:rsidRDefault="005C30A3" w:rsidP="00FF70F9">
            <w:pPr>
              <w:pStyle w:val="ListParagraph"/>
              <w:spacing w:after="0" w:line="240" w:lineRule="auto"/>
              <w:ind w:left="0" w:firstLine="247"/>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Lai terminu definīcijas atbilstu DAC 2 un Globālajam standartam, likumprojekta grozījumi ietver terminu “Ieguldījuma iestāde”, “Apdrošināšanas līgums ar līdzekļu uzkrāšanu”, “Naudas vērtība” definīciju precizē</w:t>
            </w:r>
            <w:r w:rsidR="007A4EDC" w:rsidRPr="00491502">
              <w:rPr>
                <w:rFonts w:ascii="Times New Roman" w:eastAsia="Times New Roman" w:hAnsi="Times New Roman" w:cs="Times New Roman"/>
                <w:sz w:val="24"/>
                <w:szCs w:val="24"/>
              </w:rPr>
              <w:t xml:space="preserve">šanu, </w:t>
            </w:r>
            <w:r w:rsidRPr="00491502">
              <w:rPr>
                <w:rFonts w:ascii="Times New Roman" w:eastAsia="Times New Roman" w:hAnsi="Times New Roman" w:cs="Times New Roman"/>
                <w:sz w:val="24"/>
                <w:szCs w:val="24"/>
              </w:rPr>
              <w:t>“Iesaistītās valsts finanšu iestāde”, “Apdrošināšanas līgums” definīciju iekļaušanu</w:t>
            </w:r>
            <w:r w:rsidR="007A4EDC" w:rsidRPr="00491502">
              <w:rPr>
                <w:rFonts w:ascii="Times New Roman" w:eastAsia="Times New Roman" w:hAnsi="Times New Roman" w:cs="Times New Roman"/>
                <w:sz w:val="24"/>
                <w:szCs w:val="24"/>
              </w:rPr>
              <w:t xml:space="preserve"> un par noguldījuma kontu iesniedzamās informācijas precizēšanu.</w:t>
            </w:r>
          </w:p>
          <w:p w14:paraId="73BC1437" w14:textId="77777777" w:rsidR="006303D5" w:rsidRDefault="006303D5" w:rsidP="00FF70F9">
            <w:pPr>
              <w:pStyle w:val="ListParagraph"/>
              <w:spacing w:after="0" w:line="240" w:lineRule="auto"/>
              <w:ind w:left="0" w:firstLine="247"/>
              <w:jc w:val="both"/>
              <w:rPr>
                <w:rFonts w:ascii="Times New Roman" w:eastAsia="Times New Roman" w:hAnsi="Times New Roman" w:cs="Times New Roman"/>
                <w:sz w:val="24"/>
                <w:szCs w:val="24"/>
              </w:rPr>
            </w:pPr>
          </w:p>
          <w:p w14:paraId="11606C75" w14:textId="77777777" w:rsidR="00BB2C93" w:rsidRPr="00491502" w:rsidRDefault="00BB2C93" w:rsidP="00BB2C93">
            <w:pPr>
              <w:pStyle w:val="ListParagraph"/>
              <w:numPr>
                <w:ilvl w:val="0"/>
                <w:numId w:val="2"/>
              </w:num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Likumprojekta 10. pants</w:t>
            </w:r>
          </w:p>
          <w:p w14:paraId="3B2D7C53" w14:textId="77777777" w:rsidR="00B82707" w:rsidRDefault="009C61F0" w:rsidP="009C61F0">
            <w:pPr>
              <w:spacing w:after="0" w:line="240" w:lineRule="auto"/>
              <w:ind w:firstLine="247"/>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Saskaņā ar DAC 2 I pielikuma IX iedaļas 1. apakšpunktu dalībvalstīm ir jābūt spēkā noteikumiem, lai novērstu to, ka fiziskas vai juridiskas personas </w:t>
            </w:r>
            <w:r w:rsidR="00656779" w:rsidRPr="00491502">
              <w:rPr>
                <w:rFonts w:ascii="Times New Roman" w:eastAsia="Times New Roman" w:hAnsi="Times New Roman" w:cs="Times New Roman"/>
                <w:sz w:val="24"/>
                <w:szCs w:val="24"/>
              </w:rPr>
              <w:t>veic darbības</w:t>
            </w:r>
            <w:r w:rsidRPr="00491502">
              <w:rPr>
                <w:rFonts w:ascii="Times New Roman" w:eastAsia="Times New Roman" w:hAnsi="Times New Roman" w:cs="Times New Roman"/>
                <w:sz w:val="24"/>
                <w:szCs w:val="24"/>
              </w:rPr>
              <w:t>, kas paredzēta</w:t>
            </w:r>
            <w:r w:rsidR="00656779" w:rsidRPr="00491502">
              <w:rPr>
                <w:rFonts w:ascii="Times New Roman" w:eastAsia="Times New Roman" w:hAnsi="Times New Roman" w:cs="Times New Roman"/>
                <w:sz w:val="24"/>
                <w:szCs w:val="24"/>
              </w:rPr>
              <w:t>s</w:t>
            </w:r>
            <w:r w:rsidR="00F36B8D">
              <w:rPr>
                <w:rFonts w:ascii="Times New Roman" w:eastAsia="Times New Roman" w:hAnsi="Times New Roman" w:cs="Times New Roman"/>
                <w:sz w:val="24"/>
                <w:szCs w:val="24"/>
              </w:rPr>
              <w:t xml:space="preserve">, lai izvairītos no </w:t>
            </w:r>
            <w:r w:rsidRPr="00491502">
              <w:rPr>
                <w:rFonts w:ascii="Times New Roman" w:eastAsia="Times New Roman" w:hAnsi="Times New Roman" w:cs="Times New Roman"/>
                <w:sz w:val="24"/>
                <w:szCs w:val="24"/>
              </w:rPr>
              <w:t xml:space="preserve">ziņojumu </w:t>
            </w:r>
            <w:r w:rsidR="005A24B8" w:rsidRPr="00491502">
              <w:rPr>
                <w:rFonts w:ascii="Times New Roman" w:eastAsia="Times New Roman" w:hAnsi="Times New Roman" w:cs="Times New Roman"/>
                <w:sz w:val="24"/>
                <w:szCs w:val="24"/>
              </w:rPr>
              <w:t>sniegšanas un pienācīgas pārbaudes procedūru</w:t>
            </w:r>
            <w:r w:rsidR="00F36B8D">
              <w:rPr>
                <w:rFonts w:ascii="Times New Roman" w:eastAsia="Times New Roman" w:hAnsi="Times New Roman" w:cs="Times New Roman"/>
                <w:sz w:val="24"/>
                <w:szCs w:val="24"/>
              </w:rPr>
              <w:t xml:space="preserve"> veikšanas</w:t>
            </w:r>
            <w:r w:rsidR="005A24B8" w:rsidRPr="00491502">
              <w:rPr>
                <w:rFonts w:ascii="Times New Roman" w:eastAsia="Times New Roman" w:hAnsi="Times New Roman" w:cs="Times New Roman"/>
                <w:sz w:val="24"/>
                <w:szCs w:val="24"/>
              </w:rPr>
              <w:t>.</w:t>
            </w:r>
            <w:r w:rsidRPr="00491502">
              <w:rPr>
                <w:rFonts w:ascii="Times New Roman" w:eastAsia="Times New Roman" w:hAnsi="Times New Roman" w:cs="Times New Roman"/>
                <w:sz w:val="24"/>
                <w:szCs w:val="24"/>
              </w:rPr>
              <w:t xml:space="preserve"> </w:t>
            </w:r>
            <w:r w:rsidR="00B82707">
              <w:rPr>
                <w:rFonts w:ascii="Times New Roman" w:eastAsia="Times New Roman" w:hAnsi="Times New Roman" w:cs="Times New Roman"/>
                <w:sz w:val="24"/>
                <w:szCs w:val="24"/>
              </w:rPr>
              <w:t xml:space="preserve">Turklāt Latvija saskaņā ar </w:t>
            </w:r>
            <w:r w:rsidR="00B82707" w:rsidRPr="00491502">
              <w:rPr>
                <w:rFonts w:ascii="Times New Roman" w:eastAsia="Times New Roman" w:hAnsi="Times New Roman" w:cs="Times New Roman"/>
                <w:sz w:val="24"/>
                <w:szCs w:val="24"/>
              </w:rPr>
              <w:t>līgum</w:t>
            </w:r>
            <w:r w:rsidR="00B82707">
              <w:rPr>
                <w:rFonts w:ascii="Times New Roman" w:eastAsia="Times New Roman" w:hAnsi="Times New Roman" w:cs="Times New Roman"/>
                <w:sz w:val="24"/>
                <w:szCs w:val="24"/>
              </w:rPr>
              <w:t>a</w:t>
            </w:r>
            <w:r w:rsidR="00B82707" w:rsidRPr="00491502">
              <w:rPr>
                <w:rFonts w:ascii="Times New Roman" w:eastAsia="Times New Roman" w:hAnsi="Times New Roman" w:cs="Times New Roman"/>
                <w:sz w:val="24"/>
                <w:szCs w:val="24"/>
              </w:rPr>
              <w:t xml:space="preserve"> “Latvijas </w:t>
            </w:r>
            <w:r w:rsidR="00B82707" w:rsidRPr="00491502">
              <w:rPr>
                <w:rFonts w:ascii="Times New Roman" w:eastAsia="Times New Roman" w:hAnsi="Times New Roman" w:cs="Times New Roman"/>
                <w:sz w:val="24"/>
                <w:szCs w:val="24"/>
              </w:rPr>
              <w:lastRenderedPageBreak/>
              <w:t>Republikas valdības un Amerikas Savienoto Valstu valdības līgums par starptautisko nodokļu pienākumu izpildes uzlabošanu un likuma par ārvalstu kontu nodokļu pienākumu izpildi ieviešanu”</w:t>
            </w:r>
            <w:r w:rsidR="00B82707">
              <w:rPr>
                <w:rFonts w:ascii="Times New Roman" w:eastAsia="Times New Roman" w:hAnsi="Times New Roman" w:cs="Times New Roman"/>
                <w:sz w:val="24"/>
                <w:szCs w:val="24"/>
              </w:rPr>
              <w:t xml:space="preserve"> 5. panta 4. punktu ir apņēmusies “</w:t>
            </w:r>
            <w:r w:rsidR="00B82707" w:rsidRPr="00B82707">
              <w:rPr>
                <w:rFonts w:ascii="Times New Roman" w:eastAsia="Times New Roman" w:hAnsi="Times New Roman" w:cs="Times New Roman"/>
                <w:sz w:val="24"/>
                <w:szCs w:val="24"/>
              </w:rPr>
              <w:t>īsteno</w:t>
            </w:r>
            <w:r w:rsidR="005704CE">
              <w:rPr>
                <w:rFonts w:ascii="Times New Roman" w:eastAsia="Times New Roman" w:hAnsi="Times New Roman" w:cs="Times New Roman"/>
                <w:sz w:val="24"/>
                <w:szCs w:val="24"/>
              </w:rPr>
              <w:t>t</w:t>
            </w:r>
            <w:r w:rsidR="00B82707" w:rsidRPr="00B82707">
              <w:rPr>
                <w:rFonts w:ascii="Times New Roman" w:eastAsia="Times New Roman" w:hAnsi="Times New Roman" w:cs="Times New Roman"/>
                <w:sz w:val="24"/>
                <w:szCs w:val="24"/>
              </w:rPr>
              <w:t xml:space="preserve"> prasības, lai nepieļautu finanšu iestādēm pieņemt praksi, kuras mērķis ir apiet šajā līgumā noteikto prasību sniegt ziņojumus</w:t>
            </w:r>
            <w:r w:rsidR="00B82707">
              <w:rPr>
                <w:rFonts w:ascii="Times New Roman" w:eastAsia="Times New Roman" w:hAnsi="Times New Roman" w:cs="Times New Roman"/>
                <w:sz w:val="24"/>
                <w:szCs w:val="24"/>
              </w:rPr>
              <w:t>”.</w:t>
            </w:r>
          </w:p>
          <w:p w14:paraId="1AAC44FC" w14:textId="77777777" w:rsidR="004A6FA4" w:rsidRDefault="00B82707" w:rsidP="004A6FA4">
            <w:pPr>
              <w:spacing w:after="0" w:line="240" w:lineRule="auto"/>
              <w:ind w:firstLine="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7E09" w:rsidRPr="00491502">
              <w:rPr>
                <w:rFonts w:ascii="Times New Roman" w:eastAsia="Times New Roman" w:hAnsi="Times New Roman" w:cs="Times New Roman"/>
                <w:sz w:val="24"/>
                <w:szCs w:val="24"/>
              </w:rPr>
              <w:t>Tomēr š</w:t>
            </w:r>
            <w:r w:rsidR="00000A29" w:rsidRPr="00491502">
              <w:rPr>
                <w:rFonts w:ascii="Times New Roman" w:eastAsia="Times New Roman" w:hAnsi="Times New Roman" w:cs="Times New Roman"/>
                <w:sz w:val="24"/>
                <w:szCs w:val="24"/>
              </w:rPr>
              <w:t>obrīd</w:t>
            </w:r>
            <w:r w:rsidR="008F7E09" w:rsidRPr="00491502">
              <w:rPr>
                <w:rFonts w:ascii="Times New Roman" w:eastAsia="Times New Roman" w:hAnsi="Times New Roman" w:cs="Times New Roman"/>
                <w:sz w:val="24"/>
                <w:szCs w:val="24"/>
              </w:rPr>
              <w:t xml:space="preserve"> likumā nav tādas normas, kas aizliegtu</w:t>
            </w:r>
            <w:r w:rsidR="00000A29" w:rsidRPr="00491502">
              <w:rPr>
                <w:rFonts w:ascii="Times New Roman" w:eastAsia="Times New Roman" w:hAnsi="Times New Roman" w:cs="Times New Roman"/>
                <w:sz w:val="24"/>
                <w:szCs w:val="24"/>
              </w:rPr>
              <w:t xml:space="preserve"> fiziska</w:t>
            </w:r>
            <w:r w:rsidR="008F7E09" w:rsidRPr="00491502">
              <w:rPr>
                <w:rFonts w:ascii="Times New Roman" w:eastAsia="Times New Roman" w:hAnsi="Times New Roman" w:cs="Times New Roman"/>
                <w:sz w:val="24"/>
                <w:szCs w:val="24"/>
              </w:rPr>
              <w:t>i</w:t>
            </w:r>
            <w:r w:rsidR="00000A29" w:rsidRPr="00491502">
              <w:rPr>
                <w:rFonts w:ascii="Times New Roman" w:eastAsia="Times New Roman" w:hAnsi="Times New Roman" w:cs="Times New Roman"/>
                <w:sz w:val="24"/>
                <w:szCs w:val="24"/>
              </w:rPr>
              <w:t xml:space="preserve"> vai juridiska</w:t>
            </w:r>
            <w:r w:rsidR="008F7E09" w:rsidRPr="00491502">
              <w:rPr>
                <w:rFonts w:ascii="Times New Roman" w:eastAsia="Times New Roman" w:hAnsi="Times New Roman" w:cs="Times New Roman"/>
                <w:sz w:val="24"/>
                <w:szCs w:val="24"/>
              </w:rPr>
              <w:t>i</w:t>
            </w:r>
            <w:r w:rsidR="00000A29" w:rsidRPr="00491502">
              <w:rPr>
                <w:rFonts w:ascii="Times New Roman" w:eastAsia="Times New Roman" w:hAnsi="Times New Roman" w:cs="Times New Roman"/>
                <w:sz w:val="24"/>
                <w:szCs w:val="24"/>
              </w:rPr>
              <w:t xml:space="preserve"> persona</w:t>
            </w:r>
            <w:r w:rsidR="008F7E09" w:rsidRPr="00491502">
              <w:rPr>
                <w:rFonts w:ascii="Times New Roman" w:eastAsia="Times New Roman" w:hAnsi="Times New Roman" w:cs="Times New Roman"/>
                <w:sz w:val="24"/>
                <w:szCs w:val="24"/>
              </w:rPr>
              <w:t>i veikt</w:t>
            </w:r>
            <w:r w:rsidR="00000A29" w:rsidRPr="00491502">
              <w:rPr>
                <w:rFonts w:ascii="Times New Roman" w:eastAsia="Times New Roman" w:hAnsi="Times New Roman" w:cs="Times New Roman"/>
                <w:sz w:val="24"/>
                <w:szCs w:val="24"/>
              </w:rPr>
              <w:t xml:space="preserve"> darbības ar mērķi izvairīties</w:t>
            </w:r>
            <w:r w:rsidR="00656779" w:rsidRPr="00491502">
              <w:rPr>
                <w:rFonts w:ascii="Times New Roman" w:eastAsia="Times New Roman" w:hAnsi="Times New Roman" w:cs="Times New Roman"/>
                <w:sz w:val="24"/>
                <w:szCs w:val="24"/>
              </w:rPr>
              <w:t>, ka par šo personu finanšu iestāde ziņo VID</w:t>
            </w:r>
            <w:r w:rsidR="008F7E09" w:rsidRPr="00491502">
              <w:rPr>
                <w:rFonts w:ascii="Times New Roman" w:eastAsia="Times New Roman" w:hAnsi="Times New Roman" w:cs="Times New Roman"/>
                <w:sz w:val="24"/>
                <w:szCs w:val="24"/>
              </w:rPr>
              <w:t>.</w:t>
            </w:r>
            <w:r w:rsidR="00000A29" w:rsidRPr="00491502">
              <w:rPr>
                <w:rFonts w:ascii="Times New Roman" w:eastAsia="Times New Roman" w:hAnsi="Times New Roman" w:cs="Times New Roman"/>
                <w:sz w:val="24"/>
                <w:szCs w:val="24"/>
              </w:rPr>
              <w:t xml:space="preserve"> </w:t>
            </w:r>
            <w:r w:rsidR="004A6FA4">
              <w:rPr>
                <w:rFonts w:ascii="Times New Roman" w:eastAsia="Times New Roman" w:hAnsi="Times New Roman" w:cs="Times New Roman"/>
                <w:sz w:val="24"/>
                <w:szCs w:val="24"/>
              </w:rPr>
              <w:t>Līdz ar to</w:t>
            </w:r>
            <w:r w:rsidR="005A24B8" w:rsidRPr="00491502">
              <w:rPr>
                <w:rFonts w:ascii="Times New Roman" w:eastAsia="Times New Roman" w:hAnsi="Times New Roman" w:cs="Times New Roman"/>
                <w:sz w:val="24"/>
                <w:szCs w:val="24"/>
              </w:rPr>
              <w:t xml:space="preserve"> l</w:t>
            </w:r>
            <w:r w:rsidR="003F2C6C" w:rsidRPr="00491502">
              <w:rPr>
                <w:rFonts w:ascii="Times New Roman" w:eastAsia="Times New Roman" w:hAnsi="Times New Roman" w:cs="Times New Roman"/>
                <w:sz w:val="24"/>
                <w:szCs w:val="24"/>
              </w:rPr>
              <w:t>ikums tiek papildināts ar 101.</w:t>
            </w:r>
            <w:r w:rsidR="003F2C6C" w:rsidRPr="00491502">
              <w:rPr>
                <w:rFonts w:ascii="Times New Roman" w:eastAsia="Times New Roman" w:hAnsi="Times New Roman" w:cs="Times New Roman"/>
                <w:sz w:val="24"/>
                <w:szCs w:val="24"/>
                <w:vertAlign w:val="superscript"/>
              </w:rPr>
              <w:t>2</w:t>
            </w:r>
            <w:r w:rsidR="003F2C6C" w:rsidRPr="00491502">
              <w:rPr>
                <w:rFonts w:ascii="Times New Roman" w:eastAsia="Times New Roman" w:hAnsi="Times New Roman" w:cs="Times New Roman"/>
                <w:sz w:val="24"/>
                <w:szCs w:val="24"/>
              </w:rPr>
              <w:t xml:space="preserve"> pantu, kas nosaka, ka gadījumā, ja fiziska persona vai juridisks veidojums veic darbības, un par šo darbību mērķi ir pamats uzskatīt izvairīšanos no ziņojuma sniegšanas un pienācīgas pārbaudes procedūru apiešan</w:t>
            </w:r>
            <w:r w:rsidR="00ED02A5">
              <w:rPr>
                <w:rFonts w:ascii="Times New Roman" w:eastAsia="Times New Roman" w:hAnsi="Times New Roman" w:cs="Times New Roman"/>
                <w:sz w:val="24"/>
                <w:szCs w:val="24"/>
              </w:rPr>
              <w:t>u</w:t>
            </w:r>
            <w:r w:rsidR="003F2C6C" w:rsidRPr="00491502">
              <w:rPr>
                <w:rFonts w:ascii="Times New Roman" w:eastAsia="Times New Roman" w:hAnsi="Times New Roman" w:cs="Times New Roman"/>
                <w:sz w:val="24"/>
                <w:szCs w:val="24"/>
              </w:rPr>
              <w:t xml:space="preserve">, </w:t>
            </w:r>
            <w:r w:rsidR="00D007E6">
              <w:rPr>
                <w:rFonts w:ascii="Times New Roman" w:eastAsia="Times New Roman" w:hAnsi="Times New Roman" w:cs="Times New Roman"/>
                <w:sz w:val="24"/>
                <w:szCs w:val="24"/>
              </w:rPr>
              <w:t xml:space="preserve">finanšu iestādei </w:t>
            </w:r>
            <w:r w:rsidR="003F2C6C" w:rsidRPr="00491502">
              <w:rPr>
                <w:rFonts w:ascii="Times New Roman" w:eastAsia="Times New Roman" w:hAnsi="Times New Roman" w:cs="Times New Roman"/>
                <w:sz w:val="24"/>
                <w:szCs w:val="24"/>
              </w:rPr>
              <w:t>saglabājas pienākumi, kādi tie būtu bijuši, ja šīs darbības nebūtu veiktas.</w:t>
            </w:r>
            <w:r w:rsidR="007E50F6">
              <w:rPr>
                <w:rFonts w:ascii="Times New Roman" w:eastAsia="Times New Roman" w:hAnsi="Times New Roman" w:cs="Times New Roman"/>
                <w:sz w:val="24"/>
                <w:szCs w:val="24"/>
              </w:rPr>
              <w:t xml:space="preserve"> </w:t>
            </w:r>
          </w:p>
          <w:p w14:paraId="1CB72F1E" w14:textId="1A8D8A87" w:rsidR="00773359" w:rsidRPr="00773359" w:rsidRDefault="000F05BE" w:rsidP="00773359">
            <w:pPr>
              <w:spacing w:after="0" w:line="240" w:lineRule="auto"/>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Norma ir noteikta </w:t>
            </w:r>
            <w:proofErr w:type="spellStart"/>
            <w:r>
              <w:rPr>
                <w:rFonts w:ascii="Times New Roman" w:eastAsia="Times New Roman" w:hAnsi="Times New Roman" w:cs="Times New Roman"/>
                <w:sz w:val="24"/>
                <w:szCs w:val="24"/>
              </w:rPr>
              <w:t>ģ</w:t>
            </w:r>
            <w:r w:rsidRPr="004A6FA4">
              <w:rPr>
                <w:rFonts w:ascii="Times New Roman" w:eastAsia="Times New Roman" w:hAnsi="Times New Roman" w:cs="Times New Roman"/>
                <w:sz w:val="24"/>
                <w:szCs w:val="24"/>
              </w:rPr>
              <w:t>enerālklauzulas</w:t>
            </w:r>
            <w:proofErr w:type="spellEnd"/>
            <w:r>
              <w:rPr>
                <w:rFonts w:ascii="Times New Roman" w:eastAsia="Times New Roman" w:hAnsi="Times New Roman" w:cs="Times New Roman"/>
                <w:sz w:val="24"/>
                <w:szCs w:val="24"/>
              </w:rPr>
              <w:t xml:space="preserve"> formā, jo šajā gadījumā </w:t>
            </w:r>
            <w:r w:rsidRPr="007E50F6">
              <w:rPr>
                <w:rFonts w:ascii="Times New Roman" w:eastAsia="Times New Roman" w:hAnsi="Times New Roman" w:cs="Times New Roman"/>
                <w:sz w:val="24"/>
                <w:szCs w:val="24"/>
              </w:rPr>
              <w:t xml:space="preserve">nav iespējams precīzi paredzēt visas normas piemērošanas gadījumu pazīmes vai </w:t>
            </w:r>
            <w:r>
              <w:rPr>
                <w:rFonts w:ascii="Times New Roman" w:eastAsia="Times New Roman" w:hAnsi="Times New Roman" w:cs="Times New Roman"/>
                <w:sz w:val="24"/>
                <w:szCs w:val="24"/>
              </w:rPr>
              <w:t>arī uzskaitīt pašus gadījumus</w:t>
            </w:r>
            <w:r w:rsidR="00CD18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Finanšu iestādes</w:t>
            </w:r>
            <w:r w:rsidR="002821C8">
              <w:rPr>
                <w:rFonts w:ascii="Times New Roman" w:eastAsia="Times New Roman" w:hAnsi="Times New Roman" w:cs="Times New Roman"/>
                <w:sz w:val="24"/>
                <w:szCs w:val="24"/>
              </w:rPr>
              <w:t xml:space="preserve"> piemēro “pazīsti savu klientu” principu, kura mērķis ir </w:t>
            </w:r>
            <w:r w:rsidR="002821C8" w:rsidRPr="002821C8">
              <w:rPr>
                <w:rFonts w:ascii="Times New Roman" w:eastAsia="Times New Roman" w:hAnsi="Times New Roman" w:cs="Times New Roman"/>
                <w:sz w:val="24"/>
                <w:szCs w:val="24"/>
              </w:rPr>
              <w:t>rūpēties par drošu un caurspīdīgu vidi, novērst iespējamos naudas atmazgāšanas un terorisma finansēšanas riskus</w:t>
            </w:r>
            <w:r w:rsidR="002821C8">
              <w:rPr>
                <w:rFonts w:ascii="Times New Roman" w:eastAsia="Times New Roman" w:hAnsi="Times New Roman" w:cs="Times New Roman"/>
                <w:sz w:val="24"/>
                <w:szCs w:val="24"/>
              </w:rPr>
              <w:t>. Principa īstenošanas ietvaros finanšu iestādes s</w:t>
            </w:r>
            <w:r>
              <w:rPr>
                <w:rFonts w:ascii="Times New Roman" w:eastAsia="Times New Roman" w:hAnsi="Times New Roman" w:cs="Times New Roman"/>
                <w:sz w:val="24"/>
                <w:szCs w:val="24"/>
              </w:rPr>
              <w:t xml:space="preserve">askaņā ar </w:t>
            </w:r>
            <w:r w:rsidRPr="007E50F6">
              <w:rPr>
                <w:rFonts w:ascii="Times New Roman" w:eastAsia="Times New Roman" w:hAnsi="Times New Roman" w:cs="Times New Roman"/>
                <w:sz w:val="24"/>
                <w:szCs w:val="24"/>
              </w:rPr>
              <w:t>Noziedzīgi iegūtu līdzekļu legalizācijas un terorism</w:t>
            </w:r>
            <w:r>
              <w:rPr>
                <w:rFonts w:ascii="Times New Roman" w:eastAsia="Times New Roman" w:hAnsi="Times New Roman" w:cs="Times New Roman"/>
                <w:sz w:val="24"/>
                <w:szCs w:val="24"/>
              </w:rPr>
              <w:t xml:space="preserve">a finansēšanas novēršanas likuma III nodaļu un </w:t>
            </w:r>
            <w:r>
              <w:rPr>
                <w:rFonts w:ascii="Times New Roman" w:eastAsia="Times New Roman" w:hAnsi="Times New Roman" w:cs="Times New Roman"/>
                <w:color w:val="000000"/>
                <w:sz w:val="24"/>
                <w:szCs w:val="24"/>
              </w:rPr>
              <w:t>MK noteikumos Nr. 20 noteiktajām</w:t>
            </w:r>
            <w:r w:rsidRPr="004915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pienācīgo pārbaužu procedūrām veic klientu izpēti. Tādējādi finanšu iestādēm ir pieejama informācija, lai konstatētu, vai klienta rīcība atbilst vai neatbilst tā parastai darbībai, vai ir saskatāms izvairīšanās mērķis.</w:t>
            </w:r>
            <w:r w:rsidR="00773359">
              <w:rPr>
                <w:rFonts w:ascii="Times New Roman" w:eastAsia="Times New Roman" w:hAnsi="Times New Roman" w:cs="Times New Roman"/>
                <w:color w:val="000000"/>
                <w:sz w:val="24"/>
                <w:szCs w:val="24"/>
              </w:rPr>
              <w:t xml:space="preserve"> </w:t>
            </w:r>
            <w:r w:rsidR="003F6956">
              <w:rPr>
                <w:rFonts w:ascii="Times New Roman" w:eastAsia="Times New Roman" w:hAnsi="Times New Roman" w:cs="Times New Roman"/>
                <w:color w:val="000000"/>
                <w:sz w:val="24"/>
                <w:szCs w:val="24"/>
              </w:rPr>
              <w:t>N</w:t>
            </w:r>
            <w:r w:rsidR="00773359">
              <w:rPr>
                <w:rFonts w:ascii="Times New Roman" w:eastAsia="Times New Roman" w:hAnsi="Times New Roman" w:cs="Times New Roman"/>
                <w:color w:val="000000"/>
                <w:sz w:val="24"/>
                <w:szCs w:val="24"/>
              </w:rPr>
              <w:t xml:space="preserve">orma atbilst </w:t>
            </w:r>
            <w:r w:rsidR="003F6956">
              <w:rPr>
                <w:rFonts w:ascii="Times New Roman" w:eastAsia="Times New Roman" w:hAnsi="Times New Roman" w:cs="Times New Roman"/>
                <w:color w:val="000000"/>
                <w:sz w:val="24"/>
                <w:szCs w:val="24"/>
              </w:rPr>
              <w:t xml:space="preserve">arī </w:t>
            </w:r>
            <w:r w:rsidR="00773359">
              <w:rPr>
                <w:rFonts w:ascii="Times New Roman" w:eastAsia="Times New Roman" w:hAnsi="Times New Roman" w:cs="Times New Roman"/>
                <w:color w:val="000000"/>
                <w:sz w:val="24"/>
                <w:szCs w:val="24"/>
              </w:rPr>
              <w:t xml:space="preserve">starptautiskajai praksei, jo šobrīd Lielbritānijā, Kanādā un Zviedrijā praksē </w:t>
            </w:r>
            <w:r w:rsidR="003F6956">
              <w:rPr>
                <w:rFonts w:ascii="Times New Roman" w:eastAsia="Times New Roman" w:hAnsi="Times New Roman" w:cs="Times New Roman"/>
                <w:color w:val="000000"/>
                <w:sz w:val="24"/>
                <w:szCs w:val="24"/>
              </w:rPr>
              <w:t xml:space="preserve">tā jau ir </w:t>
            </w:r>
            <w:r w:rsidR="00773359">
              <w:rPr>
                <w:rFonts w:ascii="Times New Roman" w:eastAsia="Times New Roman" w:hAnsi="Times New Roman" w:cs="Times New Roman"/>
                <w:color w:val="000000"/>
                <w:sz w:val="24"/>
                <w:szCs w:val="24"/>
              </w:rPr>
              <w:t xml:space="preserve">ieviesta un </w:t>
            </w:r>
            <w:r w:rsidR="003F6956">
              <w:rPr>
                <w:rFonts w:ascii="Times New Roman" w:eastAsia="Times New Roman" w:hAnsi="Times New Roman" w:cs="Times New Roman"/>
                <w:color w:val="000000"/>
                <w:sz w:val="24"/>
                <w:szCs w:val="24"/>
              </w:rPr>
              <w:t xml:space="preserve">no </w:t>
            </w:r>
            <w:r w:rsidR="00773359">
              <w:rPr>
                <w:rFonts w:ascii="Times New Roman" w:eastAsia="Times New Roman" w:hAnsi="Times New Roman" w:cs="Times New Roman"/>
                <w:color w:val="000000"/>
                <w:sz w:val="24"/>
                <w:szCs w:val="24"/>
              </w:rPr>
              <w:t xml:space="preserve">Globālā Foruma </w:t>
            </w:r>
            <w:r w:rsidR="003F6956">
              <w:rPr>
                <w:rFonts w:ascii="Times New Roman" w:eastAsia="Times New Roman" w:hAnsi="Times New Roman" w:cs="Times New Roman"/>
                <w:color w:val="000000"/>
                <w:sz w:val="24"/>
                <w:szCs w:val="24"/>
              </w:rPr>
              <w:t xml:space="preserve">puses </w:t>
            </w:r>
            <w:r w:rsidR="00773359">
              <w:rPr>
                <w:rFonts w:ascii="Times New Roman" w:eastAsia="Times New Roman" w:hAnsi="Times New Roman" w:cs="Times New Roman"/>
                <w:color w:val="000000"/>
                <w:sz w:val="24"/>
                <w:szCs w:val="24"/>
              </w:rPr>
              <w:t>atzīta.</w:t>
            </w:r>
          </w:p>
          <w:p w14:paraId="6AF7D743" w14:textId="77777777" w:rsidR="003F2C6C" w:rsidRPr="00491502" w:rsidRDefault="003F2C6C" w:rsidP="003F2C6C">
            <w:pPr>
              <w:pStyle w:val="ListParagraph"/>
              <w:spacing w:after="0" w:line="240" w:lineRule="auto"/>
              <w:ind w:left="106"/>
              <w:jc w:val="both"/>
              <w:rPr>
                <w:rFonts w:ascii="Times New Roman" w:eastAsia="Times New Roman" w:hAnsi="Times New Roman" w:cs="Times New Roman"/>
                <w:sz w:val="24"/>
                <w:szCs w:val="24"/>
              </w:rPr>
            </w:pPr>
          </w:p>
          <w:p w14:paraId="410A0B05" w14:textId="77777777" w:rsidR="003F2C6C" w:rsidRPr="00491502" w:rsidRDefault="003F2C6C" w:rsidP="003F2C6C">
            <w:pPr>
              <w:pStyle w:val="ListParagraph"/>
              <w:numPr>
                <w:ilvl w:val="0"/>
                <w:numId w:val="2"/>
              </w:numPr>
              <w:spacing w:after="0" w:line="240" w:lineRule="auto"/>
              <w:jc w:val="both"/>
              <w:rPr>
                <w:rFonts w:ascii="Times New Roman" w:eastAsia="Times New Roman" w:hAnsi="Times New Roman" w:cs="Times New Roman"/>
                <w:b/>
                <w:sz w:val="24"/>
                <w:szCs w:val="24"/>
              </w:rPr>
            </w:pPr>
            <w:r w:rsidRPr="00491502">
              <w:rPr>
                <w:rFonts w:ascii="Times New Roman" w:eastAsia="Times New Roman" w:hAnsi="Times New Roman" w:cs="Times New Roman"/>
                <w:b/>
                <w:sz w:val="24"/>
                <w:szCs w:val="24"/>
              </w:rPr>
              <w:t>Likumprojekta 11. pants</w:t>
            </w:r>
          </w:p>
          <w:p w14:paraId="39558506" w14:textId="77777777" w:rsidR="00B46DD4" w:rsidRPr="00491502" w:rsidRDefault="003F2C6C" w:rsidP="000C7F19">
            <w:pPr>
              <w:spacing w:after="0" w:line="240" w:lineRule="auto"/>
              <w:jc w:val="both"/>
              <w:rPr>
                <w:rFonts w:ascii="Times New Roman" w:eastAsia="Times New Roman" w:hAnsi="Times New Roman" w:cs="Times New Roman"/>
                <w:sz w:val="24"/>
                <w:szCs w:val="24"/>
              </w:rPr>
            </w:pPr>
            <w:r w:rsidRPr="00491502">
              <w:rPr>
                <w:rFonts w:ascii="Times New Roman" w:eastAsia="Times New Roman" w:hAnsi="Times New Roman" w:cs="Times New Roman"/>
                <w:sz w:val="24"/>
                <w:szCs w:val="24"/>
              </w:rPr>
              <w:t xml:space="preserve">Ņemot vērā, ka ar likumprojektā iekļautajiem grozījumiem tiek arī daļēji pārņemta DAC 6, likumu nepieciešams papildināt ar informatīvo atsauci uz DAC 6. </w:t>
            </w:r>
          </w:p>
        </w:tc>
      </w:tr>
      <w:tr w:rsidR="00E5323B" w:rsidRPr="00342B2F" w14:paraId="1F3D2F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05116D" w14:textId="77777777" w:rsidR="00655F2C" w:rsidRPr="00CD6C4E" w:rsidRDefault="00E5323B" w:rsidP="00E5323B">
            <w:pPr>
              <w:spacing w:after="0" w:line="240" w:lineRule="auto"/>
              <w:rPr>
                <w:rFonts w:ascii="Times New Roman" w:eastAsia="Times New Roman" w:hAnsi="Times New Roman" w:cs="Times New Roman"/>
                <w:iCs/>
                <w:sz w:val="24"/>
                <w:szCs w:val="24"/>
                <w:lang w:eastAsia="lv-LV"/>
              </w:rPr>
            </w:pPr>
            <w:r w:rsidRPr="00CD6C4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7A61C2" w14:textId="77777777" w:rsidR="00E5323B"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051D2D" w14:textId="3E279540" w:rsidR="00E5323B" w:rsidRPr="00097C1C" w:rsidRDefault="00063AAA" w:rsidP="00E5323B">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Finanšu ministrija</w:t>
            </w:r>
            <w:r>
              <w:rPr>
                <w:rFonts w:ascii="Times New Roman" w:eastAsia="Times New Roman" w:hAnsi="Times New Roman" w:cs="Times New Roman"/>
                <w:iCs/>
                <w:sz w:val="24"/>
                <w:szCs w:val="24"/>
                <w:lang w:eastAsia="lv-LV"/>
              </w:rPr>
              <w:t xml:space="preserve">, </w:t>
            </w:r>
            <w:r w:rsidR="00097C1C" w:rsidRPr="00097C1C">
              <w:rPr>
                <w:rFonts w:ascii="Times New Roman" w:eastAsia="Times New Roman" w:hAnsi="Times New Roman" w:cs="Times New Roman"/>
                <w:iCs/>
                <w:sz w:val="24"/>
                <w:szCs w:val="24"/>
                <w:lang w:eastAsia="lv-LV"/>
              </w:rPr>
              <w:t>VID</w:t>
            </w:r>
            <w:r w:rsidR="000233D5">
              <w:rPr>
                <w:rFonts w:ascii="Times New Roman" w:eastAsia="Times New Roman" w:hAnsi="Times New Roman" w:cs="Times New Roman"/>
                <w:iCs/>
                <w:sz w:val="24"/>
                <w:szCs w:val="24"/>
                <w:lang w:eastAsia="lv-LV"/>
              </w:rPr>
              <w:t>.</w:t>
            </w:r>
          </w:p>
        </w:tc>
      </w:tr>
      <w:tr w:rsidR="00E5323B" w:rsidRPr="00342B2F" w14:paraId="41D25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42C830" w14:textId="77777777" w:rsidR="00655F2C" w:rsidRPr="00CD6C4E" w:rsidRDefault="00E5323B" w:rsidP="00E5323B">
            <w:pPr>
              <w:spacing w:after="0" w:line="240" w:lineRule="auto"/>
              <w:rPr>
                <w:rFonts w:ascii="Times New Roman" w:eastAsia="Times New Roman" w:hAnsi="Times New Roman" w:cs="Times New Roman"/>
                <w:iCs/>
                <w:sz w:val="24"/>
                <w:szCs w:val="24"/>
                <w:lang w:eastAsia="lv-LV"/>
              </w:rPr>
            </w:pPr>
            <w:r w:rsidRPr="00CD6C4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2069155" w14:textId="77777777" w:rsidR="00E5323B"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02570D" w14:textId="1572053F" w:rsidR="00E5323B" w:rsidRPr="00097C1C" w:rsidRDefault="00097C1C"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Nav</w:t>
            </w:r>
            <w:r w:rsidR="000233D5">
              <w:rPr>
                <w:rFonts w:ascii="Times New Roman" w:eastAsia="Times New Roman" w:hAnsi="Times New Roman" w:cs="Times New Roman"/>
                <w:iCs/>
                <w:sz w:val="24"/>
                <w:szCs w:val="24"/>
                <w:lang w:eastAsia="lv-LV"/>
              </w:rPr>
              <w:t>.</w:t>
            </w:r>
          </w:p>
        </w:tc>
      </w:tr>
    </w:tbl>
    <w:p w14:paraId="3DD94822" w14:textId="1D0CB7FF"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p w14:paraId="0BFB7CA5" w14:textId="77777777" w:rsidR="00617BF8" w:rsidRPr="00342B2F"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97C1C" w:rsidRPr="00097C1C" w14:paraId="4D85AD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B12282" w14:textId="77777777" w:rsidR="00655F2C" w:rsidRPr="00097C1C" w:rsidRDefault="00E5323B" w:rsidP="002E7047">
            <w:pPr>
              <w:spacing w:after="0" w:line="240" w:lineRule="auto"/>
              <w:jc w:val="center"/>
              <w:rPr>
                <w:rFonts w:ascii="Times New Roman" w:eastAsia="Times New Roman" w:hAnsi="Times New Roman" w:cs="Times New Roman"/>
                <w:b/>
                <w:bCs/>
                <w:iCs/>
                <w:sz w:val="24"/>
                <w:szCs w:val="24"/>
                <w:lang w:eastAsia="lv-LV"/>
              </w:rPr>
            </w:pPr>
            <w:r w:rsidRPr="00097C1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7C1C" w:rsidRPr="00097C1C" w14:paraId="18D638CD"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F3436" w14:textId="77777777" w:rsidR="00655F2C"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2592CD11" w14:textId="77777777" w:rsidR="00E5323B"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 xml:space="preserve">Sabiedrības </w:t>
            </w:r>
            <w:proofErr w:type="spellStart"/>
            <w:r w:rsidRPr="00097C1C">
              <w:rPr>
                <w:rFonts w:ascii="Times New Roman" w:eastAsia="Times New Roman" w:hAnsi="Times New Roman" w:cs="Times New Roman"/>
                <w:iCs/>
                <w:sz w:val="24"/>
                <w:szCs w:val="24"/>
                <w:lang w:eastAsia="lv-LV"/>
              </w:rPr>
              <w:t>mērķgrupas</w:t>
            </w:r>
            <w:proofErr w:type="spellEnd"/>
            <w:r w:rsidRPr="00097C1C">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BD1C9AA" w14:textId="77777777" w:rsidR="00097C1C" w:rsidRPr="00237A77" w:rsidRDefault="00097C1C" w:rsidP="00097C1C">
            <w:pPr>
              <w:spacing w:after="0" w:line="240" w:lineRule="auto"/>
              <w:jc w:val="both"/>
              <w:rPr>
                <w:rFonts w:ascii="Times New Roman" w:eastAsia="Times New Roman" w:hAnsi="Times New Roman" w:cs="Times New Roman"/>
                <w:sz w:val="24"/>
                <w:szCs w:val="24"/>
              </w:rPr>
            </w:pPr>
            <w:r w:rsidRPr="00237A77">
              <w:rPr>
                <w:rFonts w:ascii="Times New Roman" w:eastAsia="Times New Roman" w:hAnsi="Times New Roman" w:cs="Times New Roman"/>
                <w:sz w:val="24"/>
                <w:szCs w:val="24"/>
              </w:rPr>
              <w:t xml:space="preserve">Likumprojektā ietvertie grozījumi attieksies galvenokārt uz: </w:t>
            </w:r>
          </w:p>
          <w:p w14:paraId="0A3232FD" w14:textId="77777777" w:rsidR="00097C1C" w:rsidRPr="00097C1C"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w:t>
            </w:r>
            <w:r w:rsidR="00097C1C">
              <w:rPr>
                <w:rFonts w:ascii="Times New Roman" w:eastAsia="Times New Roman" w:hAnsi="Times New Roman" w:cs="Times New Roman"/>
                <w:sz w:val="24"/>
                <w:szCs w:val="24"/>
              </w:rPr>
              <w:t>odokļu maksātājiem, kuri</w:t>
            </w:r>
            <w:r w:rsidR="00097C1C" w:rsidRPr="00237A77">
              <w:rPr>
                <w:rFonts w:ascii="Times New Roman" w:eastAsia="Times New Roman" w:hAnsi="Times New Roman" w:cs="Times New Roman"/>
                <w:sz w:val="24"/>
                <w:szCs w:val="24"/>
              </w:rPr>
              <w:t xml:space="preserve"> saskaņ</w:t>
            </w:r>
            <w:r w:rsidR="00097C1C">
              <w:rPr>
                <w:rFonts w:ascii="Times New Roman" w:eastAsia="Times New Roman" w:hAnsi="Times New Roman" w:cs="Times New Roman"/>
                <w:sz w:val="24"/>
                <w:szCs w:val="24"/>
              </w:rPr>
              <w:t>ā ar likuma 70. pantu</w:t>
            </w:r>
            <w:r w:rsidR="00097C1C" w:rsidRPr="00237A77">
              <w:rPr>
                <w:rFonts w:ascii="Times New Roman" w:eastAsia="Times New Roman" w:hAnsi="Times New Roman" w:cs="Times New Roman"/>
                <w:sz w:val="24"/>
                <w:szCs w:val="24"/>
              </w:rPr>
              <w:t xml:space="preserve"> atbilst termina “finanšu iestāde” definīcijai</w:t>
            </w:r>
            <w:r w:rsidR="006A6AAC">
              <w:rPr>
                <w:rFonts w:ascii="Times New Roman" w:eastAsia="Times New Roman" w:hAnsi="Times New Roman" w:cs="Times New Roman"/>
                <w:sz w:val="24"/>
                <w:szCs w:val="24"/>
              </w:rPr>
              <w:t xml:space="preserve"> (saskaņā ar VID sniegto informāciju</w:t>
            </w:r>
            <w:r w:rsidR="00500542">
              <w:rPr>
                <w:rFonts w:ascii="Times New Roman" w:eastAsia="Times New Roman" w:hAnsi="Times New Roman" w:cs="Times New Roman"/>
                <w:sz w:val="24"/>
                <w:szCs w:val="24"/>
              </w:rPr>
              <w:t xml:space="preserve"> -</w:t>
            </w:r>
            <w:r w:rsidR="006A6AAC">
              <w:rPr>
                <w:rFonts w:ascii="Times New Roman" w:eastAsia="Times New Roman" w:hAnsi="Times New Roman" w:cs="Times New Roman"/>
                <w:sz w:val="24"/>
                <w:szCs w:val="24"/>
              </w:rPr>
              <w:t xml:space="preserve"> ap 30 finanšu iestādes)</w:t>
            </w:r>
            <w:r w:rsidR="00097C1C" w:rsidRPr="00237A77">
              <w:rPr>
                <w:rFonts w:ascii="Times New Roman" w:eastAsia="Times New Roman" w:hAnsi="Times New Roman" w:cs="Times New Roman"/>
                <w:sz w:val="24"/>
                <w:szCs w:val="24"/>
              </w:rPr>
              <w:t>;</w:t>
            </w:r>
            <w:r w:rsidR="00097C1C" w:rsidRPr="00097C1C">
              <w:rPr>
                <w:rFonts w:ascii="Times New Roman" w:eastAsia="Times New Roman" w:hAnsi="Times New Roman" w:cs="Times New Roman"/>
                <w:sz w:val="24"/>
                <w:szCs w:val="24"/>
              </w:rPr>
              <w:t xml:space="preserve"> </w:t>
            </w:r>
          </w:p>
          <w:p w14:paraId="42DAB82D" w14:textId="77777777" w:rsidR="00E5323B" w:rsidRPr="00097C1C"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w:t>
            </w:r>
            <w:r w:rsidR="00097C1C">
              <w:rPr>
                <w:rFonts w:ascii="Times New Roman" w:eastAsia="Times New Roman" w:hAnsi="Times New Roman" w:cs="Times New Roman"/>
                <w:sz w:val="24"/>
                <w:szCs w:val="24"/>
              </w:rPr>
              <w:t>odokļu maksātājiem</w:t>
            </w:r>
            <w:r w:rsidR="00097C1C" w:rsidRPr="00097C1C">
              <w:rPr>
                <w:rFonts w:ascii="Times New Roman" w:eastAsia="Times New Roman" w:hAnsi="Times New Roman" w:cs="Times New Roman"/>
                <w:sz w:val="24"/>
                <w:szCs w:val="24"/>
              </w:rPr>
              <w:t xml:space="preserve">, kas ir starptautiskas uzņēmumu grupas sastāvā </w:t>
            </w:r>
            <w:r w:rsidR="00097C1C">
              <w:rPr>
                <w:rFonts w:ascii="Times New Roman" w:eastAsia="Times New Roman" w:hAnsi="Times New Roman" w:cs="Times New Roman"/>
                <w:sz w:val="24"/>
                <w:szCs w:val="24"/>
              </w:rPr>
              <w:t>un kur</w:t>
            </w:r>
            <w:r>
              <w:rPr>
                <w:rFonts w:ascii="Times New Roman" w:eastAsia="Times New Roman" w:hAnsi="Times New Roman" w:cs="Times New Roman"/>
                <w:sz w:val="24"/>
                <w:szCs w:val="24"/>
              </w:rPr>
              <w:t>ie</w:t>
            </w:r>
            <w:r w:rsidR="00097C1C">
              <w:rPr>
                <w:rFonts w:ascii="Times New Roman" w:eastAsia="Times New Roman" w:hAnsi="Times New Roman" w:cs="Times New Roman"/>
                <w:sz w:val="24"/>
                <w:szCs w:val="24"/>
              </w:rPr>
              <w:t xml:space="preserve">m ir jāiesniedz VID </w:t>
            </w:r>
            <w:proofErr w:type="spellStart"/>
            <w:r w:rsidR="00097C1C">
              <w:rPr>
                <w:rFonts w:ascii="Times New Roman" w:eastAsia="Times New Roman" w:hAnsi="Times New Roman" w:cs="Times New Roman"/>
                <w:sz w:val="24"/>
                <w:szCs w:val="24"/>
              </w:rPr>
              <w:t>CbCr</w:t>
            </w:r>
            <w:proofErr w:type="spellEnd"/>
            <w:r w:rsidR="00097C1C">
              <w:rPr>
                <w:rFonts w:ascii="Times New Roman" w:eastAsia="Times New Roman" w:hAnsi="Times New Roman" w:cs="Times New Roman"/>
                <w:sz w:val="24"/>
                <w:szCs w:val="24"/>
              </w:rPr>
              <w:t>;</w:t>
            </w:r>
          </w:p>
          <w:p w14:paraId="5BD86CE3" w14:textId="77777777" w:rsidR="00097C1C" w:rsidRPr="00097C1C"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w:t>
            </w:r>
            <w:r w:rsidR="00097C1C">
              <w:rPr>
                <w:rFonts w:ascii="Times New Roman" w:eastAsia="Times New Roman" w:hAnsi="Times New Roman" w:cs="Times New Roman"/>
                <w:sz w:val="24"/>
                <w:szCs w:val="24"/>
              </w:rPr>
              <w:t>odokļu maksātājiem, kuriem būs pienākums sniegt VID informāciju par ziņojamiem pārrobežu darījumiem.</w:t>
            </w:r>
          </w:p>
        </w:tc>
      </w:tr>
      <w:tr w:rsidR="00097C1C" w:rsidRPr="00097C1C" w14:paraId="562B918F"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4DDF5F" w14:textId="77777777" w:rsidR="00655F2C"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7F239D" w14:textId="76B13C0A" w:rsidR="006525CB"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Tiesiskā regulējuma ietekme uz tautsaimniecību un administratīvo slogu</w:t>
            </w:r>
          </w:p>
          <w:p w14:paraId="085951FC" w14:textId="77777777" w:rsidR="00E5323B" w:rsidRPr="006525CB" w:rsidRDefault="00E5323B" w:rsidP="006525CB">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B8631A7" w14:textId="4C4E2E65" w:rsidR="00E5323B" w:rsidRPr="00097C1C" w:rsidRDefault="00534FB4" w:rsidP="00F807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w:t>
            </w:r>
            <w:r w:rsidR="00097C1C" w:rsidRPr="00097C1C">
              <w:rPr>
                <w:rFonts w:ascii="Times New Roman" w:eastAsia="Times New Roman" w:hAnsi="Times New Roman" w:cs="Times New Roman"/>
                <w:iCs/>
                <w:sz w:val="24"/>
                <w:szCs w:val="24"/>
                <w:lang w:eastAsia="lv-LV"/>
              </w:rPr>
              <w:t xml:space="preserve"> kā Latvijas kompetentajai iestādei</w:t>
            </w:r>
            <w:r w:rsidR="00097C1C">
              <w:rPr>
                <w:rFonts w:ascii="Times New Roman" w:eastAsia="Times New Roman" w:hAnsi="Times New Roman" w:cs="Times New Roman"/>
                <w:iCs/>
                <w:sz w:val="24"/>
                <w:szCs w:val="24"/>
                <w:lang w:eastAsia="lv-LV"/>
              </w:rPr>
              <w:t xml:space="preserve"> </w:t>
            </w:r>
            <w:r w:rsidR="00097C1C" w:rsidRPr="00097C1C">
              <w:rPr>
                <w:rFonts w:ascii="Times New Roman" w:eastAsia="Times New Roman" w:hAnsi="Times New Roman" w:cs="Times New Roman"/>
                <w:iCs/>
                <w:sz w:val="24"/>
                <w:szCs w:val="24"/>
                <w:lang w:eastAsia="lv-LV"/>
              </w:rPr>
              <w:t xml:space="preserve">palielināsies </w:t>
            </w:r>
            <w:r w:rsidR="00097C1C">
              <w:rPr>
                <w:rFonts w:ascii="Times New Roman" w:eastAsia="Times New Roman" w:hAnsi="Times New Roman" w:cs="Times New Roman"/>
                <w:iCs/>
                <w:sz w:val="24"/>
                <w:szCs w:val="24"/>
                <w:lang w:eastAsia="lv-LV"/>
              </w:rPr>
              <w:t>a</w:t>
            </w:r>
            <w:r w:rsidR="00097C1C" w:rsidRPr="00097C1C">
              <w:rPr>
                <w:rFonts w:ascii="Times New Roman" w:eastAsia="Times New Roman" w:hAnsi="Times New Roman" w:cs="Times New Roman"/>
                <w:iCs/>
                <w:sz w:val="24"/>
                <w:szCs w:val="24"/>
                <w:lang w:eastAsia="lv-LV"/>
              </w:rPr>
              <w:t>dministratīvais slogs</w:t>
            </w:r>
            <w:r w:rsidR="00D05D3F">
              <w:rPr>
                <w:rFonts w:ascii="Times New Roman" w:eastAsia="Times New Roman" w:hAnsi="Times New Roman" w:cs="Times New Roman"/>
                <w:iCs/>
                <w:sz w:val="24"/>
                <w:szCs w:val="24"/>
                <w:lang w:eastAsia="lv-LV"/>
              </w:rPr>
              <w:t xml:space="preserve">, ņemot vērā, ka likumprojektā </w:t>
            </w:r>
            <w:r w:rsidR="003C621D">
              <w:rPr>
                <w:rFonts w:ascii="Times New Roman" w:eastAsia="Times New Roman" w:hAnsi="Times New Roman" w:cs="Times New Roman"/>
                <w:iCs/>
                <w:sz w:val="24"/>
                <w:szCs w:val="24"/>
                <w:lang w:eastAsia="lv-LV"/>
              </w:rPr>
              <w:t xml:space="preserve">tiek </w:t>
            </w:r>
            <w:r w:rsidR="00D05D3F">
              <w:rPr>
                <w:rFonts w:ascii="Times New Roman" w:eastAsia="Times New Roman" w:hAnsi="Times New Roman" w:cs="Times New Roman"/>
                <w:iCs/>
                <w:sz w:val="24"/>
                <w:szCs w:val="24"/>
                <w:lang w:eastAsia="lv-LV"/>
              </w:rPr>
              <w:t xml:space="preserve">noteikts </w:t>
            </w:r>
            <w:r w:rsidR="003C621D">
              <w:rPr>
                <w:rFonts w:ascii="Times New Roman" w:eastAsia="Times New Roman" w:hAnsi="Times New Roman" w:cs="Times New Roman"/>
                <w:iCs/>
                <w:sz w:val="24"/>
                <w:szCs w:val="24"/>
                <w:lang w:eastAsia="lv-LV"/>
              </w:rPr>
              <w:t xml:space="preserve">jauns </w:t>
            </w:r>
            <w:r w:rsidR="00D05D3F">
              <w:rPr>
                <w:rFonts w:ascii="Times New Roman" w:eastAsia="Times New Roman" w:hAnsi="Times New Roman" w:cs="Times New Roman"/>
                <w:iCs/>
                <w:sz w:val="24"/>
                <w:szCs w:val="24"/>
                <w:lang w:eastAsia="lv-LV"/>
              </w:rPr>
              <w:t>pienākums</w:t>
            </w:r>
            <w:r w:rsidR="003C621D">
              <w:rPr>
                <w:rFonts w:ascii="Times New Roman" w:eastAsia="Times New Roman" w:hAnsi="Times New Roman" w:cs="Times New Roman"/>
                <w:iCs/>
                <w:sz w:val="24"/>
                <w:szCs w:val="24"/>
                <w:lang w:eastAsia="lv-LV"/>
              </w:rPr>
              <w:t xml:space="preserve"> - </w:t>
            </w:r>
            <w:r w:rsidR="003C621D" w:rsidRPr="00491502">
              <w:rPr>
                <w:rFonts w:ascii="Times New Roman" w:eastAsia="Times New Roman" w:hAnsi="Times New Roman" w:cs="Times New Roman"/>
                <w:sz w:val="24"/>
                <w:szCs w:val="24"/>
              </w:rPr>
              <w:t>sniegt informāciju VID par ziņojamām pārrobežu shēmām</w:t>
            </w:r>
            <w:r w:rsidR="003C621D">
              <w:rPr>
                <w:rFonts w:ascii="Times New Roman" w:eastAsia="Times New Roman" w:hAnsi="Times New Roman" w:cs="Times New Roman"/>
                <w:sz w:val="24"/>
                <w:szCs w:val="24"/>
              </w:rPr>
              <w:t>.</w:t>
            </w:r>
            <w:r w:rsidR="003C621D">
              <w:rPr>
                <w:rFonts w:ascii="Times New Roman" w:eastAsia="Times New Roman" w:hAnsi="Times New Roman" w:cs="Times New Roman"/>
                <w:iCs/>
                <w:sz w:val="24"/>
                <w:szCs w:val="24"/>
                <w:lang w:eastAsia="lv-LV"/>
              </w:rPr>
              <w:t xml:space="preserve"> </w:t>
            </w:r>
            <w:r w:rsidR="00D05D3F">
              <w:rPr>
                <w:rFonts w:ascii="Times New Roman" w:eastAsia="Times New Roman" w:hAnsi="Times New Roman" w:cs="Times New Roman"/>
                <w:iCs/>
                <w:sz w:val="24"/>
                <w:szCs w:val="24"/>
                <w:lang w:eastAsia="lv-LV"/>
              </w:rPr>
              <w:t xml:space="preserve"> </w:t>
            </w:r>
          </w:p>
        </w:tc>
      </w:tr>
      <w:tr w:rsidR="00097C1C" w:rsidRPr="00097C1C" w14:paraId="05B27733"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7BF623"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E9E78BB"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08A5381" w14:textId="017E1CFB" w:rsidR="00DB5543" w:rsidRPr="00097C1C" w:rsidRDefault="003A5E5A" w:rsidP="006525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 kā šobrīd DAC 6 ir vēl ieviešanas stadijā, n</w:t>
            </w:r>
            <w:r w:rsidRPr="003A5E5A">
              <w:rPr>
                <w:rFonts w:ascii="Times New Roman" w:eastAsia="Times New Roman" w:hAnsi="Times New Roman" w:cs="Times New Roman"/>
                <w:sz w:val="24"/>
                <w:szCs w:val="24"/>
              </w:rPr>
              <w:t>av iespējams veikt precīzu administratīvo izmaksu aprēķinu</w:t>
            </w:r>
            <w:r>
              <w:rPr>
                <w:rFonts w:ascii="Times New Roman" w:eastAsia="Times New Roman" w:hAnsi="Times New Roman" w:cs="Times New Roman"/>
                <w:sz w:val="24"/>
                <w:szCs w:val="24"/>
              </w:rPr>
              <w:t>.</w:t>
            </w:r>
          </w:p>
        </w:tc>
      </w:tr>
      <w:tr w:rsidR="00097C1C" w:rsidRPr="00097C1C" w14:paraId="11586113"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39268"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646011"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7C66688" w14:textId="77777777" w:rsidR="00DB5543" w:rsidRPr="00097C1C" w:rsidRDefault="00DB5543" w:rsidP="00DB5543">
            <w:pPr>
              <w:spacing w:after="0" w:line="240" w:lineRule="auto"/>
              <w:rPr>
                <w:rFonts w:ascii="Times New Roman" w:eastAsia="Times New Roman" w:hAnsi="Times New Roman" w:cs="Times New Roman"/>
                <w:sz w:val="24"/>
                <w:szCs w:val="24"/>
              </w:rPr>
            </w:pPr>
            <w:r w:rsidRPr="00097C1C">
              <w:rPr>
                <w:rFonts w:ascii="Times New Roman" w:eastAsia="Times New Roman" w:hAnsi="Times New Roman" w:cs="Times New Roman"/>
                <w:sz w:val="24"/>
                <w:szCs w:val="24"/>
              </w:rPr>
              <w:t>Nav attiecināms.</w:t>
            </w:r>
          </w:p>
        </w:tc>
      </w:tr>
      <w:tr w:rsidR="00097C1C" w:rsidRPr="00097C1C" w14:paraId="3D584BC0"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0DE83"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EB4FB70"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1EEC35" w14:textId="77777777" w:rsidR="00DB5543" w:rsidRPr="00097C1C" w:rsidRDefault="00DB5543" w:rsidP="00DB5543">
            <w:pPr>
              <w:spacing w:after="0" w:line="240" w:lineRule="auto"/>
              <w:rPr>
                <w:rFonts w:ascii="Times New Roman" w:eastAsia="Times New Roman" w:hAnsi="Times New Roman" w:cs="Times New Roman"/>
                <w:sz w:val="24"/>
                <w:szCs w:val="24"/>
              </w:rPr>
            </w:pPr>
            <w:r w:rsidRPr="00097C1C">
              <w:rPr>
                <w:rFonts w:ascii="Times New Roman" w:eastAsia="Times New Roman" w:hAnsi="Times New Roman" w:cs="Times New Roman"/>
                <w:sz w:val="24"/>
                <w:szCs w:val="24"/>
              </w:rPr>
              <w:t>Nav.</w:t>
            </w:r>
          </w:p>
        </w:tc>
      </w:tr>
    </w:tbl>
    <w:p w14:paraId="7F5EDBD1" w14:textId="0C7024F0"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p w14:paraId="4545C675" w14:textId="77777777" w:rsidR="00617BF8" w:rsidRPr="00342B2F"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03D5" w:rsidRPr="006303D5" w14:paraId="794A6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3CBB2" w14:textId="77777777" w:rsidR="00655F2C" w:rsidRPr="006303D5" w:rsidRDefault="00E5323B" w:rsidP="002E7047">
            <w:pPr>
              <w:spacing w:after="0" w:line="240" w:lineRule="auto"/>
              <w:jc w:val="center"/>
              <w:rPr>
                <w:rFonts w:ascii="Times New Roman" w:eastAsia="Times New Roman" w:hAnsi="Times New Roman" w:cs="Times New Roman"/>
                <w:b/>
                <w:bCs/>
                <w:iCs/>
                <w:sz w:val="24"/>
                <w:szCs w:val="24"/>
                <w:lang w:eastAsia="lv-LV"/>
              </w:rPr>
            </w:pPr>
            <w:r w:rsidRPr="006303D5">
              <w:rPr>
                <w:rFonts w:ascii="Times New Roman" w:eastAsia="Times New Roman" w:hAnsi="Times New Roman" w:cs="Times New Roman"/>
                <w:b/>
                <w:bCs/>
                <w:iCs/>
                <w:sz w:val="24"/>
                <w:szCs w:val="24"/>
                <w:lang w:eastAsia="lv-LV"/>
              </w:rPr>
              <w:t>III. Tiesību akta projekta ietekme uz valsts budžetu un pašvaldību budžetiem</w:t>
            </w:r>
          </w:p>
        </w:tc>
      </w:tr>
      <w:tr w:rsidR="006303D5" w:rsidRPr="006303D5" w14:paraId="00FD19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2D4000" w14:textId="77777777" w:rsidR="0051156D" w:rsidRPr="006303D5" w:rsidRDefault="0051156D" w:rsidP="0051156D">
            <w:pPr>
              <w:spacing w:after="0" w:line="240" w:lineRule="auto"/>
              <w:jc w:val="center"/>
              <w:rPr>
                <w:rFonts w:ascii="Times New Roman" w:eastAsia="Times New Roman" w:hAnsi="Times New Roman" w:cs="Times New Roman"/>
                <w:b/>
                <w:bCs/>
                <w:iCs/>
                <w:sz w:val="24"/>
                <w:szCs w:val="24"/>
                <w:lang w:eastAsia="lv-LV"/>
              </w:rPr>
            </w:pPr>
            <w:r w:rsidRPr="006303D5">
              <w:rPr>
                <w:rFonts w:ascii="Times New Roman" w:eastAsia="Times New Roman" w:hAnsi="Times New Roman" w:cs="Times New Roman"/>
                <w:i/>
                <w:sz w:val="24"/>
                <w:szCs w:val="24"/>
              </w:rPr>
              <w:t>Projekts šo jomu neskar.</w:t>
            </w:r>
          </w:p>
        </w:tc>
      </w:tr>
    </w:tbl>
    <w:p w14:paraId="7ECC108A" w14:textId="77777777" w:rsidR="00617BF8" w:rsidRPr="006303D5" w:rsidRDefault="00617BF8" w:rsidP="00512123">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03D5" w:rsidRPr="006303D5" w14:paraId="56889E46" w14:textId="77777777" w:rsidTr="00F150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4A6EC7" w14:textId="77777777" w:rsidR="00512123" w:rsidRPr="006303D5" w:rsidRDefault="00512123" w:rsidP="002E7047">
            <w:pPr>
              <w:spacing w:after="0" w:line="240" w:lineRule="auto"/>
              <w:jc w:val="center"/>
              <w:rPr>
                <w:rFonts w:ascii="Times New Roman" w:eastAsia="Times New Roman" w:hAnsi="Times New Roman" w:cs="Times New Roman"/>
                <w:b/>
                <w:bCs/>
                <w:iCs/>
                <w:sz w:val="24"/>
                <w:szCs w:val="24"/>
                <w:lang w:eastAsia="lv-LV"/>
              </w:rPr>
            </w:pPr>
            <w:r w:rsidRPr="006303D5">
              <w:rPr>
                <w:rFonts w:ascii="Times New Roman" w:eastAsia="Times New Roman" w:hAnsi="Times New Roman" w:cs="Times New Roman"/>
                <w:b/>
                <w:bCs/>
                <w:iCs/>
                <w:sz w:val="24"/>
                <w:szCs w:val="24"/>
                <w:lang w:eastAsia="lv-LV"/>
              </w:rPr>
              <w:t>IV. Tiesību akta projekta ietekme uz spēkā esošo tiesību normu sistēmu</w:t>
            </w:r>
          </w:p>
        </w:tc>
      </w:tr>
      <w:tr w:rsidR="00512123" w:rsidRPr="00AE61EB" w14:paraId="26243BE6" w14:textId="77777777" w:rsidTr="00F1505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CBAAF" w14:textId="77777777" w:rsidR="00512123" w:rsidRPr="00AE61EB" w:rsidRDefault="00512123"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02A63D" w14:textId="77777777" w:rsidR="00512123" w:rsidRPr="00AE61EB" w:rsidRDefault="00512123"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5B043C3" w14:textId="77777777" w:rsidR="00512123" w:rsidRPr="00AE61EB" w:rsidRDefault="00512123" w:rsidP="00500542">
            <w:pPr>
              <w:spacing w:after="0" w:line="240" w:lineRule="auto"/>
              <w:jc w:val="both"/>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Nepieciešams izstrādāt Ministru kabineta noteikumus,</w:t>
            </w:r>
            <w:r w:rsidR="0034428F" w:rsidRPr="00AE61EB">
              <w:rPr>
                <w:rFonts w:ascii="Times New Roman" w:eastAsia="Times New Roman" w:hAnsi="Times New Roman" w:cs="Times New Roman"/>
                <w:iCs/>
                <w:sz w:val="24"/>
                <w:szCs w:val="24"/>
                <w:lang w:eastAsia="lv-LV"/>
              </w:rPr>
              <w:t xml:space="preserve"> nosakot priekšnoteikumus</w:t>
            </w:r>
            <w:r w:rsidRPr="00AE61EB">
              <w:rPr>
                <w:rFonts w:ascii="Times New Roman" w:eastAsia="Times New Roman" w:hAnsi="Times New Roman" w:cs="Times New Roman"/>
                <w:iCs/>
                <w:sz w:val="24"/>
                <w:szCs w:val="24"/>
                <w:lang w:eastAsia="lv-LV"/>
              </w:rPr>
              <w:t>, kuriem iestājoties ir sniedzams ziņojums, ziņojuma struktūru un saturu, ziņojumā lietoto terminu skaidrojumu, kā arī tā sagatavošanas un iesniegšanas kārtību un kārtību, kādā veic automātisko informācijas par ziņojamām pārrobež</w:t>
            </w:r>
            <w:r w:rsidR="00B35680">
              <w:rPr>
                <w:rFonts w:ascii="Times New Roman" w:eastAsia="Times New Roman" w:hAnsi="Times New Roman" w:cs="Times New Roman"/>
                <w:iCs/>
                <w:sz w:val="24"/>
                <w:szCs w:val="24"/>
                <w:lang w:eastAsia="lv-LV"/>
              </w:rPr>
              <w:t xml:space="preserve">u shēmām apmaiņu starp Latviju </w:t>
            </w:r>
            <w:r w:rsidRPr="00AE61EB">
              <w:rPr>
                <w:rFonts w:ascii="Times New Roman" w:eastAsia="Times New Roman" w:hAnsi="Times New Roman" w:cs="Times New Roman"/>
                <w:iCs/>
                <w:sz w:val="24"/>
                <w:szCs w:val="24"/>
                <w:lang w:eastAsia="lv-LV"/>
              </w:rPr>
              <w:t xml:space="preserve">un citu </w:t>
            </w:r>
            <w:r w:rsidR="00534FB4">
              <w:rPr>
                <w:rFonts w:ascii="Times New Roman" w:eastAsia="Times New Roman" w:hAnsi="Times New Roman" w:cs="Times New Roman"/>
                <w:iCs/>
                <w:sz w:val="24"/>
                <w:szCs w:val="24"/>
                <w:lang w:eastAsia="lv-LV"/>
              </w:rPr>
              <w:t>ES</w:t>
            </w:r>
            <w:r w:rsidRPr="00AE61EB">
              <w:rPr>
                <w:rFonts w:ascii="Times New Roman" w:eastAsia="Times New Roman" w:hAnsi="Times New Roman" w:cs="Times New Roman"/>
                <w:iCs/>
                <w:sz w:val="24"/>
                <w:szCs w:val="24"/>
                <w:lang w:eastAsia="lv-LV"/>
              </w:rPr>
              <w:t xml:space="preserve"> dalībvalstu kompetentajām iestādēm vai jebkuru citas valsts kompetento iestādi, ar kuru Latvijas kompetentā iestāde, pamatojoties uz Latvijas noslēgto starptautisko līgumu, noslēgusi attiecīgu kompetento iestāžu līgumu</w:t>
            </w:r>
            <w:r w:rsidR="0034428F" w:rsidRPr="00AE61EB">
              <w:rPr>
                <w:rFonts w:ascii="Times New Roman" w:eastAsia="Times New Roman" w:hAnsi="Times New Roman" w:cs="Times New Roman"/>
                <w:iCs/>
                <w:sz w:val="24"/>
                <w:szCs w:val="24"/>
                <w:lang w:eastAsia="lv-LV"/>
              </w:rPr>
              <w:t>.</w:t>
            </w:r>
          </w:p>
        </w:tc>
      </w:tr>
      <w:tr w:rsidR="00512123" w:rsidRPr="00AE61EB" w14:paraId="7571914B" w14:textId="77777777" w:rsidTr="00F1505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AB8E6" w14:textId="77777777" w:rsidR="00512123" w:rsidRPr="00AE61EB" w:rsidRDefault="00512123"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34414C" w14:textId="77777777" w:rsidR="00512123" w:rsidRPr="00AE61EB" w:rsidRDefault="00512123"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AB9D01B" w14:textId="77777777" w:rsidR="00512123" w:rsidRPr="00AE61EB" w:rsidRDefault="0034428F"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Finanšu ministrija</w:t>
            </w:r>
          </w:p>
        </w:tc>
      </w:tr>
      <w:tr w:rsidR="00512123" w:rsidRPr="00AE61EB" w14:paraId="3C27FE46" w14:textId="77777777" w:rsidTr="00F1505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FE342" w14:textId="77777777" w:rsidR="00512123" w:rsidRPr="00AE61EB" w:rsidRDefault="00512123"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1E1BF0" w14:textId="77777777" w:rsidR="00512123" w:rsidRPr="00AE61EB" w:rsidRDefault="00512123"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22B289" w14:textId="6F4C5404" w:rsidR="00512123" w:rsidRPr="00AE61EB" w:rsidRDefault="0034428F" w:rsidP="00F15059">
            <w:pPr>
              <w:spacing w:after="0" w:line="240" w:lineRule="auto"/>
              <w:rPr>
                <w:rFonts w:ascii="Times New Roman" w:eastAsia="Times New Roman" w:hAnsi="Times New Roman" w:cs="Times New Roman"/>
                <w:iCs/>
                <w:sz w:val="24"/>
                <w:szCs w:val="24"/>
                <w:lang w:eastAsia="lv-LV"/>
              </w:rPr>
            </w:pPr>
            <w:r w:rsidRPr="00AE61EB">
              <w:rPr>
                <w:rFonts w:ascii="Times New Roman" w:eastAsia="Times New Roman" w:hAnsi="Times New Roman" w:cs="Times New Roman"/>
                <w:iCs/>
                <w:sz w:val="24"/>
                <w:szCs w:val="24"/>
                <w:lang w:eastAsia="lv-LV"/>
              </w:rPr>
              <w:t>Nav</w:t>
            </w:r>
            <w:r w:rsidR="000233D5">
              <w:rPr>
                <w:rFonts w:ascii="Times New Roman" w:eastAsia="Times New Roman" w:hAnsi="Times New Roman" w:cs="Times New Roman"/>
                <w:iCs/>
                <w:sz w:val="24"/>
                <w:szCs w:val="24"/>
                <w:lang w:eastAsia="lv-LV"/>
              </w:rPr>
              <w:t>.</w:t>
            </w:r>
          </w:p>
        </w:tc>
      </w:tr>
    </w:tbl>
    <w:p w14:paraId="6552885D" w14:textId="77777777" w:rsidR="00E5323B" w:rsidRPr="00512123" w:rsidRDefault="00512123"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969"/>
        <w:gridCol w:w="5542"/>
      </w:tblGrid>
      <w:tr w:rsidR="00D13366" w:rsidRPr="00D13366" w14:paraId="628B91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4635D2" w14:textId="77777777" w:rsidR="00655F2C" w:rsidRPr="00D13366" w:rsidRDefault="00E5323B" w:rsidP="002E7047">
            <w:pPr>
              <w:spacing w:after="0" w:line="240" w:lineRule="auto"/>
              <w:jc w:val="center"/>
              <w:rPr>
                <w:rFonts w:ascii="Times New Roman" w:eastAsia="Times New Roman" w:hAnsi="Times New Roman" w:cs="Times New Roman"/>
                <w:b/>
                <w:bCs/>
                <w:iCs/>
                <w:sz w:val="24"/>
                <w:szCs w:val="24"/>
                <w:lang w:eastAsia="lv-LV"/>
              </w:rPr>
            </w:pPr>
            <w:r w:rsidRPr="00D1336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366" w:rsidRPr="00D13366" w14:paraId="3DE808E4"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F5BCD61"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lastRenderedPageBreak/>
              <w:t>1.</w:t>
            </w:r>
          </w:p>
        </w:tc>
        <w:tc>
          <w:tcPr>
            <w:tcW w:w="1623" w:type="pct"/>
            <w:tcBorders>
              <w:top w:val="outset" w:sz="6" w:space="0" w:color="auto"/>
              <w:left w:val="outset" w:sz="6" w:space="0" w:color="auto"/>
              <w:bottom w:val="outset" w:sz="6" w:space="0" w:color="auto"/>
              <w:right w:val="outset" w:sz="6" w:space="0" w:color="auto"/>
            </w:tcBorders>
            <w:hideMark/>
          </w:tcPr>
          <w:p w14:paraId="1FE2BF15"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58C94EFC" w14:textId="77777777" w:rsidR="00DB5543" w:rsidRPr="00D13366" w:rsidRDefault="0034428F">
            <w:pPr>
              <w:spacing w:after="0" w:line="240" w:lineRule="auto"/>
              <w:jc w:val="both"/>
              <w:rPr>
                <w:rFonts w:ascii="Times New Roman" w:eastAsia="Times New Roman" w:hAnsi="Times New Roman" w:cs="Times New Roman"/>
                <w:sz w:val="24"/>
                <w:szCs w:val="24"/>
              </w:rPr>
            </w:pPr>
            <w:r w:rsidRPr="0034428F">
              <w:rPr>
                <w:rFonts w:ascii="Times New Roman" w:eastAsia="Times New Roman" w:hAnsi="Times New Roman" w:cs="Times New Roman"/>
                <w:sz w:val="24"/>
                <w:szCs w:val="24"/>
              </w:rPr>
              <w:t xml:space="preserve">Padomes </w:t>
            </w:r>
            <w:r w:rsidR="00FF57F3" w:rsidRPr="0034428F">
              <w:rPr>
                <w:rFonts w:ascii="Times New Roman" w:eastAsia="Times New Roman" w:hAnsi="Times New Roman" w:cs="Times New Roman"/>
                <w:sz w:val="24"/>
                <w:szCs w:val="24"/>
              </w:rPr>
              <w:t>2018. gada 25. maij</w:t>
            </w:r>
            <w:r w:rsidR="00FF57F3">
              <w:rPr>
                <w:rFonts w:ascii="Times New Roman" w:eastAsia="Times New Roman" w:hAnsi="Times New Roman" w:cs="Times New Roman"/>
                <w:sz w:val="24"/>
                <w:szCs w:val="24"/>
              </w:rPr>
              <w:t>a</w:t>
            </w:r>
            <w:r w:rsidR="00FF57F3" w:rsidRPr="0034428F">
              <w:rPr>
                <w:rFonts w:ascii="Times New Roman" w:eastAsia="Times New Roman" w:hAnsi="Times New Roman" w:cs="Times New Roman"/>
                <w:sz w:val="24"/>
                <w:szCs w:val="24"/>
              </w:rPr>
              <w:t xml:space="preserve"> </w:t>
            </w:r>
            <w:r w:rsidRPr="0034428F">
              <w:rPr>
                <w:rFonts w:ascii="Times New Roman" w:eastAsia="Times New Roman" w:hAnsi="Times New Roman" w:cs="Times New Roman"/>
                <w:sz w:val="24"/>
                <w:szCs w:val="24"/>
              </w:rPr>
              <w:t>direktīva</w:t>
            </w:r>
            <w:r>
              <w:rPr>
                <w:rFonts w:ascii="Times New Roman" w:eastAsia="Times New Roman" w:hAnsi="Times New Roman" w:cs="Times New Roman"/>
                <w:sz w:val="24"/>
                <w:szCs w:val="24"/>
              </w:rPr>
              <w:t>s</w:t>
            </w:r>
            <w:r w:rsidRPr="0034428F">
              <w:rPr>
                <w:rFonts w:ascii="Times New Roman" w:eastAsia="Times New Roman" w:hAnsi="Times New Roman" w:cs="Times New Roman"/>
                <w:sz w:val="24"/>
                <w:szCs w:val="24"/>
              </w:rPr>
              <w:t xml:space="preserve"> (ES) 2018/822, ar ko attiecībā uz obligāto automātisko informācijas apmaiņu nodokļu jomā saistībā ar ziņojamām pārrobežu shēmām groza Direktīvu 2011/16/ES</w:t>
            </w:r>
            <w:r>
              <w:rPr>
                <w:rFonts w:ascii="Times New Roman" w:eastAsia="Times New Roman" w:hAnsi="Times New Roman" w:cs="Times New Roman"/>
                <w:sz w:val="24"/>
                <w:szCs w:val="24"/>
              </w:rPr>
              <w:t>, ieviešana</w:t>
            </w:r>
            <w:r w:rsidRPr="0034428F">
              <w:rPr>
                <w:rFonts w:ascii="Times New Roman" w:eastAsia="Times New Roman" w:hAnsi="Times New Roman" w:cs="Times New Roman"/>
                <w:sz w:val="24"/>
                <w:szCs w:val="24"/>
              </w:rPr>
              <w:t>.</w:t>
            </w:r>
          </w:p>
        </w:tc>
      </w:tr>
      <w:tr w:rsidR="00D13366" w:rsidRPr="00D13366" w14:paraId="51D04A6C"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9A9E986"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56707339"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33013EBB" w14:textId="77777777" w:rsidR="00DB5543" w:rsidRPr="00D13366" w:rsidRDefault="004E118B" w:rsidP="004E118B">
            <w:pPr>
              <w:spacing w:after="0" w:line="240" w:lineRule="auto"/>
              <w:jc w:val="both"/>
              <w:rPr>
                <w:rFonts w:ascii="Times New Roman" w:eastAsia="Times New Roman" w:hAnsi="Times New Roman" w:cs="Times New Roman"/>
                <w:sz w:val="24"/>
                <w:szCs w:val="24"/>
              </w:rPr>
            </w:pPr>
            <w:r w:rsidRPr="004E118B">
              <w:rPr>
                <w:rFonts w:ascii="Times New Roman" w:eastAsia="Times New Roman" w:hAnsi="Times New Roman" w:cs="Times New Roman"/>
                <w:sz w:val="24"/>
                <w:szCs w:val="24"/>
              </w:rPr>
              <w:t>Konvencija par savstarpējo administratīvo palīdzību nodokļu</w:t>
            </w:r>
            <w:r>
              <w:rPr>
                <w:rFonts w:ascii="Times New Roman" w:eastAsia="Times New Roman" w:hAnsi="Times New Roman" w:cs="Times New Roman"/>
                <w:sz w:val="24"/>
                <w:szCs w:val="24"/>
              </w:rPr>
              <w:t xml:space="preserve"> </w:t>
            </w:r>
            <w:r w:rsidRPr="004E118B">
              <w:rPr>
                <w:rFonts w:ascii="Times New Roman" w:eastAsia="Times New Roman" w:hAnsi="Times New Roman" w:cs="Times New Roman"/>
                <w:sz w:val="24"/>
                <w:szCs w:val="24"/>
              </w:rPr>
              <w:t>jomā.</w:t>
            </w:r>
          </w:p>
        </w:tc>
      </w:tr>
      <w:tr w:rsidR="00D13366" w:rsidRPr="00D13366" w14:paraId="7CD6FDBC"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EC3FDCE"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7FECA93D"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tcPr>
          <w:p w14:paraId="35258E75" w14:textId="7C450CC1" w:rsidR="00DB5543" w:rsidRPr="00D13366" w:rsidRDefault="004E118B" w:rsidP="00DB5543">
            <w:pPr>
              <w:spacing w:before="100" w:beforeAutospacing="1" w:after="100" w:afterAutospacing="1"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000233D5">
              <w:rPr>
                <w:rFonts w:ascii="Times New Roman" w:eastAsia="Times New Roman" w:hAnsi="Times New Roman" w:cs="Times New Roman"/>
                <w:sz w:val="24"/>
                <w:szCs w:val="24"/>
              </w:rPr>
              <w:t>.</w:t>
            </w:r>
          </w:p>
        </w:tc>
      </w:tr>
    </w:tbl>
    <w:p w14:paraId="5ED11054" w14:textId="77777777" w:rsidR="00E5323B" w:rsidRPr="00342B2F"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4"/>
        <w:gridCol w:w="2234"/>
        <w:gridCol w:w="2176"/>
        <w:gridCol w:w="2391"/>
      </w:tblGrid>
      <w:tr w:rsidR="00E5323B" w:rsidRPr="00342B2F" w14:paraId="766923A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56C4A40" w14:textId="77777777" w:rsidR="00655F2C" w:rsidRPr="007E0102" w:rsidRDefault="00E5323B" w:rsidP="00DB5543">
            <w:pPr>
              <w:spacing w:after="0" w:line="240" w:lineRule="auto"/>
              <w:jc w:val="center"/>
              <w:rPr>
                <w:rFonts w:ascii="Times New Roman" w:eastAsia="Times New Roman" w:hAnsi="Times New Roman" w:cs="Times New Roman"/>
                <w:b/>
                <w:bCs/>
                <w:iCs/>
                <w:sz w:val="24"/>
                <w:szCs w:val="24"/>
                <w:lang w:eastAsia="lv-LV"/>
              </w:rPr>
            </w:pPr>
            <w:r w:rsidRPr="007E0102">
              <w:rPr>
                <w:rFonts w:ascii="Times New Roman" w:eastAsia="Times New Roman" w:hAnsi="Times New Roman" w:cs="Times New Roman"/>
                <w:b/>
                <w:bCs/>
                <w:iCs/>
                <w:sz w:val="24"/>
                <w:szCs w:val="24"/>
                <w:lang w:eastAsia="lv-LV"/>
              </w:rPr>
              <w:t>1. tabula</w:t>
            </w:r>
            <w:r w:rsidRPr="007E0102">
              <w:rPr>
                <w:rFonts w:ascii="Times New Roman" w:eastAsia="Times New Roman" w:hAnsi="Times New Roman" w:cs="Times New Roman"/>
                <w:b/>
                <w:bCs/>
                <w:iCs/>
                <w:sz w:val="24"/>
                <w:szCs w:val="24"/>
                <w:lang w:eastAsia="lv-LV"/>
              </w:rPr>
              <w:br/>
              <w:t>Tiesību akta projekta atbilstība ES tiesību aktiem</w:t>
            </w:r>
          </w:p>
        </w:tc>
      </w:tr>
      <w:tr w:rsidR="00E5323B" w:rsidRPr="00342B2F" w14:paraId="576B6291" w14:textId="77777777" w:rsidTr="009E0DCE">
        <w:trPr>
          <w:tblCellSpacing w:w="15" w:type="dxa"/>
        </w:trPr>
        <w:tc>
          <w:tcPr>
            <w:tcW w:w="1228" w:type="pct"/>
            <w:tcBorders>
              <w:top w:val="outset" w:sz="6" w:space="0" w:color="auto"/>
              <w:left w:val="outset" w:sz="6" w:space="0" w:color="auto"/>
              <w:bottom w:val="outset" w:sz="6" w:space="0" w:color="auto"/>
              <w:right w:val="outset" w:sz="6" w:space="0" w:color="auto"/>
            </w:tcBorders>
            <w:hideMark/>
          </w:tcPr>
          <w:p w14:paraId="3A89DCE4"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Attiecīgā ES tiesību akta datums, numurs un nosaukums</w:t>
            </w:r>
          </w:p>
        </w:tc>
        <w:tc>
          <w:tcPr>
            <w:tcW w:w="3722" w:type="pct"/>
            <w:gridSpan w:val="3"/>
            <w:tcBorders>
              <w:top w:val="outset" w:sz="6" w:space="0" w:color="auto"/>
              <w:left w:val="outset" w:sz="6" w:space="0" w:color="auto"/>
              <w:bottom w:val="outset" w:sz="6" w:space="0" w:color="auto"/>
              <w:right w:val="outset" w:sz="6" w:space="0" w:color="auto"/>
            </w:tcBorders>
            <w:hideMark/>
          </w:tcPr>
          <w:p w14:paraId="55EBF037" w14:textId="77777777" w:rsidR="00E5323B" w:rsidRPr="007E0102" w:rsidRDefault="000413DB">
            <w:pPr>
              <w:spacing w:after="0" w:line="240" w:lineRule="auto"/>
              <w:jc w:val="both"/>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sz w:val="24"/>
                <w:szCs w:val="24"/>
              </w:rPr>
              <w:t xml:space="preserve">Padomes </w:t>
            </w:r>
            <w:r w:rsidR="00FF57F3" w:rsidRPr="007E0102">
              <w:rPr>
                <w:rFonts w:ascii="Times New Roman" w:eastAsia="Times New Roman" w:hAnsi="Times New Roman" w:cs="Times New Roman"/>
                <w:sz w:val="24"/>
                <w:szCs w:val="24"/>
              </w:rPr>
              <w:t>2018. gada 25. maij</w:t>
            </w:r>
            <w:r w:rsidR="00FF57F3">
              <w:rPr>
                <w:rFonts w:ascii="Times New Roman" w:eastAsia="Times New Roman" w:hAnsi="Times New Roman" w:cs="Times New Roman"/>
                <w:sz w:val="24"/>
                <w:szCs w:val="24"/>
              </w:rPr>
              <w:t>a</w:t>
            </w:r>
            <w:r w:rsidR="00FF57F3" w:rsidRPr="007E0102">
              <w:rPr>
                <w:rFonts w:ascii="Times New Roman" w:eastAsia="Times New Roman" w:hAnsi="Times New Roman" w:cs="Times New Roman"/>
                <w:sz w:val="24"/>
                <w:szCs w:val="24"/>
              </w:rPr>
              <w:t xml:space="preserve"> </w:t>
            </w:r>
            <w:r w:rsidRPr="007E0102">
              <w:rPr>
                <w:rFonts w:ascii="Times New Roman" w:eastAsia="Times New Roman" w:hAnsi="Times New Roman" w:cs="Times New Roman"/>
                <w:sz w:val="24"/>
                <w:szCs w:val="24"/>
              </w:rPr>
              <w:t>direktīva (ES) 2018/822, ar ko attiecībā uz obligāto automātisko informācijas apmaiņu nodokļu jomā saistībā ar ziņojamām pārrobežu shēmām groza Direktīvu 2011/16/ES</w:t>
            </w:r>
          </w:p>
        </w:tc>
      </w:tr>
      <w:tr w:rsidR="00E5323B" w:rsidRPr="00342B2F" w14:paraId="2DC2F805" w14:textId="77777777" w:rsidTr="009E0DCE">
        <w:trPr>
          <w:tblCellSpacing w:w="15" w:type="dxa"/>
        </w:trPr>
        <w:tc>
          <w:tcPr>
            <w:tcW w:w="1228" w:type="pct"/>
            <w:tcBorders>
              <w:top w:val="outset" w:sz="6" w:space="0" w:color="auto"/>
              <w:left w:val="outset" w:sz="6" w:space="0" w:color="auto"/>
              <w:bottom w:val="outset" w:sz="6" w:space="0" w:color="auto"/>
              <w:right w:val="outset" w:sz="6" w:space="0" w:color="auto"/>
            </w:tcBorders>
            <w:vAlign w:val="center"/>
            <w:hideMark/>
          </w:tcPr>
          <w:p w14:paraId="4DB146CB" w14:textId="77777777" w:rsidR="00655F2C"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4F5A5BA" w14:textId="77777777" w:rsidR="00655F2C"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B</w:t>
            </w:r>
          </w:p>
        </w:tc>
        <w:tc>
          <w:tcPr>
            <w:tcW w:w="1193" w:type="pct"/>
            <w:tcBorders>
              <w:top w:val="outset" w:sz="6" w:space="0" w:color="auto"/>
              <w:left w:val="outset" w:sz="6" w:space="0" w:color="auto"/>
              <w:bottom w:val="outset" w:sz="6" w:space="0" w:color="auto"/>
              <w:right w:val="outset" w:sz="6" w:space="0" w:color="auto"/>
            </w:tcBorders>
            <w:vAlign w:val="center"/>
            <w:hideMark/>
          </w:tcPr>
          <w:p w14:paraId="7EE38B16" w14:textId="77777777" w:rsidR="00655F2C"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C</w:t>
            </w:r>
          </w:p>
        </w:tc>
        <w:tc>
          <w:tcPr>
            <w:tcW w:w="1272" w:type="pct"/>
            <w:tcBorders>
              <w:top w:val="outset" w:sz="6" w:space="0" w:color="auto"/>
              <w:left w:val="outset" w:sz="6" w:space="0" w:color="auto"/>
              <w:bottom w:val="outset" w:sz="6" w:space="0" w:color="auto"/>
              <w:right w:val="outset" w:sz="6" w:space="0" w:color="auto"/>
            </w:tcBorders>
            <w:vAlign w:val="center"/>
            <w:hideMark/>
          </w:tcPr>
          <w:p w14:paraId="7A5BC5DF" w14:textId="77777777" w:rsidR="00655F2C"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D</w:t>
            </w:r>
          </w:p>
        </w:tc>
      </w:tr>
      <w:tr w:rsidR="00E5323B" w:rsidRPr="00342B2F" w14:paraId="00BC0C89" w14:textId="77777777" w:rsidTr="009E0DCE">
        <w:trPr>
          <w:tblCellSpacing w:w="15" w:type="dxa"/>
        </w:trPr>
        <w:tc>
          <w:tcPr>
            <w:tcW w:w="1228" w:type="pct"/>
            <w:tcBorders>
              <w:top w:val="outset" w:sz="6" w:space="0" w:color="auto"/>
              <w:left w:val="outset" w:sz="6" w:space="0" w:color="auto"/>
              <w:bottom w:val="outset" w:sz="6" w:space="0" w:color="auto"/>
              <w:right w:val="outset" w:sz="6" w:space="0" w:color="auto"/>
            </w:tcBorders>
            <w:hideMark/>
          </w:tcPr>
          <w:p w14:paraId="2BB1A2F9"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58C5E50D"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93" w:type="pct"/>
            <w:tcBorders>
              <w:top w:val="outset" w:sz="6" w:space="0" w:color="auto"/>
              <w:left w:val="outset" w:sz="6" w:space="0" w:color="auto"/>
              <w:bottom w:val="outset" w:sz="6" w:space="0" w:color="auto"/>
              <w:right w:val="outset" w:sz="6" w:space="0" w:color="auto"/>
            </w:tcBorders>
            <w:hideMark/>
          </w:tcPr>
          <w:p w14:paraId="3AF0FF36"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E010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E0102">
              <w:rPr>
                <w:rFonts w:ascii="Times New Roman" w:eastAsia="Times New Roman" w:hAnsi="Times New Roman" w:cs="Times New Roman"/>
                <w:iCs/>
                <w:sz w:val="24"/>
                <w:szCs w:val="24"/>
                <w:lang w:eastAsia="lv-LV"/>
              </w:rPr>
              <w:br/>
              <w:t>Norāda institūciju, kas ir atbildīga par šo saistību izpildi pilnībā</w:t>
            </w:r>
          </w:p>
        </w:tc>
        <w:tc>
          <w:tcPr>
            <w:tcW w:w="1272" w:type="pct"/>
            <w:tcBorders>
              <w:top w:val="outset" w:sz="6" w:space="0" w:color="auto"/>
              <w:left w:val="outset" w:sz="6" w:space="0" w:color="auto"/>
              <w:bottom w:val="outset" w:sz="6" w:space="0" w:color="auto"/>
              <w:right w:val="outset" w:sz="6" w:space="0" w:color="auto"/>
            </w:tcBorders>
            <w:hideMark/>
          </w:tcPr>
          <w:p w14:paraId="4A7B8C24"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E010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E0102">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342B2F" w14:paraId="41628FCC" w14:textId="77777777" w:rsidTr="009E0DCE">
        <w:trPr>
          <w:tblCellSpacing w:w="15" w:type="dxa"/>
        </w:trPr>
        <w:tc>
          <w:tcPr>
            <w:tcW w:w="1228" w:type="pct"/>
            <w:tcBorders>
              <w:top w:val="outset" w:sz="6" w:space="0" w:color="auto"/>
              <w:left w:val="outset" w:sz="6" w:space="0" w:color="auto"/>
              <w:bottom w:val="outset" w:sz="6" w:space="0" w:color="auto"/>
              <w:right w:val="outset" w:sz="6" w:space="0" w:color="auto"/>
            </w:tcBorders>
            <w:hideMark/>
          </w:tcPr>
          <w:p w14:paraId="493993E0" w14:textId="77777777" w:rsidR="00E5323B" w:rsidRPr="007E0102" w:rsidRDefault="007E010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panta 2. punkts</w:t>
            </w:r>
          </w:p>
        </w:tc>
        <w:tc>
          <w:tcPr>
            <w:tcW w:w="1225" w:type="pct"/>
            <w:tcBorders>
              <w:top w:val="outset" w:sz="6" w:space="0" w:color="auto"/>
              <w:left w:val="outset" w:sz="6" w:space="0" w:color="auto"/>
              <w:bottom w:val="outset" w:sz="6" w:space="0" w:color="auto"/>
              <w:right w:val="outset" w:sz="6" w:space="0" w:color="auto"/>
            </w:tcBorders>
            <w:hideMark/>
          </w:tcPr>
          <w:p w14:paraId="40EAC361" w14:textId="77777777" w:rsidR="00E5323B" w:rsidRPr="007E0102" w:rsidRDefault="007E010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2. pants</w:t>
            </w:r>
          </w:p>
        </w:tc>
        <w:tc>
          <w:tcPr>
            <w:tcW w:w="1193" w:type="pct"/>
            <w:tcBorders>
              <w:top w:val="outset" w:sz="6" w:space="0" w:color="auto"/>
              <w:left w:val="outset" w:sz="6" w:space="0" w:color="auto"/>
              <w:bottom w:val="outset" w:sz="6" w:space="0" w:color="auto"/>
              <w:right w:val="outset" w:sz="6" w:space="0" w:color="auto"/>
            </w:tcBorders>
            <w:hideMark/>
          </w:tcPr>
          <w:p w14:paraId="09563EBA" w14:textId="77777777" w:rsidR="00E5323B" w:rsidRPr="007E0102" w:rsidRDefault="00F451C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72" w:type="pct"/>
            <w:tcBorders>
              <w:top w:val="outset" w:sz="6" w:space="0" w:color="auto"/>
              <w:left w:val="outset" w:sz="6" w:space="0" w:color="auto"/>
              <w:bottom w:val="outset" w:sz="6" w:space="0" w:color="auto"/>
              <w:right w:val="outset" w:sz="6" w:space="0" w:color="auto"/>
            </w:tcBorders>
            <w:hideMark/>
          </w:tcPr>
          <w:p w14:paraId="4CB11AEB" w14:textId="77777777" w:rsidR="00F451CE" w:rsidRPr="007E0102" w:rsidRDefault="00F451C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tiesību akts neparedz stingrākas prasības</w:t>
            </w:r>
          </w:p>
        </w:tc>
      </w:tr>
      <w:tr w:rsidR="00E5323B" w:rsidRPr="00342B2F" w14:paraId="6B329DCB" w14:textId="77777777" w:rsidTr="009E0DCE">
        <w:trPr>
          <w:tblCellSpacing w:w="15" w:type="dxa"/>
        </w:trPr>
        <w:tc>
          <w:tcPr>
            <w:tcW w:w="1228" w:type="pct"/>
            <w:tcBorders>
              <w:top w:val="outset" w:sz="6" w:space="0" w:color="auto"/>
              <w:left w:val="outset" w:sz="6" w:space="0" w:color="auto"/>
              <w:bottom w:val="outset" w:sz="6" w:space="0" w:color="auto"/>
              <w:right w:val="outset" w:sz="6" w:space="0" w:color="auto"/>
            </w:tcBorders>
            <w:hideMark/>
          </w:tcPr>
          <w:p w14:paraId="7D336A8F"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w:t>
            </w:r>
            <w:r w:rsidRPr="007E0102">
              <w:rPr>
                <w:rFonts w:ascii="Times New Roman" w:eastAsia="Times New Roman" w:hAnsi="Times New Roman" w:cs="Times New Roman"/>
                <w:iCs/>
                <w:sz w:val="24"/>
                <w:szCs w:val="24"/>
                <w:lang w:eastAsia="lv-LV"/>
              </w:rPr>
              <w:lastRenderedPageBreak/>
              <w:t>ES tiesību akta normas? Kādēļ?</w:t>
            </w:r>
          </w:p>
        </w:tc>
        <w:tc>
          <w:tcPr>
            <w:tcW w:w="3722" w:type="pct"/>
            <w:gridSpan w:val="3"/>
            <w:tcBorders>
              <w:top w:val="outset" w:sz="6" w:space="0" w:color="auto"/>
              <w:left w:val="outset" w:sz="6" w:space="0" w:color="auto"/>
              <w:bottom w:val="outset" w:sz="6" w:space="0" w:color="auto"/>
              <w:right w:val="outset" w:sz="6" w:space="0" w:color="auto"/>
            </w:tcBorders>
            <w:hideMark/>
          </w:tcPr>
          <w:p w14:paraId="388BEDE8" w14:textId="39CC270A" w:rsidR="00E5323B" w:rsidRPr="007E0102" w:rsidRDefault="00B3046E" w:rsidP="00B304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Likump</w:t>
            </w:r>
            <w:r w:rsidR="00F451CE">
              <w:rPr>
                <w:rFonts w:ascii="Times New Roman" w:eastAsia="Times New Roman" w:hAnsi="Times New Roman" w:cs="Times New Roman"/>
                <w:iCs/>
                <w:sz w:val="24"/>
                <w:szCs w:val="24"/>
                <w:lang w:eastAsia="lv-LV"/>
              </w:rPr>
              <w:t>rojekts šo jomu neskar.</w:t>
            </w:r>
          </w:p>
        </w:tc>
      </w:tr>
      <w:tr w:rsidR="00E5323B" w:rsidRPr="00342B2F" w14:paraId="150622AC" w14:textId="77777777" w:rsidTr="009E0DCE">
        <w:trPr>
          <w:tblCellSpacing w:w="15" w:type="dxa"/>
        </w:trPr>
        <w:tc>
          <w:tcPr>
            <w:tcW w:w="1228" w:type="pct"/>
            <w:tcBorders>
              <w:top w:val="outset" w:sz="6" w:space="0" w:color="auto"/>
              <w:left w:val="outset" w:sz="6" w:space="0" w:color="auto"/>
              <w:bottom w:val="outset" w:sz="6" w:space="0" w:color="auto"/>
              <w:right w:val="outset" w:sz="6" w:space="0" w:color="auto"/>
            </w:tcBorders>
            <w:hideMark/>
          </w:tcPr>
          <w:p w14:paraId="0FDC5DA6"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2" w:type="pct"/>
            <w:gridSpan w:val="3"/>
            <w:tcBorders>
              <w:top w:val="outset" w:sz="6" w:space="0" w:color="auto"/>
              <w:left w:val="outset" w:sz="6" w:space="0" w:color="auto"/>
              <w:bottom w:val="outset" w:sz="6" w:space="0" w:color="auto"/>
              <w:right w:val="outset" w:sz="6" w:space="0" w:color="auto"/>
            </w:tcBorders>
          </w:tcPr>
          <w:p w14:paraId="1401682C" w14:textId="534DD5AC" w:rsidR="00E5323B" w:rsidRPr="007E0102" w:rsidRDefault="00B3046E" w:rsidP="00B304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CF120B" w:rsidRPr="00CF120B">
              <w:rPr>
                <w:rFonts w:ascii="Times New Roman" w:eastAsia="Times New Roman" w:hAnsi="Times New Roman" w:cs="Times New Roman"/>
                <w:iCs/>
                <w:sz w:val="24"/>
                <w:szCs w:val="24"/>
                <w:lang w:eastAsia="lv-LV"/>
              </w:rPr>
              <w:t>rojekts šo jomu neskar.</w:t>
            </w:r>
          </w:p>
        </w:tc>
      </w:tr>
      <w:tr w:rsidR="00E5323B" w:rsidRPr="00342B2F" w14:paraId="2E456611" w14:textId="77777777" w:rsidTr="009E0DCE">
        <w:trPr>
          <w:tblCellSpacing w:w="15" w:type="dxa"/>
        </w:trPr>
        <w:tc>
          <w:tcPr>
            <w:tcW w:w="1228" w:type="pct"/>
            <w:tcBorders>
              <w:top w:val="outset" w:sz="6" w:space="0" w:color="auto"/>
              <w:left w:val="outset" w:sz="6" w:space="0" w:color="auto"/>
              <w:bottom w:val="outset" w:sz="6" w:space="0" w:color="auto"/>
              <w:right w:val="outset" w:sz="6" w:space="0" w:color="auto"/>
            </w:tcBorders>
            <w:hideMark/>
          </w:tcPr>
          <w:p w14:paraId="276CED4A" w14:textId="77777777" w:rsidR="00E5323B" w:rsidRPr="007E0102" w:rsidRDefault="00E5323B" w:rsidP="00E5323B">
            <w:pPr>
              <w:spacing w:after="0" w:line="240" w:lineRule="auto"/>
              <w:rPr>
                <w:rFonts w:ascii="Times New Roman" w:eastAsia="Times New Roman" w:hAnsi="Times New Roman" w:cs="Times New Roman"/>
                <w:iCs/>
                <w:sz w:val="24"/>
                <w:szCs w:val="24"/>
                <w:lang w:eastAsia="lv-LV"/>
              </w:rPr>
            </w:pPr>
            <w:r w:rsidRPr="007E0102">
              <w:rPr>
                <w:rFonts w:ascii="Times New Roman" w:eastAsia="Times New Roman" w:hAnsi="Times New Roman" w:cs="Times New Roman"/>
                <w:iCs/>
                <w:sz w:val="24"/>
                <w:szCs w:val="24"/>
                <w:lang w:eastAsia="lv-LV"/>
              </w:rPr>
              <w:t>Cita informācija</w:t>
            </w:r>
          </w:p>
        </w:tc>
        <w:tc>
          <w:tcPr>
            <w:tcW w:w="3722" w:type="pct"/>
            <w:gridSpan w:val="3"/>
            <w:tcBorders>
              <w:top w:val="outset" w:sz="6" w:space="0" w:color="auto"/>
              <w:left w:val="outset" w:sz="6" w:space="0" w:color="auto"/>
              <w:bottom w:val="outset" w:sz="6" w:space="0" w:color="auto"/>
              <w:right w:val="outset" w:sz="6" w:space="0" w:color="auto"/>
            </w:tcBorders>
            <w:hideMark/>
          </w:tcPr>
          <w:p w14:paraId="18D7EA54" w14:textId="77777777" w:rsidR="00E5323B" w:rsidRPr="007E0102" w:rsidRDefault="00F451CE">
            <w:pPr>
              <w:spacing w:after="0" w:line="240" w:lineRule="auto"/>
              <w:jc w:val="both"/>
              <w:rPr>
                <w:rFonts w:ascii="Times New Roman" w:eastAsia="Times New Roman" w:hAnsi="Times New Roman" w:cs="Times New Roman"/>
                <w:iCs/>
                <w:sz w:val="24"/>
                <w:szCs w:val="24"/>
                <w:lang w:eastAsia="lv-LV"/>
              </w:rPr>
            </w:pPr>
            <w:r w:rsidRPr="0034428F">
              <w:rPr>
                <w:rFonts w:ascii="Times New Roman" w:eastAsia="Times New Roman" w:hAnsi="Times New Roman" w:cs="Times New Roman"/>
                <w:sz w:val="24"/>
                <w:szCs w:val="24"/>
              </w:rPr>
              <w:t xml:space="preserve">Padomes </w:t>
            </w:r>
            <w:r w:rsidR="00FF57F3">
              <w:rPr>
                <w:rFonts w:ascii="Times New Roman" w:eastAsia="Times New Roman" w:hAnsi="Times New Roman" w:cs="Times New Roman"/>
                <w:sz w:val="24"/>
                <w:szCs w:val="24"/>
              </w:rPr>
              <w:t>2018. gada 25. maija</w:t>
            </w:r>
            <w:r w:rsidR="00FF57F3" w:rsidRPr="0034428F">
              <w:rPr>
                <w:rFonts w:ascii="Times New Roman" w:eastAsia="Times New Roman" w:hAnsi="Times New Roman" w:cs="Times New Roman"/>
                <w:sz w:val="24"/>
                <w:szCs w:val="24"/>
              </w:rPr>
              <w:t xml:space="preserve"> </w:t>
            </w:r>
            <w:r w:rsidRPr="0034428F">
              <w:rPr>
                <w:rFonts w:ascii="Times New Roman" w:eastAsia="Times New Roman" w:hAnsi="Times New Roman" w:cs="Times New Roman"/>
                <w:sz w:val="24"/>
                <w:szCs w:val="24"/>
              </w:rPr>
              <w:t>direktīva</w:t>
            </w:r>
            <w:r>
              <w:rPr>
                <w:rFonts w:ascii="Times New Roman" w:eastAsia="Times New Roman" w:hAnsi="Times New Roman" w:cs="Times New Roman"/>
                <w:sz w:val="24"/>
                <w:szCs w:val="24"/>
              </w:rPr>
              <w:t>s</w:t>
            </w:r>
            <w:r w:rsidRPr="0034428F">
              <w:rPr>
                <w:rFonts w:ascii="Times New Roman" w:eastAsia="Times New Roman" w:hAnsi="Times New Roman" w:cs="Times New Roman"/>
                <w:sz w:val="24"/>
                <w:szCs w:val="24"/>
              </w:rPr>
              <w:t xml:space="preserve"> (ES) 2018/822, ar ko attiecībā uz obligāto automātisko informācijas apmaiņu nodokļu jomā saistībā ar ziņojamām pārrobežu shēmām groza Direktīvu 2011/16/ES</w:t>
            </w:r>
            <w:r>
              <w:rPr>
                <w:rFonts w:ascii="Times New Roman" w:eastAsia="Times New Roman" w:hAnsi="Times New Roman" w:cs="Times New Roman"/>
                <w:sz w:val="24"/>
                <w:szCs w:val="24"/>
              </w:rPr>
              <w:t>, pārējās normas tiks pārņemtas, izstrādājot jaunus Ministru kabineta noteikumus līdz 2019. gada 31. decembrim.</w:t>
            </w:r>
          </w:p>
        </w:tc>
      </w:tr>
      <w:tr w:rsidR="00E5323B" w:rsidRPr="00342B2F" w14:paraId="6391AF4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76973F1" w14:textId="77777777" w:rsidR="00655F2C" w:rsidRPr="007E0102" w:rsidRDefault="00E5323B" w:rsidP="00FF70F9">
            <w:pPr>
              <w:spacing w:after="0" w:line="240" w:lineRule="auto"/>
              <w:jc w:val="center"/>
              <w:rPr>
                <w:rFonts w:ascii="Times New Roman" w:eastAsia="Times New Roman" w:hAnsi="Times New Roman" w:cs="Times New Roman"/>
                <w:b/>
                <w:bCs/>
                <w:iCs/>
                <w:sz w:val="24"/>
                <w:szCs w:val="24"/>
                <w:lang w:eastAsia="lv-LV"/>
              </w:rPr>
            </w:pPr>
            <w:r w:rsidRPr="007E0102">
              <w:rPr>
                <w:rFonts w:ascii="Times New Roman" w:eastAsia="Times New Roman" w:hAnsi="Times New Roman" w:cs="Times New Roman"/>
                <w:b/>
                <w:bCs/>
                <w:iCs/>
                <w:sz w:val="24"/>
                <w:szCs w:val="24"/>
                <w:lang w:eastAsia="lv-LV"/>
              </w:rPr>
              <w:t>2. tabula</w:t>
            </w:r>
            <w:r w:rsidRPr="007E010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E0102">
              <w:rPr>
                <w:rFonts w:ascii="Times New Roman" w:eastAsia="Times New Roman" w:hAnsi="Times New Roman" w:cs="Times New Roman"/>
                <w:b/>
                <w:bCs/>
                <w:iCs/>
                <w:sz w:val="24"/>
                <w:szCs w:val="24"/>
                <w:lang w:eastAsia="lv-LV"/>
              </w:rPr>
              <w:br/>
              <w:t>Pasākumi šo saistību izpildei</w:t>
            </w:r>
          </w:p>
        </w:tc>
      </w:tr>
      <w:tr w:rsidR="009E0DCE" w:rsidRPr="00342B2F" w14:paraId="19DF4F7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66FD2E1F" w14:textId="77777777" w:rsidR="009E0DCE" w:rsidRPr="009E0DCE" w:rsidRDefault="009E0DCE" w:rsidP="009E0DCE">
            <w:pPr>
              <w:spacing w:after="0" w:line="240" w:lineRule="auto"/>
              <w:jc w:val="center"/>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
                <w:iCs/>
                <w:sz w:val="24"/>
                <w:szCs w:val="24"/>
                <w:lang w:eastAsia="lv-LV"/>
              </w:rPr>
              <w:t>Projekts šo jomu neskar.</w:t>
            </w:r>
          </w:p>
        </w:tc>
      </w:tr>
    </w:tbl>
    <w:p w14:paraId="26F8CA99" w14:textId="77777777" w:rsidR="00E5323B" w:rsidRPr="00342B2F"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E0DCE" w:rsidRPr="009E0DCE" w14:paraId="3E61DC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8109CD" w14:textId="77777777" w:rsidR="00655F2C" w:rsidRPr="009E0DCE" w:rsidRDefault="00E5323B" w:rsidP="002E7047">
            <w:pPr>
              <w:spacing w:after="0" w:line="240" w:lineRule="auto"/>
              <w:jc w:val="center"/>
              <w:rPr>
                <w:rFonts w:ascii="Times New Roman" w:eastAsia="Times New Roman" w:hAnsi="Times New Roman" w:cs="Times New Roman"/>
                <w:b/>
                <w:bCs/>
                <w:iCs/>
                <w:sz w:val="24"/>
                <w:szCs w:val="24"/>
                <w:lang w:eastAsia="lv-LV"/>
              </w:rPr>
            </w:pPr>
            <w:r w:rsidRPr="009E0DCE">
              <w:rPr>
                <w:rFonts w:ascii="Times New Roman" w:eastAsia="Times New Roman" w:hAnsi="Times New Roman" w:cs="Times New Roman"/>
                <w:b/>
                <w:bCs/>
                <w:iCs/>
                <w:sz w:val="24"/>
                <w:szCs w:val="24"/>
                <w:lang w:eastAsia="lv-LV"/>
              </w:rPr>
              <w:t>VI. Sabiedrības līdzdalība un komunikācijas aktivitātes</w:t>
            </w:r>
          </w:p>
        </w:tc>
      </w:tr>
      <w:tr w:rsidR="009E0DCE" w:rsidRPr="009E0DCE" w14:paraId="4730538C" w14:textId="77777777" w:rsidTr="00F46C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40CF" w14:textId="77777777" w:rsidR="00655F2C"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473524"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8CE8E28" w14:textId="77777777" w:rsidR="00E5323B" w:rsidRPr="009E0DCE" w:rsidRDefault="00327830" w:rsidP="00C21F4E">
            <w:pPr>
              <w:spacing w:after="0" w:line="240" w:lineRule="auto"/>
              <w:jc w:val="both"/>
              <w:rPr>
                <w:rFonts w:ascii="Times New Roman" w:eastAsia="Times New Roman" w:hAnsi="Times New Roman" w:cs="Times New Roman"/>
                <w:sz w:val="24"/>
                <w:szCs w:val="24"/>
              </w:rPr>
            </w:pPr>
            <w:r w:rsidRPr="009E0DCE">
              <w:rPr>
                <w:rFonts w:ascii="Times New Roman" w:eastAsia="Times New Roman" w:hAnsi="Times New Roman" w:cs="Times New Roman"/>
                <w:sz w:val="24"/>
                <w:szCs w:val="24"/>
              </w:rPr>
              <w:t xml:space="preserve">Informācija </w:t>
            </w:r>
            <w:r w:rsidRPr="009817FA">
              <w:rPr>
                <w:rFonts w:ascii="Times New Roman" w:eastAsia="Times New Roman" w:hAnsi="Times New Roman" w:cs="Times New Roman"/>
                <w:sz w:val="24"/>
                <w:szCs w:val="24"/>
              </w:rPr>
              <w:t xml:space="preserve">par tiesību akta projekta </w:t>
            </w:r>
            <w:r w:rsidR="00B3046E">
              <w:rPr>
                <w:rFonts w:ascii="Times New Roman" w:eastAsia="Times New Roman" w:hAnsi="Times New Roman" w:cs="Times New Roman"/>
                <w:sz w:val="24"/>
                <w:szCs w:val="24"/>
              </w:rPr>
              <w:t xml:space="preserve">izstrādes </w:t>
            </w:r>
            <w:r w:rsidRPr="009817FA">
              <w:rPr>
                <w:rFonts w:ascii="Times New Roman" w:eastAsia="Times New Roman" w:hAnsi="Times New Roman" w:cs="Times New Roman"/>
                <w:sz w:val="24"/>
                <w:szCs w:val="24"/>
              </w:rPr>
              <w:t>uzsākšanu 201</w:t>
            </w:r>
            <w:r w:rsidR="009817FA" w:rsidRPr="009817FA">
              <w:rPr>
                <w:rFonts w:ascii="Times New Roman" w:eastAsia="Times New Roman" w:hAnsi="Times New Roman" w:cs="Times New Roman"/>
                <w:sz w:val="24"/>
                <w:szCs w:val="24"/>
              </w:rPr>
              <w:t>9</w:t>
            </w:r>
            <w:r w:rsidRPr="009817FA">
              <w:rPr>
                <w:rFonts w:ascii="Times New Roman" w:eastAsia="Times New Roman" w:hAnsi="Times New Roman" w:cs="Times New Roman"/>
                <w:sz w:val="24"/>
                <w:szCs w:val="24"/>
              </w:rPr>
              <w:t xml:space="preserve">. gada </w:t>
            </w:r>
            <w:r w:rsidR="009817FA" w:rsidRPr="009817FA">
              <w:rPr>
                <w:rFonts w:ascii="Times New Roman" w:eastAsia="Times New Roman" w:hAnsi="Times New Roman" w:cs="Times New Roman"/>
                <w:sz w:val="24"/>
                <w:szCs w:val="24"/>
              </w:rPr>
              <w:t>12</w:t>
            </w:r>
            <w:r w:rsidRPr="009817FA">
              <w:rPr>
                <w:rFonts w:ascii="Times New Roman" w:eastAsia="Times New Roman" w:hAnsi="Times New Roman" w:cs="Times New Roman"/>
                <w:sz w:val="24"/>
                <w:szCs w:val="24"/>
              </w:rPr>
              <w:t xml:space="preserve">. </w:t>
            </w:r>
            <w:r w:rsidR="009817FA" w:rsidRPr="009817FA">
              <w:rPr>
                <w:rFonts w:ascii="Times New Roman" w:eastAsia="Times New Roman" w:hAnsi="Times New Roman" w:cs="Times New Roman"/>
                <w:sz w:val="24"/>
                <w:szCs w:val="24"/>
              </w:rPr>
              <w:t>martā</w:t>
            </w:r>
            <w:r w:rsidRPr="009817FA">
              <w:rPr>
                <w:rFonts w:ascii="Times New Roman" w:eastAsia="Times New Roman" w:hAnsi="Times New Roman" w:cs="Times New Roman"/>
                <w:sz w:val="24"/>
                <w:szCs w:val="24"/>
              </w:rPr>
              <w:t xml:space="preserve"> ievietota Finanšu ministrijas mājas lapā sadaļā “Sabiedrības</w:t>
            </w:r>
            <w:r w:rsidR="00C21F4E">
              <w:rPr>
                <w:rFonts w:ascii="Times New Roman" w:eastAsia="Times New Roman" w:hAnsi="Times New Roman" w:cs="Times New Roman"/>
                <w:sz w:val="24"/>
                <w:szCs w:val="24"/>
              </w:rPr>
              <w:t xml:space="preserve"> līdzdalība”.</w:t>
            </w:r>
          </w:p>
        </w:tc>
      </w:tr>
      <w:tr w:rsidR="009E0DCE" w:rsidRPr="009E0DCE" w14:paraId="59B9754E"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01F27C" w14:textId="77777777" w:rsidR="00655F2C"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C0439A"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FEE72DD" w14:textId="77777777" w:rsidR="00E5323B" w:rsidRPr="009E0DCE" w:rsidRDefault="00C21F4E" w:rsidP="00F46C2B">
            <w:pPr>
              <w:spacing w:after="0" w:line="240" w:lineRule="auto"/>
              <w:jc w:val="both"/>
              <w:rPr>
                <w:rFonts w:ascii="Times New Roman" w:eastAsia="Times New Roman" w:hAnsi="Times New Roman" w:cs="Times New Roman"/>
                <w:iCs/>
                <w:sz w:val="24"/>
                <w:szCs w:val="24"/>
                <w:lang w:eastAsia="lv-LV"/>
              </w:rPr>
            </w:pPr>
            <w:r w:rsidRPr="00C21F4E">
              <w:rPr>
                <w:rFonts w:ascii="Times New Roman" w:eastAsia="Times New Roman" w:hAnsi="Times New Roman" w:cs="Times New Roman"/>
                <w:iCs/>
                <w:sz w:val="24"/>
                <w:szCs w:val="24"/>
                <w:lang w:eastAsia="lv-LV"/>
              </w:rPr>
              <w:t>Līdz 201</w:t>
            </w:r>
            <w:r>
              <w:rPr>
                <w:rFonts w:ascii="Times New Roman" w:eastAsia="Times New Roman" w:hAnsi="Times New Roman" w:cs="Times New Roman"/>
                <w:iCs/>
                <w:sz w:val="24"/>
                <w:szCs w:val="24"/>
                <w:lang w:eastAsia="lv-LV"/>
              </w:rPr>
              <w:t>9</w:t>
            </w:r>
            <w:r w:rsidRPr="00C21F4E">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w:t>
            </w:r>
            <w:r w:rsidRPr="00C21F4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aprīlim</w:t>
            </w:r>
            <w:r w:rsidRPr="00C21F4E">
              <w:rPr>
                <w:rFonts w:ascii="Times New Roman" w:eastAsia="Times New Roman" w:hAnsi="Times New Roman" w:cs="Times New Roman"/>
                <w:iCs/>
                <w:sz w:val="24"/>
                <w:szCs w:val="24"/>
                <w:lang w:eastAsia="lv-LV"/>
              </w:rPr>
              <w:t xml:space="preserve"> bija iespējams iesniegt priekšlikumus un viedokļus par likumprojektu.</w:t>
            </w:r>
          </w:p>
        </w:tc>
      </w:tr>
      <w:tr w:rsidR="009E0DCE" w:rsidRPr="009E0DCE" w14:paraId="6BFFA949"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61631" w14:textId="77777777" w:rsidR="00655F2C"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E1C02"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8255A23" w14:textId="77777777" w:rsidR="00E5323B" w:rsidRPr="009E0DCE" w:rsidRDefault="00C21F4E" w:rsidP="00F46C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Noteiktajā termiņā nav saņemti priekšlikumi vai viedokļi par likumprojektu.</w:t>
            </w:r>
          </w:p>
        </w:tc>
      </w:tr>
      <w:tr w:rsidR="009E0DCE" w:rsidRPr="009E0DCE" w14:paraId="7CFF1A92"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E34AE" w14:textId="77777777" w:rsidR="00655F2C"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E07C510"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1FC617" w14:textId="77777777" w:rsidR="00E5323B" w:rsidRPr="009E0DCE" w:rsidRDefault="00C21F4E" w:rsidP="00F46C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1AB5869" w14:textId="77777777" w:rsidR="00E5323B" w:rsidRPr="00342B2F"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4CE2" w:rsidRPr="003C4CE2" w14:paraId="0C0A39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6B9A47" w14:textId="77777777" w:rsidR="00655F2C" w:rsidRPr="003C4CE2" w:rsidRDefault="00E5323B" w:rsidP="002E7047">
            <w:pPr>
              <w:spacing w:after="0" w:line="240" w:lineRule="auto"/>
              <w:jc w:val="center"/>
              <w:rPr>
                <w:rFonts w:ascii="Times New Roman" w:eastAsia="Times New Roman" w:hAnsi="Times New Roman" w:cs="Times New Roman"/>
                <w:b/>
                <w:bCs/>
                <w:iCs/>
                <w:sz w:val="24"/>
                <w:szCs w:val="24"/>
                <w:lang w:eastAsia="lv-LV"/>
              </w:rPr>
            </w:pPr>
            <w:r w:rsidRPr="003C4C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4CE2" w:rsidRPr="003C4CE2" w14:paraId="3CFE5409"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9E9CC" w14:textId="77777777" w:rsidR="00655F2C" w:rsidRPr="003C4CE2" w:rsidRDefault="00E5323B" w:rsidP="00E5323B">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CB42C6" w14:textId="77777777" w:rsidR="00E5323B" w:rsidRPr="003C4CE2" w:rsidRDefault="00E5323B" w:rsidP="00E5323B">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FCD95F2" w14:textId="77777777" w:rsidR="00E5323B" w:rsidRPr="003C4CE2" w:rsidRDefault="00E06B33" w:rsidP="00E5323B">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VID</w:t>
            </w:r>
          </w:p>
        </w:tc>
      </w:tr>
      <w:tr w:rsidR="003C4CE2" w:rsidRPr="003C4CE2" w14:paraId="0B12DA7B"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EA9F23" w14:textId="77777777" w:rsidR="00E06B33" w:rsidRPr="003C4CE2" w:rsidRDefault="00E06B33" w:rsidP="00E06B33">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AE7A83A" w14:textId="77777777" w:rsidR="00E06B33" w:rsidRPr="003C4CE2" w:rsidRDefault="00E06B33" w:rsidP="00E06B33">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Projekta izpildes ietekme uz pārvaldes funkcijām un institucionālo struktūru.</w:t>
            </w:r>
            <w:r w:rsidRPr="003C4CE2">
              <w:rPr>
                <w:rFonts w:ascii="Times New Roman" w:eastAsia="Times New Roman" w:hAnsi="Times New Roman" w:cs="Times New Roman"/>
                <w:iCs/>
                <w:sz w:val="24"/>
                <w:szCs w:val="24"/>
                <w:lang w:eastAsia="lv-LV"/>
              </w:rPr>
              <w:br/>
            </w:r>
            <w:r w:rsidRPr="003C4CE2">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42DA0DA" w14:textId="77777777" w:rsidR="00E06B33" w:rsidRPr="003C4CE2" w:rsidRDefault="00100266" w:rsidP="00E06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Likum</w:t>
            </w:r>
            <w:r w:rsidR="00E06B33" w:rsidRPr="003C4CE2">
              <w:rPr>
                <w:rFonts w:ascii="Times New Roman" w:eastAsia="Times New Roman" w:hAnsi="Times New Roman" w:cs="Times New Roman"/>
                <w:sz w:val="24"/>
                <w:szCs w:val="24"/>
              </w:rPr>
              <w:t>projekts nemaina iesaistīto institūciju kompetenci un funkcijas.</w:t>
            </w:r>
          </w:p>
          <w:p w14:paraId="65806E43" w14:textId="77777777" w:rsidR="00E06B33" w:rsidRPr="003C4CE2" w:rsidRDefault="00E06B33" w:rsidP="00E06B33">
            <w:pPr>
              <w:spacing w:after="0" w:line="240" w:lineRule="auto"/>
              <w:jc w:val="both"/>
              <w:rPr>
                <w:rFonts w:ascii="Times New Roman" w:eastAsia="Times New Roman" w:hAnsi="Times New Roman" w:cs="Times New Roman"/>
                <w:sz w:val="24"/>
                <w:szCs w:val="24"/>
              </w:rPr>
            </w:pPr>
            <w:r w:rsidRPr="003C4CE2">
              <w:rPr>
                <w:rFonts w:ascii="Times New Roman" w:eastAsia="Times New Roman" w:hAnsi="Times New Roman" w:cs="Times New Roman"/>
                <w:sz w:val="24"/>
                <w:szCs w:val="24"/>
              </w:rPr>
              <w:lastRenderedPageBreak/>
              <w:t>Netiks veidotas nedz jaunas institūcijas, nedz reorganizētas vai likvidētas esošās institūcijas.</w:t>
            </w:r>
          </w:p>
        </w:tc>
      </w:tr>
      <w:tr w:rsidR="003C4CE2" w:rsidRPr="003C4CE2" w14:paraId="07C72D9A"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5467DD" w14:textId="77777777" w:rsidR="00E06B33" w:rsidRPr="003C4CE2" w:rsidRDefault="00E06B33" w:rsidP="00E06B33">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A21788D" w14:textId="77777777" w:rsidR="00E06B33" w:rsidRPr="003C4CE2" w:rsidRDefault="00E06B33" w:rsidP="00E06B33">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1AAF62" w14:textId="77777777" w:rsidR="00E06B33" w:rsidRPr="003C4CE2" w:rsidRDefault="00E06B33" w:rsidP="00E06B33">
            <w:pPr>
              <w:spacing w:after="0" w:line="240" w:lineRule="auto"/>
              <w:rPr>
                <w:rFonts w:ascii="Times New Roman" w:eastAsia="Times New Roman" w:hAnsi="Times New Roman" w:cs="Times New Roman"/>
                <w:sz w:val="24"/>
                <w:szCs w:val="24"/>
              </w:rPr>
            </w:pPr>
            <w:r w:rsidRPr="003C4CE2">
              <w:rPr>
                <w:rFonts w:ascii="Times New Roman" w:eastAsia="Times New Roman" w:hAnsi="Times New Roman" w:cs="Times New Roman"/>
                <w:sz w:val="24"/>
                <w:szCs w:val="24"/>
              </w:rPr>
              <w:t>Nav.</w:t>
            </w:r>
          </w:p>
        </w:tc>
      </w:tr>
    </w:tbl>
    <w:p w14:paraId="7F2D2F1A" w14:textId="77777777" w:rsidR="00C25B49" w:rsidRPr="00342B2F" w:rsidRDefault="00C25B49" w:rsidP="00894C55">
      <w:pPr>
        <w:spacing w:after="0" w:line="240" w:lineRule="auto"/>
        <w:rPr>
          <w:rFonts w:ascii="Times New Roman" w:hAnsi="Times New Roman" w:cs="Times New Roman"/>
          <w:sz w:val="28"/>
          <w:szCs w:val="28"/>
        </w:rPr>
      </w:pPr>
    </w:p>
    <w:p w14:paraId="03750790" w14:textId="77777777" w:rsidR="00E5323B" w:rsidRPr="00342B2F" w:rsidRDefault="00E5323B" w:rsidP="00894C55">
      <w:pPr>
        <w:spacing w:after="0" w:line="240" w:lineRule="auto"/>
        <w:rPr>
          <w:rFonts w:ascii="Times New Roman" w:hAnsi="Times New Roman" w:cs="Times New Roman"/>
          <w:sz w:val="28"/>
          <w:szCs w:val="28"/>
        </w:rPr>
      </w:pPr>
    </w:p>
    <w:p w14:paraId="3BAFD064" w14:textId="77777777" w:rsidR="00894C55" w:rsidRPr="00342B2F" w:rsidRDefault="00E06B33" w:rsidP="00894C55">
      <w:pPr>
        <w:tabs>
          <w:tab w:val="left" w:pos="6237"/>
        </w:tabs>
        <w:spacing w:after="0" w:line="240" w:lineRule="auto"/>
        <w:ind w:firstLine="720"/>
        <w:rPr>
          <w:rFonts w:ascii="Times New Roman" w:hAnsi="Times New Roman" w:cs="Times New Roman"/>
          <w:sz w:val="28"/>
          <w:szCs w:val="28"/>
        </w:rPr>
      </w:pPr>
      <w:r w:rsidRPr="00C82B5F">
        <w:rPr>
          <w:rFonts w:ascii="Times New Roman" w:eastAsia="Times New Roman" w:hAnsi="Times New Roman" w:cs="Times New Roman"/>
          <w:sz w:val="28"/>
          <w:szCs w:val="28"/>
        </w:rPr>
        <w:t>Finanšu</w:t>
      </w:r>
      <w:r w:rsidR="00894C55" w:rsidRPr="00342B2F">
        <w:rPr>
          <w:rFonts w:ascii="Times New Roman" w:hAnsi="Times New Roman" w:cs="Times New Roman"/>
          <w:sz w:val="28"/>
          <w:szCs w:val="28"/>
        </w:rPr>
        <w:t xml:space="preserve"> ministrs</w:t>
      </w:r>
      <w:r w:rsidR="00894C55" w:rsidRPr="00342B2F">
        <w:rPr>
          <w:rFonts w:ascii="Times New Roman" w:hAnsi="Times New Roman" w:cs="Times New Roman"/>
          <w:sz w:val="28"/>
          <w:szCs w:val="28"/>
        </w:rPr>
        <w:tab/>
      </w:r>
      <w:r w:rsidR="003C4CE2">
        <w:rPr>
          <w:rFonts w:ascii="Times New Roman" w:hAnsi="Times New Roman" w:cs="Times New Roman"/>
          <w:sz w:val="28"/>
          <w:szCs w:val="28"/>
        </w:rPr>
        <w:t>Jānis Reirs</w:t>
      </w:r>
    </w:p>
    <w:p w14:paraId="62DA6531" w14:textId="77777777" w:rsidR="00894C55" w:rsidRPr="00342B2F" w:rsidRDefault="00894C55" w:rsidP="00894C55">
      <w:pPr>
        <w:spacing w:after="0" w:line="240" w:lineRule="auto"/>
        <w:ind w:firstLine="720"/>
        <w:rPr>
          <w:rFonts w:ascii="Times New Roman" w:hAnsi="Times New Roman" w:cs="Times New Roman"/>
          <w:sz w:val="28"/>
          <w:szCs w:val="28"/>
        </w:rPr>
      </w:pPr>
    </w:p>
    <w:p w14:paraId="6F68F2F9" w14:textId="77777777" w:rsidR="00894C55" w:rsidRPr="00342B2F" w:rsidRDefault="00894C55" w:rsidP="00894C55">
      <w:pPr>
        <w:spacing w:after="0" w:line="240" w:lineRule="auto"/>
        <w:ind w:firstLine="720"/>
        <w:rPr>
          <w:rFonts w:ascii="Times New Roman" w:hAnsi="Times New Roman" w:cs="Times New Roman"/>
          <w:sz w:val="28"/>
          <w:szCs w:val="28"/>
        </w:rPr>
      </w:pPr>
    </w:p>
    <w:p w14:paraId="283E230F" w14:textId="77777777" w:rsidR="00894C55" w:rsidRPr="00342B2F" w:rsidRDefault="00894C55" w:rsidP="00894C55">
      <w:pPr>
        <w:tabs>
          <w:tab w:val="left" w:pos="6237"/>
        </w:tabs>
        <w:spacing w:after="0" w:line="240" w:lineRule="auto"/>
        <w:ind w:firstLine="720"/>
        <w:rPr>
          <w:rFonts w:ascii="Times New Roman" w:hAnsi="Times New Roman" w:cs="Times New Roman"/>
          <w:sz w:val="28"/>
          <w:szCs w:val="28"/>
        </w:rPr>
      </w:pPr>
    </w:p>
    <w:p w14:paraId="72D3BFCD" w14:textId="77777777" w:rsidR="00894C55" w:rsidRPr="00342B2F" w:rsidRDefault="00894C55" w:rsidP="00894C55">
      <w:pPr>
        <w:tabs>
          <w:tab w:val="left" w:pos="6237"/>
        </w:tabs>
        <w:spacing w:after="0" w:line="240" w:lineRule="auto"/>
        <w:ind w:firstLine="720"/>
        <w:rPr>
          <w:rFonts w:ascii="Times New Roman" w:hAnsi="Times New Roman" w:cs="Times New Roman"/>
          <w:sz w:val="28"/>
          <w:szCs w:val="28"/>
        </w:rPr>
      </w:pPr>
    </w:p>
    <w:p w14:paraId="40721502" w14:textId="77777777" w:rsidR="00894C55" w:rsidRPr="00342B2F" w:rsidRDefault="00894C55" w:rsidP="00894C55">
      <w:pPr>
        <w:tabs>
          <w:tab w:val="left" w:pos="6237"/>
        </w:tabs>
        <w:spacing w:after="0" w:line="240" w:lineRule="auto"/>
        <w:ind w:firstLine="720"/>
        <w:rPr>
          <w:rFonts w:ascii="Times New Roman" w:hAnsi="Times New Roman" w:cs="Times New Roman"/>
          <w:sz w:val="28"/>
          <w:szCs w:val="28"/>
        </w:rPr>
      </w:pPr>
    </w:p>
    <w:p w14:paraId="739CB92D" w14:textId="77777777" w:rsidR="00894C55" w:rsidRPr="00342B2F" w:rsidRDefault="003C4CE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Pentjuša</w:t>
      </w:r>
      <w:r w:rsidR="00D133F8" w:rsidRPr="00342B2F">
        <w:rPr>
          <w:rFonts w:ascii="Times New Roman" w:hAnsi="Times New Roman" w:cs="Times New Roman"/>
          <w:sz w:val="24"/>
          <w:szCs w:val="28"/>
        </w:rPr>
        <w:t xml:space="preserve"> 670</w:t>
      </w:r>
      <w:r>
        <w:rPr>
          <w:rFonts w:ascii="Times New Roman" w:hAnsi="Times New Roman" w:cs="Times New Roman"/>
          <w:sz w:val="24"/>
          <w:szCs w:val="28"/>
        </w:rPr>
        <w:t>95651</w:t>
      </w:r>
    </w:p>
    <w:p w14:paraId="5E78F02D" w14:textId="77777777" w:rsidR="00894C55" w:rsidRPr="00342B2F" w:rsidRDefault="003C4CE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elina</w:t>
      </w:r>
      <w:r w:rsidR="00894C55" w:rsidRPr="00342B2F">
        <w:rPr>
          <w:rFonts w:ascii="Times New Roman" w:hAnsi="Times New Roman" w:cs="Times New Roman"/>
          <w:sz w:val="24"/>
          <w:szCs w:val="28"/>
        </w:rPr>
        <w:t>.</w:t>
      </w:r>
      <w:r>
        <w:rPr>
          <w:rFonts w:ascii="Times New Roman" w:hAnsi="Times New Roman" w:cs="Times New Roman"/>
          <w:sz w:val="24"/>
          <w:szCs w:val="28"/>
        </w:rPr>
        <w:t>pentjusa</w:t>
      </w:r>
      <w:r w:rsidR="00894C55" w:rsidRPr="00342B2F">
        <w:rPr>
          <w:rFonts w:ascii="Times New Roman" w:hAnsi="Times New Roman" w:cs="Times New Roman"/>
          <w:sz w:val="24"/>
          <w:szCs w:val="28"/>
        </w:rPr>
        <w:t>@</w:t>
      </w:r>
      <w:r>
        <w:rPr>
          <w:rFonts w:ascii="Times New Roman" w:hAnsi="Times New Roman" w:cs="Times New Roman"/>
          <w:sz w:val="24"/>
          <w:szCs w:val="28"/>
        </w:rPr>
        <w:t>fm</w:t>
      </w:r>
      <w:r w:rsidR="00894C55" w:rsidRPr="00342B2F">
        <w:rPr>
          <w:rFonts w:ascii="Times New Roman" w:hAnsi="Times New Roman" w:cs="Times New Roman"/>
          <w:sz w:val="24"/>
          <w:szCs w:val="28"/>
        </w:rPr>
        <w:t>.gov.lv</w:t>
      </w:r>
    </w:p>
    <w:sectPr w:rsidR="00894C55" w:rsidRPr="00342B2F"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F226" w14:textId="77777777" w:rsidR="00D80B59" w:rsidRDefault="00D80B59" w:rsidP="00894C55">
      <w:pPr>
        <w:spacing w:after="0" w:line="240" w:lineRule="auto"/>
      </w:pPr>
      <w:r>
        <w:separator/>
      </w:r>
    </w:p>
  </w:endnote>
  <w:endnote w:type="continuationSeparator" w:id="0">
    <w:p w14:paraId="59ADC54D" w14:textId="77777777" w:rsidR="00D80B59" w:rsidRDefault="00D80B59" w:rsidP="00894C55">
      <w:pPr>
        <w:spacing w:after="0" w:line="240" w:lineRule="auto"/>
      </w:pPr>
      <w:r>
        <w:continuationSeparator/>
      </w:r>
    </w:p>
  </w:endnote>
  <w:endnote w:type="continuationNotice" w:id="1">
    <w:p w14:paraId="3FDFC9A4" w14:textId="77777777" w:rsidR="00D80B59" w:rsidRDefault="00D80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93D0" w14:textId="2747FB4A" w:rsidR="00894C55" w:rsidRPr="00AA0FB7" w:rsidRDefault="00AA0FB7" w:rsidP="00AA0FB7">
    <w:pPr>
      <w:pStyle w:val="Footer"/>
    </w:pPr>
    <w:r w:rsidRPr="00AA0FB7">
      <w:rPr>
        <w:rFonts w:ascii="Times New Roman" w:hAnsi="Times New Roman" w:cs="Times New Roman"/>
        <w:sz w:val="20"/>
        <w:szCs w:val="20"/>
      </w:rPr>
      <w:t>FM</w:t>
    </w:r>
    <w:r>
      <w:rPr>
        <w:rFonts w:ascii="Times New Roman" w:hAnsi="Times New Roman" w:cs="Times New Roman"/>
        <w:sz w:val="20"/>
        <w:szCs w:val="20"/>
      </w:rPr>
      <w:t>anot</w:t>
    </w:r>
    <w:r w:rsidRPr="00AA0FB7">
      <w:rPr>
        <w:rFonts w:ascii="Times New Roman" w:hAnsi="Times New Roman" w:cs="Times New Roman"/>
        <w:sz w:val="20"/>
        <w:szCs w:val="20"/>
      </w:rPr>
      <w:t>_</w:t>
    </w:r>
    <w:r w:rsidR="000C2136">
      <w:rPr>
        <w:rFonts w:ascii="Times New Roman" w:hAnsi="Times New Roman" w:cs="Times New Roman"/>
        <w:sz w:val="20"/>
        <w:szCs w:val="20"/>
      </w:rPr>
      <w:t>0</w:t>
    </w:r>
    <w:r w:rsidR="006525CB">
      <w:rPr>
        <w:rFonts w:ascii="Times New Roman" w:hAnsi="Times New Roman" w:cs="Times New Roman"/>
        <w:sz w:val="20"/>
        <w:szCs w:val="20"/>
      </w:rPr>
      <w:t>9</w:t>
    </w:r>
    <w:r w:rsidR="000C2136">
      <w:rPr>
        <w:rFonts w:ascii="Times New Roman" w:hAnsi="Times New Roman" w:cs="Times New Roman"/>
        <w:sz w:val="20"/>
        <w:szCs w:val="20"/>
      </w:rPr>
      <w:t>05</w:t>
    </w:r>
    <w:r w:rsidR="00C97B74" w:rsidRPr="00AA0FB7">
      <w:rPr>
        <w:rFonts w:ascii="Times New Roman" w:hAnsi="Times New Roman" w:cs="Times New Roman"/>
        <w:sz w:val="20"/>
        <w:szCs w:val="20"/>
      </w:rPr>
      <w:t>19</w:t>
    </w:r>
    <w:r w:rsidRPr="00AA0FB7">
      <w:rPr>
        <w:rFonts w:ascii="Times New Roman" w:hAnsi="Times New Roman" w:cs="Times New Roman"/>
        <w:sz w:val="20"/>
        <w:szCs w:val="20"/>
      </w:rPr>
      <w:t>_CRS_NNL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C372" w14:textId="6106C100" w:rsidR="009A2654" w:rsidRPr="009A2654" w:rsidRDefault="00AA0FB7">
    <w:pPr>
      <w:pStyle w:val="Footer"/>
      <w:rPr>
        <w:rFonts w:ascii="Times New Roman" w:hAnsi="Times New Roman" w:cs="Times New Roman"/>
        <w:sz w:val="20"/>
        <w:szCs w:val="20"/>
      </w:rPr>
    </w:pPr>
    <w:r w:rsidRPr="00AA0FB7">
      <w:rPr>
        <w:rFonts w:ascii="Times New Roman" w:hAnsi="Times New Roman" w:cs="Times New Roman"/>
        <w:sz w:val="20"/>
        <w:szCs w:val="20"/>
      </w:rPr>
      <w:t>FM</w:t>
    </w:r>
    <w:r>
      <w:rPr>
        <w:rFonts w:ascii="Times New Roman" w:hAnsi="Times New Roman" w:cs="Times New Roman"/>
        <w:sz w:val="20"/>
        <w:szCs w:val="20"/>
      </w:rPr>
      <w:t>anot</w:t>
    </w:r>
    <w:r w:rsidRPr="00AA0FB7">
      <w:rPr>
        <w:rFonts w:ascii="Times New Roman" w:hAnsi="Times New Roman" w:cs="Times New Roman"/>
        <w:sz w:val="20"/>
        <w:szCs w:val="20"/>
      </w:rPr>
      <w:t>_</w:t>
    </w:r>
    <w:r w:rsidR="000C2136">
      <w:rPr>
        <w:rFonts w:ascii="Times New Roman" w:hAnsi="Times New Roman" w:cs="Times New Roman"/>
        <w:sz w:val="20"/>
        <w:szCs w:val="20"/>
      </w:rPr>
      <w:t>0</w:t>
    </w:r>
    <w:r w:rsidR="006525CB">
      <w:rPr>
        <w:rFonts w:ascii="Times New Roman" w:hAnsi="Times New Roman" w:cs="Times New Roman"/>
        <w:sz w:val="20"/>
        <w:szCs w:val="20"/>
      </w:rPr>
      <w:t>9</w:t>
    </w:r>
    <w:r w:rsidR="000C2136">
      <w:rPr>
        <w:rFonts w:ascii="Times New Roman" w:hAnsi="Times New Roman" w:cs="Times New Roman"/>
        <w:sz w:val="20"/>
        <w:szCs w:val="20"/>
      </w:rPr>
      <w:t>05</w:t>
    </w:r>
    <w:r w:rsidR="00C97B74" w:rsidRPr="00AA0FB7">
      <w:rPr>
        <w:rFonts w:ascii="Times New Roman" w:hAnsi="Times New Roman" w:cs="Times New Roman"/>
        <w:sz w:val="20"/>
        <w:szCs w:val="20"/>
      </w:rPr>
      <w:t>19</w:t>
    </w:r>
    <w:r w:rsidRPr="00AA0FB7">
      <w:rPr>
        <w:rFonts w:ascii="Times New Roman" w:hAnsi="Times New Roman" w:cs="Times New Roman"/>
        <w:sz w:val="20"/>
        <w:szCs w:val="20"/>
      </w:rPr>
      <w:t>_CRS_NNL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A28C" w14:textId="77777777" w:rsidR="00D80B59" w:rsidRDefault="00D80B59" w:rsidP="00894C55">
      <w:pPr>
        <w:spacing w:after="0" w:line="240" w:lineRule="auto"/>
      </w:pPr>
      <w:r>
        <w:separator/>
      </w:r>
    </w:p>
  </w:footnote>
  <w:footnote w:type="continuationSeparator" w:id="0">
    <w:p w14:paraId="55F7F262" w14:textId="77777777" w:rsidR="00D80B59" w:rsidRDefault="00D80B59" w:rsidP="00894C55">
      <w:pPr>
        <w:spacing w:after="0" w:line="240" w:lineRule="auto"/>
      </w:pPr>
      <w:r>
        <w:continuationSeparator/>
      </w:r>
    </w:p>
  </w:footnote>
  <w:footnote w:type="continuationNotice" w:id="1">
    <w:p w14:paraId="24C3139F" w14:textId="77777777" w:rsidR="00D80B59" w:rsidRDefault="00D80B59">
      <w:pPr>
        <w:spacing w:after="0" w:line="240" w:lineRule="auto"/>
      </w:pPr>
    </w:p>
  </w:footnote>
  <w:footnote w:id="2">
    <w:p w14:paraId="587ADBE4" w14:textId="03A889B2" w:rsidR="006525CB" w:rsidRPr="00207654" w:rsidRDefault="006525CB" w:rsidP="006525CB">
      <w:pPr>
        <w:pStyle w:val="FootnoteText"/>
        <w:jc w:val="both"/>
        <w:rPr>
          <w:rFonts w:ascii="Times New Roman" w:hAnsi="Times New Roman" w:cs="Times New Roman"/>
          <w:lang w:val="lv-LV"/>
        </w:rPr>
      </w:pPr>
      <w:r w:rsidRPr="00207654">
        <w:rPr>
          <w:rStyle w:val="FootnoteReference"/>
          <w:rFonts w:ascii="Times New Roman" w:hAnsi="Times New Roman" w:cs="Times New Roman"/>
          <w:lang w:val="lv-LV"/>
        </w:rPr>
        <w:footnoteRef/>
      </w:r>
      <w:r>
        <w:rPr>
          <w:rFonts w:ascii="Times New Roman" w:hAnsi="Times New Roman" w:cs="Times New Roman"/>
          <w:lang w:val="lv-LV"/>
        </w:rPr>
        <w:t xml:space="preserve"> Globālo Forumu </w:t>
      </w:r>
      <w:r w:rsidRPr="006525CB">
        <w:rPr>
          <w:rFonts w:ascii="Times New Roman" w:hAnsi="Times New Roman" w:cs="Times New Roman"/>
          <w:lang w:val="lv-LV"/>
        </w:rPr>
        <w:t xml:space="preserve">par </w:t>
      </w:r>
      <w:proofErr w:type="spellStart"/>
      <w:r w:rsidRPr="006525CB">
        <w:rPr>
          <w:rFonts w:ascii="Times New Roman" w:hAnsi="Times New Roman" w:cs="Times New Roman"/>
          <w:lang w:val="lv-LV"/>
        </w:rPr>
        <w:t>pārredzamības</w:t>
      </w:r>
      <w:proofErr w:type="spellEnd"/>
      <w:r w:rsidRPr="006525CB">
        <w:rPr>
          <w:rFonts w:ascii="Times New Roman" w:hAnsi="Times New Roman" w:cs="Times New Roman"/>
          <w:lang w:val="lv-LV"/>
        </w:rPr>
        <w:t xml:space="preserve"> un informācijas apmaiņas jautājumiem nodokļu jomā</w:t>
      </w:r>
      <w:r w:rsidRPr="00207654">
        <w:rPr>
          <w:rFonts w:ascii="Times New Roman" w:hAnsi="Times New Roman" w:cs="Times New Roman"/>
          <w:lang w:val="lv-LV"/>
        </w:rPr>
        <w:t xml:space="preserve"> 2000. gadā izveidoja OECD</w:t>
      </w:r>
      <w:r>
        <w:rPr>
          <w:rFonts w:ascii="Times New Roman" w:hAnsi="Times New Roman" w:cs="Times New Roman"/>
          <w:lang w:val="lv-LV"/>
        </w:rPr>
        <w:t>,</w:t>
      </w:r>
      <w:r w:rsidRPr="00207654">
        <w:rPr>
          <w:rFonts w:ascii="Times New Roman" w:hAnsi="Times New Roman" w:cs="Times New Roman"/>
          <w:lang w:val="lv-LV"/>
        </w:rPr>
        <w:t xml:space="preserve"> un sākotnēji tas sastāvēja tikai no OECD dalībvalstīm, taču kopš 2009. gada Globālā Foruma dalībvalstu skaits ir palielinājies līdz 153 dalībvalstīm.</w:t>
      </w:r>
    </w:p>
  </w:footnote>
  <w:footnote w:id="3">
    <w:p w14:paraId="50F81F6C" w14:textId="6066BB13" w:rsidR="00583D30" w:rsidRPr="00842087" w:rsidRDefault="00583D30" w:rsidP="00583D30">
      <w:pPr>
        <w:pStyle w:val="FootnoteText"/>
        <w:jc w:val="both"/>
        <w:rPr>
          <w:lang w:val="lv-LV"/>
        </w:rPr>
      </w:pPr>
      <w:r w:rsidRPr="00583D30">
        <w:rPr>
          <w:rFonts w:ascii="Times New Roman" w:hAnsi="Times New Roman" w:cs="Times New Roman"/>
          <w:vertAlign w:val="superscript"/>
        </w:rPr>
        <w:footnoteRef/>
      </w:r>
      <w:r w:rsidRPr="00842087">
        <w:rPr>
          <w:rFonts w:ascii="Times New Roman" w:hAnsi="Times New Roman" w:cs="Times New Roman"/>
          <w:vertAlign w:val="superscript"/>
          <w:lang w:val="lv-LV"/>
        </w:rPr>
        <w:t xml:space="preserve"> </w:t>
      </w:r>
      <w:r w:rsidRPr="00842087">
        <w:rPr>
          <w:rFonts w:ascii="Times New Roman" w:hAnsi="Times New Roman" w:cs="Times New Roman"/>
          <w:lang w:val="lv-LV"/>
        </w:rPr>
        <w:t xml:space="preserve"> </w:t>
      </w:r>
      <w:r w:rsidRPr="00842087">
        <w:rPr>
          <w:rFonts w:ascii="Times New Roman" w:hAnsi="Times New Roman" w:cs="Times New Roman"/>
          <w:lang w:val="lv-LV"/>
        </w:rPr>
        <w:t>Eiropas Parlamenta 2016. gada 6. jūlija rezolūcija par nodokļu nolēmumiem un citiem rakstura vai ietekmes</w:t>
      </w:r>
      <w:r w:rsidRPr="00842087">
        <w:rPr>
          <w:rFonts w:ascii="Times New Roman" w:hAnsi="Times New Roman" w:cs="Times New Roman"/>
          <w:lang w:val="lv-LV"/>
        </w:rPr>
        <w:br/>
        <w:t>ziņā līdzīgi</w:t>
      </w:r>
      <w:r w:rsidR="00122290">
        <w:rPr>
          <w:rFonts w:ascii="Times New Roman" w:hAnsi="Times New Roman" w:cs="Times New Roman"/>
          <w:lang w:val="lv-LV"/>
        </w:rPr>
        <w:t>em pasākumiem (2016/2038(INI)).</w:t>
      </w:r>
    </w:p>
  </w:footnote>
  <w:footnote w:id="4">
    <w:p w14:paraId="59DA609A" w14:textId="77777777" w:rsidR="004C16EB" w:rsidRPr="00B753FA" w:rsidRDefault="004C16EB"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B753FA">
        <w:rPr>
          <w:rFonts w:ascii="Times New Roman" w:hAnsi="Times New Roman" w:cs="Times New Roman"/>
          <w:lang w:val="lv-LV"/>
        </w:rPr>
        <w:t>Grozījumu protokols Nolīgumam starp Eiropas Kopienu un Šveices Konfederāciju, ar kuru nodrošina pasākumus, kas ir līdzvērtīgi tiem pasākumiem, kuri noteikti Padomes Direktīvā 2003/48/EK par procentu ienākumu no uzkrājumiem aplikšanu ar nodokli.</w:t>
      </w:r>
    </w:p>
  </w:footnote>
  <w:footnote w:id="5">
    <w:p w14:paraId="29B8E324" w14:textId="77777777" w:rsidR="004C16EB" w:rsidRPr="00B753FA" w:rsidRDefault="004C16EB" w:rsidP="004C16EB">
      <w:pPr>
        <w:pStyle w:val="FootnoteText"/>
        <w:jc w:val="both"/>
        <w:rPr>
          <w:rFonts w:ascii="Times New Roman" w:hAnsi="Times New Roman" w:cs="Times New Roman"/>
          <w:color w:val="000000"/>
          <w:shd w:val="clear" w:color="auto" w:fill="FFFFFF"/>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B753FA">
        <w:rPr>
          <w:rFonts w:ascii="Times New Roman" w:hAnsi="Times New Roman" w:cs="Times New Roman"/>
          <w:color w:val="000000"/>
          <w:shd w:val="clear" w:color="auto" w:fill="FFFFFF"/>
          <w:lang w:val="lv-LV"/>
        </w:rPr>
        <w:t xml:space="preserve">Grozījumu protokols Nolīgumam starp Eiropas Kopienu un Monako Firstisti, ar ko paredz līdzvērtīgus pasākumus tiem, kuri noteikti Padomes Direktīvā 2003/48/EK </w:t>
      </w:r>
      <w:r w:rsidRPr="00B753FA">
        <w:rPr>
          <w:rFonts w:ascii="Times New Roman" w:hAnsi="Times New Roman" w:cs="Times New Roman"/>
          <w:lang w:val="lv-LV"/>
        </w:rPr>
        <w:t>par procentu ienākumu no uzkrājumiem aplikšanu ar nodokli</w:t>
      </w:r>
      <w:r w:rsidRPr="00B753FA">
        <w:rPr>
          <w:rFonts w:ascii="Times New Roman" w:hAnsi="Times New Roman" w:cs="Times New Roman"/>
          <w:color w:val="000000"/>
          <w:shd w:val="clear" w:color="auto" w:fill="FFFFFF"/>
          <w:lang w:val="lv-LV"/>
        </w:rPr>
        <w:t>.</w:t>
      </w:r>
    </w:p>
  </w:footnote>
  <w:footnote w:id="6">
    <w:p w14:paraId="34EEA4D6" w14:textId="77777777" w:rsidR="004C16EB" w:rsidRPr="00B753FA" w:rsidRDefault="004C16EB" w:rsidP="004C16EB">
      <w:pPr>
        <w:pStyle w:val="FootnoteText"/>
        <w:jc w:val="both"/>
        <w:rPr>
          <w:lang w:val="lv-LV"/>
        </w:rPr>
      </w:pPr>
      <w:r w:rsidRPr="00B753FA">
        <w:rPr>
          <w:rStyle w:val="FootnoteReference"/>
          <w:rFonts w:ascii="Times New Roman" w:hAnsi="Times New Roman" w:cs="Times New Roman"/>
        </w:rPr>
        <w:footnoteRef/>
      </w:r>
      <w:r w:rsidRPr="00B753FA">
        <w:rPr>
          <w:rFonts w:ascii="Times New Roman" w:hAnsi="Times New Roman" w:cs="Times New Roman"/>
          <w:lang w:val="lv-LV"/>
        </w:rPr>
        <w:t xml:space="preserve"> </w:t>
      </w:r>
      <w:r w:rsidRPr="00B753FA">
        <w:rPr>
          <w:rFonts w:ascii="Times New Roman" w:hAnsi="Times New Roman" w:cs="Times New Roman"/>
          <w:lang w:val="lv-LV"/>
        </w:rPr>
        <w:t>Grozījumu protokols Nolīgumam starp Eiropas Kopienu un Sanmarīno Republiku, ar ko nosaka līdzvērtīgus pasākumus tiem, kuri noteikti Padomes Direktīvā 2003/48/EK par procentu ienākumu no uzkrājumiem aplikšanu ar nodokli.</w:t>
      </w:r>
    </w:p>
  </w:footnote>
  <w:footnote w:id="7">
    <w:p w14:paraId="42366788" w14:textId="77777777" w:rsidR="004C16EB" w:rsidRPr="00B753FA" w:rsidRDefault="004C16EB"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9F0F80">
        <w:rPr>
          <w:rFonts w:ascii="Times New Roman" w:hAnsi="Times New Roman" w:cs="Times New Roman"/>
          <w:color w:val="000000"/>
          <w:shd w:val="clear" w:color="auto" w:fill="FFFFFF"/>
          <w:lang w:val="lv-LV"/>
        </w:rPr>
        <w:t>G</w:t>
      </w:r>
      <w:r w:rsidRPr="00B753FA">
        <w:rPr>
          <w:rFonts w:ascii="Times New Roman" w:hAnsi="Times New Roman" w:cs="Times New Roman"/>
          <w:color w:val="000000"/>
          <w:shd w:val="clear" w:color="auto" w:fill="FFFFFF"/>
          <w:lang w:val="lv-LV"/>
        </w:rPr>
        <w:t>rozījumu protokols Nolīgumam starp Eiropas Kopienu un Lihtenšteinas Firstisti, ar ko nosaka līdzvērtīgus pasākumus tiem, kuri noteikti Padomes Direktīvā 2003/48/EK par procentu ienākumu no uzkrājumiem aplikšanu ar nodokli.</w:t>
      </w:r>
    </w:p>
  </w:footnote>
  <w:footnote w:id="8">
    <w:p w14:paraId="3C2E9251" w14:textId="77777777" w:rsidR="004C16EB" w:rsidRPr="00B753FA" w:rsidRDefault="004C16EB"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B753FA">
        <w:rPr>
          <w:rFonts w:ascii="Times New Roman" w:hAnsi="Times New Roman" w:cs="Times New Roman"/>
          <w:lang w:val="lv-LV"/>
        </w:rPr>
        <w:t>Grozījumu protokols Nolīgumam starp Eiropas Kopienu un Andoras Firstisti, ar kuru nodrošina pasākumus, kas ir līdzvērtīgi tiem pasākumiem, kuri noteikti Padomes Direktīvā 2003/48/EK par tādu ienākumu aplikšanu ar nodokļiem, kas gūti kā procentu maksājumi par uzkrājumiem.</w:t>
      </w:r>
    </w:p>
  </w:footnote>
  <w:footnote w:id="9">
    <w:p w14:paraId="61AFF2F5" w14:textId="77777777" w:rsidR="004C16EB" w:rsidRPr="00832E10" w:rsidRDefault="004C16EB" w:rsidP="004C16EB">
      <w:pPr>
        <w:pStyle w:val="FootnoteText"/>
        <w:jc w:val="both"/>
        <w:rPr>
          <w:rFonts w:ascii="Times New Roman" w:hAnsi="Times New Roman" w:cs="Times New Roman"/>
          <w:lang w:val="lv-LV"/>
        </w:rPr>
      </w:pPr>
      <w:r w:rsidRPr="00832E10">
        <w:rPr>
          <w:rStyle w:val="FootnoteReference"/>
          <w:rFonts w:ascii="Times New Roman" w:hAnsi="Times New Roman" w:cs="Times New Roman"/>
        </w:rPr>
        <w:footnoteRef/>
      </w:r>
      <w:r w:rsidRPr="00B753FA">
        <w:rPr>
          <w:rFonts w:ascii="Times New Roman" w:hAnsi="Times New Roman" w:cs="Times New Roman"/>
          <w:lang w:val="lv-LV"/>
        </w:rPr>
        <w:t xml:space="preserve"> </w:t>
      </w:r>
      <w:r>
        <w:rPr>
          <w:rFonts w:ascii="Times New Roman" w:hAnsi="Times New Roman" w:cs="Times New Roman"/>
          <w:lang w:val="lv-LV"/>
        </w:rPr>
        <w:t xml:space="preserve">Eiropas </w:t>
      </w:r>
      <w:r w:rsidRPr="00B753FA">
        <w:rPr>
          <w:rFonts w:ascii="Times New Roman" w:hAnsi="Times New Roman" w:cs="Times New Roman"/>
          <w:lang w:val="lv-LV"/>
        </w:rPr>
        <w:t xml:space="preserve">Komisijas </w:t>
      </w:r>
      <w:r w:rsidRPr="00F82680">
        <w:rPr>
          <w:rFonts w:ascii="Times New Roman" w:hAnsi="Times New Roman" w:cs="Times New Roman"/>
          <w:lang w:val="lv-LV"/>
        </w:rPr>
        <w:t xml:space="preserve">2016. gada 5. jūlija </w:t>
      </w:r>
      <w:r w:rsidRPr="00B753FA">
        <w:rPr>
          <w:rFonts w:ascii="Times New Roman" w:hAnsi="Times New Roman" w:cs="Times New Roman"/>
          <w:lang w:val="lv-LV"/>
        </w:rPr>
        <w:t xml:space="preserve">paziņojums Eiropas Parlamentam un Padomei “Paziņojums par papildu pasākumiem, lai veicinātu </w:t>
      </w:r>
      <w:proofErr w:type="spellStart"/>
      <w:r w:rsidRPr="00B753FA">
        <w:rPr>
          <w:rFonts w:ascii="Times New Roman" w:hAnsi="Times New Roman" w:cs="Times New Roman"/>
          <w:lang w:val="lv-LV"/>
        </w:rPr>
        <w:t>pārredzamību</w:t>
      </w:r>
      <w:proofErr w:type="spellEnd"/>
      <w:r w:rsidRPr="00B753FA">
        <w:rPr>
          <w:rFonts w:ascii="Times New Roman" w:hAnsi="Times New Roman" w:cs="Times New Roman"/>
          <w:lang w:val="lv-LV"/>
        </w:rPr>
        <w:t xml:space="preserve"> un cīņu pret izvairīšanos no nodokļu maksāšanas un pret nodokļu apiešanu” (COM (2016) 451)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90A92C7" w14:textId="512DF69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1D94">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01FF"/>
    <w:multiLevelType w:val="hybridMultilevel"/>
    <w:tmpl w:val="D7EAD5F2"/>
    <w:lvl w:ilvl="0" w:tplc="CD94408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CF39A9"/>
    <w:multiLevelType w:val="hybridMultilevel"/>
    <w:tmpl w:val="7B000A1E"/>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29"/>
    <w:rsid w:val="00007C76"/>
    <w:rsid w:val="00012722"/>
    <w:rsid w:val="0001788F"/>
    <w:rsid w:val="00023209"/>
    <w:rsid w:val="000233D5"/>
    <w:rsid w:val="000307A9"/>
    <w:rsid w:val="00031D94"/>
    <w:rsid w:val="000413DB"/>
    <w:rsid w:val="00041493"/>
    <w:rsid w:val="00043D68"/>
    <w:rsid w:val="00053896"/>
    <w:rsid w:val="00063AAA"/>
    <w:rsid w:val="00083258"/>
    <w:rsid w:val="0008617E"/>
    <w:rsid w:val="0009747D"/>
    <w:rsid w:val="00097C1C"/>
    <w:rsid w:val="000B1E9D"/>
    <w:rsid w:val="000C2136"/>
    <w:rsid w:val="000C7F19"/>
    <w:rsid w:val="000D7B7F"/>
    <w:rsid w:val="000F05BE"/>
    <w:rsid w:val="000F1343"/>
    <w:rsid w:val="000F7481"/>
    <w:rsid w:val="00100266"/>
    <w:rsid w:val="00122290"/>
    <w:rsid w:val="00127425"/>
    <w:rsid w:val="001462B4"/>
    <w:rsid w:val="00147C20"/>
    <w:rsid w:val="00152881"/>
    <w:rsid w:val="00156BA2"/>
    <w:rsid w:val="001746D6"/>
    <w:rsid w:val="001C2FBC"/>
    <w:rsid w:val="001E087E"/>
    <w:rsid w:val="002067DF"/>
    <w:rsid w:val="00211AC2"/>
    <w:rsid w:val="00212071"/>
    <w:rsid w:val="002136E4"/>
    <w:rsid w:val="00220D98"/>
    <w:rsid w:val="0022763F"/>
    <w:rsid w:val="00243426"/>
    <w:rsid w:val="00264CE3"/>
    <w:rsid w:val="00274F61"/>
    <w:rsid w:val="0028158D"/>
    <w:rsid w:val="002821C8"/>
    <w:rsid w:val="002829F0"/>
    <w:rsid w:val="00284FAB"/>
    <w:rsid w:val="002A062A"/>
    <w:rsid w:val="002A0BFD"/>
    <w:rsid w:val="002E1C05"/>
    <w:rsid w:val="002E6F5B"/>
    <w:rsid w:val="002E7047"/>
    <w:rsid w:val="002F3D81"/>
    <w:rsid w:val="002F4B69"/>
    <w:rsid w:val="00303885"/>
    <w:rsid w:val="00311111"/>
    <w:rsid w:val="003229DC"/>
    <w:rsid w:val="00322B07"/>
    <w:rsid w:val="00323659"/>
    <w:rsid w:val="00327830"/>
    <w:rsid w:val="00331278"/>
    <w:rsid w:val="00342B2F"/>
    <w:rsid w:val="0034428F"/>
    <w:rsid w:val="003549F3"/>
    <w:rsid w:val="00354B8E"/>
    <w:rsid w:val="00372303"/>
    <w:rsid w:val="00374A2C"/>
    <w:rsid w:val="003A5E5A"/>
    <w:rsid w:val="003B0BF9"/>
    <w:rsid w:val="003C4CE2"/>
    <w:rsid w:val="003C621D"/>
    <w:rsid w:val="003E0791"/>
    <w:rsid w:val="003F08F1"/>
    <w:rsid w:val="003F28AC"/>
    <w:rsid w:val="003F2C6C"/>
    <w:rsid w:val="003F4C41"/>
    <w:rsid w:val="003F6956"/>
    <w:rsid w:val="004024CC"/>
    <w:rsid w:val="00424285"/>
    <w:rsid w:val="004308C0"/>
    <w:rsid w:val="00430F38"/>
    <w:rsid w:val="004454FE"/>
    <w:rsid w:val="00452355"/>
    <w:rsid w:val="00456E40"/>
    <w:rsid w:val="00465049"/>
    <w:rsid w:val="00471F27"/>
    <w:rsid w:val="00491502"/>
    <w:rsid w:val="004A4E58"/>
    <w:rsid w:val="004A5A69"/>
    <w:rsid w:val="004A6FA4"/>
    <w:rsid w:val="004A7DD9"/>
    <w:rsid w:val="004C16EB"/>
    <w:rsid w:val="004C4CA4"/>
    <w:rsid w:val="004E118B"/>
    <w:rsid w:val="004E3287"/>
    <w:rsid w:val="00500542"/>
    <w:rsid w:val="0050178F"/>
    <w:rsid w:val="0051156D"/>
    <w:rsid w:val="00512123"/>
    <w:rsid w:val="005204C2"/>
    <w:rsid w:val="00534FB4"/>
    <w:rsid w:val="005362CE"/>
    <w:rsid w:val="00556F9D"/>
    <w:rsid w:val="005704CE"/>
    <w:rsid w:val="00572B4C"/>
    <w:rsid w:val="00582AEA"/>
    <w:rsid w:val="00583D30"/>
    <w:rsid w:val="005909B6"/>
    <w:rsid w:val="00595625"/>
    <w:rsid w:val="005A24B8"/>
    <w:rsid w:val="005B7059"/>
    <w:rsid w:val="005C1553"/>
    <w:rsid w:val="005C30A3"/>
    <w:rsid w:val="005D0BD4"/>
    <w:rsid w:val="005D6B9B"/>
    <w:rsid w:val="005E1C28"/>
    <w:rsid w:val="006032DD"/>
    <w:rsid w:val="00615AC2"/>
    <w:rsid w:val="00617BF8"/>
    <w:rsid w:val="00624E61"/>
    <w:rsid w:val="006303D5"/>
    <w:rsid w:val="00633943"/>
    <w:rsid w:val="00635C40"/>
    <w:rsid w:val="006525CB"/>
    <w:rsid w:val="00655F2C"/>
    <w:rsid w:val="00656779"/>
    <w:rsid w:val="00657FF1"/>
    <w:rsid w:val="00664037"/>
    <w:rsid w:val="00664F40"/>
    <w:rsid w:val="0069562B"/>
    <w:rsid w:val="006A6AAC"/>
    <w:rsid w:val="006B3E93"/>
    <w:rsid w:val="006E1081"/>
    <w:rsid w:val="006E609E"/>
    <w:rsid w:val="006F2E74"/>
    <w:rsid w:val="006F3511"/>
    <w:rsid w:val="00715143"/>
    <w:rsid w:val="00720585"/>
    <w:rsid w:val="00757329"/>
    <w:rsid w:val="00773359"/>
    <w:rsid w:val="00773AF6"/>
    <w:rsid w:val="00776538"/>
    <w:rsid w:val="0078384B"/>
    <w:rsid w:val="00790CE6"/>
    <w:rsid w:val="00793527"/>
    <w:rsid w:val="00795F71"/>
    <w:rsid w:val="007A4EDC"/>
    <w:rsid w:val="007D79CB"/>
    <w:rsid w:val="007E0102"/>
    <w:rsid w:val="007E50F6"/>
    <w:rsid w:val="007E5F7A"/>
    <w:rsid w:val="007E73AB"/>
    <w:rsid w:val="00811705"/>
    <w:rsid w:val="008158BB"/>
    <w:rsid w:val="00816C11"/>
    <w:rsid w:val="00823C5E"/>
    <w:rsid w:val="00823F5F"/>
    <w:rsid w:val="00835673"/>
    <w:rsid w:val="00842087"/>
    <w:rsid w:val="00861976"/>
    <w:rsid w:val="00864A7C"/>
    <w:rsid w:val="00866FC2"/>
    <w:rsid w:val="00874ADF"/>
    <w:rsid w:val="00881C23"/>
    <w:rsid w:val="008868E9"/>
    <w:rsid w:val="00894C55"/>
    <w:rsid w:val="008977AC"/>
    <w:rsid w:val="008B0137"/>
    <w:rsid w:val="008B51B0"/>
    <w:rsid w:val="008E5B77"/>
    <w:rsid w:val="008F7E09"/>
    <w:rsid w:val="009129E1"/>
    <w:rsid w:val="00922FCB"/>
    <w:rsid w:val="00945C35"/>
    <w:rsid w:val="009556EC"/>
    <w:rsid w:val="00980875"/>
    <w:rsid w:val="009817FA"/>
    <w:rsid w:val="00984140"/>
    <w:rsid w:val="009A2654"/>
    <w:rsid w:val="009C4061"/>
    <w:rsid w:val="009C61F0"/>
    <w:rsid w:val="009C7953"/>
    <w:rsid w:val="009E0DCE"/>
    <w:rsid w:val="009F580C"/>
    <w:rsid w:val="009F7342"/>
    <w:rsid w:val="00A0076F"/>
    <w:rsid w:val="00A10604"/>
    <w:rsid w:val="00A10FC3"/>
    <w:rsid w:val="00A14CDA"/>
    <w:rsid w:val="00A47360"/>
    <w:rsid w:val="00A6073E"/>
    <w:rsid w:val="00A77C40"/>
    <w:rsid w:val="00AA0FB7"/>
    <w:rsid w:val="00AA2082"/>
    <w:rsid w:val="00AB2C98"/>
    <w:rsid w:val="00AB3F96"/>
    <w:rsid w:val="00AD06A9"/>
    <w:rsid w:val="00AE4BB5"/>
    <w:rsid w:val="00AE5567"/>
    <w:rsid w:val="00AE61EB"/>
    <w:rsid w:val="00AF1239"/>
    <w:rsid w:val="00AF274A"/>
    <w:rsid w:val="00B15BF0"/>
    <w:rsid w:val="00B16480"/>
    <w:rsid w:val="00B2165C"/>
    <w:rsid w:val="00B3046E"/>
    <w:rsid w:val="00B35680"/>
    <w:rsid w:val="00B46DD4"/>
    <w:rsid w:val="00B66F26"/>
    <w:rsid w:val="00B74C6F"/>
    <w:rsid w:val="00B82707"/>
    <w:rsid w:val="00B8738B"/>
    <w:rsid w:val="00BA1D4D"/>
    <w:rsid w:val="00BA20AA"/>
    <w:rsid w:val="00BB2C93"/>
    <w:rsid w:val="00BB55C1"/>
    <w:rsid w:val="00BC0006"/>
    <w:rsid w:val="00BD4425"/>
    <w:rsid w:val="00BD4F5F"/>
    <w:rsid w:val="00BD54ED"/>
    <w:rsid w:val="00BE1862"/>
    <w:rsid w:val="00BF3FFE"/>
    <w:rsid w:val="00C03BA9"/>
    <w:rsid w:val="00C21E65"/>
    <w:rsid w:val="00C21F4E"/>
    <w:rsid w:val="00C225EA"/>
    <w:rsid w:val="00C25B49"/>
    <w:rsid w:val="00C921A9"/>
    <w:rsid w:val="00C97B74"/>
    <w:rsid w:val="00CA3CE9"/>
    <w:rsid w:val="00CC0D2D"/>
    <w:rsid w:val="00CD0227"/>
    <w:rsid w:val="00CD186F"/>
    <w:rsid w:val="00CD6C4E"/>
    <w:rsid w:val="00CE5657"/>
    <w:rsid w:val="00CE5B1F"/>
    <w:rsid w:val="00CF0E56"/>
    <w:rsid w:val="00CF120B"/>
    <w:rsid w:val="00D007E6"/>
    <w:rsid w:val="00D05D3F"/>
    <w:rsid w:val="00D13366"/>
    <w:rsid w:val="00D133F8"/>
    <w:rsid w:val="00D14A3E"/>
    <w:rsid w:val="00D703CC"/>
    <w:rsid w:val="00D77055"/>
    <w:rsid w:val="00D80B59"/>
    <w:rsid w:val="00D94A9A"/>
    <w:rsid w:val="00DA01A7"/>
    <w:rsid w:val="00DA1849"/>
    <w:rsid w:val="00DA6953"/>
    <w:rsid w:val="00DB40B8"/>
    <w:rsid w:val="00DB4134"/>
    <w:rsid w:val="00DB5543"/>
    <w:rsid w:val="00DF08A3"/>
    <w:rsid w:val="00DF7397"/>
    <w:rsid w:val="00E06B33"/>
    <w:rsid w:val="00E1106A"/>
    <w:rsid w:val="00E22CC6"/>
    <w:rsid w:val="00E26D19"/>
    <w:rsid w:val="00E3716B"/>
    <w:rsid w:val="00E5323B"/>
    <w:rsid w:val="00E73ECB"/>
    <w:rsid w:val="00E8749E"/>
    <w:rsid w:val="00E90C01"/>
    <w:rsid w:val="00E95427"/>
    <w:rsid w:val="00EA1664"/>
    <w:rsid w:val="00EA3511"/>
    <w:rsid w:val="00EA486E"/>
    <w:rsid w:val="00ED02A5"/>
    <w:rsid w:val="00ED7EFE"/>
    <w:rsid w:val="00EE23DA"/>
    <w:rsid w:val="00F04373"/>
    <w:rsid w:val="00F36B8D"/>
    <w:rsid w:val="00F451CE"/>
    <w:rsid w:val="00F46C2B"/>
    <w:rsid w:val="00F57B0C"/>
    <w:rsid w:val="00F66179"/>
    <w:rsid w:val="00F80740"/>
    <w:rsid w:val="00F96AFF"/>
    <w:rsid w:val="00FB3DCD"/>
    <w:rsid w:val="00FC0B9E"/>
    <w:rsid w:val="00FC222D"/>
    <w:rsid w:val="00FD6017"/>
    <w:rsid w:val="00FF57F3"/>
    <w:rsid w:val="00FF70F9"/>
    <w:rsid w:val="024DE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D6DA"/>
  <w15:docId w15:val="{61EE825F-1FEF-4B4F-8A56-D90DFAB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12071"/>
    <w:pPr>
      <w:spacing w:after="0" w:line="240" w:lineRule="auto"/>
    </w:pPr>
    <w:rPr>
      <w:rFonts w:ascii="Calibri" w:eastAsia="Calibri" w:hAnsi="Calibri" w:cs="Calibri"/>
      <w:sz w:val="20"/>
      <w:szCs w:val="20"/>
      <w:lang w:val="en-US" w:eastAsia="lv-LV"/>
    </w:rPr>
  </w:style>
  <w:style w:type="character" w:customStyle="1" w:styleId="FootnoteTextChar">
    <w:name w:val="Footnote Text Char"/>
    <w:basedOn w:val="DefaultParagraphFont"/>
    <w:link w:val="FootnoteText"/>
    <w:uiPriority w:val="99"/>
    <w:semiHidden/>
    <w:rsid w:val="00212071"/>
    <w:rPr>
      <w:rFonts w:ascii="Calibri" w:eastAsia="Calibri" w:hAnsi="Calibri" w:cs="Calibri"/>
      <w:sz w:val="20"/>
      <w:szCs w:val="20"/>
      <w:lang w:val="en-US" w:eastAsia="lv-LV"/>
    </w:rPr>
  </w:style>
  <w:style w:type="character" w:styleId="FootnoteReference">
    <w:name w:val="footnote reference"/>
    <w:basedOn w:val="DefaultParagraphFont"/>
    <w:uiPriority w:val="99"/>
    <w:semiHidden/>
    <w:unhideWhenUsed/>
    <w:rsid w:val="00212071"/>
    <w:rPr>
      <w:vertAlign w:val="superscript"/>
    </w:rPr>
  </w:style>
  <w:style w:type="paragraph" w:styleId="ListParagraph">
    <w:name w:val="List Paragraph"/>
    <w:basedOn w:val="Normal"/>
    <w:uiPriority w:val="34"/>
    <w:qFormat/>
    <w:rsid w:val="00CD6C4E"/>
    <w:pPr>
      <w:ind w:left="720"/>
      <w:contextualSpacing/>
    </w:pPr>
  </w:style>
  <w:style w:type="character" w:styleId="CommentReference">
    <w:name w:val="annotation reference"/>
    <w:basedOn w:val="DefaultParagraphFont"/>
    <w:uiPriority w:val="99"/>
    <w:semiHidden/>
    <w:unhideWhenUsed/>
    <w:rsid w:val="00842087"/>
    <w:rPr>
      <w:sz w:val="16"/>
      <w:szCs w:val="16"/>
    </w:rPr>
  </w:style>
  <w:style w:type="paragraph" w:styleId="CommentText">
    <w:name w:val="annotation text"/>
    <w:basedOn w:val="Normal"/>
    <w:link w:val="CommentTextChar"/>
    <w:uiPriority w:val="99"/>
    <w:semiHidden/>
    <w:unhideWhenUsed/>
    <w:rsid w:val="00842087"/>
    <w:pPr>
      <w:spacing w:line="240" w:lineRule="auto"/>
    </w:pPr>
    <w:rPr>
      <w:sz w:val="20"/>
      <w:szCs w:val="20"/>
    </w:rPr>
  </w:style>
  <w:style w:type="character" w:customStyle="1" w:styleId="CommentTextChar">
    <w:name w:val="Comment Text Char"/>
    <w:basedOn w:val="DefaultParagraphFont"/>
    <w:link w:val="CommentText"/>
    <w:uiPriority w:val="99"/>
    <w:semiHidden/>
    <w:rsid w:val="00842087"/>
    <w:rPr>
      <w:sz w:val="20"/>
      <w:szCs w:val="20"/>
    </w:rPr>
  </w:style>
  <w:style w:type="paragraph" w:styleId="CommentSubject">
    <w:name w:val="annotation subject"/>
    <w:basedOn w:val="CommentText"/>
    <w:next w:val="CommentText"/>
    <w:link w:val="CommentSubjectChar"/>
    <w:uiPriority w:val="99"/>
    <w:semiHidden/>
    <w:unhideWhenUsed/>
    <w:rsid w:val="00842087"/>
    <w:rPr>
      <w:b/>
      <w:bCs/>
    </w:rPr>
  </w:style>
  <w:style w:type="character" w:customStyle="1" w:styleId="CommentSubjectChar">
    <w:name w:val="Comment Subject Char"/>
    <w:basedOn w:val="CommentTextChar"/>
    <w:link w:val="CommentSubject"/>
    <w:uiPriority w:val="99"/>
    <w:semiHidden/>
    <w:rsid w:val="00842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8021720">
      <w:bodyDiv w:val="1"/>
      <w:marLeft w:val="0"/>
      <w:marRight w:val="0"/>
      <w:marTop w:val="0"/>
      <w:marBottom w:val="0"/>
      <w:divBdr>
        <w:top w:val="none" w:sz="0" w:space="0" w:color="auto"/>
        <w:left w:val="none" w:sz="0" w:space="0" w:color="auto"/>
        <w:bottom w:val="none" w:sz="0" w:space="0" w:color="auto"/>
        <w:right w:val="none" w:sz="0" w:space="0" w:color="auto"/>
      </w:divBdr>
    </w:div>
    <w:div w:id="660086241">
      <w:bodyDiv w:val="1"/>
      <w:marLeft w:val="0"/>
      <w:marRight w:val="0"/>
      <w:marTop w:val="0"/>
      <w:marBottom w:val="0"/>
      <w:divBdr>
        <w:top w:val="none" w:sz="0" w:space="0" w:color="auto"/>
        <w:left w:val="none" w:sz="0" w:space="0" w:color="auto"/>
        <w:bottom w:val="none" w:sz="0" w:space="0" w:color="auto"/>
        <w:right w:val="none" w:sz="0" w:space="0" w:color="auto"/>
      </w:divBdr>
    </w:div>
    <w:div w:id="8142941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124EF1"/>
    <w:rsid w:val="00266E04"/>
    <w:rsid w:val="002E1B21"/>
    <w:rsid w:val="00336EFA"/>
    <w:rsid w:val="00340F82"/>
    <w:rsid w:val="00344186"/>
    <w:rsid w:val="00472F39"/>
    <w:rsid w:val="004C4AE1"/>
    <w:rsid w:val="004C71F1"/>
    <w:rsid w:val="00523A63"/>
    <w:rsid w:val="007738F3"/>
    <w:rsid w:val="00815796"/>
    <w:rsid w:val="008B623B"/>
    <w:rsid w:val="008D39C9"/>
    <w:rsid w:val="009A0EA4"/>
    <w:rsid w:val="009C1B4C"/>
    <w:rsid w:val="00A647D3"/>
    <w:rsid w:val="00A80001"/>
    <w:rsid w:val="00AD4A2F"/>
    <w:rsid w:val="00B3767C"/>
    <w:rsid w:val="00C00671"/>
    <w:rsid w:val="00C33CEE"/>
    <w:rsid w:val="00CA5622"/>
    <w:rsid w:val="00D43961"/>
    <w:rsid w:val="00D543A3"/>
    <w:rsid w:val="00DB6CF0"/>
    <w:rsid w:val="00DE1AE9"/>
    <w:rsid w:val="00E75535"/>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B0A3-68A8-4283-9B3B-D9544E8BA14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F523E1E-B4F3-4952-A126-2B69B128665A}">
  <ds:schemaRefs>
    <ds:schemaRef ds:uri="http://schemas.microsoft.com/sharepoint/v3/contenttype/forms"/>
  </ds:schemaRefs>
</ds:datastoreItem>
</file>

<file path=customXml/itemProps3.xml><?xml version="1.0" encoding="utf-8"?>
<ds:datastoreItem xmlns:ds="http://schemas.openxmlformats.org/officeDocument/2006/customXml" ds:itemID="{E47D53E0-23D1-4C51-9ACE-09854B43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AEF65-A60F-4114-B3E3-8FB04312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19949</Words>
  <Characters>11371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Grozījumi likumā “Par nodokļiem un nodevām” anotācija</vt:lpstr>
    </vt:vector>
  </TitlesOfParts>
  <Company>Finanšu ministrija</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 anotācija</dc:title>
  <dc:subject>Anotācija</dc:subject>
  <dc:creator>E. Pentjuša (NASIPD)</dc:creator>
  <dc:description>67095651, elina.pentjusa@fm.gov.lv</dc:description>
  <cp:lastModifiedBy>Inguna Dancīte</cp:lastModifiedBy>
  <cp:revision>2</cp:revision>
  <cp:lastPrinted>2019-05-14T12:09:00Z</cp:lastPrinted>
  <dcterms:created xsi:type="dcterms:W3CDTF">2019-05-17T08:05:00Z</dcterms:created>
  <dcterms:modified xsi:type="dcterms:W3CDTF">2019-05-17T08:05:00Z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