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FF" w:rsidRDefault="000C7EFF">
      <w:pPr>
        <w:shd w:val="clear" w:color="auto" w:fill="FFFFFF"/>
      </w:pPr>
    </w:p>
    <w:p w:rsidR="000C7EFF" w:rsidRPr="00F31BFB" w:rsidRDefault="00FD229D" w:rsidP="00FD229D">
      <w:pPr>
        <w:shd w:val="clear" w:color="auto" w:fill="FFFFFF"/>
        <w:spacing w:after="120"/>
        <w:jc w:val="center"/>
        <w:rPr>
          <w:b/>
          <w:color w:val="auto"/>
        </w:rPr>
      </w:pPr>
      <w:bookmarkStart w:id="0" w:name="_gjdgxs" w:colFirst="0" w:colLast="0"/>
      <w:bookmarkEnd w:id="0"/>
      <w:r w:rsidRPr="00F31BFB">
        <w:rPr>
          <w:b/>
          <w:color w:val="auto"/>
        </w:rPr>
        <w:t>Ministru kabineta noteikumu projekta</w:t>
      </w:r>
      <w:r w:rsidR="00E203EE" w:rsidRPr="00F31BFB">
        <w:rPr>
          <w:b/>
          <w:color w:val="auto"/>
        </w:rPr>
        <w:t xml:space="preserve"> “</w:t>
      </w:r>
      <w:r w:rsidRPr="00F31BFB">
        <w:rPr>
          <w:b/>
          <w:color w:val="auto"/>
        </w:rPr>
        <w:t>Šaujamieroču, to būtisko sastāvdaļu un munīcijas, lielas enerģijas pneimatisko ieroču un gāzes ieroču un signālieroču marķēšanas kārtība”</w:t>
      </w:r>
      <w:r w:rsidR="00E203EE" w:rsidRPr="00F31BFB">
        <w:rPr>
          <w:b/>
          <w:color w:val="auto"/>
        </w:rPr>
        <w:t xml:space="preserve"> sākotnējās ietekmes novērtējuma ziņojums (anotācija)</w:t>
      </w:r>
    </w:p>
    <w:p w:rsidR="000C7EFF" w:rsidRPr="00F31BFB" w:rsidRDefault="000C7EFF">
      <w:pPr>
        <w:shd w:val="clear" w:color="auto" w:fill="FFFFFF"/>
        <w:ind w:firstLine="300"/>
        <w:jc w:val="center"/>
        <w:rPr>
          <w:color w:val="auto"/>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DF1B2F" w:rsidRPr="00F31BFB">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F31BFB" w:rsidRDefault="00E203EE">
            <w:pPr>
              <w:jc w:val="center"/>
              <w:rPr>
                <w:rFonts w:ascii="Times New Roman" w:hAnsi="Times New Roman" w:cs="Times New Roman"/>
                <w:b/>
                <w:color w:val="auto"/>
              </w:rPr>
            </w:pPr>
            <w:r w:rsidRPr="00F31BFB">
              <w:rPr>
                <w:rFonts w:ascii="Times New Roman" w:hAnsi="Times New Roman" w:cs="Times New Roman"/>
                <w:b/>
                <w:color w:val="auto"/>
              </w:rPr>
              <w:t xml:space="preserve">Tiesību akta projekta anotācijas kopsavilkums </w:t>
            </w:r>
          </w:p>
        </w:tc>
      </w:tr>
      <w:tr w:rsidR="00DF1B2F" w:rsidRPr="00F31BFB">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F31BFB" w:rsidRDefault="00E203EE">
            <w:pPr>
              <w:rPr>
                <w:rFonts w:ascii="Times New Roman" w:hAnsi="Times New Roman" w:cs="Times New Roman"/>
                <w:color w:val="auto"/>
              </w:rPr>
            </w:pPr>
            <w:r w:rsidRPr="00F31BFB">
              <w:rPr>
                <w:rFonts w:ascii="Times New Roman" w:hAnsi="Times New Roman" w:cs="Times New Roman"/>
                <w:color w:val="auto"/>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rsidR="004566B2" w:rsidRPr="00F31BFB" w:rsidRDefault="00610E94" w:rsidP="00A067D7">
            <w:pPr>
              <w:ind w:firstLine="720"/>
              <w:jc w:val="both"/>
              <w:rPr>
                <w:rFonts w:ascii="Times New Roman" w:hAnsi="Times New Roman" w:cs="Times New Roman"/>
                <w:color w:val="auto"/>
              </w:rPr>
            </w:pPr>
            <w:r w:rsidRPr="00F31BFB">
              <w:rPr>
                <w:rFonts w:ascii="Times New Roman" w:hAnsi="Times New Roman" w:cs="Times New Roman"/>
                <w:color w:val="auto"/>
              </w:rPr>
              <w:t>Lai pārņemtu</w:t>
            </w:r>
            <w:r w:rsidR="001F7009" w:rsidRPr="00F31BFB">
              <w:rPr>
                <w:rFonts w:ascii="Times New Roman" w:hAnsi="Times New Roman" w:cs="Times New Roman"/>
                <w:color w:val="auto"/>
              </w:rPr>
              <w:t xml:space="preserve"> </w:t>
            </w:r>
            <w:r w:rsidRPr="00F31BFB">
              <w:rPr>
                <w:rFonts w:ascii="Times New Roman" w:hAnsi="Times New Roman" w:cs="Times New Roman"/>
                <w:color w:val="auto"/>
              </w:rPr>
              <w:t>Eiropas Parlamenta un Padomes 2017.</w:t>
            </w:r>
            <w:r w:rsidR="001F7009" w:rsidRPr="00F31BFB">
              <w:rPr>
                <w:rFonts w:ascii="Times New Roman" w:hAnsi="Times New Roman" w:cs="Times New Roman"/>
                <w:color w:val="auto"/>
              </w:rPr>
              <w:t> </w:t>
            </w:r>
            <w:r w:rsidRPr="00F31BFB">
              <w:rPr>
                <w:rFonts w:ascii="Times New Roman" w:hAnsi="Times New Roman" w:cs="Times New Roman"/>
                <w:color w:val="auto"/>
              </w:rPr>
              <w:t>gada 17.</w:t>
            </w:r>
            <w:r w:rsidR="001F7009" w:rsidRPr="00F31BFB">
              <w:rPr>
                <w:rFonts w:ascii="Times New Roman" w:hAnsi="Times New Roman" w:cs="Times New Roman"/>
                <w:color w:val="auto"/>
              </w:rPr>
              <w:t> maija Direktīvas (ES) </w:t>
            </w:r>
            <w:r w:rsidRPr="00F31BFB">
              <w:rPr>
                <w:rFonts w:ascii="Times New Roman" w:hAnsi="Times New Roman" w:cs="Times New Roman"/>
                <w:color w:val="auto"/>
              </w:rPr>
              <w:t>2017/853</w:t>
            </w:r>
            <w:r w:rsidR="001F7009" w:rsidRPr="00F31BFB">
              <w:rPr>
                <w:rFonts w:ascii="Times New Roman" w:hAnsi="Times New Roman" w:cs="Times New Roman"/>
                <w:color w:val="auto"/>
              </w:rPr>
              <w:t>,</w:t>
            </w:r>
            <w:r w:rsidRPr="00F31BFB">
              <w:rPr>
                <w:rFonts w:ascii="Times New Roman" w:hAnsi="Times New Roman" w:cs="Times New Roman"/>
                <w:color w:val="auto"/>
              </w:rPr>
              <w:t xml:space="preserve"> ar ko groza Padomes Direktīvu 91/477/EEK par ieroču iegādes un glabāšanas kontroli</w:t>
            </w:r>
            <w:r w:rsidRPr="00F31BFB">
              <w:rPr>
                <w:rFonts w:ascii="Times New Roman" w:hAnsi="Times New Roman" w:cs="Times New Roman"/>
                <w:i/>
                <w:color w:val="auto"/>
              </w:rPr>
              <w:t xml:space="preserve"> </w:t>
            </w:r>
            <w:r w:rsidRPr="00F31BFB">
              <w:rPr>
                <w:rFonts w:ascii="Times New Roman" w:hAnsi="Times New Roman" w:cs="Times New Roman"/>
                <w:color w:val="auto"/>
              </w:rPr>
              <w:t xml:space="preserve">(turpmāk - </w:t>
            </w:r>
            <w:r w:rsidR="001F7009" w:rsidRPr="00F31BFB">
              <w:rPr>
                <w:rFonts w:ascii="Times New Roman" w:hAnsi="Times New Roman" w:cs="Times New Roman"/>
                <w:color w:val="auto"/>
              </w:rPr>
              <w:t>Direktīva (ES) </w:t>
            </w:r>
            <w:r w:rsidRPr="00F31BFB">
              <w:rPr>
                <w:rFonts w:ascii="Times New Roman" w:hAnsi="Times New Roman" w:cs="Times New Roman"/>
                <w:color w:val="auto"/>
              </w:rPr>
              <w:t>2017/853)</w:t>
            </w:r>
            <w:r w:rsidR="00A067D7" w:rsidRPr="00F31BFB">
              <w:rPr>
                <w:rFonts w:ascii="Times New Roman" w:hAnsi="Times New Roman" w:cs="Times New Roman"/>
                <w:color w:val="auto"/>
              </w:rPr>
              <w:t xml:space="preserve"> </w:t>
            </w:r>
            <w:r w:rsidRPr="00F31BFB">
              <w:rPr>
                <w:rFonts w:ascii="Times New Roman" w:hAnsi="Times New Roman" w:cs="Times New Roman"/>
                <w:color w:val="auto"/>
              </w:rPr>
              <w:t>prasības Latvijas nacionālajos normatīvajos aktos</w:t>
            </w:r>
            <w:r w:rsidR="001F7009" w:rsidRPr="00F31BFB">
              <w:rPr>
                <w:rFonts w:ascii="Times New Roman" w:hAnsi="Times New Roman" w:cs="Times New Roman"/>
                <w:color w:val="auto"/>
              </w:rPr>
              <w:t>,</w:t>
            </w:r>
            <w:r w:rsidRPr="00F31BFB">
              <w:rPr>
                <w:rFonts w:ascii="Times New Roman" w:hAnsi="Times New Roman" w:cs="Times New Roman"/>
                <w:color w:val="auto"/>
              </w:rPr>
              <w:t xml:space="preserve"> tika izstrādāts likumprojekts “Ieroču aprites likums”. Likumprojekta 86.</w:t>
            </w:r>
            <w:r w:rsidR="001F7009" w:rsidRPr="00F31BFB">
              <w:rPr>
                <w:rFonts w:ascii="Times New Roman" w:hAnsi="Times New Roman" w:cs="Times New Roman"/>
                <w:color w:val="auto"/>
              </w:rPr>
              <w:t> panta ceturtā daļa paredz</w:t>
            </w:r>
            <w:r w:rsidRPr="00F31BFB">
              <w:rPr>
                <w:rFonts w:ascii="Times New Roman" w:hAnsi="Times New Roman" w:cs="Times New Roman"/>
                <w:color w:val="auto"/>
              </w:rPr>
              <w:t xml:space="preserve"> deleģējumu Ministru kabinetam noteikt šaujamieroču, to būtisko sastāvdaļu un munīcijas, lielas enerģijas pneimatisko ieroču un gāzes ieroču un </w:t>
            </w:r>
            <w:proofErr w:type="spellStart"/>
            <w:r w:rsidRPr="00F31BFB">
              <w:rPr>
                <w:rFonts w:ascii="Times New Roman" w:hAnsi="Times New Roman" w:cs="Times New Roman"/>
                <w:color w:val="auto"/>
              </w:rPr>
              <w:t>signālieroču</w:t>
            </w:r>
            <w:proofErr w:type="spellEnd"/>
            <w:r w:rsidRPr="00F31BFB">
              <w:rPr>
                <w:rFonts w:ascii="Times New Roman" w:hAnsi="Times New Roman" w:cs="Times New Roman"/>
                <w:color w:val="auto"/>
              </w:rPr>
              <w:t xml:space="preserve"> marķēšanas kārtību.</w:t>
            </w:r>
            <w:r w:rsidR="00A067D7" w:rsidRPr="00F31BFB">
              <w:rPr>
                <w:rFonts w:ascii="Times New Roman" w:hAnsi="Times New Roman" w:cs="Times New Roman"/>
                <w:color w:val="auto"/>
              </w:rPr>
              <w:t xml:space="preserve"> Papildus 2019.gada 16.janvārī Eiropas Komisija </w:t>
            </w:r>
            <w:r w:rsidR="006C025C" w:rsidRPr="00F31BFB">
              <w:rPr>
                <w:rFonts w:ascii="Times New Roman" w:hAnsi="Times New Roman" w:cs="Times New Roman"/>
                <w:color w:val="auto"/>
              </w:rPr>
              <w:t>pieņēma</w:t>
            </w:r>
            <w:r w:rsidR="00A067D7" w:rsidRPr="00F31BFB">
              <w:rPr>
                <w:rFonts w:ascii="Times New Roman" w:hAnsi="Times New Roman" w:cs="Times New Roman"/>
                <w:color w:val="auto"/>
              </w:rPr>
              <w:t xml:space="preserve"> Komisijas īstenošanas direkt</w:t>
            </w:r>
            <w:r w:rsidR="00625C83" w:rsidRPr="00F31BFB">
              <w:rPr>
                <w:rFonts w:ascii="Times New Roman" w:hAnsi="Times New Roman" w:cs="Times New Roman"/>
                <w:color w:val="auto"/>
              </w:rPr>
              <w:t>īvu</w:t>
            </w:r>
            <w:r w:rsidR="00A067D7" w:rsidRPr="00F31BFB">
              <w:rPr>
                <w:rFonts w:ascii="Times New Roman" w:hAnsi="Times New Roman" w:cs="Times New Roman"/>
                <w:color w:val="auto"/>
              </w:rPr>
              <w:t xml:space="preserve"> (ES) 2019/68 ar ko nosaka šaujamieroču un to būtisko daļu marķējumu tehniskās specifikācijas saskaņā ar Padomes Direktīvu 91/477/EEK par ieroču iegādes un glabāšanas kontroli (turpmāk - Direktīva (ES) 2019/68). </w:t>
            </w:r>
            <w:r w:rsidRPr="00F31BFB">
              <w:rPr>
                <w:rFonts w:ascii="Times New Roman" w:hAnsi="Times New Roman" w:cs="Times New Roman"/>
                <w:color w:val="auto"/>
              </w:rPr>
              <w:t>Ņemot vērā minēto, tika izstrādāts Ministru kabineta noteikumu projekts “Šaujamieroču, to būtisko sastāvdaļu un munīcijas, lielas enerģijas pneimatisko ieroču un gāzes ieroču un signālieroču marķēšanas kārtība” (turpmāk</w:t>
            </w:r>
            <w:r w:rsidR="001F7009" w:rsidRPr="00F31BFB">
              <w:rPr>
                <w:rFonts w:ascii="Times New Roman" w:hAnsi="Times New Roman" w:cs="Times New Roman"/>
                <w:color w:val="auto"/>
              </w:rPr>
              <w:t xml:space="preserve"> </w:t>
            </w:r>
            <w:r w:rsidRPr="00F31BFB">
              <w:rPr>
                <w:rFonts w:ascii="Times New Roman" w:hAnsi="Times New Roman" w:cs="Times New Roman"/>
                <w:color w:val="auto"/>
              </w:rPr>
              <w:t>- Projekts), kas piln</w:t>
            </w:r>
            <w:r w:rsidR="00B77A1A" w:rsidRPr="00F31BFB">
              <w:rPr>
                <w:rFonts w:ascii="Times New Roman" w:hAnsi="Times New Roman" w:cs="Times New Roman"/>
                <w:color w:val="auto"/>
              </w:rPr>
              <w:t>ā</w:t>
            </w:r>
            <w:r w:rsidRPr="00F31BFB">
              <w:rPr>
                <w:rFonts w:ascii="Times New Roman" w:hAnsi="Times New Roman" w:cs="Times New Roman"/>
                <w:color w:val="auto"/>
              </w:rPr>
              <w:t xml:space="preserve"> apjomā pārņem Direktīva</w:t>
            </w:r>
            <w:r w:rsidR="001F7009" w:rsidRPr="00F31BFB">
              <w:rPr>
                <w:rFonts w:ascii="Times New Roman" w:hAnsi="Times New Roman" w:cs="Times New Roman"/>
                <w:color w:val="auto"/>
              </w:rPr>
              <w:t>s (ES) </w:t>
            </w:r>
            <w:r w:rsidRPr="00F31BFB">
              <w:rPr>
                <w:rFonts w:ascii="Times New Roman" w:hAnsi="Times New Roman" w:cs="Times New Roman"/>
                <w:color w:val="auto"/>
              </w:rPr>
              <w:t>2017/853 prasības attiecībā uz šaujamieroču un to būtisko sast</w:t>
            </w:r>
            <w:r w:rsidR="00A067D7" w:rsidRPr="00F31BFB">
              <w:rPr>
                <w:rFonts w:ascii="Times New Roman" w:hAnsi="Times New Roman" w:cs="Times New Roman"/>
                <w:color w:val="auto"/>
              </w:rPr>
              <w:t>āvdaļu marķēšanu, kā arī Direktīvas (ES)</w:t>
            </w:r>
            <w:r w:rsidRPr="00F31BFB">
              <w:rPr>
                <w:rFonts w:ascii="Times New Roman" w:hAnsi="Times New Roman" w:cs="Times New Roman"/>
                <w:color w:val="auto"/>
              </w:rPr>
              <w:t xml:space="preserve"> </w:t>
            </w:r>
            <w:r w:rsidR="00A067D7" w:rsidRPr="00F31BFB">
              <w:rPr>
                <w:rFonts w:ascii="Times New Roman" w:hAnsi="Times New Roman" w:cs="Times New Roman"/>
                <w:color w:val="auto"/>
              </w:rPr>
              <w:t>2019/68 prasības.</w:t>
            </w:r>
          </w:p>
          <w:p w:rsidR="000C7EFF" w:rsidRPr="00F31BFB" w:rsidRDefault="00E203EE" w:rsidP="00A067D7">
            <w:pPr>
              <w:ind w:firstLine="720"/>
              <w:jc w:val="both"/>
              <w:rPr>
                <w:rFonts w:ascii="Times New Roman" w:hAnsi="Times New Roman" w:cs="Times New Roman"/>
                <w:color w:val="auto"/>
              </w:rPr>
            </w:pPr>
            <w:r w:rsidRPr="00F31BFB">
              <w:rPr>
                <w:rFonts w:ascii="Times New Roman" w:hAnsi="Times New Roman" w:cs="Times New Roman"/>
                <w:color w:val="auto"/>
              </w:rPr>
              <w:t>Projektam jāstāj</w:t>
            </w:r>
            <w:r w:rsidR="00610E94" w:rsidRPr="00F31BFB">
              <w:rPr>
                <w:rFonts w:ascii="Times New Roman" w:hAnsi="Times New Roman" w:cs="Times New Roman"/>
                <w:color w:val="auto"/>
              </w:rPr>
              <w:t>as spēkā vienlaikus ar likumproje</w:t>
            </w:r>
            <w:r w:rsidR="00A067D7" w:rsidRPr="00F31BFB">
              <w:rPr>
                <w:rFonts w:ascii="Times New Roman" w:hAnsi="Times New Roman" w:cs="Times New Roman"/>
                <w:color w:val="auto"/>
              </w:rPr>
              <w:t>ktu “Ieroču aprites likums” (55/Lp13</w:t>
            </w:r>
            <w:r w:rsidR="00610E94" w:rsidRPr="00F31BFB">
              <w:rPr>
                <w:rFonts w:ascii="Times New Roman" w:hAnsi="Times New Roman" w:cs="Times New Roman"/>
                <w:color w:val="auto"/>
              </w:rPr>
              <w:t>).</w:t>
            </w:r>
          </w:p>
        </w:tc>
      </w:tr>
    </w:tbl>
    <w:p w:rsidR="000C7EFF" w:rsidRPr="00F31BFB" w:rsidRDefault="000C7EFF">
      <w:pPr>
        <w:shd w:val="clear" w:color="auto" w:fill="FFFFFF"/>
        <w:ind w:firstLine="300"/>
        <w:jc w:val="center"/>
        <w:rPr>
          <w:color w:val="auto"/>
        </w:rP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B2F" w:rsidRPr="00F31BFB">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 Tiesību akta projekta izstrādes nepieciešamība</w:t>
            </w:r>
          </w:p>
        </w:tc>
      </w:tr>
      <w:tr w:rsidR="00DF1B2F" w:rsidRPr="00F31BFB">
        <w:trPr>
          <w:trHeight w:val="18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Pamatojums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rsidP="001F7009">
            <w:pPr>
              <w:ind w:firstLine="402"/>
              <w:jc w:val="both"/>
              <w:rPr>
                <w:color w:val="auto"/>
              </w:rPr>
            </w:pPr>
            <w:r w:rsidRPr="00F31BFB">
              <w:rPr>
                <w:color w:val="auto"/>
              </w:rPr>
              <w:t>Nepi</w:t>
            </w:r>
            <w:r w:rsidR="001F7009" w:rsidRPr="00F31BFB">
              <w:rPr>
                <w:color w:val="auto"/>
              </w:rPr>
              <w:t>eciešams pārņemt Direktīvu (ES) </w:t>
            </w:r>
            <w:r w:rsidRPr="00F31BFB">
              <w:rPr>
                <w:color w:val="auto"/>
              </w:rPr>
              <w:t>2017/853</w:t>
            </w:r>
            <w:r w:rsidR="00A067D7" w:rsidRPr="00F31BFB">
              <w:rPr>
                <w:color w:val="auto"/>
              </w:rPr>
              <w:t xml:space="preserve"> un Direktīvu (ES) 2019/68, </w:t>
            </w:r>
            <w:r w:rsidRPr="00F31BFB">
              <w:rPr>
                <w:color w:val="auto"/>
              </w:rPr>
              <w:t>lai nodrošinātu Latvijas ieroču aprites nosacījumu harmonizāciju ar citām Eiropas Savienības dalībvalstīm un Eiropas Ekonomikas Zonas valstīm</w:t>
            </w:r>
            <w:r w:rsidR="00995543" w:rsidRPr="00F31BFB">
              <w:rPr>
                <w:color w:val="auto"/>
              </w:rPr>
              <w:t xml:space="preserve"> arī jautājumā, kas</w:t>
            </w:r>
            <w:r w:rsidR="00625C83" w:rsidRPr="00F31BFB">
              <w:rPr>
                <w:color w:val="auto"/>
              </w:rPr>
              <w:t xml:space="preserve"> </w:t>
            </w:r>
            <w:r w:rsidR="00995543" w:rsidRPr="00F31BFB">
              <w:rPr>
                <w:color w:val="auto"/>
              </w:rPr>
              <w:t>skar šaujamieroču un to būtisko sastāvdaļu marķēšanu.</w:t>
            </w: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7A42BA" w:rsidRPr="00F31BFB" w:rsidRDefault="00995543" w:rsidP="007A42BA">
            <w:pPr>
              <w:ind w:firstLine="402"/>
              <w:jc w:val="both"/>
              <w:rPr>
                <w:color w:val="auto"/>
              </w:rPr>
            </w:pPr>
            <w:r w:rsidRPr="00F31BFB">
              <w:rPr>
                <w:color w:val="auto"/>
              </w:rPr>
              <w:t>Izstrādātais p</w:t>
            </w:r>
            <w:r w:rsidR="00E203EE" w:rsidRPr="00F31BFB">
              <w:rPr>
                <w:color w:val="auto"/>
              </w:rPr>
              <w:t>rojekts galvenokārt saistīts ar nepieci</w:t>
            </w:r>
            <w:r w:rsidR="001F7009" w:rsidRPr="00F31BFB">
              <w:rPr>
                <w:color w:val="auto"/>
              </w:rPr>
              <w:t>ešamību pārņemt Direktīvas (ES) </w:t>
            </w:r>
            <w:r w:rsidR="00E203EE" w:rsidRPr="00F31BFB">
              <w:rPr>
                <w:color w:val="auto"/>
              </w:rPr>
              <w:t>2017/853</w:t>
            </w:r>
            <w:r w:rsidR="00A067D7" w:rsidRPr="00F31BFB">
              <w:rPr>
                <w:color w:val="auto"/>
              </w:rPr>
              <w:t xml:space="preserve"> un Direktīvas (ES) 2019/68 </w:t>
            </w:r>
            <w:r w:rsidR="00E203EE" w:rsidRPr="00F31BFB">
              <w:rPr>
                <w:color w:val="auto"/>
              </w:rPr>
              <w:t xml:space="preserve">prasības nacionālajos normatīvajos </w:t>
            </w:r>
            <w:r w:rsidRPr="00F31BFB">
              <w:rPr>
                <w:color w:val="auto"/>
              </w:rPr>
              <w:t xml:space="preserve">aktos. </w:t>
            </w:r>
          </w:p>
          <w:p w:rsidR="007A42BA" w:rsidRPr="00F31BFB" w:rsidRDefault="00995543">
            <w:pPr>
              <w:ind w:firstLine="402"/>
              <w:jc w:val="both"/>
              <w:rPr>
                <w:color w:val="auto"/>
              </w:rPr>
            </w:pPr>
            <w:r w:rsidRPr="00F31BFB">
              <w:rPr>
                <w:color w:val="auto"/>
              </w:rPr>
              <w:t>Lai transponētu</w:t>
            </w:r>
            <w:r w:rsidR="007A42BA" w:rsidRPr="00F31BFB">
              <w:rPr>
                <w:color w:val="auto"/>
              </w:rPr>
              <w:t xml:space="preserve"> </w:t>
            </w:r>
            <w:r w:rsidR="001F7009" w:rsidRPr="00F31BFB">
              <w:rPr>
                <w:color w:val="auto"/>
              </w:rPr>
              <w:t>Direktīvas (ES) 2017/853</w:t>
            </w:r>
            <w:r w:rsidR="006C025C" w:rsidRPr="00F31BFB">
              <w:rPr>
                <w:color w:val="auto"/>
              </w:rPr>
              <w:t xml:space="preserve"> un Direktīvas (ES) 2019/68</w:t>
            </w:r>
            <w:r w:rsidRPr="00F31BFB">
              <w:rPr>
                <w:color w:val="auto"/>
              </w:rPr>
              <w:t xml:space="preserve"> prasības</w:t>
            </w:r>
            <w:r w:rsidR="001F7009" w:rsidRPr="00F31BFB">
              <w:rPr>
                <w:color w:val="auto"/>
              </w:rPr>
              <w:t>, kas ir attiecināmas</w:t>
            </w:r>
            <w:r w:rsidRPr="00F31BFB">
              <w:rPr>
                <w:color w:val="auto"/>
              </w:rPr>
              <w:t xml:space="preserve"> uz </w:t>
            </w:r>
            <w:r w:rsidRPr="00F31BFB">
              <w:rPr>
                <w:color w:val="auto"/>
              </w:rPr>
              <w:lastRenderedPageBreak/>
              <w:t>šaujamieroču un to būtiski sastāvdaļu marķēšanu</w:t>
            </w:r>
            <w:r w:rsidR="001F7009" w:rsidRPr="00F31BFB">
              <w:rPr>
                <w:color w:val="auto"/>
              </w:rPr>
              <w:t>,</w:t>
            </w:r>
            <w:r w:rsidR="007A42BA" w:rsidRPr="00F31BFB">
              <w:rPr>
                <w:color w:val="auto"/>
              </w:rPr>
              <w:t xml:space="preserve"> projektā ir paredzēts noteikt:</w:t>
            </w:r>
          </w:p>
          <w:p w:rsidR="007A42BA" w:rsidRPr="00F31BFB" w:rsidRDefault="001F7009">
            <w:pPr>
              <w:ind w:firstLine="402"/>
              <w:jc w:val="both"/>
              <w:rPr>
                <w:color w:val="auto"/>
              </w:rPr>
            </w:pPr>
            <w:r w:rsidRPr="00F31BFB">
              <w:rPr>
                <w:color w:val="auto"/>
              </w:rPr>
              <w:t xml:space="preserve">1. </w:t>
            </w:r>
            <w:r w:rsidR="007A42BA" w:rsidRPr="00F31BFB">
              <w:rPr>
                <w:color w:val="auto"/>
              </w:rPr>
              <w:t xml:space="preserve">šaujamieroču un </w:t>
            </w:r>
            <w:r w:rsidRPr="00F31BFB">
              <w:rPr>
                <w:color w:val="auto"/>
              </w:rPr>
              <w:t>šaujamieroču būtisko sastāvdaļu</w:t>
            </w:r>
            <w:r w:rsidR="007A42BA" w:rsidRPr="00F31BFB">
              <w:rPr>
                <w:color w:val="auto"/>
              </w:rPr>
              <w:t xml:space="preserve"> marķējumā ietveramo informācijas apjomu; </w:t>
            </w:r>
          </w:p>
          <w:p w:rsidR="007A42BA" w:rsidRPr="00F31BFB" w:rsidRDefault="007A42BA">
            <w:pPr>
              <w:ind w:firstLine="402"/>
              <w:jc w:val="both"/>
              <w:rPr>
                <w:color w:val="auto"/>
              </w:rPr>
            </w:pPr>
            <w:r w:rsidRPr="00F31BFB">
              <w:rPr>
                <w:color w:val="auto"/>
              </w:rPr>
              <w:t>2. tehnisko specifikāciju</w:t>
            </w:r>
            <w:r w:rsidR="001F7009" w:rsidRPr="00F31BFB">
              <w:rPr>
                <w:color w:val="auto"/>
              </w:rPr>
              <w:t>,</w:t>
            </w:r>
            <w:r w:rsidRPr="00F31BFB">
              <w:rPr>
                <w:color w:val="auto"/>
              </w:rPr>
              <w:t xml:space="preserve"> veicot šaujamieroču</w:t>
            </w:r>
            <w:r w:rsidR="003F168A" w:rsidRPr="00F31BFB">
              <w:rPr>
                <w:color w:val="auto"/>
              </w:rPr>
              <w:t xml:space="preserve"> būtisko sastāvdaļu</w:t>
            </w:r>
            <w:r w:rsidRPr="00F31BFB">
              <w:rPr>
                <w:color w:val="auto"/>
              </w:rPr>
              <w:t xml:space="preserve"> marķēšanu;</w:t>
            </w:r>
          </w:p>
          <w:p w:rsidR="007A42BA" w:rsidRPr="00F31BFB" w:rsidRDefault="007A42BA">
            <w:pPr>
              <w:ind w:firstLine="402"/>
              <w:jc w:val="both"/>
              <w:rPr>
                <w:color w:val="auto"/>
              </w:rPr>
            </w:pPr>
            <w:r w:rsidRPr="00F31BFB">
              <w:rPr>
                <w:color w:val="auto"/>
              </w:rPr>
              <w:t>3. šaujamieroču munīcijas marķējumā ietveramo informācijas</w:t>
            </w:r>
            <w:r w:rsidR="006D194D" w:rsidRPr="00F31BFB">
              <w:rPr>
                <w:color w:val="auto"/>
              </w:rPr>
              <w:t xml:space="preserve"> apjomu uz </w:t>
            </w:r>
            <w:r w:rsidRPr="00F31BFB">
              <w:rPr>
                <w:color w:val="auto"/>
              </w:rPr>
              <w:t>šaujamieroču munīcijas iepakojum</w:t>
            </w:r>
            <w:r w:rsidR="003F168A" w:rsidRPr="00F31BFB">
              <w:rPr>
                <w:color w:val="auto"/>
              </w:rPr>
              <w:t>a.</w:t>
            </w:r>
          </w:p>
          <w:p w:rsidR="007E1561" w:rsidRPr="00F31BFB" w:rsidRDefault="00CD537F" w:rsidP="00C87614">
            <w:pPr>
              <w:ind w:firstLine="506"/>
              <w:jc w:val="both"/>
              <w:rPr>
                <w:color w:val="auto"/>
              </w:rPr>
            </w:pPr>
            <w:r w:rsidRPr="00F31BFB">
              <w:rPr>
                <w:color w:val="auto"/>
              </w:rPr>
              <w:t>Vien</w:t>
            </w:r>
            <w:r w:rsidR="00257B87" w:rsidRPr="00F31BFB">
              <w:rPr>
                <w:color w:val="auto"/>
              </w:rPr>
              <w:t>l</w:t>
            </w:r>
            <w:r w:rsidRPr="00F31BFB">
              <w:rPr>
                <w:color w:val="auto"/>
              </w:rPr>
              <w:t>a</w:t>
            </w:r>
            <w:r w:rsidR="00257B87" w:rsidRPr="00F31BFB">
              <w:rPr>
                <w:color w:val="auto"/>
              </w:rPr>
              <w:t>ikus, lai nodrošinātu</w:t>
            </w:r>
            <w:r w:rsidRPr="00F31BFB">
              <w:rPr>
                <w:color w:val="auto"/>
              </w:rPr>
              <w:t xml:space="preserve"> 2004.</w:t>
            </w:r>
            <w:r w:rsidR="001F7009" w:rsidRPr="00F31BFB">
              <w:rPr>
                <w:color w:val="auto"/>
              </w:rPr>
              <w:t> </w:t>
            </w:r>
            <w:r w:rsidRPr="00F31BFB">
              <w:rPr>
                <w:color w:val="auto"/>
              </w:rPr>
              <w:t>gada 27.</w:t>
            </w:r>
            <w:r w:rsidR="001F7009" w:rsidRPr="00F31BFB">
              <w:rPr>
                <w:color w:val="auto"/>
              </w:rPr>
              <w:t> </w:t>
            </w:r>
            <w:r w:rsidRPr="00F31BFB">
              <w:rPr>
                <w:color w:val="auto"/>
              </w:rPr>
              <w:t>maijā Saeimā ratificēto Apvienoto Nāciju Organizācijas Konvencijas pret transnacionālo organizēto noziedz</w:t>
            </w:r>
            <w:r w:rsidR="00F23F09" w:rsidRPr="00F31BFB">
              <w:rPr>
                <w:color w:val="auto"/>
              </w:rPr>
              <w:t>ību 2001.</w:t>
            </w:r>
            <w:r w:rsidR="001F7009" w:rsidRPr="00F31BFB">
              <w:rPr>
                <w:color w:val="auto"/>
              </w:rPr>
              <w:t> </w:t>
            </w:r>
            <w:r w:rsidR="00F23F09" w:rsidRPr="00F31BFB">
              <w:rPr>
                <w:color w:val="auto"/>
              </w:rPr>
              <w:t>gada 31.</w:t>
            </w:r>
            <w:r w:rsidR="001F7009" w:rsidRPr="00F31BFB">
              <w:rPr>
                <w:color w:val="auto"/>
              </w:rPr>
              <w:t> </w:t>
            </w:r>
            <w:r w:rsidR="00F23F09" w:rsidRPr="00F31BFB">
              <w:rPr>
                <w:color w:val="auto"/>
              </w:rPr>
              <w:t>maija Protokola</w:t>
            </w:r>
            <w:r w:rsidRPr="00F31BFB">
              <w:rPr>
                <w:color w:val="auto"/>
              </w:rPr>
              <w:t xml:space="preserve"> par šaujamieroču, to detaļu, sastāvdaļu un munīcijas nelegālas izgatavošanas un aprites apkarošanu (turpmāk — Protokols)</w:t>
            </w:r>
            <w:r w:rsidR="00CC2390" w:rsidRPr="00F31BFB">
              <w:rPr>
                <w:color w:val="auto"/>
              </w:rPr>
              <w:t xml:space="preserve"> 8.</w:t>
            </w:r>
            <w:r w:rsidR="001F7009" w:rsidRPr="00F31BFB">
              <w:rPr>
                <w:color w:val="auto"/>
              </w:rPr>
              <w:t> </w:t>
            </w:r>
            <w:r w:rsidR="00CC2390" w:rsidRPr="00F31BFB">
              <w:rPr>
                <w:color w:val="auto"/>
              </w:rPr>
              <w:t xml:space="preserve">panta pirmās daļas b) apakšpunkta </w:t>
            </w:r>
            <w:r w:rsidRPr="00F31BFB">
              <w:rPr>
                <w:color w:val="auto"/>
              </w:rPr>
              <w:t>ievēro</w:t>
            </w:r>
            <w:r w:rsidR="00CC2390" w:rsidRPr="00F31BFB">
              <w:rPr>
                <w:color w:val="auto"/>
              </w:rPr>
              <w:t>šanu</w:t>
            </w:r>
            <w:r w:rsidR="001F7009" w:rsidRPr="00F31BFB">
              <w:rPr>
                <w:color w:val="auto"/>
              </w:rPr>
              <w:t>,</w:t>
            </w:r>
            <w:r w:rsidR="00CC2390" w:rsidRPr="00F31BFB">
              <w:rPr>
                <w:color w:val="auto"/>
              </w:rPr>
              <w:t xml:space="preserve"> projekta</w:t>
            </w:r>
            <w:r w:rsidR="006C025C" w:rsidRPr="00F31BFB">
              <w:rPr>
                <w:color w:val="auto"/>
              </w:rPr>
              <w:t xml:space="preserve"> 13</w:t>
            </w:r>
            <w:r w:rsidR="007E1561" w:rsidRPr="00F31BFB">
              <w:rPr>
                <w:color w:val="auto"/>
              </w:rPr>
              <w:t xml:space="preserve">. punkts paredz, </w:t>
            </w:r>
            <w:r w:rsidR="00C87614" w:rsidRPr="00F31BFB">
              <w:rPr>
                <w:color w:val="auto"/>
              </w:rPr>
              <w:t>ieroču k</w:t>
            </w:r>
            <w:r w:rsidR="006C025C" w:rsidRPr="00F31BFB">
              <w:rPr>
                <w:color w:val="auto"/>
              </w:rPr>
              <w:t>omersantam 30 dienu laikā pēc 11</w:t>
            </w:r>
            <w:r w:rsidR="00C87614" w:rsidRPr="00F31BFB">
              <w:rPr>
                <w:color w:val="auto"/>
              </w:rPr>
              <w:t>.punktā minēto šaujamieroču izlaišanu brīvā apgrozībā, bet ne vēlāk, kā līdz šaujamieroču realiz</w:t>
            </w:r>
            <w:r w:rsidR="006C025C" w:rsidRPr="00F31BFB">
              <w:rPr>
                <w:color w:val="auto"/>
              </w:rPr>
              <w:t>ācijai, papildus šo noteikumu 11</w:t>
            </w:r>
            <w:r w:rsidR="00C87614" w:rsidRPr="00F31BFB">
              <w:rPr>
                <w:color w:val="auto"/>
              </w:rPr>
              <w:t>.punktā noteiktajām marķēšanas prasībām nodrošina, ka šaujamieroča rāmis vai stobra kārba, vai nolaidējmehānisma kārba tiek papildus marķēta, ievērojot šo noteikumu 4.</w:t>
            </w:r>
            <w:r w:rsidR="006C025C" w:rsidRPr="00F31BFB">
              <w:rPr>
                <w:color w:val="auto"/>
              </w:rPr>
              <w:t>, 5. un 6</w:t>
            </w:r>
            <w:r w:rsidR="00C87614" w:rsidRPr="00F31BFB">
              <w:rPr>
                <w:color w:val="auto"/>
              </w:rPr>
              <w:t>. punktā noteiktus nosacījumus, ar šādu informāciju:</w:t>
            </w:r>
            <w:r w:rsidR="006C025C" w:rsidRPr="00F31BFB">
              <w:rPr>
                <w:color w:val="auto"/>
              </w:rPr>
              <w:t>13</w:t>
            </w:r>
            <w:r w:rsidR="007E1561" w:rsidRPr="00F31BFB">
              <w:rPr>
                <w:color w:val="auto"/>
              </w:rPr>
              <w:t>.1. atzīmējot importa valsti ar burtiem “LV”</w:t>
            </w:r>
            <w:r w:rsidR="006C025C" w:rsidRPr="00F31BFB">
              <w:rPr>
                <w:color w:val="auto"/>
              </w:rPr>
              <w:t>; 13</w:t>
            </w:r>
            <w:r w:rsidR="007E1561" w:rsidRPr="00F31BFB">
              <w:rPr>
                <w:color w:val="auto"/>
              </w:rPr>
              <w:t>.2. atzīmējot šaujamieroča importēšanas gada vismaz pēdējos divus ciparus.</w:t>
            </w:r>
          </w:p>
          <w:p w:rsidR="00995543" w:rsidRPr="00F31BFB" w:rsidRDefault="006C025C" w:rsidP="00CD537F">
            <w:pPr>
              <w:ind w:firstLine="506"/>
              <w:jc w:val="both"/>
              <w:rPr>
                <w:color w:val="auto"/>
              </w:rPr>
            </w:pPr>
            <w:r w:rsidRPr="00F31BFB">
              <w:rPr>
                <w:color w:val="auto"/>
              </w:rPr>
              <w:t>Papildus Direktīvas (ES) 2017/853 un Direktīvas (ES) 2019/68</w:t>
            </w:r>
            <w:proofErr w:type="gramStart"/>
            <w:r w:rsidRPr="00F31BFB">
              <w:rPr>
                <w:color w:val="auto"/>
              </w:rPr>
              <w:t xml:space="preserve">  </w:t>
            </w:r>
            <w:proofErr w:type="gramEnd"/>
            <w:r w:rsidR="003F168A" w:rsidRPr="00F31BFB">
              <w:rPr>
                <w:color w:val="auto"/>
              </w:rPr>
              <w:t>transponēšanai nepieciešamajām normām likumprojektā</w:t>
            </w:r>
            <w:r w:rsidR="006D194D" w:rsidRPr="00F31BFB">
              <w:rPr>
                <w:color w:val="auto"/>
              </w:rPr>
              <w:t xml:space="preserve"> pārskatīt</w:t>
            </w:r>
            <w:r w:rsidR="001F7009" w:rsidRPr="00F31BFB">
              <w:rPr>
                <w:color w:val="auto"/>
              </w:rPr>
              <w:t>s</w:t>
            </w:r>
            <w:r w:rsidR="003F168A" w:rsidRPr="00F31BFB">
              <w:rPr>
                <w:color w:val="auto"/>
              </w:rPr>
              <w:t xml:space="preserve"> </w:t>
            </w:r>
            <w:r w:rsidR="006D194D" w:rsidRPr="00F31BFB">
              <w:rPr>
                <w:color w:val="auto"/>
              </w:rPr>
              <w:t>E kategorijas gāzes ieroču un signālieroču, kā arī lielās enerģijas pneimatisko šaujamieroču marķē</w:t>
            </w:r>
            <w:r w:rsidR="00257B87" w:rsidRPr="00F31BFB">
              <w:rPr>
                <w:color w:val="auto"/>
              </w:rPr>
              <w:t xml:space="preserve">jumā </w:t>
            </w:r>
            <w:r w:rsidR="00CD537F" w:rsidRPr="00F31BFB">
              <w:rPr>
                <w:color w:val="auto"/>
              </w:rPr>
              <w:t>ietveramais informācijas apjoms</w:t>
            </w:r>
            <w:r w:rsidR="006D194D" w:rsidRPr="00F31BFB">
              <w:rPr>
                <w:color w:val="auto"/>
              </w:rPr>
              <w:t>.</w:t>
            </w:r>
          </w:p>
          <w:p w:rsidR="00CC2390" w:rsidRPr="00F31BFB" w:rsidRDefault="00CC2390" w:rsidP="00CC2390">
            <w:pPr>
              <w:ind w:firstLine="402"/>
              <w:jc w:val="both"/>
              <w:rPr>
                <w:color w:val="auto"/>
              </w:rPr>
            </w:pPr>
            <w:r w:rsidRPr="00F31BFB">
              <w:rPr>
                <w:color w:val="auto"/>
              </w:rPr>
              <w:t xml:space="preserve">1. </w:t>
            </w:r>
            <w:r w:rsidR="002D3D35" w:rsidRPr="00F31BFB">
              <w:rPr>
                <w:color w:val="auto"/>
              </w:rPr>
              <w:t>Likumprojekta “Ieroču aprites likums” 6.</w:t>
            </w:r>
            <w:r w:rsidR="001F7009" w:rsidRPr="00F31BFB">
              <w:rPr>
                <w:color w:val="auto"/>
              </w:rPr>
              <w:t> </w:t>
            </w:r>
            <w:r w:rsidR="002D3D35" w:rsidRPr="00F31BFB">
              <w:rPr>
                <w:color w:val="auto"/>
              </w:rPr>
              <w:t>panta sestā daļa paredz</w:t>
            </w:r>
            <w:r w:rsidRPr="00F31BFB">
              <w:rPr>
                <w:color w:val="auto"/>
              </w:rPr>
              <w:t>, ka ieroču klasifikācijā ir i</w:t>
            </w:r>
            <w:r w:rsidR="003F168A" w:rsidRPr="00F31BFB">
              <w:rPr>
                <w:color w:val="auto"/>
              </w:rPr>
              <w:t>zveidota jaun</w:t>
            </w:r>
            <w:r w:rsidR="00B77A1A" w:rsidRPr="00F31BFB">
              <w:rPr>
                <w:color w:val="auto"/>
              </w:rPr>
              <w:t>a</w:t>
            </w:r>
            <w:r w:rsidR="003F168A" w:rsidRPr="00F31BFB">
              <w:rPr>
                <w:color w:val="auto"/>
              </w:rPr>
              <w:t xml:space="preserve"> E kategorija, kurā būs ietverti gāzes ieroči un signālieroči, kurus nevar pārveidot šaušanai ar lodi vai daudzkomponentu šāviņu izsviešanai no stobra kanāla propelenta (šaujampulvera) iedarbības rezultātā. Tehniskā specifikācija minētājai kategorijai būs noteikt</w:t>
            </w:r>
            <w:r w:rsidR="00B77A1A" w:rsidRPr="00F31BFB">
              <w:rPr>
                <w:color w:val="auto"/>
              </w:rPr>
              <w:t>a</w:t>
            </w:r>
            <w:r w:rsidR="003F168A" w:rsidRPr="00F31BFB">
              <w:rPr>
                <w:color w:val="auto"/>
              </w:rPr>
              <w:t xml:space="preserve"> Eiropas Komisijas </w:t>
            </w:r>
            <w:r w:rsidRPr="00F31BFB">
              <w:rPr>
                <w:color w:val="auto"/>
              </w:rPr>
              <w:t xml:space="preserve">tiesību </w:t>
            </w:r>
            <w:r w:rsidR="003F168A" w:rsidRPr="00F31BFB">
              <w:rPr>
                <w:color w:val="auto"/>
              </w:rPr>
              <w:t>aktā, ar kuru noteiks tehnisko specifikāciju</w:t>
            </w:r>
            <w:r w:rsidR="001F7009" w:rsidRPr="00F31BFB">
              <w:rPr>
                <w:color w:val="auto"/>
              </w:rPr>
              <w:t xml:space="preserve"> visiem Eiropas Savienībā 2018. </w:t>
            </w:r>
            <w:r w:rsidR="003F168A" w:rsidRPr="00F31BFB">
              <w:rPr>
                <w:color w:val="auto"/>
              </w:rPr>
              <w:t>gada 14.</w:t>
            </w:r>
            <w:r w:rsidR="001F7009" w:rsidRPr="00F31BFB">
              <w:rPr>
                <w:color w:val="auto"/>
              </w:rPr>
              <w:t> </w:t>
            </w:r>
            <w:r w:rsidR="003F168A" w:rsidRPr="00F31BFB">
              <w:rPr>
                <w:color w:val="auto"/>
              </w:rPr>
              <w:t>septembrī vai vēlāk izgatavotiem vai importētiem trauksmes un signālieročiem, lai nodrošinātu, ka tos nevar pārveidot šaušanai vai lodes vai lādiņa izsviešanai no stobra kanāla šaujampulvera iedarbī</w:t>
            </w:r>
            <w:r w:rsidRPr="00F31BFB">
              <w:rPr>
                <w:color w:val="auto"/>
              </w:rPr>
              <w:t>bas rez</w:t>
            </w:r>
            <w:r w:rsidR="001F7009" w:rsidRPr="00F31BFB">
              <w:rPr>
                <w:color w:val="auto"/>
              </w:rPr>
              <w:t>ultātā. Vienlaikus likumprojekta</w:t>
            </w:r>
            <w:r w:rsidRPr="00F31BFB">
              <w:rPr>
                <w:color w:val="auto"/>
              </w:rPr>
              <w:t xml:space="preserve"> “Ieroču aprites likums” 6.</w:t>
            </w:r>
            <w:r w:rsidR="001F7009" w:rsidRPr="00F31BFB">
              <w:rPr>
                <w:color w:val="auto"/>
              </w:rPr>
              <w:t> </w:t>
            </w:r>
            <w:r w:rsidRPr="00F31BFB">
              <w:rPr>
                <w:color w:val="auto"/>
              </w:rPr>
              <w:t>panta trešajā daļā ir noteikts, ka p</w:t>
            </w:r>
            <w:r w:rsidR="001F7009" w:rsidRPr="00F31BFB">
              <w:rPr>
                <w:color w:val="auto"/>
              </w:rPr>
              <w:t>usautomātiskos</w:t>
            </w:r>
            <w:r w:rsidRPr="00F31BFB">
              <w:rPr>
                <w:color w:val="auto"/>
              </w:rPr>
              <w:t>, atkārtotas darbības vai viena šāviena īsstobra gāzes ieroču</w:t>
            </w:r>
            <w:r w:rsidR="001F7009" w:rsidRPr="00F31BFB">
              <w:rPr>
                <w:color w:val="auto"/>
              </w:rPr>
              <w:t>s</w:t>
            </w:r>
            <w:r w:rsidRPr="00F31BFB">
              <w:rPr>
                <w:color w:val="auto"/>
              </w:rPr>
              <w:t xml:space="preserve"> un signālieroču pistoles (revolverus), kurus var </w:t>
            </w:r>
            <w:r w:rsidRPr="00F31BFB">
              <w:rPr>
                <w:color w:val="auto"/>
              </w:rPr>
              <w:lastRenderedPageBreak/>
              <w:t>pārveidot šaušanai ar lodi vai daudz komponentu šāviņu izsviešanai no stobra kanāla propelenta (šaujampulvera) iedarbības rezultātā</w:t>
            </w:r>
            <w:r w:rsidR="001F7009" w:rsidRPr="00F31BFB">
              <w:rPr>
                <w:color w:val="auto"/>
              </w:rPr>
              <w:t>,</w:t>
            </w:r>
            <w:r w:rsidRPr="00F31BFB">
              <w:rPr>
                <w:color w:val="auto"/>
              </w:rPr>
              <w:t xml:space="preserve"> uzskata par B kategorijas šauja</w:t>
            </w:r>
            <w:r w:rsidR="000069E7" w:rsidRPr="00F31BFB">
              <w:rPr>
                <w:color w:val="auto"/>
              </w:rPr>
              <w:t>mieročiem, klasificējot atkarībā</w:t>
            </w:r>
            <w:r w:rsidRPr="00F31BFB">
              <w:rPr>
                <w:color w:val="auto"/>
              </w:rPr>
              <w:t xml:space="preserve"> no to darbības principa vienā no B kategorijas apakšgrupām. Ņemot vērā minēto, projekts nosaka marķēšanas nosacījumus tikai attiecībā uz E kategorijas gāzes ieročiem un signālieročiem, jo pusautomātisk</w:t>
            </w:r>
            <w:r w:rsidR="000069E7" w:rsidRPr="00F31BFB">
              <w:rPr>
                <w:color w:val="auto"/>
              </w:rPr>
              <w:t>os</w:t>
            </w:r>
            <w:r w:rsidRPr="00F31BFB">
              <w:rPr>
                <w:color w:val="auto"/>
              </w:rPr>
              <w:t>, atkārtotas darbības vai viena šāviena īsstobra gāzes ieroču</w:t>
            </w:r>
            <w:r w:rsidR="000069E7" w:rsidRPr="00F31BFB">
              <w:rPr>
                <w:color w:val="auto"/>
              </w:rPr>
              <w:t>s</w:t>
            </w:r>
            <w:r w:rsidRPr="00F31BFB">
              <w:rPr>
                <w:color w:val="auto"/>
              </w:rPr>
              <w:t xml:space="preserve"> un signālieroču pistoles (revolverus), kurus var pārveidot šaušanai ar lodi vai daudz komponentu šāviņu izsviešanai no stobra kanāla propelenta (šaujampulvera) iedarbības rezultātā</w:t>
            </w:r>
            <w:r w:rsidR="000069E7" w:rsidRPr="00F31BFB">
              <w:rPr>
                <w:color w:val="auto"/>
              </w:rPr>
              <w:t>,</w:t>
            </w:r>
            <w:r w:rsidRPr="00F31BFB">
              <w:rPr>
                <w:color w:val="auto"/>
              </w:rPr>
              <w:t xml:space="preserve"> uzskata par B kategorijas šaujamieročiem</w:t>
            </w:r>
            <w:r w:rsidR="00F201CD" w:rsidRPr="00F31BFB">
              <w:rPr>
                <w:color w:val="auto"/>
              </w:rPr>
              <w:t xml:space="preserve"> un uz tiem ir attiecinām</w:t>
            </w:r>
            <w:r w:rsidR="000069E7" w:rsidRPr="00F31BFB">
              <w:rPr>
                <w:color w:val="auto"/>
              </w:rPr>
              <w:t>i</w:t>
            </w:r>
            <w:r w:rsidR="00F201CD" w:rsidRPr="00F31BFB">
              <w:rPr>
                <w:color w:val="auto"/>
              </w:rPr>
              <w:t xml:space="preserve"> šaujamieroču un to būtisko sastāvdaļu marķēšanas nosacījumi.</w:t>
            </w:r>
          </w:p>
          <w:p w:rsidR="00C87614" w:rsidRPr="00F31BFB" w:rsidRDefault="00F201CD" w:rsidP="00C87614">
            <w:pPr>
              <w:ind w:firstLine="402"/>
              <w:jc w:val="both"/>
              <w:rPr>
                <w:color w:val="auto"/>
              </w:rPr>
            </w:pPr>
            <w:r w:rsidRPr="00F31BFB">
              <w:rPr>
                <w:color w:val="auto"/>
              </w:rPr>
              <w:t>2. Ņemot vērā, ka E kategorijas gāzes ieroči un signālieroči ir ieroči, kurus nav iespējams pārveidot par šaujamieročiem, kā arī lielas enerģijas šaujamieroči</w:t>
            </w:r>
            <w:r w:rsidR="00654B81" w:rsidRPr="00F31BFB">
              <w:rPr>
                <w:color w:val="auto"/>
              </w:rPr>
              <w:t>em</w:t>
            </w:r>
            <w:r w:rsidRPr="00F31BFB">
              <w:rPr>
                <w:color w:val="auto"/>
              </w:rPr>
              <w:t xml:space="preserve"> tiek izmantots cits darbības princips</w:t>
            </w:r>
            <w:proofErr w:type="gramStart"/>
            <w:r w:rsidRPr="00F31BFB">
              <w:rPr>
                <w:color w:val="auto"/>
              </w:rPr>
              <w:t xml:space="preserve"> nekā šaujamiero</w:t>
            </w:r>
            <w:r w:rsidR="00654B81" w:rsidRPr="00F31BFB">
              <w:rPr>
                <w:color w:val="auto"/>
              </w:rPr>
              <w:t xml:space="preserve">čos, uz viņiem nebūtu lietderīgi attiecināt </w:t>
            </w:r>
            <w:r w:rsidR="00E269B8" w:rsidRPr="00F31BFB">
              <w:rPr>
                <w:color w:val="auto"/>
              </w:rPr>
              <w:t xml:space="preserve">analoģiskus </w:t>
            </w:r>
            <w:r w:rsidR="000069E7" w:rsidRPr="00F31BFB">
              <w:rPr>
                <w:color w:val="auto"/>
              </w:rPr>
              <w:t xml:space="preserve">marķēšanas nosacījumus kā </w:t>
            </w:r>
            <w:r w:rsidR="00654B81" w:rsidRPr="00F31BFB">
              <w:rPr>
                <w:color w:val="auto"/>
              </w:rPr>
              <w:t>uz šaujamieročiem</w:t>
            </w:r>
            <w:proofErr w:type="gramEnd"/>
            <w:r w:rsidR="00654B81" w:rsidRPr="00F31BFB">
              <w:rPr>
                <w:color w:val="auto"/>
              </w:rPr>
              <w:t>.</w:t>
            </w:r>
            <w:r w:rsidR="00E269B8" w:rsidRPr="00F31BFB">
              <w:rPr>
                <w:color w:val="auto"/>
              </w:rPr>
              <w:t xml:space="preserve"> Ņemot vērā minēto,</w:t>
            </w:r>
            <w:r w:rsidR="00654B81" w:rsidRPr="00F31BFB">
              <w:rPr>
                <w:color w:val="auto"/>
              </w:rPr>
              <w:t xml:space="preserve"> </w:t>
            </w:r>
            <w:r w:rsidR="00E269B8" w:rsidRPr="00F31BFB">
              <w:rPr>
                <w:color w:val="auto"/>
              </w:rPr>
              <w:t>projekta 17.</w:t>
            </w:r>
            <w:r w:rsidR="000069E7" w:rsidRPr="00F31BFB">
              <w:rPr>
                <w:color w:val="auto"/>
              </w:rPr>
              <w:t> </w:t>
            </w:r>
            <w:r w:rsidR="00E269B8" w:rsidRPr="00F31BFB">
              <w:rPr>
                <w:color w:val="auto"/>
              </w:rPr>
              <w:t>punkts paredz, ka</w:t>
            </w:r>
            <w:r w:rsidR="007E1561" w:rsidRPr="00F31BFB">
              <w:rPr>
                <w:color w:val="auto"/>
              </w:rPr>
              <w:t xml:space="preserve"> </w:t>
            </w:r>
            <w:r w:rsidR="00C87614" w:rsidRPr="00F31BFB">
              <w:rPr>
                <w:color w:val="auto"/>
              </w:rPr>
              <w:t>ieroču komersants, piesakot muitas procedūru - laišana brīvā apgrozībā vai realizējot Latvijas tirgū Eiropas Savienībā iegādātos E kategorijas gāzes ieročus un signālieročus vai lielas enerģijas pneimatiskos ieročus, nodrošina, ka ieroči ir marķēti vismaz ar šādu skaidru un nenodzēšamu informāciju, kas ir vizuāli redzama bez ieroča izjaukšanas:17.1. izgatavotāja nosaukums vai izgatavotāja zīmols; 17.2. sērijas numuru.</w:t>
            </w:r>
          </w:p>
          <w:p w:rsidR="00BF024B" w:rsidRPr="00F31BFB" w:rsidRDefault="000069E7" w:rsidP="007E1561">
            <w:pPr>
              <w:ind w:firstLine="402"/>
              <w:jc w:val="both"/>
              <w:rPr>
                <w:color w:val="auto"/>
              </w:rPr>
            </w:pPr>
            <w:r w:rsidRPr="00F31BFB">
              <w:rPr>
                <w:color w:val="auto"/>
              </w:rPr>
              <w:t>Šāds informācijas apjoms ir uzsk</w:t>
            </w:r>
            <w:r w:rsidR="00E269B8" w:rsidRPr="00F31BFB">
              <w:rPr>
                <w:color w:val="auto"/>
              </w:rPr>
              <w:t xml:space="preserve">atāms par pietiekošo, lai nodrošinātu ieroču izsekošanu, kā arī to reģistrāciju. </w:t>
            </w:r>
          </w:p>
          <w:p w:rsidR="00BF024B" w:rsidRPr="00F31BFB" w:rsidRDefault="00BF024B" w:rsidP="00683DEA">
            <w:pPr>
              <w:ind w:firstLine="402"/>
              <w:jc w:val="both"/>
              <w:rPr>
                <w:color w:val="auto"/>
              </w:rPr>
            </w:pPr>
            <w:r w:rsidRPr="00F31BFB">
              <w:rPr>
                <w:color w:val="auto"/>
              </w:rPr>
              <w:t xml:space="preserve">Vienlaikus projekta noslēguma jautājuma </w:t>
            </w:r>
            <w:r w:rsidR="006C025C" w:rsidRPr="00F31BFB">
              <w:rPr>
                <w:color w:val="auto"/>
              </w:rPr>
              <w:t>21</w:t>
            </w:r>
            <w:r w:rsidRPr="00F31BFB">
              <w:rPr>
                <w:color w:val="auto"/>
              </w:rPr>
              <w:t>.</w:t>
            </w:r>
            <w:r w:rsidR="000069E7" w:rsidRPr="00F31BFB">
              <w:rPr>
                <w:color w:val="auto"/>
              </w:rPr>
              <w:t> </w:t>
            </w:r>
            <w:r w:rsidRPr="00F31BFB">
              <w:rPr>
                <w:color w:val="auto"/>
              </w:rPr>
              <w:t xml:space="preserve">punkts paredz, ka noteikumi nav attiecināmi uz šaujamieroču, šaujamieroču būtisko sastāvdaļu, šaujamieroču munīcijas, lielas enerģijas pneimatisko ieroču marķējumu, kā arī gāzes ieroču un signālieroču marķējumu, kas tika laisti tirgū pirms šo noteikumu spēkā stāšanās. </w:t>
            </w:r>
          </w:p>
          <w:p w:rsidR="00E85802" w:rsidRPr="00F31BFB" w:rsidRDefault="009B5F38" w:rsidP="009B5F38">
            <w:pPr>
              <w:ind w:firstLine="402"/>
              <w:jc w:val="both"/>
              <w:rPr>
                <w:bCs/>
                <w:color w:val="auto"/>
              </w:rPr>
            </w:pPr>
            <w:r w:rsidRPr="00F31BFB">
              <w:rPr>
                <w:color w:val="auto"/>
              </w:rPr>
              <w:t xml:space="preserve">Kontroli par šaujamieroču, šaujamieroču būtisko sastāvdaļu, šaujamieroču munīcijas, kā arī E kategorijas gāzes un signālieroču un lielas enerģijas pneimatisko ieroču atbilstību marķēšanas prasībām nodrošinās Valsts policija, kā arī Valsts ieņēmuma dienesta Muitas iestādes savas kompetences ietvaros. </w:t>
            </w: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 xml:space="preserve">Projekta izstrādē iesaistītās institūcijas un </w:t>
            </w:r>
            <w:r w:rsidRPr="00F31BFB">
              <w:rPr>
                <w:color w:val="auto"/>
              </w:rPr>
              <w:lastRenderedPageBreak/>
              <w:t>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jc w:val="both"/>
              <w:rPr>
                <w:color w:val="auto"/>
              </w:rPr>
            </w:pPr>
            <w:r w:rsidRPr="00F31BFB">
              <w:rPr>
                <w:color w:val="auto"/>
              </w:rPr>
              <w:lastRenderedPageBreak/>
              <w:t>Iekšlietu ministrija, Valsts policija</w:t>
            </w:r>
          </w:p>
        </w:tc>
      </w:tr>
      <w:tr w:rsidR="00DF1B2F" w:rsidRPr="00F31BFB">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Nav</w:t>
            </w:r>
          </w:p>
        </w:tc>
      </w:tr>
    </w:tbl>
    <w:p w:rsidR="000C7EFF" w:rsidRPr="00F31BFB" w:rsidRDefault="000C7EFF">
      <w:pPr>
        <w:shd w:val="clear" w:color="auto" w:fill="FFFFFF"/>
        <w:ind w:firstLine="300"/>
        <w:rPr>
          <w:color w:val="auto"/>
        </w:rPr>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B2F" w:rsidRPr="00F31BFB">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II. Tiesību akta projekta ietekme uz sabiedrību, tautsaimniecības attīstību un administratīvo slogu</w:t>
            </w: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jc w:val="both"/>
              <w:rPr>
                <w:color w:val="auto"/>
              </w:rPr>
            </w:pPr>
            <w:r w:rsidRPr="00F31BFB">
              <w:rPr>
                <w:color w:val="auto"/>
              </w:rPr>
              <w:t>Saskaņā ar Valsts policijas rīcībā esošo informāciju:</w:t>
            </w:r>
          </w:p>
          <w:p w:rsidR="000C7EFF" w:rsidRPr="00F31BFB" w:rsidRDefault="00E203EE">
            <w:pPr>
              <w:jc w:val="both"/>
              <w:rPr>
                <w:color w:val="auto"/>
              </w:rPr>
            </w:pPr>
            <w:r w:rsidRPr="00F31BFB">
              <w:rPr>
                <w:color w:val="auto"/>
              </w:rPr>
              <w:t>1. ieroču tirdzniecības komersanti - 41 ar 83</w:t>
            </w:r>
            <w:r w:rsidRPr="00F31BFB">
              <w:rPr>
                <w:b/>
                <w:color w:val="auto"/>
              </w:rPr>
              <w:t xml:space="preserve"> </w:t>
            </w:r>
            <w:r w:rsidRPr="00F31BFB">
              <w:rPr>
                <w:color w:val="auto"/>
              </w:rPr>
              <w:t>ieroču un speciālo līdzekļu tirdzniecības objektiem, to glabāto šaujamieroču un lielas ener</w:t>
            </w:r>
            <w:r w:rsidR="000069E7" w:rsidRPr="00F31BFB">
              <w:rPr>
                <w:color w:val="auto"/>
              </w:rPr>
              <w:t xml:space="preserve">ģijas pneimatisko ieroču skaits - </w:t>
            </w:r>
            <w:r w:rsidRPr="00F31BFB">
              <w:rPr>
                <w:color w:val="auto"/>
              </w:rPr>
              <w:t xml:space="preserve">4891 </w:t>
            </w:r>
            <w:proofErr w:type="gramStart"/>
            <w:r w:rsidRPr="00F31BFB">
              <w:rPr>
                <w:color w:val="auto"/>
              </w:rPr>
              <w:t>(</w:t>
            </w:r>
            <w:proofErr w:type="gramEnd"/>
            <w:r w:rsidR="000069E7" w:rsidRPr="00F31BFB">
              <w:rPr>
                <w:color w:val="auto"/>
              </w:rPr>
              <w:t xml:space="preserve"> </w:t>
            </w:r>
            <w:r w:rsidRPr="00F31BFB">
              <w:rPr>
                <w:color w:val="auto"/>
              </w:rPr>
              <w:t>ga</w:t>
            </w:r>
            <w:r w:rsidR="000069E7" w:rsidRPr="00F31BFB">
              <w:rPr>
                <w:color w:val="auto"/>
              </w:rPr>
              <w:t xml:space="preserve">rstobra-vītņstobra šaujamieroči - </w:t>
            </w:r>
            <w:r w:rsidRPr="00F31BFB">
              <w:rPr>
                <w:color w:val="auto"/>
              </w:rPr>
              <w:t>12145, ga</w:t>
            </w:r>
            <w:r w:rsidR="000069E7" w:rsidRPr="00F31BFB">
              <w:rPr>
                <w:color w:val="auto"/>
              </w:rPr>
              <w:t xml:space="preserve">rstobra-gludstobra šaujamieroči - </w:t>
            </w:r>
            <w:r w:rsidRPr="00F31BFB">
              <w:rPr>
                <w:color w:val="auto"/>
              </w:rPr>
              <w:t>1158, īsstobra šauja</w:t>
            </w:r>
            <w:r w:rsidR="000069E7" w:rsidRPr="00F31BFB">
              <w:rPr>
                <w:color w:val="auto"/>
              </w:rPr>
              <w:t xml:space="preserve">mieroči (pistoles un revolveri) - </w:t>
            </w:r>
            <w:r w:rsidRPr="00F31BFB">
              <w:rPr>
                <w:color w:val="auto"/>
              </w:rPr>
              <w:t>1547, liela</w:t>
            </w:r>
            <w:r w:rsidR="000069E7" w:rsidRPr="00F31BFB">
              <w:rPr>
                <w:color w:val="auto"/>
              </w:rPr>
              <w:t xml:space="preserve">s enerģijas pneimatiskie ieroči - </w:t>
            </w:r>
            <w:r w:rsidRPr="00F31BFB">
              <w:rPr>
                <w:color w:val="auto"/>
              </w:rPr>
              <w:t>41).</w:t>
            </w:r>
          </w:p>
          <w:p w:rsidR="000C7EFF" w:rsidRPr="00F31BFB" w:rsidRDefault="00E203EE">
            <w:pPr>
              <w:jc w:val="both"/>
              <w:rPr>
                <w:color w:val="auto"/>
              </w:rPr>
            </w:pPr>
            <w:r w:rsidRPr="00F31BFB">
              <w:rPr>
                <w:color w:val="auto"/>
              </w:rPr>
              <w:t>2. ieroču un mun</w:t>
            </w:r>
            <w:r w:rsidR="000069E7" w:rsidRPr="00F31BFB">
              <w:rPr>
                <w:color w:val="auto"/>
              </w:rPr>
              <w:t xml:space="preserve">īcijas izgatavošanas komersanti - </w:t>
            </w:r>
            <w:r w:rsidRPr="00F31BFB">
              <w:rPr>
                <w:color w:val="auto"/>
              </w:rPr>
              <w:t>6;</w:t>
            </w:r>
            <w:r w:rsidRPr="00F31BFB">
              <w:rPr>
                <w:b/>
                <w:color w:val="auto"/>
              </w:rPr>
              <w:t xml:space="preserve"> </w:t>
            </w:r>
          </w:p>
          <w:p w:rsidR="000C7EFF" w:rsidRPr="00F31BFB" w:rsidRDefault="000069E7" w:rsidP="00D21343">
            <w:pPr>
              <w:jc w:val="both"/>
              <w:rPr>
                <w:color w:val="auto"/>
              </w:rPr>
            </w:pPr>
            <w:r w:rsidRPr="00F31BFB">
              <w:rPr>
                <w:color w:val="auto"/>
              </w:rPr>
              <w:t xml:space="preserve">3. ieroču remonta komersanti - </w:t>
            </w:r>
            <w:r w:rsidR="00E203EE" w:rsidRPr="00F31BFB">
              <w:rPr>
                <w:color w:val="auto"/>
              </w:rPr>
              <w:t>11;</w:t>
            </w: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244A38" w:rsidP="00B77A1A">
            <w:pPr>
              <w:spacing w:after="120"/>
              <w:jc w:val="both"/>
              <w:rPr>
                <w:color w:val="auto"/>
              </w:rPr>
            </w:pPr>
            <w:r w:rsidRPr="00F31BFB">
              <w:rPr>
                <w:color w:val="auto"/>
              </w:rPr>
              <w:t>Projekts nerada papildus administratīvo slogu ieroču tirgotājiem. Ņemot vērā, ģeopolitisko un ekonomisko situāciju ieroču tirdzniecības komersanti</w:t>
            </w:r>
            <w:r w:rsidR="003A2656" w:rsidRPr="00F31BFB">
              <w:rPr>
                <w:color w:val="auto"/>
              </w:rPr>
              <w:t xml:space="preserve"> pārs</w:t>
            </w:r>
            <w:r w:rsidR="008C4117" w:rsidRPr="00F31BFB">
              <w:rPr>
                <w:color w:val="auto"/>
              </w:rPr>
              <w:t>varā</w:t>
            </w:r>
            <w:r w:rsidR="003A2656" w:rsidRPr="00F31BFB">
              <w:rPr>
                <w:color w:val="auto"/>
              </w:rPr>
              <w:t xml:space="preserve"> iegādāja</w:t>
            </w:r>
            <w:r w:rsidRPr="00F31BFB">
              <w:rPr>
                <w:color w:val="auto"/>
              </w:rPr>
              <w:t>s šaujamieročus un</w:t>
            </w:r>
            <w:r w:rsidR="000374AC" w:rsidRPr="00F31BFB">
              <w:rPr>
                <w:color w:val="auto"/>
              </w:rPr>
              <w:t xml:space="preserve"> atsevišķas</w:t>
            </w:r>
            <w:r w:rsidRPr="00F31BFB">
              <w:rPr>
                <w:color w:val="auto"/>
              </w:rPr>
              <w:t xml:space="preserve"> šaujamieroču būtiskās sastāvdaļas Eiropas Savienības dalībvalstīs. Iegādājoties šaujamieročus citā Eiropas Savienības dalībvalstīs šauja</w:t>
            </w:r>
            <w:r w:rsidR="003A2656" w:rsidRPr="00F31BFB">
              <w:rPr>
                <w:color w:val="auto"/>
              </w:rPr>
              <w:t>mieročus vai šaujamieroču</w:t>
            </w:r>
            <w:r w:rsidRPr="00F31BFB">
              <w:rPr>
                <w:color w:val="auto"/>
              </w:rPr>
              <w:t xml:space="preserve"> būtiskās sastāvdaļas realizācijai</w:t>
            </w:r>
            <w:proofErr w:type="gramStart"/>
            <w:r w:rsidRPr="00F31BFB">
              <w:rPr>
                <w:color w:val="auto"/>
              </w:rPr>
              <w:t xml:space="preserve">  </w:t>
            </w:r>
            <w:proofErr w:type="gramEnd"/>
            <w:r w:rsidRPr="00F31BFB">
              <w:rPr>
                <w:color w:val="auto"/>
              </w:rPr>
              <w:t xml:space="preserve">Latvijas tirgū attiecīgā Eiropas Savienības dalībvalsts uzņēmums veicot šaujamieroču realizāciju nodrošina </w:t>
            </w:r>
            <w:r w:rsidR="000374AC" w:rsidRPr="00F31BFB">
              <w:rPr>
                <w:color w:val="auto"/>
              </w:rPr>
              <w:t>atsavināmo šaujamieroču vai atsevišķu šaujamieroču būtisko sastāvdaļu atbilstību Direktīva (ES) 2017/853 prasībām. Papildus minēto atsavināšanas procedūru uzrauga attiecīgās Eiropas Savienības dalībvalsts kompetentās iestādes.</w:t>
            </w:r>
            <w:r w:rsidR="00A7664F" w:rsidRPr="00F31BFB">
              <w:rPr>
                <w:color w:val="auto"/>
              </w:rPr>
              <w:t xml:space="preserve"> Savukārt Latvijas ieroču tirgotajiem neveidoj</w:t>
            </w:r>
            <w:r w:rsidR="003A2656" w:rsidRPr="00F31BFB">
              <w:rPr>
                <w:color w:val="auto"/>
              </w:rPr>
              <w:t>as</w:t>
            </w:r>
            <w:r w:rsidR="00A7664F" w:rsidRPr="00F31BFB">
              <w:rPr>
                <w:color w:val="auto"/>
              </w:rPr>
              <w:t xml:space="preserve"> papildus administratīvais slogs ar Direktīva (ES) 2017/853 prasību ievērošanu.</w:t>
            </w:r>
            <w:r w:rsidR="000374AC" w:rsidRPr="00F31BFB">
              <w:rPr>
                <w:color w:val="auto"/>
              </w:rPr>
              <w:t xml:space="preserve"> </w:t>
            </w:r>
            <w:r w:rsidR="008C4117" w:rsidRPr="00F31BFB">
              <w:rPr>
                <w:color w:val="auto"/>
              </w:rPr>
              <w:t xml:space="preserve">Saskaņā ar Iekšlietu ministrijas Informācijas Centra rīcībā ejošiem datiem </w:t>
            </w:r>
            <w:proofErr w:type="gramStart"/>
            <w:r w:rsidR="008C4117" w:rsidRPr="00F31BFB">
              <w:rPr>
                <w:color w:val="auto"/>
              </w:rPr>
              <w:t>2017.gadā</w:t>
            </w:r>
            <w:proofErr w:type="gramEnd"/>
            <w:r w:rsidR="008C4117" w:rsidRPr="00F31BFB">
              <w:rPr>
                <w:color w:val="auto"/>
              </w:rPr>
              <w:t xml:space="preserve"> ieroču tirdzniecības komersanti realizēja Latvijas tirgū 2218 šaujamieročus.</w:t>
            </w:r>
            <w:r w:rsidR="000374AC" w:rsidRPr="00F31BFB">
              <w:rPr>
                <w:color w:val="auto"/>
              </w:rPr>
              <w:t xml:space="preserve"> </w:t>
            </w:r>
            <w:proofErr w:type="gramStart"/>
            <w:r w:rsidR="008C4117" w:rsidRPr="00F31BFB">
              <w:rPr>
                <w:color w:val="auto"/>
              </w:rPr>
              <w:t>Veicot konsultācijas ar biedrību</w:t>
            </w:r>
            <w:proofErr w:type="gramEnd"/>
            <w:r w:rsidR="008C4117" w:rsidRPr="00F31BFB">
              <w:rPr>
                <w:color w:val="auto"/>
              </w:rPr>
              <w:t xml:space="preserve"> “Latvijas Ieroču Tirgotāju Asociācija”</w:t>
            </w:r>
            <w:r w:rsidRPr="00F31BFB">
              <w:rPr>
                <w:color w:val="auto"/>
              </w:rPr>
              <w:t xml:space="preserve"> </w:t>
            </w:r>
            <w:r w:rsidR="008C4117" w:rsidRPr="00F31BFB">
              <w:rPr>
                <w:color w:val="auto"/>
              </w:rPr>
              <w:t>tika noskaidrots, ka tikai daži Latvijas ieroču tirgotāji vidēji vienreiz divos gados</w:t>
            </w:r>
            <w:r w:rsidR="00A24E0C" w:rsidRPr="00F31BFB">
              <w:rPr>
                <w:color w:val="auto"/>
              </w:rPr>
              <w:t xml:space="preserve"> vai pat retāk</w:t>
            </w:r>
            <w:r w:rsidR="008C4117" w:rsidRPr="00F31BFB">
              <w:rPr>
                <w:color w:val="auto"/>
              </w:rPr>
              <w:t xml:space="preserve"> iegādājās no trešajām valstīm šaujamieročus</w:t>
            </w:r>
            <w:r w:rsidR="00A7664F" w:rsidRPr="00F31BFB">
              <w:rPr>
                <w:color w:val="auto"/>
              </w:rPr>
              <w:t>. Minēto šaujamieroču kopskaits salīdzinājumā ar Eiropas Savienības dalībvalstīs iegādātiem šaujamieročiem nepārsniedz pat</w:t>
            </w:r>
            <w:r w:rsidR="00A24E0C" w:rsidRPr="00F31BFB">
              <w:rPr>
                <w:color w:val="auto"/>
              </w:rPr>
              <w:t xml:space="preserve"> 5</w:t>
            </w:r>
            <w:r w:rsidR="00A7664F" w:rsidRPr="00F31BFB">
              <w:rPr>
                <w:color w:val="auto"/>
              </w:rPr>
              <w:t>%. Papildus biedrība “Latvijas Ieroču Tirgotāju Asociācija” paskaidroja, ka nepieciešamības gadījumā, lai izpildītu Ministru kabineta noteikumu projekta prasības, šaujamieroči tiktu papildus marķēti ar lāzera gravēšanas metodi, jo šobrīd tā ir ekonomiski</w:t>
            </w:r>
            <w:r w:rsidR="00A24E0C" w:rsidRPr="00F31BFB">
              <w:rPr>
                <w:color w:val="auto"/>
              </w:rPr>
              <w:t xml:space="preserve"> izdevīgākā</w:t>
            </w:r>
            <w:r w:rsidR="00A7664F" w:rsidRPr="00F31BFB">
              <w:rPr>
                <w:color w:val="auto"/>
              </w:rPr>
              <w:t xml:space="preserve"> me</w:t>
            </w:r>
            <w:r w:rsidR="00A24E0C" w:rsidRPr="00F31BFB">
              <w:rPr>
                <w:color w:val="auto"/>
              </w:rPr>
              <w:t>tode</w:t>
            </w:r>
            <w:r w:rsidR="00A7664F" w:rsidRPr="00F31BFB">
              <w:rPr>
                <w:color w:val="auto"/>
              </w:rPr>
              <w:t xml:space="preserve">. Vidēji Latvijas tirgū </w:t>
            </w:r>
            <w:r w:rsidR="00A24E0C" w:rsidRPr="00F31BFB">
              <w:rPr>
                <w:color w:val="auto"/>
              </w:rPr>
              <w:t xml:space="preserve">par šaujamieroču marķēšanu ar </w:t>
            </w:r>
            <w:r w:rsidR="00A24E0C" w:rsidRPr="00F31BFB">
              <w:rPr>
                <w:color w:val="auto"/>
              </w:rPr>
              <w:lastRenderedPageBreak/>
              <w:t>lāzera palīdzību pieprasa</w:t>
            </w:r>
            <w:r w:rsidR="00A7664F" w:rsidRPr="00F31BFB">
              <w:rPr>
                <w:color w:val="auto"/>
              </w:rPr>
              <w:t xml:space="preserve"> </w:t>
            </w:r>
            <w:r w:rsidR="00A24E0C" w:rsidRPr="00F31BFB">
              <w:rPr>
                <w:color w:val="auto"/>
              </w:rPr>
              <w:t xml:space="preserve">2,50 </w:t>
            </w:r>
            <w:proofErr w:type="spellStart"/>
            <w:r w:rsidR="00A24E0C" w:rsidRPr="00F31BFB">
              <w:rPr>
                <w:color w:val="auto"/>
              </w:rPr>
              <w:t>euro</w:t>
            </w:r>
            <w:proofErr w:type="spellEnd"/>
            <w:r w:rsidR="00A24E0C" w:rsidRPr="00F31BFB">
              <w:rPr>
                <w:color w:val="auto"/>
              </w:rPr>
              <w:t xml:space="preserve"> par ierakstu.</w:t>
            </w:r>
            <w:r w:rsidR="00D16529" w:rsidRPr="00F31BFB">
              <w:rPr>
                <w:color w:val="auto"/>
              </w:rPr>
              <w:t xml:space="preserve"> Administratīvo izmaksu novērtējumu nav nepieciešams norādīt, jo administratīvās izmaksas (naudas izteiksmē) gada laikā ieroču tirdzniecības komersantiem nepārsniegs 2000 </w:t>
            </w:r>
            <w:proofErr w:type="spellStart"/>
            <w:r w:rsidR="00D16529" w:rsidRPr="00F31BFB">
              <w:rPr>
                <w:i/>
                <w:iCs/>
                <w:color w:val="auto"/>
              </w:rPr>
              <w:t>euro</w:t>
            </w:r>
            <w:proofErr w:type="spellEnd"/>
            <w:proofErr w:type="gramStart"/>
            <w:r w:rsidR="00D16529" w:rsidRPr="00F31BFB">
              <w:rPr>
                <w:color w:val="auto"/>
              </w:rPr>
              <w:t> .</w:t>
            </w:r>
            <w:proofErr w:type="gramEnd"/>
            <w:r w:rsidR="00D16529" w:rsidRPr="00F31BFB">
              <w:rPr>
                <w:color w:val="auto"/>
              </w:rPr>
              <w:t xml:space="preserve"> </w:t>
            </w:r>
            <w:r w:rsidR="00A24E0C" w:rsidRPr="00F31BFB">
              <w:rPr>
                <w:color w:val="auto"/>
              </w:rPr>
              <w:t>Papildus, neskatoties</w:t>
            </w:r>
            <w:r w:rsidR="00A779FF" w:rsidRPr="00F31BFB">
              <w:rPr>
                <w:color w:val="auto"/>
              </w:rPr>
              <w:t xml:space="preserve"> uz to</w:t>
            </w:r>
            <w:r w:rsidR="00A24E0C" w:rsidRPr="00F31BFB">
              <w:rPr>
                <w:color w:val="auto"/>
              </w:rPr>
              <w:t xml:space="preserve">, ka </w:t>
            </w:r>
            <w:r w:rsidR="00A779FF" w:rsidRPr="00F31BFB">
              <w:rPr>
                <w:color w:val="auto"/>
              </w:rPr>
              <w:t>Latvijas Republikā ir reģistrēti 6 ieroču un munīcijas izgatavošanas komersanti šobrīd neviens no tiem n</w:t>
            </w:r>
            <w:r w:rsidR="003A2656" w:rsidRPr="00F31BFB">
              <w:rPr>
                <w:color w:val="auto"/>
              </w:rPr>
              <w:t>eizgatavo šaujamieročus, bet tie veic</w:t>
            </w:r>
            <w:r w:rsidR="00A779FF" w:rsidRPr="00F31BFB">
              <w:rPr>
                <w:color w:val="auto"/>
              </w:rPr>
              <w:t xml:space="preserve"> munīcijas, munīcijas sastāvdaļu un munīcijas sastāvdaļu sagataves izgatavošanu. Projekts nav attiecināms uz munīcijas sastāvdaļām vai munīcijas</w:t>
            </w:r>
            <w:r w:rsidR="003A2656" w:rsidRPr="00F31BFB">
              <w:rPr>
                <w:color w:val="auto"/>
              </w:rPr>
              <w:t xml:space="preserve"> sastāvdaļu sagatavēm. Attiecībā</w:t>
            </w:r>
            <w:r w:rsidR="00A779FF" w:rsidRPr="00F31BFB">
              <w:rPr>
                <w:color w:val="auto"/>
              </w:rPr>
              <w:t xml:space="preserve"> uz munīcijas marķē</w:t>
            </w:r>
            <w:r w:rsidR="004258DE" w:rsidRPr="00F31BFB">
              <w:rPr>
                <w:color w:val="auto"/>
              </w:rPr>
              <w:t>šanu ir pārņemts</w:t>
            </w:r>
            <w:r w:rsidR="00A779FF" w:rsidRPr="00F31BFB">
              <w:rPr>
                <w:color w:val="auto"/>
              </w:rPr>
              <w:t xml:space="preserve"> spēkā esošs regulējums, kas nerada papildus administratīvo slogu komersantiem.</w:t>
            </w: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526DD3" w:rsidP="00526DD3">
            <w:pPr>
              <w:pStyle w:val="Standard"/>
              <w:spacing w:after="0" w:line="240" w:lineRule="auto"/>
              <w:ind w:left="57" w:right="57"/>
              <w:jc w:val="both"/>
              <w:rPr>
                <w:b/>
                <w:sz w:val="24"/>
                <w:szCs w:val="24"/>
              </w:rPr>
            </w:pPr>
            <w:r w:rsidRPr="00F31BFB">
              <w:rPr>
                <w:sz w:val="24"/>
                <w:szCs w:val="24"/>
              </w:rPr>
              <w:t>Projekts šo jomu neskar.</w:t>
            </w: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Projekts šo jomu neskar.</w:t>
            </w:r>
          </w:p>
        </w:tc>
      </w:tr>
      <w:tr w:rsidR="00DF1B2F" w:rsidRPr="00F31BFB">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Nav</w:t>
            </w:r>
          </w:p>
        </w:tc>
      </w:tr>
    </w:tbl>
    <w:p w:rsidR="00514A64" w:rsidRPr="00F31BFB" w:rsidRDefault="00E203EE" w:rsidP="00E46100">
      <w:pPr>
        <w:shd w:val="clear" w:color="auto" w:fill="FFFFFF"/>
        <w:ind w:firstLine="300"/>
        <w:rPr>
          <w:rFonts w:eastAsia="Arial"/>
          <w:color w:val="auto"/>
        </w:rPr>
      </w:pPr>
      <w:r w:rsidRPr="00F31BFB">
        <w:rPr>
          <w:rFonts w:eastAsia="Arial"/>
          <w:color w:val="auto"/>
        </w:rPr>
        <w:t> </w:t>
      </w:r>
    </w:p>
    <w:p w:rsidR="00F24776" w:rsidRPr="00F31BFB" w:rsidRDefault="00E203EE" w:rsidP="00F24776">
      <w:pPr>
        <w:rPr>
          <w:color w:val="auto"/>
        </w:rPr>
      </w:pPr>
      <w:r w:rsidRPr="00F31BFB">
        <w:rPr>
          <w:color w:val="auto"/>
        </w:rPr>
        <w:t> </w:t>
      </w:r>
    </w:p>
    <w:tbl>
      <w:tblPr>
        <w:tblStyle w:val="TableGrid"/>
        <w:tblW w:w="5212" w:type="pct"/>
        <w:tblInd w:w="-147" w:type="dxa"/>
        <w:tblLook w:val="04A0" w:firstRow="1" w:lastRow="0" w:firstColumn="1" w:lastColumn="0" w:noHBand="0" w:noVBand="1"/>
      </w:tblPr>
      <w:tblGrid>
        <w:gridCol w:w="8648"/>
      </w:tblGrid>
      <w:tr w:rsidR="00DF1B2F" w:rsidRPr="00F31BFB" w:rsidTr="00F24776">
        <w:trPr>
          <w:trHeight w:val="360"/>
        </w:trPr>
        <w:tc>
          <w:tcPr>
            <w:tcW w:w="5000" w:type="pct"/>
            <w:vAlign w:val="center"/>
            <w:hideMark/>
          </w:tcPr>
          <w:p w:rsidR="00F24776" w:rsidRPr="00F31BFB" w:rsidRDefault="00F24776" w:rsidP="006E6375">
            <w:pPr>
              <w:spacing w:before="100" w:beforeAutospacing="1" w:after="100" w:afterAutospacing="1" w:line="360" w:lineRule="auto"/>
              <w:ind w:firstLine="300"/>
              <w:jc w:val="center"/>
              <w:rPr>
                <w:b/>
                <w:bCs/>
                <w:color w:val="auto"/>
              </w:rPr>
            </w:pPr>
            <w:r w:rsidRPr="00F31BFB">
              <w:rPr>
                <w:b/>
                <w:bCs/>
                <w:color w:val="auto"/>
              </w:rPr>
              <w:t>III. Tiesību akta projekta ietekme uz valsts budžetu un pašvaldību budžetiem</w:t>
            </w:r>
          </w:p>
        </w:tc>
      </w:tr>
      <w:tr w:rsidR="00DF1B2F" w:rsidRPr="00F31BFB" w:rsidTr="00F24776">
        <w:tc>
          <w:tcPr>
            <w:tcW w:w="5000" w:type="pct"/>
            <w:vAlign w:val="center"/>
          </w:tcPr>
          <w:p w:rsidR="00F24776" w:rsidRPr="00F31BFB" w:rsidRDefault="00F24776" w:rsidP="006E6375">
            <w:pPr>
              <w:spacing w:before="100" w:beforeAutospacing="1" w:after="100" w:afterAutospacing="1" w:line="360" w:lineRule="auto"/>
              <w:ind w:firstLine="300"/>
              <w:jc w:val="center"/>
              <w:rPr>
                <w:color w:val="auto"/>
              </w:rPr>
            </w:pPr>
            <w:r w:rsidRPr="00F31BFB">
              <w:rPr>
                <w:color w:val="auto"/>
              </w:rPr>
              <w:t>Projekts šo jomu neskar.</w:t>
            </w:r>
          </w:p>
        </w:tc>
      </w:tr>
    </w:tbl>
    <w:p w:rsidR="000C7EFF" w:rsidRPr="00F31BFB" w:rsidRDefault="000C7EFF">
      <w:pPr>
        <w:shd w:val="clear" w:color="auto" w:fill="FFFFFF"/>
        <w:ind w:firstLine="300"/>
        <w:rPr>
          <w:color w:val="auto"/>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DF1B2F" w:rsidRPr="00F31BFB">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IV. Tiesību akta projekta ietekme uz spēkā esošo tiesību normu sistēmu</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rsidR="001279B9" w:rsidRPr="00F31BFB" w:rsidRDefault="00816740" w:rsidP="001279B9">
            <w:pPr>
              <w:spacing w:line="259" w:lineRule="auto"/>
              <w:jc w:val="both"/>
              <w:rPr>
                <w:color w:val="auto"/>
              </w:rPr>
            </w:pPr>
            <w:r w:rsidRPr="00F31BFB">
              <w:rPr>
                <w:color w:val="auto"/>
              </w:rPr>
              <w:t xml:space="preserve">Likumprojekts </w:t>
            </w:r>
            <w:r w:rsidR="006C025C" w:rsidRPr="00F31BFB">
              <w:rPr>
                <w:color w:val="auto"/>
              </w:rPr>
              <w:t>“Ieroču aprites likums” (55/Lp13</w:t>
            </w:r>
            <w:r w:rsidR="00F23F09" w:rsidRPr="00F31BFB">
              <w:rPr>
                <w:color w:val="auto"/>
              </w:rPr>
              <w:t>)</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Atbildīgā institūcija</w:t>
            </w:r>
          </w:p>
        </w:tc>
        <w:tc>
          <w:tcPr>
            <w:tcW w:w="5575"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Iekšlietu ministrija, Valsts policija</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575" w:type="dxa"/>
            <w:tcBorders>
              <w:top w:val="single" w:sz="6" w:space="0" w:color="414142"/>
              <w:left w:val="single" w:sz="6" w:space="0" w:color="414142"/>
              <w:bottom w:val="single" w:sz="6" w:space="0" w:color="414142"/>
              <w:right w:val="single" w:sz="6" w:space="0" w:color="414142"/>
            </w:tcBorders>
          </w:tcPr>
          <w:p w:rsidR="000C7EFF" w:rsidRPr="00F31BFB" w:rsidRDefault="00F23F09">
            <w:pPr>
              <w:spacing w:before="100" w:after="120"/>
              <w:rPr>
                <w:color w:val="auto"/>
              </w:rPr>
            </w:pPr>
            <w:r w:rsidRPr="00F31BFB">
              <w:rPr>
                <w:color w:val="auto"/>
              </w:rPr>
              <w:t>Projekts tiks virzīts</w:t>
            </w:r>
            <w:r w:rsidR="00E203EE" w:rsidRPr="00F31BFB">
              <w:rPr>
                <w:color w:val="auto"/>
              </w:rPr>
              <w:t xml:space="preserve"> pēc likumprojekta „Ieroču aprites likums” izskatīšanas Saeimā otrajā lasījumā.</w:t>
            </w:r>
          </w:p>
        </w:tc>
      </w:tr>
    </w:tbl>
    <w:p w:rsidR="000C7EFF" w:rsidRPr="00F31BFB" w:rsidRDefault="00E203EE">
      <w:pPr>
        <w:shd w:val="clear" w:color="auto" w:fill="FFFFFF"/>
        <w:ind w:firstLine="300"/>
        <w:rPr>
          <w:color w:val="auto"/>
        </w:rPr>
      </w:pPr>
      <w:r w:rsidRPr="00F31BFB">
        <w:rPr>
          <w:rFonts w:eastAsia="Arial"/>
          <w:color w:val="auto"/>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DF1B2F" w:rsidRPr="00F31BFB">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V. Tiesību akta projekta atbilstība Latvijas Republikas starptautiskajām saistībām</w:t>
            </w: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Saistības pret Eiropas Savienību</w:t>
            </w:r>
          </w:p>
        </w:tc>
        <w:tc>
          <w:tcPr>
            <w:tcW w:w="5625" w:type="dxa"/>
            <w:tcBorders>
              <w:top w:val="single" w:sz="6" w:space="0" w:color="414142"/>
              <w:left w:val="single" w:sz="6" w:space="0" w:color="414142"/>
              <w:bottom w:val="single" w:sz="6" w:space="0" w:color="414142"/>
              <w:right w:val="single" w:sz="6" w:space="0" w:color="414142"/>
            </w:tcBorders>
          </w:tcPr>
          <w:p w:rsidR="000C7EFF" w:rsidRPr="00F31BFB" w:rsidRDefault="00E203EE" w:rsidP="006C025C">
            <w:pPr>
              <w:jc w:val="both"/>
              <w:rPr>
                <w:color w:val="auto"/>
              </w:rPr>
            </w:pPr>
            <w:r w:rsidRPr="00F31BFB">
              <w:rPr>
                <w:color w:val="auto"/>
              </w:rPr>
              <w:t>Eiropas Parlamenta un Padomes 2017.</w:t>
            </w:r>
            <w:r w:rsidR="000069E7" w:rsidRPr="00F31BFB">
              <w:rPr>
                <w:color w:val="auto"/>
              </w:rPr>
              <w:t> </w:t>
            </w:r>
            <w:r w:rsidRPr="00F31BFB">
              <w:rPr>
                <w:color w:val="auto"/>
              </w:rPr>
              <w:t>gada 17.</w:t>
            </w:r>
            <w:r w:rsidR="000069E7" w:rsidRPr="00F31BFB">
              <w:rPr>
                <w:color w:val="auto"/>
              </w:rPr>
              <w:t> maija Direktīva (ES) </w:t>
            </w:r>
            <w:r w:rsidRPr="00F31BFB">
              <w:rPr>
                <w:color w:val="auto"/>
              </w:rPr>
              <w:t>2017/853</w:t>
            </w:r>
            <w:r w:rsidR="000069E7" w:rsidRPr="00F31BFB">
              <w:rPr>
                <w:color w:val="auto"/>
              </w:rPr>
              <w:t>,</w:t>
            </w:r>
            <w:r w:rsidRPr="00F31BFB">
              <w:rPr>
                <w:color w:val="auto"/>
              </w:rPr>
              <w:t xml:space="preserve"> ar ko groza Padomes Direktīvu 91/477/EEK par ieroču</w:t>
            </w:r>
            <w:r w:rsidR="006C025C" w:rsidRPr="00F31BFB">
              <w:rPr>
                <w:color w:val="auto"/>
              </w:rPr>
              <w:t xml:space="preserve"> iegādes un glabāšanas kontroli</w:t>
            </w:r>
            <w:r w:rsidRPr="00F31BFB">
              <w:rPr>
                <w:color w:val="auto"/>
              </w:rPr>
              <w:t xml:space="preserve"> (direktīva jāpārņem nacionālajos normatīvajos aktos līdz 2018.</w:t>
            </w:r>
            <w:r w:rsidR="000069E7" w:rsidRPr="00F31BFB">
              <w:rPr>
                <w:color w:val="auto"/>
              </w:rPr>
              <w:t> </w:t>
            </w:r>
            <w:r w:rsidRPr="00F31BFB">
              <w:rPr>
                <w:color w:val="auto"/>
              </w:rPr>
              <w:t>gada 14.</w:t>
            </w:r>
            <w:r w:rsidR="000069E7" w:rsidRPr="00F31BFB">
              <w:rPr>
                <w:color w:val="auto"/>
              </w:rPr>
              <w:t> </w:t>
            </w:r>
            <w:r w:rsidR="006C025C" w:rsidRPr="00F31BFB">
              <w:rPr>
                <w:color w:val="auto"/>
              </w:rPr>
              <w:t>septembrim);</w:t>
            </w:r>
          </w:p>
          <w:p w:rsidR="006C025C" w:rsidRPr="00F31BFB" w:rsidRDefault="006C025C" w:rsidP="006C025C">
            <w:pPr>
              <w:jc w:val="both"/>
              <w:rPr>
                <w:color w:val="auto"/>
              </w:rPr>
            </w:pPr>
          </w:p>
          <w:p w:rsidR="006C025C" w:rsidRPr="00F31BFB" w:rsidRDefault="006C025C" w:rsidP="006C025C">
            <w:pPr>
              <w:jc w:val="both"/>
              <w:rPr>
                <w:color w:val="auto"/>
              </w:rPr>
            </w:pPr>
            <w:r w:rsidRPr="00F31BFB">
              <w:rPr>
                <w:color w:val="auto"/>
              </w:rPr>
              <w:t xml:space="preserve">Eiropas Komisijas </w:t>
            </w:r>
            <w:r w:rsidR="00625C83" w:rsidRPr="00F31BFB">
              <w:rPr>
                <w:color w:val="auto"/>
              </w:rPr>
              <w:t>2019. gada</w:t>
            </w:r>
            <w:r w:rsidRPr="00F31BFB">
              <w:rPr>
                <w:color w:val="auto"/>
              </w:rPr>
              <w:t xml:space="preserve"> </w:t>
            </w:r>
            <w:r w:rsidR="00625C83" w:rsidRPr="00F31BFB">
              <w:rPr>
                <w:color w:val="auto"/>
              </w:rPr>
              <w:t>16. janvāra</w:t>
            </w:r>
            <w:r w:rsidRPr="00F31BFB">
              <w:rPr>
                <w:color w:val="auto"/>
              </w:rPr>
              <w:t xml:space="preserve"> Komisijas īstenošanas direktīva (ES) 2019/68 ar ko nosaka šaujamieroču un to būtisko daļu marķējumu tehniskās specifikācijas saskaņā ar Padomes Direktīvu 91/477/EEK par ieroču iegādes un glabāšanas kontroli (</w:t>
            </w:r>
            <w:r w:rsidR="00346CA1" w:rsidRPr="00F31BFB">
              <w:rPr>
                <w:color w:val="auto"/>
              </w:rPr>
              <w:t>direktīva</w:t>
            </w:r>
            <w:r w:rsidR="00E203EE" w:rsidRPr="00F31BFB">
              <w:rPr>
                <w:color w:val="auto"/>
              </w:rPr>
              <w:t xml:space="preserve"> </w:t>
            </w:r>
            <w:r w:rsidR="00E203EE" w:rsidRPr="00F31BFB">
              <w:rPr>
                <w:color w:val="auto"/>
              </w:rPr>
              <w:lastRenderedPageBreak/>
              <w:t>jāpārņem nacionāla</w:t>
            </w:r>
            <w:r w:rsidRPr="00F31BFB">
              <w:rPr>
                <w:color w:val="auto"/>
              </w:rPr>
              <w:t>jos normatīvajos aktos līdz 2020</w:t>
            </w:r>
            <w:r w:rsidR="00E203EE" w:rsidRPr="00F31BFB">
              <w:rPr>
                <w:color w:val="auto"/>
              </w:rPr>
              <w:t>.</w:t>
            </w:r>
            <w:r w:rsidR="000069E7" w:rsidRPr="00F31BFB">
              <w:rPr>
                <w:color w:val="auto"/>
              </w:rPr>
              <w:t> </w:t>
            </w:r>
            <w:r w:rsidR="00625C83" w:rsidRPr="00F31BFB">
              <w:rPr>
                <w:color w:val="auto"/>
              </w:rPr>
              <w:t>gada 17</w:t>
            </w:r>
            <w:r w:rsidR="00E203EE" w:rsidRPr="00F31BFB">
              <w:rPr>
                <w:color w:val="auto"/>
              </w:rPr>
              <w:t>.</w:t>
            </w:r>
            <w:r w:rsidR="00625C83" w:rsidRPr="00F31BFB">
              <w:rPr>
                <w:color w:val="auto"/>
              </w:rPr>
              <w:t>jānvārim).</w:t>
            </w:r>
          </w:p>
          <w:p w:rsidR="006C025C" w:rsidRPr="00F31BFB" w:rsidRDefault="006C025C" w:rsidP="006C025C">
            <w:pPr>
              <w:jc w:val="both"/>
              <w:rPr>
                <w:color w:val="auto"/>
              </w:rPr>
            </w:pPr>
          </w:p>
          <w:p w:rsidR="006C025C" w:rsidRPr="00F31BFB" w:rsidRDefault="006C025C">
            <w:pPr>
              <w:jc w:val="both"/>
              <w:rPr>
                <w:color w:val="auto"/>
              </w:rPr>
            </w:pPr>
          </w:p>
          <w:p w:rsidR="006C025C" w:rsidRPr="00F31BFB" w:rsidRDefault="006C025C">
            <w:pPr>
              <w:jc w:val="both"/>
              <w:rPr>
                <w:color w:val="auto"/>
              </w:rPr>
            </w:pP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lastRenderedPageBreak/>
              <w:t>2.</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rsidR="000C7EFF" w:rsidRPr="00F31BFB" w:rsidRDefault="00F23F09" w:rsidP="000069E7">
            <w:pPr>
              <w:jc w:val="both"/>
              <w:rPr>
                <w:color w:val="auto"/>
              </w:rPr>
            </w:pPr>
            <w:r w:rsidRPr="00F31BFB">
              <w:rPr>
                <w:color w:val="auto"/>
              </w:rPr>
              <w:t>Apvienoto Nāciju Organizācijas Konvencijas pret transnacionālo organizēto noziedzību 2001.</w:t>
            </w:r>
            <w:r w:rsidR="000069E7" w:rsidRPr="00F31BFB">
              <w:rPr>
                <w:color w:val="auto"/>
              </w:rPr>
              <w:t> </w:t>
            </w:r>
            <w:r w:rsidRPr="00F31BFB">
              <w:rPr>
                <w:color w:val="auto"/>
              </w:rPr>
              <w:t>gada 31.</w:t>
            </w:r>
            <w:r w:rsidR="000069E7" w:rsidRPr="00F31BFB">
              <w:rPr>
                <w:color w:val="auto"/>
              </w:rPr>
              <w:t> </w:t>
            </w:r>
            <w:r w:rsidRPr="00F31BFB">
              <w:rPr>
                <w:color w:val="auto"/>
              </w:rPr>
              <w:t>maija Protokols par šaujamieroču, to detaļu, sastāvdaļu un munīcijas nelegālas izgatavošanas un aprites apkarošanu. Protokols ratificēts Latvijas Republikas Saeimā 2004.</w:t>
            </w:r>
            <w:r w:rsidR="000069E7" w:rsidRPr="00F31BFB">
              <w:rPr>
                <w:color w:val="auto"/>
              </w:rPr>
              <w:t> </w:t>
            </w:r>
            <w:r w:rsidRPr="00F31BFB">
              <w:rPr>
                <w:color w:val="auto"/>
              </w:rPr>
              <w:t>gada 27.</w:t>
            </w:r>
            <w:r w:rsidR="000069E7" w:rsidRPr="00F31BFB">
              <w:rPr>
                <w:color w:val="auto"/>
              </w:rPr>
              <w:t> </w:t>
            </w:r>
            <w:r w:rsidRPr="00F31BFB">
              <w:rPr>
                <w:color w:val="auto"/>
              </w:rPr>
              <w:t>maijā.</w:t>
            </w: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6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Nav.</w:t>
            </w:r>
          </w:p>
        </w:tc>
      </w:tr>
    </w:tbl>
    <w:p w:rsidR="000C7EFF" w:rsidRPr="00F31BFB" w:rsidRDefault="00E203EE">
      <w:pPr>
        <w:shd w:val="clear" w:color="auto" w:fill="FFFFFF"/>
        <w:ind w:firstLine="300"/>
        <w:rPr>
          <w:color w:val="auto"/>
        </w:rPr>
      </w:pPr>
      <w:r w:rsidRPr="00F31BFB">
        <w:rPr>
          <w:rFonts w:eastAsia="Arial"/>
          <w:color w:val="auto"/>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DF1B2F" w:rsidRPr="00F31BFB">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b/>
                <w:color w:val="auto"/>
              </w:rPr>
            </w:pPr>
            <w:r w:rsidRPr="00F31BFB">
              <w:rPr>
                <w:b/>
                <w:color w:val="auto"/>
              </w:rPr>
              <w:t>1. tabula</w:t>
            </w:r>
            <w:r w:rsidRPr="00F31BFB">
              <w:rPr>
                <w:b/>
                <w:color w:val="auto"/>
              </w:rPr>
              <w:br/>
              <w:t>Tiesību akta projekta atbilstība ES tiesību aktiem</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Pr="00F31BFB" w:rsidRDefault="007E1561">
            <w:pPr>
              <w:rPr>
                <w:color w:val="auto"/>
              </w:rPr>
            </w:pPr>
            <w:r w:rsidRPr="00F31BFB">
              <w:rPr>
                <w:color w:val="auto"/>
              </w:rPr>
              <w:t>Eiropas Parlamenta un Padomes 2017. gada 17. maija Direktīvas (ES) 2017/853, ar ko groza Padomes Direktīvu 91/477/EEK par ieroču iegādes un glabāšanas kontroli</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A</w:t>
            </w:r>
          </w:p>
        </w:tc>
        <w:tc>
          <w:tcPr>
            <w:tcW w:w="1840"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B</w:t>
            </w:r>
          </w:p>
        </w:tc>
        <w:tc>
          <w:tcPr>
            <w:tcW w:w="2340"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C</w:t>
            </w:r>
          </w:p>
        </w:tc>
        <w:tc>
          <w:tcPr>
            <w:tcW w:w="2373"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D</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Informācija par to, vai šīs tabulas A ailē minētās ES tiesību akta vienības tiek pārņemtas vai ieviestas pilnībā vai daļēji.</w:t>
            </w:r>
          </w:p>
          <w:p w:rsidR="000C7EFF" w:rsidRPr="00F31BFB" w:rsidRDefault="00E203EE">
            <w:pPr>
              <w:spacing w:before="280" w:after="280"/>
              <w:rPr>
                <w:color w:val="auto"/>
              </w:rPr>
            </w:pPr>
            <w:r w:rsidRPr="00F31BFB">
              <w:rPr>
                <w:color w:val="auto"/>
              </w:rPr>
              <w:t>Ja attiecīgā ES tiesību akta vienība tiek pārņemta vai ieviesta daļēji, sniedz attiecīgu skaidrojumu, kā arī precīzi norāda, kad un kādā veidā ES tiesību akta vienība tiks pārņemta vai ieviesta pilnībā.</w:t>
            </w:r>
          </w:p>
          <w:p w:rsidR="000C7EFF" w:rsidRPr="00F31BFB" w:rsidRDefault="00E203EE">
            <w:pPr>
              <w:spacing w:after="100"/>
              <w:rPr>
                <w:color w:val="auto"/>
              </w:rPr>
            </w:pPr>
            <w:r w:rsidRPr="00F31BFB">
              <w:rPr>
                <w:color w:val="auto"/>
              </w:rPr>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Informācija par to, vai šīs tabulas B ailē minētās projekta vienības paredz stingrākas prasības nekā šīs tabulas A ailē minētās ES tiesību akta vienības.</w:t>
            </w:r>
          </w:p>
          <w:p w:rsidR="000C7EFF" w:rsidRPr="00F31BFB" w:rsidRDefault="00E203EE">
            <w:pPr>
              <w:spacing w:before="280" w:after="280"/>
              <w:rPr>
                <w:color w:val="auto"/>
              </w:rPr>
            </w:pPr>
            <w:r w:rsidRPr="00F31BFB">
              <w:rPr>
                <w:color w:val="auto"/>
              </w:rPr>
              <w:t>Ja projekts satur stingrākas prasības nekā attiecīgais ES tiesību akts, norāda pamatojumu un samērīgumu.</w:t>
            </w:r>
          </w:p>
          <w:p w:rsidR="000C7EFF" w:rsidRPr="00F31BFB" w:rsidRDefault="00E203EE">
            <w:pPr>
              <w:spacing w:after="100"/>
              <w:rPr>
                <w:color w:val="auto"/>
              </w:rPr>
            </w:pPr>
            <w:r w:rsidRPr="00F31BFB">
              <w:rPr>
                <w:color w:val="auto"/>
              </w:rPr>
              <w:t xml:space="preserve">Norāda iespējamās alternatīvas (t.sk. alternatīvas, kas neparedz tiesiskā regulējuma izstrādi) – kādos gadījumos būtu iespējams izvairīties no stingrāku prasību noteikšanas, nekā </w:t>
            </w:r>
            <w:r w:rsidRPr="00F31BFB">
              <w:rPr>
                <w:color w:val="auto"/>
              </w:rPr>
              <w:lastRenderedPageBreak/>
              <w:t>paredzēts attiecīgajos ES tiesību aktos</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D36C00">
            <w:pPr>
              <w:rPr>
                <w:color w:val="auto"/>
              </w:rPr>
            </w:pPr>
            <w:r w:rsidRPr="00F31BFB">
              <w:rPr>
                <w:color w:val="auto"/>
              </w:rPr>
              <w:lastRenderedPageBreak/>
              <w:t>1. panta</w:t>
            </w:r>
            <w:r w:rsidR="007E1561" w:rsidRPr="00F31BFB">
              <w:rPr>
                <w:color w:val="auto"/>
              </w:rPr>
              <w:t xml:space="preserve"> (3) daļas 2.punkts</w:t>
            </w:r>
          </w:p>
        </w:tc>
        <w:tc>
          <w:tcPr>
            <w:tcW w:w="1840" w:type="dxa"/>
            <w:tcBorders>
              <w:top w:val="single" w:sz="6" w:space="0" w:color="414142"/>
              <w:left w:val="single" w:sz="6" w:space="0" w:color="414142"/>
              <w:bottom w:val="single" w:sz="6" w:space="0" w:color="414142"/>
              <w:right w:val="single" w:sz="6" w:space="0" w:color="414142"/>
            </w:tcBorders>
          </w:tcPr>
          <w:p w:rsidR="00004996" w:rsidRPr="00F31BFB" w:rsidRDefault="00AB2DC6">
            <w:pPr>
              <w:rPr>
                <w:color w:val="auto"/>
              </w:rPr>
            </w:pPr>
            <w:r w:rsidRPr="00F31BFB">
              <w:rPr>
                <w:color w:val="auto"/>
              </w:rPr>
              <w:t>2.punkts, 11</w:t>
            </w:r>
            <w:r w:rsidR="00004996" w:rsidRPr="00F31BFB">
              <w:rPr>
                <w:color w:val="auto"/>
              </w:rPr>
              <w:t>.punkts, 3.punkts,</w:t>
            </w:r>
          </w:p>
          <w:p w:rsidR="000C7EFF" w:rsidRPr="00F31BFB" w:rsidRDefault="00AB2DC6">
            <w:pPr>
              <w:rPr>
                <w:color w:val="auto"/>
              </w:rPr>
            </w:pPr>
            <w:r w:rsidRPr="00F31BFB">
              <w:rPr>
                <w:color w:val="auto"/>
              </w:rPr>
              <w:t>20</w:t>
            </w:r>
            <w:r w:rsidR="00004996" w:rsidRPr="00F31BFB">
              <w:rPr>
                <w:color w:val="auto"/>
              </w:rPr>
              <w:t>.punkts</w:t>
            </w:r>
          </w:p>
        </w:tc>
        <w:tc>
          <w:tcPr>
            <w:tcW w:w="23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 xml:space="preserve"> </w:t>
            </w:r>
            <w:r w:rsidR="00004996" w:rsidRPr="00F31BFB">
              <w:rPr>
                <w:color w:val="auto"/>
              </w:rPr>
              <w:t>Atbilst</w:t>
            </w:r>
          </w:p>
          <w:p w:rsidR="000C7EFF" w:rsidRPr="00F31BFB" w:rsidRDefault="000C7EFF">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rsidR="000C7EFF" w:rsidRPr="00F31BFB" w:rsidRDefault="00E203EE" w:rsidP="000069E7">
            <w:pPr>
              <w:jc w:val="both"/>
              <w:rPr>
                <w:color w:val="auto"/>
              </w:rPr>
            </w:pPr>
            <w:r w:rsidRPr="00F31BFB">
              <w:rPr>
                <w:color w:val="auto"/>
              </w:rPr>
              <w:t>Projekts satur stingrākas prasības nekā attiecīgais ES tiesību akts, jo</w:t>
            </w:r>
            <w:r w:rsidR="00004996" w:rsidRPr="00F31BFB">
              <w:rPr>
                <w:color w:val="auto"/>
              </w:rPr>
              <w:t xml:space="preserve"> ir paredzēts papildus marķēt Latvijā importējamos šaujamieročus un šaujamieroču būtiskās sastāvdaļas atbilstoši Apvienoto Nāciju Organizācijas Konvencijas pret transnacionālo organizēto noziedzību 2001.</w:t>
            </w:r>
            <w:r w:rsidR="000069E7" w:rsidRPr="00F31BFB">
              <w:rPr>
                <w:color w:val="auto"/>
              </w:rPr>
              <w:t> </w:t>
            </w:r>
            <w:r w:rsidR="00004996" w:rsidRPr="00F31BFB">
              <w:rPr>
                <w:color w:val="auto"/>
              </w:rPr>
              <w:t>gada 31.</w:t>
            </w:r>
            <w:r w:rsidR="000069E7" w:rsidRPr="00F31BFB">
              <w:rPr>
                <w:color w:val="auto"/>
              </w:rPr>
              <w:t> </w:t>
            </w:r>
            <w:r w:rsidR="00004996" w:rsidRPr="00F31BFB">
              <w:rPr>
                <w:color w:val="auto"/>
              </w:rPr>
              <w:t>maija Protokola par šaujamieroču, to detaļu, sastāvdaļu un munīcijas nelegālas izgatavošanas un aprites apkarošanu 8.</w:t>
            </w:r>
            <w:r w:rsidR="000069E7" w:rsidRPr="00F31BFB">
              <w:rPr>
                <w:color w:val="auto"/>
              </w:rPr>
              <w:t> </w:t>
            </w:r>
            <w:r w:rsidR="00004996" w:rsidRPr="00F31BFB">
              <w:rPr>
                <w:color w:val="auto"/>
              </w:rPr>
              <w:t>panta pirmās daļas b) apakšpunkta</w:t>
            </w:r>
            <w:r w:rsidR="000069E7" w:rsidRPr="00F31BFB">
              <w:rPr>
                <w:color w:val="auto"/>
              </w:rPr>
              <w:t xml:space="preserve"> prasībām. Papildus </w:t>
            </w:r>
            <w:r w:rsidR="00004996" w:rsidRPr="00F31BFB">
              <w:rPr>
                <w:color w:val="auto"/>
              </w:rPr>
              <w:t xml:space="preserve">bez šaujamieročiem un to būtiskām sastāvdaļām ir paredzēts </w:t>
            </w:r>
            <w:r w:rsidRPr="00F31BFB">
              <w:rPr>
                <w:color w:val="auto"/>
              </w:rPr>
              <w:t xml:space="preserve">marķēt arī lielas enerģijas pneimatiskos ieročus, </w:t>
            </w:r>
            <w:r w:rsidR="001A479C" w:rsidRPr="00F31BFB">
              <w:rPr>
                <w:color w:val="auto"/>
              </w:rPr>
              <w:t xml:space="preserve">E kategorijas </w:t>
            </w:r>
            <w:r w:rsidRPr="00F31BFB">
              <w:rPr>
                <w:color w:val="auto"/>
              </w:rPr>
              <w:t>gāzes ieročus un signālieročus, lai nodrošinātu to izsekojamību.</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Kā ir izmantota ES tiesību aktā paredzētā rīcības brīvība dalībvalstij pārņemt vai ieviest noteiktas ES tiesību akta normas?</w:t>
            </w:r>
            <w:r w:rsidRPr="00F31BFB">
              <w:rPr>
                <w:color w:val="auto"/>
              </w:rP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Pr="00F31BFB" w:rsidRDefault="00B30574" w:rsidP="00E46100">
            <w:pPr>
              <w:jc w:val="both"/>
              <w:rPr>
                <w:color w:val="auto"/>
              </w:rPr>
            </w:pPr>
            <w:r w:rsidRPr="00F31BFB">
              <w:rPr>
                <w:color w:val="auto"/>
              </w:rPr>
              <w:t xml:space="preserve"> </w:t>
            </w:r>
            <w:r w:rsidR="00E46100" w:rsidRPr="00F31BFB">
              <w:rPr>
                <w:color w:val="auto"/>
              </w:rPr>
              <w:t>Projekts šo jomu neskar.</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 xml:space="preserve">Saistības sniegt paziņojumu ES institūcijām un ES dalībvalstīm atbilstoši normatīvajiem </w:t>
            </w:r>
            <w:r w:rsidRPr="00F31BFB">
              <w:rPr>
                <w:color w:val="auto"/>
              </w:rPr>
              <w:lastRenderedPageBreak/>
              <w:t>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lastRenderedPageBreak/>
              <w:t>Projekts šo jomu neskar.</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Pr="00F31BFB" w:rsidRDefault="007E1561" w:rsidP="0036749B">
            <w:pPr>
              <w:spacing w:after="120"/>
              <w:jc w:val="both"/>
              <w:rPr>
                <w:color w:val="auto"/>
              </w:rPr>
            </w:pPr>
            <w:r w:rsidRPr="00F31BFB">
              <w:rPr>
                <w:color w:val="auto"/>
              </w:rPr>
              <w:t>Eiropas Parlamenta un Padomes 2017. gada 17. maija Direktīvas (ES) 2017/853, ar ko groza Padomes Direktīvu 91/477/EEK par ieroču iegādes un glabāšanas kontroli</w:t>
            </w:r>
            <w:r w:rsidR="00FD5EBE" w:rsidRPr="00F31BFB">
              <w:rPr>
                <w:color w:val="auto"/>
              </w:rPr>
              <w:t xml:space="preserve"> pārejas direktīvas normas tiks pārņemtas ar likumprojektu “Ieroču aprites likums”</w:t>
            </w:r>
            <w:r w:rsidR="00D02ABC" w:rsidRPr="00F31BFB">
              <w:rPr>
                <w:color w:val="auto"/>
              </w:rPr>
              <w:t xml:space="preserve"> </w:t>
            </w:r>
            <w:r w:rsidR="0036749B" w:rsidRPr="00F31BFB">
              <w:rPr>
                <w:color w:val="auto"/>
              </w:rPr>
              <w:t>(55/Lp13). 31.01.2019. likumprojekts tika pieņemts Saeimas 2.lasījumā.</w:t>
            </w:r>
          </w:p>
        </w:tc>
      </w:tr>
    </w:tbl>
    <w:p w:rsidR="000C7EFF" w:rsidRPr="00F31BFB" w:rsidRDefault="000C7EFF">
      <w:pPr>
        <w:rPr>
          <w:color w:val="auto"/>
        </w:rPr>
      </w:pP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856A3C" w:rsidRPr="00F31BFB" w:rsidTr="006266A3">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rsidR="00856A3C" w:rsidRPr="00F31BFB" w:rsidRDefault="00856A3C" w:rsidP="00856A3C">
            <w:pPr>
              <w:jc w:val="center"/>
              <w:rPr>
                <w:b/>
                <w:color w:val="auto"/>
              </w:rPr>
            </w:pPr>
            <w:r w:rsidRPr="00F31BFB">
              <w:rPr>
                <w:b/>
                <w:color w:val="auto"/>
              </w:rPr>
              <w:t>1. tabula</w:t>
            </w:r>
            <w:r w:rsidRPr="00F31BFB">
              <w:rPr>
                <w:b/>
                <w:color w:val="auto"/>
              </w:rPr>
              <w:br/>
              <w:t>Tiesību akta projekta atbilstība ES tiesību aktiem</w:t>
            </w:r>
          </w:p>
        </w:tc>
      </w:tr>
      <w:tr w:rsidR="00856A3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856A3C" w:rsidRPr="00F31BFB" w:rsidRDefault="00856A3C" w:rsidP="00856A3C">
            <w:pPr>
              <w:rPr>
                <w:color w:val="auto"/>
              </w:rPr>
            </w:pPr>
            <w:r w:rsidRPr="00F31BFB">
              <w:rPr>
                <w:color w:val="auto"/>
              </w:rP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rsidR="00856A3C" w:rsidRPr="00F31BFB" w:rsidRDefault="00625C83" w:rsidP="00D36C00">
            <w:pPr>
              <w:jc w:val="both"/>
              <w:rPr>
                <w:color w:val="auto"/>
              </w:rPr>
            </w:pPr>
            <w:r w:rsidRPr="00F31BFB">
              <w:rPr>
                <w:color w:val="auto"/>
              </w:rPr>
              <w:t xml:space="preserve">Eiropas Komisijas 2019. gada 16. janvāra </w:t>
            </w:r>
            <w:r w:rsidR="00856A3C" w:rsidRPr="00F31BFB">
              <w:rPr>
                <w:color w:val="auto"/>
              </w:rPr>
              <w:t>Komisijas īstenošanas direktīva (ES</w:t>
            </w:r>
            <w:r w:rsidR="00D36C00" w:rsidRPr="00F31BFB">
              <w:rPr>
                <w:color w:val="auto"/>
              </w:rPr>
              <w:t>) 2019/68 ar ko nosaka šaujamieroču un to būtisko daļu marķējumu tehniskās specifikācijas saskaņā ar Padomes Direktīvu 91/477/EEK par ieroču iegādes un glabāšanas kontroli</w:t>
            </w:r>
          </w:p>
        </w:tc>
      </w:tr>
      <w:tr w:rsidR="00856A3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rsidR="00856A3C" w:rsidRPr="00F31BFB" w:rsidRDefault="00856A3C" w:rsidP="00856A3C">
            <w:pPr>
              <w:rPr>
                <w:color w:val="auto"/>
              </w:rPr>
            </w:pPr>
            <w:r w:rsidRPr="00F31BFB">
              <w:rPr>
                <w:color w:val="auto"/>
              </w:rPr>
              <w:t>A</w:t>
            </w:r>
          </w:p>
        </w:tc>
        <w:tc>
          <w:tcPr>
            <w:tcW w:w="1840" w:type="dxa"/>
            <w:tcBorders>
              <w:top w:val="single" w:sz="6" w:space="0" w:color="414142"/>
              <w:left w:val="single" w:sz="6" w:space="0" w:color="414142"/>
              <w:bottom w:val="single" w:sz="6" w:space="0" w:color="414142"/>
              <w:right w:val="single" w:sz="6" w:space="0" w:color="414142"/>
            </w:tcBorders>
            <w:vAlign w:val="center"/>
          </w:tcPr>
          <w:p w:rsidR="00856A3C" w:rsidRPr="00F31BFB" w:rsidRDefault="00856A3C" w:rsidP="00856A3C">
            <w:pPr>
              <w:rPr>
                <w:color w:val="auto"/>
              </w:rPr>
            </w:pPr>
            <w:r w:rsidRPr="00F31BFB">
              <w:rPr>
                <w:color w:val="auto"/>
              </w:rPr>
              <w:t>B</w:t>
            </w:r>
          </w:p>
        </w:tc>
        <w:tc>
          <w:tcPr>
            <w:tcW w:w="2340" w:type="dxa"/>
            <w:tcBorders>
              <w:top w:val="single" w:sz="6" w:space="0" w:color="414142"/>
              <w:left w:val="single" w:sz="6" w:space="0" w:color="414142"/>
              <w:bottom w:val="single" w:sz="6" w:space="0" w:color="414142"/>
              <w:right w:val="single" w:sz="6" w:space="0" w:color="414142"/>
            </w:tcBorders>
            <w:vAlign w:val="center"/>
          </w:tcPr>
          <w:p w:rsidR="00856A3C" w:rsidRPr="00F31BFB" w:rsidRDefault="00856A3C" w:rsidP="00856A3C">
            <w:pPr>
              <w:rPr>
                <w:color w:val="auto"/>
              </w:rPr>
            </w:pPr>
            <w:r w:rsidRPr="00F31BFB">
              <w:rPr>
                <w:color w:val="auto"/>
              </w:rPr>
              <w:t>C</w:t>
            </w:r>
          </w:p>
        </w:tc>
        <w:tc>
          <w:tcPr>
            <w:tcW w:w="2373" w:type="dxa"/>
            <w:tcBorders>
              <w:top w:val="single" w:sz="6" w:space="0" w:color="414142"/>
              <w:left w:val="single" w:sz="6" w:space="0" w:color="414142"/>
              <w:bottom w:val="single" w:sz="6" w:space="0" w:color="414142"/>
              <w:right w:val="single" w:sz="6" w:space="0" w:color="414142"/>
            </w:tcBorders>
            <w:vAlign w:val="center"/>
          </w:tcPr>
          <w:p w:rsidR="00856A3C" w:rsidRPr="00F31BFB" w:rsidRDefault="00856A3C" w:rsidP="00856A3C">
            <w:pPr>
              <w:rPr>
                <w:color w:val="auto"/>
              </w:rPr>
            </w:pPr>
            <w:r w:rsidRPr="00F31BFB">
              <w:rPr>
                <w:color w:val="auto"/>
              </w:rPr>
              <w:t>D</w:t>
            </w:r>
          </w:p>
        </w:tc>
      </w:tr>
      <w:tr w:rsidR="00856A3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856A3C" w:rsidRPr="00F31BFB" w:rsidRDefault="00856A3C" w:rsidP="00856A3C">
            <w:pPr>
              <w:rPr>
                <w:color w:val="auto"/>
              </w:rPr>
            </w:pPr>
            <w:r w:rsidRPr="00F31BFB">
              <w:rPr>
                <w:color w:val="auto"/>
              </w:rPr>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rsidR="00856A3C" w:rsidRPr="00F31BFB" w:rsidRDefault="00856A3C" w:rsidP="00856A3C">
            <w:pPr>
              <w:rPr>
                <w:color w:val="auto"/>
              </w:rPr>
            </w:pPr>
            <w:r w:rsidRPr="00F31BFB">
              <w:rPr>
                <w:color w:val="auto"/>
              </w:rPr>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rsidR="00856A3C" w:rsidRPr="00F31BFB" w:rsidRDefault="00856A3C" w:rsidP="00856A3C">
            <w:pPr>
              <w:rPr>
                <w:color w:val="auto"/>
              </w:rPr>
            </w:pPr>
            <w:r w:rsidRPr="00F31BFB">
              <w:rPr>
                <w:color w:val="auto"/>
              </w:rPr>
              <w:t>Informācija par to, vai šīs tabulas A ailē minētās ES tiesību akta vienības tiek pārņemtas vai ieviestas pilnībā vai daļēji.</w:t>
            </w:r>
          </w:p>
          <w:p w:rsidR="00856A3C" w:rsidRPr="00F31BFB" w:rsidRDefault="00856A3C" w:rsidP="00856A3C">
            <w:pPr>
              <w:rPr>
                <w:color w:val="auto"/>
              </w:rPr>
            </w:pPr>
            <w:r w:rsidRPr="00F31BFB">
              <w:rPr>
                <w:color w:val="auto"/>
              </w:rPr>
              <w:t>Ja attiecīgā ES tiesību akta vienība tiek pārņemta vai ieviesta daļēji, sniedz attiecīgu skaidrojumu, kā arī precīzi norāda, kad un kādā veidā ES tiesību akta vienība tiks pārņemta vai ieviesta pilnībā.</w:t>
            </w:r>
          </w:p>
          <w:p w:rsidR="00856A3C" w:rsidRPr="00F31BFB" w:rsidRDefault="00856A3C" w:rsidP="00856A3C">
            <w:pPr>
              <w:rPr>
                <w:color w:val="auto"/>
              </w:rPr>
            </w:pPr>
            <w:r w:rsidRPr="00F31BFB">
              <w:rPr>
                <w:color w:val="auto"/>
              </w:rPr>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rsidR="00856A3C" w:rsidRPr="00F31BFB" w:rsidRDefault="00856A3C" w:rsidP="00856A3C">
            <w:pPr>
              <w:rPr>
                <w:color w:val="auto"/>
              </w:rPr>
            </w:pPr>
            <w:r w:rsidRPr="00F31BFB">
              <w:rPr>
                <w:color w:val="auto"/>
              </w:rPr>
              <w:t>Informācija par to, vai šīs tabulas B ailē minētās projekta vienības paredz stingrākas prasības nekā šīs tabulas A ailē minētās ES tiesību akta vienības.</w:t>
            </w:r>
          </w:p>
          <w:p w:rsidR="00856A3C" w:rsidRPr="00F31BFB" w:rsidRDefault="00856A3C" w:rsidP="00856A3C">
            <w:pPr>
              <w:rPr>
                <w:color w:val="auto"/>
              </w:rPr>
            </w:pPr>
            <w:r w:rsidRPr="00F31BFB">
              <w:rPr>
                <w:color w:val="auto"/>
              </w:rPr>
              <w:t>Ja projekts satur stingrākas prasības nekā attiecīgais ES tiesību akts, norāda pamatojumu un samērīgumu.</w:t>
            </w:r>
          </w:p>
          <w:p w:rsidR="00856A3C" w:rsidRPr="00F31BFB" w:rsidRDefault="00856A3C" w:rsidP="00856A3C">
            <w:pPr>
              <w:rPr>
                <w:color w:val="auto"/>
              </w:rPr>
            </w:pPr>
            <w:r w:rsidRPr="00F31BFB">
              <w:rPr>
                <w:color w:val="auto"/>
              </w:rPr>
              <w:t>Norāda iespējamās alternatīvas (t.sk. alternatīvas, kas neparedz tiesiskā regulējuma izstrādi) – kādos gadījumos būtu iespējams izvairīties no stingrāku prasību noteikšanas, nekā paredzēts attiecīgajos ES tiesību aktos</w:t>
            </w:r>
          </w:p>
        </w:tc>
      </w:tr>
      <w:tr w:rsidR="00856A3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856A3C" w:rsidRPr="00F31BFB" w:rsidRDefault="00D36C00" w:rsidP="00856A3C">
            <w:pPr>
              <w:rPr>
                <w:color w:val="auto"/>
              </w:rPr>
            </w:pPr>
            <w:r w:rsidRPr="00F31BFB">
              <w:rPr>
                <w:color w:val="auto"/>
              </w:rPr>
              <w:lastRenderedPageBreak/>
              <w:t>1. pants</w:t>
            </w:r>
          </w:p>
        </w:tc>
        <w:tc>
          <w:tcPr>
            <w:tcW w:w="1840" w:type="dxa"/>
            <w:tcBorders>
              <w:top w:val="single" w:sz="6" w:space="0" w:color="414142"/>
              <w:left w:val="single" w:sz="6" w:space="0" w:color="414142"/>
              <w:bottom w:val="single" w:sz="6" w:space="0" w:color="414142"/>
              <w:right w:val="single" w:sz="6" w:space="0" w:color="414142"/>
            </w:tcBorders>
          </w:tcPr>
          <w:p w:rsidR="00856A3C" w:rsidRPr="00F31BFB" w:rsidRDefault="00AB2DC6" w:rsidP="00856A3C">
            <w:pPr>
              <w:rPr>
                <w:color w:val="auto"/>
              </w:rPr>
            </w:pPr>
            <w:r w:rsidRPr="00F31BFB">
              <w:rPr>
                <w:color w:val="auto"/>
              </w:rPr>
              <w:t>1.punkts</w:t>
            </w:r>
          </w:p>
        </w:tc>
        <w:tc>
          <w:tcPr>
            <w:tcW w:w="2340" w:type="dxa"/>
            <w:tcBorders>
              <w:top w:val="single" w:sz="6" w:space="0" w:color="414142"/>
              <w:left w:val="single" w:sz="6" w:space="0" w:color="414142"/>
              <w:bottom w:val="single" w:sz="6" w:space="0" w:color="414142"/>
              <w:right w:val="single" w:sz="6" w:space="0" w:color="414142"/>
            </w:tcBorders>
          </w:tcPr>
          <w:p w:rsidR="00856A3C" w:rsidRPr="00F31BFB" w:rsidRDefault="00856A3C" w:rsidP="00856A3C">
            <w:pPr>
              <w:rPr>
                <w:color w:val="auto"/>
              </w:rPr>
            </w:pPr>
            <w:r w:rsidRPr="00F31BFB">
              <w:rPr>
                <w:color w:val="auto"/>
              </w:rPr>
              <w:t xml:space="preserve"> Atbilst</w:t>
            </w:r>
          </w:p>
          <w:p w:rsidR="00856A3C" w:rsidRPr="00F31BFB" w:rsidRDefault="00856A3C" w:rsidP="00856A3C">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rsidR="00856A3C" w:rsidRPr="00F31BFB" w:rsidRDefault="00AB2DC6" w:rsidP="00856A3C">
            <w:pPr>
              <w:rPr>
                <w:color w:val="auto"/>
              </w:rPr>
            </w:pPr>
            <w:r w:rsidRPr="00F31BFB">
              <w:rPr>
                <w:color w:val="auto"/>
              </w:rPr>
              <w:t>Projekts nesatur stingrākas prasības nekā attiecīgais ES tiesību akts.</w:t>
            </w:r>
          </w:p>
        </w:tc>
      </w:tr>
      <w:tr w:rsidR="00856A3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856A3C" w:rsidRPr="00F31BFB" w:rsidRDefault="00D36C00" w:rsidP="00856A3C">
            <w:pPr>
              <w:rPr>
                <w:color w:val="auto"/>
              </w:rPr>
            </w:pPr>
            <w:r w:rsidRPr="00F31BFB">
              <w:rPr>
                <w:color w:val="auto"/>
              </w:rPr>
              <w:t xml:space="preserve">2. pants </w:t>
            </w:r>
          </w:p>
        </w:tc>
        <w:tc>
          <w:tcPr>
            <w:tcW w:w="1840" w:type="dxa"/>
            <w:tcBorders>
              <w:top w:val="single" w:sz="6" w:space="0" w:color="414142"/>
              <w:left w:val="single" w:sz="6" w:space="0" w:color="414142"/>
              <w:bottom w:val="single" w:sz="6" w:space="0" w:color="414142"/>
              <w:right w:val="single" w:sz="6" w:space="0" w:color="414142"/>
            </w:tcBorders>
          </w:tcPr>
          <w:p w:rsidR="00AB2DC6" w:rsidRPr="00F31BFB" w:rsidRDefault="00AB2DC6" w:rsidP="00856A3C">
            <w:pPr>
              <w:rPr>
                <w:color w:val="auto"/>
              </w:rPr>
            </w:pPr>
            <w:r w:rsidRPr="00F31BFB">
              <w:rPr>
                <w:color w:val="auto"/>
              </w:rPr>
              <w:t>5.punkts</w:t>
            </w:r>
          </w:p>
          <w:p w:rsidR="00853938" w:rsidRPr="00F31BFB" w:rsidRDefault="00853938" w:rsidP="00856A3C">
            <w:pPr>
              <w:rPr>
                <w:color w:val="auto"/>
              </w:rPr>
            </w:pPr>
            <w:r w:rsidRPr="00F31BFB">
              <w:rPr>
                <w:color w:val="auto"/>
              </w:rPr>
              <w:t>6.punkts</w:t>
            </w:r>
          </w:p>
          <w:p w:rsidR="00856A3C" w:rsidRPr="00F31BFB" w:rsidRDefault="00AB2DC6" w:rsidP="00856A3C">
            <w:pPr>
              <w:rPr>
                <w:color w:val="auto"/>
              </w:rPr>
            </w:pPr>
            <w:r w:rsidRPr="00F31BFB">
              <w:rPr>
                <w:color w:val="auto"/>
              </w:rPr>
              <w:t>3.punkts</w:t>
            </w:r>
          </w:p>
          <w:p w:rsidR="00853938" w:rsidRPr="00F31BFB" w:rsidRDefault="00853938" w:rsidP="00856A3C">
            <w:pPr>
              <w:rPr>
                <w:color w:val="auto"/>
              </w:rPr>
            </w:pPr>
            <w:r w:rsidRPr="00F31BFB">
              <w:rPr>
                <w:color w:val="auto"/>
              </w:rPr>
              <w:t>10.punkts</w:t>
            </w:r>
          </w:p>
          <w:p w:rsidR="00853938" w:rsidRPr="00F31BFB" w:rsidRDefault="00853938" w:rsidP="00856A3C">
            <w:pPr>
              <w:rPr>
                <w:color w:val="auto"/>
              </w:rPr>
            </w:pPr>
            <w:r w:rsidRPr="00F31BFB">
              <w:rPr>
                <w:color w:val="auto"/>
              </w:rPr>
              <w:t>8.punkts</w:t>
            </w:r>
          </w:p>
          <w:p w:rsidR="00853938" w:rsidRPr="00F31BFB" w:rsidRDefault="00853938" w:rsidP="00856A3C">
            <w:pPr>
              <w:rPr>
                <w:color w:val="auto"/>
              </w:rPr>
            </w:pPr>
            <w:r w:rsidRPr="00F31BFB">
              <w:rPr>
                <w:color w:val="auto"/>
              </w:rPr>
              <w:t>2.3.apakkšpunkts</w:t>
            </w:r>
          </w:p>
          <w:p w:rsidR="00853938" w:rsidRPr="00F31BFB" w:rsidRDefault="00853938" w:rsidP="00856A3C">
            <w:pPr>
              <w:rPr>
                <w:color w:val="auto"/>
              </w:rPr>
            </w:pPr>
            <w:r w:rsidRPr="00F31BFB">
              <w:rPr>
                <w:color w:val="auto"/>
              </w:rPr>
              <w:t>2.4.apakšpunkts</w:t>
            </w:r>
          </w:p>
          <w:p w:rsidR="00853938" w:rsidRPr="00F31BFB" w:rsidRDefault="00853938" w:rsidP="00856A3C">
            <w:pPr>
              <w:rPr>
                <w:color w:val="auto"/>
              </w:rPr>
            </w:pPr>
            <w:r w:rsidRPr="00F31BFB">
              <w:rPr>
                <w:color w:val="auto"/>
              </w:rPr>
              <w:t>2.5.apakšpunkts</w:t>
            </w:r>
          </w:p>
          <w:p w:rsidR="00853938" w:rsidRPr="00F31BFB" w:rsidRDefault="00853938" w:rsidP="00856A3C">
            <w:pPr>
              <w:rPr>
                <w:color w:val="auto"/>
              </w:rPr>
            </w:pPr>
            <w:r w:rsidRPr="00F31BFB">
              <w:rPr>
                <w:color w:val="auto"/>
              </w:rPr>
              <w:t>4.punkts</w:t>
            </w:r>
          </w:p>
          <w:p w:rsidR="00853938" w:rsidRPr="00F31BFB" w:rsidRDefault="00853938" w:rsidP="00856A3C">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rsidR="00856A3C" w:rsidRPr="00F31BFB" w:rsidRDefault="00856A3C" w:rsidP="00856A3C">
            <w:pPr>
              <w:rPr>
                <w:color w:val="auto"/>
              </w:rPr>
            </w:pPr>
            <w:r w:rsidRPr="00F31BFB">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856A3C" w:rsidRPr="00F31BFB" w:rsidRDefault="00853938" w:rsidP="00856A3C">
            <w:pPr>
              <w:rPr>
                <w:color w:val="auto"/>
              </w:rPr>
            </w:pPr>
            <w:r w:rsidRPr="00F31BFB">
              <w:rPr>
                <w:color w:val="auto"/>
              </w:rPr>
              <w:t>Projekts nesatur stingrākas prasības nekā attiecīgais ES tiesību akts.</w:t>
            </w: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3. panta 1.punkts</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r w:rsidRPr="00F31BFB">
              <w:t xml:space="preserve">Nav nepieciešams pārņemt. Paziņošana tiks veikta pēc </w:t>
            </w:r>
            <w:r w:rsidRPr="00F31BFB">
              <w:t>projekta stāšanās spēkā.</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3. panta 2.punkts</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Nav nepieciešams pārņemt. Paziņošana tiks veikta pēc projekta stāšanās spēkā.</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4. panta</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Nav nepieciešams pārņemt.</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5. pants</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Nav nepieciešams pārņemt.</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Pielikuma 1.punkts</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3.punkts</w:t>
            </w:r>
          </w:p>
          <w:p w:rsidR="00D02ABC" w:rsidRPr="00F31BFB" w:rsidRDefault="00D02ABC" w:rsidP="00D02ABC">
            <w:pPr>
              <w:rPr>
                <w:color w:val="auto"/>
              </w:rPr>
            </w:pPr>
            <w:r w:rsidRPr="00F31BFB">
              <w:rPr>
                <w:color w:val="auto"/>
              </w:rPr>
              <w:t>5.punkts</w:t>
            </w:r>
          </w:p>
          <w:p w:rsidR="00D02ABC" w:rsidRPr="00F31BFB" w:rsidRDefault="00D02ABC" w:rsidP="00D02ABC">
            <w:pPr>
              <w:rPr>
                <w:color w:val="auto"/>
              </w:rPr>
            </w:pPr>
            <w:r w:rsidRPr="00F31BFB">
              <w:rPr>
                <w:color w:val="auto"/>
              </w:rPr>
              <w:t>6.punkts</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Pielikuma 2.punkta a) apakšpunkts</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10.punkts</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Pielikuma 2.punkta b) apakšpunkts</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10.punkts</w:t>
            </w:r>
          </w:p>
          <w:p w:rsidR="00D02ABC" w:rsidRPr="00F31BFB" w:rsidRDefault="00D02ABC" w:rsidP="00D02ABC">
            <w:pPr>
              <w:rPr>
                <w:color w:val="auto"/>
              </w:rPr>
            </w:pPr>
            <w:r w:rsidRPr="00F31BFB">
              <w:rPr>
                <w:color w:val="auto"/>
              </w:rPr>
              <w:t>8.punkts</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Pielikuma 3.punkts</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4.punkts</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Pielikuma 4.punkts</w:t>
            </w:r>
          </w:p>
        </w:tc>
        <w:tc>
          <w:tcPr>
            <w:tcW w:w="18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2.3.apakkšpunkts</w:t>
            </w:r>
          </w:p>
          <w:p w:rsidR="00D02ABC" w:rsidRPr="00F31BFB" w:rsidRDefault="00D02ABC" w:rsidP="00D02ABC">
            <w:pPr>
              <w:rPr>
                <w:color w:val="auto"/>
              </w:rPr>
            </w:pPr>
            <w:r w:rsidRPr="00F31BFB">
              <w:rPr>
                <w:color w:val="auto"/>
              </w:rPr>
              <w:t>2.4.apakšpunkts</w:t>
            </w:r>
          </w:p>
          <w:p w:rsidR="00D02ABC" w:rsidRPr="00F31BFB" w:rsidRDefault="00D02ABC" w:rsidP="00D02ABC">
            <w:pPr>
              <w:rPr>
                <w:color w:val="auto"/>
              </w:rPr>
            </w:pPr>
            <w:r w:rsidRPr="00F31BFB">
              <w:rPr>
                <w:color w:val="auto"/>
              </w:rPr>
              <w:t>2.5.apakšpunkts</w:t>
            </w:r>
          </w:p>
          <w:p w:rsidR="00D02ABC" w:rsidRPr="00F31BFB" w:rsidRDefault="00D02ABC" w:rsidP="00D02ABC">
            <w:pPr>
              <w:rPr>
                <w:color w:val="auto"/>
              </w:rPr>
            </w:pPr>
            <w:r w:rsidRPr="00F31BFB">
              <w:rPr>
                <w:color w:val="auto"/>
              </w:rPr>
              <w:t>4.punkts</w:t>
            </w:r>
          </w:p>
        </w:tc>
        <w:tc>
          <w:tcPr>
            <w:tcW w:w="2340"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 xml:space="preserve">Kā ir izmantota ES tiesību aktā paredzētā rīcības brīvība dalībvalstij pārņemt vai ieviest </w:t>
            </w:r>
            <w:r w:rsidRPr="00F31BFB">
              <w:rPr>
                <w:color w:val="auto"/>
              </w:rPr>
              <w:lastRenderedPageBreak/>
              <w:t>noteiktas ES tiesību akta normas?</w:t>
            </w:r>
            <w:r w:rsidRPr="00F31BFB">
              <w:rPr>
                <w:color w:val="auto"/>
              </w:rP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lastRenderedPageBreak/>
              <w:t xml:space="preserve"> Projekts šo jomu neskar.</w:t>
            </w: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Projekts šo jomu neskar.</w:t>
            </w:r>
          </w:p>
        </w:tc>
      </w:tr>
      <w:tr w:rsidR="00D02ABC" w:rsidRPr="00F31BFB" w:rsidTr="006266A3">
        <w:trPr>
          <w:jc w:val="center"/>
        </w:trPr>
        <w:tc>
          <w:tcPr>
            <w:tcW w:w="2037" w:type="dxa"/>
            <w:tcBorders>
              <w:top w:val="single" w:sz="6" w:space="0" w:color="414142"/>
              <w:left w:val="single" w:sz="6" w:space="0" w:color="414142"/>
              <w:bottom w:val="single" w:sz="6" w:space="0" w:color="414142"/>
              <w:right w:val="single" w:sz="6" w:space="0" w:color="414142"/>
            </w:tcBorders>
          </w:tcPr>
          <w:p w:rsidR="00D02ABC" w:rsidRPr="00F31BFB" w:rsidRDefault="00D02ABC" w:rsidP="00D02ABC">
            <w:pPr>
              <w:rPr>
                <w:color w:val="auto"/>
              </w:rPr>
            </w:pPr>
            <w:r w:rsidRPr="00F31BFB">
              <w:rPr>
                <w:color w:val="auto"/>
              </w:rP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rsidR="00D02ABC" w:rsidRPr="00F31BFB" w:rsidRDefault="0036749B" w:rsidP="00B10B4B">
            <w:pPr>
              <w:jc w:val="both"/>
              <w:rPr>
                <w:color w:val="auto"/>
              </w:rPr>
            </w:pPr>
            <w:r w:rsidRPr="00F31BFB">
              <w:rPr>
                <w:color w:val="auto"/>
              </w:rPr>
              <w:t>Komisijas īstenošanas direktīva</w:t>
            </w:r>
            <w:r w:rsidR="00A067D7" w:rsidRPr="00F31BFB">
              <w:rPr>
                <w:color w:val="auto"/>
              </w:rPr>
              <w:t>s</w:t>
            </w:r>
            <w:r w:rsidRPr="00F31BFB">
              <w:rPr>
                <w:color w:val="auto"/>
              </w:rPr>
              <w:t xml:space="preserve"> (ES) 2019/68 ar ko nosaka šaujamieroču un to būtisko daļu marķējumu tehniskās specifikācijas saskaņā ar Padomes Direktīvu 91/477/EEK par ieroču iegādes un glabāšanas kontroli</w:t>
            </w:r>
            <w:r w:rsidR="00A067D7" w:rsidRPr="00F31BFB">
              <w:rPr>
                <w:color w:val="auto"/>
              </w:rPr>
              <w:t xml:space="preserve"> prasības</w:t>
            </w:r>
            <w:r w:rsidRPr="00F31BFB">
              <w:rPr>
                <w:color w:val="auto"/>
              </w:rPr>
              <w:t xml:space="preserve"> tiek pilnīgi pārņemta</w:t>
            </w:r>
            <w:r w:rsidR="00A067D7" w:rsidRPr="00F31BFB">
              <w:rPr>
                <w:color w:val="auto"/>
              </w:rPr>
              <w:t>s</w:t>
            </w:r>
            <w:r w:rsidRPr="00F31BFB">
              <w:rPr>
                <w:color w:val="auto"/>
              </w:rPr>
              <w:t xml:space="preserve"> ar šo projektu.</w:t>
            </w:r>
          </w:p>
        </w:tc>
      </w:tr>
    </w:tbl>
    <w:p w:rsidR="00856A3C" w:rsidRPr="00F31BFB" w:rsidRDefault="00856A3C">
      <w:pPr>
        <w:rPr>
          <w:color w:val="auto"/>
        </w:rPr>
      </w:pPr>
    </w:p>
    <w:p w:rsidR="00856A3C" w:rsidRPr="00F31BFB" w:rsidRDefault="00856A3C">
      <w:pPr>
        <w:rPr>
          <w:color w:val="auto"/>
        </w:rPr>
      </w:pPr>
    </w:p>
    <w:tbl>
      <w:tblPr>
        <w:tblW w:w="850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3020"/>
        <w:gridCol w:w="2267"/>
      </w:tblGrid>
      <w:tr w:rsidR="00856A3C" w:rsidRPr="00F31BFB" w:rsidTr="006266A3">
        <w:tc>
          <w:tcPr>
            <w:tcW w:w="8506" w:type="dxa"/>
            <w:gridSpan w:val="3"/>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jc w:val="center"/>
              <w:rPr>
                <w:b/>
                <w:color w:val="auto"/>
              </w:rPr>
            </w:pPr>
            <w:r w:rsidRPr="00F31BFB">
              <w:rPr>
                <w:b/>
                <w:color w:val="auto"/>
              </w:rPr>
              <w:t>2.tabula</w:t>
            </w:r>
            <w:r w:rsidRPr="00F31BFB">
              <w:rPr>
                <w:b/>
                <w:color w:val="auto"/>
              </w:rPr>
              <w:br/>
              <w:t>Ar tiesību akta projektu izpildītās vai uzņemtās saistības, kas izriet no starptautiskajiem tiesību aktiem vai starptautiskas institūcijas vai organizācijas dokumentiem.</w:t>
            </w:r>
            <w:r w:rsidRPr="00F31BFB">
              <w:rPr>
                <w:b/>
                <w:color w:val="auto"/>
              </w:rPr>
              <w:br/>
              <w:t>Pasākumi šo saistību izpildei</w:t>
            </w:r>
          </w:p>
        </w:tc>
      </w:tr>
      <w:tr w:rsidR="00856A3C" w:rsidRPr="00F31BFB" w:rsidTr="006266A3">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Attiecīgā starptautiskā tiesību akta vai starptautiskas institūcijas vai organizācijas dokumenta (turpmāk – starptautiskais dokuments) datums, numurs un nosaukums</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Apvienoto Nāciju Organizācijas Konvencijas pret transnacionālo organizēto noziedzību 2001. gada 31. maija Protokols par šaujamieroču, to detaļu, sastāvdaļu un munīcijas nelegālas izgatavošanas un aprites apkarošanu</w:t>
            </w:r>
          </w:p>
        </w:tc>
      </w:tr>
      <w:tr w:rsidR="00856A3C" w:rsidRPr="00F31BFB" w:rsidTr="006266A3">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A</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B</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C</w:t>
            </w:r>
          </w:p>
        </w:tc>
      </w:tr>
      <w:tr w:rsidR="00856A3C" w:rsidRPr="00F31BFB" w:rsidTr="006266A3">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 xml:space="preserve">Starptautiskās saistības (pēc būtības), kas izriet no norādītā starptautiskā dokumenta. </w:t>
            </w:r>
          </w:p>
          <w:p w:rsidR="00856A3C" w:rsidRPr="00F31BFB" w:rsidRDefault="00856A3C" w:rsidP="00856A3C">
            <w:pPr>
              <w:rPr>
                <w:color w:val="auto"/>
              </w:rPr>
            </w:pPr>
            <w:r w:rsidRPr="00F31BFB">
              <w:rPr>
                <w:color w:val="auto"/>
              </w:rPr>
              <w:t>Konkrēti veicamie pasākumi vai uzdevumi, kas nepieciešami šo starptautisko saistību izpildei</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 xml:space="preserve">Informācija par to, </w:t>
            </w:r>
            <w:proofErr w:type="gramStart"/>
            <w:r w:rsidRPr="00F31BFB">
              <w:rPr>
                <w:color w:val="auto"/>
              </w:rPr>
              <w:t>vai starptautiskās saistības, kas minētas šīs tabulas A ailē, tiek</w:t>
            </w:r>
            <w:proofErr w:type="gramEnd"/>
            <w:r w:rsidRPr="00F31BFB">
              <w:rPr>
                <w:color w:val="auto"/>
              </w:rPr>
              <w:t xml:space="preserve"> izpildītas pilnībā vai daļēji. </w:t>
            </w:r>
          </w:p>
          <w:p w:rsidR="00856A3C" w:rsidRPr="00F31BFB" w:rsidRDefault="00856A3C" w:rsidP="00856A3C">
            <w:pPr>
              <w:rPr>
                <w:color w:val="auto"/>
              </w:rPr>
            </w:pPr>
            <w:r w:rsidRPr="00F31BFB">
              <w:rPr>
                <w:color w:val="auto"/>
              </w:rPr>
              <w:t xml:space="preserve">Ja attiecīgās starptautiskās saistības tiek izpildītas daļēji, sniedz skaidrojumu, </w:t>
            </w:r>
            <w:r w:rsidRPr="00F31BFB">
              <w:rPr>
                <w:color w:val="auto"/>
              </w:rPr>
              <w:lastRenderedPageBreak/>
              <w:t>kā arī precīzi norāda, kad un kādā veidā starptautiskās saistības tiks izpildītas pilnībā.</w:t>
            </w:r>
          </w:p>
          <w:p w:rsidR="00856A3C" w:rsidRPr="00F31BFB" w:rsidRDefault="00856A3C" w:rsidP="00856A3C">
            <w:pPr>
              <w:rPr>
                <w:color w:val="auto"/>
              </w:rPr>
            </w:pPr>
            <w:r w:rsidRPr="00F31BFB">
              <w:rPr>
                <w:color w:val="auto"/>
              </w:rPr>
              <w:t>Norāda institūciju, kas ir atbildīga par šo saistību izpildi pilnībā</w:t>
            </w:r>
          </w:p>
        </w:tc>
      </w:tr>
      <w:tr w:rsidR="00856A3C" w:rsidRPr="00F31BFB" w:rsidTr="006266A3">
        <w:trPr>
          <w:trHeight w:val="477"/>
        </w:trPr>
        <w:tc>
          <w:tcPr>
            <w:tcW w:w="3219"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D36C00" w:rsidP="00856A3C">
            <w:pPr>
              <w:rPr>
                <w:color w:val="auto"/>
              </w:rPr>
            </w:pPr>
            <w:r w:rsidRPr="00F31BFB">
              <w:rPr>
                <w:color w:val="auto"/>
              </w:rPr>
              <w:lastRenderedPageBreak/>
              <w:t>8. panta</w:t>
            </w:r>
            <w:r w:rsidR="00856A3C" w:rsidRPr="00F31BFB">
              <w:rPr>
                <w:color w:val="auto"/>
              </w:rPr>
              <w:t xml:space="preserve"> pirmās daļas a) apakšpunkts</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Projekta 2.punkts</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Izpildītas pilnībā.</w:t>
            </w:r>
          </w:p>
        </w:tc>
      </w:tr>
      <w:tr w:rsidR="00856A3C" w:rsidRPr="00F31BFB" w:rsidTr="006266A3">
        <w:tc>
          <w:tcPr>
            <w:tcW w:w="3219"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D36C00" w:rsidP="00856A3C">
            <w:pPr>
              <w:rPr>
                <w:color w:val="auto"/>
              </w:rPr>
            </w:pPr>
            <w:r w:rsidRPr="00F31BFB">
              <w:rPr>
                <w:color w:val="auto"/>
              </w:rPr>
              <w:t>8. panta</w:t>
            </w:r>
            <w:r w:rsidR="00856A3C" w:rsidRPr="00F31BFB">
              <w:rPr>
                <w:color w:val="auto"/>
              </w:rPr>
              <w:t xml:space="preserve"> pirmās daļas b) apakšpunkts</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 xml:space="preserve">Projekta </w:t>
            </w:r>
            <w:r w:rsidR="00B10B4B" w:rsidRPr="00F31BFB">
              <w:rPr>
                <w:color w:val="auto"/>
              </w:rPr>
              <w:t>13</w:t>
            </w:r>
            <w:r w:rsidRPr="00F31BFB">
              <w:rPr>
                <w:color w:val="auto"/>
              </w:rPr>
              <w:t>.punkts</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Izpildītas pilnībā.</w:t>
            </w:r>
          </w:p>
        </w:tc>
      </w:tr>
      <w:tr w:rsidR="00856A3C" w:rsidRPr="00F31BFB" w:rsidTr="006266A3">
        <w:tc>
          <w:tcPr>
            <w:tcW w:w="3219"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D36C00" w:rsidP="00856A3C">
            <w:pPr>
              <w:rPr>
                <w:color w:val="auto"/>
              </w:rPr>
            </w:pPr>
            <w:r w:rsidRPr="00F31BFB">
              <w:rPr>
                <w:color w:val="auto"/>
              </w:rPr>
              <w:t>8. panta</w:t>
            </w:r>
            <w:r w:rsidR="00856A3C" w:rsidRPr="00F31BFB">
              <w:rPr>
                <w:color w:val="auto"/>
              </w:rPr>
              <w:t xml:space="preserve"> pirmās daļas c) apakšpunkts</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Projekta 16.punkts</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Izpildītas pilnībā</w:t>
            </w:r>
          </w:p>
        </w:tc>
      </w:tr>
      <w:tr w:rsidR="00856A3C" w:rsidRPr="00F31BFB" w:rsidTr="006266A3">
        <w:tc>
          <w:tcPr>
            <w:tcW w:w="3219"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D36C00" w:rsidP="00856A3C">
            <w:pPr>
              <w:rPr>
                <w:color w:val="auto"/>
              </w:rPr>
            </w:pPr>
            <w:r w:rsidRPr="00F31BFB">
              <w:rPr>
                <w:color w:val="auto"/>
              </w:rPr>
              <w:t>8. panta</w:t>
            </w:r>
            <w:r w:rsidR="00856A3C" w:rsidRPr="00F31BFB">
              <w:rPr>
                <w:color w:val="auto"/>
              </w:rPr>
              <w:t xml:space="preserve"> otrā daļa</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Projekta</w:t>
            </w:r>
            <w:r w:rsidR="00B10B4B" w:rsidRPr="00F31BFB">
              <w:rPr>
                <w:color w:val="auto"/>
              </w:rPr>
              <w:t xml:space="preserve"> 5.punkts, 8.punkts, 10.punkts, 14</w:t>
            </w:r>
            <w:r w:rsidRPr="00F31BFB">
              <w:rPr>
                <w:color w:val="auto"/>
              </w:rPr>
              <w:t>.punkts</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tcPr>
          <w:p w:rsidR="00856A3C" w:rsidRPr="00F31BFB" w:rsidRDefault="00856A3C" w:rsidP="00856A3C">
            <w:pPr>
              <w:rPr>
                <w:color w:val="auto"/>
              </w:rPr>
            </w:pPr>
            <w:r w:rsidRPr="00F31BFB">
              <w:rPr>
                <w:color w:val="auto"/>
              </w:rPr>
              <w:t>Izpildītas pilnībā</w:t>
            </w:r>
          </w:p>
        </w:tc>
      </w:tr>
      <w:tr w:rsidR="00856A3C" w:rsidRPr="00F31BFB" w:rsidTr="006266A3">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Vai starptautiskajā dokumentā paredzētās saistības nav pretrunā ar jau esošajām Latvijas Republikas starptautiskajām saistībām</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Projekts šo jomu neskar.</w:t>
            </w:r>
          </w:p>
        </w:tc>
      </w:tr>
      <w:tr w:rsidR="00856A3C" w:rsidRPr="00F31BFB" w:rsidTr="006266A3">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Cita informācija</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rsidR="00856A3C" w:rsidRPr="00F31BFB" w:rsidRDefault="00856A3C" w:rsidP="00856A3C">
            <w:pPr>
              <w:rPr>
                <w:color w:val="auto"/>
              </w:rPr>
            </w:pPr>
            <w:r w:rsidRPr="00F31BFB">
              <w:rPr>
                <w:color w:val="auto"/>
              </w:rPr>
              <w:t>Nav.</w:t>
            </w:r>
          </w:p>
        </w:tc>
      </w:tr>
    </w:tbl>
    <w:p w:rsidR="00856A3C" w:rsidRPr="00F31BFB" w:rsidRDefault="00856A3C">
      <w:pPr>
        <w:rPr>
          <w:color w:val="auto"/>
        </w:rPr>
      </w:pPr>
    </w:p>
    <w:p w:rsidR="000C7EFF" w:rsidRPr="00F31BFB" w:rsidRDefault="00E203EE">
      <w:pPr>
        <w:shd w:val="clear" w:color="auto" w:fill="FFFFFF"/>
        <w:ind w:firstLine="300"/>
        <w:rPr>
          <w:color w:val="auto"/>
        </w:rPr>
      </w:pPr>
      <w:r w:rsidRPr="00F31BFB">
        <w:rPr>
          <w:rFonts w:eastAsia="Arial"/>
          <w:color w:val="auto"/>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DF1B2F" w:rsidRPr="00F31BFB">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VI. Sabiedrības līdzdalība un komunikācijas aktivitātes</w:t>
            </w:r>
          </w:p>
        </w:tc>
      </w:tr>
      <w:tr w:rsidR="00DF1B2F" w:rsidRPr="00F31BFB">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7D7232">
            <w:pPr>
              <w:spacing w:after="120"/>
              <w:jc w:val="both"/>
              <w:rPr>
                <w:color w:val="auto"/>
              </w:rPr>
            </w:pPr>
            <w:r w:rsidRPr="00F31BFB">
              <w:rPr>
                <w:color w:val="auto"/>
              </w:rPr>
              <w:t>Sabiedrības līdzdalība tika nodrošināta saskaņā ar Ministru kabineta 2009.</w:t>
            </w:r>
            <w:r w:rsidR="000069E7" w:rsidRPr="00F31BFB">
              <w:rPr>
                <w:color w:val="auto"/>
              </w:rPr>
              <w:t> </w:t>
            </w:r>
            <w:r w:rsidRPr="00F31BFB">
              <w:rPr>
                <w:color w:val="auto"/>
              </w:rPr>
              <w:t>gada 25.</w:t>
            </w:r>
            <w:r w:rsidR="000069E7" w:rsidRPr="00F31BFB">
              <w:rPr>
                <w:color w:val="auto"/>
              </w:rPr>
              <w:t> </w:t>
            </w:r>
            <w:r w:rsidRPr="00F31BFB">
              <w:rPr>
                <w:color w:val="auto"/>
              </w:rPr>
              <w:t>augusta noteikumiem Nr.</w:t>
            </w:r>
            <w:r w:rsidR="000069E7" w:rsidRPr="00F31BFB">
              <w:rPr>
                <w:color w:val="auto"/>
              </w:rPr>
              <w:t xml:space="preserve"> </w:t>
            </w:r>
            <w:r w:rsidRPr="00F31BFB">
              <w:rPr>
                <w:color w:val="auto"/>
              </w:rPr>
              <w:t>970 “Sabiedrības līdzdalības kārtība attīstības plānošanas procesā”, sagatavojot un publicējot paziņojumu par līdzdalības procesu.</w:t>
            </w:r>
          </w:p>
        </w:tc>
      </w:tr>
      <w:tr w:rsidR="00DF1B2F" w:rsidRPr="00F31BFB">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7D7232" w:rsidP="00B77A1A">
            <w:pPr>
              <w:spacing w:after="120"/>
              <w:jc w:val="both"/>
              <w:rPr>
                <w:color w:val="auto"/>
              </w:rPr>
            </w:pPr>
            <w:r w:rsidRPr="00F31BFB">
              <w:rPr>
                <w:color w:val="auto"/>
              </w:rPr>
              <w:t>Projekts pirms izsludināšana</w:t>
            </w:r>
            <w:r w:rsidR="001A479C" w:rsidRPr="00F31BFB">
              <w:rPr>
                <w:color w:val="auto"/>
              </w:rPr>
              <w:t>s Valsts sekretāru sanāksmē tika</w:t>
            </w:r>
            <w:r w:rsidRPr="00F31BFB">
              <w:rPr>
                <w:color w:val="auto"/>
              </w:rPr>
              <w:t xml:space="preserve"> ievietots Iekšlietu ministrijas tīmekļvietnē www.iem.gov.lv sadaļā “Sabiedrības līdzdalība”, </w:t>
            </w:r>
            <w:proofErr w:type="gramStart"/>
            <w:r w:rsidRPr="00F31BFB">
              <w:rPr>
                <w:color w:val="auto"/>
              </w:rPr>
              <w:t>aicinot sabiedrību rakstveida</w:t>
            </w:r>
            <w:proofErr w:type="gramEnd"/>
            <w:r w:rsidRPr="00F31BFB">
              <w:rPr>
                <w:color w:val="auto"/>
              </w:rPr>
              <w:t xml:space="preserve"> izteikt savu viedokli par p</w:t>
            </w:r>
            <w:r w:rsidR="00E46100" w:rsidRPr="00F31BFB">
              <w:rPr>
                <w:color w:val="auto"/>
              </w:rPr>
              <w:t>rojektu līdz 2018.</w:t>
            </w:r>
            <w:r w:rsidR="000351D1" w:rsidRPr="00F31BFB">
              <w:rPr>
                <w:color w:val="auto"/>
              </w:rPr>
              <w:t> </w:t>
            </w:r>
            <w:r w:rsidR="00E46100" w:rsidRPr="00F31BFB">
              <w:rPr>
                <w:color w:val="auto"/>
              </w:rPr>
              <w:t xml:space="preserve">gada </w:t>
            </w:r>
            <w:r w:rsidR="0064059C" w:rsidRPr="00F31BFB">
              <w:rPr>
                <w:color w:val="auto"/>
              </w:rPr>
              <w:t>25.</w:t>
            </w:r>
            <w:r w:rsidR="000351D1" w:rsidRPr="00F31BFB">
              <w:rPr>
                <w:color w:val="auto"/>
              </w:rPr>
              <w:t> </w:t>
            </w:r>
            <w:r w:rsidR="00B77A1A" w:rsidRPr="00F31BFB">
              <w:rPr>
                <w:color w:val="auto"/>
              </w:rPr>
              <w:t>jūlijam. Projekts</w:t>
            </w:r>
            <w:r w:rsidRPr="00F31BFB">
              <w:rPr>
                <w:color w:val="auto"/>
              </w:rPr>
              <w:t xml:space="preserve"> pēc izsludināšanas Valsts sekretāru sanāksmē </w:t>
            </w:r>
            <w:r w:rsidR="00E46100" w:rsidRPr="00F31BFB">
              <w:rPr>
                <w:color w:val="auto"/>
              </w:rPr>
              <w:t xml:space="preserve">būs </w:t>
            </w:r>
            <w:r w:rsidRPr="00F31BFB">
              <w:rPr>
                <w:color w:val="auto"/>
              </w:rPr>
              <w:t>pieejams Ministru ka</w:t>
            </w:r>
            <w:r w:rsidR="000351D1" w:rsidRPr="00F31BFB">
              <w:rPr>
                <w:color w:val="auto"/>
              </w:rPr>
              <w:t xml:space="preserve">bineta mājas lapā </w:t>
            </w:r>
            <w:hyperlink r:id="rId8" w:history="1">
              <w:r w:rsidR="000351D1" w:rsidRPr="00F31BFB">
                <w:rPr>
                  <w:rStyle w:val="Hyperlink"/>
                  <w:color w:val="auto"/>
                </w:rPr>
                <w:t>www.mk.gov.lv</w:t>
              </w:r>
            </w:hyperlink>
            <w:proofErr w:type="gramStart"/>
            <w:r w:rsidR="000351D1" w:rsidRPr="00F31BFB">
              <w:rPr>
                <w:color w:val="auto"/>
              </w:rPr>
              <w:t xml:space="preserve"> .</w:t>
            </w:r>
            <w:proofErr w:type="gramEnd"/>
            <w:r w:rsidR="001A479C" w:rsidRPr="00F31BFB">
              <w:rPr>
                <w:color w:val="auto"/>
              </w:rPr>
              <w:t xml:space="preserve"> Projekta izstrādes laikā priekšlikumi netika saņemti.</w:t>
            </w:r>
          </w:p>
        </w:tc>
      </w:tr>
      <w:tr w:rsidR="00DF1B2F" w:rsidRPr="00F31BFB">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E46100">
            <w:pPr>
              <w:spacing w:after="120"/>
              <w:rPr>
                <w:color w:val="auto"/>
              </w:rPr>
            </w:pPr>
            <w:r w:rsidRPr="00F31BFB">
              <w:rPr>
                <w:color w:val="auto"/>
              </w:rPr>
              <w:t>Nav</w:t>
            </w:r>
          </w:p>
        </w:tc>
      </w:tr>
      <w:tr w:rsidR="00DF1B2F" w:rsidRPr="00F31BFB">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4.</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Nav</w:t>
            </w:r>
          </w:p>
        </w:tc>
      </w:tr>
    </w:tbl>
    <w:p w:rsidR="000C7EFF" w:rsidRPr="00F31BFB" w:rsidRDefault="00E203EE">
      <w:pPr>
        <w:shd w:val="clear" w:color="auto" w:fill="FFFFFF"/>
        <w:ind w:firstLine="300"/>
        <w:rPr>
          <w:color w:val="auto"/>
        </w:rPr>
      </w:pPr>
      <w:r w:rsidRPr="00F31BFB">
        <w:rPr>
          <w:rFonts w:eastAsia="Arial"/>
          <w:color w:val="auto"/>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DF1B2F" w:rsidRPr="00F31BFB">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lastRenderedPageBreak/>
              <w:t>VII. Tiesību akta projekta izpildes nodrošināšana un tās ietekme uz institūcijām</w:t>
            </w:r>
          </w:p>
        </w:tc>
      </w:tr>
      <w:tr w:rsidR="00DF1B2F" w:rsidRPr="00F31BFB">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E203EE" w:rsidP="000351D1">
            <w:pPr>
              <w:spacing w:after="120"/>
              <w:jc w:val="both"/>
              <w:rPr>
                <w:color w:val="auto"/>
              </w:rPr>
            </w:pPr>
            <w:r w:rsidRPr="00F31BFB">
              <w:rPr>
                <w:color w:val="auto"/>
              </w:rPr>
              <w:t>Valsts policija,</w:t>
            </w:r>
            <w:r w:rsidR="00200061" w:rsidRPr="00F31BFB">
              <w:rPr>
                <w:color w:val="auto"/>
              </w:rPr>
              <w:t xml:space="preserve"> Valsts ieņēmum</w:t>
            </w:r>
            <w:r w:rsidR="000351D1" w:rsidRPr="00F31BFB">
              <w:rPr>
                <w:color w:val="auto"/>
              </w:rPr>
              <w:t>u</w:t>
            </w:r>
            <w:r w:rsidR="00200061" w:rsidRPr="00F31BFB">
              <w:rPr>
                <w:color w:val="auto"/>
              </w:rPr>
              <w:t xml:space="preserve"> dienesta Muitas iestādes</w:t>
            </w:r>
          </w:p>
        </w:tc>
      </w:tr>
      <w:tr w:rsidR="00DF1B2F" w:rsidRPr="00F31BFB">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izpildes ietekme uz pārvaldes funkcijām un institucionālo struktūru.</w:t>
            </w:r>
          </w:p>
          <w:p w:rsidR="000C7EFF" w:rsidRPr="00F31BFB" w:rsidRDefault="00E203EE">
            <w:pPr>
              <w:rPr>
                <w:color w:val="auto"/>
              </w:rPr>
            </w:pPr>
            <w:r w:rsidRPr="00F31BFB">
              <w:rPr>
                <w:color w:val="auto"/>
              </w:rP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jc w:val="both"/>
              <w:rPr>
                <w:color w:val="auto"/>
              </w:rPr>
            </w:pPr>
            <w:r w:rsidRPr="00F31BFB">
              <w:rPr>
                <w:color w:val="auto"/>
              </w:rPr>
              <w:t>Projekta izpildes rezultātā nav paredzēta esošu institūciju likvidācija vai reorganizācija. Iestāžu institucionālā struktūra netiek ietekmēta, papildus cilvēkresursi nav nepieciešami.</w:t>
            </w:r>
          </w:p>
        </w:tc>
      </w:tr>
      <w:tr w:rsidR="000C7EFF" w:rsidRPr="00F31BFB">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Nav</w:t>
            </w:r>
          </w:p>
        </w:tc>
      </w:tr>
    </w:tbl>
    <w:p w:rsidR="00200061" w:rsidRPr="00F31BFB" w:rsidRDefault="00200061">
      <w:pPr>
        <w:tabs>
          <w:tab w:val="left" w:pos="6237"/>
        </w:tabs>
        <w:spacing w:after="120"/>
        <w:rPr>
          <w:color w:val="auto"/>
        </w:rPr>
      </w:pPr>
    </w:p>
    <w:p w:rsidR="000C7EFF" w:rsidRPr="00F31BFB" w:rsidRDefault="008E359E" w:rsidP="001A479C">
      <w:pPr>
        <w:tabs>
          <w:tab w:val="left" w:pos="6237"/>
        </w:tabs>
        <w:spacing w:after="120"/>
        <w:rPr>
          <w:color w:val="auto"/>
        </w:rPr>
      </w:pPr>
      <w:r w:rsidRPr="00F31BFB">
        <w:rPr>
          <w:color w:val="auto"/>
        </w:rPr>
        <w:t>Iekšlietu ministrs</w:t>
      </w:r>
      <w:r w:rsidRPr="00F31BFB">
        <w:rPr>
          <w:color w:val="auto"/>
        </w:rPr>
        <w:tab/>
        <w:t xml:space="preserve">Sandis </w:t>
      </w:r>
      <w:proofErr w:type="spellStart"/>
      <w:r w:rsidRPr="00F31BFB">
        <w:rPr>
          <w:color w:val="auto"/>
        </w:rPr>
        <w:t>Ģirģens</w:t>
      </w:r>
      <w:proofErr w:type="spellEnd"/>
    </w:p>
    <w:p w:rsidR="001A479C" w:rsidRPr="00F31BFB" w:rsidRDefault="001A479C">
      <w:pPr>
        <w:spacing w:after="120"/>
        <w:rPr>
          <w:color w:val="auto"/>
        </w:rPr>
      </w:pPr>
    </w:p>
    <w:p w:rsidR="000C7EFF" w:rsidRPr="00F31BFB" w:rsidRDefault="00E203EE">
      <w:pPr>
        <w:spacing w:after="120"/>
        <w:rPr>
          <w:color w:val="auto"/>
        </w:rPr>
      </w:pPr>
      <w:r w:rsidRPr="00F31BFB">
        <w:rPr>
          <w:color w:val="auto"/>
        </w:rPr>
        <w:t>Vīza:</w:t>
      </w:r>
    </w:p>
    <w:p w:rsidR="000C7EFF" w:rsidRPr="00F31BFB" w:rsidRDefault="00E203EE" w:rsidP="001A479C">
      <w:pPr>
        <w:tabs>
          <w:tab w:val="left" w:pos="6237"/>
        </w:tabs>
        <w:spacing w:after="120"/>
        <w:rPr>
          <w:color w:val="auto"/>
        </w:rPr>
      </w:pPr>
      <w:r w:rsidRPr="00F31BFB">
        <w:rPr>
          <w:color w:val="auto"/>
        </w:rPr>
        <w:t>valsts sekretārs</w:t>
      </w:r>
      <w:r w:rsidRPr="00F31BFB">
        <w:rPr>
          <w:color w:val="auto"/>
        </w:rPr>
        <w:tab/>
        <w:t>Dimitrijs Trofimovs</w:t>
      </w:r>
    </w:p>
    <w:p w:rsidR="001A479C" w:rsidRPr="00F31BFB" w:rsidRDefault="001A479C">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bookmarkStart w:id="1" w:name="_GoBack"/>
      <w:bookmarkEnd w:id="1"/>
    </w:p>
    <w:p w:rsidR="00346CA1" w:rsidRDefault="00346CA1">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0C7EFF" w:rsidRPr="00346CA1" w:rsidRDefault="00E203EE">
      <w:pPr>
        <w:rPr>
          <w:color w:val="auto"/>
          <w:sz w:val="20"/>
          <w:szCs w:val="20"/>
        </w:rPr>
      </w:pPr>
      <w:proofErr w:type="spellStart"/>
      <w:r w:rsidRPr="00346CA1">
        <w:rPr>
          <w:color w:val="auto"/>
          <w:sz w:val="20"/>
          <w:szCs w:val="20"/>
        </w:rPr>
        <w:t>A.Melkers</w:t>
      </w:r>
      <w:proofErr w:type="spellEnd"/>
      <w:r w:rsidRPr="00346CA1">
        <w:rPr>
          <w:color w:val="auto"/>
          <w:sz w:val="20"/>
          <w:szCs w:val="20"/>
        </w:rPr>
        <w:t xml:space="preserve"> 67208232</w:t>
      </w:r>
    </w:p>
    <w:p w:rsidR="000C7EFF" w:rsidRPr="00346CA1" w:rsidRDefault="00BB49EB">
      <w:pPr>
        <w:tabs>
          <w:tab w:val="left" w:pos="6237"/>
        </w:tabs>
        <w:rPr>
          <w:color w:val="auto"/>
          <w:sz w:val="20"/>
          <w:szCs w:val="20"/>
        </w:rPr>
      </w:pPr>
      <w:hyperlink r:id="rId9">
        <w:r w:rsidR="00E203EE" w:rsidRPr="00346CA1">
          <w:rPr>
            <w:color w:val="auto"/>
            <w:sz w:val="20"/>
            <w:szCs w:val="20"/>
            <w:u w:val="single"/>
          </w:rPr>
          <w:t>andris.melkers@vp.gov.lv</w:t>
        </w:r>
      </w:hyperlink>
      <w:r w:rsidR="00E203EE" w:rsidRPr="00346CA1">
        <w:rPr>
          <w:color w:val="auto"/>
          <w:sz w:val="20"/>
          <w:szCs w:val="20"/>
        </w:rPr>
        <w:t xml:space="preserve"> </w:t>
      </w:r>
    </w:p>
    <w:sectPr w:rsidR="000C7EFF" w:rsidRPr="00346CA1">
      <w:headerReference w:type="default" r:id="rId10"/>
      <w:footerReference w:type="default" r:id="rId11"/>
      <w:footerReference w:type="first" r:id="rId12"/>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EB" w:rsidRDefault="00BB49EB">
      <w:r>
        <w:separator/>
      </w:r>
    </w:p>
  </w:endnote>
  <w:endnote w:type="continuationSeparator" w:id="0">
    <w:p w:rsidR="00BB49EB" w:rsidRDefault="00BB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40" w:rsidRDefault="008E359E" w:rsidP="00FD229D">
    <w:pPr>
      <w:tabs>
        <w:tab w:val="center" w:pos="4153"/>
        <w:tab w:val="right" w:pos="8306"/>
      </w:tabs>
      <w:jc w:val="both"/>
    </w:pPr>
    <w:r>
      <w:rPr>
        <w:sz w:val="20"/>
        <w:szCs w:val="20"/>
      </w:rPr>
      <w:t>IEMAnot_050219</w:t>
    </w:r>
    <w:r w:rsidR="00FD229D">
      <w:rPr>
        <w:sz w:val="20"/>
        <w:szCs w:val="20"/>
      </w:rPr>
      <w:t>_markesana;</w:t>
    </w:r>
    <w:r w:rsidR="00FD229D">
      <w:t xml:space="preserve"> </w:t>
    </w:r>
    <w:r w:rsidR="00FD229D" w:rsidRPr="00FD229D">
      <w:rPr>
        <w:sz w:val="20"/>
        <w:szCs w:val="20"/>
      </w:rPr>
      <w:t>Ministru kabi</w:t>
    </w:r>
    <w:r w:rsidR="00FD229D">
      <w:rPr>
        <w:sz w:val="20"/>
        <w:szCs w:val="20"/>
      </w:rPr>
      <w:t>neta noteikumu projekta</w:t>
    </w:r>
    <w:r w:rsidR="00FD229D" w:rsidRPr="00FD229D">
      <w:rPr>
        <w:sz w:val="20"/>
        <w:szCs w:val="20"/>
      </w:rPr>
      <w:t xml:space="preserve"> „Šaujamieroču, to būtisko sastāvdaļu un munīcijas, lielas enerģijas pneimatisko ieroču un gāzes ieroču un signālieroču marķēšanas kārtība”</w:t>
    </w:r>
    <w:r w:rsidR="00FD229D">
      <w:rPr>
        <w:sz w:val="20"/>
        <w:szCs w:val="20"/>
      </w:rPr>
      <w:t xml:space="preserve">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40" w:rsidRDefault="008E359E">
    <w:pPr>
      <w:tabs>
        <w:tab w:val="center" w:pos="4153"/>
        <w:tab w:val="right" w:pos="8306"/>
      </w:tabs>
      <w:jc w:val="both"/>
      <w:rPr>
        <w:sz w:val="20"/>
        <w:szCs w:val="20"/>
      </w:rPr>
    </w:pPr>
    <w:r>
      <w:rPr>
        <w:sz w:val="20"/>
        <w:szCs w:val="20"/>
      </w:rPr>
      <w:t>IEMAnot_050219</w:t>
    </w:r>
    <w:r w:rsidR="00FD229D">
      <w:rPr>
        <w:sz w:val="20"/>
        <w:szCs w:val="20"/>
      </w:rPr>
      <w:t>_markesana;</w:t>
    </w:r>
    <w:r w:rsidR="00FD229D">
      <w:t xml:space="preserve"> </w:t>
    </w:r>
    <w:r w:rsidR="00FD229D" w:rsidRPr="00FD229D">
      <w:rPr>
        <w:sz w:val="20"/>
        <w:szCs w:val="20"/>
      </w:rPr>
      <w:t>Ministru kabi</w:t>
    </w:r>
    <w:r w:rsidR="00FD229D">
      <w:rPr>
        <w:sz w:val="20"/>
        <w:szCs w:val="20"/>
      </w:rPr>
      <w:t>neta noteikumu projekta</w:t>
    </w:r>
    <w:r w:rsidR="00FD229D" w:rsidRPr="00FD229D">
      <w:rPr>
        <w:sz w:val="20"/>
        <w:szCs w:val="20"/>
      </w:rPr>
      <w:t xml:space="preserve"> „Šaujamieroču, to būtisko sastāvdaļu un munīcijas, lielas enerģijas pneimatisko ieroču un gāzes ieroču un signālieroču marķēšanas kārtība”</w:t>
    </w:r>
    <w:r w:rsidR="00816740">
      <w:rPr>
        <w:sz w:val="20"/>
        <w:szCs w:val="20"/>
      </w:rPr>
      <w:t xml:space="preserve"> sākotnējās ietekmes novērtējuma ziņojums (anotācija)</w:t>
    </w:r>
  </w:p>
  <w:p w:rsidR="00816740" w:rsidRDefault="00816740">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EB" w:rsidRDefault="00BB49EB">
      <w:r>
        <w:separator/>
      </w:r>
    </w:p>
  </w:footnote>
  <w:footnote w:type="continuationSeparator" w:id="0">
    <w:p w:rsidR="00BB49EB" w:rsidRDefault="00BB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40" w:rsidRDefault="00816740">
    <w:pPr>
      <w:tabs>
        <w:tab w:val="center" w:pos="4153"/>
        <w:tab w:val="right" w:pos="8306"/>
      </w:tabs>
      <w:jc w:val="center"/>
    </w:pPr>
    <w:r>
      <w:fldChar w:fldCharType="begin"/>
    </w:r>
    <w:r>
      <w:instrText>PAGE</w:instrText>
    </w:r>
    <w:r>
      <w:fldChar w:fldCharType="separate"/>
    </w:r>
    <w:r w:rsidR="00346CA1">
      <w:rPr>
        <w:noProof/>
      </w:rPr>
      <w:t>12</w:t>
    </w:r>
    <w:r>
      <w:fldChar w:fldCharType="end"/>
    </w:r>
  </w:p>
  <w:p w:rsidR="00816740" w:rsidRDefault="00816740">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64D80D1F"/>
    <w:multiLevelType w:val="hybridMultilevel"/>
    <w:tmpl w:val="9A82D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69E7"/>
    <w:rsid w:val="00014BB1"/>
    <w:rsid w:val="000172FA"/>
    <w:rsid w:val="000273A0"/>
    <w:rsid w:val="000351D1"/>
    <w:rsid w:val="000374AC"/>
    <w:rsid w:val="0004015B"/>
    <w:rsid w:val="000533BB"/>
    <w:rsid w:val="00053455"/>
    <w:rsid w:val="0006278D"/>
    <w:rsid w:val="00064CA1"/>
    <w:rsid w:val="00064F4B"/>
    <w:rsid w:val="00075573"/>
    <w:rsid w:val="00081FA0"/>
    <w:rsid w:val="00082410"/>
    <w:rsid w:val="00082E0F"/>
    <w:rsid w:val="000968D6"/>
    <w:rsid w:val="000A077C"/>
    <w:rsid w:val="000C3D13"/>
    <w:rsid w:val="000C7EFF"/>
    <w:rsid w:val="000D7FD6"/>
    <w:rsid w:val="000E67F7"/>
    <w:rsid w:val="00115578"/>
    <w:rsid w:val="001279B9"/>
    <w:rsid w:val="00141FD1"/>
    <w:rsid w:val="00146F93"/>
    <w:rsid w:val="00147972"/>
    <w:rsid w:val="00151A8E"/>
    <w:rsid w:val="00166393"/>
    <w:rsid w:val="001719CC"/>
    <w:rsid w:val="00180E8E"/>
    <w:rsid w:val="00192D29"/>
    <w:rsid w:val="00195761"/>
    <w:rsid w:val="001A0ECC"/>
    <w:rsid w:val="001A479C"/>
    <w:rsid w:val="001B0C3C"/>
    <w:rsid w:val="001C677B"/>
    <w:rsid w:val="001C6A4F"/>
    <w:rsid w:val="001C6C02"/>
    <w:rsid w:val="001D744F"/>
    <w:rsid w:val="001E1BED"/>
    <w:rsid w:val="001F097B"/>
    <w:rsid w:val="001F39A7"/>
    <w:rsid w:val="001F4EB5"/>
    <w:rsid w:val="001F7009"/>
    <w:rsid w:val="00200061"/>
    <w:rsid w:val="00201021"/>
    <w:rsid w:val="00201195"/>
    <w:rsid w:val="002053E0"/>
    <w:rsid w:val="002163F3"/>
    <w:rsid w:val="00217183"/>
    <w:rsid w:val="00236044"/>
    <w:rsid w:val="00240E7D"/>
    <w:rsid w:val="00244A38"/>
    <w:rsid w:val="0024768C"/>
    <w:rsid w:val="00254B85"/>
    <w:rsid w:val="00257B87"/>
    <w:rsid w:val="00263E82"/>
    <w:rsid w:val="00272454"/>
    <w:rsid w:val="002B0B65"/>
    <w:rsid w:val="002B2A4E"/>
    <w:rsid w:val="002B790B"/>
    <w:rsid w:val="002C568F"/>
    <w:rsid w:val="002D3D35"/>
    <w:rsid w:val="002D78CD"/>
    <w:rsid w:val="002F26B0"/>
    <w:rsid w:val="00304C06"/>
    <w:rsid w:val="003106E4"/>
    <w:rsid w:val="003127D2"/>
    <w:rsid w:val="0034513B"/>
    <w:rsid w:val="00346CA1"/>
    <w:rsid w:val="00364CBA"/>
    <w:rsid w:val="00365D46"/>
    <w:rsid w:val="00366251"/>
    <w:rsid w:val="0036749B"/>
    <w:rsid w:val="0037036B"/>
    <w:rsid w:val="00370F7D"/>
    <w:rsid w:val="00373FC4"/>
    <w:rsid w:val="003757F0"/>
    <w:rsid w:val="003A2656"/>
    <w:rsid w:val="003A33ED"/>
    <w:rsid w:val="003A6202"/>
    <w:rsid w:val="003D1CBD"/>
    <w:rsid w:val="003F0F24"/>
    <w:rsid w:val="003F168A"/>
    <w:rsid w:val="00410CB1"/>
    <w:rsid w:val="004257E5"/>
    <w:rsid w:val="004258DE"/>
    <w:rsid w:val="0044150B"/>
    <w:rsid w:val="004424C2"/>
    <w:rsid w:val="00450C7B"/>
    <w:rsid w:val="004566B2"/>
    <w:rsid w:val="00462AF4"/>
    <w:rsid w:val="0046624B"/>
    <w:rsid w:val="00475636"/>
    <w:rsid w:val="004801A6"/>
    <w:rsid w:val="004873ED"/>
    <w:rsid w:val="004A3AD2"/>
    <w:rsid w:val="004B126D"/>
    <w:rsid w:val="004D5B28"/>
    <w:rsid w:val="004E036B"/>
    <w:rsid w:val="004F3456"/>
    <w:rsid w:val="00514A64"/>
    <w:rsid w:val="005206FC"/>
    <w:rsid w:val="00526DD3"/>
    <w:rsid w:val="00527753"/>
    <w:rsid w:val="0053381E"/>
    <w:rsid w:val="00553A39"/>
    <w:rsid w:val="0056188E"/>
    <w:rsid w:val="00563335"/>
    <w:rsid w:val="00564577"/>
    <w:rsid w:val="00576CD9"/>
    <w:rsid w:val="00594E21"/>
    <w:rsid w:val="005C18B6"/>
    <w:rsid w:val="005C3469"/>
    <w:rsid w:val="005C5BD0"/>
    <w:rsid w:val="005F61D8"/>
    <w:rsid w:val="00610E94"/>
    <w:rsid w:val="00621F6B"/>
    <w:rsid w:val="00625C83"/>
    <w:rsid w:val="0062658A"/>
    <w:rsid w:val="0064059C"/>
    <w:rsid w:val="00640752"/>
    <w:rsid w:val="00641D91"/>
    <w:rsid w:val="00654B81"/>
    <w:rsid w:val="006563C4"/>
    <w:rsid w:val="00657C0E"/>
    <w:rsid w:val="00683DEA"/>
    <w:rsid w:val="00693FD8"/>
    <w:rsid w:val="006A0462"/>
    <w:rsid w:val="006C025C"/>
    <w:rsid w:val="006C19A6"/>
    <w:rsid w:val="006D194D"/>
    <w:rsid w:val="006D7400"/>
    <w:rsid w:val="006E7776"/>
    <w:rsid w:val="006F2CD3"/>
    <w:rsid w:val="006F5013"/>
    <w:rsid w:val="006F5FFB"/>
    <w:rsid w:val="00707365"/>
    <w:rsid w:val="00710AB1"/>
    <w:rsid w:val="007149FF"/>
    <w:rsid w:val="00715503"/>
    <w:rsid w:val="00720F90"/>
    <w:rsid w:val="00725E09"/>
    <w:rsid w:val="007307B8"/>
    <w:rsid w:val="00735C7A"/>
    <w:rsid w:val="007438AD"/>
    <w:rsid w:val="0075350C"/>
    <w:rsid w:val="00757368"/>
    <w:rsid w:val="00760E1C"/>
    <w:rsid w:val="00765C0C"/>
    <w:rsid w:val="007709FE"/>
    <w:rsid w:val="00772216"/>
    <w:rsid w:val="00792C0B"/>
    <w:rsid w:val="00794596"/>
    <w:rsid w:val="007A42BA"/>
    <w:rsid w:val="007D7232"/>
    <w:rsid w:val="007E0A11"/>
    <w:rsid w:val="007E1561"/>
    <w:rsid w:val="007E187D"/>
    <w:rsid w:val="007E4D57"/>
    <w:rsid w:val="00807074"/>
    <w:rsid w:val="00816740"/>
    <w:rsid w:val="00816D28"/>
    <w:rsid w:val="00820979"/>
    <w:rsid w:val="00853938"/>
    <w:rsid w:val="008548A0"/>
    <w:rsid w:val="00856A3C"/>
    <w:rsid w:val="00874B66"/>
    <w:rsid w:val="008852C0"/>
    <w:rsid w:val="008B0A50"/>
    <w:rsid w:val="008C4117"/>
    <w:rsid w:val="008D53F1"/>
    <w:rsid w:val="008E359E"/>
    <w:rsid w:val="0091081B"/>
    <w:rsid w:val="00916B6C"/>
    <w:rsid w:val="00922C1D"/>
    <w:rsid w:val="009240C7"/>
    <w:rsid w:val="00924482"/>
    <w:rsid w:val="00925E81"/>
    <w:rsid w:val="009337D1"/>
    <w:rsid w:val="00937544"/>
    <w:rsid w:val="00947272"/>
    <w:rsid w:val="009570C9"/>
    <w:rsid w:val="00961FF2"/>
    <w:rsid w:val="009735B0"/>
    <w:rsid w:val="00984D79"/>
    <w:rsid w:val="009873D2"/>
    <w:rsid w:val="00995543"/>
    <w:rsid w:val="009A685B"/>
    <w:rsid w:val="009B0565"/>
    <w:rsid w:val="009B0C9E"/>
    <w:rsid w:val="009B3C3C"/>
    <w:rsid w:val="009B5F38"/>
    <w:rsid w:val="009C59B9"/>
    <w:rsid w:val="009E0620"/>
    <w:rsid w:val="009F11D7"/>
    <w:rsid w:val="009F1281"/>
    <w:rsid w:val="009F5B75"/>
    <w:rsid w:val="00A04D1A"/>
    <w:rsid w:val="00A0584A"/>
    <w:rsid w:val="00A067D7"/>
    <w:rsid w:val="00A24E0C"/>
    <w:rsid w:val="00A47B5C"/>
    <w:rsid w:val="00A572D1"/>
    <w:rsid w:val="00A7615F"/>
    <w:rsid w:val="00A7664F"/>
    <w:rsid w:val="00A779FF"/>
    <w:rsid w:val="00A869B1"/>
    <w:rsid w:val="00A97B4C"/>
    <w:rsid w:val="00AA02E7"/>
    <w:rsid w:val="00AB2DC6"/>
    <w:rsid w:val="00AB7D9C"/>
    <w:rsid w:val="00AC32C1"/>
    <w:rsid w:val="00AD467A"/>
    <w:rsid w:val="00B02660"/>
    <w:rsid w:val="00B03531"/>
    <w:rsid w:val="00B10B2D"/>
    <w:rsid w:val="00B10B4B"/>
    <w:rsid w:val="00B12C40"/>
    <w:rsid w:val="00B30574"/>
    <w:rsid w:val="00B35C88"/>
    <w:rsid w:val="00B36745"/>
    <w:rsid w:val="00B51C2B"/>
    <w:rsid w:val="00B56F08"/>
    <w:rsid w:val="00B65E3F"/>
    <w:rsid w:val="00B77A1A"/>
    <w:rsid w:val="00B81E78"/>
    <w:rsid w:val="00B821A6"/>
    <w:rsid w:val="00B908D1"/>
    <w:rsid w:val="00B90F08"/>
    <w:rsid w:val="00BB49EB"/>
    <w:rsid w:val="00BE3AD1"/>
    <w:rsid w:val="00BF024B"/>
    <w:rsid w:val="00BF1C96"/>
    <w:rsid w:val="00BF3228"/>
    <w:rsid w:val="00BF6670"/>
    <w:rsid w:val="00BF682E"/>
    <w:rsid w:val="00C10909"/>
    <w:rsid w:val="00C27AA0"/>
    <w:rsid w:val="00C30EA4"/>
    <w:rsid w:val="00C436CF"/>
    <w:rsid w:val="00C50E90"/>
    <w:rsid w:val="00C87614"/>
    <w:rsid w:val="00C93646"/>
    <w:rsid w:val="00CC065A"/>
    <w:rsid w:val="00CC2390"/>
    <w:rsid w:val="00CD537F"/>
    <w:rsid w:val="00CF09FD"/>
    <w:rsid w:val="00CF7372"/>
    <w:rsid w:val="00D02ABC"/>
    <w:rsid w:val="00D12BC1"/>
    <w:rsid w:val="00D16102"/>
    <w:rsid w:val="00D16529"/>
    <w:rsid w:val="00D21343"/>
    <w:rsid w:val="00D21A69"/>
    <w:rsid w:val="00D24814"/>
    <w:rsid w:val="00D3436A"/>
    <w:rsid w:val="00D36C00"/>
    <w:rsid w:val="00D64E93"/>
    <w:rsid w:val="00D87C81"/>
    <w:rsid w:val="00DB696D"/>
    <w:rsid w:val="00DD1337"/>
    <w:rsid w:val="00DD5409"/>
    <w:rsid w:val="00DD5D3A"/>
    <w:rsid w:val="00DF0A68"/>
    <w:rsid w:val="00DF1B2F"/>
    <w:rsid w:val="00E0334C"/>
    <w:rsid w:val="00E203EE"/>
    <w:rsid w:val="00E206EE"/>
    <w:rsid w:val="00E2250F"/>
    <w:rsid w:val="00E269B8"/>
    <w:rsid w:val="00E422D3"/>
    <w:rsid w:val="00E46100"/>
    <w:rsid w:val="00E57B17"/>
    <w:rsid w:val="00E6297E"/>
    <w:rsid w:val="00E656D7"/>
    <w:rsid w:val="00E7750C"/>
    <w:rsid w:val="00E85802"/>
    <w:rsid w:val="00EA5047"/>
    <w:rsid w:val="00EB597F"/>
    <w:rsid w:val="00ED6785"/>
    <w:rsid w:val="00ED718F"/>
    <w:rsid w:val="00EE3988"/>
    <w:rsid w:val="00EF5296"/>
    <w:rsid w:val="00EF74BB"/>
    <w:rsid w:val="00EF7A3D"/>
    <w:rsid w:val="00F17239"/>
    <w:rsid w:val="00F201CD"/>
    <w:rsid w:val="00F23F09"/>
    <w:rsid w:val="00F24776"/>
    <w:rsid w:val="00F31BFB"/>
    <w:rsid w:val="00F36E47"/>
    <w:rsid w:val="00F50908"/>
    <w:rsid w:val="00F87B92"/>
    <w:rsid w:val="00F9525F"/>
    <w:rsid w:val="00FA46A0"/>
    <w:rsid w:val="00FA4CC9"/>
    <w:rsid w:val="00FA5563"/>
    <w:rsid w:val="00FC7297"/>
    <w:rsid w:val="00FC7C0D"/>
    <w:rsid w:val="00FD229D"/>
    <w:rsid w:val="00FD2D00"/>
    <w:rsid w:val="00FD5EBE"/>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72D5"/>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melkers@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55F5-6640-4163-A69D-1D0EC41F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13851</Words>
  <Characters>7896</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JD Pretendents</cp:lastModifiedBy>
  <cp:revision>8</cp:revision>
  <cp:lastPrinted>2018-03-16T06:42:00Z</cp:lastPrinted>
  <dcterms:created xsi:type="dcterms:W3CDTF">2019-02-07T08:16:00Z</dcterms:created>
  <dcterms:modified xsi:type="dcterms:W3CDTF">2019-02-07T11:10:00Z</dcterms:modified>
</cp:coreProperties>
</file>