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53" w:rsidRPr="00F9574E" w:rsidRDefault="00863953" w:rsidP="00863953">
      <w:pPr>
        <w:jc w:val="center"/>
        <w:rPr>
          <w:b/>
        </w:rPr>
      </w:pPr>
      <w:bookmarkStart w:id="0" w:name="_gjdgxs" w:colFirst="0" w:colLast="0"/>
      <w:bookmarkEnd w:id="0"/>
      <w:r w:rsidRPr="00F9574E">
        <w:rPr>
          <w:b/>
        </w:rPr>
        <w:t>Ministru kabineta noteikumu projekta “</w:t>
      </w:r>
      <w:r w:rsidRPr="00F9574E">
        <w:rPr>
          <w:b/>
          <w:bCs/>
          <w:color w:val="auto"/>
        </w:rPr>
        <w:t>Ieroču atļauju noteikumi</w:t>
      </w:r>
      <w:r w:rsidRPr="00656786">
        <w:rPr>
          <w:b/>
          <w:bCs/>
          <w:color w:val="auto"/>
        </w:rPr>
        <w:t>, kā arī ieroču izņemšanas un iznīcināšanas kārtība</w:t>
      </w:r>
      <w:r w:rsidRPr="00F9574E">
        <w:rPr>
          <w:b/>
        </w:rPr>
        <w:t>” sākotnējās ietekmes novērtējuma ziņojums (anotācija)</w:t>
      </w:r>
    </w:p>
    <w:p w:rsidR="00863953" w:rsidRPr="00F9574E" w:rsidRDefault="00863953" w:rsidP="00863953">
      <w:pPr>
        <w:shd w:val="clear" w:color="auto" w:fill="FFFFFF"/>
        <w:ind w:firstLine="300"/>
        <w:jc w:val="cente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809"/>
      </w:tblGrid>
      <w:tr w:rsidR="00863953" w:rsidRPr="00F9574E" w:rsidTr="000D6D5B">
        <w:tc>
          <w:tcPr>
            <w:tcW w:w="8926" w:type="dxa"/>
            <w:gridSpan w:val="2"/>
            <w:tcBorders>
              <w:top w:val="single" w:sz="4" w:space="0" w:color="000000"/>
              <w:left w:val="single" w:sz="4" w:space="0" w:color="000000"/>
              <w:bottom w:val="single" w:sz="4" w:space="0" w:color="000000"/>
              <w:right w:val="single" w:sz="4" w:space="0" w:color="000000"/>
            </w:tcBorders>
            <w:shd w:val="clear" w:color="auto" w:fill="FFFFFF"/>
          </w:tcPr>
          <w:p w:rsidR="00863953" w:rsidRPr="00F9574E" w:rsidRDefault="00863953" w:rsidP="000D6D5B">
            <w:pPr>
              <w:jc w:val="center"/>
              <w:rPr>
                <w:b/>
              </w:rPr>
            </w:pPr>
            <w:r w:rsidRPr="00F9574E">
              <w:rPr>
                <w:b/>
              </w:rPr>
              <w:t xml:space="preserve">Tiesību akta projekta anotācijas kopsavilkums </w:t>
            </w:r>
          </w:p>
        </w:tc>
      </w:tr>
      <w:tr w:rsidR="00863953" w:rsidRPr="00F9574E" w:rsidTr="000D6D5B">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863953" w:rsidRPr="00F9574E" w:rsidRDefault="00863953" w:rsidP="000D6D5B">
            <w:r w:rsidRPr="00F9574E">
              <w:t xml:space="preserve">Mērķis, risinājums un projekta spēkā stāšanās laiks </w:t>
            </w:r>
          </w:p>
        </w:tc>
        <w:tc>
          <w:tcPr>
            <w:tcW w:w="5809" w:type="dxa"/>
            <w:tcBorders>
              <w:top w:val="single" w:sz="4" w:space="0" w:color="000000"/>
              <w:left w:val="single" w:sz="4" w:space="0" w:color="000000"/>
              <w:bottom w:val="single" w:sz="4" w:space="0" w:color="000000"/>
              <w:right w:val="single" w:sz="4" w:space="0" w:color="000000"/>
            </w:tcBorders>
            <w:shd w:val="clear" w:color="auto" w:fill="FFFFFF"/>
          </w:tcPr>
          <w:p w:rsidR="00863953" w:rsidRDefault="00863953" w:rsidP="000D6D5B">
            <w:pPr>
              <w:jc w:val="both"/>
            </w:pPr>
          </w:p>
          <w:p w:rsidR="00863953" w:rsidRDefault="00863953" w:rsidP="000D6D5B">
            <w:pPr>
              <w:jc w:val="both"/>
            </w:pPr>
            <w:r>
              <w:t>2019.gada 10.aprīlī stājās spēkā Ieroču aprites likums (turpmāk- Likums). Ministru kabineta noteikumu projekts “</w:t>
            </w:r>
            <w:r w:rsidRPr="00955004">
              <w:t>Ieroču atļauju noteikumi, kā arī ieroču izņemšanas un iznīcināšanas kārtība”</w:t>
            </w:r>
            <w:r>
              <w:t xml:space="preserve"> (turpmāk – Noteikumu projekts) izstrādāts, lai nodrošinātu Likuma 16. panta trešajā un ceturtajā daļā, 90. panta piektajā daļā, 92. panta trešajā daļā un 97. panta trešajā daļā Ministru kabinetam dotā uzdevuma izpildi.</w:t>
            </w:r>
          </w:p>
          <w:p w:rsidR="00863953" w:rsidRPr="00F9574E" w:rsidRDefault="00863953" w:rsidP="000D6D5B">
            <w:pPr>
              <w:jc w:val="both"/>
            </w:pPr>
          </w:p>
        </w:tc>
      </w:tr>
    </w:tbl>
    <w:p w:rsidR="00863953" w:rsidRPr="00F9574E" w:rsidRDefault="00863953" w:rsidP="00863953">
      <w:pPr>
        <w:shd w:val="clear" w:color="auto" w:fill="FFFFFF"/>
        <w:ind w:firstLine="300"/>
        <w:jc w:val="center"/>
      </w:pPr>
    </w:p>
    <w:tbl>
      <w:tblPr>
        <w:tblW w:w="9035"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923"/>
      </w:tblGrid>
      <w:tr w:rsidR="00863953" w:rsidRPr="00F9574E" w:rsidTr="000D6D5B">
        <w:trPr>
          <w:trHeight w:val="240"/>
        </w:trPr>
        <w:tc>
          <w:tcPr>
            <w:tcW w:w="9035" w:type="dxa"/>
            <w:gridSpan w:val="3"/>
            <w:tcBorders>
              <w:top w:val="single" w:sz="6" w:space="0" w:color="414142"/>
              <w:left w:val="single" w:sz="6" w:space="0" w:color="414142"/>
              <w:bottom w:val="single" w:sz="6" w:space="0" w:color="414142"/>
              <w:right w:val="single" w:sz="6" w:space="0" w:color="414142"/>
            </w:tcBorders>
            <w:vAlign w:val="center"/>
          </w:tcPr>
          <w:p w:rsidR="00863953" w:rsidRPr="00F9574E" w:rsidRDefault="00863953" w:rsidP="000D6D5B">
            <w:pPr>
              <w:jc w:val="center"/>
              <w:rPr>
                <w:b/>
              </w:rPr>
            </w:pPr>
            <w:r w:rsidRPr="00F9574E">
              <w:rPr>
                <w:b/>
              </w:rPr>
              <w:t>I. Tiesību akta projekta izstrādes nepieciešamība</w:t>
            </w:r>
          </w:p>
        </w:tc>
      </w:tr>
      <w:tr w:rsidR="00863953" w:rsidRPr="00F9574E" w:rsidTr="000D6D5B">
        <w:trPr>
          <w:trHeight w:val="18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jc w:val="center"/>
            </w:pPr>
            <w:r w:rsidRPr="00F9574E">
              <w:t>1.</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Pamatojums</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ind w:firstLine="402"/>
              <w:jc w:val="both"/>
            </w:pPr>
            <w:r>
              <w:t xml:space="preserve">Likuma 16. panta trešā un ceturtā daļa, 90. panta piektā daļa, 92. panta trešā daļa un 97. panta trešā daļa.  </w:t>
            </w:r>
          </w:p>
        </w:tc>
      </w:tr>
      <w:tr w:rsidR="00863953" w:rsidRPr="00F9574E" w:rsidTr="000D6D5B">
        <w:trPr>
          <w:trHeight w:val="46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jc w:val="center"/>
            </w:pPr>
            <w:r w:rsidRPr="00F9574E">
              <w:t>2.</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Pašreizējā situācija un problēmas, kuru risināšanai tiesību akta projekts izstrādāts, tiesiskā regulējuma mērķis un būtība</w:t>
            </w:r>
          </w:p>
        </w:tc>
        <w:tc>
          <w:tcPr>
            <w:tcW w:w="5923" w:type="dxa"/>
            <w:tcBorders>
              <w:top w:val="single" w:sz="6" w:space="0" w:color="414142"/>
              <w:left w:val="single" w:sz="6" w:space="0" w:color="414142"/>
              <w:bottom w:val="single" w:sz="6" w:space="0" w:color="414142"/>
              <w:right w:val="single" w:sz="6" w:space="0" w:color="414142"/>
            </w:tcBorders>
          </w:tcPr>
          <w:p w:rsidR="00863953" w:rsidRDefault="00863953" w:rsidP="000D6D5B">
            <w:pPr>
              <w:ind w:firstLine="217"/>
              <w:jc w:val="both"/>
            </w:pPr>
            <w:r>
              <w:t xml:space="preserve">Ņemot vērā </w:t>
            </w:r>
            <w:r w:rsidRPr="0061761A">
              <w:t>Likuma 16. panta treš</w:t>
            </w:r>
            <w:r>
              <w:t>ajā</w:t>
            </w:r>
            <w:r w:rsidRPr="0061761A">
              <w:t xml:space="preserve"> un ceturt</w:t>
            </w:r>
            <w:r>
              <w:t>ajā</w:t>
            </w:r>
            <w:r w:rsidRPr="0061761A">
              <w:t xml:space="preserve"> daļ</w:t>
            </w:r>
            <w:r>
              <w:t>ā</w:t>
            </w:r>
            <w:r w:rsidRPr="0061761A">
              <w:t>, 90. panta piekt</w:t>
            </w:r>
            <w:r>
              <w:t>ajā</w:t>
            </w:r>
            <w:r w:rsidRPr="0061761A">
              <w:t xml:space="preserve"> daļ</w:t>
            </w:r>
            <w:r>
              <w:t>ā</w:t>
            </w:r>
            <w:r w:rsidRPr="0061761A">
              <w:t>, 92. panta treš</w:t>
            </w:r>
            <w:r>
              <w:t>ajā</w:t>
            </w:r>
            <w:r w:rsidRPr="0061761A">
              <w:t xml:space="preserve"> daļ</w:t>
            </w:r>
            <w:r>
              <w:t>ā</w:t>
            </w:r>
            <w:r w:rsidRPr="0061761A">
              <w:t xml:space="preserve"> un 97. panta treš</w:t>
            </w:r>
            <w:r>
              <w:t>ajā daļā noteikto deleģējumu Ministru kabinetam, Noteikumu projekts noteic:</w:t>
            </w:r>
          </w:p>
          <w:p w:rsidR="00863953" w:rsidRDefault="00863953" w:rsidP="000D6D5B">
            <w:pPr>
              <w:ind w:firstLine="217"/>
              <w:jc w:val="both"/>
            </w:pPr>
            <w:r w:rsidRPr="0061761A">
              <w:t>-</w:t>
            </w:r>
            <w:r>
              <w:t xml:space="preserve"> </w:t>
            </w:r>
            <w:r w:rsidRPr="0061761A">
              <w:t>prasības atļauju saņemšanai un kārtību, kādā Valsts policija izsniedz ieroču atļaujas, to dublikātus un atkārtotas atļaujas, pārskata atļaujas, pagarina to darbības termiņu, aptur un anulē atļaujas, kā arī prasības, kas jāievēro atļauju darbības laikā</w:t>
            </w:r>
            <w:r>
              <w:t>;</w:t>
            </w:r>
            <w:r w:rsidRPr="0061761A">
              <w:t xml:space="preserve"> </w:t>
            </w:r>
          </w:p>
          <w:p w:rsidR="00863953" w:rsidRDefault="00863953" w:rsidP="000D6D5B">
            <w:pPr>
              <w:ind w:firstLine="217"/>
              <w:jc w:val="both"/>
            </w:pPr>
            <w:r>
              <w:t xml:space="preserve">- jebkādas </w:t>
            </w:r>
            <w:r w:rsidRPr="0061761A">
              <w:t>valsts nodevas apmēru, atvieglojumus un maksāšanas kārtību</w:t>
            </w:r>
            <w:r>
              <w:t>;</w:t>
            </w:r>
          </w:p>
          <w:p w:rsidR="00863953" w:rsidRDefault="00863953" w:rsidP="000D6D5B">
            <w:pPr>
              <w:ind w:firstLine="217"/>
              <w:jc w:val="both"/>
            </w:pPr>
            <w:r>
              <w:t xml:space="preserve">- </w:t>
            </w:r>
            <w:r w:rsidRPr="0061761A">
              <w:t>kārtību, kādā Valsts policija izņem ieročus, munīciju un to sastāvdaļas</w:t>
            </w:r>
            <w:r>
              <w:t>;</w:t>
            </w:r>
          </w:p>
          <w:p w:rsidR="00863953" w:rsidRDefault="00863953" w:rsidP="000D6D5B">
            <w:pPr>
              <w:ind w:firstLine="217"/>
              <w:jc w:val="both"/>
            </w:pPr>
            <w:r>
              <w:t xml:space="preserve">- </w:t>
            </w:r>
            <w:r w:rsidRPr="0061761A">
              <w:t>ieroču, munīcijas un to sastāvdaļu, kā arī dezaktivētu ieroču un speciālo līdzekļu iznīcināšanas kārtību</w:t>
            </w:r>
            <w:r>
              <w:t>;</w:t>
            </w:r>
          </w:p>
          <w:p w:rsidR="00863953" w:rsidRPr="00F9574E" w:rsidRDefault="00863953" w:rsidP="000D6D5B">
            <w:pPr>
              <w:ind w:firstLine="217"/>
              <w:jc w:val="both"/>
            </w:pPr>
            <w:r>
              <w:t xml:space="preserve">- </w:t>
            </w:r>
            <w:r w:rsidRPr="0061761A">
              <w:t xml:space="preserve">kārtību, kādā Valsts policija izsniedz ieroču atļaujas Latvijā akreditētiem ārvalstu diplomātisko un konsulāro pārstāvniecību darbiniekiem. </w:t>
            </w:r>
            <w:r w:rsidRPr="00F9574E">
              <w:t xml:space="preserve">  </w:t>
            </w:r>
          </w:p>
          <w:p w:rsidR="00863953" w:rsidRDefault="00863953" w:rsidP="000D6D5B">
            <w:pPr>
              <w:jc w:val="both"/>
            </w:pPr>
            <w:r w:rsidRPr="00F9574E">
              <w:t xml:space="preserve">      </w:t>
            </w:r>
            <w:r>
              <w:t>Noteikumu projekts izstrādāts, ņemot vērā Ministru kabineta 2011.</w:t>
            </w:r>
            <w:r w:rsidRPr="00F9574E">
              <w:t>gada 27.decemb</w:t>
            </w:r>
            <w:r>
              <w:t>ra noteikumos</w:t>
            </w:r>
            <w:r w:rsidRPr="00F9574E">
              <w:t xml:space="preserve"> Nr.1011 “Ieroču atļauju noteikumi, kā arī ieroču izņemšanas un iznīcināšanas kārtība”</w:t>
            </w:r>
            <w:r>
              <w:t xml:space="preserve"> ietverto tiesisko regulējumu,  taču vienlaikus vēršam uzmanību uz sekojošiem Noteikumu projektā ietvertajiem jautājumiem:</w:t>
            </w:r>
          </w:p>
          <w:p w:rsidR="00863953" w:rsidRPr="00C3337F" w:rsidRDefault="00863953" w:rsidP="000D6D5B">
            <w:pPr>
              <w:ind w:firstLine="358"/>
              <w:jc w:val="both"/>
            </w:pPr>
            <w:r w:rsidRPr="004D4470">
              <w:rPr>
                <w:bCs/>
              </w:rPr>
              <w:t>1) precizēta sporta lietojuma ieroču iegādāšanas kārtība. Noteikumu projekta 3.3.apakšpunkts paredz, ka fiziskām personām, ka</w:t>
            </w:r>
            <w:r>
              <w:rPr>
                <w:bCs/>
              </w:rPr>
              <w:t>s vēlas saņemt ieroča iegādāšanās</w:t>
            </w:r>
            <w:r w:rsidRPr="004D4470">
              <w:rPr>
                <w:bCs/>
              </w:rPr>
              <w:t xml:space="preserve"> atļauju sporta lietojuma ierocim nepieciešams iesniegt sporta federācijas vai sporta organizācijas izziņu,</w:t>
            </w:r>
            <w:r w:rsidRPr="00C3337F">
              <w:t xml:space="preserve"> kurā norād</w:t>
            </w:r>
            <w:r>
              <w:t>a</w:t>
            </w:r>
            <w:r w:rsidRPr="00C3337F">
              <w:t>:</w:t>
            </w:r>
          </w:p>
          <w:p w:rsidR="00863953" w:rsidRPr="00C3337F" w:rsidRDefault="00863953" w:rsidP="000D6D5B">
            <w:pPr>
              <w:ind w:firstLine="217"/>
              <w:jc w:val="both"/>
            </w:pPr>
            <w:r>
              <w:rPr>
                <w:b/>
                <w:bCs/>
              </w:rPr>
              <w:t xml:space="preserve"> </w:t>
            </w:r>
            <w:r w:rsidRPr="00C3337F">
              <w:t>3.3.1. šaujamieroča kategoriju, darbības veidu, kalibru un tā atbilstību</w:t>
            </w:r>
            <w:r>
              <w:t xml:space="preserve"> </w:t>
            </w:r>
            <w:r w:rsidRPr="00C3337F">
              <w:t>šaušanas disciplīnai un tās izvirzītām prasībām;</w:t>
            </w:r>
          </w:p>
          <w:p w:rsidR="00863953" w:rsidRPr="00C3337F" w:rsidRDefault="00863953" w:rsidP="000D6D5B">
            <w:pPr>
              <w:ind w:firstLine="720"/>
              <w:jc w:val="both"/>
            </w:pPr>
            <w:r w:rsidRPr="00C3337F">
              <w:lastRenderedPageBreak/>
              <w:t>3.3.2. sporta federācijas nosaukumu vai starptautiski izveidotās un oficiāli atzītās ar šaušanas sporta veidu saistītu sporta federācija nosaukumu, kura atzinusi 3.3.1.apakšpunktā norādīto sporta veida šaušanas disciplīnu;</w:t>
            </w:r>
          </w:p>
          <w:p w:rsidR="00863953" w:rsidRDefault="00863953" w:rsidP="000D6D5B">
            <w:pPr>
              <w:ind w:firstLine="720"/>
              <w:jc w:val="both"/>
            </w:pPr>
            <w:r w:rsidRPr="00C3337F">
              <w:t>3.3.3. apliecinājumu, ka fiziskā persona regulāri nodarbojas ar 3.3.1.apakšpunktā norādīto sporta veida šaušanas disciplīnu.</w:t>
            </w:r>
            <w:r>
              <w:t xml:space="preserve"> </w:t>
            </w:r>
            <w:r w:rsidRPr="00C3337F">
              <w:t xml:space="preserve"> </w:t>
            </w:r>
          </w:p>
          <w:p w:rsidR="00863953" w:rsidRDefault="00863953" w:rsidP="000D6D5B">
            <w:pPr>
              <w:ind w:firstLine="720"/>
              <w:jc w:val="both"/>
            </w:pPr>
            <w:r>
              <w:t>Noteikumu projektā 3.3.3. apakšpunktā izmantotais jēdziens “regulāri” atbilst</w:t>
            </w:r>
            <w:r w:rsidRPr="00416A90">
              <w:rPr>
                <w:b/>
                <w:bCs/>
              </w:rPr>
              <w:t xml:space="preserve"> </w:t>
            </w:r>
            <w:r w:rsidRPr="00416A90">
              <w:rPr>
                <w:bCs/>
              </w:rPr>
              <w:t>Eiropas Parlamenta un Padomes 2017. gada 17. maija Direktīvas (ES) 2017/853, ar ko groza Padomes Direktīvu 91/477/EEK par ieroču iegādes un glabāšanas kontroli (turpmāk - Direktīva (ES) 2017/853)</w:t>
            </w:r>
            <w:r w:rsidRPr="00416A90">
              <w:rPr>
                <w:b/>
                <w:bCs/>
              </w:rPr>
              <w:t xml:space="preserve"> </w:t>
            </w:r>
            <w:r>
              <w:t xml:space="preserve"> 1.pantā ietvertā</w:t>
            </w:r>
            <w:r w:rsidRPr="006F50D9">
              <w:t xml:space="preserve"> 6.panta 6.punkta c)</w:t>
            </w:r>
            <w:r>
              <w:t xml:space="preserve"> </w:t>
            </w:r>
            <w:r w:rsidRPr="006F50D9">
              <w:t>apakšpunkta i) apakšpunkt</w:t>
            </w:r>
            <w:r>
              <w:t>ā izmantojamai terminoloģijai, ka arī</w:t>
            </w:r>
            <w:r w:rsidRPr="003E112E">
              <w:t xml:space="preserve"> Direktīvas (ES) 2017/853 1.panta 6.panta 6.punkta </w:t>
            </w:r>
            <w:r>
              <w:t>b</w:t>
            </w:r>
            <w:r w:rsidRPr="003E112E">
              <w:t>) apakšpunkta</w:t>
            </w:r>
            <w:r>
              <w:t xml:space="preserve"> mērķim. Noteikumu projektā nav nepieciešams ietvert regularitātes kritērijus un ierobežot sporta federācijas un sporta organizācijas dalībnieku izvērtējumu atbilstoši Noteikumu projekta 3.3.3.apakšpunkta noteiktajai prasībai. Sporta federācijas vai sporta organizācijas var objektīvi, pamatojoties uz iekšējo regulējumu izvērtēt, vai fiziskā persona, kas reģistrēta sporta organizācijā konkrētās sporta federācijas ietvaros pietiekoši aktīvi nodarbojas ar konkrēto sporta veida šaušanas disciplīnu vai pietiekoši aktīvi piedalās konkrēta sporta veida šaušanas disciplīnas sacensībās, lai fiziskā personā varētu Valsts policijā saņemt ieroča iegādāšanas un vēlāk arī ieroča  glabāšanas atļauju konkrētam šaujamierocim, kas atbilst izziņā norādītai šaušanas sporta disciplīnai. </w:t>
            </w:r>
          </w:p>
          <w:p w:rsidR="00863953" w:rsidRPr="00C3337F" w:rsidRDefault="00863953" w:rsidP="000D6D5B">
            <w:pPr>
              <w:ind w:firstLine="720"/>
              <w:jc w:val="both"/>
            </w:pPr>
            <w:r>
              <w:t xml:space="preserve">Papildus Noteikumu projekta 12.punkts paredz kārtību, kādā var iegādāties nākamo tāda paša lietojuma veida šaujamieroci. Noteikumu projekta 13.1.apakšpunkts paredz nepieciešamību sportistiem iesniegt arī Noteikumu projekta 3.3.apakšpunktā minēto izziņu, lai Valsts policijai sniegtu pierādījumu, ka nākamais iegādājamais šaujamierocis atbilst sporta disciplīnai, kurā sportists trenējas vai piedalās sacensībās. Minētais nepieciešams, lai izvairītos no situācijas, kad šaujamierocis ir klasificēts sportam, bet nav piemērots šaušanas disciplīnai, kurā trenējas sportists. Piemērām AR15 tipa šaujamieroči ir klasificēti sportam un piemēroti treniņiem un sacensībām IPSC šaušanas sporta disciplīnas, bet nav piemēroti treniņiem un izmantošanai sacensībās biatlonā.   </w:t>
            </w:r>
          </w:p>
          <w:p w:rsidR="00863953" w:rsidRDefault="00863953" w:rsidP="000D6D5B">
            <w:pPr>
              <w:jc w:val="both"/>
              <w:rPr>
                <w:b/>
                <w:bCs/>
              </w:rPr>
            </w:pPr>
            <w:r>
              <w:rPr>
                <w:b/>
                <w:bCs/>
              </w:rPr>
              <w:t xml:space="preserve">      </w:t>
            </w:r>
            <w:r w:rsidRPr="00416A90">
              <w:rPr>
                <w:bCs/>
              </w:rPr>
              <w:t xml:space="preserve">2) paredzēta ieroču atļaujas pagarināšana un ieroču atļauju periodiska pārskatīšana. Valsts policija izsniedz ieroča glabāšanas atļaujas, nēsāšanas atļaujas, ieroču kolekcijas atļaujas, Eiropas šaujamieroču apliecības uz pieciem gadiem, bet medību un sporta lietojumam — uz nenoteiktu laiku, nodrošinot atļauju periodisku pārskatīšanu ne retāk kā reizi piecos gados. Direktīvas (ES) 2017/853 </w:t>
            </w:r>
            <w:r w:rsidRPr="00416A90">
              <w:rPr>
                <w:bCs/>
              </w:rPr>
              <w:lastRenderedPageBreak/>
              <w:t>6.panta 7.punkts un 7.panta 4.punkts</w:t>
            </w:r>
            <w:r w:rsidRPr="007668A1">
              <w:rPr>
                <w:b/>
                <w:bCs/>
              </w:rPr>
              <w:t xml:space="preserve"> </w:t>
            </w:r>
            <w:r w:rsidRPr="00416A90">
              <w:rPr>
                <w:bCs/>
              </w:rPr>
              <w:t>paredz, ka atļaujas periodiski pārskata - ne retāk kā reizi piecos gados.  Savukārt saskaņā ar Direktīvas (ES) 2017/853 3.pantu Eiropas šaujamieroču apliecības maksimālais derīguma termiņš ir pieci gadi. Noteikumu projektā ir paredzēta kārtība ieroču atļauju pagarināšanai un ieroču atļauju periodiskai pārskatīšanai atbilstoši Likuma prasībām.</w:t>
            </w:r>
          </w:p>
          <w:p w:rsidR="00863953" w:rsidRPr="00730E39" w:rsidRDefault="00863953" w:rsidP="000D6D5B">
            <w:pPr>
              <w:jc w:val="both"/>
              <w:rPr>
                <w:bCs/>
              </w:rPr>
            </w:pPr>
            <w:r>
              <w:rPr>
                <w:b/>
                <w:bCs/>
              </w:rPr>
              <w:t xml:space="preserve">      </w:t>
            </w:r>
            <w:r w:rsidRPr="00416A90">
              <w:rPr>
                <w:bCs/>
              </w:rPr>
              <w:t>Noteikumu projekta 52</w:t>
            </w:r>
            <w:r>
              <w:rPr>
                <w:bCs/>
              </w:rPr>
              <w:t>.</w:t>
            </w:r>
            <w:r w:rsidRPr="00416A90">
              <w:rPr>
                <w:bCs/>
              </w:rPr>
              <w:t>-56</w:t>
            </w:r>
            <w:r>
              <w:rPr>
                <w:bCs/>
              </w:rPr>
              <w:t>.</w:t>
            </w:r>
            <w:r w:rsidRPr="00416A90">
              <w:rPr>
                <w:bCs/>
              </w:rPr>
              <w:t xml:space="preserve"> punktos ietvertais tiesiskais regulējums ir izstrādāts, lai nodrošinātu Ieroču aprites likuma Pārejas noteikumu 8.punkta prasību izpildi attiecībā uz ieroču īpašniekiem, kas ir fiziskās personas un kuru īpašumā ir pašaizsardzības un kolekcijas lietojuma šaujamieroči. Noteikumu projekta 52.punkts paredz,</w:t>
            </w:r>
            <w:r>
              <w:rPr>
                <w:bCs/>
              </w:rPr>
              <w:t xml:space="preserve"> ka</w:t>
            </w:r>
            <w:r w:rsidRPr="00416A90">
              <w:rPr>
                <w:bCs/>
              </w:rPr>
              <w:t xml:space="preserve"> </w:t>
            </w:r>
            <w:r>
              <w:rPr>
                <w:bCs/>
              </w:rPr>
              <w:t>f</w:t>
            </w:r>
            <w:r w:rsidRPr="00C3337F">
              <w:rPr>
                <w:bCs/>
              </w:rPr>
              <w:t xml:space="preserve">iziskā persona vismaz vienu mēnesi pirms </w:t>
            </w:r>
            <w:r w:rsidRPr="00931515">
              <w:rPr>
                <w:bCs/>
              </w:rPr>
              <w:t>pašaizsardzības lietojuma</w:t>
            </w:r>
            <w:r>
              <w:rPr>
                <w:bCs/>
              </w:rPr>
              <w:t xml:space="preserve"> </w:t>
            </w:r>
            <w:r w:rsidRPr="00C3337F">
              <w:rPr>
                <w:bCs/>
              </w:rPr>
              <w:t>ieroča glabāšanas vai nēsāšanas</w:t>
            </w:r>
            <w:r>
              <w:rPr>
                <w:bCs/>
              </w:rPr>
              <w:t xml:space="preserve"> atļaujas</w:t>
            </w:r>
            <w:r w:rsidRPr="00C3337F">
              <w:rPr>
                <w:bCs/>
              </w:rPr>
              <w:t xml:space="preserve"> vai kolekcijas atļaujas derīguma termiņa beigām iesniedz Valsts policijas struktūrvienībā, kurā ierocis reģistrēts, iesniegumu par ieroča glabāšanas, nēsāšanas vai kolekcijas atļaujas termiņa pagarināšanu.</w:t>
            </w:r>
            <w:r>
              <w:rPr>
                <w:bCs/>
              </w:rPr>
              <w:t xml:space="preserve"> </w:t>
            </w:r>
            <w:r w:rsidRPr="00730E39">
              <w:rPr>
                <w:bCs/>
              </w:rPr>
              <w:t>No minēta izriet, ka fiziskā persona var iesniegt minēto iesniegumu Valsts policijā jebkurā fiziskai personai piemērotā laikā līdz 2023. gada 14. septembrim. Minētais ieroču īpašnieks iesniedz brīvas formas iesniegumu bez personas obligātās ierašanās Valsts policijā ar iesniegumu un šaujamieroci, nosūtot iesniegumu elektroniski vai ar pasta starpniecību. Noteikumu projekta 52.-56. punktos ietvertais tiesiskais regulējums pilnībā atbilst Ieroču aprites likuma 16.panta otrās daļas mērķim un būtībai.</w:t>
            </w:r>
          </w:p>
          <w:p w:rsidR="00863953" w:rsidRPr="00730E39" w:rsidRDefault="00863953" w:rsidP="000D6D5B">
            <w:pPr>
              <w:jc w:val="both"/>
              <w:rPr>
                <w:bCs/>
              </w:rPr>
            </w:pPr>
            <w:r w:rsidRPr="00730E39">
              <w:rPr>
                <w:bCs/>
              </w:rPr>
              <w:t xml:space="preserve">         3) precizēts ieroču kolekciju tiesiskais regulējums. Par kolekciju uzskatāms ieroču, šaujamieroču būtisko sastāvdaļu vai munīcijas krājums, kuram ir vēsturiska, kultūras, zinātniska, tehniska, izglītojoša, kriminālistika vai citāda izziņas avota nozīme. Noteikumu projekts paredz kārtību, kādā tiek saņemta atļauja ieroču kolekcijai, uzsverot tajā ietveramu vienību izziņas avota nozīmi un vērtību.</w:t>
            </w:r>
          </w:p>
          <w:p w:rsidR="00863953" w:rsidRPr="00730E39" w:rsidRDefault="00863953" w:rsidP="000D6D5B">
            <w:pPr>
              <w:jc w:val="both"/>
              <w:rPr>
                <w:bCs/>
              </w:rPr>
            </w:pPr>
            <w:r w:rsidRPr="007668A1">
              <w:rPr>
                <w:b/>
                <w:bCs/>
              </w:rPr>
              <w:t xml:space="preserve">       </w:t>
            </w:r>
            <w:r w:rsidRPr="00730E39">
              <w:rPr>
                <w:bCs/>
              </w:rPr>
              <w:t>4) izmaiņas Eiropas Šaujamieroču apliecībā. Ieroču un speciālo līdzekļu aprites likums, kas zaudēja spēku 2019. gada 10. aprīlī, paredzēja, ka Eiropas Šaujamieroču apliecību Valsts policija izsniedz uz pieciem gadiem personai, kurai reģistrēti B, C vai D kategorijas šaujamieroči izmantošanai medībās vai sportā vai lielas enerģijas pneimatiskie ieroči izmantošanai sportā. Eiropas Savienības ietvaros Eiropas Šaujamieroču apliecības tiek uztvertas kā ilgtermiņa atļauja ceļošanai ar šaujamieročiem uz citu Eiropas Savienības vai Eiropas Ekonomikas zonas valsti. Saskaņā ar iepriekšējo</w:t>
            </w:r>
            <w:r w:rsidRPr="00730E39">
              <w:rPr>
                <w:bCs/>
                <w:i/>
              </w:rPr>
              <w:t xml:space="preserve"> </w:t>
            </w:r>
            <w:r w:rsidRPr="00730E39">
              <w:rPr>
                <w:bCs/>
              </w:rPr>
              <w:t xml:space="preserve">Direktīvā 91/477/EEK ietverto regulējumu Eiropas Šaujamieroču apliecību vārēja saņemt medību un sporta ieroču īpašnieki. Direktīvas (ES) 2017/853 12.panta 2.punkts paplašina Eiropas Šaujamieroču apliecības lietotāju loku un ierakstāmo </w:t>
            </w:r>
            <w:r w:rsidRPr="00730E39">
              <w:rPr>
                <w:bCs/>
              </w:rPr>
              <w:lastRenderedPageBreak/>
              <w:t>šaujamieroču loku, nosakot, ka šo atļauju var saņemt vēsturisku notikumu atveidotāji</w:t>
            </w:r>
            <w:r w:rsidRPr="007668A1">
              <w:rPr>
                <w:b/>
                <w:bCs/>
              </w:rPr>
              <w:t xml:space="preserve"> </w:t>
            </w:r>
            <w:r w:rsidRPr="00730E39">
              <w:rPr>
                <w:bCs/>
              </w:rPr>
              <w:t>attiecībā uz šaujamieročiem, kas klasificēti C kategorijā. Vienlaikus</w:t>
            </w:r>
            <w:r w:rsidRPr="007668A1">
              <w:rPr>
                <w:b/>
                <w:bCs/>
              </w:rPr>
              <w:t xml:space="preserve"> </w:t>
            </w:r>
            <w:r w:rsidRPr="00730E39">
              <w:rPr>
                <w:bCs/>
              </w:rPr>
              <w:t xml:space="preserve">Direktīvas (ES) 2017/853  12.panta 2.punkts ierobežo personu ceļošanu ar medību šaujamieročiem, nosakot, ka šo atļauju var saņemt tikai C kategorijas medību šaujamieročiem. Direktīvas (ES) 2017/853 12.panta 2.punkts paredz Eiropas Šaujamieroču apliecības izsniegšanu A, B un C kategorijas sporta šaujamieročiem. Nav paredzēts Eiropas Šaujamieroču apliecību izsniegt lielas enerģijas pneimatiskajiem ieročiem. </w:t>
            </w:r>
          </w:p>
          <w:p w:rsidR="00FC599E" w:rsidRDefault="00863953" w:rsidP="000D6D5B">
            <w:pPr>
              <w:ind w:firstLine="358"/>
              <w:jc w:val="both"/>
              <w:rPr>
                <w:bCs/>
              </w:rPr>
            </w:pPr>
            <w:r w:rsidRPr="00730E39">
              <w:rPr>
                <w:bCs/>
              </w:rPr>
              <w:t>Ņemot vērā minēto, Noteikumu projektā ir paredzēta kārtība, kādā ieroču īpašnieks var saņemt Eiropas Šaujamieroču apliecību un pagarināt to derīguma termiņu atbilstoši jaunā likuma prasībām.</w:t>
            </w:r>
          </w:p>
          <w:p w:rsidR="00863953" w:rsidRPr="00730E39" w:rsidRDefault="00863953" w:rsidP="000D6D5B">
            <w:pPr>
              <w:ind w:firstLine="358"/>
              <w:jc w:val="both"/>
              <w:rPr>
                <w:bCs/>
              </w:rPr>
            </w:pPr>
            <w:r w:rsidRPr="00730E39">
              <w:rPr>
                <w:bCs/>
              </w:rPr>
              <w:t>5) atcelts distances līguma slēgšanas aizliegums ieroču apritē ar Eiropas Savienības dalībvalsts un Eiropas Ekonomikas zonas valstu pilsoņiem.</w:t>
            </w:r>
            <w:r>
              <w:rPr>
                <w:bCs/>
              </w:rPr>
              <w:t xml:space="preserve"> Noteikumu projekts </w:t>
            </w:r>
            <w:r w:rsidRPr="00F9574E">
              <w:rPr>
                <w:bCs/>
              </w:rPr>
              <w:t>p</w:t>
            </w:r>
            <w:r>
              <w:t xml:space="preserve">aredz, ka </w:t>
            </w:r>
            <w:r w:rsidRPr="005B4445">
              <w:rPr>
                <w:bCs/>
              </w:rPr>
              <w:t>Eiropas Savienības dalībvalsts un Eiropas Ekonomikas zonas valsts pilsoni</w:t>
            </w:r>
            <w:r>
              <w:rPr>
                <w:bCs/>
              </w:rPr>
              <w:t>s noslēdzot distances līgumu attiecībā uz šaujamieroča, tā maināmo būtisko sastāvdaļu iegādi vai lielas enerģijas pneimatisko ieroču iegādi var pilnvarot ieroču komersantu saņemt ieroča iegādāšanas atļauju un pārvadāšanas vai pārsūtīšanas atļauju.</w:t>
            </w:r>
            <w:r>
              <w:t xml:space="preserve"> </w:t>
            </w:r>
          </w:p>
          <w:p w:rsidR="00863953" w:rsidRPr="00121F1B" w:rsidRDefault="00863953" w:rsidP="000D6D5B">
            <w:pPr>
              <w:jc w:val="both"/>
            </w:pPr>
            <w:r>
              <w:t xml:space="preserve"> </w:t>
            </w:r>
            <w:r w:rsidRPr="00F9574E">
              <w:rPr>
                <w:bCs/>
              </w:rPr>
              <w:t xml:space="preserve">        </w:t>
            </w:r>
            <w:r w:rsidRPr="00730E39">
              <w:rPr>
                <w:bCs/>
              </w:rPr>
              <w:t xml:space="preserve">6) noteikta atļauju saņemšanas kārtība </w:t>
            </w:r>
            <w:proofErr w:type="spellStart"/>
            <w:r w:rsidRPr="00730E39">
              <w:rPr>
                <w:bCs/>
              </w:rPr>
              <w:t>salūtieroču</w:t>
            </w:r>
            <w:proofErr w:type="spellEnd"/>
            <w:r w:rsidRPr="00730E39">
              <w:rPr>
                <w:bCs/>
              </w:rPr>
              <w:t xml:space="preserve"> (akustisko ieroču) izmantošanai.</w:t>
            </w:r>
            <w:r w:rsidRPr="00F9574E">
              <w:rPr>
                <w:bCs/>
              </w:rPr>
              <w:t xml:space="preserve"> Noteikumu projekts nosaka atļauju saņemšanas kārtību attiecībā uz kultūras jomai un vēstures notikumu atveidošanai paredzētiem ieročiem, un to munīciju</w:t>
            </w:r>
            <w:r>
              <w:rPr>
                <w:bCs/>
              </w:rPr>
              <w:t>.</w:t>
            </w:r>
            <w:r w:rsidRPr="00F9574E">
              <w:rPr>
                <w:bCs/>
              </w:rPr>
              <w:t xml:space="preserve"> Noteikumu projekts paredz, k</w:t>
            </w:r>
            <w:r>
              <w:rPr>
                <w:bCs/>
              </w:rPr>
              <w:t>a</w:t>
            </w:r>
            <w:r w:rsidRPr="00F9574E">
              <w:rPr>
                <w:bCs/>
              </w:rPr>
              <w:t xml:space="preserve"> juridiskās personas, kas īsteno savu profesionālo darbību kultūras jomā, un biedrībām, kas īsteno vēstures notikumu atveidošanu, saņems atļaujas izmantot </w:t>
            </w:r>
            <w:proofErr w:type="spellStart"/>
            <w:r w:rsidRPr="00F9574E">
              <w:rPr>
                <w:bCs/>
              </w:rPr>
              <w:t>salūtieročus</w:t>
            </w:r>
            <w:proofErr w:type="spellEnd"/>
            <w:r w:rsidRPr="00F9574E">
              <w:rPr>
                <w:bCs/>
              </w:rPr>
              <w:t xml:space="preserve"> (akustiskos ieročus). </w:t>
            </w:r>
            <w:proofErr w:type="spellStart"/>
            <w:r w:rsidRPr="00F9574E">
              <w:rPr>
                <w:bCs/>
              </w:rPr>
              <w:t>Salūtieroči</w:t>
            </w:r>
            <w:proofErr w:type="spellEnd"/>
            <w:r w:rsidRPr="00F9574E">
              <w:rPr>
                <w:bCs/>
              </w:rPr>
              <w:t xml:space="preserve"> (akustiskie ieroči) ir šaujamieroči, kas īpaši pārveidoti tikai salūtpatronu izšaušanai, lai izmantotu, piemēram, teātra izrādēs, fotosesijās, filmu un televīzijas ierakstiem, vēsturisko notikumu uzvedumos un parādēs.</w:t>
            </w:r>
          </w:p>
          <w:p w:rsidR="00863953" w:rsidRDefault="00863953" w:rsidP="000D6D5B">
            <w:pPr>
              <w:jc w:val="both"/>
              <w:rPr>
                <w:bCs/>
              </w:rPr>
            </w:pPr>
            <w:r w:rsidRPr="00F9574E">
              <w:rPr>
                <w:b/>
                <w:bCs/>
              </w:rPr>
              <w:t xml:space="preserve">       </w:t>
            </w:r>
            <w:r w:rsidRPr="00730E39">
              <w:rPr>
                <w:bCs/>
              </w:rPr>
              <w:t>7)</w:t>
            </w:r>
            <w:r w:rsidR="00AF700B">
              <w:rPr>
                <w:bCs/>
              </w:rPr>
              <w:t>paredzēt kārtība, kādā izsniedz ieroču atļaujas Latvijā akreditētiem ārvalstu diplomātisko un konsulāro pārstāvniecību darbiniekiem.</w:t>
            </w:r>
          </w:p>
          <w:p w:rsidR="00863953" w:rsidRDefault="00863953" w:rsidP="000D6D5B">
            <w:pPr>
              <w:jc w:val="both"/>
            </w:pPr>
            <w:r w:rsidRPr="00EC0773">
              <w:t xml:space="preserve">       8) valsts nodevu administrēšana.</w:t>
            </w:r>
            <w:r w:rsidRPr="00F9574E">
              <w:t xml:space="preserve"> Noteikumu projekts paredz, ka pakalpojums (atļaujas izsniegšana) tiek sniegts tikai pēc valsts nodevas saņemšanas Valsts kasē. Valsts nodevu neatmaksā, ja Valsts policijas struktūrvienība pieņem lēmumu atteikt </w:t>
            </w:r>
            <w:r>
              <w:t xml:space="preserve">ieroču </w:t>
            </w:r>
            <w:r w:rsidRPr="00F9574E">
              <w:t>atļaujas izsniegšanu.</w:t>
            </w:r>
          </w:p>
          <w:p w:rsidR="00863953" w:rsidRPr="00F9574E" w:rsidRDefault="00863953" w:rsidP="000D6D5B">
            <w:pPr>
              <w:jc w:val="both"/>
            </w:pPr>
            <w:r>
              <w:t xml:space="preserve">       9) precizēts informācijas apjoms, kas būtu norādāms par ieroci, šaujamieroča būtisko sastāvdaļu, munīcijas un šaujampulvera izņemšanas un iznīcināšanas gadījumā. Noteikumu projekta </w:t>
            </w:r>
            <w:r w:rsidRPr="00214CFE">
              <w:t>269.</w:t>
            </w:r>
            <w:r>
              <w:t>punkts paredz, ka Nodrošinājuma valsts aģentūra</w:t>
            </w:r>
            <w:r w:rsidRPr="00214CFE">
              <w:t xml:space="preserve"> </w:t>
            </w:r>
            <w:r>
              <w:t>i</w:t>
            </w:r>
            <w:r w:rsidRPr="00214CFE">
              <w:t xml:space="preserve">eročus un to sastāvdaļas (izņemot koka, plastmasas vai cita materiāla rokturus, laides un </w:t>
            </w:r>
            <w:proofErr w:type="spellStart"/>
            <w:r w:rsidRPr="00214CFE">
              <w:t>pastobru</w:t>
            </w:r>
            <w:proofErr w:type="spellEnd"/>
            <w:r w:rsidRPr="00214CFE">
              <w:t xml:space="preserve"> </w:t>
            </w:r>
            <w:r w:rsidRPr="00214CFE">
              <w:lastRenderedPageBreak/>
              <w:t>nemetāliskās daļas) iznīcina izkausējot.</w:t>
            </w:r>
            <w:r>
              <w:t xml:space="preserve"> Noteikumu projektā nav norādīta</w:t>
            </w:r>
            <w:r w:rsidRPr="00214CFE">
              <w:t xml:space="preserve"> koka, plastmasas vai cita materiāla </w:t>
            </w:r>
            <w:r>
              <w:t xml:space="preserve">ieroču sastāvdaļu iznīcināšanas metode, lai neierobežotu Nodrošinājuma valsts aģentūras piemērotas iznicināšanas metodes izvēli. Iznicināšanas metodes izvēle ir atkarīga no iznicināmas detaļas materiāla un to kaitīguma videi. Piemēram, koka ieroču detaļas iznīcina, tās sadedzinot.   </w:t>
            </w:r>
          </w:p>
        </w:tc>
      </w:tr>
      <w:tr w:rsidR="00863953" w:rsidRPr="00F9574E" w:rsidTr="000D6D5B">
        <w:trPr>
          <w:trHeight w:val="46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jc w:val="center"/>
            </w:pPr>
            <w:r w:rsidRPr="00F9574E">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Projekta izstrādē iesaistītās institūcijas un publiskas personas kapitālsabiedrības</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jc w:val="both"/>
            </w:pPr>
            <w:r w:rsidRPr="00F9574E">
              <w:t>Iekšlietu ministrija, Valsts policija</w:t>
            </w:r>
          </w:p>
        </w:tc>
      </w:tr>
      <w:tr w:rsidR="00863953" w:rsidRPr="00F9574E" w:rsidTr="000D6D5B">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jc w:val="center"/>
            </w:pPr>
            <w:r w:rsidRPr="00F9574E">
              <w:t>4.</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Cita informācija</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Nav</w:t>
            </w:r>
          </w:p>
        </w:tc>
      </w:tr>
    </w:tbl>
    <w:p w:rsidR="00863953" w:rsidRPr="00F9574E" w:rsidRDefault="00863953" w:rsidP="00863953">
      <w:pPr>
        <w:shd w:val="clear" w:color="auto" w:fill="FFFFFF"/>
        <w:ind w:firstLine="300"/>
      </w:pPr>
    </w:p>
    <w:tbl>
      <w:tblPr>
        <w:tblW w:w="9035"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923"/>
      </w:tblGrid>
      <w:tr w:rsidR="00863953" w:rsidRPr="00F9574E" w:rsidTr="000D6D5B">
        <w:trPr>
          <w:trHeight w:val="220"/>
        </w:trPr>
        <w:tc>
          <w:tcPr>
            <w:tcW w:w="9035" w:type="dxa"/>
            <w:gridSpan w:val="3"/>
            <w:tcBorders>
              <w:top w:val="single" w:sz="6" w:space="0" w:color="414142"/>
              <w:left w:val="single" w:sz="6" w:space="0" w:color="414142"/>
              <w:bottom w:val="single" w:sz="6" w:space="0" w:color="414142"/>
              <w:right w:val="single" w:sz="6" w:space="0" w:color="414142"/>
            </w:tcBorders>
            <w:vAlign w:val="center"/>
          </w:tcPr>
          <w:p w:rsidR="00863953" w:rsidRPr="00F9574E" w:rsidRDefault="00863953" w:rsidP="000D6D5B">
            <w:pPr>
              <w:jc w:val="center"/>
              <w:rPr>
                <w:b/>
              </w:rPr>
            </w:pPr>
            <w:r w:rsidRPr="00F9574E">
              <w:rPr>
                <w:b/>
              </w:rPr>
              <w:t>II. Tiesību akta projekta ietekme uz sabiedrību, tautsaimniecības attīstību un administratīvo slogu</w:t>
            </w:r>
          </w:p>
        </w:tc>
      </w:tr>
      <w:tr w:rsidR="00863953" w:rsidRPr="00F9574E" w:rsidTr="000D6D5B">
        <w:trPr>
          <w:trHeight w:val="46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1.</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Sabiedrības mērķgrupas, kuras tiesiskais regulējums ietekmē vai varētu ietekmēt</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jc w:val="both"/>
            </w:pPr>
            <w:r w:rsidRPr="00F9574E">
              <w:t>Saskaņā ar Iekšlietu ministrijas Informācijas centra publicēto pārskatu par ieroču īpašniekiem (fiziskām personām) un to īpašuma ejošajiem ieročiem Latvijas Republikā:</w:t>
            </w:r>
          </w:p>
          <w:p w:rsidR="00863953" w:rsidRPr="00F9574E" w:rsidRDefault="00863953" w:rsidP="000D6D5B">
            <w:pPr>
              <w:jc w:val="both"/>
            </w:pPr>
            <w:r w:rsidRPr="00F9574E">
              <w:t>1. Lielas enerģijas pneimatisko ieroču īpašnieki 37;</w:t>
            </w:r>
          </w:p>
          <w:p w:rsidR="00863953" w:rsidRPr="00F9574E" w:rsidRDefault="00863953" w:rsidP="000D6D5B">
            <w:pPr>
              <w:jc w:val="both"/>
            </w:pPr>
            <w:r w:rsidRPr="00F9574E">
              <w:t>2. Lielas enerģijas pneimatisko ieroču kopskaits 39;</w:t>
            </w:r>
          </w:p>
          <w:p w:rsidR="00863953" w:rsidRPr="00F9574E" w:rsidRDefault="00863953" w:rsidP="000D6D5B">
            <w:pPr>
              <w:jc w:val="both"/>
            </w:pPr>
            <w:r w:rsidRPr="00F9574E">
              <w:t>3. Gāzes ieroču īpašnieki 21274;</w:t>
            </w:r>
          </w:p>
          <w:p w:rsidR="00863953" w:rsidRPr="00F9574E" w:rsidRDefault="00863953" w:rsidP="000D6D5B">
            <w:pPr>
              <w:jc w:val="both"/>
            </w:pPr>
            <w:r w:rsidRPr="00F9574E">
              <w:t>4. Reģistrēti gāzes ieroči 27462;</w:t>
            </w:r>
          </w:p>
          <w:p w:rsidR="00863953" w:rsidRPr="00F9574E" w:rsidRDefault="00863953" w:rsidP="000D6D5B">
            <w:pPr>
              <w:jc w:val="both"/>
            </w:pPr>
            <w:r w:rsidRPr="00F9574E">
              <w:t>5.</w:t>
            </w:r>
            <w:r>
              <w:t xml:space="preserve"> </w:t>
            </w:r>
            <w:r w:rsidRPr="00F9574E">
              <w:t>Šaujamieroču īpašnieki 33108;</w:t>
            </w:r>
          </w:p>
          <w:p w:rsidR="00863953" w:rsidRPr="00F9574E" w:rsidRDefault="00863953" w:rsidP="000D6D5B">
            <w:pPr>
              <w:jc w:val="both"/>
            </w:pPr>
            <w:r w:rsidRPr="00F9574E">
              <w:t>5.1. no tiem sievietes 805;</w:t>
            </w:r>
          </w:p>
          <w:p w:rsidR="00863953" w:rsidRPr="00F9574E" w:rsidRDefault="00863953" w:rsidP="000D6D5B">
            <w:pPr>
              <w:jc w:val="both"/>
            </w:pPr>
            <w:r w:rsidRPr="00F9574E">
              <w:t>5.2. no tiem vīrieši 32303;</w:t>
            </w:r>
          </w:p>
          <w:p w:rsidR="00863953" w:rsidRPr="00F9574E" w:rsidRDefault="00863953" w:rsidP="000D6D5B">
            <w:pPr>
              <w:jc w:val="both"/>
            </w:pPr>
            <w:r w:rsidRPr="00F9574E">
              <w:t>6. Reģistrējamo šaujamieroču kopskaits 68975;</w:t>
            </w:r>
          </w:p>
          <w:p w:rsidR="00863953" w:rsidRPr="00F9574E" w:rsidRDefault="00863953" w:rsidP="000D6D5B">
            <w:pPr>
              <w:jc w:val="both"/>
            </w:pPr>
            <w:r w:rsidRPr="00F9574E">
              <w:t>6.1. no tiem medībām 57073;</w:t>
            </w:r>
          </w:p>
          <w:p w:rsidR="00863953" w:rsidRPr="00F9574E" w:rsidRDefault="00863953" w:rsidP="000D6D5B">
            <w:pPr>
              <w:jc w:val="both"/>
            </w:pPr>
            <w:r w:rsidRPr="00F9574E">
              <w:t>6.1.1. no tiem garstobra-vītņstobra šaujamieroči 22881;</w:t>
            </w:r>
          </w:p>
          <w:p w:rsidR="00863953" w:rsidRPr="00F9574E" w:rsidRDefault="00863953" w:rsidP="000D6D5B">
            <w:pPr>
              <w:jc w:val="both"/>
            </w:pPr>
            <w:r w:rsidRPr="00F9574E">
              <w:t>6.1.2. no tiem garstobra-gludstobra šaujamieroči 34192;</w:t>
            </w:r>
          </w:p>
          <w:p w:rsidR="00863953" w:rsidRPr="00F9574E" w:rsidRDefault="00863953" w:rsidP="000D6D5B">
            <w:pPr>
              <w:jc w:val="both"/>
            </w:pPr>
            <w:r w:rsidRPr="00F9574E">
              <w:t>6.2. no tiem sportam 419;</w:t>
            </w:r>
          </w:p>
          <w:p w:rsidR="00863953" w:rsidRPr="00F9574E" w:rsidRDefault="00863953" w:rsidP="000D6D5B">
            <w:pPr>
              <w:jc w:val="both"/>
            </w:pPr>
            <w:r w:rsidRPr="00F9574E">
              <w:t>6.2.1. no tiem īsstobra šaujamieroči 259</w:t>
            </w:r>
          </w:p>
          <w:p w:rsidR="00863953" w:rsidRPr="00F9574E" w:rsidRDefault="00863953" w:rsidP="000D6D5B">
            <w:pPr>
              <w:jc w:val="both"/>
            </w:pPr>
            <w:r w:rsidRPr="00F9574E">
              <w:t>6.2.2. no tiem garstobra vītņstobra šaujamieroči 133;</w:t>
            </w:r>
          </w:p>
          <w:p w:rsidR="00863953" w:rsidRPr="00F9574E" w:rsidRDefault="00863953" w:rsidP="000D6D5B">
            <w:pPr>
              <w:jc w:val="both"/>
            </w:pPr>
            <w:r w:rsidRPr="00F9574E">
              <w:t>6.3. no tiem pašaizsardzībai 11432;</w:t>
            </w:r>
          </w:p>
          <w:p w:rsidR="00863953" w:rsidRPr="00F9574E" w:rsidRDefault="00863953" w:rsidP="000D6D5B">
            <w:pPr>
              <w:jc w:val="both"/>
            </w:pPr>
            <w:r w:rsidRPr="00F9574E">
              <w:t>6.3.1. no tiem īsstobra šaujamieroči (pistoles, revolveri) 10912;</w:t>
            </w:r>
          </w:p>
          <w:p w:rsidR="00863953" w:rsidRPr="00F9574E" w:rsidRDefault="00863953" w:rsidP="000D6D5B">
            <w:pPr>
              <w:jc w:val="both"/>
            </w:pPr>
            <w:r w:rsidRPr="00F9574E">
              <w:t>6.3.1.1. no tiem ar nēsāšanas atļauju 9880;</w:t>
            </w:r>
          </w:p>
          <w:p w:rsidR="00863953" w:rsidRPr="00F9574E" w:rsidRDefault="00863953" w:rsidP="000D6D5B">
            <w:pPr>
              <w:jc w:val="both"/>
            </w:pPr>
            <w:r w:rsidRPr="00F9574E">
              <w:t>6.3.2. no tiem garstobra gludstobra šaujamieroči 519.</w:t>
            </w:r>
          </w:p>
          <w:p w:rsidR="00863953" w:rsidRPr="00F9574E" w:rsidRDefault="00863953" w:rsidP="000D6D5B">
            <w:pPr>
              <w:jc w:val="both"/>
            </w:pPr>
            <w:r w:rsidRPr="00F9574E">
              <w:t>Saskaņā ar Iekšlietu ministrijas Informācijas centra rīcībā esošo informāciju fiziskām personām ir reģistrētas 12 ieroču kolekcijas.</w:t>
            </w:r>
          </w:p>
          <w:p w:rsidR="00863953" w:rsidRPr="00F9574E" w:rsidRDefault="00863953" w:rsidP="000D6D5B">
            <w:pPr>
              <w:spacing w:after="120"/>
              <w:jc w:val="both"/>
            </w:pPr>
            <w:r w:rsidRPr="00F9574E">
              <w:t>Saskaņā ar Valsts policijas rīcībā esošo informāciju:</w:t>
            </w:r>
          </w:p>
          <w:p w:rsidR="00863953" w:rsidRPr="00F9574E" w:rsidRDefault="00863953" w:rsidP="000D6D5B">
            <w:pPr>
              <w:jc w:val="both"/>
            </w:pPr>
            <w:r w:rsidRPr="00F9574E">
              <w:t>1. ieroču tirdzniecības komersanti - 41 ar 83</w:t>
            </w:r>
            <w:r w:rsidRPr="00F9574E">
              <w:rPr>
                <w:b/>
              </w:rPr>
              <w:t xml:space="preserve"> </w:t>
            </w:r>
            <w:r w:rsidRPr="00F9574E">
              <w:t>ieroču un speciālo līdzekļu tirdzniecības objektiem, to glabāto šaujamieroču un lielas enerģijas pneimatisko ieroču skaits 4891 (garstobra-vītņstobra šaujamieroči 12145, garstobra-gludstobra šaujamieroči 1158, īsstobra šaujamieroči (pistoles un revolveri) 1547, lielas enerģijas pneimatiskie ieroči 41).</w:t>
            </w:r>
          </w:p>
          <w:p w:rsidR="00863953" w:rsidRPr="00F9574E" w:rsidRDefault="00863953" w:rsidP="000D6D5B">
            <w:pPr>
              <w:jc w:val="both"/>
            </w:pPr>
            <w:r w:rsidRPr="00F9574E">
              <w:lastRenderedPageBreak/>
              <w:t>2. ieroču un munīcijas izgatavošanas komersanti 6;</w:t>
            </w:r>
            <w:r w:rsidRPr="00F9574E">
              <w:rPr>
                <w:b/>
              </w:rPr>
              <w:t xml:space="preserve"> </w:t>
            </w:r>
          </w:p>
          <w:p w:rsidR="00863953" w:rsidRPr="00F9574E" w:rsidRDefault="00863953" w:rsidP="000D6D5B">
            <w:pPr>
              <w:jc w:val="both"/>
            </w:pPr>
            <w:r w:rsidRPr="00F9574E">
              <w:t>3. ieroču remonta komersanti 11;</w:t>
            </w:r>
          </w:p>
          <w:p w:rsidR="00863953" w:rsidRPr="00F9574E" w:rsidRDefault="00863953" w:rsidP="000D6D5B">
            <w:pPr>
              <w:jc w:val="both"/>
            </w:pPr>
            <w:r w:rsidRPr="00F9574E">
              <w:t>4. Juridiskām personām reģistrētie ieroči:</w:t>
            </w:r>
          </w:p>
          <w:p w:rsidR="00863953" w:rsidRPr="00F9574E" w:rsidRDefault="00863953" w:rsidP="000D6D5B">
            <w:pPr>
              <w:jc w:val="both"/>
            </w:pPr>
            <w:r w:rsidRPr="00F9574E">
              <w:t>4.1. savvaļas sugu dzīvnieku turēšanas juridiskās personas, kurām reģistrēti ieroči: 0;</w:t>
            </w:r>
          </w:p>
          <w:p w:rsidR="00863953" w:rsidRPr="00F9574E" w:rsidRDefault="00863953" w:rsidP="000D6D5B">
            <w:pPr>
              <w:jc w:val="both"/>
            </w:pPr>
            <w:r w:rsidRPr="00F9574E">
              <w:t>4.2. sporta organizācijas, kurām reģistrēti ieroči: 14, tām reģistrēti 778 šaujamieroči (garstobra-vītņstobra šaujamieroči 456, garstobra-gludstobra šaujamieroči 0, īsstobra šaujamieroči (pistoles un revolveri) 322, lielas enerģijas pneimatiskie ieroči 0;</w:t>
            </w:r>
          </w:p>
          <w:p w:rsidR="00863953" w:rsidRPr="00F9574E" w:rsidRDefault="00863953" w:rsidP="000D6D5B">
            <w:pPr>
              <w:jc w:val="both"/>
            </w:pPr>
            <w:r w:rsidRPr="00F9574E">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rsidR="00863953" w:rsidRPr="00F9574E" w:rsidRDefault="00863953" w:rsidP="000D6D5B">
            <w:pPr>
              <w:jc w:val="both"/>
            </w:pPr>
            <w:r w:rsidRPr="00F9574E">
              <w:t>4.4. juridisko personu ieroču kolekcijas: 0;</w:t>
            </w:r>
          </w:p>
          <w:p w:rsidR="00863953" w:rsidRPr="00F9574E" w:rsidRDefault="00863953" w:rsidP="000D6D5B">
            <w:pPr>
              <w:jc w:val="both"/>
            </w:pPr>
            <w:r w:rsidRPr="00F9574E">
              <w:t>4.5. apsardzes komersanti, kuriem reģistrēti šaujamieroči: 11, tiem reģistrēti 135 šaujamieroči (garstobra-gludstobra šaujamieroči 18, īsstobra šaujamieroči (pistoles un revolveri) 117);</w:t>
            </w:r>
          </w:p>
          <w:p w:rsidR="00863953" w:rsidRPr="00F9574E" w:rsidRDefault="00863953" w:rsidP="000D6D5B">
            <w:pPr>
              <w:jc w:val="both"/>
            </w:pPr>
            <w:r w:rsidRPr="00F9574E">
              <w:t>4.6. iekšējie drošības dienesti: 56, no tiem ar šaujamieročiem 5, tiem reģistrēti 129 šaujamieroči (garstobra-gludstobra šaujamieroči 8, īsstobra šaujamieroči (pistoles un revolveri) 121).</w:t>
            </w:r>
          </w:p>
        </w:tc>
      </w:tr>
      <w:tr w:rsidR="00863953" w:rsidRPr="00F9574E" w:rsidTr="000D6D5B">
        <w:trPr>
          <w:trHeight w:val="50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lastRenderedPageBreak/>
              <w:t>2.</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Tiesiskā regulējuma ietekme uz tautsaimniecību un administratīvo slogu</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jc w:val="both"/>
            </w:pPr>
            <w:r w:rsidDel="00A261E9">
              <w:t xml:space="preserve"> </w:t>
            </w:r>
            <w:r>
              <w:t>Projekts šo jomu neskar.</w:t>
            </w:r>
          </w:p>
        </w:tc>
      </w:tr>
      <w:tr w:rsidR="00863953" w:rsidRPr="00F9574E" w:rsidTr="000D6D5B">
        <w:trPr>
          <w:trHeight w:val="50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3.</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Administratīvo izmaksu monetārs novērtējums</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pStyle w:val="Standard"/>
              <w:spacing w:after="0" w:line="240" w:lineRule="auto"/>
              <w:ind w:left="57" w:right="57"/>
              <w:jc w:val="both"/>
              <w:rPr>
                <w:b/>
                <w:sz w:val="24"/>
                <w:szCs w:val="24"/>
              </w:rPr>
            </w:pPr>
            <w:r w:rsidRPr="00F9574E">
              <w:rPr>
                <w:sz w:val="24"/>
                <w:szCs w:val="24"/>
              </w:rPr>
              <w:t>Projekts šo jomu neskar.</w:t>
            </w:r>
          </w:p>
        </w:tc>
      </w:tr>
      <w:tr w:rsidR="00863953" w:rsidRPr="00F9574E" w:rsidTr="000D6D5B">
        <w:trPr>
          <w:trHeight w:val="50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4.</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Atbilstības izmaksu monetārs novērtējums</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Projekts šo jomu neskar.</w:t>
            </w:r>
          </w:p>
        </w:tc>
      </w:tr>
      <w:tr w:rsidR="00863953" w:rsidRPr="00F9574E" w:rsidTr="000D6D5B">
        <w:trPr>
          <w:trHeight w:val="340"/>
        </w:trPr>
        <w:tc>
          <w:tcPr>
            <w:tcW w:w="52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5.</w:t>
            </w:r>
          </w:p>
        </w:tc>
        <w:tc>
          <w:tcPr>
            <w:tcW w:w="259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Cita informācija</w:t>
            </w:r>
          </w:p>
        </w:tc>
        <w:tc>
          <w:tcPr>
            <w:tcW w:w="5923"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Nav</w:t>
            </w:r>
          </w:p>
        </w:tc>
      </w:tr>
    </w:tbl>
    <w:p w:rsidR="00863953" w:rsidRDefault="00863953" w:rsidP="00863953">
      <w:pPr>
        <w:shd w:val="clear" w:color="auto" w:fill="FFFFFF"/>
        <w:ind w:firstLine="300"/>
        <w:rPr>
          <w:sz w:val="22"/>
          <w:szCs w:val="22"/>
        </w:rPr>
      </w:pPr>
    </w:p>
    <w:tbl>
      <w:tblPr>
        <w:tblW w:w="58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132"/>
        <w:gridCol w:w="1132"/>
        <w:gridCol w:w="1132"/>
        <w:gridCol w:w="1134"/>
        <w:gridCol w:w="1089"/>
        <w:gridCol w:w="1139"/>
        <w:gridCol w:w="1035"/>
      </w:tblGrid>
      <w:tr w:rsidR="00863953" w:rsidTr="000D6D5B">
        <w:tc>
          <w:tcPr>
            <w:tcW w:w="5000" w:type="pct"/>
            <w:gridSpan w:val="8"/>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b/>
                <w:bCs/>
                <w:iCs/>
              </w:rPr>
            </w:pPr>
            <w:r>
              <w:rPr>
                <w:b/>
                <w:bCs/>
                <w:iCs/>
              </w:rPr>
              <w:t>III. Tiesību akta projekta ietekme uz valsts budžetu un pašvaldību budžetiem</w:t>
            </w:r>
          </w:p>
        </w:tc>
      </w:tr>
      <w:tr w:rsidR="00863953" w:rsidTr="000D6D5B">
        <w:tc>
          <w:tcPr>
            <w:tcW w:w="951" w:type="pct"/>
            <w:vMerge w:val="restar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Rādītāji</w:t>
            </w:r>
          </w:p>
        </w:tc>
        <w:tc>
          <w:tcPr>
            <w:tcW w:w="117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2019</w:t>
            </w:r>
          </w:p>
        </w:tc>
        <w:tc>
          <w:tcPr>
            <w:tcW w:w="2873" w:type="pct"/>
            <w:gridSpan w:val="5"/>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Turpmākie trīs gadi (</w:t>
            </w:r>
            <w:proofErr w:type="spellStart"/>
            <w:r>
              <w:rPr>
                <w:i/>
                <w:iCs/>
              </w:rPr>
              <w:t>euro</w:t>
            </w:r>
            <w:proofErr w:type="spellEnd"/>
            <w:r>
              <w:rPr>
                <w:iCs/>
              </w:rPr>
              <w:t>)</w:t>
            </w:r>
          </w:p>
        </w:tc>
      </w:tr>
      <w:tr w:rsidR="00863953" w:rsidTr="000D6D5B">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2020*</w:t>
            </w:r>
          </w:p>
        </w:tc>
        <w:tc>
          <w:tcPr>
            <w:tcW w:w="1158" w:type="pct"/>
            <w:gridSpan w:val="2"/>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2021*</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2022*</w:t>
            </w:r>
          </w:p>
        </w:tc>
      </w:tr>
      <w:tr w:rsidR="00863953" w:rsidTr="000D6D5B">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saskaņā ar valsts budžetu kārtējam gadam</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saskaņā ar vidēja termiņa budžeta ietvaru</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izmaiņas, salīdzinot ar vidēja termiņa budžeta ietvaru 2020.</w:t>
            </w:r>
          </w:p>
          <w:p w:rsidR="00863953" w:rsidRDefault="00863953" w:rsidP="000D6D5B">
            <w:pPr>
              <w:jc w:val="center"/>
              <w:rPr>
                <w:iCs/>
                <w:sz w:val="20"/>
                <w:szCs w:val="20"/>
              </w:rPr>
            </w:pPr>
            <w:r>
              <w:rPr>
                <w:iCs/>
                <w:sz w:val="20"/>
                <w:szCs w:val="20"/>
              </w:rPr>
              <w:t>gadam</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saskaņā ar vidēja termiņa budžeta ietvaru</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izmaiņas, salīdzinot ar vidēja termiņa budžeta ietvaru 2021.</w:t>
            </w:r>
          </w:p>
          <w:p w:rsidR="00863953" w:rsidRDefault="00863953" w:rsidP="000D6D5B">
            <w:pPr>
              <w:jc w:val="center"/>
              <w:rPr>
                <w:iCs/>
                <w:sz w:val="20"/>
                <w:szCs w:val="20"/>
              </w:rPr>
            </w:pPr>
            <w:r>
              <w:rPr>
                <w:iCs/>
                <w:sz w:val="20"/>
                <w:szCs w:val="20"/>
              </w:rPr>
              <w:t>gadam</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sz w:val="20"/>
                <w:szCs w:val="20"/>
              </w:rPr>
            </w:pPr>
            <w:r>
              <w:rPr>
                <w:iCs/>
                <w:sz w:val="20"/>
                <w:szCs w:val="20"/>
              </w:rPr>
              <w:t>izmaiņas, salīdzinot ar vidēja termiņa budžeta ietvaru 2021.</w:t>
            </w:r>
          </w:p>
          <w:p w:rsidR="00863953" w:rsidRDefault="00863953" w:rsidP="000D6D5B">
            <w:pPr>
              <w:jc w:val="center"/>
              <w:rPr>
                <w:iCs/>
                <w:sz w:val="20"/>
                <w:szCs w:val="20"/>
              </w:rPr>
            </w:pPr>
            <w:r>
              <w:rPr>
                <w:iCs/>
                <w:sz w:val="20"/>
                <w:szCs w:val="20"/>
              </w:rPr>
              <w:t>gadam</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1</w:t>
            </w:r>
          </w:p>
        </w:tc>
        <w:tc>
          <w:tcPr>
            <w:tcW w:w="588"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2</w:t>
            </w:r>
          </w:p>
        </w:tc>
        <w:tc>
          <w:tcPr>
            <w:tcW w:w="588"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3</w:t>
            </w:r>
          </w:p>
        </w:tc>
        <w:tc>
          <w:tcPr>
            <w:tcW w:w="588"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4</w:t>
            </w:r>
          </w:p>
        </w:tc>
        <w:tc>
          <w:tcPr>
            <w:tcW w:w="589"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5</w:t>
            </w:r>
          </w:p>
        </w:tc>
        <w:tc>
          <w:tcPr>
            <w:tcW w:w="566"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6</w:t>
            </w:r>
          </w:p>
        </w:tc>
        <w:tc>
          <w:tcPr>
            <w:tcW w:w="592"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7</w:t>
            </w:r>
          </w:p>
        </w:tc>
        <w:tc>
          <w:tcPr>
            <w:tcW w:w="538" w:type="pct"/>
            <w:tcBorders>
              <w:top w:val="single" w:sz="4" w:space="0" w:color="auto"/>
              <w:left w:val="single" w:sz="4" w:space="0" w:color="auto"/>
              <w:bottom w:val="single" w:sz="4" w:space="0" w:color="auto"/>
              <w:right w:val="single" w:sz="4" w:space="0" w:color="auto"/>
            </w:tcBorders>
            <w:hideMark/>
          </w:tcPr>
          <w:p w:rsidR="00863953" w:rsidRDefault="00863953" w:rsidP="000D6D5B">
            <w:pPr>
              <w:jc w:val="center"/>
              <w:rPr>
                <w:iCs/>
                <w:sz w:val="20"/>
                <w:szCs w:val="20"/>
              </w:rPr>
            </w:pPr>
            <w:r>
              <w:rPr>
                <w:iCs/>
                <w:sz w:val="20"/>
                <w:szCs w:val="20"/>
              </w:rPr>
              <w:t>8</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1. Budžeta ieņēmumi</w:t>
            </w:r>
          </w:p>
        </w:tc>
        <w:tc>
          <w:tcPr>
            <w:tcW w:w="588"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248 462</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248 462</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248 462</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t>248 462</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 xml:space="preserve">1.1. valsts pamatbudžeta, tai skaitā </w:t>
            </w:r>
            <w:r>
              <w:rPr>
                <w:iCs/>
              </w:rPr>
              <w:lastRenderedPageBreak/>
              <w:t>ieņēmumi no maksas pakalpojumiem un citi pašu ieņēmumi</w:t>
            </w:r>
          </w:p>
        </w:tc>
        <w:tc>
          <w:tcPr>
            <w:tcW w:w="588"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lastRenderedPageBreak/>
              <w:t>248 462</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248 462</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248 462</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t>248 462</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1.2. valsts speciālais 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1.3. pašvaldību 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2. Budžeta izdevumi</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2.1. valsts pamatbudžets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2.2. valsts speciālais 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2.3. pašvaldību 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3. Finansiālā ietekme</w:t>
            </w:r>
          </w:p>
        </w:tc>
        <w:tc>
          <w:tcPr>
            <w:tcW w:w="588" w:type="pct"/>
            <w:tcBorders>
              <w:top w:val="outset" w:sz="6" w:space="0" w:color="414142"/>
              <w:left w:val="outset" w:sz="6" w:space="0" w:color="414142"/>
              <w:bottom w:val="outset" w:sz="6" w:space="0" w:color="414142"/>
              <w:right w:val="outset" w:sz="6" w:space="0" w:color="414142"/>
            </w:tcBorders>
            <w:vAlign w:val="center"/>
          </w:tcPr>
          <w:p w:rsidR="00863953" w:rsidRDefault="00863953" w:rsidP="000D6D5B">
            <w:pPr>
              <w:jc w:val="center"/>
            </w:pPr>
            <w:r>
              <w:t>0</w:t>
            </w:r>
          </w:p>
        </w:tc>
        <w:tc>
          <w:tcPr>
            <w:tcW w:w="588" w:type="pct"/>
            <w:tcBorders>
              <w:top w:val="single" w:sz="4" w:space="0" w:color="auto"/>
              <w:left w:val="single" w:sz="4" w:space="0" w:color="auto"/>
              <w:bottom w:val="single" w:sz="4" w:space="0" w:color="auto"/>
              <w:right w:val="single" w:sz="4" w:space="0" w:color="auto"/>
            </w:tcBorders>
            <w:vAlign w:val="center"/>
          </w:tcPr>
          <w:p w:rsidR="00863953" w:rsidRDefault="00863953" w:rsidP="000D6D5B">
            <w:pPr>
              <w:jc w:val="center"/>
              <w:rPr>
                <w:iCs/>
              </w:rPr>
            </w:pPr>
            <w:r>
              <w:rPr>
                <w:iCs/>
              </w:rPr>
              <w:t>0</w:t>
            </w:r>
          </w:p>
        </w:tc>
        <w:tc>
          <w:tcPr>
            <w:tcW w:w="588" w:type="pct"/>
            <w:tcBorders>
              <w:top w:val="outset" w:sz="6" w:space="0" w:color="414142"/>
              <w:left w:val="outset" w:sz="6" w:space="0" w:color="414142"/>
              <w:bottom w:val="outset" w:sz="6" w:space="0" w:color="414142"/>
              <w:right w:val="outset" w:sz="6" w:space="0" w:color="414142"/>
            </w:tcBorders>
            <w:vAlign w:val="center"/>
          </w:tcPr>
          <w:p w:rsidR="00863953" w:rsidRDefault="00863953" w:rsidP="000D6D5B">
            <w:pPr>
              <w:jc w:val="center"/>
            </w:pPr>
            <w:r>
              <w:t>0</w:t>
            </w:r>
          </w:p>
        </w:tc>
        <w:tc>
          <w:tcPr>
            <w:tcW w:w="589" w:type="pct"/>
            <w:tcBorders>
              <w:top w:val="single" w:sz="4" w:space="0" w:color="auto"/>
              <w:left w:val="single" w:sz="4" w:space="0" w:color="auto"/>
              <w:bottom w:val="single" w:sz="4" w:space="0" w:color="auto"/>
              <w:right w:val="single" w:sz="4" w:space="0" w:color="auto"/>
            </w:tcBorders>
            <w:vAlign w:val="center"/>
          </w:tcPr>
          <w:p w:rsidR="00863953" w:rsidRDefault="00863953" w:rsidP="000D6D5B">
            <w:pPr>
              <w:jc w:val="center"/>
              <w:rPr>
                <w:iCs/>
              </w:rPr>
            </w:pPr>
            <w:r>
              <w:rPr>
                <w:iCs/>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863953" w:rsidRDefault="00863953" w:rsidP="000D6D5B">
            <w:pPr>
              <w:jc w:val="center"/>
            </w:pPr>
            <w:r>
              <w:t>0</w:t>
            </w:r>
          </w:p>
        </w:tc>
        <w:tc>
          <w:tcPr>
            <w:tcW w:w="592" w:type="pct"/>
            <w:tcBorders>
              <w:top w:val="single" w:sz="4" w:space="0" w:color="auto"/>
              <w:left w:val="single" w:sz="4" w:space="0" w:color="auto"/>
              <w:bottom w:val="single" w:sz="4" w:space="0" w:color="auto"/>
              <w:right w:val="single" w:sz="4" w:space="0" w:color="auto"/>
            </w:tcBorders>
            <w:vAlign w:val="center"/>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3.1. valsts pamatbudžets</w:t>
            </w:r>
          </w:p>
        </w:tc>
        <w:tc>
          <w:tcPr>
            <w:tcW w:w="588"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63953" w:rsidRDefault="00863953" w:rsidP="000D6D5B">
            <w:pPr>
              <w:jc w:val="center"/>
            </w:pPr>
            <w: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3.2. speciālais 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3.3. pašvaldību budžets</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4. Finanšu līdzekļi papildu izdevumu finansēšanai (kompensējošu izdevumu samazinājumu norāda ar "+" zīmi)</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X</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X</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X</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5. Precizēta finansiālā ietekme</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X</w:t>
            </w: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X</w:t>
            </w: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X</w:t>
            </w: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iCs/>
              </w:rPr>
            </w:pPr>
          </w:p>
        </w:tc>
        <w:tc>
          <w:tcPr>
            <w:tcW w:w="592"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c>
          <w:tcPr>
            <w:tcW w:w="538" w:type="pct"/>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jc w:val="center"/>
              <w:rPr>
                <w:iCs/>
              </w:rPr>
            </w:pPr>
            <w:r>
              <w:rPr>
                <w:iCs/>
              </w:rPr>
              <w:t>0</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 xml:space="preserve">6. Detalizēts ieņēmumu un izdevumu aprēķins (ja nepieciešams, </w:t>
            </w:r>
            <w:r>
              <w:rPr>
                <w:iCs/>
              </w:rPr>
              <w:lastRenderedPageBreak/>
              <w:t>detalizētu ieņēmumu un izdevumu aprēķinu var pievienot anotācijas pielikumā)</w:t>
            </w:r>
          </w:p>
        </w:tc>
        <w:tc>
          <w:tcPr>
            <w:tcW w:w="4049" w:type="pct"/>
            <w:gridSpan w:val="7"/>
            <w:vMerge w:val="restart"/>
            <w:tcBorders>
              <w:top w:val="outset" w:sz="6" w:space="0" w:color="414142"/>
              <w:left w:val="outset" w:sz="6" w:space="0" w:color="414142"/>
              <w:bottom w:val="single" w:sz="4" w:space="0" w:color="auto"/>
              <w:right w:val="outset" w:sz="6" w:space="0" w:color="414142"/>
            </w:tcBorders>
            <w:vAlign w:val="center"/>
          </w:tcPr>
          <w:p w:rsidR="00863953" w:rsidRPr="00633917" w:rsidRDefault="00863953" w:rsidP="000D6D5B">
            <w:pPr>
              <w:jc w:val="both"/>
              <w:rPr>
                <w:b/>
                <w:i/>
              </w:rPr>
            </w:pPr>
            <w:r w:rsidRPr="00633917">
              <w:rPr>
                <w:b/>
                <w:i/>
              </w:rPr>
              <w:lastRenderedPageBreak/>
              <w:t>Detalizēts ieņēmumu aprēķins:</w:t>
            </w:r>
          </w:p>
          <w:p w:rsidR="00863953" w:rsidRPr="00633917" w:rsidRDefault="00863953" w:rsidP="000D6D5B">
            <w:pPr>
              <w:jc w:val="both"/>
            </w:pPr>
            <w:r w:rsidRPr="00633917">
              <w:t xml:space="preserve">Ar noteikumu projektu paredzēts noteikt jaunus valsts nodevu </w:t>
            </w:r>
            <w:r>
              <w:t>objektus</w:t>
            </w:r>
            <w:r w:rsidRPr="00633917">
              <w:t>:</w:t>
            </w:r>
          </w:p>
          <w:p w:rsidR="00863953" w:rsidRDefault="00863953" w:rsidP="00863953">
            <w:pPr>
              <w:pStyle w:val="ListParagraph"/>
              <w:numPr>
                <w:ilvl w:val="0"/>
                <w:numId w:val="1"/>
              </w:numPr>
              <w:jc w:val="both"/>
            </w:pPr>
            <w:r w:rsidRPr="00FA506E">
              <w:rPr>
                <w:rFonts w:ascii="Times New Roman" w:hAnsi="Times New Roman" w:cs="Times New Roman"/>
                <w:sz w:val="24"/>
                <w:szCs w:val="24"/>
              </w:rPr>
              <w:t xml:space="preserve">valsts nodeva par iepriekšējās piekrišanas dokumenta ieroču un munīcijas pārvadāšanai vai pārsūtīšanai izsniegšanu (fiziskām </w:t>
            </w:r>
            <w:r w:rsidRPr="00FA506E">
              <w:rPr>
                <w:rFonts w:ascii="Times New Roman" w:hAnsi="Times New Roman" w:cs="Times New Roman"/>
                <w:sz w:val="24"/>
                <w:szCs w:val="24"/>
              </w:rPr>
              <w:lastRenderedPageBreak/>
              <w:t xml:space="preserve">personām) – 31,30 </w:t>
            </w:r>
            <w:proofErr w:type="spellStart"/>
            <w:r w:rsidRPr="00FA506E">
              <w:rPr>
                <w:rFonts w:ascii="Times New Roman" w:hAnsi="Times New Roman" w:cs="Times New Roman"/>
                <w:i/>
                <w:sz w:val="24"/>
                <w:szCs w:val="24"/>
              </w:rPr>
              <w:t>euro</w:t>
            </w:r>
            <w:proofErr w:type="spellEnd"/>
            <w:r w:rsidRPr="00FA506E">
              <w:rPr>
                <w:rFonts w:ascii="Times New Roman" w:hAnsi="Times New Roman" w:cs="Times New Roman"/>
                <w:sz w:val="24"/>
                <w:szCs w:val="24"/>
              </w:rPr>
              <w:t xml:space="preserve"> apmērā</w:t>
            </w:r>
            <w:r>
              <w:rPr>
                <w:rFonts w:ascii="Times New Roman" w:hAnsi="Times New Roman" w:cs="Times New Roman"/>
                <w:sz w:val="24"/>
                <w:szCs w:val="24"/>
              </w:rPr>
              <w:t>. Plānotais pakalpojumu skaits gadā – 70 gab.</w:t>
            </w:r>
          </w:p>
          <w:p w:rsidR="00863953" w:rsidRDefault="00863953" w:rsidP="000D6D5B">
            <w:pPr>
              <w:pStyle w:val="ListParagraph"/>
              <w:jc w:val="both"/>
            </w:pPr>
            <w:r>
              <w:rPr>
                <w:rFonts w:ascii="Times New Roman" w:hAnsi="Times New Roman" w:cs="Times New Roman"/>
                <w:sz w:val="24"/>
                <w:szCs w:val="24"/>
              </w:rPr>
              <w:t xml:space="preserve">31,30 </w:t>
            </w:r>
            <w:proofErr w:type="spellStart"/>
            <w:r w:rsidRPr="00FA506E">
              <w:rPr>
                <w:rFonts w:ascii="Times New Roman" w:hAnsi="Times New Roman" w:cs="Times New Roman"/>
                <w:i/>
                <w:sz w:val="24"/>
                <w:szCs w:val="24"/>
              </w:rPr>
              <w:t>euro</w:t>
            </w:r>
            <w:proofErr w:type="spellEnd"/>
            <w:r>
              <w:rPr>
                <w:rFonts w:ascii="Times New Roman" w:hAnsi="Times New Roman" w:cs="Times New Roman"/>
                <w:sz w:val="24"/>
                <w:szCs w:val="24"/>
              </w:rPr>
              <w:t xml:space="preserve"> x 70 gab. = 2191 </w:t>
            </w:r>
            <w:proofErr w:type="spellStart"/>
            <w:r w:rsidRPr="00FA506E">
              <w:rPr>
                <w:rFonts w:ascii="Times New Roman" w:hAnsi="Times New Roman" w:cs="Times New Roman"/>
                <w:i/>
                <w:sz w:val="24"/>
                <w:szCs w:val="24"/>
              </w:rPr>
              <w:t>euro</w:t>
            </w:r>
            <w:proofErr w:type="spellEnd"/>
            <w:r>
              <w:rPr>
                <w:rFonts w:ascii="Times New Roman" w:hAnsi="Times New Roman" w:cs="Times New Roman"/>
                <w:sz w:val="24"/>
                <w:szCs w:val="24"/>
              </w:rPr>
              <w:t>;</w:t>
            </w:r>
          </w:p>
          <w:p w:rsidR="00863953" w:rsidRDefault="00863953" w:rsidP="00863953">
            <w:pPr>
              <w:pStyle w:val="ListParagraph"/>
              <w:numPr>
                <w:ilvl w:val="0"/>
                <w:numId w:val="1"/>
              </w:numPr>
              <w:jc w:val="both"/>
              <w:rPr>
                <w:rFonts w:ascii="Times New Roman" w:hAnsi="Times New Roman" w:cs="Times New Roman"/>
                <w:sz w:val="24"/>
                <w:szCs w:val="24"/>
              </w:rPr>
            </w:pPr>
            <w:r w:rsidRPr="00B07961">
              <w:rPr>
                <w:rFonts w:ascii="Times New Roman" w:hAnsi="Times New Roman" w:cs="Times New Roman"/>
                <w:sz w:val="24"/>
                <w:szCs w:val="24"/>
              </w:rPr>
              <w:t xml:space="preserve">valsts nodeva </w:t>
            </w:r>
            <w:r w:rsidRPr="00633917">
              <w:rPr>
                <w:rFonts w:ascii="Times New Roman" w:hAnsi="Times New Roman" w:cs="Times New Roman"/>
                <w:sz w:val="24"/>
                <w:szCs w:val="24"/>
              </w:rPr>
              <w:t>par ieroču atļaujas derīguma termiņa pagarināšanu</w:t>
            </w:r>
            <w:r w:rsidRPr="00B07961">
              <w:rPr>
                <w:rFonts w:ascii="Times New Roman" w:hAnsi="Times New Roman" w:cs="Times New Roman"/>
                <w:sz w:val="24"/>
                <w:szCs w:val="24"/>
              </w:rPr>
              <w:t xml:space="preserve"> (fiziskām personām) – </w:t>
            </w:r>
            <w:r>
              <w:rPr>
                <w:rFonts w:ascii="Times New Roman" w:hAnsi="Times New Roman" w:cs="Times New Roman"/>
                <w:sz w:val="24"/>
                <w:szCs w:val="24"/>
              </w:rPr>
              <w:t>20</w:t>
            </w:r>
            <w:r w:rsidRPr="00B07961">
              <w:rPr>
                <w:rFonts w:ascii="Times New Roman" w:hAnsi="Times New Roman" w:cs="Times New Roman"/>
                <w:sz w:val="24"/>
                <w:szCs w:val="24"/>
              </w:rPr>
              <w:t xml:space="preserve"> </w:t>
            </w:r>
            <w:proofErr w:type="spellStart"/>
            <w:r w:rsidRPr="00B07961">
              <w:rPr>
                <w:rFonts w:ascii="Times New Roman" w:hAnsi="Times New Roman" w:cs="Times New Roman"/>
                <w:i/>
                <w:sz w:val="24"/>
                <w:szCs w:val="24"/>
              </w:rPr>
              <w:t>euro</w:t>
            </w:r>
            <w:proofErr w:type="spellEnd"/>
            <w:r w:rsidRPr="00B07961">
              <w:rPr>
                <w:rFonts w:ascii="Times New Roman" w:hAnsi="Times New Roman" w:cs="Times New Roman"/>
                <w:sz w:val="24"/>
                <w:szCs w:val="24"/>
              </w:rPr>
              <w:t xml:space="preserve"> apmērā</w:t>
            </w:r>
            <w:r>
              <w:rPr>
                <w:rFonts w:ascii="Times New Roman" w:hAnsi="Times New Roman" w:cs="Times New Roman"/>
                <w:sz w:val="24"/>
                <w:szCs w:val="24"/>
              </w:rPr>
              <w:t>. Plānotais pakalpojumu skaits gadā – 60 gab.</w:t>
            </w:r>
          </w:p>
          <w:p w:rsidR="00863953" w:rsidRDefault="00863953" w:rsidP="000D6D5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Pr="00B07961">
              <w:rPr>
                <w:rFonts w:ascii="Times New Roman" w:hAnsi="Times New Roman" w:cs="Times New Roman"/>
                <w:i/>
                <w:sz w:val="24"/>
                <w:szCs w:val="24"/>
              </w:rPr>
              <w:t>euro</w:t>
            </w:r>
            <w:proofErr w:type="spellEnd"/>
            <w:r>
              <w:rPr>
                <w:rFonts w:ascii="Times New Roman" w:hAnsi="Times New Roman" w:cs="Times New Roman"/>
                <w:sz w:val="24"/>
                <w:szCs w:val="24"/>
              </w:rPr>
              <w:t xml:space="preserve"> x 10 gab. = 200 </w:t>
            </w:r>
            <w:proofErr w:type="spellStart"/>
            <w:r w:rsidRPr="00B07961">
              <w:rPr>
                <w:rFonts w:ascii="Times New Roman" w:hAnsi="Times New Roman" w:cs="Times New Roman"/>
                <w:i/>
                <w:sz w:val="24"/>
                <w:szCs w:val="24"/>
              </w:rPr>
              <w:t>euro</w:t>
            </w:r>
            <w:proofErr w:type="spellEnd"/>
            <w:r>
              <w:rPr>
                <w:rFonts w:ascii="Times New Roman" w:hAnsi="Times New Roman" w:cs="Times New Roman"/>
                <w:sz w:val="24"/>
                <w:szCs w:val="24"/>
              </w:rPr>
              <w:t>;</w:t>
            </w:r>
          </w:p>
          <w:p w:rsidR="00863953" w:rsidRDefault="00863953" w:rsidP="00863953">
            <w:pPr>
              <w:pStyle w:val="ListParagraph"/>
              <w:numPr>
                <w:ilvl w:val="0"/>
                <w:numId w:val="1"/>
              </w:numPr>
              <w:jc w:val="both"/>
              <w:rPr>
                <w:rFonts w:ascii="Times New Roman" w:hAnsi="Times New Roman" w:cs="Times New Roman"/>
                <w:sz w:val="24"/>
                <w:szCs w:val="24"/>
              </w:rPr>
            </w:pPr>
            <w:r w:rsidRPr="00B07961">
              <w:rPr>
                <w:rFonts w:ascii="Times New Roman" w:hAnsi="Times New Roman" w:cs="Times New Roman"/>
                <w:sz w:val="24"/>
                <w:szCs w:val="24"/>
              </w:rPr>
              <w:t>valsts nodeva par iepriekšējās piekrišanas dokumenta ieroču un munīcijas pārvadāšanai vai pārsūtīšanai izsniegšanu (</w:t>
            </w:r>
            <w:r>
              <w:rPr>
                <w:rFonts w:ascii="Times New Roman" w:hAnsi="Times New Roman" w:cs="Times New Roman"/>
                <w:sz w:val="24"/>
                <w:szCs w:val="24"/>
              </w:rPr>
              <w:t>juridiskām</w:t>
            </w:r>
            <w:r w:rsidRPr="00B07961">
              <w:rPr>
                <w:rFonts w:ascii="Times New Roman" w:hAnsi="Times New Roman" w:cs="Times New Roman"/>
                <w:sz w:val="24"/>
                <w:szCs w:val="24"/>
              </w:rPr>
              <w:t xml:space="preserve"> personām) – 31,30 </w:t>
            </w:r>
            <w:proofErr w:type="spellStart"/>
            <w:r w:rsidRPr="00B07961">
              <w:rPr>
                <w:rFonts w:ascii="Times New Roman" w:hAnsi="Times New Roman" w:cs="Times New Roman"/>
                <w:i/>
                <w:sz w:val="24"/>
                <w:szCs w:val="24"/>
              </w:rPr>
              <w:t>euro</w:t>
            </w:r>
            <w:proofErr w:type="spellEnd"/>
            <w:r w:rsidRPr="00B07961">
              <w:rPr>
                <w:rFonts w:ascii="Times New Roman" w:hAnsi="Times New Roman" w:cs="Times New Roman"/>
                <w:sz w:val="24"/>
                <w:szCs w:val="24"/>
              </w:rPr>
              <w:t xml:space="preserve"> apmērā</w:t>
            </w:r>
            <w:r>
              <w:rPr>
                <w:rFonts w:ascii="Times New Roman" w:hAnsi="Times New Roman" w:cs="Times New Roman"/>
                <w:sz w:val="24"/>
                <w:szCs w:val="24"/>
              </w:rPr>
              <w:t>. Plānotais pakalpojumu skaits gadā – 130 gab.</w:t>
            </w:r>
          </w:p>
          <w:p w:rsidR="00863953" w:rsidRDefault="00863953" w:rsidP="000D6D5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31,30 </w:t>
            </w:r>
            <w:proofErr w:type="spellStart"/>
            <w:r w:rsidRPr="00B07961">
              <w:rPr>
                <w:rFonts w:ascii="Times New Roman" w:hAnsi="Times New Roman" w:cs="Times New Roman"/>
                <w:i/>
                <w:sz w:val="24"/>
                <w:szCs w:val="24"/>
              </w:rPr>
              <w:t>euro</w:t>
            </w:r>
            <w:proofErr w:type="spellEnd"/>
            <w:r>
              <w:rPr>
                <w:rFonts w:ascii="Times New Roman" w:hAnsi="Times New Roman" w:cs="Times New Roman"/>
                <w:sz w:val="24"/>
                <w:szCs w:val="24"/>
              </w:rPr>
              <w:t xml:space="preserve"> x 130 gab. = 4069 </w:t>
            </w:r>
            <w:proofErr w:type="spellStart"/>
            <w:r w:rsidRPr="00B07961">
              <w:rPr>
                <w:rFonts w:ascii="Times New Roman" w:hAnsi="Times New Roman" w:cs="Times New Roman"/>
                <w:i/>
                <w:sz w:val="24"/>
                <w:szCs w:val="24"/>
              </w:rPr>
              <w:t>euro</w:t>
            </w:r>
            <w:proofErr w:type="spellEnd"/>
            <w:r>
              <w:rPr>
                <w:rFonts w:ascii="Times New Roman" w:hAnsi="Times New Roman" w:cs="Times New Roman"/>
                <w:sz w:val="24"/>
                <w:szCs w:val="24"/>
              </w:rPr>
              <w:t>;</w:t>
            </w:r>
          </w:p>
          <w:p w:rsidR="00863953" w:rsidRDefault="00863953" w:rsidP="00863953">
            <w:pPr>
              <w:pStyle w:val="ListParagraph"/>
              <w:numPr>
                <w:ilvl w:val="0"/>
                <w:numId w:val="1"/>
              </w:numPr>
              <w:jc w:val="both"/>
              <w:rPr>
                <w:rFonts w:ascii="Times New Roman" w:hAnsi="Times New Roman" w:cs="Times New Roman"/>
                <w:sz w:val="24"/>
                <w:szCs w:val="24"/>
              </w:rPr>
            </w:pPr>
            <w:r w:rsidRPr="00B07961">
              <w:rPr>
                <w:rFonts w:ascii="Times New Roman" w:hAnsi="Times New Roman" w:cs="Times New Roman"/>
                <w:sz w:val="24"/>
                <w:szCs w:val="24"/>
              </w:rPr>
              <w:t xml:space="preserve">valsts nodeva </w:t>
            </w:r>
            <w:r w:rsidRPr="00633917">
              <w:rPr>
                <w:rFonts w:ascii="Times New Roman" w:hAnsi="Times New Roman" w:cs="Times New Roman"/>
                <w:sz w:val="24"/>
                <w:szCs w:val="24"/>
              </w:rPr>
              <w:t>par ieroču atļaujas derīguma termiņa pagarināšanu</w:t>
            </w:r>
            <w:r w:rsidRPr="00B07961">
              <w:rPr>
                <w:rFonts w:ascii="Times New Roman" w:hAnsi="Times New Roman" w:cs="Times New Roman"/>
                <w:sz w:val="24"/>
                <w:szCs w:val="24"/>
              </w:rPr>
              <w:t xml:space="preserve"> (</w:t>
            </w:r>
            <w:r>
              <w:rPr>
                <w:rFonts w:ascii="Times New Roman" w:hAnsi="Times New Roman" w:cs="Times New Roman"/>
                <w:sz w:val="24"/>
                <w:szCs w:val="24"/>
              </w:rPr>
              <w:t>juridiskām</w:t>
            </w:r>
            <w:r w:rsidRPr="00B07961">
              <w:rPr>
                <w:rFonts w:ascii="Times New Roman" w:hAnsi="Times New Roman" w:cs="Times New Roman"/>
                <w:sz w:val="24"/>
                <w:szCs w:val="24"/>
              </w:rPr>
              <w:t xml:space="preserve"> personām) – </w:t>
            </w:r>
            <w:r>
              <w:rPr>
                <w:rFonts w:ascii="Times New Roman" w:hAnsi="Times New Roman" w:cs="Times New Roman"/>
                <w:sz w:val="24"/>
                <w:szCs w:val="24"/>
              </w:rPr>
              <w:t>40</w:t>
            </w:r>
            <w:r w:rsidRPr="00B07961">
              <w:rPr>
                <w:rFonts w:ascii="Times New Roman" w:hAnsi="Times New Roman" w:cs="Times New Roman"/>
                <w:sz w:val="24"/>
                <w:szCs w:val="24"/>
              </w:rPr>
              <w:t xml:space="preserve"> </w:t>
            </w:r>
            <w:proofErr w:type="spellStart"/>
            <w:r w:rsidRPr="00B07961">
              <w:rPr>
                <w:rFonts w:ascii="Times New Roman" w:hAnsi="Times New Roman" w:cs="Times New Roman"/>
                <w:i/>
                <w:sz w:val="24"/>
                <w:szCs w:val="24"/>
              </w:rPr>
              <w:t>euro</w:t>
            </w:r>
            <w:proofErr w:type="spellEnd"/>
            <w:r w:rsidRPr="00B07961">
              <w:rPr>
                <w:rFonts w:ascii="Times New Roman" w:hAnsi="Times New Roman" w:cs="Times New Roman"/>
                <w:sz w:val="24"/>
                <w:szCs w:val="24"/>
              </w:rPr>
              <w:t xml:space="preserve"> apmērā</w:t>
            </w:r>
            <w:r>
              <w:rPr>
                <w:rFonts w:ascii="Times New Roman" w:hAnsi="Times New Roman" w:cs="Times New Roman"/>
                <w:sz w:val="24"/>
                <w:szCs w:val="24"/>
              </w:rPr>
              <w:t>. Plānotais pakalpojumu skaits gadā – 20 gab.</w:t>
            </w:r>
          </w:p>
          <w:p w:rsidR="00863953" w:rsidRDefault="00863953" w:rsidP="000D6D5B">
            <w:pPr>
              <w:pStyle w:val="ListParagraph"/>
              <w:jc w:val="both"/>
            </w:pPr>
            <w:r>
              <w:rPr>
                <w:rFonts w:ascii="Times New Roman" w:hAnsi="Times New Roman" w:cs="Times New Roman"/>
                <w:sz w:val="24"/>
                <w:szCs w:val="24"/>
              </w:rPr>
              <w:t xml:space="preserve">40 </w:t>
            </w:r>
            <w:proofErr w:type="spellStart"/>
            <w:r w:rsidRPr="00B07961">
              <w:rPr>
                <w:rFonts w:ascii="Times New Roman" w:hAnsi="Times New Roman" w:cs="Times New Roman"/>
                <w:i/>
                <w:sz w:val="24"/>
                <w:szCs w:val="24"/>
              </w:rPr>
              <w:t>euro</w:t>
            </w:r>
            <w:proofErr w:type="spellEnd"/>
            <w:r>
              <w:rPr>
                <w:rFonts w:ascii="Times New Roman" w:hAnsi="Times New Roman" w:cs="Times New Roman"/>
                <w:sz w:val="24"/>
                <w:szCs w:val="24"/>
              </w:rPr>
              <w:t xml:space="preserve"> x 45 gab. = 1800 </w:t>
            </w:r>
            <w:proofErr w:type="spellStart"/>
            <w:r w:rsidRPr="00B07961">
              <w:rPr>
                <w:rFonts w:ascii="Times New Roman" w:hAnsi="Times New Roman" w:cs="Times New Roman"/>
                <w:i/>
                <w:sz w:val="24"/>
                <w:szCs w:val="24"/>
              </w:rPr>
              <w:t>euro</w:t>
            </w:r>
            <w:proofErr w:type="spellEnd"/>
            <w:r>
              <w:rPr>
                <w:rFonts w:ascii="Times New Roman" w:hAnsi="Times New Roman" w:cs="Times New Roman"/>
                <w:sz w:val="24"/>
                <w:szCs w:val="24"/>
              </w:rPr>
              <w:t>.</w:t>
            </w:r>
          </w:p>
          <w:p w:rsidR="00863953" w:rsidRDefault="00863953" w:rsidP="000D6D5B">
            <w:pPr>
              <w:ind w:firstLine="468"/>
              <w:jc w:val="both"/>
            </w:pPr>
          </w:p>
          <w:p w:rsidR="00863953" w:rsidRDefault="00863953" w:rsidP="000D6D5B">
            <w:pPr>
              <w:ind w:firstLine="468"/>
              <w:jc w:val="both"/>
              <w:rPr>
                <w:color w:val="auto"/>
              </w:rPr>
            </w:pPr>
            <w:r w:rsidRPr="00633917">
              <w:rPr>
                <w:color w:val="auto"/>
              </w:rPr>
              <w:t xml:space="preserve">Sakarā ar to, ka precizēts plānoto valsts nodevu skaits un Noteikumu projektā </w:t>
            </w:r>
            <w:r>
              <w:rPr>
                <w:color w:val="auto"/>
              </w:rPr>
              <w:t xml:space="preserve">valsts nodevu </w:t>
            </w:r>
            <w:r w:rsidRPr="00633917">
              <w:rPr>
                <w:color w:val="auto"/>
              </w:rPr>
              <w:t>apmēri i</w:t>
            </w:r>
            <w:r>
              <w:rPr>
                <w:color w:val="auto"/>
              </w:rPr>
              <w:t xml:space="preserve">r atstāti iepriekšējā līmenī un, </w:t>
            </w:r>
            <w:r w:rsidRPr="00633917">
              <w:rPr>
                <w:color w:val="auto"/>
              </w:rPr>
              <w:t>ņemot vērā jauno valsts nodevu objektu plānotos ieņēmumus</w:t>
            </w:r>
            <w:r>
              <w:rPr>
                <w:color w:val="auto"/>
              </w:rPr>
              <w:t>,</w:t>
            </w:r>
            <w:r w:rsidRPr="00633917">
              <w:rPr>
                <w:color w:val="auto"/>
              </w:rPr>
              <w:t xml:space="preserve"> Noteikumu projekts neatstās ietekmi uz valsts budžetu. </w:t>
            </w:r>
            <w:r w:rsidRPr="00F65F2F">
              <w:rPr>
                <w:color w:val="auto"/>
              </w:rPr>
              <w:t>Detalizēta informācija iekļauta anotācijas 1.pielikumā.</w:t>
            </w:r>
          </w:p>
          <w:p w:rsidR="00863953" w:rsidRDefault="00863953" w:rsidP="000D6D5B">
            <w:pPr>
              <w:ind w:firstLine="468"/>
              <w:jc w:val="both"/>
              <w:rPr>
                <w:color w:val="auto"/>
              </w:rPr>
            </w:pPr>
            <w:r w:rsidRPr="003E69DE">
              <w:rPr>
                <w:color w:val="auto"/>
              </w:rPr>
              <w:t xml:space="preserve">        </w:t>
            </w:r>
          </w:p>
          <w:p w:rsidR="00863953" w:rsidRDefault="00863953" w:rsidP="000D6D5B">
            <w:pPr>
              <w:ind w:firstLine="468"/>
              <w:jc w:val="both"/>
              <w:rPr>
                <w:color w:val="auto"/>
              </w:rPr>
            </w:pPr>
            <w:r w:rsidRPr="0032513C">
              <w:rPr>
                <w:color w:val="auto"/>
              </w:rPr>
              <w:t xml:space="preserve">Ņemot vērā </w:t>
            </w:r>
            <w:r>
              <w:rPr>
                <w:color w:val="auto"/>
              </w:rPr>
              <w:t xml:space="preserve">faktisko </w:t>
            </w:r>
            <w:r w:rsidRPr="0032513C">
              <w:rPr>
                <w:color w:val="auto"/>
              </w:rPr>
              <w:t>pieprasījumu un iepriekšējo gadu statistiku netiek plānoti papildus valsts budžeta ieņēmumi no nodevām par jebkāda veida ieroča atļaujas, atkārtotas atļaujas, atļaujas dublikāta, Eiropas šaujamieroču apliecības izsniegšanu un Eiropas šaujamieroču apliecības derīguma termiņa pagarināšanu (ieņēmumu klasifikācijas kods 9.1.3.1.).</w:t>
            </w:r>
          </w:p>
          <w:p w:rsidR="00863953" w:rsidRDefault="00863953" w:rsidP="000D6D5B">
            <w:pPr>
              <w:ind w:firstLine="468"/>
              <w:jc w:val="both"/>
              <w:rPr>
                <w:color w:val="auto"/>
              </w:rPr>
            </w:pPr>
          </w:p>
          <w:p w:rsidR="00863953" w:rsidRPr="00FA506E" w:rsidRDefault="00863953" w:rsidP="000D6D5B">
            <w:pPr>
              <w:ind w:firstLine="468"/>
              <w:jc w:val="both"/>
              <w:rPr>
                <w:color w:val="auto"/>
              </w:rPr>
            </w:pPr>
            <w:r>
              <w:t>Aprēķinot jauno valsts nodevas objektu apmēru, tika izvērtēti attiecīgā pakalpojuma sniegšanai un valsts nodevas administrēšanas nodrošināšanai nepieciešamie tiešie un netiešie izdevumi, atalgojuma aprēķinā pielietots vidējais apmaksāto stundu skaits mēnesī – 168. Detalizēts jauno valsts nodevu aprēķins iekļauts anotācijas 2.pielikumā.</w:t>
            </w:r>
          </w:p>
          <w:p w:rsidR="00863953" w:rsidRDefault="00863953" w:rsidP="000D6D5B">
            <w:pPr>
              <w:jc w:val="both"/>
            </w:pPr>
          </w:p>
          <w:p w:rsidR="00863953" w:rsidRDefault="00863953" w:rsidP="000D6D5B">
            <w:pPr>
              <w:ind w:firstLine="222"/>
              <w:jc w:val="both"/>
              <w:rPr>
                <w:i/>
                <w:highlight w:val="yellow"/>
              </w:rPr>
            </w:pPr>
          </w:p>
          <w:p w:rsidR="00863953" w:rsidRPr="00B07961" w:rsidRDefault="00863953" w:rsidP="000D6D5B">
            <w:pPr>
              <w:jc w:val="both"/>
            </w:pPr>
            <w:r>
              <w:t>* Saskaņā ar Iekšlietu ministrijas budžeta pieprasījumu 2019.gadam (veidlapa Nr.6 “Pamatbudžetā iemaksājamās valsts nodevas un citi maksājumi no valsts institūciju sniegtajiem pakalpojumiem un veiktās darbības”).</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lastRenderedPageBreak/>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rFonts w:eastAsiaTheme="minorHAnsi"/>
                <w:i/>
                <w:sz w:val="22"/>
                <w:szCs w:val="22"/>
                <w:lang w:eastAsia="en-US"/>
              </w:rPr>
            </w:pP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63953" w:rsidRDefault="00863953" w:rsidP="000D6D5B">
            <w:pPr>
              <w:rPr>
                <w:rFonts w:eastAsiaTheme="minorHAnsi"/>
                <w:i/>
                <w:sz w:val="22"/>
                <w:szCs w:val="22"/>
                <w:lang w:eastAsia="en-US"/>
              </w:rPr>
            </w:pP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7. Amata vietu skaita izmaiņas</w:t>
            </w:r>
          </w:p>
        </w:tc>
        <w:tc>
          <w:tcPr>
            <w:tcW w:w="4049" w:type="pct"/>
            <w:gridSpan w:val="7"/>
            <w:tcBorders>
              <w:top w:val="single" w:sz="4" w:space="0" w:color="auto"/>
              <w:left w:val="single" w:sz="4" w:space="0" w:color="auto"/>
              <w:bottom w:val="single" w:sz="4" w:space="0" w:color="auto"/>
              <w:right w:val="single" w:sz="4" w:space="0" w:color="auto"/>
            </w:tcBorders>
            <w:hideMark/>
          </w:tcPr>
          <w:p w:rsidR="00863953" w:rsidRDefault="00863953" w:rsidP="000D6D5B">
            <w:pPr>
              <w:jc w:val="both"/>
              <w:rPr>
                <w:iCs/>
              </w:rPr>
            </w:pPr>
            <w:r>
              <w:rPr>
                <w:iCs/>
              </w:rPr>
              <w:t>Projekts šo jomu neskar.</w:t>
            </w:r>
          </w:p>
        </w:tc>
      </w:tr>
      <w:tr w:rsidR="00863953" w:rsidTr="000D6D5B">
        <w:tc>
          <w:tcPr>
            <w:tcW w:w="951" w:type="pct"/>
            <w:tcBorders>
              <w:top w:val="single" w:sz="4" w:space="0" w:color="auto"/>
              <w:left w:val="single" w:sz="4" w:space="0" w:color="auto"/>
              <w:bottom w:val="single" w:sz="4" w:space="0" w:color="auto"/>
              <w:right w:val="single" w:sz="4" w:space="0" w:color="auto"/>
            </w:tcBorders>
            <w:hideMark/>
          </w:tcPr>
          <w:p w:rsidR="00863953" w:rsidRDefault="00863953" w:rsidP="000D6D5B">
            <w:pPr>
              <w:rPr>
                <w:iCs/>
              </w:rPr>
            </w:pPr>
            <w:r>
              <w:rPr>
                <w:iCs/>
              </w:rPr>
              <w:t>8. Cita informācija</w:t>
            </w:r>
          </w:p>
        </w:tc>
        <w:tc>
          <w:tcPr>
            <w:tcW w:w="4049" w:type="pct"/>
            <w:gridSpan w:val="7"/>
            <w:tcBorders>
              <w:top w:val="single" w:sz="4" w:space="0" w:color="auto"/>
              <w:left w:val="single" w:sz="4" w:space="0" w:color="auto"/>
              <w:bottom w:val="single" w:sz="4" w:space="0" w:color="auto"/>
              <w:right w:val="single" w:sz="4" w:space="0" w:color="auto"/>
            </w:tcBorders>
            <w:hideMark/>
          </w:tcPr>
          <w:p w:rsidR="00863953" w:rsidRDefault="00863953" w:rsidP="000D6D5B">
            <w:pPr>
              <w:spacing w:after="160" w:line="254" w:lineRule="auto"/>
              <w:jc w:val="both"/>
            </w:pPr>
            <w:r>
              <w:t>Valsts nodevu administrēšanas izdevumi tiks segti Iekšlietu ministrijai piešķirto valsts budžeta līdzekļu ietvaros.</w:t>
            </w:r>
          </w:p>
        </w:tc>
      </w:tr>
    </w:tbl>
    <w:p w:rsidR="00863953" w:rsidRPr="00F9574E" w:rsidRDefault="00863953" w:rsidP="00863953">
      <w:pPr>
        <w:shd w:val="clear" w:color="auto" w:fill="FFFFFF"/>
        <w:ind w:firstLine="300"/>
        <w:rPr>
          <w:sz w:val="22"/>
          <w:szCs w:val="22"/>
        </w:rPr>
      </w:pPr>
    </w:p>
    <w:p w:rsidR="00863953" w:rsidRPr="00F9574E" w:rsidRDefault="00863953" w:rsidP="00863953">
      <w:pPr>
        <w:shd w:val="clear" w:color="auto" w:fill="FFFFFF"/>
        <w:ind w:firstLine="300"/>
        <w:rPr>
          <w:sz w:val="22"/>
          <w:szCs w:val="22"/>
        </w:rPr>
      </w:pPr>
    </w:p>
    <w:tbl>
      <w:tblPr>
        <w:tblW w:w="58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42"/>
        <w:gridCol w:w="2415"/>
        <w:gridCol w:w="5792"/>
        <w:gridCol w:w="284"/>
      </w:tblGrid>
      <w:tr w:rsidR="00EE0CFC" w:rsidRPr="00EE0CFC" w:rsidTr="00EE0CFC">
        <w:trPr>
          <w:cantSplit/>
        </w:trPr>
        <w:tc>
          <w:tcPr>
            <w:tcW w:w="9634" w:type="dxa"/>
            <w:gridSpan w:val="4"/>
            <w:vAlign w:val="center"/>
            <w:hideMark/>
          </w:tcPr>
          <w:p w:rsidR="00EE0CFC" w:rsidRPr="00EE0CFC" w:rsidRDefault="00EE0CFC" w:rsidP="000D6D5B">
            <w:pPr>
              <w:jc w:val="center"/>
              <w:rPr>
                <w:b/>
                <w:bCs/>
              </w:rPr>
            </w:pPr>
            <w:r w:rsidRPr="00EE0CFC">
              <w:rPr>
                <w:b/>
                <w:bCs/>
              </w:rPr>
              <w:t>IV. Tiesību akta projekta ietekme uz spēkā esošo tiesību normu sistēmu</w:t>
            </w:r>
          </w:p>
        </w:tc>
      </w:tr>
      <w:tr w:rsidR="00EE0CFC" w:rsidRPr="00EE0CFC" w:rsidTr="00EE0CFC">
        <w:trPr>
          <w:cantSplit/>
          <w:trHeight w:val="2885"/>
        </w:trPr>
        <w:tc>
          <w:tcPr>
            <w:tcW w:w="1142" w:type="dxa"/>
            <w:hideMark/>
          </w:tcPr>
          <w:p w:rsidR="00EE0CFC" w:rsidRPr="00FC599E" w:rsidRDefault="00EE0CFC" w:rsidP="000D6D5B">
            <w:pPr>
              <w:jc w:val="center"/>
            </w:pPr>
            <w:r w:rsidRPr="00FC599E">
              <w:lastRenderedPageBreak/>
              <w:t>1.</w:t>
            </w:r>
          </w:p>
        </w:tc>
        <w:tc>
          <w:tcPr>
            <w:tcW w:w="2415" w:type="dxa"/>
            <w:hideMark/>
          </w:tcPr>
          <w:p w:rsidR="00EE0CFC" w:rsidRPr="00FC599E" w:rsidRDefault="00EE0CFC" w:rsidP="000D6D5B">
            <w:r w:rsidRPr="00FC599E">
              <w:t>Saistītie tiesību aktu projekti</w:t>
            </w:r>
          </w:p>
        </w:tc>
        <w:tc>
          <w:tcPr>
            <w:tcW w:w="6077" w:type="dxa"/>
            <w:gridSpan w:val="2"/>
            <w:hideMark/>
          </w:tcPr>
          <w:p w:rsidR="00EE0CFC" w:rsidRPr="00FC599E" w:rsidRDefault="00EE0CFC" w:rsidP="000D6D5B">
            <w:pPr>
              <w:jc w:val="both"/>
            </w:pPr>
            <w:r w:rsidRPr="00FC599E">
              <w:t>Ieroču aprites likums.</w:t>
            </w:r>
          </w:p>
          <w:p w:rsidR="00EE0CFC" w:rsidRPr="00FC599E" w:rsidRDefault="00EE0CFC" w:rsidP="000D6D5B">
            <w:pPr>
              <w:jc w:val="both"/>
            </w:pPr>
          </w:p>
          <w:p w:rsidR="00EE0CFC" w:rsidRPr="00EE0CFC" w:rsidRDefault="00EE0CFC" w:rsidP="000D6D5B">
            <w:pPr>
              <w:shd w:val="clear" w:color="auto" w:fill="FFFFFF"/>
              <w:jc w:val="both"/>
              <w:rPr>
                <w:rFonts w:eastAsia="Arial"/>
              </w:rPr>
            </w:pPr>
            <w:r w:rsidRPr="00FC599E">
              <w:t>Saskaņā ar Ieroču aprites likumā noteikto deleģējumu ir izstrādāts Ministru kabineta noteikumu projekts “</w:t>
            </w:r>
            <w:r w:rsidRPr="00FC599E">
              <w:rPr>
                <w:rFonts w:eastAsia="Arial"/>
              </w:rPr>
              <w:t xml:space="preserve">Ieroču, to munīcijas aprites nosacījumi un kārtība”, kas paredz </w:t>
            </w:r>
            <w:r w:rsidRPr="00FC599E">
              <w:t>ieroču reģistrācijas kārtību, kā arī nosaka šaujamieroču, lielas enerģijas pneimatisko ieroču un munīcijas glabāšanas kārtību. Ņemot vērā to, ka minētais Ministru kabineta noteikumu projekts ir saistīts ar Projektu, abiem projektiem būtu jāstājas spēkā vienlaikus.</w:t>
            </w:r>
          </w:p>
        </w:tc>
      </w:tr>
      <w:tr w:rsidR="00EE0CFC" w:rsidRPr="00EE0CFC" w:rsidTr="00EE0CFC">
        <w:trPr>
          <w:cantSplit/>
        </w:trPr>
        <w:tc>
          <w:tcPr>
            <w:tcW w:w="1142" w:type="dxa"/>
            <w:hideMark/>
          </w:tcPr>
          <w:p w:rsidR="00EE0CFC" w:rsidRPr="00EE0CFC" w:rsidRDefault="00EE0CFC" w:rsidP="000D6D5B">
            <w:pPr>
              <w:jc w:val="center"/>
            </w:pPr>
            <w:r w:rsidRPr="00EE0CFC">
              <w:t>2.</w:t>
            </w:r>
          </w:p>
        </w:tc>
        <w:tc>
          <w:tcPr>
            <w:tcW w:w="2415" w:type="dxa"/>
            <w:hideMark/>
          </w:tcPr>
          <w:p w:rsidR="00EE0CFC" w:rsidRPr="00EE0CFC" w:rsidRDefault="00EE0CFC" w:rsidP="000D6D5B">
            <w:r w:rsidRPr="00EE0CFC">
              <w:t>Atbildīgā institūcija</w:t>
            </w:r>
          </w:p>
        </w:tc>
        <w:tc>
          <w:tcPr>
            <w:tcW w:w="6077" w:type="dxa"/>
            <w:gridSpan w:val="2"/>
            <w:hideMark/>
          </w:tcPr>
          <w:p w:rsidR="00EE0CFC" w:rsidRPr="00EE0CFC" w:rsidRDefault="00EE0CFC" w:rsidP="000D6D5B">
            <w:pPr>
              <w:jc w:val="both"/>
            </w:pPr>
            <w:r w:rsidRPr="00EE0CFC">
              <w:t>Iekšlietu ministrija, Valsts policija.</w:t>
            </w:r>
          </w:p>
        </w:tc>
      </w:tr>
      <w:tr w:rsidR="00EE0CFC" w:rsidRPr="00EE0CFC" w:rsidTr="00EE0CFC">
        <w:trPr>
          <w:cantSplit/>
        </w:trPr>
        <w:tc>
          <w:tcPr>
            <w:tcW w:w="1142" w:type="dxa"/>
            <w:hideMark/>
          </w:tcPr>
          <w:p w:rsidR="00EE0CFC" w:rsidRPr="00EE0CFC" w:rsidRDefault="00EE0CFC" w:rsidP="000D6D5B">
            <w:pPr>
              <w:jc w:val="center"/>
            </w:pPr>
            <w:r w:rsidRPr="00EE0CFC">
              <w:t>3.</w:t>
            </w:r>
          </w:p>
        </w:tc>
        <w:tc>
          <w:tcPr>
            <w:tcW w:w="2415" w:type="dxa"/>
            <w:hideMark/>
          </w:tcPr>
          <w:p w:rsidR="00EE0CFC" w:rsidRPr="00EE0CFC" w:rsidRDefault="00EE0CFC" w:rsidP="000D6D5B">
            <w:r w:rsidRPr="00EE0CFC">
              <w:t>Cita informācija</w:t>
            </w:r>
          </w:p>
        </w:tc>
        <w:tc>
          <w:tcPr>
            <w:tcW w:w="6077" w:type="dxa"/>
            <w:gridSpan w:val="2"/>
            <w:hideMark/>
          </w:tcPr>
          <w:p w:rsidR="00EE0CFC" w:rsidRPr="00EE0CFC" w:rsidRDefault="00EE0CFC" w:rsidP="000D6D5B">
            <w:pPr>
              <w:jc w:val="both"/>
            </w:pPr>
            <w:r w:rsidRPr="00EE0CFC">
              <w:t>Nav.</w:t>
            </w:r>
          </w:p>
        </w:tc>
      </w:tr>
      <w:tr w:rsidR="00442D7D" w:rsidRPr="00EE0CFC" w:rsidTr="00EE0CFC">
        <w:trPr>
          <w:cantSplit/>
        </w:trPr>
        <w:tc>
          <w:tcPr>
            <w:tcW w:w="1142" w:type="dxa"/>
          </w:tcPr>
          <w:p w:rsidR="00442D7D" w:rsidRPr="00EE0CFC" w:rsidRDefault="00442D7D" w:rsidP="000D6D5B">
            <w:pPr>
              <w:jc w:val="center"/>
            </w:pPr>
          </w:p>
        </w:tc>
        <w:tc>
          <w:tcPr>
            <w:tcW w:w="2415" w:type="dxa"/>
          </w:tcPr>
          <w:p w:rsidR="00442D7D" w:rsidRPr="00EE0CFC" w:rsidRDefault="00442D7D" w:rsidP="000D6D5B"/>
        </w:tc>
        <w:tc>
          <w:tcPr>
            <w:tcW w:w="6077" w:type="dxa"/>
            <w:gridSpan w:val="2"/>
          </w:tcPr>
          <w:p w:rsidR="00442D7D" w:rsidRPr="00EE0CFC" w:rsidRDefault="00442D7D" w:rsidP="000D6D5B">
            <w:pPr>
              <w:jc w:val="both"/>
            </w:pPr>
          </w:p>
        </w:tc>
      </w:tr>
      <w:tr w:rsidR="00863953" w:rsidRPr="00F9574E" w:rsidTr="00EE0CFC">
        <w:tblPrEx>
          <w:jc w:val="center"/>
          <w:tblInd w:w="0" w:type="dxa"/>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gridAfter w:val="1"/>
          <w:wAfter w:w="284" w:type="dxa"/>
          <w:trHeight w:val="180"/>
          <w:jc w:val="center"/>
        </w:trPr>
        <w:tc>
          <w:tcPr>
            <w:tcW w:w="9350" w:type="dxa"/>
            <w:gridSpan w:val="3"/>
            <w:tcBorders>
              <w:top w:val="single" w:sz="6" w:space="0" w:color="414142"/>
              <w:left w:val="single" w:sz="6" w:space="0" w:color="414142"/>
              <w:bottom w:val="single" w:sz="6" w:space="0" w:color="414142"/>
              <w:right w:val="single" w:sz="6" w:space="0" w:color="414142"/>
            </w:tcBorders>
            <w:vAlign w:val="center"/>
          </w:tcPr>
          <w:p w:rsidR="00863953" w:rsidRPr="00F9574E" w:rsidRDefault="00863953" w:rsidP="000D6D5B">
            <w:pPr>
              <w:jc w:val="center"/>
              <w:rPr>
                <w:b/>
              </w:rPr>
            </w:pPr>
            <w:r w:rsidRPr="00F9574E">
              <w:rPr>
                <w:b/>
              </w:rPr>
              <w:t>IV. Tiesību akta projekta ietekme uz spēkā esošo tiesību normu sistēmu</w:t>
            </w:r>
          </w:p>
        </w:tc>
      </w:tr>
      <w:tr w:rsidR="00863953" w:rsidRPr="00F9574E" w:rsidTr="00EE0CFC">
        <w:tblPrEx>
          <w:jc w:val="center"/>
          <w:tblInd w:w="0" w:type="dxa"/>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gridAfter w:val="1"/>
          <w:wAfter w:w="284" w:type="dxa"/>
          <w:trHeight w:val="180"/>
          <w:jc w:val="center"/>
        </w:trPr>
        <w:tc>
          <w:tcPr>
            <w:tcW w:w="9350" w:type="dxa"/>
            <w:gridSpan w:val="3"/>
            <w:tcBorders>
              <w:top w:val="single" w:sz="6" w:space="0" w:color="414142"/>
              <w:left w:val="single" w:sz="6" w:space="0" w:color="414142"/>
              <w:bottom w:val="single" w:sz="6" w:space="0" w:color="414142"/>
              <w:right w:val="single" w:sz="6" w:space="0" w:color="414142"/>
            </w:tcBorders>
            <w:vAlign w:val="center"/>
          </w:tcPr>
          <w:p w:rsidR="00863953" w:rsidRPr="00D67049" w:rsidRDefault="00863953" w:rsidP="000D6D5B">
            <w:pPr>
              <w:jc w:val="center"/>
            </w:pPr>
            <w:r w:rsidRPr="00D67049">
              <w:t xml:space="preserve">Projekts </w:t>
            </w:r>
            <w:r>
              <w:t>šo</w:t>
            </w:r>
            <w:r w:rsidRPr="00D67049">
              <w:t xml:space="preserve"> jomu neskar</w:t>
            </w:r>
          </w:p>
        </w:tc>
      </w:tr>
    </w:tbl>
    <w:p w:rsidR="00863953" w:rsidRPr="00F9574E" w:rsidRDefault="00863953" w:rsidP="00863953">
      <w:pPr>
        <w:shd w:val="clear" w:color="auto" w:fill="FFFFFF"/>
        <w:ind w:firstLine="300"/>
      </w:pPr>
      <w:r w:rsidRPr="00F9574E">
        <w:rPr>
          <w:rFonts w:eastAsia="Arial"/>
        </w:rPr>
        <w:t> </w:t>
      </w:r>
    </w:p>
    <w:tbl>
      <w:tblPr>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863953" w:rsidRPr="00F9574E" w:rsidTr="000D6D5B">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863953" w:rsidRPr="00F9574E" w:rsidRDefault="00863953" w:rsidP="000D6D5B">
            <w:pPr>
              <w:jc w:val="center"/>
              <w:rPr>
                <w:b/>
              </w:rPr>
            </w:pPr>
            <w:r w:rsidRPr="00F9574E">
              <w:rPr>
                <w:b/>
              </w:rPr>
              <w:t>V. Tiesību akta projekta atbilstība Latvijas Republikas starptautiskajām saistībām</w:t>
            </w:r>
          </w:p>
        </w:tc>
      </w:tr>
      <w:tr w:rsidR="00863953" w:rsidRPr="00F9574E" w:rsidTr="000D6D5B">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1.</w:t>
            </w:r>
          </w:p>
        </w:tc>
        <w:tc>
          <w:tcPr>
            <w:tcW w:w="2426"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jc w:val="both"/>
            </w:pPr>
            <w:r w:rsidRPr="00F9574E">
              <w:t>Eiropas Parlamenta un Padomes 2017. gada 17. maija Direktīva (ES) 2017/853, ar ko groza Padomes Direktīvu 91/477/EEK par ieroču iegādes un glabāšanas kontroli. (direktīva jāpārņem nacionālajos normatīvajos aktos līdz 2018. gada 14. septembrim).</w:t>
            </w:r>
          </w:p>
        </w:tc>
      </w:tr>
      <w:tr w:rsidR="00863953" w:rsidRPr="00F9574E" w:rsidTr="000D6D5B">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2.</w:t>
            </w:r>
          </w:p>
        </w:tc>
        <w:tc>
          <w:tcPr>
            <w:tcW w:w="2426"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jc w:val="both"/>
            </w:pPr>
          </w:p>
        </w:tc>
      </w:tr>
      <w:tr w:rsidR="00863953" w:rsidRPr="00F9574E" w:rsidTr="000D6D5B">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3.</w:t>
            </w:r>
          </w:p>
        </w:tc>
        <w:tc>
          <w:tcPr>
            <w:tcW w:w="2426"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Cita informācija</w:t>
            </w:r>
          </w:p>
        </w:tc>
        <w:tc>
          <w:tcPr>
            <w:tcW w:w="5625"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Nav.</w:t>
            </w:r>
          </w:p>
        </w:tc>
      </w:tr>
    </w:tbl>
    <w:p w:rsidR="00863953" w:rsidRPr="00F9574E" w:rsidRDefault="00863953" w:rsidP="00863953">
      <w:pPr>
        <w:shd w:val="clear" w:color="auto" w:fill="FFFFFF"/>
      </w:pPr>
      <w:r w:rsidRPr="00F9574E">
        <w:rPr>
          <w:rFonts w:eastAsia="Arial"/>
        </w:rPr>
        <w:t> </w:t>
      </w:r>
    </w:p>
    <w:p w:rsidR="00863953" w:rsidRPr="009E4D4C" w:rsidRDefault="00863953" w:rsidP="00863953">
      <w:pPr>
        <w:shd w:val="clear" w:color="auto" w:fill="FFFFFF"/>
        <w:ind w:firstLine="300"/>
        <w:rPr>
          <w:rFonts w:eastAsia="Arial"/>
        </w:rPr>
      </w:pPr>
      <w:r w:rsidRPr="00F9574E">
        <w:rPr>
          <w:rFonts w:eastAsia="Arial"/>
        </w:rPr>
        <w:t> </w:t>
      </w:r>
    </w:p>
    <w:tbl>
      <w:tblPr>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2208"/>
        <w:gridCol w:w="1972"/>
        <w:gridCol w:w="2373"/>
      </w:tblGrid>
      <w:tr w:rsidR="00863953" w:rsidRPr="009E4D4C" w:rsidTr="000D6D5B">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863953" w:rsidRPr="009E4D4C" w:rsidRDefault="00863953" w:rsidP="000D6D5B">
            <w:pPr>
              <w:shd w:val="clear" w:color="auto" w:fill="FFFFFF"/>
              <w:ind w:firstLine="300"/>
              <w:jc w:val="center"/>
              <w:rPr>
                <w:rFonts w:eastAsia="Arial"/>
                <w:b/>
              </w:rPr>
            </w:pPr>
            <w:r w:rsidRPr="009E4D4C">
              <w:rPr>
                <w:rFonts w:eastAsia="Arial"/>
                <w:b/>
              </w:rPr>
              <w:t>1. tabula</w:t>
            </w:r>
            <w:r w:rsidRPr="009E4D4C">
              <w:rPr>
                <w:rFonts w:eastAsia="Arial"/>
                <w:b/>
              </w:rPr>
              <w:br/>
              <w:t>Tiesību akta projekta atbilstība ES tiesību aktiem</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Eiropas Parlamenta un Padomes 2017. gada 17. maija Direktīva (ES) 2017/853, ar ko groza Padomes Direktīvu 91/477/EEK par ieroču iegādes un glabāšanas kontroli. (direktīva jāpārņem nacionālajos normatīvajos aktos līdz 2018. gada 14. septembrim).</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863953" w:rsidRPr="009E4D4C" w:rsidRDefault="00863953" w:rsidP="000D6D5B">
            <w:pPr>
              <w:shd w:val="clear" w:color="auto" w:fill="FFFFFF"/>
              <w:ind w:firstLine="300"/>
              <w:rPr>
                <w:rFonts w:eastAsia="Arial"/>
              </w:rPr>
            </w:pPr>
            <w:r w:rsidRPr="009E4D4C">
              <w:rPr>
                <w:rFonts w:eastAsia="Arial"/>
              </w:rPr>
              <w:t>A</w:t>
            </w:r>
          </w:p>
        </w:tc>
        <w:tc>
          <w:tcPr>
            <w:tcW w:w="2208" w:type="dxa"/>
            <w:tcBorders>
              <w:top w:val="single" w:sz="6" w:space="0" w:color="414142"/>
              <w:left w:val="single" w:sz="6" w:space="0" w:color="414142"/>
              <w:bottom w:val="single" w:sz="6" w:space="0" w:color="414142"/>
              <w:right w:val="single" w:sz="6" w:space="0" w:color="414142"/>
            </w:tcBorders>
            <w:vAlign w:val="center"/>
          </w:tcPr>
          <w:p w:rsidR="00863953" w:rsidRPr="009E4D4C" w:rsidRDefault="00863953" w:rsidP="000D6D5B">
            <w:pPr>
              <w:shd w:val="clear" w:color="auto" w:fill="FFFFFF"/>
              <w:ind w:firstLine="300"/>
              <w:rPr>
                <w:rFonts w:eastAsia="Arial"/>
              </w:rPr>
            </w:pPr>
            <w:r w:rsidRPr="009E4D4C">
              <w:rPr>
                <w:rFonts w:eastAsia="Arial"/>
              </w:rPr>
              <w:t>B</w:t>
            </w:r>
          </w:p>
        </w:tc>
        <w:tc>
          <w:tcPr>
            <w:tcW w:w="1972" w:type="dxa"/>
            <w:tcBorders>
              <w:top w:val="single" w:sz="6" w:space="0" w:color="414142"/>
              <w:left w:val="single" w:sz="6" w:space="0" w:color="414142"/>
              <w:bottom w:val="single" w:sz="6" w:space="0" w:color="414142"/>
              <w:right w:val="single" w:sz="6" w:space="0" w:color="414142"/>
            </w:tcBorders>
            <w:vAlign w:val="center"/>
          </w:tcPr>
          <w:p w:rsidR="00863953" w:rsidRPr="009E4D4C" w:rsidRDefault="00863953" w:rsidP="000D6D5B">
            <w:pPr>
              <w:shd w:val="clear" w:color="auto" w:fill="FFFFFF"/>
              <w:ind w:firstLine="300"/>
              <w:rPr>
                <w:rFonts w:eastAsia="Arial"/>
              </w:rPr>
            </w:pPr>
            <w:r w:rsidRPr="009E4D4C">
              <w:rPr>
                <w:rFonts w:eastAsia="Arial"/>
              </w:rPr>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863953" w:rsidRPr="009E4D4C" w:rsidRDefault="00863953" w:rsidP="000D6D5B">
            <w:pPr>
              <w:shd w:val="clear" w:color="auto" w:fill="FFFFFF"/>
              <w:ind w:firstLine="300"/>
              <w:rPr>
                <w:rFonts w:eastAsia="Arial"/>
              </w:rPr>
            </w:pPr>
            <w:r w:rsidRPr="009E4D4C">
              <w:rPr>
                <w:rFonts w:eastAsia="Arial"/>
              </w:rPr>
              <w:t>D</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Attiecīgā ES tiesību akta panta numurs (uzskaitot katru tiesību akta vienību – pantu, daļu, punktu, apakšpunktu)</w:t>
            </w:r>
          </w:p>
        </w:tc>
        <w:tc>
          <w:tcPr>
            <w:tcW w:w="2208"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Projekta vienība, kas pārņem vai ievieš katru šīs tabulas A ailē minēto ES tiesību akta vienību, vai tiesību akts, kur attiecīgā ES tiesību akta vienība pārņemta vai ieviesta</w:t>
            </w:r>
          </w:p>
        </w:tc>
        <w:tc>
          <w:tcPr>
            <w:tcW w:w="1972"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Informācija par to, vai šīs tabulas A ailē minētās ES tiesību akta vienības tiek pārņemtas vai ieviestas pilnībā vai daļēji.</w:t>
            </w:r>
          </w:p>
          <w:p w:rsidR="00863953" w:rsidRPr="009E4D4C" w:rsidRDefault="00863953" w:rsidP="000D6D5B">
            <w:pPr>
              <w:shd w:val="clear" w:color="auto" w:fill="FFFFFF"/>
              <w:ind w:firstLine="300"/>
              <w:rPr>
                <w:rFonts w:eastAsia="Arial"/>
              </w:rPr>
            </w:pPr>
            <w:r w:rsidRPr="009E4D4C">
              <w:rPr>
                <w:rFonts w:eastAsia="Arial"/>
              </w:rPr>
              <w:t xml:space="preserve">Ja attiecīgā ES tiesību akta vienība tiek pārņemta vai </w:t>
            </w:r>
            <w:r w:rsidRPr="009E4D4C">
              <w:rPr>
                <w:rFonts w:eastAsia="Arial"/>
              </w:rPr>
              <w:lastRenderedPageBreak/>
              <w:t>ieviesta daļēji, sniedz attiecīgu skaidrojumu, kā arī precīzi norāda, kad un kādā veidā ES tiesību akta vienība tiks pārņemta vai ieviesta pilnībā.</w:t>
            </w:r>
          </w:p>
          <w:p w:rsidR="00863953" w:rsidRPr="009E4D4C" w:rsidRDefault="00863953" w:rsidP="000D6D5B">
            <w:pPr>
              <w:shd w:val="clear" w:color="auto" w:fill="FFFFFF"/>
              <w:ind w:firstLine="300"/>
              <w:rPr>
                <w:rFonts w:eastAsia="Arial"/>
              </w:rPr>
            </w:pPr>
            <w:r w:rsidRPr="009E4D4C">
              <w:rPr>
                <w:rFonts w:eastAsia="Arial"/>
              </w:rP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lastRenderedPageBreak/>
              <w:t>Informācija par to, vai šīs tabulas B ailē minētās projekta vienības paredz stingrākas prasības nekā šīs tabulas A ailē minētās ES tiesību akta vienības.</w:t>
            </w:r>
          </w:p>
          <w:p w:rsidR="00863953" w:rsidRPr="009E4D4C" w:rsidRDefault="00863953" w:rsidP="000D6D5B">
            <w:pPr>
              <w:shd w:val="clear" w:color="auto" w:fill="FFFFFF"/>
              <w:ind w:firstLine="300"/>
              <w:rPr>
                <w:rFonts w:eastAsia="Arial"/>
              </w:rPr>
            </w:pPr>
            <w:r w:rsidRPr="009E4D4C">
              <w:rPr>
                <w:rFonts w:eastAsia="Arial"/>
              </w:rPr>
              <w:t xml:space="preserve">Ja projekts satur stingrākas prasības nekā attiecīgais ES tiesību akts, norāda </w:t>
            </w:r>
            <w:r w:rsidRPr="009E4D4C">
              <w:rPr>
                <w:rFonts w:eastAsia="Arial"/>
              </w:rPr>
              <w:lastRenderedPageBreak/>
              <w:t>pamatojumu un samērīgumu.</w:t>
            </w:r>
          </w:p>
          <w:p w:rsidR="00863953" w:rsidRPr="009E4D4C" w:rsidRDefault="00863953" w:rsidP="000D6D5B">
            <w:pPr>
              <w:shd w:val="clear" w:color="auto" w:fill="FFFFFF"/>
              <w:ind w:firstLine="300"/>
              <w:rPr>
                <w:rFonts w:eastAsia="Arial"/>
              </w:rPr>
            </w:pPr>
            <w:r w:rsidRPr="009E4D4C">
              <w:rPr>
                <w:rFonts w:eastAsia="Arial"/>
              </w:rPr>
              <w:t>Norāda iespējamās alternatīvas (t.sk. alternatīvas, kas neparedz tiesiskā regulējuma izstrādi) – kādos gadījumos būtu iespējams izvairīties no stingrāku prasību noteikšanas, nekā paredzēts attiecīgajos ES tiesību aktos</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Pr="005A0560" w:rsidRDefault="00863953" w:rsidP="000D6D5B">
            <w:pPr>
              <w:shd w:val="clear" w:color="auto" w:fill="FFFFFF"/>
              <w:rPr>
                <w:rFonts w:eastAsia="Arial"/>
              </w:rPr>
            </w:pPr>
            <w:r>
              <w:rPr>
                <w:rFonts w:eastAsia="Arial"/>
              </w:rPr>
              <w:lastRenderedPageBreak/>
              <w:t>1.panta 1</w:t>
            </w:r>
            <w:r w:rsidRPr="005A0560">
              <w:rPr>
                <w:rFonts w:eastAsia="Arial"/>
              </w:rPr>
              <w:t>.punkts</w:t>
            </w:r>
          </w:p>
          <w:p w:rsidR="00863953" w:rsidRPr="009E4D4C" w:rsidRDefault="00863953" w:rsidP="000D6D5B">
            <w:pPr>
              <w:shd w:val="clear" w:color="auto" w:fill="FFFFFF"/>
              <w:ind w:firstLine="300"/>
              <w:rPr>
                <w:rFonts w:eastAsia="Arial"/>
              </w:rPr>
            </w:pPr>
          </w:p>
        </w:tc>
        <w:tc>
          <w:tcPr>
            <w:tcW w:w="2208"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rPr>
                <w:rFonts w:eastAsia="Arial"/>
              </w:rPr>
            </w:pPr>
            <w:r>
              <w:rPr>
                <w:rFonts w:eastAsia="Arial"/>
              </w:rPr>
              <w:t xml:space="preserve">12.7.2.2.apakšpunkts, 75.2.2. apakšpunkts, 101.5.apaksšpunkts </w:t>
            </w:r>
          </w:p>
        </w:tc>
        <w:tc>
          <w:tcPr>
            <w:tcW w:w="1972"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Atbilst</w:t>
            </w:r>
          </w:p>
        </w:tc>
        <w:tc>
          <w:tcPr>
            <w:tcW w:w="2373"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rPr>
                <w:rFonts w:eastAsia="Arial"/>
              </w:rPr>
            </w:pPr>
            <w:r w:rsidRPr="009E4D4C">
              <w:rPr>
                <w:rFonts w:eastAsia="Arial"/>
              </w:rPr>
              <w:t>Projekts nesatur stingrākas prasības nekā attiecīgais ES tiesību akts.</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Pr="005A0560" w:rsidRDefault="00863953" w:rsidP="000D6D5B">
            <w:pPr>
              <w:shd w:val="clear" w:color="auto" w:fill="FFFFFF"/>
              <w:rPr>
                <w:rFonts w:eastAsia="Arial"/>
              </w:rPr>
            </w:pPr>
            <w:r>
              <w:rPr>
                <w:rFonts w:eastAsia="Arial"/>
              </w:rPr>
              <w:t>1.pantā</w:t>
            </w:r>
            <w:r w:rsidRPr="005A0560">
              <w:rPr>
                <w:rFonts w:eastAsia="Arial"/>
              </w:rPr>
              <w:t xml:space="preserve"> </w:t>
            </w:r>
            <w:r>
              <w:rPr>
                <w:rFonts w:eastAsia="Arial"/>
              </w:rPr>
              <w:t xml:space="preserve">ietvertā </w:t>
            </w:r>
            <w:r w:rsidRPr="005A0560">
              <w:rPr>
                <w:rFonts w:eastAsia="Arial"/>
              </w:rPr>
              <w:t xml:space="preserve">6.panta 6.punkta </w:t>
            </w:r>
            <w:proofErr w:type="spellStart"/>
            <w:r w:rsidRPr="005A0560">
              <w:rPr>
                <w:rFonts w:eastAsia="Arial"/>
              </w:rPr>
              <w:t>c)apakšpunkta</w:t>
            </w:r>
            <w:proofErr w:type="spellEnd"/>
            <w:r w:rsidRPr="005A0560">
              <w:rPr>
                <w:rFonts w:eastAsia="Arial"/>
              </w:rPr>
              <w:t xml:space="preserve"> </w:t>
            </w:r>
            <w:proofErr w:type="spellStart"/>
            <w:r w:rsidRPr="005A0560">
              <w:rPr>
                <w:rFonts w:eastAsia="Arial"/>
              </w:rPr>
              <w:t>ii</w:t>
            </w:r>
            <w:proofErr w:type="spellEnd"/>
            <w:r w:rsidRPr="005A0560">
              <w:rPr>
                <w:rFonts w:eastAsia="Arial"/>
              </w:rPr>
              <w:t>) apakšpunkts</w:t>
            </w:r>
          </w:p>
        </w:tc>
        <w:tc>
          <w:tcPr>
            <w:tcW w:w="2208" w:type="dxa"/>
            <w:tcBorders>
              <w:top w:val="single" w:sz="6" w:space="0" w:color="414142"/>
              <w:left w:val="single" w:sz="6" w:space="0" w:color="414142"/>
              <w:bottom w:val="single" w:sz="6" w:space="0" w:color="414142"/>
              <w:right w:val="single" w:sz="6" w:space="0" w:color="414142"/>
            </w:tcBorders>
          </w:tcPr>
          <w:p w:rsidR="00863953" w:rsidRDefault="00863953" w:rsidP="000D6D5B">
            <w:pPr>
              <w:shd w:val="clear" w:color="auto" w:fill="FFFFFF"/>
              <w:rPr>
                <w:rFonts w:eastAsia="Arial"/>
              </w:rPr>
            </w:pPr>
            <w:r>
              <w:rPr>
                <w:rFonts w:eastAsia="Arial"/>
              </w:rPr>
              <w:t>3.3.1.</w:t>
            </w:r>
            <w:r w:rsidRPr="00FF38E5">
              <w:rPr>
                <w:rFonts w:eastAsia="Arial"/>
              </w:rPr>
              <w:t xml:space="preserve"> apakšpunkts</w:t>
            </w:r>
          </w:p>
          <w:p w:rsidR="00863953" w:rsidRDefault="00863953" w:rsidP="000D6D5B">
            <w:pPr>
              <w:shd w:val="clear" w:color="auto" w:fill="FFFFFF"/>
              <w:rPr>
                <w:rFonts w:eastAsia="Arial"/>
              </w:rPr>
            </w:pPr>
            <w:r>
              <w:rPr>
                <w:rFonts w:eastAsia="Arial"/>
              </w:rPr>
              <w:t>3.3.2.</w:t>
            </w:r>
            <w:r w:rsidRPr="00FF38E5">
              <w:rPr>
                <w:rFonts w:eastAsia="Arial"/>
              </w:rPr>
              <w:t xml:space="preserve"> apakšpunkts</w:t>
            </w:r>
          </w:p>
          <w:p w:rsidR="00863953" w:rsidRDefault="00863953" w:rsidP="000D6D5B">
            <w:pPr>
              <w:shd w:val="clear" w:color="auto" w:fill="FFFFFF"/>
              <w:rPr>
                <w:rFonts w:eastAsia="Arial"/>
              </w:rPr>
            </w:pPr>
            <w:r>
              <w:rPr>
                <w:rFonts w:eastAsia="Arial"/>
              </w:rPr>
              <w:t>59.</w:t>
            </w:r>
            <w:r w:rsidRPr="00FF38E5">
              <w:rPr>
                <w:rFonts w:eastAsia="Arial"/>
              </w:rPr>
              <w:t xml:space="preserve"> apakšpunkts</w:t>
            </w:r>
          </w:p>
          <w:p w:rsidR="00863953" w:rsidRDefault="00863953" w:rsidP="000D6D5B">
            <w:pPr>
              <w:shd w:val="clear" w:color="auto" w:fill="FFFFFF"/>
              <w:rPr>
                <w:rFonts w:eastAsia="Arial"/>
              </w:rPr>
            </w:pPr>
            <w:r>
              <w:rPr>
                <w:rFonts w:eastAsia="Arial"/>
              </w:rPr>
              <w:t>167.3.1.</w:t>
            </w:r>
            <w:r w:rsidRPr="00FF38E5">
              <w:rPr>
                <w:rFonts w:eastAsia="Arial"/>
              </w:rPr>
              <w:t>apakšpunkts</w:t>
            </w:r>
          </w:p>
          <w:p w:rsidR="00863953" w:rsidRPr="009E4D4C" w:rsidRDefault="00863953" w:rsidP="000D6D5B">
            <w:pPr>
              <w:shd w:val="clear" w:color="auto" w:fill="FFFFFF"/>
              <w:rPr>
                <w:rFonts w:eastAsia="Arial"/>
              </w:rPr>
            </w:pPr>
            <w:r>
              <w:rPr>
                <w:rFonts w:eastAsia="Arial"/>
              </w:rPr>
              <w:t>167.3.2.</w:t>
            </w:r>
            <w:r w:rsidRPr="00FF38E5">
              <w:rPr>
                <w:rFonts w:eastAsia="Arial"/>
              </w:rPr>
              <w:t>apakšpunkts</w:t>
            </w:r>
          </w:p>
        </w:tc>
        <w:tc>
          <w:tcPr>
            <w:tcW w:w="1972"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9E4D4C">
              <w:rPr>
                <w:rFonts w:eastAsia="Arial"/>
              </w:rPr>
              <w:t>Atbilst</w:t>
            </w:r>
          </w:p>
        </w:tc>
        <w:tc>
          <w:tcPr>
            <w:tcW w:w="2373"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hanging="17"/>
              <w:rPr>
                <w:rFonts w:eastAsia="Arial"/>
              </w:rPr>
            </w:pPr>
            <w:r w:rsidRPr="009E4D4C">
              <w:rPr>
                <w:rFonts w:eastAsia="Arial"/>
              </w:rPr>
              <w:t>Projekts nesatur stingrākas prasības nekā attiecīgais ES tiesību akts.</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Pr="005A0560" w:rsidRDefault="00863953" w:rsidP="000D6D5B">
            <w:pPr>
              <w:shd w:val="clear" w:color="auto" w:fill="FFFFFF"/>
              <w:rPr>
                <w:rFonts w:eastAsia="Arial"/>
              </w:rPr>
            </w:pPr>
            <w:r>
              <w:rPr>
                <w:rFonts w:eastAsia="Arial"/>
              </w:rPr>
              <w:t>1.pantā ietvertā</w:t>
            </w:r>
            <w:r w:rsidRPr="005A0560">
              <w:rPr>
                <w:rFonts w:eastAsia="Arial"/>
              </w:rPr>
              <w:t xml:space="preserve"> 6.panta 7.punkts</w:t>
            </w:r>
          </w:p>
        </w:tc>
        <w:tc>
          <w:tcPr>
            <w:tcW w:w="2208" w:type="dxa"/>
            <w:tcBorders>
              <w:top w:val="single" w:sz="6" w:space="0" w:color="414142"/>
              <w:left w:val="single" w:sz="6" w:space="0" w:color="414142"/>
              <w:bottom w:val="single" w:sz="6" w:space="0" w:color="414142"/>
              <w:right w:val="single" w:sz="6" w:space="0" w:color="414142"/>
            </w:tcBorders>
          </w:tcPr>
          <w:p w:rsidR="00863953" w:rsidRPr="008A0F0C" w:rsidRDefault="00863953" w:rsidP="000D6D5B">
            <w:pPr>
              <w:shd w:val="clear" w:color="auto" w:fill="FFFFFF"/>
              <w:rPr>
                <w:rFonts w:eastAsia="Arial"/>
              </w:rPr>
            </w:pPr>
            <w:r w:rsidRPr="008A0F0C">
              <w:rPr>
                <w:rFonts w:eastAsia="Arial"/>
              </w:rPr>
              <w:t>52.punkts</w:t>
            </w:r>
          </w:p>
          <w:p w:rsidR="00863953" w:rsidRPr="008A0F0C" w:rsidRDefault="00863953" w:rsidP="000D6D5B">
            <w:pPr>
              <w:shd w:val="clear" w:color="auto" w:fill="FFFFFF"/>
              <w:rPr>
                <w:rFonts w:eastAsia="Arial"/>
              </w:rPr>
            </w:pPr>
            <w:r w:rsidRPr="008A0F0C">
              <w:rPr>
                <w:rFonts w:eastAsia="Arial"/>
              </w:rPr>
              <w:t>53.punkts</w:t>
            </w:r>
          </w:p>
          <w:p w:rsidR="00863953" w:rsidRPr="008A0F0C" w:rsidRDefault="00863953" w:rsidP="000D6D5B">
            <w:pPr>
              <w:shd w:val="clear" w:color="auto" w:fill="FFFFFF"/>
              <w:rPr>
                <w:rFonts w:eastAsia="Arial"/>
              </w:rPr>
            </w:pPr>
            <w:r w:rsidRPr="008A0F0C">
              <w:rPr>
                <w:rFonts w:eastAsia="Arial"/>
              </w:rPr>
              <w:t>54.punkts</w:t>
            </w:r>
          </w:p>
          <w:p w:rsidR="00863953" w:rsidRPr="008A0F0C" w:rsidRDefault="00863953" w:rsidP="000D6D5B">
            <w:pPr>
              <w:shd w:val="clear" w:color="auto" w:fill="FFFFFF"/>
              <w:rPr>
                <w:rFonts w:eastAsia="Arial"/>
              </w:rPr>
            </w:pPr>
            <w:r w:rsidRPr="008A0F0C">
              <w:rPr>
                <w:rFonts w:eastAsia="Arial"/>
              </w:rPr>
              <w:t>55.punkts</w:t>
            </w:r>
          </w:p>
          <w:p w:rsidR="00863953" w:rsidRPr="008A0F0C" w:rsidRDefault="00863953" w:rsidP="000D6D5B">
            <w:pPr>
              <w:shd w:val="clear" w:color="auto" w:fill="FFFFFF"/>
              <w:rPr>
                <w:rFonts w:eastAsia="Arial"/>
              </w:rPr>
            </w:pPr>
            <w:r w:rsidRPr="008A0F0C">
              <w:rPr>
                <w:rFonts w:eastAsia="Arial"/>
              </w:rPr>
              <w:t>56.punkts</w:t>
            </w:r>
          </w:p>
          <w:p w:rsidR="00863953" w:rsidRPr="008A0F0C" w:rsidRDefault="00863953" w:rsidP="000D6D5B">
            <w:pPr>
              <w:shd w:val="clear" w:color="auto" w:fill="FFFFFF"/>
              <w:rPr>
                <w:rFonts w:eastAsia="Arial"/>
              </w:rPr>
            </w:pPr>
            <w:r w:rsidRPr="008A0F0C">
              <w:rPr>
                <w:rFonts w:eastAsia="Arial"/>
              </w:rPr>
              <w:t>57.punkts</w:t>
            </w:r>
          </w:p>
          <w:p w:rsidR="00863953" w:rsidRDefault="00863953" w:rsidP="000D6D5B">
            <w:pPr>
              <w:shd w:val="clear" w:color="auto" w:fill="FFFFFF"/>
              <w:rPr>
                <w:rFonts w:eastAsia="Arial"/>
              </w:rPr>
            </w:pPr>
            <w:r w:rsidRPr="008A0F0C">
              <w:rPr>
                <w:rFonts w:eastAsia="Arial"/>
              </w:rPr>
              <w:t>58.punkts</w:t>
            </w:r>
          </w:p>
          <w:p w:rsidR="00863953" w:rsidRDefault="00863953" w:rsidP="000D6D5B">
            <w:pPr>
              <w:shd w:val="clear" w:color="auto" w:fill="FFFFFF"/>
              <w:rPr>
                <w:rFonts w:eastAsia="Arial"/>
              </w:rPr>
            </w:pPr>
            <w:r>
              <w:rPr>
                <w:rFonts w:eastAsia="Arial"/>
              </w:rPr>
              <w:t>59.punkts</w:t>
            </w:r>
          </w:p>
        </w:tc>
        <w:tc>
          <w:tcPr>
            <w:tcW w:w="1972"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8A0F0C">
              <w:rPr>
                <w:rFonts w:eastAsia="Arial"/>
              </w:rPr>
              <w:t>Atbilst</w:t>
            </w:r>
          </w:p>
        </w:tc>
        <w:tc>
          <w:tcPr>
            <w:tcW w:w="2373"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hanging="17"/>
              <w:rPr>
                <w:rFonts w:eastAsia="Arial"/>
              </w:rPr>
            </w:pPr>
            <w:r w:rsidRPr="008A0F0C">
              <w:rPr>
                <w:rFonts w:eastAsia="Arial"/>
              </w:rPr>
              <w:t>Projekts nesatur stingrākas prasības nekā attiecīgais ES tiesību akts.</w:t>
            </w:r>
          </w:p>
        </w:tc>
      </w:tr>
      <w:tr w:rsidR="00863953" w:rsidRPr="009E4D4C"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Pr="005A0560" w:rsidRDefault="00863953" w:rsidP="000D6D5B">
            <w:pPr>
              <w:shd w:val="clear" w:color="auto" w:fill="FFFFFF"/>
              <w:rPr>
                <w:rFonts w:eastAsia="Arial"/>
              </w:rPr>
            </w:pPr>
            <w:r>
              <w:rPr>
                <w:rFonts w:eastAsia="Arial"/>
              </w:rPr>
              <w:t>1.pantā ietvertā</w:t>
            </w:r>
            <w:r w:rsidRPr="005A0560">
              <w:rPr>
                <w:rFonts w:eastAsia="Arial"/>
              </w:rPr>
              <w:t xml:space="preserve"> 7.panta 4.punkta b) apakšpunkts</w:t>
            </w:r>
          </w:p>
        </w:tc>
        <w:tc>
          <w:tcPr>
            <w:tcW w:w="2208" w:type="dxa"/>
            <w:tcBorders>
              <w:top w:val="single" w:sz="6" w:space="0" w:color="414142"/>
              <w:left w:val="single" w:sz="6" w:space="0" w:color="414142"/>
              <w:bottom w:val="single" w:sz="6" w:space="0" w:color="414142"/>
              <w:right w:val="single" w:sz="6" w:space="0" w:color="414142"/>
            </w:tcBorders>
          </w:tcPr>
          <w:p w:rsidR="00863953" w:rsidRDefault="00863953" w:rsidP="000D6D5B">
            <w:pPr>
              <w:shd w:val="clear" w:color="auto" w:fill="FFFFFF"/>
              <w:rPr>
                <w:rFonts w:eastAsia="Arial"/>
              </w:rPr>
            </w:pPr>
            <w:r>
              <w:rPr>
                <w:rFonts w:eastAsia="Arial"/>
              </w:rPr>
              <w:t>52.punkts</w:t>
            </w:r>
          </w:p>
          <w:p w:rsidR="00863953" w:rsidRDefault="00863953" w:rsidP="000D6D5B">
            <w:pPr>
              <w:shd w:val="clear" w:color="auto" w:fill="FFFFFF"/>
              <w:rPr>
                <w:rFonts w:eastAsia="Arial"/>
              </w:rPr>
            </w:pPr>
            <w:r>
              <w:rPr>
                <w:rFonts w:eastAsia="Arial"/>
              </w:rPr>
              <w:t>53.punkts</w:t>
            </w:r>
          </w:p>
          <w:p w:rsidR="00863953" w:rsidRDefault="00863953" w:rsidP="000D6D5B">
            <w:pPr>
              <w:shd w:val="clear" w:color="auto" w:fill="FFFFFF"/>
              <w:rPr>
                <w:rFonts w:eastAsia="Arial"/>
              </w:rPr>
            </w:pPr>
            <w:r>
              <w:rPr>
                <w:rFonts w:eastAsia="Arial"/>
              </w:rPr>
              <w:t>54.punkts</w:t>
            </w:r>
          </w:p>
          <w:p w:rsidR="00863953" w:rsidRDefault="00863953" w:rsidP="000D6D5B">
            <w:pPr>
              <w:shd w:val="clear" w:color="auto" w:fill="FFFFFF"/>
              <w:rPr>
                <w:rFonts w:eastAsia="Arial"/>
              </w:rPr>
            </w:pPr>
            <w:r>
              <w:rPr>
                <w:rFonts w:eastAsia="Arial"/>
              </w:rPr>
              <w:t>55.punkts</w:t>
            </w:r>
          </w:p>
          <w:p w:rsidR="00863953" w:rsidRDefault="00863953" w:rsidP="000D6D5B">
            <w:pPr>
              <w:shd w:val="clear" w:color="auto" w:fill="FFFFFF"/>
              <w:rPr>
                <w:rFonts w:eastAsia="Arial"/>
              </w:rPr>
            </w:pPr>
            <w:r>
              <w:rPr>
                <w:rFonts w:eastAsia="Arial"/>
              </w:rPr>
              <w:t>56.punkts</w:t>
            </w:r>
          </w:p>
          <w:p w:rsidR="00863953" w:rsidRDefault="00863953" w:rsidP="000D6D5B">
            <w:pPr>
              <w:shd w:val="clear" w:color="auto" w:fill="FFFFFF"/>
              <w:rPr>
                <w:rFonts w:eastAsia="Arial"/>
              </w:rPr>
            </w:pPr>
            <w:r>
              <w:rPr>
                <w:rFonts w:eastAsia="Arial"/>
              </w:rPr>
              <w:t>57.punkts</w:t>
            </w:r>
          </w:p>
          <w:p w:rsidR="00863953" w:rsidRDefault="00863953" w:rsidP="000D6D5B">
            <w:pPr>
              <w:shd w:val="clear" w:color="auto" w:fill="FFFFFF"/>
              <w:rPr>
                <w:rFonts w:eastAsia="Arial"/>
              </w:rPr>
            </w:pPr>
            <w:r>
              <w:rPr>
                <w:rFonts w:eastAsia="Arial"/>
              </w:rPr>
              <w:t>58.punkts</w:t>
            </w:r>
          </w:p>
        </w:tc>
        <w:tc>
          <w:tcPr>
            <w:tcW w:w="1972"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firstLine="300"/>
              <w:rPr>
                <w:rFonts w:eastAsia="Arial"/>
              </w:rPr>
            </w:pPr>
            <w:r w:rsidRPr="00FF38E5">
              <w:rPr>
                <w:rFonts w:eastAsia="Arial"/>
              </w:rPr>
              <w:t>Atbilst</w:t>
            </w:r>
          </w:p>
        </w:tc>
        <w:tc>
          <w:tcPr>
            <w:tcW w:w="2373" w:type="dxa"/>
            <w:tcBorders>
              <w:top w:val="single" w:sz="6" w:space="0" w:color="414142"/>
              <w:left w:val="single" w:sz="6" w:space="0" w:color="414142"/>
              <w:bottom w:val="single" w:sz="6" w:space="0" w:color="414142"/>
              <w:right w:val="single" w:sz="6" w:space="0" w:color="414142"/>
            </w:tcBorders>
          </w:tcPr>
          <w:p w:rsidR="00863953" w:rsidRPr="009E4D4C" w:rsidRDefault="00863953" w:rsidP="000D6D5B">
            <w:pPr>
              <w:shd w:val="clear" w:color="auto" w:fill="FFFFFF"/>
              <w:ind w:hanging="17"/>
              <w:rPr>
                <w:rFonts w:eastAsia="Arial"/>
              </w:rPr>
            </w:pPr>
            <w:r w:rsidRPr="00FF38E5">
              <w:rPr>
                <w:rFonts w:eastAsia="Arial"/>
              </w:rPr>
              <w:t>Projekts nesatur stingrākas prasības nekā attiecīgais ES tiesību akts.</w:t>
            </w:r>
          </w:p>
        </w:tc>
      </w:tr>
      <w:tr w:rsidR="00863953"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Default="00863953" w:rsidP="000D6D5B">
            <w:r>
              <w:t>Kā ir izmantota ES tiesību aktā paredzētā rīcības brīvība dalībvalstij pārņemt vai ieviest noteiktas ES tiesību akta normas?</w:t>
            </w:r>
            <w: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863953" w:rsidRDefault="00863953" w:rsidP="000D6D5B">
            <w:pPr>
              <w:jc w:val="both"/>
            </w:pPr>
            <w:r>
              <w:t xml:space="preserve"> </w:t>
            </w:r>
            <w:r w:rsidRPr="00B30574">
              <w:t xml:space="preserve">Ar </w:t>
            </w:r>
            <w:r>
              <w:t xml:space="preserve">Ieroču aprites likumu ir </w:t>
            </w:r>
            <w:r w:rsidRPr="00B30574">
              <w:t>pārņemta Direktīva</w:t>
            </w:r>
            <w:r>
              <w:t>s</w:t>
            </w:r>
            <w:r w:rsidRPr="00B30574">
              <w:t xml:space="preserve"> (ES) 2017/853 paredzētā rīcības brīvība</w:t>
            </w:r>
            <w:r>
              <w:t xml:space="preserve"> 3.pantā, 6.pantā, </w:t>
            </w:r>
            <w:r w:rsidRPr="00B30574">
              <w:t xml:space="preserve">7. panta 4.a punkta, 9. panta 2. punkta un 12. panta 2. punkta, jo tiesību normās ietvertie nosacījumi atbilst Latvijas Republikas </w:t>
            </w:r>
            <w:r>
              <w:t xml:space="preserve">ieroču aprites </w:t>
            </w:r>
            <w:r w:rsidRPr="00B30574">
              <w:t xml:space="preserve">jomas tiesiskā regulējuma piemērojamiem standartiem, lai, vienlaikus, ievērojot starptautisko tiesību standartus, nodrošinātu </w:t>
            </w:r>
            <w:r>
              <w:t xml:space="preserve">ieroču apritē esošo procedūru </w:t>
            </w:r>
            <w:r w:rsidRPr="00B30574">
              <w:t>efektivitāti.</w:t>
            </w:r>
          </w:p>
        </w:tc>
      </w:tr>
      <w:tr w:rsidR="00863953"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Default="00863953" w:rsidP="000D6D5B">
            <w:r>
              <w:t xml:space="preserve">Saistības sniegt paziņojumu ES institūcijām un ES </w:t>
            </w:r>
            <w:r>
              <w:lastRenderedPageBreak/>
              <w:t>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863953" w:rsidRDefault="00863953" w:rsidP="000D6D5B">
            <w:r>
              <w:lastRenderedPageBreak/>
              <w:t>Projekts šo jomu neskar.</w:t>
            </w:r>
          </w:p>
        </w:tc>
      </w:tr>
      <w:tr w:rsidR="00863953" w:rsidTr="000D6D5B">
        <w:trPr>
          <w:jc w:val="center"/>
        </w:trPr>
        <w:tc>
          <w:tcPr>
            <w:tcW w:w="2037" w:type="dxa"/>
            <w:tcBorders>
              <w:top w:val="single" w:sz="6" w:space="0" w:color="414142"/>
              <w:left w:val="single" w:sz="6" w:space="0" w:color="414142"/>
              <w:bottom w:val="single" w:sz="6" w:space="0" w:color="414142"/>
              <w:right w:val="single" w:sz="6" w:space="0" w:color="414142"/>
            </w:tcBorders>
          </w:tcPr>
          <w:p w:rsidR="00863953" w:rsidRDefault="00863953" w:rsidP="000D6D5B">
            <w: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863953" w:rsidRDefault="00863953" w:rsidP="000D6D5B">
            <w:pPr>
              <w:spacing w:after="120"/>
              <w:jc w:val="both"/>
            </w:pPr>
            <w:r>
              <w:t xml:space="preserve">Pārējās </w:t>
            </w:r>
            <w:r w:rsidRPr="005A0560">
              <w:t>Direktīva</w:t>
            </w:r>
            <w:r>
              <w:t>s</w:t>
            </w:r>
            <w:r w:rsidRPr="005A0560">
              <w:t xml:space="preserve"> (ES) 2017/853</w:t>
            </w:r>
            <w:r>
              <w:t xml:space="preserve"> normas jau ir pārņemtas Ieroču aprites likumā, Krimināllikumā, Latvijas Administratīvo pārkāpumu kodeksā, kā arī, daļēji - 2016. gada 26. jūlija Ministru kabineta noteikumos Nr. 495 “Noteikumi par prasībām, kas jāievēro, izsniedzot, apturot un anulējot iepriekšējās piekrišanas dokumentu šaujamieroču un munīcijas vai sprāgstvielu pārvietošanai starp Eiropas Savienības dalībvalstīm”</w:t>
            </w:r>
          </w:p>
        </w:tc>
      </w:tr>
    </w:tbl>
    <w:p w:rsidR="00863953" w:rsidRPr="00F9574E" w:rsidRDefault="00863953" w:rsidP="00863953">
      <w:pPr>
        <w:shd w:val="clear" w:color="auto" w:fill="FFFFFF"/>
        <w:ind w:firstLine="300"/>
      </w:pPr>
    </w:p>
    <w:tbl>
      <w:tblPr>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863953" w:rsidRPr="00F9574E" w:rsidTr="000D6D5B">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863953" w:rsidRPr="00F9574E" w:rsidRDefault="00863953" w:rsidP="000D6D5B">
            <w:pPr>
              <w:jc w:val="center"/>
              <w:rPr>
                <w:b/>
              </w:rPr>
            </w:pPr>
            <w:r w:rsidRPr="00F9574E">
              <w:rPr>
                <w:b/>
              </w:rPr>
              <w:t>VI. Sabiedrības līdzdalība un komunikācijas aktivitātes</w:t>
            </w:r>
          </w:p>
        </w:tc>
      </w:tr>
      <w:tr w:rsidR="00863953" w:rsidRPr="00F9574E" w:rsidTr="000D6D5B">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1.</w:t>
            </w:r>
          </w:p>
        </w:tc>
        <w:tc>
          <w:tcPr>
            <w:tcW w:w="251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863953" w:rsidRPr="00121F1B" w:rsidRDefault="00863953" w:rsidP="000D6D5B">
            <w:pPr>
              <w:spacing w:after="120"/>
              <w:jc w:val="both"/>
              <w:rPr>
                <w:color w:val="FF0000"/>
              </w:rPr>
            </w:pPr>
            <w:r w:rsidRPr="00310085">
              <w:rPr>
                <w:color w:val="auto"/>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863953" w:rsidRPr="00F9574E" w:rsidTr="000D6D5B">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2.</w:t>
            </w:r>
          </w:p>
        </w:tc>
        <w:tc>
          <w:tcPr>
            <w:tcW w:w="251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jc w:val="both"/>
            </w:pPr>
            <w:r w:rsidRPr="00310085">
              <w:rPr>
                <w:color w:val="auto"/>
              </w:rPr>
              <w:t xml:space="preserve">Noteikumu projekts tika ievietots Iekšlietu ministrijas tīmekļvietnē </w:t>
            </w:r>
            <w:proofErr w:type="spellStart"/>
            <w:r w:rsidRPr="00310085">
              <w:rPr>
                <w:color w:val="auto"/>
              </w:rPr>
              <w:t>www.iem.gov.lv</w:t>
            </w:r>
            <w:proofErr w:type="spellEnd"/>
            <w:r w:rsidRPr="00310085">
              <w:rPr>
                <w:color w:val="auto"/>
              </w:rPr>
              <w:t xml:space="preserve"> sadaļā “Sabiedrības līdzdalība”, aicinot sabiedrību rakstveidā izteikt savu viedokli par projektu līdz 2018. gada 25. jūlijam. </w:t>
            </w:r>
          </w:p>
        </w:tc>
      </w:tr>
      <w:tr w:rsidR="00863953" w:rsidRPr="00F9574E" w:rsidTr="000D6D5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3.</w:t>
            </w:r>
          </w:p>
        </w:tc>
        <w:tc>
          <w:tcPr>
            <w:tcW w:w="251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pPr>
            <w:r>
              <w:rPr>
                <w:color w:val="auto"/>
              </w:rPr>
              <w:t xml:space="preserve">  Par Noteikumu projektu viedokļi netika saņemti.</w:t>
            </w:r>
          </w:p>
        </w:tc>
      </w:tr>
      <w:tr w:rsidR="00863953" w:rsidRPr="00F9574E" w:rsidTr="000D6D5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4.</w:t>
            </w:r>
          </w:p>
        </w:tc>
        <w:tc>
          <w:tcPr>
            <w:tcW w:w="2511"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Cita informācija</w:t>
            </w:r>
          </w:p>
        </w:tc>
        <w:tc>
          <w:tcPr>
            <w:tcW w:w="549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pPr>
            <w:r>
              <w:t xml:space="preserve"> Noteikumu projekts viedokļa sniegšanai 2019.gada  11.aprīlī tika</w:t>
            </w:r>
            <w:r w:rsidRPr="00331C85">
              <w:t xml:space="preserve"> nosūtīts </w:t>
            </w:r>
            <w:r w:rsidRPr="00310085">
              <w:t>saskaņošanai Latvijas Mednieku asociācijai</w:t>
            </w:r>
            <w:r>
              <w:t>, Latvijas Mednieku Savienībai</w:t>
            </w:r>
            <w:r w:rsidRPr="00310085">
              <w:t xml:space="preserve"> un </w:t>
            </w:r>
            <w:r w:rsidRPr="00310085">
              <w:rPr>
                <w:bCs/>
              </w:rPr>
              <w:t>Latvijas Šaušanas Federācijai.</w:t>
            </w:r>
            <w:r>
              <w:t xml:space="preserve"> </w:t>
            </w:r>
            <w:r w:rsidRPr="00331C85">
              <w:t xml:space="preserve"> </w:t>
            </w:r>
          </w:p>
        </w:tc>
      </w:tr>
    </w:tbl>
    <w:p w:rsidR="00863953" w:rsidRPr="00F9574E" w:rsidRDefault="00863953" w:rsidP="00863953">
      <w:pPr>
        <w:shd w:val="clear" w:color="auto" w:fill="FFFFFF"/>
        <w:ind w:firstLine="300"/>
      </w:pPr>
      <w:r w:rsidRPr="00F9574E">
        <w:rPr>
          <w:rFonts w:eastAsia="Arial"/>
        </w:rPr>
        <w:t> </w:t>
      </w:r>
    </w:p>
    <w:tbl>
      <w:tblPr>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863953" w:rsidRPr="00F9574E" w:rsidTr="000D6D5B">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863953" w:rsidRPr="00F9574E" w:rsidRDefault="00863953" w:rsidP="000D6D5B">
            <w:pPr>
              <w:jc w:val="center"/>
              <w:rPr>
                <w:b/>
              </w:rPr>
            </w:pPr>
            <w:r w:rsidRPr="00F9574E">
              <w:rPr>
                <w:b/>
              </w:rPr>
              <w:t>VII. Tiesību akta projekta izpildes nodrošināšana un tās ietekme uz institūcijām</w:t>
            </w:r>
          </w:p>
        </w:tc>
      </w:tr>
      <w:tr w:rsidR="00863953" w:rsidRPr="00F9574E" w:rsidTr="000D6D5B">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1.</w:t>
            </w:r>
          </w:p>
        </w:tc>
        <w:tc>
          <w:tcPr>
            <w:tcW w:w="318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jc w:val="both"/>
            </w:pPr>
            <w:r w:rsidRPr="00F9574E">
              <w:t>Valsts policija.</w:t>
            </w:r>
          </w:p>
        </w:tc>
      </w:tr>
      <w:tr w:rsidR="00863953" w:rsidRPr="00F9574E" w:rsidTr="000D6D5B">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2.</w:t>
            </w:r>
          </w:p>
        </w:tc>
        <w:tc>
          <w:tcPr>
            <w:tcW w:w="318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Projekta izpildes ietekme uz pārvaldes funkcijām un institucionālo struktūru.</w:t>
            </w:r>
          </w:p>
          <w:p w:rsidR="00863953" w:rsidRPr="00F9574E" w:rsidRDefault="00863953" w:rsidP="000D6D5B">
            <w:r w:rsidRPr="00F9574E">
              <w:t xml:space="preserve">Jaunu institūciju izveide, esošu institūciju likvidācija </w:t>
            </w:r>
            <w:r w:rsidRPr="00F9574E">
              <w:lastRenderedPageBreak/>
              <w:t>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jc w:val="both"/>
            </w:pPr>
            <w:r>
              <w:lastRenderedPageBreak/>
              <w:t xml:space="preserve"> Jaunas institūcijas netiks veidotas.</w:t>
            </w:r>
          </w:p>
        </w:tc>
      </w:tr>
      <w:tr w:rsidR="00863953" w:rsidRPr="00F9574E" w:rsidTr="000D6D5B">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3.</w:t>
            </w:r>
          </w:p>
        </w:tc>
        <w:tc>
          <w:tcPr>
            <w:tcW w:w="3180"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r w:rsidRPr="00F9574E">
              <w:t>Cita informācija</w:t>
            </w:r>
          </w:p>
        </w:tc>
        <w:tc>
          <w:tcPr>
            <w:tcW w:w="4872" w:type="dxa"/>
            <w:tcBorders>
              <w:top w:val="single" w:sz="6" w:space="0" w:color="414142"/>
              <w:left w:val="single" w:sz="6" w:space="0" w:color="414142"/>
              <w:bottom w:val="single" w:sz="6" w:space="0" w:color="414142"/>
              <w:right w:val="single" w:sz="6" w:space="0" w:color="414142"/>
            </w:tcBorders>
          </w:tcPr>
          <w:p w:rsidR="00863953" w:rsidRPr="00F9574E" w:rsidRDefault="00863953" w:rsidP="000D6D5B">
            <w:pPr>
              <w:spacing w:after="120"/>
            </w:pPr>
            <w:r w:rsidRPr="00F9574E">
              <w:t>Nav</w:t>
            </w:r>
          </w:p>
        </w:tc>
      </w:tr>
    </w:tbl>
    <w:p w:rsidR="00863953" w:rsidRPr="00F9574E" w:rsidRDefault="00863953" w:rsidP="00863953">
      <w:pPr>
        <w:tabs>
          <w:tab w:val="left" w:pos="6237"/>
        </w:tabs>
        <w:spacing w:after="120"/>
      </w:pPr>
    </w:p>
    <w:p w:rsidR="00863953" w:rsidRDefault="00863953" w:rsidP="00863953">
      <w:pPr>
        <w:tabs>
          <w:tab w:val="left" w:pos="6237"/>
        </w:tabs>
        <w:spacing w:after="120"/>
        <w:rPr>
          <w:color w:val="auto"/>
        </w:rPr>
      </w:pPr>
      <w:r w:rsidRPr="00670E97">
        <w:rPr>
          <w:color w:val="auto"/>
        </w:rPr>
        <w:t>Iekšlietu ministrs</w:t>
      </w:r>
      <w:r w:rsidRPr="00670E97">
        <w:rPr>
          <w:color w:val="auto"/>
        </w:rPr>
        <w:tab/>
        <w:t xml:space="preserve"> </w:t>
      </w:r>
      <w:r w:rsidRPr="00670E97">
        <w:rPr>
          <w:color w:val="auto"/>
        </w:rPr>
        <w:tab/>
        <w:t xml:space="preserve">Sandis </w:t>
      </w:r>
      <w:proofErr w:type="spellStart"/>
      <w:r w:rsidRPr="00670E97">
        <w:rPr>
          <w:color w:val="auto"/>
        </w:rPr>
        <w:t>Ģirģens</w:t>
      </w:r>
      <w:proofErr w:type="spellEnd"/>
    </w:p>
    <w:p w:rsidR="00863953" w:rsidRPr="00670E97" w:rsidRDefault="00863953" w:rsidP="00863953">
      <w:pPr>
        <w:tabs>
          <w:tab w:val="left" w:pos="6237"/>
        </w:tabs>
        <w:spacing w:after="120"/>
        <w:rPr>
          <w:color w:val="auto"/>
        </w:rPr>
      </w:pPr>
    </w:p>
    <w:p w:rsidR="00863953" w:rsidRPr="00670E97" w:rsidRDefault="00863953" w:rsidP="00863953">
      <w:pPr>
        <w:rPr>
          <w:color w:val="auto"/>
        </w:rPr>
      </w:pPr>
      <w:r w:rsidRPr="00670E97">
        <w:rPr>
          <w:color w:val="auto"/>
        </w:rPr>
        <w:t>Vīza:</w:t>
      </w:r>
    </w:p>
    <w:p w:rsidR="00863953" w:rsidRDefault="00863953" w:rsidP="00863953">
      <w:pPr>
        <w:tabs>
          <w:tab w:val="left" w:pos="6237"/>
        </w:tabs>
        <w:rPr>
          <w:color w:val="auto"/>
        </w:rPr>
      </w:pPr>
      <w:r w:rsidRPr="00670E97">
        <w:rPr>
          <w:color w:val="auto"/>
        </w:rPr>
        <w:t>valsts sekretārs</w:t>
      </w:r>
      <w:r w:rsidRPr="00670E97">
        <w:rPr>
          <w:color w:val="auto"/>
        </w:rPr>
        <w:tab/>
      </w:r>
      <w:proofErr w:type="spellStart"/>
      <w:r w:rsidRPr="00670E97">
        <w:rPr>
          <w:color w:val="auto"/>
        </w:rPr>
        <w:t>Dimitrijs</w:t>
      </w:r>
      <w:proofErr w:type="spellEnd"/>
      <w:r w:rsidRPr="00670E97">
        <w:rPr>
          <w:color w:val="auto"/>
        </w:rPr>
        <w:t xml:space="preserve"> </w:t>
      </w:r>
      <w:proofErr w:type="spellStart"/>
      <w:r w:rsidRPr="00670E97">
        <w:rPr>
          <w:color w:val="auto"/>
        </w:rPr>
        <w:t>Trofimovs</w:t>
      </w:r>
      <w:proofErr w:type="spellEnd"/>
    </w:p>
    <w:p w:rsidR="00863953" w:rsidRDefault="00863953"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p>
    <w:p w:rsidR="00FC599E" w:rsidRDefault="00FC599E" w:rsidP="00863953">
      <w:pPr>
        <w:tabs>
          <w:tab w:val="left" w:pos="6237"/>
        </w:tabs>
        <w:rPr>
          <w:color w:val="auto"/>
        </w:rPr>
      </w:pPr>
      <w:bookmarkStart w:id="1" w:name="_GoBack"/>
      <w:bookmarkEnd w:id="1"/>
    </w:p>
    <w:p w:rsidR="00863953" w:rsidRDefault="00863953" w:rsidP="00863953">
      <w:pPr>
        <w:tabs>
          <w:tab w:val="left" w:pos="6237"/>
        </w:tabs>
        <w:rPr>
          <w:color w:val="auto"/>
        </w:rPr>
      </w:pPr>
    </w:p>
    <w:p w:rsidR="00863953" w:rsidRDefault="00863953" w:rsidP="00863953">
      <w:pPr>
        <w:tabs>
          <w:tab w:val="left" w:pos="6237"/>
        </w:tabs>
        <w:rPr>
          <w:color w:val="auto"/>
        </w:rPr>
      </w:pPr>
    </w:p>
    <w:p w:rsidR="00863953" w:rsidRPr="003F4702" w:rsidRDefault="00863953" w:rsidP="00863953">
      <w:pPr>
        <w:tabs>
          <w:tab w:val="left" w:pos="6237"/>
        </w:tabs>
        <w:rPr>
          <w:color w:val="auto"/>
        </w:rPr>
      </w:pPr>
      <w:proofErr w:type="spellStart"/>
      <w:r w:rsidRPr="003F4702">
        <w:rPr>
          <w:color w:val="auto"/>
          <w:sz w:val="16"/>
          <w:szCs w:val="16"/>
        </w:rPr>
        <w:t>A.Melkers</w:t>
      </w:r>
      <w:proofErr w:type="spellEnd"/>
      <w:r w:rsidRPr="003F4702">
        <w:rPr>
          <w:color w:val="auto"/>
          <w:sz w:val="16"/>
          <w:szCs w:val="16"/>
        </w:rPr>
        <w:t xml:space="preserve"> 67208232</w:t>
      </w:r>
    </w:p>
    <w:p w:rsidR="00863953" w:rsidRPr="003F4702" w:rsidRDefault="00FC599E" w:rsidP="00863953">
      <w:pPr>
        <w:tabs>
          <w:tab w:val="left" w:pos="6237"/>
        </w:tabs>
        <w:rPr>
          <w:color w:val="auto"/>
          <w:sz w:val="16"/>
          <w:szCs w:val="16"/>
        </w:rPr>
      </w:pPr>
      <w:hyperlink r:id="rId7">
        <w:r w:rsidR="00863953" w:rsidRPr="003F4702">
          <w:rPr>
            <w:color w:val="auto"/>
            <w:sz w:val="16"/>
            <w:szCs w:val="16"/>
          </w:rPr>
          <w:t>andris.melkers@vp.gov.lv</w:t>
        </w:r>
      </w:hyperlink>
      <w:r w:rsidR="00863953" w:rsidRPr="003F4702">
        <w:rPr>
          <w:color w:val="auto"/>
          <w:sz w:val="16"/>
          <w:szCs w:val="16"/>
        </w:rPr>
        <w:t xml:space="preserve"> </w:t>
      </w:r>
    </w:p>
    <w:p w:rsidR="0031368A" w:rsidRDefault="0031368A"/>
    <w:sectPr w:rsidR="0031368A" w:rsidSect="00927CBD">
      <w:headerReference w:type="default" r:id="rId8"/>
      <w:footerReference w:type="default" r:id="rId9"/>
      <w:footerReference w:type="first" r:id="rId10"/>
      <w:pgSz w:w="11906" w:h="16838"/>
      <w:pgMar w:top="851"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FC" w:rsidRDefault="00EE0CFC" w:rsidP="00EE0CFC">
      <w:r>
        <w:separator/>
      </w:r>
    </w:p>
  </w:endnote>
  <w:endnote w:type="continuationSeparator" w:id="0">
    <w:p w:rsidR="00EE0CFC" w:rsidRDefault="00EE0CFC" w:rsidP="00EE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2E" w:rsidRDefault="00EE0CFC" w:rsidP="008407EF">
    <w:pPr>
      <w:tabs>
        <w:tab w:val="center" w:pos="4153"/>
        <w:tab w:val="right" w:pos="8306"/>
      </w:tabs>
      <w:jc w:val="both"/>
      <w:rPr>
        <w:sz w:val="20"/>
        <w:szCs w:val="20"/>
      </w:rPr>
    </w:pPr>
    <w:r>
      <w:rPr>
        <w:sz w:val="20"/>
        <w:szCs w:val="20"/>
      </w:rPr>
      <w:t>IEMAnot_0</w:t>
    </w:r>
    <w:r w:rsidR="00FC599E">
      <w:rPr>
        <w:sz w:val="20"/>
        <w:szCs w:val="20"/>
      </w:rPr>
      <w:t>7</w:t>
    </w:r>
    <w:r>
      <w:rPr>
        <w:sz w:val="20"/>
        <w:szCs w:val="20"/>
      </w:rPr>
      <w:t>052019</w:t>
    </w:r>
    <w:r w:rsidR="008819B4">
      <w:rPr>
        <w:sz w:val="20"/>
        <w:szCs w:val="20"/>
      </w:rPr>
      <w:t>_atlaujas</w:t>
    </w:r>
  </w:p>
  <w:p w:rsidR="003E112E" w:rsidRPr="008407EF" w:rsidRDefault="00FC599E" w:rsidP="0084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2E" w:rsidRDefault="00FC599E" w:rsidP="00F37802">
    <w:pPr>
      <w:tabs>
        <w:tab w:val="center" w:pos="4153"/>
        <w:tab w:val="right" w:pos="8306"/>
      </w:tabs>
      <w:jc w:val="both"/>
      <w:rPr>
        <w:sz w:val="20"/>
        <w:szCs w:val="20"/>
      </w:rPr>
    </w:pPr>
    <w:r>
      <w:rPr>
        <w:sz w:val="20"/>
        <w:szCs w:val="20"/>
      </w:rPr>
      <w:t>IEMAnot_07</w:t>
    </w:r>
    <w:r w:rsidR="00EE0CFC">
      <w:rPr>
        <w:sz w:val="20"/>
        <w:szCs w:val="20"/>
      </w:rPr>
      <w:t>052019</w:t>
    </w:r>
    <w:r w:rsidR="008819B4">
      <w:rPr>
        <w:sz w:val="20"/>
        <w:szCs w:val="20"/>
      </w:rPr>
      <w:t>_atlaujas</w:t>
    </w:r>
  </w:p>
  <w:p w:rsidR="003E112E" w:rsidRDefault="00FC599E">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FC" w:rsidRDefault="00EE0CFC" w:rsidP="00EE0CFC">
      <w:r>
        <w:separator/>
      </w:r>
    </w:p>
  </w:footnote>
  <w:footnote w:type="continuationSeparator" w:id="0">
    <w:p w:rsidR="00EE0CFC" w:rsidRDefault="00EE0CFC" w:rsidP="00EE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2E" w:rsidRDefault="008819B4">
    <w:pPr>
      <w:tabs>
        <w:tab w:val="center" w:pos="4153"/>
        <w:tab w:val="right" w:pos="8306"/>
      </w:tabs>
      <w:jc w:val="center"/>
    </w:pPr>
    <w:r>
      <w:fldChar w:fldCharType="begin"/>
    </w:r>
    <w:r>
      <w:instrText>PAGE</w:instrText>
    </w:r>
    <w:r>
      <w:fldChar w:fldCharType="separate"/>
    </w:r>
    <w:r w:rsidR="00FC599E">
      <w:rPr>
        <w:noProof/>
      </w:rPr>
      <w:t>12</w:t>
    </w:r>
    <w:r>
      <w:fldChar w:fldCharType="end"/>
    </w:r>
  </w:p>
  <w:p w:rsidR="003E112E" w:rsidRDefault="00FC599E">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9C7"/>
    <w:multiLevelType w:val="hybridMultilevel"/>
    <w:tmpl w:val="B63EE03A"/>
    <w:lvl w:ilvl="0" w:tplc="B78AC066">
      <w:start w:val="2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53"/>
    <w:rsid w:val="002D7B8C"/>
    <w:rsid w:val="0031368A"/>
    <w:rsid w:val="00442D7D"/>
    <w:rsid w:val="006B7C76"/>
    <w:rsid w:val="00863953"/>
    <w:rsid w:val="008819B4"/>
    <w:rsid w:val="00AF700B"/>
    <w:rsid w:val="00BE7C54"/>
    <w:rsid w:val="00EE0CFC"/>
    <w:rsid w:val="00FC59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1C01"/>
  <w15:chartTrackingRefBased/>
  <w15:docId w15:val="{1417941E-0DA8-4234-83AB-855ABC5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3953"/>
    <w:pPr>
      <w:tabs>
        <w:tab w:val="center" w:pos="4153"/>
        <w:tab w:val="right" w:pos="8306"/>
      </w:tabs>
    </w:pPr>
  </w:style>
  <w:style w:type="character" w:customStyle="1" w:styleId="FooterChar">
    <w:name w:val="Footer Char"/>
    <w:basedOn w:val="DefaultParagraphFont"/>
    <w:link w:val="Footer"/>
    <w:uiPriority w:val="99"/>
    <w:rsid w:val="00863953"/>
    <w:rPr>
      <w:rFonts w:ascii="Times New Roman" w:eastAsia="Times New Roman" w:hAnsi="Times New Roman" w:cs="Times New Roman"/>
      <w:color w:val="000000"/>
      <w:sz w:val="24"/>
      <w:szCs w:val="24"/>
      <w:lang w:eastAsia="lv-LV"/>
    </w:rPr>
  </w:style>
  <w:style w:type="paragraph" w:customStyle="1" w:styleId="Standard">
    <w:name w:val="Standard"/>
    <w:rsid w:val="00863953"/>
    <w:pPr>
      <w:suppressAutoHyphens/>
      <w:autoSpaceDN w:val="0"/>
      <w:spacing w:after="200" w:line="276" w:lineRule="auto"/>
    </w:pPr>
    <w:rPr>
      <w:rFonts w:ascii="Times New Roman" w:eastAsia="Calibri" w:hAnsi="Times New Roman" w:cs="Times New Roman"/>
      <w:kern w:val="3"/>
      <w:sz w:val="28"/>
    </w:rPr>
  </w:style>
  <w:style w:type="paragraph" w:styleId="ListParagraph">
    <w:name w:val="List Paragraph"/>
    <w:basedOn w:val="Normal"/>
    <w:uiPriority w:val="99"/>
    <w:qFormat/>
    <w:rsid w:val="00863953"/>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EE0CFC"/>
    <w:pPr>
      <w:tabs>
        <w:tab w:val="center" w:pos="4153"/>
        <w:tab w:val="right" w:pos="8306"/>
      </w:tabs>
    </w:pPr>
  </w:style>
  <w:style w:type="character" w:customStyle="1" w:styleId="HeaderChar">
    <w:name w:val="Header Char"/>
    <w:basedOn w:val="DefaultParagraphFont"/>
    <w:link w:val="Header"/>
    <w:uiPriority w:val="99"/>
    <w:rsid w:val="00EE0CFC"/>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melkers@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15746</Words>
  <Characters>8976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3</cp:revision>
  <dcterms:created xsi:type="dcterms:W3CDTF">2019-05-07T12:44:00Z</dcterms:created>
  <dcterms:modified xsi:type="dcterms:W3CDTF">2019-05-07T12:46:00Z</dcterms:modified>
</cp:coreProperties>
</file>