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7A" w:rsidRPr="005F5C7A" w:rsidRDefault="00FB68BD" w:rsidP="005F5C7A">
      <w:pPr>
        <w:jc w:val="center"/>
        <w:rPr>
          <w:b/>
          <w:bCs/>
        </w:rPr>
      </w:pPr>
      <w:smartTag w:uri="schemas-tilde-lv/tildestengine" w:element="veidnes">
        <w:smartTagPr>
          <w:attr w:name="text" w:val="Izziņa"/>
          <w:attr w:name="baseform" w:val="Izziņa"/>
          <w:attr w:name="id" w:val="-1"/>
        </w:smartTagPr>
        <w:r w:rsidRPr="005F5C7A">
          <w:rPr>
            <w:b/>
            <w:bCs/>
          </w:rPr>
          <w:t>Izziņa</w:t>
        </w:r>
      </w:smartTag>
      <w:r w:rsidRPr="005F5C7A">
        <w:rPr>
          <w:b/>
          <w:bCs/>
        </w:rPr>
        <w:t xml:space="preserve"> par atzinumos sniegtajiem</w:t>
      </w:r>
      <w:r w:rsidR="000E6A5D" w:rsidRPr="005F5C7A">
        <w:rPr>
          <w:b/>
          <w:bCs/>
        </w:rPr>
        <w:t xml:space="preserve"> iebildumiem par </w:t>
      </w:r>
      <w:r w:rsidR="005F5C7A" w:rsidRPr="005F5C7A">
        <w:rPr>
          <w:b/>
          <w:bCs/>
        </w:rPr>
        <w:t>konceptuālā ziņojuma</w:t>
      </w:r>
      <w:r w:rsidR="005F5C7A">
        <w:rPr>
          <w:b/>
          <w:bCs/>
        </w:rPr>
        <w:t xml:space="preserve"> projektu</w:t>
      </w:r>
      <w:r w:rsidR="005F5C7A" w:rsidRPr="005F5C7A">
        <w:rPr>
          <w:b/>
          <w:bCs/>
        </w:rPr>
        <w:t xml:space="preserve"> „Par tiesībaizsardzības </w:t>
      </w:r>
    </w:p>
    <w:p w:rsidR="00F00A89" w:rsidRPr="005F5C7A" w:rsidRDefault="005F5C7A" w:rsidP="00F00A89">
      <w:pPr>
        <w:jc w:val="center"/>
        <w:rPr>
          <w:b/>
          <w:bCs/>
        </w:rPr>
      </w:pPr>
      <w:r w:rsidRPr="005F5C7A">
        <w:rPr>
          <w:b/>
          <w:bCs/>
        </w:rPr>
        <w:t xml:space="preserve">iestāžu amatpersonu izglītības sistēmas pilnveidi” </w:t>
      </w:r>
    </w:p>
    <w:p w:rsidR="00FB68BD" w:rsidRPr="00FB036F" w:rsidRDefault="00FB68BD" w:rsidP="0045657B">
      <w:pPr>
        <w:jc w:val="center"/>
        <w:rPr>
          <w:b/>
        </w:rPr>
      </w:pPr>
    </w:p>
    <w:p w:rsidR="00FB68BD" w:rsidRPr="00FB036F" w:rsidRDefault="00FB68BD" w:rsidP="00FB68BD">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rsidR="00FB68BD" w:rsidRPr="00FB036F" w:rsidRDefault="00FB68BD" w:rsidP="00FB68BD">
      <w:pPr>
        <w:pStyle w:val="naisf"/>
        <w:spacing w:before="0" w:after="0"/>
        <w:ind w:firstLine="720"/>
      </w:pPr>
    </w:p>
    <w:tbl>
      <w:tblPr>
        <w:tblW w:w="14147" w:type="dxa"/>
        <w:tblInd w:w="-9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
        <w:gridCol w:w="567"/>
        <w:gridCol w:w="2435"/>
        <w:gridCol w:w="43"/>
        <w:gridCol w:w="1174"/>
        <w:gridCol w:w="2610"/>
        <w:gridCol w:w="1317"/>
        <w:gridCol w:w="1943"/>
        <w:gridCol w:w="674"/>
        <w:gridCol w:w="1259"/>
        <w:gridCol w:w="27"/>
        <w:gridCol w:w="1983"/>
        <w:gridCol w:w="27"/>
      </w:tblGrid>
      <w:tr w:rsidR="000F62FD" w:rsidRPr="00FB036F" w:rsidTr="003220F9">
        <w:trPr>
          <w:trHeight w:val="1423"/>
        </w:trPr>
        <w:tc>
          <w:tcPr>
            <w:tcW w:w="655" w:type="dxa"/>
            <w:gridSpan w:val="2"/>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pPr>
            <w:r w:rsidRPr="00FB036F">
              <w:t>Nr. P.k.</w:t>
            </w:r>
          </w:p>
        </w:tc>
        <w:tc>
          <w:tcPr>
            <w:tcW w:w="2435" w:type="dxa"/>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ind w:firstLine="12"/>
            </w:pPr>
            <w:r w:rsidRPr="00FB036F">
              <w:t>Saskaņošanai nosūtītā projekta redakcija (konkrēta punkta (panta) redakcija)</w:t>
            </w:r>
          </w:p>
        </w:tc>
        <w:tc>
          <w:tcPr>
            <w:tcW w:w="3827" w:type="dxa"/>
            <w:gridSpan w:val="3"/>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ind w:right="3"/>
              <w:jc w:val="both"/>
            </w:pPr>
            <w:r w:rsidRPr="00FB036F">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ind w:firstLine="21"/>
            </w:pPr>
            <w:r w:rsidRPr="00FB036F">
              <w:t>Atbildīgās ministrijas norāde par to, ka iebildums ir ņemts vērā, vai informācija par saskaņošanā panākto alternatīvo risinājumu</w:t>
            </w:r>
          </w:p>
        </w:tc>
        <w:tc>
          <w:tcPr>
            <w:tcW w:w="1933" w:type="dxa"/>
            <w:gridSpan w:val="2"/>
            <w:tcBorders>
              <w:top w:val="single" w:sz="4" w:space="0" w:color="auto"/>
              <w:left w:val="single" w:sz="4" w:space="0" w:color="auto"/>
              <w:bottom w:val="single" w:sz="4" w:space="0" w:color="auto"/>
              <w:right w:val="single" w:sz="4" w:space="0" w:color="auto"/>
            </w:tcBorders>
          </w:tcPr>
          <w:p w:rsidR="000F62FD" w:rsidRPr="00FB036F" w:rsidRDefault="000F62FD" w:rsidP="00BD7CE0">
            <w:pPr>
              <w:tabs>
                <w:tab w:val="left" w:pos="1877"/>
                <w:tab w:val="left" w:pos="1910"/>
              </w:tabs>
              <w:jc w:val="center"/>
            </w:pPr>
            <w:r w:rsidRPr="000F62FD">
              <w:t>Atzinuma sniedzēja uzturētais iebildums, ja tas atšķiras no atzinumā norādītā iebilduma pamatojuma</w:t>
            </w:r>
          </w:p>
        </w:tc>
        <w:tc>
          <w:tcPr>
            <w:tcW w:w="2037" w:type="dxa"/>
            <w:gridSpan w:val="3"/>
            <w:tcBorders>
              <w:top w:val="single" w:sz="4" w:space="0" w:color="auto"/>
              <w:left w:val="single" w:sz="4" w:space="0" w:color="auto"/>
              <w:bottom w:val="single" w:sz="4" w:space="0" w:color="auto"/>
            </w:tcBorders>
            <w:vAlign w:val="center"/>
          </w:tcPr>
          <w:p w:rsidR="000F62FD" w:rsidRPr="00FB036F" w:rsidRDefault="000F62FD" w:rsidP="00BD7CE0">
            <w:pPr>
              <w:tabs>
                <w:tab w:val="left" w:pos="1877"/>
                <w:tab w:val="left" w:pos="1910"/>
              </w:tabs>
              <w:jc w:val="center"/>
            </w:pPr>
            <w:r w:rsidRPr="00FB036F">
              <w:t>Projekta attiecīgā punkta (panta) galīgā redakcija</w:t>
            </w:r>
          </w:p>
        </w:tc>
      </w:tr>
      <w:tr w:rsidR="000F62FD" w:rsidRPr="00FB036F" w:rsidTr="003220F9">
        <w:trPr>
          <w:trHeight w:val="278"/>
        </w:trPr>
        <w:tc>
          <w:tcPr>
            <w:tcW w:w="655" w:type="dxa"/>
            <w:gridSpan w:val="2"/>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rPr>
                <w:sz w:val="20"/>
                <w:szCs w:val="20"/>
              </w:rPr>
            </w:pPr>
            <w:r w:rsidRPr="008A36C9">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ind w:firstLine="720"/>
              <w:rPr>
                <w:sz w:val="20"/>
                <w:szCs w:val="20"/>
              </w:rPr>
            </w:pPr>
            <w:r w:rsidRPr="008A36C9">
              <w:rPr>
                <w:sz w:val="20"/>
                <w:szCs w:val="20"/>
              </w:rPr>
              <w:t>2</w:t>
            </w:r>
          </w:p>
        </w:tc>
        <w:tc>
          <w:tcPr>
            <w:tcW w:w="3827" w:type="dxa"/>
            <w:gridSpan w:val="3"/>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ind w:firstLine="720"/>
              <w:rPr>
                <w:sz w:val="20"/>
                <w:szCs w:val="20"/>
              </w:rPr>
            </w:pPr>
            <w:r w:rsidRPr="008A36C9">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ind w:firstLine="720"/>
              <w:rPr>
                <w:sz w:val="20"/>
                <w:szCs w:val="20"/>
              </w:rPr>
            </w:pPr>
            <w:r w:rsidRPr="008A36C9">
              <w:rPr>
                <w:sz w:val="20"/>
                <w:szCs w:val="20"/>
              </w:rPr>
              <w:t>4</w:t>
            </w:r>
          </w:p>
        </w:tc>
        <w:tc>
          <w:tcPr>
            <w:tcW w:w="1933" w:type="dxa"/>
            <w:gridSpan w:val="2"/>
            <w:tcBorders>
              <w:top w:val="single" w:sz="4" w:space="0" w:color="auto"/>
              <w:left w:val="single" w:sz="4" w:space="0" w:color="auto"/>
              <w:bottom w:val="single" w:sz="4" w:space="0" w:color="auto"/>
              <w:right w:val="single" w:sz="4" w:space="0" w:color="auto"/>
            </w:tcBorders>
          </w:tcPr>
          <w:p w:rsidR="000F62FD" w:rsidRPr="008A36C9" w:rsidRDefault="000F62FD" w:rsidP="000F62FD">
            <w:pPr>
              <w:jc w:val="center"/>
              <w:rPr>
                <w:sz w:val="20"/>
                <w:szCs w:val="20"/>
              </w:rPr>
            </w:pPr>
            <w:r w:rsidRPr="008A36C9">
              <w:rPr>
                <w:sz w:val="20"/>
                <w:szCs w:val="20"/>
              </w:rPr>
              <w:t>5</w:t>
            </w:r>
          </w:p>
        </w:tc>
        <w:tc>
          <w:tcPr>
            <w:tcW w:w="2037" w:type="dxa"/>
            <w:gridSpan w:val="3"/>
            <w:tcBorders>
              <w:top w:val="single" w:sz="4" w:space="0" w:color="auto"/>
              <w:left w:val="single" w:sz="4" w:space="0" w:color="auto"/>
              <w:bottom w:val="single" w:sz="4" w:space="0" w:color="auto"/>
            </w:tcBorders>
          </w:tcPr>
          <w:p w:rsidR="000F62FD" w:rsidRPr="008A36C9" w:rsidRDefault="000F62FD" w:rsidP="000F62FD">
            <w:pPr>
              <w:jc w:val="center"/>
              <w:rPr>
                <w:sz w:val="20"/>
                <w:szCs w:val="20"/>
              </w:rPr>
            </w:pPr>
            <w:r w:rsidRPr="008A36C9">
              <w:rPr>
                <w:sz w:val="20"/>
                <w:szCs w:val="20"/>
              </w:rPr>
              <w:t>6</w:t>
            </w:r>
          </w:p>
        </w:tc>
      </w:tr>
      <w:tr w:rsidR="000F62FD" w:rsidRPr="00FB036F" w:rsidTr="003220F9">
        <w:tc>
          <w:tcPr>
            <w:tcW w:w="655" w:type="dxa"/>
            <w:gridSpan w:val="2"/>
            <w:tcBorders>
              <w:top w:val="single" w:sz="6" w:space="0" w:color="000000"/>
              <w:left w:val="single" w:sz="6" w:space="0" w:color="000000"/>
              <w:bottom w:val="single" w:sz="6" w:space="0" w:color="000000"/>
              <w:right w:val="single" w:sz="6" w:space="0" w:color="000000"/>
            </w:tcBorders>
          </w:tcPr>
          <w:p w:rsidR="000F62FD" w:rsidRPr="00FB036F" w:rsidRDefault="000F62FD" w:rsidP="003220F9">
            <w:pPr>
              <w:pStyle w:val="naisc"/>
              <w:spacing w:before="0" w:after="0"/>
              <w:ind w:left="446"/>
              <w:jc w:val="left"/>
            </w:pPr>
          </w:p>
        </w:tc>
        <w:tc>
          <w:tcPr>
            <w:tcW w:w="2435" w:type="dxa"/>
            <w:tcBorders>
              <w:left w:val="single" w:sz="6" w:space="0" w:color="000000"/>
              <w:bottom w:val="single" w:sz="6" w:space="0" w:color="000000"/>
              <w:right w:val="single" w:sz="6" w:space="0" w:color="000000"/>
            </w:tcBorders>
          </w:tcPr>
          <w:p w:rsidR="000F62FD" w:rsidRPr="00E532FA" w:rsidRDefault="000F62FD" w:rsidP="003F2313">
            <w:pPr>
              <w:jc w:val="both"/>
              <w:rPr>
                <w:i/>
              </w:rPr>
            </w:pP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rsidR="000F62FD" w:rsidRPr="00E532FA" w:rsidRDefault="000F62FD" w:rsidP="00B51501">
            <w:pPr>
              <w:ind w:left="40" w:firstLine="142"/>
              <w:jc w:val="both"/>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347157" w:rsidRPr="00B65ED6" w:rsidRDefault="00347157" w:rsidP="00ED4DBE">
            <w:pPr>
              <w:jc w:val="both"/>
              <w:rPr>
                <w:b/>
              </w:rPr>
            </w:pPr>
          </w:p>
        </w:tc>
        <w:tc>
          <w:tcPr>
            <w:tcW w:w="1933" w:type="dxa"/>
            <w:gridSpan w:val="2"/>
            <w:tcBorders>
              <w:left w:val="single" w:sz="4" w:space="0" w:color="auto"/>
              <w:bottom w:val="single" w:sz="4" w:space="0" w:color="auto"/>
              <w:right w:val="single" w:sz="4" w:space="0" w:color="auto"/>
            </w:tcBorders>
          </w:tcPr>
          <w:p w:rsidR="000F62FD" w:rsidRPr="00E532FA" w:rsidRDefault="000F62FD" w:rsidP="003F2313">
            <w:pPr>
              <w:jc w:val="both"/>
              <w:rPr>
                <w:i/>
              </w:rPr>
            </w:pPr>
          </w:p>
        </w:tc>
        <w:tc>
          <w:tcPr>
            <w:tcW w:w="2037" w:type="dxa"/>
            <w:gridSpan w:val="3"/>
            <w:tcBorders>
              <w:left w:val="single" w:sz="4" w:space="0" w:color="auto"/>
              <w:bottom w:val="single" w:sz="4" w:space="0" w:color="auto"/>
            </w:tcBorders>
          </w:tcPr>
          <w:p w:rsidR="000F62FD" w:rsidRPr="00E532FA" w:rsidRDefault="000F62FD" w:rsidP="005F15E2">
            <w:pPr>
              <w:jc w:val="both"/>
              <w:rPr>
                <w:i/>
              </w:rPr>
            </w:pPr>
          </w:p>
        </w:tc>
      </w:tr>
      <w:tr w:rsidR="000F62FD" w:rsidRPr="00FB036F" w:rsidTr="003220F9">
        <w:tc>
          <w:tcPr>
            <w:tcW w:w="655" w:type="dxa"/>
            <w:gridSpan w:val="2"/>
            <w:tcBorders>
              <w:top w:val="single" w:sz="6" w:space="0" w:color="000000"/>
              <w:left w:val="single" w:sz="6" w:space="0" w:color="000000"/>
              <w:bottom w:val="single" w:sz="6" w:space="0" w:color="000000"/>
              <w:right w:val="single" w:sz="6" w:space="0" w:color="000000"/>
            </w:tcBorders>
          </w:tcPr>
          <w:p w:rsidR="000F62FD" w:rsidRPr="00FB036F" w:rsidRDefault="000F62FD" w:rsidP="003220F9">
            <w:pPr>
              <w:pStyle w:val="naisc"/>
              <w:spacing w:before="0" w:after="0"/>
              <w:ind w:left="446"/>
              <w:jc w:val="left"/>
            </w:pPr>
          </w:p>
        </w:tc>
        <w:tc>
          <w:tcPr>
            <w:tcW w:w="2435" w:type="dxa"/>
            <w:tcBorders>
              <w:left w:val="single" w:sz="6" w:space="0" w:color="000000"/>
              <w:bottom w:val="single" w:sz="6" w:space="0" w:color="000000"/>
              <w:right w:val="single" w:sz="6" w:space="0" w:color="000000"/>
            </w:tcBorders>
          </w:tcPr>
          <w:p w:rsidR="000F62FD" w:rsidRPr="00E532FA" w:rsidRDefault="000F62FD" w:rsidP="003F2313">
            <w:pPr>
              <w:rPr>
                <w:i/>
              </w:rPr>
            </w:pP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rsidR="000F62FD" w:rsidRPr="007339AC" w:rsidRDefault="000F62FD" w:rsidP="003F2313">
            <w:pPr>
              <w:jc w:val="both"/>
            </w:pP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7F86" w:rsidRPr="007E0A62" w:rsidRDefault="006B7F86" w:rsidP="006B7F86">
            <w:pPr>
              <w:pStyle w:val="tv213tvp"/>
              <w:spacing w:before="0" w:beforeAutospacing="0" w:after="0" w:afterAutospacing="0"/>
              <w:jc w:val="both"/>
              <w:rPr>
                <w:rFonts w:eastAsia="Times New Roman"/>
                <w:b/>
                <w:lang w:val="lv-LV" w:eastAsia="lv-LV"/>
              </w:rPr>
            </w:pPr>
          </w:p>
        </w:tc>
        <w:tc>
          <w:tcPr>
            <w:tcW w:w="1933" w:type="dxa"/>
            <w:gridSpan w:val="2"/>
            <w:tcBorders>
              <w:left w:val="single" w:sz="4" w:space="0" w:color="auto"/>
              <w:bottom w:val="single" w:sz="4" w:space="0" w:color="auto"/>
              <w:right w:val="single" w:sz="4" w:space="0" w:color="auto"/>
            </w:tcBorders>
          </w:tcPr>
          <w:p w:rsidR="000F62FD" w:rsidRPr="00E532FA" w:rsidRDefault="000F62FD" w:rsidP="003F2313">
            <w:pPr>
              <w:rPr>
                <w:i/>
              </w:rPr>
            </w:pPr>
          </w:p>
        </w:tc>
        <w:tc>
          <w:tcPr>
            <w:tcW w:w="2037" w:type="dxa"/>
            <w:gridSpan w:val="3"/>
            <w:tcBorders>
              <w:left w:val="single" w:sz="4" w:space="0" w:color="auto"/>
              <w:bottom w:val="single" w:sz="4" w:space="0" w:color="auto"/>
            </w:tcBorders>
          </w:tcPr>
          <w:p w:rsidR="000F62FD" w:rsidRPr="00E532FA" w:rsidRDefault="000F62FD" w:rsidP="007E0A62">
            <w:pPr>
              <w:rPr>
                <w:i/>
              </w:rPr>
            </w:pPr>
          </w:p>
        </w:tc>
      </w:tr>
      <w:tr w:rsidR="000F62FD" w:rsidRPr="00FB036F" w:rsidTr="003220F9">
        <w:tblPrEx>
          <w:tblBorders>
            <w:top w:val="none" w:sz="0" w:space="0" w:color="auto"/>
            <w:left w:val="none" w:sz="0" w:space="0" w:color="auto"/>
            <w:bottom w:val="none" w:sz="0" w:space="0" w:color="auto"/>
            <w:right w:val="none" w:sz="0" w:space="0" w:color="auto"/>
          </w:tblBorders>
        </w:tblPrEx>
        <w:trPr>
          <w:gridAfter w:val="1"/>
          <w:wAfter w:w="27" w:type="dxa"/>
        </w:trPr>
        <w:tc>
          <w:tcPr>
            <w:tcW w:w="3133" w:type="dxa"/>
            <w:gridSpan w:val="4"/>
          </w:tcPr>
          <w:p w:rsidR="000F62FD" w:rsidRPr="00FB036F" w:rsidRDefault="000F62FD" w:rsidP="003F2313">
            <w:pPr>
              <w:pStyle w:val="naiskr"/>
              <w:spacing w:before="0" w:after="0"/>
              <w:jc w:val="center"/>
            </w:pPr>
          </w:p>
        </w:tc>
        <w:tc>
          <w:tcPr>
            <w:tcW w:w="5101" w:type="dxa"/>
            <w:gridSpan w:val="3"/>
          </w:tcPr>
          <w:p w:rsidR="000F62FD" w:rsidRPr="00FB036F" w:rsidRDefault="000F62FD" w:rsidP="003F2313">
            <w:pPr>
              <w:pStyle w:val="naiskr"/>
              <w:spacing w:before="0" w:after="0"/>
              <w:jc w:val="center"/>
            </w:pPr>
          </w:p>
        </w:tc>
        <w:tc>
          <w:tcPr>
            <w:tcW w:w="2617" w:type="dxa"/>
            <w:gridSpan w:val="2"/>
          </w:tcPr>
          <w:p w:rsidR="000F62FD" w:rsidRPr="00FB036F" w:rsidRDefault="000F62FD" w:rsidP="003F2313"/>
        </w:tc>
        <w:tc>
          <w:tcPr>
            <w:tcW w:w="3269" w:type="dxa"/>
            <w:gridSpan w:val="3"/>
          </w:tcPr>
          <w:p w:rsidR="000F62FD" w:rsidRPr="00FB036F" w:rsidRDefault="000F62FD" w:rsidP="003F2313"/>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E87D7E" w:rsidP="00E87D7E">
            <w:pPr>
              <w:pStyle w:val="naisf"/>
              <w:spacing w:before="0" w:after="0"/>
              <w:ind w:firstLine="0"/>
            </w:pPr>
            <w:r>
              <w:t xml:space="preserve">Saskaņošanas sanāksme: </w:t>
            </w:r>
          </w:p>
        </w:tc>
        <w:tc>
          <w:tcPr>
            <w:tcW w:w="7830" w:type="dxa"/>
            <w:gridSpan w:val="6"/>
          </w:tcPr>
          <w:p w:rsidR="00FB68BD" w:rsidRPr="00E87D7E" w:rsidRDefault="00B15B72" w:rsidP="00556E83">
            <w:pPr>
              <w:pStyle w:val="NormalWeb"/>
              <w:spacing w:before="0" w:beforeAutospacing="0" w:after="0" w:afterAutospacing="0"/>
            </w:pPr>
            <w:r>
              <w:t>13</w:t>
            </w:r>
            <w:r w:rsidR="00957F8F">
              <w:t>.11</w:t>
            </w:r>
            <w:r w:rsidR="00E87D7E" w:rsidRPr="00E87D7E">
              <w:t>.201</w:t>
            </w:r>
            <w:r w:rsidR="00957F8F">
              <w:t>8</w:t>
            </w:r>
            <w:r w:rsidR="00E87D7E" w:rsidRPr="00E87D7E">
              <w:t>.plkst.</w:t>
            </w:r>
            <w:r w:rsidR="00556E83">
              <w:t xml:space="preserve"> 9</w:t>
            </w:r>
            <w:r w:rsidR="00E87D7E" w:rsidRPr="00E87D7E">
              <w:t>.00</w:t>
            </w:r>
            <w:r w:rsidR="00E87D7E">
              <w:t>, Iekšlietu ministrija</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FB68BD" w:rsidP="00EC4985">
            <w:pPr>
              <w:pStyle w:val="naisf"/>
              <w:spacing w:before="0" w:after="0"/>
              <w:ind w:firstLine="0"/>
            </w:pPr>
          </w:p>
        </w:tc>
        <w:tc>
          <w:tcPr>
            <w:tcW w:w="7830" w:type="dxa"/>
            <w:gridSpan w:val="6"/>
          </w:tcPr>
          <w:p w:rsidR="00FB68BD" w:rsidRPr="00FB036F" w:rsidRDefault="00FB68BD" w:rsidP="003B1B5D">
            <w:pPr>
              <w:pStyle w:val="NormalWeb"/>
              <w:spacing w:before="0" w:beforeAutospacing="0" w:after="0" w:afterAutospacing="0"/>
            </w:pP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FB68BD" w:rsidP="00EC4985">
            <w:pPr>
              <w:pStyle w:val="naiskr"/>
              <w:spacing w:before="0" w:after="0"/>
            </w:pPr>
            <w:r w:rsidRPr="00FB036F">
              <w:t>Saskaņošanas dalībnieki</w:t>
            </w:r>
          </w:p>
        </w:tc>
        <w:tc>
          <w:tcPr>
            <w:tcW w:w="7830" w:type="dxa"/>
            <w:gridSpan w:val="6"/>
          </w:tcPr>
          <w:p w:rsidR="00FB68BD" w:rsidRPr="00FB036F" w:rsidRDefault="005F5C7A" w:rsidP="00F00A89">
            <w:pPr>
              <w:pStyle w:val="NormalWeb"/>
              <w:spacing w:before="0" w:beforeAutospacing="0" w:after="0" w:afterAutospacing="0"/>
            </w:pPr>
            <w:r>
              <w:t>Tieslietu ministrija</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FB68BD" w:rsidP="00EC4985">
            <w:pPr>
              <w:pStyle w:val="naiskr"/>
              <w:spacing w:before="0" w:after="0"/>
              <w:ind w:firstLine="720"/>
            </w:pPr>
          </w:p>
        </w:tc>
        <w:tc>
          <w:tcPr>
            <w:tcW w:w="7830" w:type="dxa"/>
            <w:gridSpan w:val="6"/>
            <w:tcBorders>
              <w:top w:val="single" w:sz="6" w:space="0" w:color="000000"/>
              <w:bottom w:val="single" w:sz="6" w:space="0" w:color="000000"/>
            </w:tcBorders>
          </w:tcPr>
          <w:p w:rsidR="00FB68BD" w:rsidRPr="00FB036F" w:rsidRDefault="005F5C7A" w:rsidP="007E396C">
            <w:pPr>
              <w:pStyle w:val="naiskr"/>
              <w:spacing w:before="0" w:after="0"/>
              <w:jc w:val="both"/>
            </w:pPr>
            <w:r>
              <w:t>Izglītības un zinātnes ministrija</w:t>
            </w:r>
            <w:r w:rsidR="00504D1C" w:rsidRPr="00FB036F">
              <w:t xml:space="preserve"> </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504D1C" w:rsidRPr="00FB036F" w:rsidRDefault="00504D1C" w:rsidP="00EC4985">
            <w:pPr>
              <w:pStyle w:val="naiskr"/>
              <w:spacing w:before="0" w:after="0"/>
              <w:ind w:firstLine="720"/>
            </w:pPr>
          </w:p>
        </w:tc>
        <w:tc>
          <w:tcPr>
            <w:tcW w:w="7830" w:type="dxa"/>
            <w:gridSpan w:val="6"/>
            <w:tcBorders>
              <w:top w:val="single" w:sz="6" w:space="0" w:color="000000"/>
              <w:bottom w:val="single" w:sz="6" w:space="0" w:color="000000"/>
            </w:tcBorders>
          </w:tcPr>
          <w:p w:rsidR="00504D1C" w:rsidRPr="00FB036F" w:rsidRDefault="005F5C7A" w:rsidP="007E396C">
            <w:pPr>
              <w:pStyle w:val="naiskr"/>
              <w:spacing w:before="0" w:after="0"/>
              <w:jc w:val="both"/>
            </w:pPr>
            <w:r>
              <w:t>Finanšu ministrija</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7E396C" w:rsidRPr="00FB036F" w:rsidRDefault="007E396C" w:rsidP="00EC4985">
            <w:pPr>
              <w:pStyle w:val="naiskr"/>
              <w:spacing w:before="0" w:after="0"/>
              <w:ind w:firstLine="720"/>
            </w:pPr>
          </w:p>
        </w:tc>
        <w:tc>
          <w:tcPr>
            <w:tcW w:w="7830" w:type="dxa"/>
            <w:gridSpan w:val="6"/>
            <w:tcBorders>
              <w:top w:val="single" w:sz="6" w:space="0" w:color="000000"/>
              <w:bottom w:val="single" w:sz="6" w:space="0" w:color="000000"/>
            </w:tcBorders>
          </w:tcPr>
          <w:p w:rsidR="007E396C" w:rsidRPr="00FB036F" w:rsidRDefault="007E396C" w:rsidP="005F36EA">
            <w:pPr>
              <w:pStyle w:val="naiskr"/>
              <w:spacing w:before="0" w:after="0"/>
              <w:jc w:val="both"/>
            </w:pPr>
          </w:p>
        </w:tc>
      </w:tr>
    </w:tbl>
    <w:p w:rsidR="00FB68BD" w:rsidRDefault="00FB68BD" w:rsidP="00FB68BD"/>
    <w:tbl>
      <w:tblPr>
        <w:tblW w:w="22539" w:type="dxa"/>
        <w:tblLook w:val="00A0" w:firstRow="1" w:lastRow="0" w:firstColumn="1" w:lastColumn="0" w:noHBand="0" w:noVBand="0"/>
      </w:tblPr>
      <w:tblGrid>
        <w:gridCol w:w="14175"/>
        <w:gridCol w:w="236"/>
        <w:gridCol w:w="8128"/>
      </w:tblGrid>
      <w:tr w:rsidR="00FB036F" w:rsidRPr="00FB036F" w:rsidTr="005919A5">
        <w:trPr>
          <w:trHeight w:val="285"/>
        </w:trPr>
        <w:tc>
          <w:tcPr>
            <w:tcW w:w="14175" w:type="dxa"/>
          </w:tcPr>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D9524B" w:rsidTr="001801C2">
              <w:trPr>
                <w:trHeight w:val="285"/>
              </w:trPr>
              <w:tc>
                <w:tcPr>
                  <w:tcW w:w="6345" w:type="dxa"/>
                </w:tcPr>
                <w:p w:rsidR="0044472B" w:rsidRPr="00D9524B" w:rsidRDefault="0044472B" w:rsidP="0044472B">
                  <w:pPr>
                    <w:pStyle w:val="naisf"/>
                    <w:ind w:firstLine="284"/>
                  </w:pPr>
                  <w:r w:rsidRPr="00D9524B">
                    <w:t>Saskaņošanas dalībnieki izskatīja šādu ministriju (citu institūciju) iebildumus</w:t>
                  </w:r>
                </w:p>
              </w:tc>
              <w:tc>
                <w:tcPr>
                  <w:tcW w:w="6237" w:type="dxa"/>
                  <w:tcBorders>
                    <w:bottom w:val="single" w:sz="4" w:space="0" w:color="auto"/>
                  </w:tcBorders>
                </w:tcPr>
                <w:p w:rsidR="0044472B" w:rsidRPr="00D9524B" w:rsidRDefault="001801C2" w:rsidP="001B24F4">
                  <w:pPr>
                    <w:pStyle w:val="naisf"/>
                    <w:ind w:firstLine="0"/>
                  </w:pPr>
                  <w:r w:rsidRPr="001801C2">
                    <w:t>Izgl</w:t>
                  </w:r>
                  <w:r w:rsidR="001B24F4">
                    <w:t>ītības un zinātnes ministrijas</w:t>
                  </w:r>
                </w:p>
              </w:tc>
            </w:tr>
          </w:tbl>
          <w:p w:rsidR="00FB68BD" w:rsidRPr="00FB036F" w:rsidRDefault="00FB68BD" w:rsidP="005F5C7A">
            <w:pPr>
              <w:pStyle w:val="naiskr"/>
              <w:spacing w:before="0" w:after="0"/>
            </w:pPr>
          </w:p>
        </w:tc>
        <w:tc>
          <w:tcPr>
            <w:tcW w:w="236" w:type="dxa"/>
          </w:tcPr>
          <w:p w:rsidR="00FB68BD" w:rsidRPr="00FB036F" w:rsidRDefault="00FB68BD" w:rsidP="00EC4985">
            <w:pPr>
              <w:pStyle w:val="naiskr"/>
              <w:spacing w:before="0" w:after="0"/>
              <w:ind w:firstLine="720"/>
            </w:pPr>
          </w:p>
        </w:tc>
        <w:tc>
          <w:tcPr>
            <w:tcW w:w="8128" w:type="dxa"/>
          </w:tcPr>
          <w:p w:rsidR="00FB68BD" w:rsidRPr="00FB036F" w:rsidRDefault="00FB68BD" w:rsidP="005F36EA">
            <w:pPr>
              <w:pStyle w:val="naiskr"/>
              <w:spacing w:before="0" w:after="0"/>
            </w:pPr>
          </w:p>
        </w:tc>
      </w:tr>
      <w:tr w:rsidR="00FB036F" w:rsidRPr="00FB036F" w:rsidTr="005919A5">
        <w:trPr>
          <w:trHeight w:val="465"/>
        </w:trPr>
        <w:tc>
          <w:tcPr>
            <w:tcW w:w="22539" w:type="dxa"/>
            <w:gridSpan w:val="3"/>
          </w:tcPr>
          <w:p w:rsidR="00FB68BD" w:rsidRPr="00FB036F" w:rsidRDefault="00FB68BD" w:rsidP="00EC4985">
            <w:pPr>
              <w:pStyle w:val="naisc"/>
              <w:spacing w:before="0" w:after="0"/>
              <w:ind w:left="4820" w:firstLine="720"/>
            </w:pPr>
          </w:p>
        </w:tc>
      </w:tr>
      <w:tr w:rsidR="00FB68BD" w:rsidRPr="00FB036F" w:rsidTr="005919A5">
        <w:tc>
          <w:tcPr>
            <w:tcW w:w="14175" w:type="dxa"/>
          </w:tcPr>
          <w:p w:rsidR="00FB68BD" w:rsidRPr="00FB036F" w:rsidRDefault="00FB68BD" w:rsidP="00EC4985">
            <w:pPr>
              <w:pStyle w:val="naiskr"/>
              <w:spacing w:before="0" w:after="0"/>
            </w:pPr>
          </w:p>
        </w:tc>
        <w:tc>
          <w:tcPr>
            <w:tcW w:w="8364" w:type="dxa"/>
            <w:gridSpan w:val="2"/>
          </w:tcPr>
          <w:p w:rsidR="00FB68BD" w:rsidRPr="00FB036F" w:rsidRDefault="00FB68BD" w:rsidP="00B14537">
            <w:pPr>
              <w:pStyle w:val="naiskr"/>
              <w:spacing w:before="0" w:after="0"/>
              <w:jc w:val="center"/>
              <w:rPr>
                <w:highlight w:val="yellow"/>
              </w:rPr>
            </w:pPr>
          </w:p>
        </w:tc>
      </w:tr>
    </w:tbl>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44472B" w:rsidTr="0044472B">
        <w:tc>
          <w:tcPr>
            <w:tcW w:w="6345" w:type="dxa"/>
          </w:tcPr>
          <w:p w:rsidR="0044472B" w:rsidRPr="0044472B" w:rsidRDefault="0044472B" w:rsidP="0044472B">
            <w:pPr>
              <w:spacing w:before="75" w:after="75"/>
              <w:ind w:firstLine="284"/>
              <w:jc w:val="both"/>
            </w:pPr>
            <w:r w:rsidRPr="0044472B">
              <w:t>Ministrijas (citas institūcijas), kuras nav ieradušās uz sanāksmi vai kuras nav atbildējušas uz uzaicinājumu piedalīties elektroniskajā saskaņošanā</w:t>
            </w:r>
          </w:p>
        </w:tc>
        <w:tc>
          <w:tcPr>
            <w:tcW w:w="6237" w:type="dxa"/>
            <w:tcBorders>
              <w:top w:val="single" w:sz="6" w:space="0" w:color="000000"/>
              <w:bottom w:val="single" w:sz="6" w:space="0" w:color="000000"/>
            </w:tcBorders>
          </w:tcPr>
          <w:p w:rsidR="0044472B" w:rsidRPr="0044472B" w:rsidRDefault="001B24F4" w:rsidP="0044472B">
            <w:pPr>
              <w:spacing w:before="75" w:after="75"/>
              <w:jc w:val="both"/>
            </w:pPr>
            <w:r>
              <w:t>Tieslietu ministrija,</w:t>
            </w:r>
            <w:proofErr w:type="gramStart"/>
            <w:r>
              <w:t xml:space="preserve"> </w:t>
            </w:r>
            <w:r w:rsidRPr="001801C2">
              <w:t xml:space="preserve"> </w:t>
            </w:r>
            <w:proofErr w:type="gramEnd"/>
            <w:r>
              <w:t>Finanšu ministrija</w:t>
            </w:r>
          </w:p>
        </w:tc>
      </w:tr>
    </w:tbl>
    <w:p w:rsidR="002900AB" w:rsidRDefault="002900AB" w:rsidP="005F5C7A">
      <w:pPr>
        <w:pStyle w:val="naisf"/>
        <w:spacing w:before="0" w:after="0"/>
        <w:ind w:firstLine="0"/>
        <w:jc w:val="center"/>
        <w:rPr>
          <w:rFonts w:eastAsia="SimSun"/>
          <w:lang w:eastAsia="zh-CN" w:bidi="he-IL"/>
        </w:rPr>
      </w:pPr>
    </w:p>
    <w:p w:rsidR="001801C2" w:rsidRDefault="001801C2" w:rsidP="005F5C7A">
      <w:pPr>
        <w:pStyle w:val="naisf"/>
        <w:spacing w:before="0" w:after="0"/>
        <w:ind w:firstLine="0"/>
        <w:jc w:val="center"/>
        <w:rPr>
          <w:rFonts w:eastAsia="SimSun"/>
          <w:lang w:eastAsia="zh-CN" w:bidi="he-IL"/>
        </w:rPr>
      </w:pPr>
    </w:p>
    <w:p w:rsidR="001801C2" w:rsidRDefault="001801C2" w:rsidP="005F5C7A">
      <w:pPr>
        <w:pStyle w:val="naisf"/>
        <w:spacing w:before="0" w:after="0"/>
        <w:ind w:firstLine="0"/>
        <w:jc w:val="center"/>
        <w:rPr>
          <w:rFonts w:eastAsia="SimSun"/>
          <w:lang w:eastAsia="zh-CN" w:bidi="he-IL"/>
        </w:rPr>
      </w:pPr>
    </w:p>
    <w:p w:rsidR="001801C2" w:rsidRDefault="001801C2" w:rsidP="005F5C7A">
      <w:pPr>
        <w:pStyle w:val="naisf"/>
        <w:spacing w:before="0" w:after="0"/>
        <w:ind w:firstLine="0"/>
        <w:jc w:val="center"/>
        <w:rPr>
          <w:rFonts w:eastAsia="SimSun"/>
          <w:lang w:eastAsia="zh-CN" w:bidi="he-IL"/>
        </w:rPr>
      </w:pPr>
    </w:p>
    <w:p w:rsidR="007113DF" w:rsidRDefault="007113DF" w:rsidP="001801C2">
      <w:pPr>
        <w:jc w:val="center"/>
        <w:rPr>
          <w:b/>
        </w:rPr>
      </w:pPr>
    </w:p>
    <w:p w:rsidR="001801C2" w:rsidRPr="001801C2" w:rsidRDefault="001801C2" w:rsidP="001801C2">
      <w:pPr>
        <w:jc w:val="center"/>
        <w:rPr>
          <w:b/>
        </w:rPr>
      </w:pPr>
      <w:r w:rsidRPr="001801C2">
        <w:rPr>
          <w:b/>
        </w:rPr>
        <w:lastRenderedPageBreak/>
        <w:t>II. Jautājumi, par kuriem saskaņošanā vienošanās ir panākta</w:t>
      </w:r>
    </w:p>
    <w:p w:rsidR="001801C2" w:rsidRPr="001801C2" w:rsidRDefault="001801C2" w:rsidP="001801C2">
      <w:pPr>
        <w:jc w:val="both"/>
      </w:pPr>
    </w:p>
    <w:tbl>
      <w:tblPr>
        <w:tblW w:w="14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112"/>
        <w:gridCol w:w="3260"/>
        <w:gridCol w:w="4110"/>
        <w:gridCol w:w="2986"/>
      </w:tblGrid>
      <w:tr w:rsidR="001801C2" w:rsidRPr="001801C2" w:rsidTr="00DA6361">
        <w:tc>
          <w:tcPr>
            <w:tcW w:w="708" w:type="dxa"/>
            <w:tcBorders>
              <w:top w:val="single" w:sz="4" w:space="0" w:color="auto"/>
              <w:left w:val="single" w:sz="4" w:space="0" w:color="auto"/>
              <w:bottom w:val="single" w:sz="4" w:space="0" w:color="auto"/>
              <w:right w:val="single" w:sz="6" w:space="0" w:color="000000"/>
            </w:tcBorders>
            <w:vAlign w:val="center"/>
          </w:tcPr>
          <w:p w:rsidR="001801C2" w:rsidRPr="001801C2" w:rsidRDefault="001801C2" w:rsidP="001801C2">
            <w:pPr>
              <w:jc w:val="center"/>
            </w:pPr>
            <w:r w:rsidRPr="001801C2">
              <w:t>Nr. p.k.</w:t>
            </w:r>
          </w:p>
        </w:tc>
        <w:tc>
          <w:tcPr>
            <w:tcW w:w="3112" w:type="dxa"/>
            <w:tcBorders>
              <w:top w:val="single" w:sz="4" w:space="0" w:color="auto"/>
              <w:left w:val="single" w:sz="6" w:space="0" w:color="000000"/>
              <w:bottom w:val="single" w:sz="4" w:space="0" w:color="auto"/>
              <w:right w:val="single" w:sz="6" w:space="0" w:color="000000"/>
            </w:tcBorders>
            <w:vAlign w:val="center"/>
          </w:tcPr>
          <w:p w:rsidR="001801C2" w:rsidRPr="001801C2" w:rsidRDefault="001801C2" w:rsidP="001801C2">
            <w:pPr>
              <w:jc w:val="center"/>
            </w:pPr>
            <w:r w:rsidRPr="001801C2">
              <w:t>Saskaņošanai nosūtītā projekta redakcija (konkrēta punkta (panta) redakcija)</w:t>
            </w:r>
          </w:p>
        </w:tc>
        <w:tc>
          <w:tcPr>
            <w:tcW w:w="3260" w:type="dxa"/>
            <w:tcBorders>
              <w:top w:val="single" w:sz="4" w:space="0" w:color="auto"/>
              <w:left w:val="single" w:sz="6" w:space="0" w:color="000000"/>
              <w:bottom w:val="single" w:sz="4" w:space="0" w:color="auto"/>
              <w:right w:val="single" w:sz="6" w:space="0" w:color="000000"/>
            </w:tcBorders>
            <w:vAlign w:val="center"/>
          </w:tcPr>
          <w:p w:rsidR="001801C2" w:rsidRPr="001801C2" w:rsidRDefault="001801C2" w:rsidP="001801C2">
            <w:pPr>
              <w:ind w:right="3"/>
              <w:jc w:val="center"/>
            </w:pPr>
            <w:r w:rsidRPr="001801C2">
              <w:t>Atzinumā norādītais ministrijas (citas institūcijas) iebildums, kā arī saskaņošanā papildus izteiktais iebildums par projekta konkrēto punktu (pantu)</w:t>
            </w:r>
          </w:p>
        </w:tc>
        <w:tc>
          <w:tcPr>
            <w:tcW w:w="4110" w:type="dxa"/>
            <w:tcBorders>
              <w:top w:val="single" w:sz="4" w:space="0" w:color="auto"/>
              <w:left w:val="single" w:sz="6" w:space="0" w:color="000000"/>
              <w:bottom w:val="single" w:sz="4" w:space="0" w:color="auto"/>
              <w:right w:val="single" w:sz="6" w:space="0" w:color="000000"/>
            </w:tcBorders>
            <w:vAlign w:val="center"/>
          </w:tcPr>
          <w:p w:rsidR="001801C2" w:rsidRPr="001801C2" w:rsidRDefault="001801C2" w:rsidP="001801C2">
            <w:pPr>
              <w:jc w:val="center"/>
            </w:pPr>
            <w:r w:rsidRPr="001801C2">
              <w:t>Atbildīgās ministrijas norāde par to, ka iebildums ir ņemts vērā, vai informācija par saskaņošanā panākto alternatīvo risinājumu</w:t>
            </w:r>
          </w:p>
        </w:tc>
        <w:tc>
          <w:tcPr>
            <w:tcW w:w="2986" w:type="dxa"/>
            <w:tcBorders>
              <w:top w:val="single" w:sz="4" w:space="0" w:color="auto"/>
              <w:left w:val="single" w:sz="4" w:space="0" w:color="auto"/>
              <w:bottom w:val="single" w:sz="4" w:space="0" w:color="auto"/>
            </w:tcBorders>
            <w:vAlign w:val="center"/>
          </w:tcPr>
          <w:p w:rsidR="001801C2" w:rsidRPr="001801C2" w:rsidRDefault="001801C2" w:rsidP="001801C2">
            <w:pPr>
              <w:jc w:val="center"/>
            </w:pPr>
            <w:r w:rsidRPr="001801C2">
              <w:t>Projekta attiecīgā punkta (panta) galīgā redakcija</w:t>
            </w:r>
          </w:p>
        </w:tc>
      </w:tr>
      <w:tr w:rsidR="001801C2" w:rsidRPr="001801C2" w:rsidTr="00DA6361">
        <w:tc>
          <w:tcPr>
            <w:tcW w:w="708"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1</w:t>
            </w:r>
          </w:p>
        </w:tc>
        <w:tc>
          <w:tcPr>
            <w:tcW w:w="3112"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2</w:t>
            </w:r>
          </w:p>
        </w:tc>
        <w:tc>
          <w:tcPr>
            <w:tcW w:w="3260"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3</w:t>
            </w:r>
          </w:p>
        </w:tc>
        <w:tc>
          <w:tcPr>
            <w:tcW w:w="4110"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4</w:t>
            </w:r>
          </w:p>
        </w:tc>
        <w:tc>
          <w:tcPr>
            <w:tcW w:w="2986" w:type="dxa"/>
            <w:tcBorders>
              <w:top w:val="single" w:sz="4" w:space="0" w:color="auto"/>
              <w:left w:val="single" w:sz="4" w:space="0" w:color="auto"/>
              <w:bottom w:val="single" w:sz="4" w:space="0" w:color="auto"/>
            </w:tcBorders>
          </w:tcPr>
          <w:p w:rsidR="001801C2" w:rsidRPr="001801C2" w:rsidRDefault="001801C2" w:rsidP="001801C2">
            <w:pPr>
              <w:jc w:val="center"/>
            </w:pPr>
            <w:r w:rsidRPr="001801C2">
              <w:t>5</w:t>
            </w:r>
          </w:p>
        </w:tc>
      </w:tr>
      <w:tr w:rsidR="008273D6" w:rsidRPr="001801C2" w:rsidTr="00C64E73">
        <w:tc>
          <w:tcPr>
            <w:tcW w:w="708" w:type="dxa"/>
            <w:tcBorders>
              <w:top w:val="single" w:sz="6" w:space="0" w:color="000000"/>
              <w:left w:val="single" w:sz="6" w:space="0" w:color="000000"/>
              <w:bottom w:val="single" w:sz="6" w:space="0" w:color="000000"/>
              <w:right w:val="single" w:sz="6" w:space="0" w:color="000000"/>
            </w:tcBorders>
          </w:tcPr>
          <w:p w:rsidR="008273D6" w:rsidRDefault="008273D6" w:rsidP="008273D6">
            <w:pPr>
              <w:pStyle w:val="naisc"/>
              <w:numPr>
                <w:ilvl w:val="0"/>
                <w:numId w:val="37"/>
              </w:numPr>
              <w:spacing w:before="0" w:after="0"/>
              <w:jc w:val="left"/>
            </w:pPr>
          </w:p>
        </w:tc>
        <w:tc>
          <w:tcPr>
            <w:tcW w:w="3112" w:type="dxa"/>
            <w:tcBorders>
              <w:top w:val="single" w:sz="6" w:space="0" w:color="000000"/>
              <w:left w:val="single" w:sz="6" w:space="0" w:color="000000"/>
              <w:bottom w:val="single" w:sz="6" w:space="0" w:color="000000"/>
              <w:right w:val="single" w:sz="6" w:space="0" w:color="000000"/>
            </w:tcBorders>
          </w:tcPr>
          <w:p w:rsidR="008273D6" w:rsidRDefault="008273D6" w:rsidP="008273D6">
            <w:pPr>
              <w:pStyle w:val="naisc"/>
              <w:spacing w:before="0" w:after="0"/>
              <w:ind w:firstLine="12"/>
              <w:jc w:val="both"/>
              <w:rPr>
                <w:i/>
              </w:rPr>
            </w:pPr>
            <w:r w:rsidRPr="005F5C7A">
              <w:rPr>
                <w:i/>
              </w:rPr>
              <w:t>Projekts:</w:t>
            </w:r>
          </w:p>
          <w:p w:rsidR="008273D6" w:rsidRPr="009D76B1" w:rsidRDefault="008273D6" w:rsidP="009D76B1">
            <w:pPr>
              <w:pStyle w:val="naisc"/>
              <w:numPr>
                <w:ilvl w:val="0"/>
                <w:numId w:val="32"/>
              </w:numPr>
              <w:spacing w:before="0" w:after="0"/>
              <w:jc w:val="both"/>
              <w:rPr>
                <w:i/>
              </w:rPr>
            </w:pPr>
            <w:r w:rsidRPr="003D7B8F">
              <w:rPr>
                <w:rFonts w:eastAsia="Calibri"/>
                <w:lang w:eastAsia="en-US"/>
              </w:rPr>
              <w:t>universitāte (akadēmija) nosūta tiesībaizsardzības iestādēm imatrikulācijas, eksmatrikulācijas un studiju pārtraukumu rīkojumu kopijas; universitāte (akadēmija) elektroniski tiesībaizsardzības iestādēm iesniedz apkopojumu (pārskatu) par studējošo apmekl</w:t>
            </w:r>
            <w:r w:rsidR="009D76B1">
              <w:rPr>
                <w:rFonts w:eastAsia="Calibri"/>
                <w:lang w:eastAsia="en-US"/>
              </w:rPr>
              <w:t>ējumu kārtējā mēnesī un sekmību;</w:t>
            </w:r>
          </w:p>
          <w:p w:rsidR="009D76B1" w:rsidRPr="009D76B1" w:rsidRDefault="009D76B1" w:rsidP="009D76B1">
            <w:pPr>
              <w:pStyle w:val="ListParagraph"/>
              <w:numPr>
                <w:ilvl w:val="0"/>
                <w:numId w:val="32"/>
              </w:numPr>
              <w:spacing w:after="0" w:line="240" w:lineRule="auto"/>
              <w:jc w:val="both"/>
              <w:rPr>
                <w:rFonts w:ascii="Times New Roman" w:hAnsi="Times New Roman"/>
                <w:sz w:val="24"/>
                <w:szCs w:val="24"/>
              </w:rPr>
            </w:pPr>
            <w:r w:rsidRPr="009D76B1">
              <w:rPr>
                <w:rFonts w:ascii="Times New Roman" w:hAnsi="Times New Roman"/>
                <w:sz w:val="24"/>
                <w:szCs w:val="24"/>
              </w:rPr>
              <w:t xml:space="preserve">universitāte (akadēmija) elektroniski tiesībaizsardzības iestādēm iesniedz apkopojumu (pārskatu) par studējošo apmeklējumu kārtējā </w:t>
            </w:r>
            <w:r w:rsidR="009C39B6">
              <w:rPr>
                <w:rFonts w:ascii="Times New Roman" w:hAnsi="Times New Roman"/>
                <w:sz w:val="24"/>
                <w:szCs w:val="24"/>
              </w:rPr>
              <w:t>mēnesī un sekmību.</w:t>
            </w:r>
          </w:p>
          <w:p w:rsidR="009D76B1" w:rsidRPr="005F5C7A" w:rsidRDefault="009D76B1" w:rsidP="009D76B1">
            <w:pPr>
              <w:pStyle w:val="naisc"/>
              <w:spacing w:before="0" w:after="0"/>
              <w:ind w:left="360"/>
              <w:jc w:val="both"/>
              <w:rPr>
                <w:i/>
              </w:rPr>
            </w:pPr>
          </w:p>
        </w:tc>
        <w:tc>
          <w:tcPr>
            <w:tcW w:w="3260" w:type="dxa"/>
            <w:tcBorders>
              <w:top w:val="single" w:sz="6" w:space="0" w:color="000000"/>
              <w:left w:val="single" w:sz="6" w:space="0" w:color="000000"/>
              <w:bottom w:val="single" w:sz="6" w:space="0" w:color="000000"/>
              <w:right w:val="single" w:sz="6" w:space="0" w:color="000000"/>
            </w:tcBorders>
          </w:tcPr>
          <w:p w:rsidR="008273D6" w:rsidRPr="003D7B8F" w:rsidRDefault="008273D6" w:rsidP="008273D6">
            <w:pPr>
              <w:widowControl w:val="0"/>
              <w:jc w:val="both"/>
              <w:rPr>
                <w:rFonts w:eastAsia="Calibri"/>
                <w:b/>
                <w:lang w:eastAsia="en-US"/>
              </w:rPr>
            </w:pPr>
            <w:r w:rsidRPr="003D7B8F">
              <w:rPr>
                <w:rFonts w:eastAsia="Calibri"/>
                <w:b/>
                <w:lang w:eastAsia="en-US"/>
              </w:rPr>
              <w:t>Tieslietu ministrij</w:t>
            </w:r>
            <w:r>
              <w:rPr>
                <w:rFonts w:eastAsia="Calibri"/>
                <w:b/>
                <w:lang w:eastAsia="en-US"/>
              </w:rPr>
              <w:t>a</w:t>
            </w:r>
          </w:p>
          <w:p w:rsidR="008273D6" w:rsidRPr="003D7B8F" w:rsidRDefault="008273D6" w:rsidP="008273D6">
            <w:pPr>
              <w:widowControl w:val="0"/>
              <w:jc w:val="both"/>
              <w:rPr>
                <w:rFonts w:eastAsia="Calibri"/>
                <w:lang w:eastAsia="en-US"/>
              </w:rPr>
            </w:pPr>
            <w:r w:rsidRPr="003D7B8F">
              <w:rPr>
                <w:rFonts w:eastAsia="Calibri"/>
                <w:lang w:eastAsia="en-US"/>
              </w:rPr>
              <w:t>Ne vienmēr personas augstākās izglītības iegūšanas process būtu jāsaista ar šīs personas dienestu (piemēram, it sevišķi, ja persona studē par personīgiem līdzekļiem ārpus darba laika), līdz ar to lūdzam atkārtoti izvērtēt šādu personas datu, t.sk., sensitīvo, apstrādes tiesisko pamatojumu.</w:t>
            </w:r>
          </w:p>
          <w:p w:rsidR="008273D6" w:rsidRPr="00FB036F" w:rsidRDefault="008273D6" w:rsidP="008273D6">
            <w:pPr>
              <w:jc w:val="both"/>
              <w:rPr>
                <w:b/>
              </w:rPr>
            </w:pPr>
          </w:p>
        </w:tc>
        <w:tc>
          <w:tcPr>
            <w:tcW w:w="4110" w:type="dxa"/>
            <w:tcBorders>
              <w:top w:val="single" w:sz="6" w:space="0" w:color="000000"/>
              <w:left w:val="single" w:sz="6" w:space="0" w:color="000000"/>
              <w:bottom w:val="single" w:sz="6" w:space="0" w:color="000000"/>
              <w:right w:val="single" w:sz="6" w:space="0" w:color="000000"/>
            </w:tcBorders>
          </w:tcPr>
          <w:p w:rsidR="008273D6" w:rsidRDefault="008273D6" w:rsidP="008273D6">
            <w:pPr>
              <w:ind w:firstLine="284"/>
              <w:jc w:val="both"/>
              <w:rPr>
                <w:b/>
              </w:rPr>
            </w:pPr>
            <w:r w:rsidRPr="003D7B8F">
              <w:rPr>
                <w:b/>
              </w:rPr>
              <w:t>Iebildums ņemts vērā.</w:t>
            </w:r>
          </w:p>
          <w:p w:rsidR="008273D6" w:rsidRDefault="008273D6" w:rsidP="008273D6">
            <w:pPr>
              <w:ind w:firstLine="284"/>
              <w:jc w:val="both"/>
            </w:pPr>
            <w:r>
              <w:t>Koncepcijas projekts precizēts un papildināts ar skaidrojumu.</w:t>
            </w:r>
          </w:p>
          <w:p w:rsidR="008273D6" w:rsidRPr="005C5BE4" w:rsidRDefault="008273D6" w:rsidP="009C39B6">
            <w:pPr>
              <w:ind w:firstLine="284"/>
              <w:jc w:val="both"/>
            </w:pPr>
            <w:r>
              <w:t xml:space="preserve">Prasība universitātei (akadēmijai) par imatrikulācijas, eksmatrikulācijas un studiju rīkojumu kopiju nosūtīšanu tiesībaizsardzības iestādei plānots attiecināt tikai uz studentiem, kuri studē par valsts budžeta līdzekļiem. Prasība ir pamatota ar to, ka ar studējošo </w:t>
            </w:r>
            <w:r w:rsidR="009C39B6">
              <w:t xml:space="preserve">pirms studijām </w:t>
            </w:r>
            <w:r>
              <w:t>tiks slēgta rakstiska vienošanās</w:t>
            </w:r>
            <w:r w:rsidR="009C39B6">
              <w:t xml:space="preserve"> </w:t>
            </w:r>
            <w:r>
              <w:t>par finanšu līdzekļu atmaksu</w:t>
            </w:r>
            <w:r w:rsidR="009C39B6">
              <w:t xml:space="preserve"> </w:t>
            </w:r>
            <w:r w:rsidR="009C39B6" w:rsidRPr="009C39B6">
              <w:t xml:space="preserve">(t.sk. </w:t>
            </w:r>
            <w:r w:rsidR="009C39B6">
              <w:t xml:space="preserve">datu subjekta </w:t>
            </w:r>
            <w:r w:rsidR="009C39B6" w:rsidRPr="009C39B6">
              <w:t>piekrišana par personas datu apstrādi)</w:t>
            </w:r>
            <w:r w:rsidR="009C39B6">
              <w:t xml:space="preserve"> </w:t>
            </w:r>
            <w:proofErr w:type="gramStart"/>
            <w:r>
              <w:t>2010.gada</w:t>
            </w:r>
            <w:proofErr w:type="gramEnd"/>
            <w:r>
              <w:t xml:space="preserve"> 16.marta Ministru kabineta noteikumos Nr.257 "Noteikumi par kārtību, kādā Iekšlietu ministrijas sistēmas iestāžu un Ieslodzījuma vietu pārvaldes amatpersonas ar speciālajām dienesta pakāpēm tiek nosūtītas izglītības iegūšanai, kā arī mācību izdevumu segšanas un atmaksāšanas kārtību" minētajos gadījumos. </w:t>
            </w:r>
          </w:p>
        </w:tc>
        <w:tc>
          <w:tcPr>
            <w:tcW w:w="2986" w:type="dxa"/>
            <w:tcBorders>
              <w:top w:val="single" w:sz="6" w:space="0" w:color="000000"/>
              <w:left w:val="single" w:sz="6" w:space="0" w:color="000000"/>
              <w:bottom w:val="single" w:sz="6" w:space="0" w:color="000000"/>
              <w:right w:val="single" w:sz="6" w:space="0" w:color="000000"/>
            </w:tcBorders>
          </w:tcPr>
          <w:p w:rsidR="008273D6" w:rsidRDefault="008273D6" w:rsidP="008273D6">
            <w:pPr>
              <w:pStyle w:val="naisc"/>
              <w:spacing w:before="0" w:after="0"/>
              <w:ind w:firstLine="12"/>
              <w:jc w:val="both"/>
              <w:rPr>
                <w:i/>
              </w:rPr>
            </w:pPr>
            <w:r w:rsidRPr="005F5C7A">
              <w:rPr>
                <w:i/>
              </w:rPr>
              <w:t>Projekts:</w:t>
            </w:r>
          </w:p>
          <w:p w:rsidR="008273D6" w:rsidRPr="009D76B1" w:rsidRDefault="008273D6" w:rsidP="009D76B1">
            <w:pPr>
              <w:pStyle w:val="naisc"/>
              <w:numPr>
                <w:ilvl w:val="0"/>
                <w:numId w:val="32"/>
              </w:numPr>
              <w:spacing w:before="0" w:after="0"/>
              <w:jc w:val="both"/>
              <w:rPr>
                <w:i/>
              </w:rPr>
            </w:pPr>
            <w:r w:rsidRPr="00FD6300">
              <w:t xml:space="preserve">universitāte (akadēmija) </w:t>
            </w:r>
            <w:r w:rsidR="009D76B1">
              <w:t>elektroniski sniedz</w:t>
            </w:r>
            <w:r w:rsidRPr="00FD6300">
              <w:t xml:space="preserve"> tiesībaizsardzības iestādēm </w:t>
            </w:r>
            <w:r w:rsidR="009D76B1">
              <w:t xml:space="preserve">informāciju </w:t>
            </w:r>
            <w:r w:rsidR="009D76B1" w:rsidRPr="009D76B1">
              <w:t xml:space="preserve">par valsts budžeta līdzekļiem studējošo </w:t>
            </w:r>
            <w:r w:rsidR="009D76B1">
              <w:t>imatrikulāciju</w:t>
            </w:r>
            <w:r w:rsidRPr="00FD6300">
              <w:t>, eksmatrikulācij</w:t>
            </w:r>
            <w:r w:rsidR="009D76B1">
              <w:t>u, studiju pārtraukumiem,</w:t>
            </w:r>
            <w:r w:rsidRPr="00FD6300">
              <w:t xml:space="preserve"> apkopojumu (pārskatu) par studējošo </w:t>
            </w:r>
            <w:r w:rsidR="003F67E6" w:rsidRPr="00FD6300">
              <w:t xml:space="preserve">sekmību </w:t>
            </w:r>
            <w:r w:rsidR="003F67E6">
              <w:t xml:space="preserve">un kontaktstundu </w:t>
            </w:r>
            <w:r w:rsidRPr="00FD6300">
              <w:t>apmeklējumu kārtējā mēnesī.</w:t>
            </w:r>
          </w:p>
          <w:p w:rsidR="009D76B1" w:rsidRPr="005F5C7A" w:rsidRDefault="009D76B1" w:rsidP="009D76B1">
            <w:pPr>
              <w:pStyle w:val="ListParagraph"/>
              <w:ind w:left="360"/>
              <w:rPr>
                <w:i/>
              </w:rPr>
            </w:pPr>
          </w:p>
        </w:tc>
      </w:tr>
      <w:tr w:rsidR="00FD43B9" w:rsidRPr="001801C2" w:rsidTr="00C64E73">
        <w:tc>
          <w:tcPr>
            <w:tcW w:w="708" w:type="dxa"/>
            <w:tcBorders>
              <w:top w:val="single" w:sz="6" w:space="0" w:color="000000"/>
              <w:left w:val="single" w:sz="6" w:space="0" w:color="000000"/>
              <w:bottom w:val="single" w:sz="6" w:space="0" w:color="000000"/>
              <w:right w:val="single" w:sz="6" w:space="0" w:color="000000"/>
            </w:tcBorders>
          </w:tcPr>
          <w:p w:rsidR="00FD43B9" w:rsidRDefault="00FD43B9" w:rsidP="008273D6">
            <w:pPr>
              <w:pStyle w:val="naisc"/>
              <w:numPr>
                <w:ilvl w:val="0"/>
                <w:numId w:val="37"/>
              </w:numPr>
              <w:spacing w:before="0" w:after="0"/>
              <w:jc w:val="left"/>
            </w:pPr>
          </w:p>
        </w:tc>
        <w:tc>
          <w:tcPr>
            <w:tcW w:w="3112" w:type="dxa"/>
            <w:tcBorders>
              <w:top w:val="single" w:sz="6" w:space="0" w:color="000000"/>
              <w:left w:val="single" w:sz="6" w:space="0" w:color="000000"/>
              <w:bottom w:val="single" w:sz="6" w:space="0" w:color="000000"/>
              <w:right w:val="single" w:sz="6" w:space="0" w:color="000000"/>
            </w:tcBorders>
          </w:tcPr>
          <w:p w:rsidR="00FD43B9" w:rsidRPr="005F5C7A" w:rsidRDefault="00FD43B9" w:rsidP="00FD43B9">
            <w:pPr>
              <w:pStyle w:val="ListParagraph"/>
              <w:numPr>
                <w:ilvl w:val="0"/>
                <w:numId w:val="32"/>
              </w:numPr>
              <w:spacing w:after="0" w:line="240" w:lineRule="auto"/>
              <w:jc w:val="both"/>
              <w:rPr>
                <w:i/>
              </w:rPr>
            </w:pPr>
            <w:r w:rsidRPr="00FD43B9">
              <w:rPr>
                <w:rFonts w:ascii="Times New Roman" w:hAnsi="Times New Roman"/>
                <w:sz w:val="24"/>
                <w:szCs w:val="24"/>
              </w:rPr>
              <w:t xml:space="preserve">zinātniski pētniecisko darbu universitāte </w:t>
            </w:r>
            <w:r w:rsidRPr="00FD43B9">
              <w:rPr>
                <w:rFonts w:ascii="Times New Roman" w:hAnsi="Times New Roman"/>
                <w:sz w:val="24"/>
                <w:szCs w:val="24"/>
              </w:rPr>
              <w:lastRenderedPageBreak/>
              <w:t>(akadēmija) iespēju robežās īsteno atbilstoši ar projektā iesaistīto tiesībaizsardzības iestāžu iesniegto prioritāro pētījumu tematiku un ar iekšējo drošību saistītos problēmjautājumos.</w:t>
            </w:r>
          </w:p>
        </w:tc>
        <w:tc>
          <w:tcPr>
            <w:tcW w:w="3260" w:type="dxa"/>
            <w:tcBorders>
              <w:top w:val="single" w:sz="6" w:space="0" w:color="000000"/>
              <w:left w:val="single" w:sz="6" w:space="0" w:color="000000"/>
              <w:bottom w:val="single" w:sz="6" w:space="0" w:color="000000"/>
              <w:right w:val="single" w:sz="6" w:space="0" w:color="000000"/>
            </w:tcBorders>
          </w:tcPr>
          <w:p w:rsidR="00FD43B9" w:rsidRPr="003D7B8F" w:rsidRDefault="00FD43B9" w:rsidP="00FD43B9">
            <w:pPr>
              <w:widowControl w:val="0"/>
              <w:jc w:val="both"/>
              <w:rPr>
                <w:rFonts w:eastAsia="Calibri"/>
                <w:b/>
                <w:lang w:eastAsia="en-US"/>
              </w:rPr>
            </w:pPr>
            <w:r w:rsidRPr="003D7B8F">
              <w:rPr>
                <w:rFonts w:eastAsia="Calibri"/>
                <w:b/>
                <w:lang w:eastAsia="en-US"/>
              </w:rPr>
              <w:lastRenderedPageBreak/>
              <w:t>Tieslietu ministrij</w:t>
            </w:r>
            <w:r>
              <w:rPr>
                <w:rFonts w:eastAsia="Calibri"/>
                <w:b/>
                <w:lang w:eastAsia="en-US"/>
              </w:rPr>
              <w:t>a</w:t>
            </w:r>
          </w:p>
          <w:p w:rsidR="00FD43B9" w:rsidRPr="00FD6300" w:rsidRDefault="00FD43B9" w:rsidP="00FD43B9">
            <w:pPr>
              <w:jc w:val="both"/>
            </w:pPr>
            <w:r w:rsidRPr="00FD6300">
              <w:lastRenderedPageBreak/>
              <w:t xml:space="preserve">Lūdzam ietvert skaidrojumu, vai šāds uzstādījums atbilst akadēmiskās brīvības principam, proti, ka students pats ir tiesīgs un tam ir pienākums izvēlēties savu zinātniski pētniecisko darbu jomu. </w:t>
            </w:r>
            <w:r>
              <w:t>Šajā gadījumā jāievēro A</w:t>
            </w:r>
            <w:r w:rsidRPr="00FD6300">
              <w:t xml:space="preserve">ugstskolu likuma </w:t>
            </w:r>
            <w:proofErr w:type="gramStart"/>
            <w:r w:rsidRPr="00EC33A3">
              <w:rPr>
                <w:bCs/>
              </w:rPr>
              <w:t>6.pant</w:t>
            </w:r>
            <w:r>
              <w:rPr>
                <w:bCs/>
              </w:rPr>
              <w:t>s</w:t>
            </w:r>
            <w:proofErr w:type="gramEnd"/>
            <w:r w:rsidRPr="00FD6300">
              <w:rPr>
                <w:bCs/>
              </w:rPr>
              <w:t xml:space="preserve"> “</w:t>
            </w:r>
            <w:r w:rsidRPr="00EC33A3">
              <w:rPr>
                <w:bCs/>
              </w:rPr>
              <w:t>Akadēmiskā brīvība</w:t>
            </w:r>
            <w:r w:rsidRPr="00FD6300">
              <w:rPr>
                <w:bCs/>
              </w:rPr>
              <w:t>”, kas paredz, ka a</w:t>
            </w:r>
            <w:r w:rsidRPr="00EC33A3">
              <w:t>ugstskolās tiek nodrošināta studiju, pētniecības darba un mākslinieciskās jaunrades brīvība, ja šī brīvība nav pretrunā ar citu personu tiesībām, augstskolas satversmi un normatīvajiem aktiem.</w:t>
            </w:r>
            <w:r w:rsidRPr="00FD6300">
              <w:t xml:space="preserve"> </w:t>
            </w:r>
            <w:r w:rsidRPr="00EC33A3">
              <w:t>Studiju brīvība izpaužas studējošo tiesībās</w:t>
            </w:r>
            <w:r w:rsidRPr="00FD6300">
              <w:t xml:space="preserve"> </w:t>
            </w:r>
            <w:r w:rsidRPr="00EC33A3">
              <w:t>nodarboties ar zinātniskās pētniecības darbu un māksliniecisko jaunradi.</w:t>
            </w:r>
            <w:r w:rsidRPr="00FD6300">
              <w:t xml:space="preserve"> Augstskolu administrācijai ir pienākums garantēt un respektēt šajā pantā paredzētās studējošo tiesības.</w:t>
            </w:r>
          </w:p>
          <w:p w:rsidR="00FD43B9" w:rsidRPr="003D7B8F" w:rsidRDefault="00FD43B9" w:rsidP="008273D6">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FD43B9" w:rsidRDefault="00FD43B9" w:rsidP="00FD43B9">
            <w:pPr>
              <w:ind w:firstLine="284"/>
              <w:jc w:val="both"/>
              <w:rPr>
                <w:b/>
              </w:rPr>
            </w:pPr>
            <w:r w:rsidRPr="003D7B8F">
              <w:rPr>
                <w:b/>
              </w:rPr>
              <w:lastRenderedPageBreak/>
              <w:t>Iebildums ņemts vērā.</w:t>
            </w:r>
          </w:p>
          <w:p w:rsidR="00FD43B9" w:rsidRDefault="00FD43B9" w:rsidP="00FD43B9">
            <w:pPr>
              <w:ind w:firstLine="284"/>
              <w:jc w:val="both"/>
            </w:pPr>
            <w:r>
              <w:lastRenderedPageBreak/>
              <w:t xml:space="preserve">Koncepcijas projekts </w:t>
            </w:r>
            <w:r w:rsidR="00A75C12">
              <w:t>precizēts un</w:t>
            </w:r>
            <w:proofErr w:type="gramStart"/>
            <w:r w:rsidR="00A75C12">
              <w:t xml:space="preserve"> </w:t>
            </w:r>
            <w:r>
              <w:t xml:space="preserve"> </w:t>
            </w:r>
            <w:proofErr w:type="gramEnd"/>
            <w:r>
              <w:t>papildināts ar skaidrojumu.</w:t>
            </w:r>
          </w:p>
          <w:p w:rsidR="00FD43B9" w:rsidRDefault="00FD43B9" w:rsidP="00FD43B9">
            <w:pPr>
              <w:ind w:firstLine="284"/>
              <w:jc w:val="both"/>
            </w:pPr>
          </w:p>
          <w:p w:rsidR="00FD43B9" w:rsidRPr="00FD43B9" w:rsidRDefault="00FD43B9" w:rsidP="00A75C12">
            <w:pPr>
              <w:ind w:firstLine="284"/>
              <w:jc w:val="both"/>
              <w:rPr>
                <w:b/>
              </w:rPr>
            </w:pPr>
            <w:r w:rsidRPr="00FD43B9">
              <w:t xml:space="preserve">Atbilstoši zinātniski pētnieciskā darba autonomijas prasībai, ko reglamentē Augstskolu likuma </w:t>
            </w:r>
            <w:proofErr w:type="gramStart"/>
            <w:r w:rsidRPr="00FD43B9">
              <w:t>6.pants</w:t>
            </w:r>
            <w:proofErr w:type="gramEnd"/>
            <w:r w:rsidRPr="00FD43B9">
              <w:t xml:space="preserve">, tiek respektēta brīva pētniecības izvēles iespēja. Piedāvātā </w:t>
            </w:r>
            <w:r w:rsidR="00A75C12">
              <w:t>ieteicamo</w:t>
            </w:r>
            <w:r w:rsidRPr="00FD43B9">
              <w:t xml:space="preserve"> pētījumu tematika</w:t>
            </w:r>
            <w:r w:rsidR="00A75C12">
              <w:t>, kurai būs informatīvs raksturs,</w:t>
            </w:r>
            <w:r w:rsidRPr="00FD43B9">
              <w:t xml:space="preserve"> tikai palīdzēs universitātes (akadēmijas) akadēmiskajam personālam un studentiem orientēties </w:t>
            </w:r>
            <w:r w:rsidR="00A75C12">
              <w:t xml:space="preserve">aktuālajos, </w:t>
            </w:r>
            <w:r w:rsidRPr="00FD43B9">
              <w:t>ar iekšējo drošību saistītos</w:t>
            </w:r>
            <w:r w:rsidR="00A75C12">
              <w:t>,</w:t>
            </w:r>
            <w:r w:rsidRPr="00FD43B9">
              <w:t xml:space="preserve"> nozares problēmjautājumos</w:t>
            </w:r>
            <w:r w:rsidR="00A75C12">
              <w:t>,</w:t>
            </w:r>
            <w:r w:rsidRPr="00FD43B9">
              <w:t xml:space="preserve"> nekādā mērā neierobežo</w:t>
            </w:r>
            <w:r w:rsidR="00A75C12">
              <w:t>jot</w:t>
            </w:r>
            <w:r w:rsidRPr="00FD43B9">
              <w:t xml:space="preserve"> pētnieku akadēmisko brīvību.</w:t>
            </w:r>
          </w:p>
        </w:tc>
        <w:tc>
          <w:tcPr>
            <w:tcW w:w="2986" w:type="dxa"/>
            <w:tcBorders>
              <w:top w:val="single" w:sz="6" w:space="0" w:color="000000"/>
              <w:left w:val="single" w:sz="6" w:space="0" w:color="000000"/>
              <w:bottom w:val="single" w:sz="6" w:space="0" w:color="000000"/>
              <w:right w:val="single" w:sz="6" w:space="0" w:color="000000"/>
            </w:tcBorders>
          </w:tcPr>
          <w:p w:rsidR="00FD43B9" w:rsidRPr="005F5C7A" w:rsidRDefault="00A57118" w:rsidP="00A75C12">
            <w:pPr>
              <w:pStyle w:val="naisc"/>
              <w:numPr>
                <w:ilvl w:val="0"/>
                <w:numId w:val="40"/>
              </w:numPr>
              <w:spacing w:before="0" w:after="0"/>
              <w:jc w:val="both"/>
              <w:rPr>
                <w:i/>
              </w:rPr>
            </w:pPr>
            <w:r>
              <w:lastRenderedPageBreak/>
              <w:t>t</w:t>
            </w:r>
            <w:r w:rsidR="00A75C12">
              <w:t xml:space="preserve">iesībaizsardzības iestādes katru gadu </w:t>
            </w:r>
            <w:r w:rsidR="00A75C12">
              <w:lastRenderedPageBreak/>
              <w:t>universitātei (akadēmijai</w:t>
            </w:r>
            <w:r w:rsidR="00A75C12" w:rsidRPr="00FD43B9">
              <w:t>)</w:t>
            </w:r>
            <w:r w:rsidR="00A75C12">
              <w:t xml:space="preserve"> nosūta ieteicamo</w:t>
            </w:r>
            <w:r w:rsidR="00A75C12" w:rsidRPr="00FD43B9">
              <w:t xml:space="preserve"> p</w:t>
            </w:r>
            <w:r w:rsidR="00A75C12">
              <w:t>ētījumu tematiku, kurā iekļauti aktuālie nozares problēmjautājumi</w:t>
            </w:r>
            <w:r w:rsidR="00A75C12" w:rsidRPr="00FD43B9">
              <w:t>.</w:t>
            </w:r>
          </w:p>
        </w:tc>
      </w:tr>
      <w:tr w:rsidR="003D7B8F" w:rsidRPr="001801C2" w:rsidTr="00C64E73">
        <w:tc>
          <w:tcPr>
            <w:tcW w:w="708" w:type="dxa"/>
            <w:tcBorders>
              <w:top w:val="single" w:sz="6" w:space="0" w:color="000000"/>
              <w:left w:val="single" w:sz="6" w:space="0" w:color="000000"/>
              <w:bottom w:val="single" w:sz="6" w:space="0" w:color="000000"/>
              <w:right w:val="single" w:sz="6" w:space="0" w:color="000000"/>
            </w:tcBorders>
          </w:tcPr>
          <w:p w:rsidR="003D7B8F" w:rsidRPr="001801C2" w:rsidRDefault="003D7B8F" w:rsidP="008273D6">
            <w:pPr>
              <w:pStyle w:val="ListParagraph"/>
              <w:numPr>
                <w:ilvl w:val="0"/>
                <w:numId w:val="37"/>
              </w:numPr>
              <w:jc w:val="right"/>
            </w:pPr>
          </w:p>
        </w:tc>
        <w:tc>
          <w:tcPr>
            <w:tcW w:w="3112" w:type="dxa"/>
            <w:tcBorders>
              <w:top w:val="single" w:sz="4" w:space="0" w:color="auto"/>
              <w:left w:val="single" w:sz="6" w:space="0" w:color="000000"/>
              <w:bottom w:val="single" w:sz="4" w:space="0" w:color="auto"/>
              <w:right w:val="single" w:sz="6" w:space="0" w:color="000000"/>
            </w:tcBorders>
          </w:tcPr>
          <w:p w:rsidR="008273D6" w:rsidRPr="000D79F2" w:rsidRDefault="008273D6" w:rsidP="000D79F2">
            <w:pPr>
              <w:pStyle w:val="ListParagraph"/>
              <w:widowControl w:val="0"/>
              <w:numPr>
                <w:ilvl w:val="0"/>
                <w:numId w:val="32"/>
              </w:numPr>
              <w:spacing w:line="240" w:lineRule="auto"/>
              <w:jc w:val="both"/>
              <w:rPr>
                <w:rFonts w:ascii="Times New Roman" w:eastAsia="Times New Roman" w:hAnsi="Times New Roman"/>
                <w:sz w:val="24"/>
                <w:szCs w:val="24"/>
                <w:lang w:eastAsia="lv-LV"/>
              </w:rPr>
            </w:pPr>
            <w:r w:rsidRPr="000D79F2">
              <w:rPr>
                <w:rFonts w:ascii="Times New Roman" w:eastAsia="Times New Roman" w:hAnsi="Times New Roman"/>
                <w:sz w:val="24"/>
                <w:szCs w:val="24"/>
                <w:lang w:eastAsia="lv-LV"/>
              </w:rPr>
              <w:t xml:space="preserve">universitāte (akadēmija) nodrošina, ka atsevišķus studiju kursus un pārbaudījumus, kuri satur valsts noslēpumu, īsteno normatīvajos aktos noteiktās atbilstošās telpās, un tos īsteno docētāji, kuriem piešķirta vismaz otrās kategorijas </w:t>
            </w:r>
            <w:r w:rsidRPr="000D79F2">
              <w:rPr>
                <w:rFonts w:ascii="Times New Roman" w:eastAsia="Times New Roman" w:hAnsi="Times New Roman"/>
                <w:sz w:val="24"/>
                <w:szCs w:val="24"/>
                <w:lang w:eastAsia="lv-LV"/>
              </w:rPr>
              <w:lastRenderedPageBreak/>
              <w:t>atļauja pieejai valsts noslēpuma objektiem.</w:t>
            </w:r>
          </w:p>
          <w:p w:rsidR="003D7B8F" w:rsidRPr="00A16E0F" w:rsidRDefault="003D7B8F" w:rsidP="003D7B8F">
            <w:pPr>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8273D6" w:rsidRPr="003D7B8F" w:rsidRDefault="008273D6" w:rsidP="008273D6">
            <w:pPr>
              <w:widowControl w:val="0"/>
              <w:jc w:val="both"/>
              <w:rPr>
                <w:rFonts w:eastAsia="Calibri"/>
                <w:b/>
                <w:lang w:eastAsia="en-US"/>
              </w:rPr>
            </w:pPr>
            <w:r w:rsidRPr="003D7B8F">
              <w:rPr>
                <w:rFonts w:eastAsia="Calibri"/>
                <w:b/>
                <w:lang w:eastAsia="en-US"/>
              </w:rPr>
              <w:lastRenderedPageBreak/>
              <w:t>Tieslietu ministrij</w:t>
            </w:r>
            <w:r>
              <w:rPr>
                <w:rFonts w:eastAsia="Calibri"/>
                <w:b/>
                <w:lang w:eastAsia="en-US"/>
              </w:rPr>
              <w:t>a</w:t>
            </w:r>
          </w:p>
          <w:p w:rsidR="008273D6" w:rsidRPr="008273D6" w:rsidRDefault="008273D6" w:rsidP="008273D6">
            <w:pPr>
              <w:contextualSpacing/>
              <w:jc w:val="both"/>
              <w:rPr>
                <w:rFonts w:eastAsia="Calibri"/>
                <w:lang w:eastAsia="en-US"/>
              </w:rPr>
            </w:pPr>
            <w:r w:rsidRPr="008273D6">
              <w:rPr>
                <w:rFonts w:eastAsia="Calibri"/>
                <w:lang w:eastAsia="en-US"/>
              </w:rPr>
              <w:t>Lūdzam norādīt likuma “Par valsts noslēpumu” konkrētu tiesību normu, kas atļauj izmantot valsts noslēpumu saturošu informāciju mācību procesā studējošajiem (pretējā gadījumā šī tēze ir jāsvītro).</w:t>
            </w:r>
          </w:p>
          <w:p w:rsidR="003D7B8F" w:rsidRPr="003D7B8F" w:rsidRDefault="003D7B8F" w:rsidP="003D7B8F">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8273D6" w:rsidRPr="008273D6" w:rsidRDefault="008273D6" w:rsidP="008273D6">
            <w:pPr>
              <w:ind w:firstLine="284"/>
              <w:jc w:val="both"/>
              <w:rPr>
                <w:b/>
              </w:rPr>
            </w:pPr>
            <w:r w:rsidRPr="008273D6">
              <w:rPr>
                <w:b/>
              </w:rPr>
              <w:t>Iebildums ņemts vērā.</w:t>
            </w:r>
          </w:p>
          <w:p w:rsidR="008273D6" w:rsidRDefault="008273D6" w:rsidP="008273D6">
            <w:pPr>
              <w:ind w:firstLine="284"/>
              <w:jc w:val="both"/>
            </w:pPr>
            <w:r>
              <w:t>Koncepcijas projekts papildināts ar skaidrojumu.</w:t>
            </w:r>
          </w:p>
          <w:p w:rsidR="003D7B8F" w:rsidRPr="003D7B8F" w:rsidRDefault="008273D6" w:rsidP="003D7B8F">
            <w:pPr>
              <w:ind w:firstLine="284"/>
              <w:jc w:val="both"/>
              <w:rPr>
                <w:b/>
              </w:rPr>
            </w:pPr>
            <w:r>
              <w:t xml:space="preserve">Atbilstoši  likuma "Par valsts noslēpumu" </w:t>
            </w:r>
            <w:proofErr w:type="gramStart"/>
            <w:r>
              <w:t>4.panta</w:t>
            </w:r>
            <w:proofErr w:type="gramEnd"/>
            <w:r>
              <w:t xml:space="preserve"> otrās daļas 6. un 8. punktu par valsts noslēpumu var tikt atzīta operatīvās darbības saturu, taktiku un metožu atspoguļojoša informācija, kā arī informācija par Iekšlietu ministrijas struktūrvienību, valsts drošības un </w:t>
            </w:r>
            <w:r>
              <w:lastRenderedPageBreak/>
              <w:t xml:space="preserve">aizsardzības iestāžu rīcības un darbības plāniem izņēmuma stāvokļa, masu nekārtību gadījumā vai par speciālajām operācijām cīņā pret organizēto noziedzību. Ņemot vērā, ka šāda informācija tiks iekļauta specializācijas "Operatīvais darbs" studiju kursos, šo kursu docētājiem un studentiem ir jābūt vismaz otrās kategorijas atļaujai pieejai valsts noslēpuma objektiem, bet telpām, kuros notiek studiju process, jāatbilst 2004.gada 6.janvāra Ministru kabineta noteikumu Nr.21 "Valsts noslēpuma, Ziemeļatlantijas līguma organizācijas, Eiropas Savienības un ārvalstu institūciju klasificētās informācijas aizsardzības </w:t>
            </w:r>
            <w:proofErr w:type="spellStart"/>
            <w:r>
              <w:t>noteikumi"prasībām</w:t>
            </w:r>
            <w:proofErr w:type="spellEnd"/>
            <w:r>
              <w:t>. Koncepcijas projekts papildināts ar skaidrojumu.</w:t>
            </w:r>
          </w:p>
        </w:tc>
        <w:tc>
          <w:tcPr>
            <w:tcW w:w="2986" w:type="dxa"/>
            <w:tcBorders>
              <w:top w:val="single" w:sz="4" w:space="0" w:color="auto"/>
              <w:left w:val="single" w:sz="4" w:space="0" w:color="auto"/>
              <w:bottom w:val="single" w:sz="4" w:space="0" w:color="auto"/>
            </w:tcBorders>
          </w:tcPr>
          <w:p w:rsidR="003D7B8F" w:rsidRPr="008273D6" w:rsidRDefault="008273D6" w:rsidP="000D79F2">
            <w:pPr>
              <w:pStyle w:val="ListParagraph"/>
              <w:numPr>
                <w:ilvl w:val="0"/>
                <w:numId w:val="36"/>
              </w:numPr>
              <w:spacing w:line="240" w:lineRule="auto"/>
              <w:jc w:val="both"/>
              <w:rPr>
                <w:i/>
              </w:rPr>
            </w:pPr>
            <w:r w:rsidRPr="008273D6">
              <w:rPr>
                <w:rFonts w:ascii="Times New Roman" w:hAnsi="Times New Roman"/>
                <w:sz w:val="24"/>
                <w:szCs w:val="24"/>
              </w:rPr>
              <w:lastRenderedPageBreak/>
              <w:t xml:space="preserve">universitāte (akadēmija) nodrošina, ka atsevišķus studiju kursus un pārbaudījumus, kuri satur valsts noslēpumu, īsteno normatīvajos aktos noteiktās atbilstošās telpās, un tos īsteno docētāji, kuriem piešķirta vismaz otrās </w:t>
            </w:r>
            <w:r w:rsidRPr="008273D6">
              <w:rPr>
                <w:rFonts w:ascii="Times New Roman" w:hAnsi="Times New Roman"/>
                <w:sz w:val="24"/>
                <w:szCs w:val="24"/>
              </w:rPr>
              <w:lastRenderedPageBreak/>
              <w:t>kategorijas atļauja pieejai valsts noslēpuma objektiem.</w:t>
            </w:r>
          </w:p>
        </w:tc>
      </w:tr>
      <w:tr w:rsidR="008273D6" w:rsidRPr="001801C2" w:rsidTr="00C64E73">
        <w:tc>
          <w:tcPr>
            <w:tcW w:w="708" w:type="dxa"/>
            <w:tcBorders>
              <w:top w:val="single" w:sz="6" w:space="0" w:color="000000"/>
              <w:left w:val="single" w:sz="6" w:space="0" w:color="000000"/>
              <w:bottom w:val="single" w:sz="6" w:space="0" w:color="000000"/>
              <w:right w:val="single" w:sz="6" w:space="0" w:color="000000"/>
            </w:tcBorders>
          </w:tcPr>
          <w:p w:rsidR="008273D6" w:rsidRPr="001801C2" w:rsidRDefault="008273D6" w:rsidP="008273D6">
            <w:pPr>
              <w:pStyle w:val="ListParagraph"/>
              <w:numPr>
                <w:ilvl w:val="0"/>
                <w:numId w:val="37"/>
              </w:numPr>
              <w:jc w:val="right"/>
            </w:pPr>
          </w:p>
        </w:tc>
        <w:tc>
          <w:tcPr>
            <w:tcW w:w="3112" w:type="dxa"/>
            <w:tcBorders>
              <w:top w:val="single" w:sz="4" w:space="0" w:color="auto"/>
              <w:left w:val="single" w:sz="6" w:space="0" w:color="000000"/>
              <w:bottom w:val="single" w:sz="4" w:space="0" w:color="auto"/>
              <w:right w:val="single" w:sz="6" w:space="0" w:color="000000"/>
            </w:tcBorders>
          </w:tcPr>
          <w:p w:rsidR="008273D6" w:rsidRPr="008273D6" w:rsidRDefault="008273D6" w:rsidP="000D79F2">
            <w:pPr>
              <w:pStyle w:val="ListParagraph"/>
              <w:numPr>
                <w:ilvl w:val="0"/>
                <w:numId w:val="36"/>
              </w:numPr>
              <w:spacing w:line="240" w:lineRule="auto"/>
              <w:jc w:val="both"/>
              <w:rPr>
                <w:rFonts w:ascii="Times New Roman" w:eastAsia="Times New Roman" w:hAnsi="Times New Roman"/>
                <w:sz w:val="24"/>
                <w:szCs w:val="24"/>
                <w:lang w:eastAsia="lv-LV"/>
              </w:rPr>
            </w:pPr>
            <w:r w:rsidRPr="008273D6">
              <w:rPr>
                <w:rFonts w:ascii="Times New Roman" w:eastAsia="Times New Roman" w:hAnsi="Times New Roman"/>
                <w:sz w:val="24"/>
                <w:szCs w:val="24"/>
                <w:lang w:eastAsia="lv-LV"/>
              </w:rPr>
              <w:t xml:space="preserve">universitāte (akadēmija) nodrošina iespēju noteiktai daļai bakalaura programmas absolventu turpināt studijas profesionālajā maģistra studiju programmā “Tiesību zinātne” un iegūt jurista kvalifikāciju, ja nepieciešams, šim nolūkam izstrādājot, un, licencējot jaunu profesionālo maģistra studiju programmu ar lielāku apgūstamo studiju kursu un kredītpunktu apjomu, nekā to paredz </w:t>
            </w:r>
            <w:r w:rsidRPr="008273D6">
              <w:rPr>
                <w:rFonts w:ascii="Times New Roman" w:eastAsia="Times New Roman" w:hAnsi="Times New Roman"/>
                <w:sz w:val="24"/>
                <w:szCs w:val="24"/>
                <w:lang w:eastAsia="lv-LV"/>
              </w:rPr>
              <w:lastRenderedPageBreak/>
              <w:t>universitātē jau īstenotā tiesību zinātnes profesionālā maģistra studiju programma.</w:t>
            </w:r>
          </w:p>
          <w:p w:rsidR="008273D6" w:rsidRPr="00A16E0F" w:rsidRDefault="008273D6" w:rsidP="008273D6">
            <w:pPr>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8273D6" w:rsidRPr="003D7B8F" w:rsidRDefault="008273D6" w:rsidP="008273D6">
            <w:pPr>
              <w:widowControl w:val="0"/>
              <w:jc w:val="both"/>
              <w:rPr>
                <w:rFonts w:eastAsia="Calibri"/>
                <w:b/>
                <w:lang w:eastAsia="en-US"/>
              </w:rPr>
            </w:pPr>
            <w:r w:rsidRPr="003D7B8F">
              <w:rPr>
                <w:rFonts w:eastAsia="Calibri"/>
                <w:b/>
                <w:lang w:eastAsia="en-US"/>
              </w:rPr>
              <w:lastRenderedPageBreak/>
              <w:t>Tieslietu ministrij</w:t>
            </w:r>
            <w:r>
              <w:rPr>
                <w:rFonts w:eastAsia="Calibri"/>
                <w:b/>
                <w:lang w:eastAsia="en-US"/>
              </w:rPr>
              <w:t>a</w:t>
            </w:r>
          </w:p>
          <w:p w:rsidR="008273D6" w:rsidRPr="008273D6" w:rsidRDefault="008273D6" w:rsidP="008273D6">
            <w:pPr>
              <w:contextualSpacing/>
              <w:jc w:val="both"/>
              <w:rPr>
                <w:rFonts w:eastAsia="Calibri"/>
                <w:lang w:eastAsia="en-US"/>
              </w:rPr>
            </w:pPr>
            <w:r w:rsidRPr="008273D6">
              <w:rPr>
                <w:rFonts w:eastAsia="Calibri"/>
                <w:lang w:eastAsia="en-US"/>
              </w:rPr>
              <w:t xml:space="preserve">Lūdzam sniegt skaidrojumu, kāpēc šajā gadījumā nepieciešams paredzēt nevienlīdzīgus studiju nosacījumus, kādai daļai no programmā “Tiesību zinātne” studējošajiem paredzot lielāku studiju apjomu. Kā prakse rāda, šādos gadījumos šādas studiju programmas nav pietiekami konkurētspējīgas, jo studenti tās neizvēlas. </w:t>
            </w:r>
          </w:p>
          <w:p w:rsidR="008273D6" w:rsidRPr="003D7B8F" w:rsidRDefault="008273D6" w:rsidP="008273D6">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8273D6" w:rsidRPr="008273D6" w:rsidRDefault="008273D6" w:rsidP="008273D6">
            <w:pPr>
              <w:ind w:firstLine="284"/>
              <w:jc w:val="both"/>
              <w:rPr>
                <w:b/>
              </w:rPr>
            </w:pPr>
            <w:r w:rsidRPr="008273D6">
              <w:rPr>
                <w:b/>
              </w:rPr>
              <w:t>Iebildums ņemts vērā.</w:t>
            </w:r>
          </w:p>
          <w:p w:rsidR="008273D6" w:rsidRDefault="008273D6" w:rsidP="008273D6">
            <w:pPr>
              <w:ind w:firstLine="284"/>
              <w:jc w:val="both"/>
            </w:pPr>
            <w:r>
              <w:t>Koncepcijas projekts papildināts ar skaidrojumu.</w:t>
            </w:r>
          </w:p>
          <w:p w:rsidR="008273D6" w:rsidRPr="003D7B8F" w:rsidRDefault="008273D6" w:rsidP="008273D6">
            <w:pPr>
              <w:ind w:firstLine="284"/>
              <w:jc w:val="both"/>
              <w:rPr>
                <w:b/>
              </w:rPr>
            </w:pPr>
            <w:r>
              <w:t xml:space="preserve">Jaunas profesionālā maģistra programmas izstrāde ir pamatota ar studiju pēctecības nodrošināšanu un tālākizglītības iespēju piedāvājumu tiesībaizsardzības iestāžu darbiniekiem, </w:t>
            </w:r>
            <w:proofErr w:type="gramStart"/>
            <w:r>
              <w:t>kuri vēlas iegūt jurista kvalifikāciju, bet nav</w:t>
            </w:r>
            <w:proofErr w:type="gramEnd"/>
            <w:r>
              <w:t xml:space="preserve"> absolvējuši studija virziena "Tiesību zinātne" studiju programmu. Valsts policijas amatpersonu viedokļu par studiju iespējām izpētes laikā secināts, ka liela nozīme tālākizglītības izvēlē ir iegūtās kvalifikācijas konkurētspējai kopējā darba tirgū un iespējai veidot karjeru juristu saimei piederīgās </w:t>
            </w:r>
            <w:r>
              <w:lastRenderedPageBreak/>
              <w:t xml:space="preserve">profesijās. Diemžēl studiju virziena "Iekšējā drošība un aizsardzība" bakalauru studiju programmu absolventiem atšķirīgā studiju satura dēļ nav iespējams turpināt studijas cita studija virziena ("Tiesību zinātne") profesionālā maģistra studiju programmā, lai vēlāk sekmīgi varētu kārtot vienoto jurista eksāmenu. </w:t>
            </w:r>
          </w:p>
        </w:tc>
        <w:tc>
          <w:tcPr>
            <w:tcW w:w="2986" w:type="dxa"/>
            <w:tcBorders>
              <w:top w:val="single" w:sz="4" w:space="0" w:color="auto"/>
              <w:left w:val="single" w:sz="4" w:space="0" w:color="auto"/>
              <w:bottom w:val="single" w:sz="4" w:space="0" w:color="auto"/>
            </w:tcBorders>
          </w:tcPr>
          <w:p w:rsidR="008273D6" w:rsidRPr="008273D6" w:rsidRDefault="008273D6" w:rsidP="000D79F2">
            <w:pPr>
              <w:pStyle w:val="ListParagraph"/>
              <w:numPr>
                <w:ilvl w:val="0"/>
                <w:numId w:val="36"/>
              </w:numPr>
              <w:spacing w:line="240" w:lineRule="auto"/>
              <w:jc w:val="both"/>
              <w:rPr>
                <w:rFonts w:ascii="Times New Roman" w:eastAsia="Times New Roman" w:hAnsi="Times New Roman"/>
                <w:sz w:val="24"/>
                <w:szCs w:val="24"/>
                <w:lang w:eastAsia="lv-LV"/>
              </w:rPr>
            </w:pPr>
            <w:r w:rsidRPr="008273D6">
              <w:rPr>
                <w:rFonts w:ascii="Times New Roman" w:eastAsia="Times New Roman" w:hAnsi="Times New Roman"/>
                <w:sz w:val="24"/>
                <w:szCs w:val="24"/>
                <w:lang w:eastAsia="lv-LV"/>
              </w:rPr>
              <w:lastRenderedPageBreak/>
              <w:t xml:space="preserve">universitāte (akadēmija) nodrošina iespēju noteiktai daļai bakalaura programmas absolventu turpināt studijas profesionālajā maģistra studiju programmā “Tiesību zinātne” un iegūt jurista kvalifikāciju, ja nepieciešams, šim nolūkam izstrādājot, un, licencējot jaunu profesionālo maģistra studiju programmu ar lielāku apgūstamo studiju kursu un </w:t>
            </w:r>
            <w:r w:rsidRPr="008273D6">
              <w:rPr>
                <w:rFonts w:ascii="Times New Roman" w:eastAsia="Times New Roman" w:hAnsi="Times New Roman"/>
                <w:sz w:val="24"/>
                <w:szCs w:val="24"/>
                <w:lang w:eastAsia="lv-LV"/>
              </w:rPr>
              <w:lastRenderedPageBreak/>
              <w:t>kredītpunktu apjomu, nekā to paredz universitātē jau īstenotā tiesību zinātnes profesionālā maģistra studiju programma.</w:t>
            </w:r>
          </w:p>
          <w:p w:rsidR="008273D6" w:rsidRPr="00A16E0F" w:rsidRDefault="008273D6" w:rsidP="000D79F2">
            <w:pPr>
              <w:rPr>
                <w:i/>
              </w:rPr>
            </w:pPr>
          </w:p>
        </w:tc>
      </w:tr>
      <w:tr w:rsidR="008273D6" w:rsidRPr="001801C2" w:rsidTr="00C64E73">
        <w:tc>
          <w:tcPr>
            <w:tcW w:w="708" w:type="dxa"/>
            <w:tcBorders>
              <w:top w:val="single" w:sz="6" w:space="0" w:color="000000"/>
              <w:left w:val="single" w:sz="6" w:space="0" w:color="000000"/>
              <w:bottom w:val="single" w:sz="6" w:space="0" w:color="000000"/>
              <w:right w:val="single" w:sz="6" w:space="0" w:color="000000"/>
            </w:tcBorders>
          </w:tcPr>
          <w:p w:rsidR="008273D6" w:rsidRPr="001801C2" w:rsidRDefault="008273D6" w:rsidP="00A57118">
            <w:pPr>
              <w:pStyle w:val="ListParagraph"/>
              <w:numPr>
                <w:ilvl w:val="0"/>
                <w:numId w:val="37"/>
              </w:numPr>
              <w:jc w:val="right"/>
            </w:pPr>
          </w:p>
        </w:tc>
        <w:tc>
          <w:tcPr>
            <w:tcW w:w="3112" w:type="dxa"/>
            <w:tcBorders>
              <w:top w:val="single" w:sz="4" w:space="0" w:color="auto"/>
              <w:left w:val="single" w:sz="6" w:space="0" w:color="000000"/>
              <w:bottom w:val="single" w:sz="4" w:space="0" w:color="auto"/>
              <w:right w:val="single" w:sz="6" w:space="0" w:color="000000"/>
            </w:tcBorders>
          </w:tcPr>
          <w:p w:rsidR="008273D6" w:rsidRPr="00A16E0F" w:rsidRDefault="008273D6" w:rsidP="008273D6">
            <w:pPr>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57118" w:rsidRPr="00A57118" w:rsidRDefault="00A57118" w:rsidP="00A57118">
            <w:pPr>
              <w:widowControl w:val="0"/>
              <w:jc w:val="both"/>
              <w:rPr>
                <w:b/>
              </w:rPr>
            </w:pPr>
            <w:r w:rsidRPr="00A57118">
              <w:rPr>
                <w:b/>
              </w:rPr>
              <w:t>Izglītības un zinātnes ministrija</w:t>
            </w:r>
          </w:p>
          <w:p w:rsidR="008273D6" w:rsidRPr="00A57118" w:rsidRDefault="00A57118" w:rsidP="00D45DA3">
            <w:pPr>
              <w:widowControl w:val="0"/>
              <w:jc w:val="both"/>
            </w:pPr>
            <w:r w:rsidRPr="00A57118">
              <w:t>Lūdzam precizēt finanšu aprēķinus šīs alternatīvas īstenošanas izmaksām, paredzot sākotnējās investīcijas universitātei jauno studiju programmu īstenošanai nepieciešamās infrastruktūras izveidei, kā arī kvalitatīvai studiju programmu īstenošanai nepieciešamās zināšanu bāzes radīšanai un tās attīstīšanai nepieciešamo finansējumu.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FB01C4" w:rsidRDefault="00FB01C4" w:rsidP="00FB01C4">
            <w:pPr>
              <w:jc w:val="both"/>
              <w:rPr>
                <w:b/>
              </w:rPr>
            </w:pPr>
            <w:r w:rsidRPr="00347157">
              <w:rPr>
                <w:b/>
              </w:rPr>
              <w:t>P</w:t>
            </w:r>
            <w:r w:rsidR="007D7D41">
              <w:rPr>
                <w:b/>
              </w:rPr>
              <w:t>anākta vienošanās</w:t>
            </w:r>
            <w:r w:rsidRPr="00347157">
              <w:rPr>
                <w:b/>
              </w:rPr>
              <w:t xml:space="preserve"> starpministriju (starpinstitūciju) sanāksmē</w:t>
            </w:r>
          </w:p>
          <w:p w:rsidR="00DF0E26" w:rsidRPr="00CD7F6C" w:rsidRDefault="00CD7F6C" w:rsidP="00CD7F6C">
            <w:pPr>
              <w:pStyle w:val="NormalWeb"/>
              <w:spacing w:before="0" w:beforeAutospacing="0" w:after="0" w:afterAutospacing="0"/>
              <w:ind w:firstLine="709"/>
              <w:jc w:val="both"/>
            </w:pPr>
            <w:r>
              <w:t>Saskaņā ar konceptuālā</w:t>
            </w:r>
            <w:proofErr w:type="gramStart"/>
            <w:r>
              <w:t xml:space="preserve">  </w:t>
            </w:r>
            <w:proofErr w:type="gramEnd"/>
            <w:r>
              <w:t>ziņojuma sadaļā “</w:t>
            </w:r>
            <w:r w:rsidR="00DF0E26" w:rsidRPr="00CD7F6C">
              <w:t>3. Piedāvātie risinājumi, to ietekme uz problēmas risināšanu</w:t>
            </w:r>
            <w:r>
              <w:t>”</w:t>
            </w:r>
            <w:r w:rsidR="000D79F2">
              <w:t xml:space="preserve"> </w:t>
            </w:r>
            <w:r>
              <w:t>norādīto:</w:t>
            </w:r>
          </w:p>
          <w:p w:rsidR="00DF0E26" w:rsidRPr="00CD7F6C" w:rsidRDefault="00DF0E26" w:rsidP="00CD7F6C">
            <w:pPr>
              <w:pStyle w:val="ListParagraph"/>
              <w:numPr>
                <w:ilvl w:val="0"/>
                <w:numId w:val="38"/>
              </w:numPr>
              <w:spacing w:after="0" w:line="240" w:lineRule="auto"/>
              <w:jc w:val="both"/>
            </w:pPr>
            <w:r w:rsidRPr="00CD7F6C">
              <w:rPr>
                <w:rFonts w:ascii="Times New Roman" w:eastAsia="Times New Roman" w:hAnsi="Times New Roman"/>
                <w:sz w:val="24"/>
                <w:szCs w:val="24"/>
                <w:lang w:eastAsia="lv-LV"/>
              </w:rPr>
              <w:t>ilgtermiņa tiesībaizsardzības iestāžu speciālistu sagatavošanai universitāte izveido jaunu struktūrvienību un investē savus resursus atbilstošas infrastruktūras izveidē;</w:t>
            </w:r>
          </w:p>
          <w:p w:rsidR="00CD7F6C" w:rsidRPr="00CD7F6C" w:rsidRDefault="00CD7F6C" w:rsidP="00CD7F6C">
            <w:pPr>
              <w:ind w:left="720"/>
              <w:jc w:val="both"/>
            </w:pPr>
            <w:r>
              <w:t>Saskaņā ar papildināto Risinājuma Nr.3 aprakstu:</w:t>
            </w:r>
          </w:p>
          <w:p w:rsidR="00DF0E26" w:rsidRDefault="00CD7F6C" w:rsidP="00CD7F6C">
            <w:pPr>
              <w:ind w:firstLine="34"/>
              <w:jc w:val="both"/>
            </w:pPr>
            <w:r>
              <w:t>“</w:t>
            </w:r>
            <w:r w:rsidR="00DF0E26" w:rsidRPr="00CD7F6C">
              <w:t>Abas minētās universitātes piekrīt darba grupas definēto nosacījumu (konceptuālā ziņojuma 3.nodaļas sākuma rindkopa) izpildei, ja sadarbība būs ilgtspējīga un ar garantētu ikgadēju izglītojamo skaitu.</w:t>
            </w:r>
            <w:r>
              <w:t>”</w:t>
            </w:r>
          </w:p>
          <w:p w:rsidR="008273D6" w:rsidRPr="003D7B8F" w:rsidRDefault="002A0253" w:rsidP="009E3B70">
            <w:pPr>
              <w:ind w:firstLine="34"/>
              <w:jc w:val="both"/>
              <w:rPr>
                <w:b/>
              </w:rPr>
            </w:pPr>
            <w:r>
              <w:t>N</w:t>
            </w:r>
            <w:r w:rsidR="00281835">
              <w:t xml:space="preserve">oteikumu Nr.994 </w:t>
            </w:r>
            <w:r>
              <w:t>5. punkts nosaka, ka “Noteikta mērķa īstenošanai (piemēram, būvniecībai, remontdarbiem) augstskolai vai koledžai var piešķirt papildu finansējumu no valsts budžeta līdzekļiem saskaņā ar citiem normatīvajiem aktiem”.</w:t>
            </w:r>
            <w:r w:rsidR="00110520">
              <w:t xml:space="preserve"> </w:t>
            </w:r>
            <w:r w:rsidR="00281835">
              <w:t xml:space="preserve">Nav skaidrs, </w:t>
            </w:r>
            <w:r w:rsidR="00281835">
              <w:lastRenderedPageBreak/>
              <w:t xml:space="preserve">kāds normatīvais </w:t>
            </w:r>
            <w:r>
              <w:t>akts nosaka finansējuma aprēķināšanas un piešķiršanas kārtību “</w:t>
            </w:r>
            <w:r w:rsidR="00110520">
              <w:t xml:space="preserve"> </w:t>
            </w:r>
            <w:r w:rsidRPr="00A57118">
              <w:t>kvalitatīvai studiju programmu īstenošanai nepieciešamās zināšanu bāzes radīšanai un tās attīstīšanai</w:t>
            </w:r>
            <w:r>
              <w:t>”.</w:t>
            </w:r>
            <w:r w:rsidR="009E3B70">
              <w:rPr>
                <w:b/>
                <w:bCs/>
              </w:rPr>
              <w:t xml:space="preserve"> Zināšanu bāze-</w:t>
            </w:r>
            <w:r w:rsidR="009E3B70">
              <w:br/>
              <w:t>semantisks modelis, ko izmanto datoros, lai attēlotu cilvēka uzkrātās zināšanas par kādu noteiktu priekšmetu apgabalu. Zināšanu bāze ir ekspertsistēmu un citu intelektuālo sistēmu viena no galvenajām sastāvdaļām</w:t>
            </w:r>
            <w:r w:rsidR="009E3B70">
              <w:rPr>
                <w:rStyle w:val="FootnoteReference"/>
              </w:rPr>
              <w:footnoteReference w:id="1"/>
            </w:r>
            <w:r w:rsidR="009E3B70">
              <w:t>.</w:t>
            </w:r>
          </w:p>
        </w:tc>
        <w:tc>
          <w:tcPr>
            <w:tcW w:w="2986" w:type="dxa"/>
            <w:tcBorders>
              <w:top w:val="single" w:sz="4" w:space="0" w:color="auto"/>
              <w:left w:val="single" w:sz="4" w:space="0" w:color="auto"/>
              <w:bottom w:val="single" w:sz="4" w:space="0" w:color="auto"/>
            </w:tcBorders>
          </w:tcPr>
          <w:p w:rsidR="008273D6" w:rsidRPr="00702405" w:rsidRDefault="008273D6" w:rsidP="008273D6">
            <w:pPr>
              <w:rPr>
                <w:i/>
              </w:rPr>
            </w:pPr>
          </w:p>
        </w:tc>
      </w:tr>
      <w:tr w:rsidR="008273D6" w:rsidRPr="001801C2" w:rsidTr="00C64E73">
        <w:tc>
          <w:tcPr>
            <w:tcW w:w="708" w:type="dxa"/>
            <w:tcBorders>
              <w:top w:val="single" w:sz="6" w:space="0" w:color="000000"/>
              <w:left w:val="single" w:sz="6" w:space="0" w:color="000000"/>
              <w:bottom w:val="single" w:sz="6" w:space="0" w:color="000000"/>
              <w:right w:val="single" w:sz="6" w:space="0" w:color="000000"/>
            </w:tcBorders>
          </w:tcPr>
          <w:p w:rsidR="008273D6" w:rsidRPr="001801C2" w:rsidRDefault="008273D6" w:rsidP="008273D6">
            <w:pPr>
              <w:jc w:val="right"/>
            </w:pPr>
          </w:p>
        </w:tc>
        <w:tc>
          <w:tcPr>
            <w:tcW w:w="3112" w:type="dxa"/>
            <w:tcBorders>
              <w:top w:val="single" w:sz="4" w:space="0" w:color="auto"/>
              <w:left w:val="single" w:sz="6" w:space="0" w:color="000000"/>
              <w:bottom w:val="single" w:sz="4" w:space="0" w:color="auto"/>
              <w:right w:val="single" w:sz="6" w:space="0" w:color="000000"/>
            </w:tcBorders>
          </w:tcPr>
          <w:p w:rsidR="008273D6" w:rsidRPr="00A16E0F" w:rsidRDefault="008273D6" w:rsidP="008273D6">
            <w:pPr>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57118" w:rsidRPr="00A57118" w:rsidRDefault="00A57118" w:rsidP="00A57118">
            <w:pPr>
              <w:widowControl w:val="0"/>
              <w:jc w:val="both"/>
              <w:rPr>
                <w:b/>
              </w:rPr>
            </w:pPr>
            <w:r w:rsidRPr="00A57118">
              <w:rPr>
                <w:b/>
              </w:rPr>
              <w:t>Izglītības un zinātnes ministrija</w:t>
            </w:r>
          </w:p>
          <w:p w:rsidR="008273D6" w:rsidRPr="00A57118" w:rsidRDefault="00A57118" w:rsidP="008273D6">
            <w:pPr>
              <w:widowControl w:val="0"/>
              <w:jc w:val="both"/>
            </w:pPr>
            <w:r w:rsidRPr="00A57118">
              <w:t>Aicinām studiju programmu īstenošanai nepieciešamās zināšanu bāzes radīšanai un attīstīšanai Iekšlietu ministriju plānot valsts pētījumu programmas finansēšanu un īstenošanu, nosakot Iekšlietu ministrijas īstenotās valsts pētījumu programmai nepieciešamā valsts finansējuma nodrošināšanu kā vienu no konceptuālā ziņojuma prioritātēm.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526062" w:rsidRDefault="00526062" w:rsidP="00526062">
            <w:pPr>
              <w:jc w:val="both"/>
              <w:rPr>
                <w:b/>
              </w:rPr>
            </w:pPr>
            <w:r w:rsidRPr="00347157">
              <w:rPr>
                <w:b/>
              </w:rPr>
              <w:t>P</w:t>
            </w:r>
            <w:r w:rsidR="007D7D41">
              <w:rPr>
                <w:b/>
              </w:rPr>
              <w:t>anākta vienošanās</w:t>
            </w:r>
            <w:r w:rsidRPr="00347157">
              <w:rPr>
                <w:b/>
              </w:rPr>
              <w:t xml:space="preserve"> starpministriju (starpinstitūciju) sanāksmē</w:t>
            </w:r>
          </w:p>
          <w:p w:rsidR="008273D6" w:rsidRPr="003D7B8F" w:rsidRDefault="00526062" w:rsidP="007D04CC">
            <w:pPr>
              <w:widowControl w:val="0"/>
              <w:jc w:val="both"/>
              <w:rPr>
                <w:b/>
              </w:rPr>
            </w:pPr>
            <w:r w:rsidRPr="00526062">
              <w:t>Neattiecas uz konceptuālā ziņojuma jomu</w:t>
            </w:r>
            <w:r>
              <w:t xml:space="preserve">. Jautājums tiks risināts atbilstoši Zinātniskās darbības likuma un citu saistošo tiesību aktu regulējumam. </w:t>
            </w:r>
            <w:r w:rsidR="00F11E1A">
              <w:t xml:space="preserve">Kā jau vairākkārt norādīts tiesību aktu projektu </w:t>
            </w:r>
            <w:r w:rsidR="00F11E1A" w:rsidRPr="00A57118">
              <w:t>valsts pētījumu programma</w:t>
            </w:r>
            <w:r w:rsidR="00F11E1A">
              <w:t xml:space="preserve">s sagatavošanas jomā saskaņošanas gaitā, Iekšlietu ministrijai nav skaidrs šāda finansējuma aprēķināšanas mehānisms, bet ir saņemts IZM solījums starpministriju saskaņošanas sanāksmē par attiecīgo MK noteikumu projektu noorganizēt </w:t>
            </w:r>
            <w:r w:rsidR="007D04CC">
              <w:t>metodisku semināru.</w:t>
            </w:r>
          </w:p>
        </w:tc>
        <w:tc>
          <w:tcPr>
            <w:tcW w:w="2986" w:type="dxa"/>
            <w:tcBorders>
              <w:top w:val="single" w:sz="4" w:space="0" w:color="auto"/>
              <w:left w:val="single" w:sz="4" w:space="0" w:color="auto"/>
              <w:bottom w:val="single" w:sz="4" w:space="0" w:color="auto"/>
            </w:tcBorders>
          </w:tcPr>
          <w:p w:rsidR="008273D6" w:rsidRPr="00702405" w:rsidRDefault="008273D6" w:rsidP="008273D6">
            <w:pPr>
              <w:rPr>
                <w:i/>
              </w:rPr>
            </w:pPr>
          </w:p>
        </w:tc>
      </w:tr>
      <w:tr w:rsidR="008273D6" w:rsidRPr="001801C2" w:rsidTr="00C64E73">
        <w:tc>
          <w:tcPr>
            <w:tcW w:w="708" w:type="dxa"/>
            <w:tcBorders>
              <w:top w:val="single" w:sz="6" w:space="0" w:color="000000"/>
              <w:left w:val="single" w:sz="6" w:space="0" w:color="000000"/>
              <w:bottom w:val="single" w:sz="6" w:space="0" w:color="000000"/>
              <w:right w:val="single" w:sz="6" w:space="0" w:color="000000"/>
            </w:tcBorders>
          </w:tcPr>
          <w:p w:rsidR="008273D6" w:rsidRPr="001801C2" w:rsidRDefault="003220F9" w:rsidP="008273D6">
            <w:pPr>
              <w:jc w:val="right"/>
            </w:pPr>
            <w:r>
              <w:t>6.</w:t>
            </w:r>
          </w:p>
        </w:tc>
        <w:tc>
          <w:tcPr>
            <w:tcW w:w="3112" w:type="dxa"/>
            <w:tcBorders>
              <w:top w:val="single" w:sz="4" w:space="0" w:color="auto"/>
              <w:left w:val="single" w:sz="6" w:space="0" w:color="000000"/>
              <w:bottom w:val="single" w:sz="4" w:space="0" w:color="auto"/>
              <w:right w:val="single" w:sz="6" w:space="0" w:color="000000"/>
            </w:tcBorders>
          </w:tcPr>
          <w:p w:rsidR="008273D6" w:rsidRPr="00A16E0F" w:rsidRDefault="008273D6" w:rsidP="008273D6">
            <w:pPr>
              <w:rPr>
                <w: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A57118" w:rsidRPr="00A57118" w:rsidRDefault="00A57118" w:rsidP="00A57118">
            <w:pPr>
              <w:widowControl w:val="0"/>
              <w:jc w:val="both"/>
              <w:rPr>
                <w:b/>
              </w:rPr>
            </w:pPr>
            <w:r w:rsidRPr="00A57118">
              <w:rPr>
                <w:b/>
              </w:rPr>
              <w:t>Izglītības un zinātnes ministrija</w:t>
            </w:r>
          </w:p>
          <w:p w:rsidR="008273D6" w:rsidRPr="00A57118" w:rsidRDefault="00A57118" w:rsidP="00A57118">
            <w:pPr>
              <w:widowControl w:val="0"/>
              <w:jc w:val="both"/>
            </w:pPr>
            <w:r w:rsidRPr="00A57118">
              <w:t xml:space="preserve">Papildus, ministrija izsaka priekšlikumu papildināt Iekšlietu ministrijas konceptuālā ziņojuma “Par tiesībaizsardzības iestāžu </w:t>
            </w:r>
            <w:r w:rsidRPr="00A57118">
              <w:lastRenderedPageBreak/>
              <w:t xml:space="preserve">amatpersonu izglītības sistēmas pilnveidi” risinājuma nr. 3 aprakstu ar Augstskolu likuma normām, kurās ir reglamentēta </w:t>
            </w:r>
            <w:r>
              <w:t>s</w:t>
            </w:r>
            <w:r w:rsidRPr="00A57118">
              <w:t>truktūrvienību izveidošana augstskolās</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A57118" w:rsidRPr="008273D6" w:rsidRDefault="00A57118" w:rsidP="00A57118">
            <w:pPr>
              <w:ind w:firstLine="284"/>
              <w:jc w:val="both"/>
              <w:rPr>
                <w:b/>
              </w:rPr>
            </w:pPr>
            <w:r>
              <w:rPr>
                <w:b/>
              </w:rPr>
              <w:lastRenderedPageBreak/>
              <w:t>Priekšlikums</w:t>
            </w:r>
            <w:r w:rsidRPr="008273D6">
              <w:rPr>
                <w:b/>
              </w:rPr>
              <w:t xml:space="preserve"> ņemts vērā.</w:t>
            </w:r>
          </w:p>
          <w:p w:rsidR="00A57118" w:rsidRDefault="00A57118" w:rsidP="00A57118">
            <w:pPr>
              <w:ind w:firstLine="284"/>
              <w:jc w:val="both"/>
            </w:pPr>
            <w:r>
              <w:t>Koncepcijas projekts papildināts ar skaidrojumu.</w:t>
            </w:r>
          </w:p>
          <w:p w:rsidR="008273D6" w:rsidRPr="003D7B8F" w:rsidRDefault="008273D6" w:rsidP="008273D6">
            <w:pPr>
              <w:ind w:firstLine="284"/>
              <w:jc w:val="both"/>
              <w:rPr>
                <w:b/>
              </w:rPr>
            </w:pPr>
          </w:p>
        </w:tc>
        <w:tc>
          <w:tcPr>
            <w:tcW w:w="2986" w:type="dxa"/>
            <w:tcBorders>
              <w:top w:val="single" w:sz="4" w:space="0" w:color="auto"/>
              <w:left w:val="single" w:sz="4" w:space="0" w:color="auto"/>
              <w:bottom w:val="single" w:sz="4" w:space="0" w:color="auto"/>
            </w:tcBorders>
          </w:tcPr>
          <w:p w:rsidR="008273D6" w:rsidRPr="00702405" w:rsidRDefault="008273D6" w:rsidP="008273D6">
            <w:pPr>
              <w:rPr>
                <w:i/>
              </w:rPr>
            </w:pPr>
          </w:p>
        </w:tc>
      </w:tr>
      <w:tr w:rsidR="00556E83" w:rsidRPr="001801C2" w:rsidTr="00C64E73">
        <w:tc>
          <w:tcPr>
            <w:tcW w:w="708" w:type="dxa"/>
            <w:tcBorders>
              <w:top w:val="single" w:sz="6" w:space="0" w:color="000000"/>
              <w:left w:val="single" w:sz="6" w:space="0" w:color="000000"/>
              <w:bottom w:val="single" w:sz="6" w:space="0" w:color="000000"/>
              <w:right w:val="single" w:sz="6" w:space="0" w:color="000000"/>
            </w:tcBorders>
          </w:tcPr>
          <w:p w:rsidR="00556E83" w:rsidRPr="001801C2" w:rsidRDefault="003220F9" w:rsidP="008273D6">
            <w:pPr>
              <w:jc w:val="right"/>
            </w:pPr>
            <w:r>
              <w:t>7.</w:t>
            </w:r>
          </w:p>
        </w:tc>
        <w:tc>
          <w:tcPr>
            <w:tcW w:w="3112" w:type="dxa"/>
            <w:tcBorders>
              <w:top w:val="single" w:sz="4" w:space="0" w:color="auto"/>
              <w:left w:val="single" w:sz="6" w:space="0" w:color="000000"/>
              <w:bottom w:val="single" w:sz="4" w:space="0" w:color="auto"/>
              <w:right w:val="single" w:sz="6" w:space="0" w:color="000000"/>
            </w:tcBorders>
          </w:tcPr>
          <w:p w:rsidR="00556E83" w:rsidRPr="00A16E0F" w:rsidRDefault="00556E83" w:rsidP="008273D6">
            <w:pPr>
              <w:rPr>
                <w:i/>
              </w:rPr>
            </w:pPr>
            <w:r>
              <w:rPr>
                <w:i/>
              </w:rPr>
              <w:t>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556E83" w:rsidRDefault="00556E83" w:rsidP="00556E83">
            <w:pPr>
              <w:widowControl w:val="0"/>
              <w:jc w:val="both"/>
              <w:rPr>
                <w:b/>
              </w:rPr>
            </w:pPr>
            <w:r w:rsidRPr="00A57118">
              <w:rPr>
                <w:b/>
              </w:rPr>
              <w:t>Izglītības un zinātnes ministrija</w:t>
            </w:r>
          </w:p>
          <w:p w:rsidR="00556E83" w:rsidRPr="00A57118" w:rsidRDefault="00556E83" w:rsidP="00556E83">
            <w:pPr>
              <w:widowControl w:val="0"/>
              <w:jc w:val="both"/>
              <w:rPr>
                <w:b/>
              </w:rPr>
            </w:pPr>
            <w:r w:rsidRPr="00A57118">
              <w:t xml:space="preserve">Saskaņā ar Ministru kabineta 2009. gada 7. aprīļa noteikumiem Nr. 300 „Ministru kabineta kārtības rullis” 119. punktā noteikto šo noteikumu 117. punktā minētā jautājuma saskaņošanu nodrošina ar tām ministrijām un citām institūcijām, kuru kompetenci jautājums tieši skar. Ņemot vērā to, ka Iekšlietu ministrijas sagatavotajā konceptuālajā ziņojumā “Par tiesībaizsardzības iestāžu amatpersonu izglītības sistēmas pilnveidi” pie risinājuma Nr. 3 ir minēts, ka tika uzrunāta arī Rīgas Stradiņa universitāte (skatīt 29. lpp.), kura saskaņā ar Ministru kabineta 2004. gada 13. aprīļa noteikumu Nr. 286 “Veselības ministrijas nolikums” 24.13. apakšpunktu ir Veselības ministrijas padotībā. Tāpēc, lūdzam nodrošināt minētā Iekšlietu ministrijas konceptuālā ziņojuma saskaņošanu arī ar </w:t>
            </w:r>
            <w:r w:rsidRPr="00A57118">
              <w:lastRenderedPageBreak/>
              <w:t>Veselības ministriju.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556E83" w:rsidRPr="00347157" w:rsidRDefault="007D7D41" w:rsidP="00556E83">
            <w:pPr>
              <w:jc w:val="both"/>
              <w:rPr>
                <w:b/>
              </w:rPr>
            </w:pPr>
            <w:r w:rsidRPr="007D7D41">
              <w:rPr>
                <w:b/>
              </w:rPr>
              <w:lastRenderedPageBreak/>
              <w:t>Panākta vienošanās</w:t>
            </w:r>
            <w:r w:rsidR="00556E83" w:rsidRPr="00347157">
              <w:rPr>
                <w:b/>
              </w:rPr>
              <w:t xml:space="preserve"> starpministriju (starpinstitūciju) sanāksmē</w:t>
            </w:r>
          </w:p>
          <w:p w:rsidR="00556E83" w:rsidRDefault="00556E83" w:rsidP="00556E83">
            <w:pPr>
              <w:ind w:firstLine="284"/>
              <w:jc w:val="both"/>
              <w:rPr>
                <w:b/>
              </w:rPr>
            </w:pPr>
            <w:r>
              <w:t xml:space="preserve">Vēršam uzmanību uz to, ka konceptuālais ziņojums neparedz konkrētas universitātes izvēli, bet nosauc vienu no iespējamiem risinājumiem,- struktūrvienības izveidi </w:t>
            </w:r>
            <w:r w:rsidRPr="003F2313">
              <w:rPr>
                <w:u w:val="single"/>
              </w:rPr>
              <w:t>kādā no</w:t>
            </w:r>
            <w:r>
              <w:t xml:space="preserve"> valsts universitātēm. Līdz ar to saskaņojums ar Veselības ministriju būs nepieciešams tajā gadījumā, ja Ministru kabinets būs akceptējis minētā risinājuma īstenošanu, un varēs uzsākt konkrētas sarunas ar potenciālajiem sadarbības partneriem. Uzrunājot Latvijas Universitāti un Rīgas Stradiņa universitāti, darba grupa vēlējās izzināt universitāšu viedokli un ieinteresētību par piedāvātā risinājuma iespējamību</w:t>
            </w:r>
          </w:p>
        </w:tc>
        <w:tc>
          <w:tcPr>
            <w:tcW w:w="2986" w:type="dxa"/>
            <w:tcBorders>
              <w:top w:val="single" w:sz="4" w:space="0" w:color="auto"/>
              <w:left w:val="single" w:sz="4" w:space="0" w:color="auto"/>
              <w:bottom w:val="single" w:sz="4" w:space="0" w:color="auto"/>
            </w:tcBorders>
          </w:tcPr>
          <w:p w:rsidR="00556E83" w:rsidRPr="00702405" w:rsidRDefault="00556E83" w:rsidP="008273D6">
            <w:pPr>
              <w:rPr>
                <w:i/>
              </w:rPr>
            </w:pPr>
            <w:r>
              <w:rPr>
                <w:i/>
              </w:rPr>
              <w:t>Projekts</w:t>
            </w:r>
          </w:p>
        </w:tc>
      </w:tr>
      <w:tr w:rsidR="003220F9" w:rsidRPr="001801C2" w:rsidTr="00C64E73">
        <w:tc>
          <w:tcPr>
            <w:tcW w:w="708" w:type="dxa"/>
            <w:tcBorders>
              <w:top w:val="single" w:sz="6" w:space="0" w:color="000000"/>
              <w:left w:val="single" w:sz="6" w:space="0" w:color="000000"/>
              <w:bottom w:val="single" w:sz="6" w:space="0" w:color="000000"/>
              <w:right w:val="single" w:sz="6" w:space="0" w:color="000000"/>
            </w:tcBorders>
          </w:tcPr>
          <w:p w:rsidR="003220F9" w:rsidRPr="001801C2" w:rsidRDefault="003220F9" w:rsidP="003220F9">
            <w:pPr>
              <w:jc w:val="right"/>
            </w:pPr>
            <w:r>
              <w:t>8.</w:t>
            </w:r>
          </w:p>
        </w:tc>
        <w:tc>
          <w:tcPr>
            <w:tcW w:w="3112" w:type="dxa"/>
            <w:tcBorders>
              <w:top w:val="single" w:sz="4" w:space="0" w:color="auto"/>
              <w:left w:val="single" w:sz="6" w:space="0" w:color="000000"/>
              <w:bottom w:val="single" w:sz="4" w:space="0" w:color="auto"/>
              <w:right w:val="single" w:sz="6" w:space="0" w:color="000000"/>
            </w:tcBorders>
          </w:tcPr>
          <w:p w:rsidR="003220F9" w:rsidRDefault="003220F9" w:rsidP="003220F9">
            <w:pPr>
              <w:rPr>
                <w:i/>
              </w:rPr>
            </w:pPr>
            <w:r w:rsidRPr="00E532FA">
              <w:rPr>
                <w:i/>
              </w:rPr>
              <w:t>Projekta 7.pielikums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3220F9" w:rsidRPr="00E532FA" w:rsidRDefault="003220F9" w:rsidP="003220F9">
            <w:pPr>
              <w:ind w:left="40" w:firstLine="142"/>
              <w:jc w:val="both"/>
              <w:rPr>
                <w:b/>
              </w:rPr>
            </w:pPr>
            <w:r w:rsidRPr="00E532FA">
              <w:rPr>
                <w:b/>
              </w:rPr>
              <w:t>Finanšu ministrija</w:t>
            </w:r>
          </w:p>
          <w:p w:rsidR="003220F9" w:rsidRPr="00E532FA" w:rsidRDefault="003220F9" w:rsidP="003220F9">
            <w:pPr>
              <w:ind w:left="40" w:firstLine="142"/>
              <w:jc w:val="both"/>
            </w:pPr>
            <w:r w:rsidRPr="00E532FA">
              <w:t xml:space="preserve">Izskatot Iekšlietu ministrijas konceptuālā ziņojuma projektā piedāvātā atbalstāmā 3.risinājuma varianta “Jaunas struktūrvienības izveide kādā no valsts universitātēm” īstenošanai pievienotos papildu nepieciešamā finansējuma detalizētos aprēķinus (7.pielikums “Prognozētā papildu nepieciešamā finansējuma detalizēti aprēķini”), norādām, ka saskaņā ar Ministru kabineta </w:t>
            </w:r>
            <w:proofErr w:type="gramStart"/>
            <w:r w:rsidRPr="00E532FA">
              <w:t>2006.gada</w:t>
            </w:r>
            <w:proofErr w:type="gramEnd"/>
            <w:r w:rsidRPr="00E532FA">
              <w:t xml:space="preserve"> 12.decembra noteikumu Nr.994 “Kārtība, kādā augstskolas un koledžas tiek finansētas no valsts budžeta līdzekļiem” 8.punktu studiju bāzes finansējumu no valsts budžeta līdzekļiem piešķir tikai pilna laika studijām. Līdz ar to nav pamatojuma aprēķinos iekļaut papildu nepieciešamā finansējuma aprēķinus nepilna laika studijām.</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7D7D41" w:rsidRPr="007D7D41" w:rsidRDefault="007D7D41" w:rsidP="007D7D41">
            <w:pPr>
              <w:jc w:val="both"/>
              <w:rPr>
                <w:b/>
              </w:rPr>
            </w:pPr>
            <w:r w:rsidRPr="007D7D41">
              <w:rPr>
                <w:b/>
              </w:rPr>
              <w:t>Priekšlikums ņemts vērā.</w:t>
            </w:r>
          </w:p>
          <w:p w:rsidR="007D7D41" w:rsidRPr="007D7D41" w:rsidRDefault="007D7D41" w:rsidP="007D7D41">
            <w:pPr>
              <w:pStyle w:val="tv213tvp"/>
              <w:spacing w:before="0" w:beforeAutospacing="0" w:after="0" w:afterAutospacing="0"/>
              <w:ind w:firstLine="343"/>
              <w:jc w:val="both"/>
              <w:rPr>
                <w:lang w:val="lv-LV"/>
              </w:rPr>
            </w:pPr>
            <w:r w:rsidRPr="007D7D41">
              <w:rPr>
                <w:lang w:val="lv-LV"/>
              </w:rPr>
              <w:t>Koncepcijas projekts papildināts ar skaidrojumu.</w:t>
            </w:r>
          </w:p>
          <w:p w:rsidR="003220F9" w:rsidRDefault="003220F9" w:rsidP="007D7D41">
            <w:pPr>
              <w:pStyle w:val="tv213tvp"/>
              <w:spacing w:before="0" w:beforeAutospacing="0" w:after="0" w:afterAutospacing="0"/>
              <w:ind w:firstLine="343"/>
              <w:jc w:val="both"/>
              <w:rPr>
                <w:lang w:val="lv-LV"/>
              </w:rPr>
            </w:pPr>
            <w:r>
              <w:rPr>
                <w:lang w:val="lv-LV"/>
              </w:rPr>
              <w:t xml:space="preserve">Neraugoties uz to, ka </w:t>
            </w:r>
            <w:r w:rsidRPr="00B65ED6">
              <w:rPr>
                <w:lang w:val="lv-LV"/>
              </w:rPr>
              <w:t xml:space="preserve">Ministru kabineta </w:t>
            </w:r>
            <w:proofErr w:type="gramStart"/>
            <w:r w:rsidRPr="00B65ED6">
              <w:rPr>
                <w:lang w:val="lv-LV"/>
              </w:rPr>
              <w:t>2006.gada</w:t>
            </w:r>
            <w:proofErr w:type="gramEnd"/>
            <w:r w:rsidRPr="00B65ED6">
              <w:rPr>
                <w:lang w:val="lv-LV"/>
              </w:rPr>
              <w:t xml:space="preserve"> 12.decembra noteikumu Nr.994 “Kārtība, kādā augstskolas un koledžas tiek finansētas no valsts budžeta līdzekļiem”</w:t>
            </w:r>
            <w:r>
              <w:rPr>
                <w:lang w:val="lv-LV"/>
              </w:rPr>
              <w:t xml:space="preserve"> (turpmāk – noteikumi Nr.994)</w:t>
            </w:r>
            <w:r w:rsidRPr="00B65ED6">
              <w:rPr>
                <w:lang w:val="lv-LV"/>
              </w:rPr>
              <w:t xml:space="preserve"> 8.punkt</w:t>
            </w:r>
            <w:r>
              <w:rPr>
                <w:lang w:val="lv-LV"/>
              </w:rPr>
              <w:t>s nosaka, ka “</w:t>
            </w:r>
            <w:r w:rsidRPr="00B65ED6">
              <w:rPr>
                <w:lang w:val="lv-LV"/>
              </w:rPr>
              <w:t>studiju bāzes finansējumu no valsts budžeta līdzekļiem piešķir tikai pilna laika studijām</w:t>
            </w:r>
            <w:r>
              <w:rPr>
                <w:lang w:val="lv-LV"/>
              </w:rPr>
              <w:t xml:space="preserve">”, šo noteikumu </w:t>
            </w:r>
            <w:r w:rsidRPr="00B51501">
              <w:rPr>
                <w:lang w:val="lv-LV"/>
              </w:rPr>
              <w:t xml:space="preserve">28. </w:t>
            </w:r>
            <w:r>
              <w:rPr>
                <w:lang w:val="lv-LV"/>
              </w:rPr>
              <w:t>punkts nosaka, ka  “s</w:t>
            </w:r>
            <w:r w:rsidRPr="00B51501">
              <w:rPr>
                <w:lang w:val="lv-LV"/>
              </w:rPr>
              <w:t xml:space="preserve">tudiju izmaksu koeficientu vērtības </w:t>
            </w:r>
            <w:r w:rsidRPr="00B65ED6">
              <w:rPr>
                <w:u w:val="single"/>
                <w:lang w:val="lv-LV"/>
              </w:rPr>
              <w:t xml:space="preserve">studiju vietas izmaksu aprēķinos nepilna laika studijās ir trīs ceturtdaļas no šo noteikumu </w:t>
            </w:r>
            <w:hyperlink r:id="rId8" w:anchor="piel1" w:history="1">
              <w:r w:rsidRPr="00B65ED6">
                <w:rPr>
                  <w:rStyle w:val="Hyperlink"/>
                  <w:lang w:val="lv-LV"/>
                </w:rPr>
                <w:t>1.pielikumā</w:t>
              </w:r>
            </w:hyperlink>
            <w:r w:rsidRPr="00B65ED6">
              <w:rPr>
                <w:u w:val="single"/>
                <w:lang w:val="lv-LV"/>
              </w:rPr>
              <w:t xml:space="preserve"> noteiktās attiecīgās izglītības tematiskās jomas koeficienta vērtības</w:t>
            </w:r>
            <w:r w:rsidRPr="00B51501">
              <w:rPr>
                <w:lang w:val="lv-LV"/>
              </w:rPr>
              <w:t>.</w:t>
            </w:r>
            <w:r>
              <w:rPr>
                <w:lang w:val="lv-LV"/>
              </w:rPr>
              <w:t>” Jānorāda, ka amatpersonu izglītības ieguve (gan pilna, gan nepilna laika studijas) likvidētajā Latvijas Policijas akadēmijā tika finansēta saskaņā ar noteikumiem Nr.994.</w:t>
            </w:r>
          </w:p>
          <w:p w:rsidR="003220F9" w:rsidRDefault="003220F9" w:rsidP="003220F9">
            <w:pPr>
              <w:jc w:val="both"/>
              <w:rPr>
                <w:u w:val="single"/>
              </w:rPr>
            </w:pPr>
            <w:r w:rsidRPr="00B51501">
              <w:rPr>
                <w:rFonts w:eastAsia="Calibri"/>
                <w:lang w:eastAsia="en-US"/>
              </w:rPr>
              <w:t xml:space="preserve">Ministru kabineta </w:t>
            </w:r>
            <w:proofErr w:type="gramStart"/>
            <w:r w:rsidRPr="00B51501">
              <w:rPr>
                <w:rFonts w:eastAsia="Calibri"/>
                <w:lang w:eastAsia="en-US"/>
              </w:rPr>
              <w:t>2010.gada</w:t>
            </w:r>
            <w:proofErr w:type="gramEnd"/>
            <w:r w:rsidRPr="00B51501">
              <w:rPr>
                <w:rFonts w:eastAsia="Calibri"/>
                <w:lang w:eastAsia="en-US"/>
              </w:rPr>
              <w:t xml:space="preserve"> 16.mart</w:t>
            </w:r>
            <w:r w:rsidRPr="00B65ED6">
              <w:rPr>
                <w:rFonts w:eastAsia="Calibri"/>
                <w:lang w:eastAsia="en-US"/>
              </w:rPr>
              <w:t>a</w:t>
            </w:r>
            <w:r w:rsidRPr="00B51501">
              <w:rPr>
                <w:rFonts w:eastAsia="Calibri"/>
                <w:lang w:eastAsia="en-US"/>
              </w:rPr>
              <w:t xml:space="preserve"> noteikum</w:t>
            </w:r>
            <w:r w:rsidRPr="00B65ED6">
              <w:rPr>
                <w:rFonts w:eastAsia="Calibri"/>
                <w:lang w:eastAsia="en-US"/>
              </w:rPr>
              <w:t>u</w:t>
            </w:r>
            <w:r w:rsidRPr="00B51501">
              <w:rPr>
                <w:rFonts w:eastAsia="Calibri"/>
                <w:lang w:eastAsia="en-US"/>
              </w:rPr>
              <w:t xml:space="preserve"> Nr.257</w:t>
            </w:r>
            <w:r w:rsidRPr="00B51501">
              <w:t xml:space="preserve"> </w:t>
            </w:r>
            <w:r>
              <w:t>“</w:t>
            </w:r>
            <w:r w:rsidRPr="00B51501">
              <w:t>Noteikumi par kārtību, kādā Iekšlietu ministrijas sistēmas iestāžu un Ieslodzījuma vietu pārvaldes amatpersonas ar speciālajām dienesta pakāpēm tiek nosūtītas izglītības iegūšanai, kā arī mācību izdevumu segšanas un atmaksāšanas kārtību</w:t>
            </w:r>
            <w:r>
              <w:t xml:space="preserve">” (turpmāk – noteikumi Nr.257) </w:t>
            </w:r>
            <w:r w:rsidRPr="00B51501">
              <w:t>2.</w:t>
            </w:r>
            <w:r>
              <w:t>punkts nosaka, ka  “</w:t>
            </w:r>
            <w:r w:rsidRPr="00B65ED6">
              <w:rPr>
                <w:u w:val="single"/>
              </w:rPr>
              <w:t xml:space="preserve">mācību izdevumus, kas saistīti ar izglītības iegūšanu, sedz no valsts budžeta </w:t>
            </w:r>
            <w:r w:rsidRPr="00B65ED6">
              <w:rPr>
                <w:u w:val="single"/>
              </w:rPr>
              <w:lastRenderedPageBreak/>
              <w:t>līdzekļiem</w:t>
            </w:r>
            <w:r w:rsidRPr="00B51501">
              <w:t xml:space="preserve">, ja amatpersona saskaņā ar šiem noteikumiem izglītību iegūst Iekšlietu ministrijas sistēmas iestāžu padotībā esošā koledžā (turpmāk – koledža), Ieslodzījuma vietu pārvaldes Mācību centrā (turpmāk – mācību centrs) vai citā šajos noteikumos noteiktajā izglītības iestādē attiecīgi </w:t>
            </w:r>
            <w:r w:rsidRPr="00B51501">
              <w:rPr>
                <w:u w:val="single"/>
              </w:rPr>
              <w:t>pilna vai nepilna laika studijās, klātienē vai neklātienē.</w:t>
            </w:r>
            <w:r>
              <w:rPr>
                <w:u w:val="single"/>
              </w:rPr>
              <w:t>” Savukārt, 18.punkts nosaka, ka “j</w:t>
            </w:r>
            <w:r w:rsidRPr="00B65ED6">
              <w:t>a amatpersona izglītības iegūšanai nosūtīta uz šo noteikumu 3.3.apakšpunktā minēto izglītības iestādi</w:t>
            </w:r>
            <w:r>
              <w:t xml:space="preserve"> [uz augstskolu – otrā līmeņa profesionālās augstākās izglītības ieguvei]</w:t>
            </w:r>
            <w:r w:rsidRPr="00B65ED6">
              <w:t xml:space="preserve">, </w:t>
            </w:r>
            <w:r w:rsidRPr="00347157">
              <w:rPr>
                <w:u w:val="single"/>
              </w:rPr>
              <w:t>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p w:rsidR="003220F9" w:rsidRPr="00347157" w:rsidRDefault="003220F9" w:rsidP="003220F9">
            <w:pPr>
              <w:jc w:val="both"/>
            </w:pPr>
            <w:r w:rsidRPr="00347157">
              <w:t>Būtiski norādīt, ka saskaņā ar noteikumiem Nr.257 paredzēti gadījumi, kad amatpersona ar speciālo dienesta pakāpi atmaksā iestādes segto mācību maksu.</w:t>
            </w:r>
          </w:p>
          <w:p w:rsidR="003220F9" w:rsidRPr="00033045" w:rsidRDefault="003220F9" w:rsidP="003220F9">
            <w:pPr>
              <w:jc w:val="both"/>
              <w:rPr>
                <w:u w:val="single"/>
              </w:rPr>
            </w:pPr>
            <w:r w:rsidRPr="00347157">
              <w:t xml:space="preserve">Ievērojot minēto, </w:t>
            </w:r>
            <w:r w:rsidRPr="00033045">
              <w:rPr>
                <w:u w:val="single"/>
              </w:rPr>
              <w:t>aprēķini veikti, piemērojot noteikumu Nr.994 regulējumu.</w:t>
            </w:r>
          </w:p>
          <w:p w:rsidR="003220F9" w:rsidRDefault="003220F9" w:rsidP="003220F9">
            <w:pPr>
              <w:jc w:val="both"/>
            </w:pPr>
            <w:r>
              <w:t xml:space="preserve">Vienlaikus </w:t>
            </w:r>
            <w:r w:rsidRPr="00347157">
              <w:t>Ministru kabineta rīkojuma projekta “Par konceptuālo ziņojumu „Par tiesībaizsardzības iestāžu amatpersonu izglītības sistēmas pilnveidi”” 3. pun</w:t>
            </w:r>
            <w:r>
              <w:t>k</w:t>
            </w:r>
            <w:r w:rsidRPr="00347157">
              <w:t xml:space="preserve">tā paredzēts </w:t>
            </w:r>
            <w:r w:rsidRPr="00347157">
              <w:lastRenderedPageBreak/>
              <w:t xml:space="preserve">uzdevums “Iekšlietu ministrijai kopīgi ar Izglītības un zinātnes ministriju sagatavot un iekšlietu ministram līdz </w:t>
            </w:r>
            <w:proofErr w:type="gramStart"/>
            <w:r w:rsidRPr="00347157">
              <w:t>2019.gada</w:t>
            </w:r>
            <w:proofErr w:type="gramEnd"/>
            <w:r w:rsidRPr="00347157">
              <w:t xml:space="preserve"> 1.martam iesniegt noteiktā kārtībā izskatīšanai Ministru kabinetā informatīvo ziņojumu par konkrētas valsts universitātes izvēli </w:t>
            </w:r>
            <w:r w:rsidRPr="00ED4DBE">
              <w:rPr>
                <w:u w:val="single"/>
              </w:rPr>
              <w:t>un atbilstoša normatīvā regulējuma izstrādes nepieciešamību.</w:t>
            </w:r>
            <w:r w:rsidRPr="00347157">
              <w:t>”</w:t>
            </w:r>
          </w:p>
          <w:p w:rsidR="003220F9" w:rsidRPr="00B65ED6" w:rsidRDefault="003220F9" w:rsidP="003220F9">
            <w:pPr>
              <w:jc w:val="both"/>
              <w:rPr>
                <w:b/>
              </w:rPr>
            </w:pPr>
            <w:proofErr w:type="gramStart"/>
            <w:r>
              <w:t>Tātad,</w:t>
            </w:r>
            <w:proofErr w:type="gramEnd"/>
            <w:r>
              <w:t xml:space="preserve"> nepieciešamā normatīvā regulējuma jautājumi tiks risināti minētā informatīvā ziņojuma ietvaros.</w:t>
            </w:r>
          </w:p>
        </w:tc>
        <w:tc>
          <w:tcPr>
            <w:tcW w:w="2986" w:type="dxa"/>
            <w:tcBorders>
              <w:top w:val="single" w:sz="4" w:space="0" w:color="auto"/>
              <w:left w:val="single" w:sz="4" w:space="0" w:color="auto"/>
              <w:bottom w:val="single" w:sz="4" w:space="0" w:color="auto"/>
            </w:tcBorders>
          </w:tcPr>
          <w:p w:rsidR="003220F9" w:rsidRDefault="003220F9" w:rsidP="003220F9">
            <w:pPr>
              <w:rPr>
                <w:i/>
              </w:rPr>
            </w:pPr>
            <w:r>
              <w:rPr>
                <w:i/>
              </w:rPr>
              <w:lastRenderedPageBreak/>
              <w:t>Papildināta p</w:t>
            </w:r>
            <w:r w:rsidRPr="00E532FA">
              <w:rPr>
                <w:i/>
              </w:rPr>
              <w:t>rojekta 7.pielikum</w:t>
            </w:r>
            <w:r>
              <w:rPr>
                <w:i/>
              </w:rPr>
              <w:t>a sadaļa “Pamatojums”</w:t>
            </w:r>
          </w:p>
        </w:tc>
      </w:tr>
      <w:tr w:rsidR="003220F9" w:rsidRPr="001801C2" w:rsidTr="00C64E73">
        <w:tc>
          <w:tcPr>
            <w:tcW w:w="708" w:type="dxa"/>
            <w:tcBorders>
              <w:top w:val="single" w:sz="6" w:space="0" w:color="000000"/>
              <w:left w:val="single" w:sz="6" w:space="0" w:color="000000"/>
              <w:bottom w:val="single" w:sz="6" w:space="0" w:color="000000"/>
              <w:right w:val="single" w:sz="6" w:space="0" w:color="000000"/>
            </w:tcBorders>
          </w:tcPr>
          <w:p w:rsidR="003220F9" w:rsidRPr="001801C2" w:rsidRDefault="003220F9" w:rsidP="003220F9">
            <w:pPr>
              <w:jc w:val="right"/>
            </w:pPr>
            <w:r>
              <w:lastRenderedPageBreak/>
              <w:t>9.</w:t>
            </w:r>
          </w:p>
        </w:tc>
        <w:tc>
          <w:tcPr>
            <w:tcW w:w="3112" w:type="dxa"/>
            <w:tcBorders>
              <w:top w:val="single" w:sz="4" w:space="0" w:color="auto"/>
              <w:left w:val="single" w:sz="6" w:space="0" w:color="000000"/>
              <w:bottom w:val="single" w:sz="4" w:space="0" w:color="auto"/>
              <w:right w:val="single" w:sz="6" w:space="0" w:color="000000"/>
            </w:tcBorders>
          </w:tcPr>
          <w:p w:rsidR="003220F9" w:rsidRDefault="003220F9" w:rsidP="003220F9">
            <w:pPr>
              <w:rPr>
                <w:i/>
              </w:rPr>
            </w:pPr>
            <w:r w:rsidRPr="00E532FA">
              <w:rPr>
                <w:i/>
              </w:rPr>
              <w:t>Projekta 7.pielikums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3220F9" w:rsidRPr="00E532FA" w:rsidRDefault="003220F9" w:rsidP="003220F9">
            <w:pPr>
              <w:jc w:val="both"/>
              <w:rPr>
                <w:b/>
              </w:rPr>
            </w:pPr>
            <w:r w:rsidRPr="00E532FA">
              <w:rPr>
                <w:b/>
              </w:rPr>
              <w:t>Finanšu ministrija</w:t>
            </w:r>
          </w:p>
          <w:p w:rsidR="003220F9" w:rsidRPr="007339AC" w:rsidRDefault="003220F9" w:rsidP="003220F9">
            <w:pPr>
              <w:jc w:val="both"/>
            </w:pPr>
            <w:r w:rsidRPr="00E532FA">
              <w:t>Vēršam uzmanību, ka konceptuālā ziņojuma projekta 7.pielikumā “Prognozētā papildu nepieciešamā finansējuma detalizēti aprēķini” 2.punkta “Pastāvīgās izmaksas (studiju finansējums)” pamatojumā studiju izmaksu koeficientam izglītības tematiskajā jomā “Civilā drošība” tiek piemērota optimālā vērtība – 4,2. Ņemot vērā, ka Izglītības un zinātnes ministrijas padotībā esošajām augstākās izglītības iestādēm studiju programmu īstenošanai tiek piemērots minimālais studiju izmaksu koeficients, lūdzam pārskatīt aprēķinos izmantoto studiju izmaksu koeficientu.</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7D7D41" w:rsidRDefault="007D7D41" w:rsidP="007D7D41">
            <w:pPr>
              <w:pStyle w:val="tv213tvp"/>
              <w:jc w:val="both"/>
              <w:rPr>
                <w:b/>
                <w:lang w:val="lv-LV"/>
              </w:rPr>
            </w:pPr>
            <w:r w:rsidRPr="007D7D41">
              <w:rPr>
                <w:b/>
                <w:lang w:val="lv-LV"/>
              </w:rPr>
              <w:t>Priekšlikums ņemts vērā.</w:t>
            </w:r>
          </w:p>
          <w:p w:rsidR="007D7D41" w:rsidRPr="007D7D41" w:rsidRDefault="007D7D41" w:rsidP="007D7D41">
            <w:pPr>
              <w:jc w:val="both"/>
            </w:pPr>
            <w:r w:rsidRPr="007D7D41">
              <w:t>Koncepcijas projekts papildināts ar skaidrojumu.</w:t>
            </w:r>
            <w:r w:rsidRPr="007D7D41">
              <w:t xml:space="preserve"> </w:t>
            </w:r>
          </w:p>
          <w:p w:rsidR="003220F9" w:rsidRDefault="003220F9" w:rsidP="007D7D41">
            <w:pPr>
              <w:jc w:val="both"/>
            </w:pPr>
            <w:r w:rsidRPr="007D7D41">
              <w:t>Aprēķini veikti, piemērojot noteikumu Nr.994 regulējumu</w:t>
            </w:r>
            <w:r>
              <w:t>, proti, šo noteikumu 27.punkts nosaka, ka “</w:t>
            </w:r>
            <w:r w:rsidRPr="007E0A62">
              <w:t>Pāreja no minimālajām studiju izmaksu koeficienta vērtībām</w:t>
            </w:r>
            <w:proofErr w:type="gramStart"/>
            <w:r>
              <w:t>[</w:t>
            </w:r>
            <w:proofErr w:type="gramEnd"/>
            <w:r>
              <w:t xml:space="preserve">1.pielikuma </w:t>
            </w:r>
            <w:r w:rsidRPr="007E0A62">
              <w:t xml:space="preserve">Izglītības tematiskā joma - </w:t>
            </w:r>
            <w:r>
              <w:t>26.punkts “</w:t>
            </w:r>
            <w:r w:rsidRPr="007E0A62">
              <w:t>Civilā drošība</w:t>
            </w:r>
            <w:r>
              <w:t>”:</w:t>
            </w:r>
            <w:r w:rsidRPr="006B7F86">
              <w:t xml:space="preserve"> Studiju izmaksu koeficienta (</w:t>
            </w:r>
            <w:proofErr w:type="spellStart"/>
            <w:r w:rsidRPr="006B7F86">
              <w:t>ki</w:t>
            </w:r>
            <w:proofErr w:type="spellEnd"/>
            <w:r w:rsidRPr="006B7F86">
              <w:t>) minimālā vērtība-2,7; Studiju izmaksu koeficienta (</w:t>
            </w:r>
            <w:proofErr w:type="spellStart"/>
            <w:r w:rsidRPr="006B7F86">
              <w:t>ki</w:t>
            </w:r>
            <w:proofErr w:type="spellEnd"/>
            <w:r w:rsidRPr="006B7F86">
              <w:t>)</w:t>
            </w:r>
            <w:r w:rsidRPr="006B7F86">
              <w:br/>
              <w:t>optimālā vērtība</w:t>
            </w:r>
            <w:r>
              <w:t>-4,2)</w:t>
            </w:r>
            <w:r w:rsidRPr="007E0A62">
              <w:t xml:space="preserve"> uz optimālajām vērtībām notiek pakāpeniski desmit gadu laikā, katru gadu palielinot studiju izmaksu koeficienta vērtību par vienu desmito daļu.</w:t>
            </w:r>
            <w:r>
              <w:t>”</w:t>
            </w:r>
          </w:p>
          <w:p w:rsidR="003220F9" w:rsidRDefault="003220F9" w:rsidP="003220F9">
            <w:pPr>
              <w:pStyle w:val="tv213tvp"/>
              <w:spacing w:before="0" w:beforeAutospacing="0" w:after="0" w:afterAutospacing="0"/>
              <w:jc w:val="both"/>
              <w:rPr>
                <w:lang w:val="lv-LV"/>
              </w:rPr>
            </w:pPr>
            <w:r>
              <w:rPr>
                <w:lang w:val="lv-LV"/>
              </w:rPr>
              <w:t xml:space="preserve"> Ievērojot, ka </w:t>
            </w:r>
            <w:r w:rsidRPr="007E0A62">
              <w:rPr>
                <w:lang w:val="lv-LV"/>
              </w:rPr>
              <w:t>noteikum</w:t>
            </w:r>
            <w:r>
              <w:rPr>
                <w:lang w:val="lv-LV"/>
              </w:rPr>
              <w:t>i</w:t>
            </w:r>
            <w:proofErr w:type="gramStart"/>
            <w:r>
              <w:rPr>
                <w:lang w:val="lv-LV"/>
              </w:rPr>
              <w:t xml:space="preserve"> </w:t>
            </w:r>
            <w:r w:rsidRPr="007E0A62">
              <w:rPr>
                <w:lang w:val="lv-LV"/>
              </w:rPr>
              <w:t xml:space="preserve"> </w:t>
            </w:r>
            <w:proofErr w:type="gramEnd"/>
            <w:r w:rsidRPr="007E0A62">
              <w:rPr>
                <w:lang w:val="lv-LV"/>
              </w:rPr>
              <w:t>Nr.994</w:t>
            </w:r>
            <w:r>
              <w:rPr>
                <w:lang w:val="lv-LV"/>
              </w:rPr>
              <w:t xml:space="preserve"> stājās spēkā 2007.gada 1.janvārī, tad jau ar 2016.gadu piemērojama s</w:t>
            </w:r>
            <w:r w:rsidRPr="006B7F86">
              <w:rPr>
                <w:lang w:val="lv-LV"/>
              </w:rPr>
              <w:t>tudiju izmaksu koeficienta (</w:t>
            </w:r>
            <w:proofErr w:type="spellStart"/>
            <w:r w:rsidRPr="006B7F86">
              <w:rPr>
                <w:lang w:val="lv-LV"/>
              </w:rPr>
              <w:t>ki</w:t>
            </w:r>
            <w:proofErr w:type="spellEnd"/>
            <w:r w:rsidRPr="006B7F86">
              <w:rPr>
                <w:lang w:val="lv-LV"/>
              </w:rPr>
              <w:t>)</w:t>
            </w:r>
            <w:r w:rsidRPr="006B7F86">
              <w:rPr>
                <w:lang w:val="lv-LV"/>
              </w:rPr>
              <w:br/>
              <w:t>optimālā vērtība</w:t>
            </w:r>
            <w:r>
              <w:rPr>
                <w:lang w:val="lv-LV"/>
              </w:rPr>
              <w:t>- 4,2).</w:t>
            </w:r>
          </w:p>
          <w:p w:rsidR="003220F9" w:rsidRPr="007E0A62" w:rsidRDefault="003220F9" w:rsidP="003220F9">
            <w:pPr>
              <w:pStyle w:val="tv213tvp"/>
              <w:spacing w:before="0" w:beforeAutospacing="0" w:after="0" w:afterAutospacing="0"/>
              <w:jc w:val="both"/>
              <w:rPr>
                <w:rFonts w:eastAsia="Times New Roman"/>
                <w:b/>
                <w:lang w:val="lv-LV" w:eastAsia="lv-LV"/>
              </w:rPr>
            </w:pPr>
            <w:r>
              <w:rPr>
                <w:lang w:val="lv-LV"/>
              </w:rPr>
              <w:lastRenderedPageBreak/>
              <w:t xml:space="preserve">Vēršam uzmanību, ka Iekšlietu ministrija, piešķirot finansējumu gan likvidētajai Latvijas Policijas akadēmijai, gan tās saistību pārņēmējai – Latvijas Universitātei, </w:t>
            </w:r>
            <w:r w:rsidRPr="005E742D">
              <w:rPr>
                <w:u w:val="single"/>
                <w:lang w:val="lv-LV"/>
              </w:rPr>
              <w:t>ievēroja noteikumu Nr.994 regulējumu</w:t>
            </w:r>
            <w:r>
              <w:rPr>
                <w:lang w:val="lv-LV"/>
              </w:rPr>
              <w:t>, atbilstoši tam aprēķinos piemērojot katram gadam atbilstošo s</w:t>
            </w:r>
            <w:r w:rsidRPr="006B7F86">
              <w:rPr>
                <w:lang w:val="lv-LV"/>
              </w:rPr>
              <w:t>tudiju izmaksu koeficienta (</w:t>
            </w:r>
            <w:proofErr w:type="spellStart"/>
            <w:r w:rsidRPr="006B7F86">
              <w:rPr>
                <w:lang w:val="lv-LV"/>
              </w:rPr>
              <w:t>ki</w:t>
            </w:r>
            <w:proofErr w:type="spellEnd"/>
            <w:r w:rsidRPr="006B7F86">
              <w:rPr>
                <w:lang w:val="lv-LV"/>
              </w:rPr>
              <w:t>) vērtīb</w:t>
            </w:r>
            <w:r>
              <w:rPr>
                <w:lang w:val="lv-LV"/>
              </w:rPr>
              <w:t xml:space="preserve">u. </w:t>
            </w:r>
          </w:p>
        </w:tc>
        <w:tc>
          <w:tcPr>
            <w:tcW w:w="2986" w:type="dxa"/>
            <w:tcBorders>
              <w:top w:val="single" w:sz="4" w:space="0" w:color="auto"/>
              <w:left w:val="single" w:sz="4" w:space="0" w:color="auto"/>
              <w:bottom w:val="single" w:sz="4" w:space="0" w:color="auto"/>
            </w:tcBorders>
          </w:tcPr>
          <w:p w:rsidR="003220F9" w:rsidRDefault="003220F9" w:rsidP="003220F9">
            <w:pPr>
              <w:rPr>
                <w:i/>
              </w:rPr>
            </w:pPr>
            <w:r>
              <w:rPr>
                <w:i/>
              </w:rPr>
              <w:lastRenderedPageBreak/>
              <w:t>Papildināta p</w:t>
            </w:r>
            <w:r w:rsidRPr="00E532FA">
              <w:rPr>
                <w:i/>
              </w:rPr>
              <w:t>rojekta 7.pielikum</w:t>
            </w:r>
            <w:r>
              <w:rPr>
                <w:i/>
              </w:rPr>
              <w:t>a sadaļa “Pamatojums”</w:t>
            </w:r>
          </w:p>
        </w:tc>
      </w:tr>
      <w:tr w:rsidR="003220F9" w:rsidRPr="001801C2" w:rsidTr="00C64E73">
        <w:tc>
          <w:tcPr>
            <w:tcW w:w="708" w:type="dxa"/>
            <w:tcBorders>
              <w:top w:val="single" w:sz="6" w:space="0" w:color="000000"/>
              <w:left w:val="single" w:sz="6" w:space="0" w:color="000000"/>
              <w:bottom w:val="single" w:sz="6" w:space="0" w:color="000000"/>
              <w:right w:val="single" w:sz="6" w:space="0" w:color="000000"/>
            </w:tcBorders>
          </w:tcPr>
          <w:p w:rsidR="003220F9" w:rsidRPr="001801C2" w:rsidRDefault="003220F9" w:rsidP="003220F9">
            <w:pPr>
              <w:jc w:val="right"/>
            </w:pPr>
            <w:r>
              <w:t>10.</w:t>
            </w:r>
          </w:p>
        </w:tc>
        <w:tc>
          <w:tcPr>
            <w:tcW w:w="3112" w:type="dxa"/>
            <w:tcBorders>
              <w:top w:val="single" w:sz="4" w:space="0" w:color="auto"/>
              <w:left w:val="single" w:sz="6" w:space="0" w:color="000000"/>
              <w:bottom w:val="single" w:sz="4" w:space="0" w:color="auto"/>
              <w:right w:val="single" w:sz="6" w:space="0" w:color="000000"/>
            </w:tcBorders>
          </w:tcPr>
          <w:p w:rsidR="003220F9" w:rsidRPr="00A16E0F" w:rsidRDefault="003220F9" w:rsidP="003220F9">
            <w:pPr>
              <w:rPr>
                <w:i/>
              </w:rPr>
            </w:pPr>
            <w:r>
              <w:rPr>
                <w:i/>
              </w:rPr>
              <w:t>MK rīkojuma projekts un protokollēmuma projekts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3220F9" w:rsidRDefault="003220F9" w:rsidP="003220F9">
            <w:pPr>
              <w:jc w:val="both"/>
              <w:rPr>
                <w:rFonts w:eastAsia="Calibri"/>
                <w:b/>
                <w:lang w:eastAsia="en-US"/>
              </w:rPr>
            </w:pPr>
            <w:r>
              <w:rPr>
                <w:rFonts w:eastAsia="Calibri"/>
                <w:b/>
                <w:lang w:eastAsia="en-US"/>
              </w:rPr>
              <w:t>Finanšu ministrija</w:t>
            </w:r>
          </w:p>
          <w:p w:rsidR="003220F9" w:rsidRPr="00E532FA" w:rsidRDefault="003220F9" w:rsidP="003220F9">
            <w:pPr>
              <w:jc w:val="both"/>
              <w:rPr>
                <w:rFonts w:eastAsia="Calibri"/>
                <w:b/>
                <w:lang w:eastAsia="en-US"/>
              </w:rPr>
            </w:pPr>
            <w:r w:rsidRPr="00E532FA">
              <w:t>Lūdzam precizēt rīkojuma projekta 4.punktu, norādot tajā, ka Iekšlietu ministrija iesniegs attiecīgu starpnozaru prioritārā pasākuma pieprasījumu, vienlaikus svītrojot Ministru kabineta sēdes protokollēmuma projekta 2.punktu.</w:t>
            </w:r>
            <w:r w:rsidRPr="00E532FA">
              <w:rPr>
                <w:rFonts w:eastAsia="Calibri"/>
                <w:b/>
                <w:lang w:eastAsia="en-US"/>
              </w:rPr>
              <w:t xml:space="preserve"> </w:t>
            </w:r>
          </w:p>
          <w:p w:rsidR="003220F9" w:rsidRPr="003D7B8F" w:rsidRDefault="003220F9" w:rsidP="003220F9">
            <w:pPr>
              <w:widowControl w:val="0"/>
              <w:jc w:val="both"/>
              <w:rPr>
                <w:rFonts w:eastAsia="Calibri"/>
                <w:b/>
                <w:lang w:eastAsia="en-US"/>
              </w:rPr>
            </w:pP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3220F9" w:rsidRPr="00383ECB" w:rsidRDefault="00FB01C4" w:rsidP="003220F9">
            <w:pPr>
              <w:ind w:firstLine="284"/>
              <w:jc w:val="both"/>
              <w:rPr>
                <w:b/>
              </w:rPr>
            </w:pPr>
            <w:r>
              <w:rPr>
                <w:b/>
              </w:rPr>
              <w:t xml:space="preserve">Iebildums </w:t>
            </w:r>
            <w:r w:rsidR="003220F9" w:rsidRPr="00383ECB">
              <w:rPr>
                <w:b/>
              </w:rPr>
              <w:t>ņemts vērā.</w:t>
            </w:r>
          </w:p>
          <w:p w:rsidR="003220F9" w:rsidRPr="00383ECB" w:rsidRDefault="003220F9" w:rsidP="003220F9">
            <w:pPr>
              <w:ind w:firstLine="284"/>
              <w:jc w:val="both"/>
            </w:pPr>
          </w:p>
        </w:tc>
        <w:tc>
          <w:tcPr>
            <w:tcW w:w="2986" w:type="dxa"/>
            <w:tcBorders>
              <w:top w:val="single" w:sz="4" w:space="0" w:color="auto"/>
              <w:left w:val="single" w:sz="4" w:space="0" w:color="auto"/>
              <w:bottom w:val="single" w:sz="4" w:space="0" w:color="auto"/>
            </w:tcBorders>
          </w:tcPr>
          <w:p w:rsidR="003220F9" w:rsidRPr="00702405" w:rsidRDefault="003220F9" w:rsidP="00FB01C4">
            <w:pPr>
              <w:rPr>
                <w:i/>
              </w:rPr>
            </w:pPr>
            <w:r>
              <w:rPr>
                <w:i/>
              </w:rPr>
              <w:t xml:space="preserve">Precizēts </w:t>
            </w:r>
            <w:r w:rsidRPr="00383ECB">
              <w:rPr>
                <w:i/>
              </w:rPr>
              <w:t>MK rīkojuma projekts un protokollēmuma projekts</w:t>
            </w:r>
          </w:p>
        </w:tc>
      </w:tr>
    </w:tbl>
    <w:p w:rsidR="001801C2" w:rsidRDefault="001801C2" w:rsidP="005F5C7A">
      <w:pPr>
        <w:pStyle w:val="naisf"/>
        <w:spacing w:before="0" w:after="0"/>
        <w:ind w:firstLine="0"/>
        <w:jc w:val="center"/>
        <w:rPr>
          <w:rFonts w:eastAsia="SimSun"/>
          <w:lang w:eastAsia="zh-CN" w:bidi="he-IL"/>
        </w:rPr>
      </w:pPr>
    </w:p>
    <w:tbl>
      <w:tblPr>
        <w:tblW w:w="14283" w:type="dxa"/>
        <w:tblInd w:w="-96" w:type="dxa"/>
        <w:tblLayout w:type="fixed"/>
        <w:tblLook w:val="00A0" w:firstRow="1" w:lastRow="0" w:firstColumn="1" w:lastColumn="0" w:noHBand="0" w:noVBand="0"/>
      </w:tblPr>
      <w:tblGrid>
        <w:gridCol w:w="5369"/>
        <w:gridCol w:w="8914"/>
      </w:tblGrid>
      <w:tr w:rsidR="001801C2" w:rsidRPr="00FB036F" w:rsidTr="00837492">
        <w:trPr>
          <w:gridAfter w:val="1"/>
          <w:wAfter w:w="8914" w:type="dxa"/>
        </w:trPr>
        <w:tc>
          <w:tcPr>
            <w:tcW w:w="5369" w:type="dxa"/>
          </w:tcPr>
          <w:p w:rsidR="00837492" w:rsidRPr="00FB036F" w:rsidRDefault="001801C2" w:rsidP="007D7D41">
            <w:pPr>
              <w:pStyle w:val="naiskr"/>
              <w:spacing w:before="0" w:after="0"/>
              <w:jc w:val="center"/>
            </w:pPr>
            <w:r w:rsidRPr="00FB036F">
              <w:t>Atbildīgā amatpersona</w:t>
            </w:r>
            <w:proofErr w:type="gramStart"/>
            <w:r w:rsidR="007D7D41">
              <w:t xml:space="preserve">                           </w:t>
            </w:r>
            <w:proofErr w:type="gramEnd"/>
            <w:r w:rsidR="007D7D41">
              <w:t>G.Rozenbilds</w:t>
            </w:r>
          </w:p>
        </w:tc>
      </w:tr>
      <w:tr w:rsidR="001801C2" w:rsidRPr="00FB036F" w:rsidTr="00837492">
        <w:trPr>
          <w:gridAfter w:val="1"/>
          <w:wAfter w:w="8914" w:type="dxa"/>
        </w:trPr>
        <w:tc>
          <w:tcPr>
            <w:tcW w:w="5369" w:type="dxa"/>
          </w:tcPr>
          <w:p w:rsidR="001801C2" w:rsidRDefault="001801C2" w:rsidP="00BD7CE0">
            <w:pPr>
              <w:pStyle w:val="naiskr"/>
              <w:spacing w:before="0" w:after="0"/>
            </w:pPr>
          </w:p>
          <w:p w:rsidR="00837492" w:rsidRDefault="00837492" w:rsidP="00BD7CE0">
            <w:pPr>
              <w:pStyle w:val="naiskr"/>
              <w:spacing w:before="0" w:after="0"/>
            </w:pPr>
          </w:p>
          <w:p w:rsidR="00837492" w:rsidRDefault="00837492" w:rsidP="00BD7CE0">
            <w:pPr>
              <w:pStyle w:val="naiskr"/>
              <w:spacing w:before="0" w:after="0"/>
            </w:pPr>
          </w:p>
          <w:p w:rsidR="00837492" w:rsidRDefault="00837492" w:rsidP="00BD7CE0">
            <w:pPr>
              <w:pStyle w:val="naiskr"/>
              <w:spacing w:before="0" w:after="0"/>
            </w:pPr>
          </w:p>
          <w:p w:rsidR="00837492" w:rsidRDefault="00837492" w:rsidP="00BD7CE0">
            <w:pPr>
              <w:pStyle w:val="naiskr"/>
              <w:spacing w:before="0" w:after="0"/>
            </w:pPr>
          </w:p>
          <w:p w:rsidR="00837492" w:rsidRDefault="00837492" w:rsidP="00BD7CE0">
            <w:pPr>
              <w:pStyle w:val="naiskr"/>
              <w:spacing w:before="0" w:after="0"/>
            </w:pPr>
          </w:p>
          <w:p w:rsidR="00837492" w:rsidRDefault="00837492" w:rsidP="00BD7CE0">
            <w:pPr>
              <w:pStyle w:val="naiskr"/>
              <w:spacing w:before="0" w:after="0"/>
            </w:pPr>
          </w:p>
          <w:p w:rsidR="00837492" w:rsidRPr="00FB036F" w:rsidRDefault="00837492" w:rsidP="00BD7CE0">
            <w:pPr>
              <w:pStyle w:val="naiskr"/>
              <w:spacing w:before="0" w:after="0"/>
            </w:pPr>
          </w:p>
        </w:tc>
      </w:tr>
      <w:tr w:rsidR="001801C2" w:rsidRPr="00FB036F" w:rsidTr="00837492">
        <w:trPr>
          <w:trHeight w:val="1130"/>
        </w:trPr>
        <w:tc>
          <w:tcPr>
            <w:tcW w:w="14283" w:type="dxa"/>
            <w:gridSpan w:val="2"/>
          </w:tcPr>
          <w:p w:rsidR="001801C2" w:rsidRDefault="001801C2" w:rsidP="00BD7CE0">
            <w:pPr>
              <w:rPr>
                <w:sz w:val="20"/>
                <w:szCs w:val="20"/>
              </w:rPr>
            </w:pPr>
            <w:r w:rsidRPr="00BE1EAF">
              <w:rPr>
                <w:sz w:val="20"/>
                <w:szCs w:val="20"/>
              </w:rPr>
              <w:fldChar w:fldCharType="begin"/>
            </w:r>
            <w:r w:rsidRPr="00BE1EAF">
              <w:rPr>
                <w:sz w:val="20"/>
                <w:szCs w:val="20"/>
              </w:rPr>
              <w:instrText xml:space="preserve"> TIME \@ "dd.MM.yyyy H:mm" </w:instrText>
            </w:r>
            <w:r w:rsidRPr="00BE1EAF">
              <w:rPr>
                <w:sz w:val="20"/>
                <w:szCs w:val="20"/>
              </w:rPr>
              <w:fldChar w:fldCharType="separate"/>
            </w:r>
            <w:r w:rsidR="007D7D41">
              <w:rPr>
                <w:noProof/>
                <w:sz w:val="20"/>
                <w:szCs w:val="20"/>
              </w:rPr>
              <w:t>14.11.2018 10:39</w:t>
            </w:r>
            <w:r w:rsidRPr="00BE1EAF">
              <w:rPr>
                <w:sz w:val="20"/>
                <w:szCs w:val="20"/>
              </w:rPr>
              <w:fldChar w:fldCharType="end"/>
            </w:r>
          </w:p>
          <w:p w:rsidR="00440D83" w:rsidRDefault="005A3523" w:rsidP="00BD7CE0">
            <w:pPr>
              <w:rPr>
                <w:sz w:val="20"/>
                <w:szCs w:val="20"/>
              </w:rPr>
            </w:pPr>
            <w:r>
              <w:rPr>
                <w:sz w:val="20"/>
                <w:szCs w:val="20"/>
              </w:rPr>
              <w:t>22</w:t>
            </w:r>
            <w:r w:rsidR="00C54404">
              <w:rPr>
                <w:sz w:val="20"/>
                <w:szCs w:val="20"/>
              </w:rPr>
              <w:t>66</w:t>
            </w:r>
          </w:p>
          <w:p w:rsidR="001801C2" w:rsidRDefault="001801C2" w:rsidP="00BD7CE0">
            <w:pPr>
              <w:rPr>
                <w:sz w:val="20"/>
                <w:szCs w:val="20"/>
              </w:rPr>
            </w:pPr>
            <w:r>
              <w:rPr>
                <w:sz w:val="20"/>
                <w:szCs w:val="20"/>
              </w:rPr>
              <w:t>G.Rozenbilds, 67219071</w:t>
            </w:r>
          </w:p>
          <w:p w:rsidR="001801C2" w:rsidRPr="00FB036F" w:rsidRDefault="001801C2" w:rsidP="00BD7CE0">
            <w:pPr>
              <w:rPr>
                <w:sz w:val="20"/>
                <w:szCs w:val="20"/>
                <w:u w:val="single"/>
              </w:rPr>
            </w:pPr>
            <w:r>
              <w:rPr>
                <w:sz w:val="20"/>
                <w:szCs w:val="20"/>
              </w:rPr>
              <w:t>Gints.rozenbilds@iem.gov.lv</w:t>
            </w:r>
          </w:p>
        </w:tc>
      </w:tr>
    </w:tbl>
    <w:p w:rsidR="001801C2" w:rsidRPr="00FB036F" w:rsidRDefault="001801C2" w:rsidP="005F5C7A">
      <w:pPr>
        <w:pStyle w:val="naisf"/>
        <w:spacing w:before="0" w:after="0"/>
        <w:ind w:firstLine="0"/>
        <w:jc w:val="center"/>
        <w:rPr>
          <w:rFonts w:eastAsia="SimSun"/>
          <w:lang w:eastAsia="zh-CN" w:bidi="he-IL"/>
        </w:rPr>
      </w:pPr>
    </w:p>
    <w:sectPr w:rsidR="001801C2" w:rsidRPr="00FB036F" w:rsidSect="000D79F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9E" w:rsidRDefault="0064079E">
      <w:r>
        <w:separator/>
      </w:r>
    </w:p>
  </w:endnote>
  <w:endnote w:type="continuationSeparator" w:id="0">
    <w:p w:rsidR="0064079E" w:rsidRDefault="0064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4" w:rsidRDefault="00C5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Pr="005F5C7A" w:rsidRDefault="005F5C7A" w:rsidP="005F5C7A">
    <w:pPr>
      <w:jc w:val="both"/>
    </w:pPr>
    <w:r>
      <w:rPr>
        <w:sz w:val="20"/>
        <w:szCs w:val="20"/>
      </w:rPr>
      <w:t>IEMIzz_</w:t>
    </w:r>
    <w:r w:rsidR="00C54404">
      <w:rPr>
        <w:sz w:val="20"/>
        <w:szCs w:val="20"/>
      </w:rPr>
      <w:t>14</w:t>
    </w:r>
    <w:r>
      <w:rPr>
        <w:sz w:val="20"/>
        <w:szCs w:val="20"/>
      </w:rPr>
      <w:t>1118_izglītība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Pr="00CA42B5" w:rsidRDefault="00AD291C" w:rsidP="009E241E">
    <w:pPr>
      <w:jc w:val="both"/>
      <w:rPr>
        <w:sz w:val="20"/>
        <w:szCs w:val="20"/>
      </w:rPr>
    </w:pPr>
    <w:r>
      <w:rPr>
        <w:sz w:val="20"/>
        <w:szCs w:val="20"/>
      </w:rPr>
      <w:t>IEMIzz_</w:t>
    </w:r>
    <w:r w:rsidR="00C54404">
      <w:rPr>
        <w:sz w:val="20"/>
        <w:szCs w:val="20"/>
      </w:rPr>
      <w:t>14</w:t>
    </w:r>
    <w:bookmarkStart w:id="0" w:name="_GoBack"/>
    <w:bookmarkEnd w:id="0"/>
    <w:r w:rsidR="00957F8F">
      <w:rPr>
        <w:sz w:val="20"/>
        <w:szCs w:val="20"/>
      </w:rPr>
      <w:t>1118</w:t>
    </w:r>
    <w:r>
      <w:rPr>
        <w:sz w:val="20"/>
        <w:szCs w:val="20"/>
      </w:rPr>
      <w:t>_</w:t>
    </w:r>
    <w:r w:rsidR="00957F8F">
      <w:rPr>
        <w:sz w:val="20"/>
        <w:szCs w:val="20"/>
      </w:rPr>
      <w:t>izglītība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9E" w:rsidRDefault="0064079E">
      <w:r>
        <w:separator/>
      </w:r>
    </w:p>
  </w:footnote>
  <w:footnote w:type="continuationSeparator" w:id="0">
    <w:p w:rsidR="0064079E" w:rsidRDefault="0064079E">
      <w:r>
        <w:continuationSeparator/>
      </w:r>
    </w:p>
  </w:footnote>
  <w:footnote w:id="1">
    <w:p w:rsidR="009E3B70" w:rsidRDefault="009E3B70">
      <w:pPr>
        <w:pStyle w:val="FootnoteText"/>
      </w:pPr>
      <w:r>
        <w:rPr>
          <w:rStyle w:val="FootnoteReference"/>
        </w:rPr>
        <w:footnoteRef/>
      </w:r>
      <w:r>
        <w:t xml:space="preserve"> </w:t>
      </w:r>
      <w:r w:rsidRPr="009E3B70">
        <w:t>https://www.letonika.lv/groups/default.aspx?cid=972327&amp;r=1107&amp;lid=972327&amp;g=1&amp;q=&amp;h=0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91C" w:rsidRDefault="00AD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404">
      <w:rPr>
        <w:rStyle w:val="PageNumber"/>
        <w:noProof/>
      </w:rPr>
      <w:t>11</w:t>
    </w:r>
    <w:r>
      <w:rPr>
        <w:rStyle w:val="PageNumber"/>
      </w:rPr>
      <w:fldChar w:fldCharType="end"/>
    </w:r>
  </w:p>
  <w:p w:rsidR="00AD291C" w:rsidRDefault="00AD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04" w:rsidRDefault="00C54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AF"/>
    <w:multiLevelType w:val="hybridMultilevel"/>
    <w:tmpl w:val="A2E83BF6"/>
    <w:lvl w:ilvl="0" w:tplc="89FCF0D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351B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10B66"/>
    <w:multiLevelType w:val="multilevel"/>
    <w:tmpl w:val="B85AC45A"/>
    <w:lvl w:ilvl="0">
      <w:start w:val="1"/>
      <w:numFmt w:val="decimal"/>
      <w:lvlText w:val="%1."/>
      <w:lvlJc w:val="left"/>
      <w:pPr>
        <w:tabs>
          <w:tab w:val="num" w:pos="502"/>
        </w:tabs>
        <w:ind w:left="502" w:hanging="360"/>
      </w:pPr>
      <w:rPr>
        <w:color w:val="auto"/>
        <w:sz w:val="28"/>
        <w:szCs w:val="28"/>
      </w:r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801687"/>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FB1BCB"/>
    <w:multiLevelType w:val="hybridMultilevel"/>
    <w:tmpl w:val="AFC0C74C"/>
    <w:lvl w:ilvl="0" w:tplc="0426000F">
      <w:start w:val="1"/>
      <w:numFmt w:val="decimal"/>
      <w:lvlText w:val="%1."/>
      <w:lvlJc w:val="left"/>
      <w:pPr>
        <w:ind w:left="80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6C1331"/>
    <w:multiLevelType w:val="multilevel"/>
    <w:tmpl w:val="DB28362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F752A5"/>
    <w:multiLevelType w:val="multilevel"/>
    <w:tmpl w:val="6924F182"/>
    <w:lvl w:ilvl="0">
      <w:start w:val="30"/>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BBB78CD"/>
    <w:multiLevelType w:val="hybridMultilevel"/>
    <w:tmpl w:val="361E851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2" w15:restartNumberingAfterBreak="0">
    <w:nsid w:val="1D7D093F"/>
    <w:multiLevelType w:val="multilevel"/>
    <w:tmpl w:val="CA76AEC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52A69F9"/>
    <w:multiLevelType w:val="multilevel"/>
    <w:tmpl w:val="8564DE24"/>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53B062A"/>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8"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A3358D"/>
    <w:multiLevelType w:val="hybridMultilevel"/>
    <w:tmpl w:val="17522766"/>
    <w:lvl w:ilvl="0" w:tplc="B4580E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6051A85"/>
    <w:multiLevelType w:val="hybridMultilevel"/>
    <w:tmpl w:val="B3A08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A6598"/>
    <w:multiLevelType w:val="multilevel"/>
    <w:tmpl w:val="93E0964E"/>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25A76"/>
    <w:multiLevelType w:val="multilevel"/>
    <w:tmpl w:val="D958AE56"/>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4FD7364"/>
    <w:multiLevelType w:val="hybridMultilevel"/>
    <w:tmpl w:val="3BA6C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060232"/>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FCD2EE2"/>
    <w:multiLevelType w:val="hybridMultilevel"/>
    <w:tmpl w:val="3F8C665E"/>
    <w:lvl w:ilvl="0" w:tplc="422ABB10">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9" w15:restartNumberingAfterBreak="0">
    <w:nsid w:val="532D3E9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3510638"/>
    <w:multiLevelType w:val="hybridMultilevel"/>
    <w:tmpl w:val="F648E2D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4870A22"/>
    <w:multiLevelType w:val="multilevel"/>
    <w:tmpl w:val="BA087620"/>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3" w15:restartNumberingAfterBreak="0">
    <w:nsid w:val="5EE007AA"/>
    <w:multiLevelType w:val="hybridMultilevel"/>
    <w:tmpl w:val="52A2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8F5216"/>
    <w:multiLevelType w:val="multilevel"/>
    <w:tmpl w:val="B41E5226"/>
    <w:lvl w:ilvl="0">
      <w:start w:val="2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829497F"/>
    <w:multiLevelType w:val="hybridMultilevel"/>
    <w:tmpl w:val="425EA3D8"/>
    <w:lvl w:ilvl="0" w:tplc="A8AEA1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C537E87"/>
    <w:multiLevelType w:val="multilevel"/>
    <w:tmpl w:val="AAE45D52"/>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DD43547"/>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6FCF3AD1"/>
    <w:multiLevelType w:val="hybridMultilevel"/>
    <w:tmpl w:val="21DA026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39154C8"/>
    <w:multiLevelType w:val="hybridMultilevel"/>
    <w:tmpl w:val="D6D65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4E576B"/>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36"/>
  </w:num>
  <w:num w:numId="3">
    <w:abstractNumId w:val="2"/>
  </w:num>
  <w:num w:numId="4">
    <w:abstractNumId w:val="18"/>
  </w:num>
  <w:num w:numId="5">
    <w:abstractNumId w:val="13"/>
  </w:num>
  <w:num w:numId="6">
    <w:abstractNumId w:val="21"/>
  </w:num>
  <w:num w:numId="7">
    <w:abstractNumId w:val="23"/>
  </w:num>
  <w:num w:numId="8">
    <w:abstractNumId w:val="32"/>
  </w:num>
  <w:num w:numId="9">
    <w:abstractNumId w:val="1"/>
  </w:num>
  <w:num w:numId="10">
    <w:abstractNumId w:val="14"/>
  </w:num>
  <w:num w:numId="11">
    <w:abstractNumId w:val="7"/>
  </w:num>
  <w:num w:numId="12">
    <w:abstractNumId w:val="29"/>
  </w:num>
  <w:num w:numId="13">
    <w:abstractNumId w:val="38"/>
  </w:num>
  <w:num w:numId="14">
    <w:abstractNumId w:val="3"/>
  </w:num>
  <w:num w:numId="15">
    <w:abstractNumId w:val="41"/>
  </w:num>
  <w:num w:numId="16">
    <w:abstractNumId w:val="16"/>
  </w:num>
  <w:num w:numId="17">
    <w:abstractNumId w:val="35"/>
  </w:num>
  <w:num w:numId="18">
    <w:abstractNumId w:val="11"/>
  </w:num>
  <w:num w:numId="19">
    <w:abstractNumId w:val="4"/>
  </w:num>
  <w:num w:numId="20">
    <w:abstractNumId w:val="19"/>
  </w:num>
  <w:num w:numId="21">
    <w:abstractNumId w:val="31"/>
  </w:num>
  <w:num w:numId="22">
    <w:abstractNumId w:val="15"/>
  </w:num>
  <w:num w:numId="23">
    <w:abstractNumId w:val="12"/>
  </w:num>
  <w:num w:numId="24">
    <w:abstractNumId w:val="34"/>
  </w:num>
  <w:num w:numId="25">
    <w:abstractNumId w:val="28"/>
  </w:num>
  <w:num w:numId="26">
    <w:abstractNumId w:val="22"/>
  </w:num>
  <w:num w:numId="27">
    <w:abstractNumId w:val="26"/>
  </w:num>
  <w:num w:numId="28">
    <w:abstractNumId w:val="5"/>
  </w:num>
  <w:num w:numId="29">
    <w:abstractNumId w:val="24"/>
  </w:num>
  <w:num w:numId="30">
    <w:abstractNumId w:val="37"/>
  </w:num>
  <w:num w:numId="31">
    <w:abstractNumId w:val="10"/>
  </w:num>
  <w:num w:numId="32">
    <w:abstractNumId w:val="27"/>
  </w:num>
  <w:num w:numId="33">
    <w:abstractNumId w:val="0"/>
  </w:num>
  <w:num w:numId="34">
    <w:abstractNumId w:val="25"/>
  </w:num>
  <w:num w:numId="35">
    <w:abstractNumId w:val="33"/>
  </w:num>
  <w:num w:numId="36">
    <w:abstractNumId w:val="30"/>
  </w:num>
  <w:num w:numId="37">
    <w:abstractNumId w:val="20"/>
  </w:num>
  <w:num w:numId="38">
    <w:abstractNumId w:val="9"/>
  </w:num>
  <w:num w:numId="39">
    <w:abstractNumId w:val="8"/>
  </w:num>
  <w:num w:numId="40">
    <w:abstractNumId w:val="3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3AAA"/>
    <w:rsid w:val="0000411A"/>
    <w:rsid w:val="00004272"/>
    <w:rsid w:val="0000513E"/>
    <w:rsid w:val="00005344"/>
    <w:rsid w:val="00013193"/>
    <w:rsid w:val="0001436C"/>
    <w:rsid w:val="000148B4"/>
    <w:rsid w:val="00022E36"/>
    <w:rsid w:val="00024C1E"/>
    <w:rsid w:val="000253C9"/>
    <w:rsid w:val="000263F1"/>
    <w:rsid w:val="00026861"/>
    <w:rsid w:val="000328C0"/>
    <w:rsid w:val="00033045"/>
    <w:rsid w:val="00035898"/>
    <w:rsid w:val="00037D92"/>
    <w:rsid w:val="000414A8"/>
    <w:rsid w:val="0006246C"/>
    <w:rsid w:val="00073FD4"/>
    <w:rsid w:val="00076AF7"/>
    <w:rsid w:val="00080393"/>
    <w:rsid w:val="00081169"/>
    <w:rsid w:val="00082CDC"/>
    <w:rsid w:val="00084C7C"/>
    <w:rsid w:val="000908A8"/>
    <w:rsid w:val="00094533"/>
    <w:rsid w:val="0009535C"/>
    <w:rsid w:val="0009555C"/>
    <w:rsid w:val="00097A7D"/>
    <w:rsid w:val="000A107B"/>
    <w:rsid w:val="000A27C2"/>
    <w:rsid w:val="000A3B76"/>
    <w:rsid w:val="000A65CF"/>
    <w:rsid w:val="000B0183"/>
    <w:rsid w:val="000B0731"/>
    <w:rsid w:val="000B1D14"/>
    <w:rsid w:val="000B3A61"/>
    <w:rsid w:val="000B46D0"/>
    <w:rsid w:val="000B4D4E"/>
    <w:rsid w:val="000B5521"/>
    <w:rsid w:val="000B5DA2"/>
    <w:rsid w:val="000B6096"/>
    <w:rsid w:val="000C28E4"/>
    <w:rsid w:val="000C3DEE"/>
    <w:rsid w:val="000C54CD"/>
    <w:rsid w:val="000C6C10"/>
    <w:rsid w:val="000C7225"/>
    <w:rsid w:val="000D1956"/>
    <w:rsid w:val="000D708E"/>
    <w:rsid w:val="000D784C"/>
    <w:rsid w:val="000D79F2"/>
    <w:rsid w:val="000E3F69"/>
    <w:rsid w:val="000E555E"/>
    <w:rsid w:val="000E6A5D"/>
    <w:rsid w:val="000F23DA"/>
    <w:rsid w:val="000F2CE5"/>
    <w:rsid w:val="000F34C8"/>
    <w:rsid w:val="000F4DC5"/>
    <w:rsid w:val="000F62FD"/>
    <w:rsid w:val="00105302"/>
    <w:rsid w:val="00105573"/>
    <w:rsid w:val="00106CD6"/>
    <w:rsid w:val="001104AF"/>
    <w:rsid w:val="00110520"/>
    <w:rsid w:val="00115CCB"/>
    <w:rsid w:val="00122AD6"/>
    <w:rsid w:val="001253B2"/>
    <w:rsid w:val="001321A3"/>
    <w:rsid w:val="001323F7"/>
    <w:rsid w:val="0013314F"/>
    <w:rsid w:val="0013507E"/>
    <w:rsid w:val="00137094"/>
    <w:rsid w:val="00137AC9"/>
    <w:rsid w:val="001438CF"/>
    <w:rsid w:val="00146A4C"/>
    <w:rsid w:val="00152846"/>
    <w:rsid w:val="00167477"/>
    <w:rsid w:val="00171A3D"/>
    <w:rsid w:val="00172A21"/>
    <w:rsid w:val="00174412"/>
    <w:rsid w:val="001749CA"/>
    <w:rsid w:val="0017685C"/>
    <w:rsid w:val="001801C2"/>
    <w:rsid w:val="00185CB8"/>
    <w:rsid w:val="00196047"/>
    <w:rsid w:val="001A0B19"/>
    <w:rsid w:val="001A2DEC"/>
    <w:rsid w:val="001A4ED2"/>
    <w:rsid w:val="001A58AC"/>
    <w:rsid w:val="001A5E1D"/>
    <w:rsid w:val="001A6313"/>
    <w:rsid w:val="001B24F4"/>
    <w:rsid w:val="001B79ED"/>
    <w:rsid w:val="001D2334"/>
    <w:rsid w:val="001E186C"/>
    <w:rsid w:val="001E242E"/>
    <w:rsid w:val="001E2CA4"/>
    <w:rsid w:val="001E51F0"/>
    <w:rsid w:val="001E5648"/>
    <w:rsid w:val="001F02FE"/>
    <w:rsid w:val="001F3E6F"/>
    <w:rsid w:val="001F656B"/>
    <w:rsid w:val="002013A2"/>
    <w:rsid w:val="002028A1"/>
    <w:rsid w:val="00203652"/>
    <w:rsid w:val="00205A9B"/>
    <w:rsid w:val="00205E80"/>
    <w:rsid w:val="0020707B"/>
    <w:rsid w:val="00215446"/>
    <w:rsid w:val="00216795"/>
    <w:rsid w:val="00217206"/>
    <w:rsid w:val="00217C48"/>
    <w:rsid w:val="00223C61"/>
    <w:rsid w:val="002257EC"/>
    <w:rsid w:val="00226FC8"/>
    <w:rsid w:val="002314D5"/>
    <w:rsid w:val="002359FC"/>
    <w:rsid w:val="00240B06"/>
    <w:rsid w:val="0024188B"/>
    <w:rsid w:val="002453E1"/>
    <w:rsid w:val="002468F0"/>
    <w:rsid w:val="00252B37"/>
    <w:rsid w:val="0025539F"/>
    <w:rsid w:val="002620B7"/>
    <w:rsid w:val="00263D99"/>
    <w:rsid w:val="00263FCD"/>
    <w:rsid w:val="002649A9"/>
    <w:rsid w:val="00265C72"/>
    <w:rsid w:val="00270EF5"/>
    <w:rsid w:val="00275566"/>
    <w:rsid w:val="00281835"/>
    <w:rsid w:val="00281CEE"/>
    <w:rsid w:val="00283939"/>
    <w:rsid w:val="002900AB"/>
    <w:rsid w:val="00290D73"/>
    <w:rsid w:val="00292005"/>
    <w:rsid w:val="00293AD4"/>
    <w:rsid w:val="0029412C"/>
    <w:rsid w:val="002966CA"/>
    <w:rsid w:val="002968AB"/>
    <w:rsid w:val="0029723D"/>
    <w:rsid w:val="002A0253"/>
    <w:rsid w:val="002A4F3D"/>
    <w:rsid w:val="002A61A5"/>
    <w:rsid w:val="002A6B79"/>
    <w:rsid w:val="002B031C"/>
    <w:rsid w:val="002B0FDF"/>
    <w:rsid w:val="002B1498"/>
    <w:rsid w:val="002B424E"/>
    <w:rsid w:val="002B6540"/>
    <w:rsid w:val="002C11A1"/>
    <w:rsid w:val="002C1DEA"/>
    <w:rsid w:val="002C20A2"/>
    <w:rsid w:val="002C6685"/>
    <w:rsid w:val="002C7B68"/>
    <w:rsid w:val="002D1747"/>
    <w:rsid w:val="002D4B24"/>
    <w:rsid w:val="002D65A2"/>
    <w:rsid w:val="002D72D0"/>
    <w:rsid w:val="002D742E"/>
    <w:rsid w:val="002E0869"/>
    <w:rsid w:val="002E5E81"/>
    <w:rsid w:val="002F0705"/>
    <w:rsid w:val="002F1601"/>
    <w:rsid w:val="002F4C7F"/>
    <w:rsid w:val="002F7197"/>
    <w:rsid w:val="0030124E"/>
    <w:rsid w:val="00301DEE"/>
    <w:rsid w:val="00304D94"/>
    <w:rsid w:val="00306229"/>
    <w:rsid w:val="003118FA"/>
    <w:rsid w:val="00312409"/>
    <w:rsid w:val="003220F9"/>
    <w:rsid w:val="00322F7C"/>
    <w:rsid w:val="003269EF"/>
    <w:rsid w:val="003271E0"/>
    <w:rsid w:val="00334E25"/>
    <w:rsid w:val="0034080C"/>
    <w:rsid w:val="0034354F"/>
    <w:rsid w:val="00347157"/>
    <w:rsid w:val="003474C2"/>
    <w:rsid w:val="0035556B"/>
    <w:rsid w:val="00355BBF"/>
    <w:rsid w:val="003655B9"/>
    <w:rsid w:val="00367774"/>
    <w:rsid w:val="00373C81"/>
    <w:rsid w:val="00383ECB"/>
    <w:rsid w:val="0038642B"/>
    <w:rsid w:val="003908FB"/>
    <w:rsid w:val="003919D6"/>
    <w:rsid w:val="00395E1B"/>
    <w:rsid w:val="003A30DE"/>
    <w:rsid w:val="003A3F78"/>
    <w:rsid w:val="003A7B9F"/>
    <w:rsid w:val="003B1B5D"/>
    <w:rsid w:val="003B1FDC"/>
    <w:rsid w:val="003B36B3"/>
    <w:rsid w:val="003B40C3"/>
    <w:rsid w:val="003C0E4F"/>
    <w:rsid w:val="003C1F95"/>
    <w:rsid w:val="003C1FBE"/>
    <w:rsid w:val="003C2E3F"/>
    <w:rsid w:val="003C32D8"/>
    <w:rsid w:val="003C388D"/>
    <w:rsid w:val="003C3E7E"/>
    <w:rsid w:val="003C4022"/>
    <w:rsid w:val="003C510B"/>
    <w:rsid w:val="003D2572"/>
    <w:rsid w:val="003D2B2E"/>
    <w:rsid w:val="003D7B8F"/>
    <w:rsid w:val="003E0327"/>
    <w:rsid w:val="003E05D1"/>
    <w:rsid w:val="003E1463"/>
    <w:rsid w:val="003E27B3"/>
    <w:rsid w:val="003F15E2"/>
    <w:rsid w:val="003F2313"/>
    <w:rsid w:val="003F2B91"/>
    <w:rsid w:val="003F3E7D"/>
    <w:rsid w:val="003F6045"/>
    <w:rsid w:val="003F627F"/>
    <w:rsid w:val="003F67E6"/>
    <w:rsid w:val="004074B7"/>
    <w:rsid w:val="00407936"/>
    <w:rsid w:val="00412898"/>
    <w:rsid w:val="00412C63"/>
    <w:rsid w:val="00423BFD"/>
    <w:rsid w:val="00430935"/>
    <w:rsid w:val="00431763"/>
    <w:rsid w:val="00440D83"/>
    <w:rsid w:val="004410F5"/>
    <w:rsid w:val="0044472B"/>
    <w:rsid w:val="00447C31"/>
    <w:rsid w:val="0045657B"/>
    <w:rsid w:val="00456C38"/>
    <w:rsid w:val="00460711"/>
    <w:rsid w:val="004633EB"/>
    <w:rsid w:val="00472C82"/>
    <w:rsid w:val="00474FDF"/>
    <w:rsid w:val="00475F57"/>
    <w:rsid w:val="00483B2B"/>
    <w:rsid w:val="00485189"/>
    <w:rsid w:val="004871D6"/>
    <w:rsid w:val="00487214"/>
    <w:rsid w:val="00490261"/>
    <w:rsid w:val="00495D5F"/>
    <w:rsid w:val="0049634A"/>
    <w:rsid w:val="00496894"/>
    <w:rsid w:val="004A030A"/>
    <w:rsid w:val="004A253D"/>
    <w:rsid w:val="004A26E1"/>
    <w:rsid w:val="004A5EAB"/>
    <w:rsid w:val="004B6002"/>
    <w:rsid w:val="004C5563"/>
    <w:rsid w:val="004D0764"/>
    <w:rsid w:val="004D5871"/>
    <w:rsid w:val="004D6A6D"/>
    <w:rsid w:val="004E16FA"/>
    <w:rsid w:val="004E3A80"/>
    <w:rsid w:val="004E694D"/>
    <w:rsid w:val="004F2173"/>
    <w:rsid w:val="004F2C77"/>
    <w:rsid w:val="004F4BC0"/>
    <w:rsid w:val="004F4E4B"/>
    <w:rsid w:val="004F7896"/>
    <w:rsid w:val="00500DEE"/>
    <w:rsid w:val="00504D1C"/>
    <w:rsid w:val="00510332"/>
    <w:rsid w:val="00510AC3"/>
    <w:rsid w:val="00512AC8"/>
    <w:rsid w:val="00513B18"/>
    <w:rsid w:val="00520A47"/>
    <w:rsid w:val="005226EC"/>
    <w:rsid w:val="0052467C"/>
    <w:rsid w:val="00526062"/>
    <w:rsid w:val="00526B4C"/>
    <w:rsid w:val="00532025"/>
    <w:rsid w:val="00533A38"/>
    <w:rsid w:val="00534424"/>
    <w:rsid w:val="00540116"/>
    <w:rsid w:val="00544604"/>
    <w:rsid w:val="00547CD0"/>
    <w:rsid w:val="00550055"/>
    <w:rsid w:val="00550DA7"/>
    <w:rsid w:val="00556E83"/>
    <w:rsid w:val="00564C4D"/>
    <w:rsid w:val="00566568"/>
    <w:rsid w:val="0057552D"/>
    <w:rsid w:val="0057677D"/>
    <w:rsid w:val="00577A47"/>
    <w:rsid w:val="00580576"/>
    <w:rsid w:val="00586A78"/>
    <w:rsid w:val="00586EA2"/>
    <w:rsid w:val="005919A5"/>
    <w:rsid w:val="00591ABE"/>
    <w:rsid w:val="005926A0"/>
    <w:rsid w:val="005A2246"/>
    <w:rsid w:val="005A2B18"/>
    <w:rsid w:val="005A325E"/>
    <w:rsid w:val="005A3523"/>
    <w:rsid w:val="005A3A5B"/>
    <w:rsid w:val="005A616E"/>
    <w:rsid w:val="005A6CAA"/>
    <w:rsid w:val="005B24DC"/>
    <w:rsid w:val="005B5323"/>
    <w:rsid w:val="005C0031"/>
    <w:rsid w:val="005C05C7"/>
    <w:rsid w:val="005C5BE4"/>
    <w:rsid w:val="005C64D2"/>
    <w:rsid w:val="005D57D7"/>
    <w:rsid w:val="005E1A52"/>
    <w:rsid w:val="005E724A"/>
    <w:rsid w:val="005E742D"/>
    <w:rsid w:val="005F15E2"/>
    <w:rsid w:val="005F36EA"/>
    <w:rsid w:val="005F5C53"/>
    <w:rsid w:val="005F5C7A"/>
    <w:rsid w:val="005F6D3E"/>
    <w:rsid w:val="00600655"/>
    <w:rsid w:val="00601E09"/>
    <w:rsid w:val="0060632D"/>
    <w:rsid w:val="0061081B"/>
    <w:rsid w:val="00620A62"/>
    <w:rsid w:val="00620F9A"/>
    <w:rsid w:val="00620FB9"/>
    <w:rsid w:val="00621EDF"/>
    <w:rsid w:val="0062604A"/>
    <w:rsid w:val="00631F92"/>
    <w:rsid w:val="00632AD3"/>
    <w:rsid w:val="00632F04"/>
    <w:rsid w:val="006338F3"/>
    <w:rsid w:val="0063545A"/>
    <w:rsid w:val="0064079E"/>
    <w:rsid w:val="00641A02"/>
    <w:rsid w:val="00643609"/>
    <w:rsid w:val="00644527"/>
    <w:rsid w:val="00646082"/>
    <w:rsid w:val="00655347"/>
    <w:rsid w:val="00660704"/>
    <w:rsid w:val="00660CA4"/>
    <w:rsid w:val="006649DC"/>
    <w:rsid w:val="006656B8"/>
    <w:rsid w:val="006670AF"/>
    <w:rsid w:val="0067318A"/>
    <w:rsid w:val="006759EE"/>
    <w:rsid w:val="00676B6E"/>
    <w:rsid w:val="006833BF"/>
    <w:rsid w:val="006833E2"/>
    <w:rsid w:val="00683ECE"/>
    <w:rsid w:val="0068631A"/>
    <w:rsid w:val="00693CEC"/>
    <w:rsid w:val="006A0AC8"/>
    <w:rsid w:val="006A3A8D"/>
    <w:rsid w:val="006A6C19"/>
    <w:rsid w:val="006B00C9"/>
    <w:rsid w:val="006B3E16"/>
    <w:rsid w:val="006B5320"/>
    <w:rsid w:val="006B5EB7"/>
    <w:rsid w:val="006B60C8"/>
    <w:rsid w:val="006B7F86"/>
    <w:rsid w:val="006D5360"/>
    <w:rsid w:val="006D7D92"/>
    <w:rsid w:val="006E20C9"/>
    <w:rsid w:val="006E2AE7"/>
    <w:rsid w:val="006E3B61"/>
    <w:rsid w:val="006E57EE"/>
    <w:rsid w:val="006E7570"/>
    <w:rsid w:val="006E7FAA"/>
    <w:rsid w:val="006F57E1"/>
    <w:rsid w:val="007007BF"/>
    <w:rsid w:val="00700A7D"/>
    <w:rsid w:val="0070679B"/>
    <w:rsid w:val="00707458"/>
    <w:rsid w:val="0070774F"/>
    <w:rsid w:val="007113DF"/>
    <w:rsid w:val="00721E51"/>
    <w:rsid w:val="00730308"/>
    <w:rsid w:val="00730EE7"/>
    <w:rsid w:val="007314D3"/>
    <w:rsid w:val="00732788"/>
    <w:rsid w:val="007339AC"/>
    <w:rsid w:val="007357C0"/>
    <w:rsid w:val="007369FB"/>
    <w:rsid w:val="00745849"/>
    <w:rsid w:val="00746455"/>
    <w:rsid w:val="007535A9"/>
    <w:rsid w:val="00754F72"/>
    <w:rsid w:val="00763568"/>
    <w:rsid w:val="007676D3"/>
    <w:rsid w:val="007719EE"/>
    <w:rsid w:val="00772D5A"/>
    <w:rsid w:val="007764B5"/>
    <w:rsid w:val="007860FF"/>
    <w:rsid w:val="00786DDB"/>
    <w:rsid w:val="00795F94"/>
    <w:rsid w:val="00796591"/>
    <w:rsid w:val="007A1F56"/>
    <w:rsid w:val="007A75E5"/>
    <w:rsid w:val="007B0A8A"/>
    <w:rsid w:val="007B15B6"/>
    <w:rsid w:val="007C574F"/>
    <w:rsid w:val="007D04CC"/>
    <w:rsid w:val="007D1A3D"/>
    <w:rsid w:val="007D4F29"/>
    <w:rsid w:val="007D7D41"/>
    <w:rsid w:val="007E0A62"/>
    <w:rsid w:val="007E36F9"/>
    <w:rsid w:val="007E389E"/>
    <w:rsid w:val="007E396C"/>
    <w:rsid w:val="007E59A9"/>
    <w:rsid w:val="007E7433"/>
    <w:rsid w:val="007F0794"/>
    <w:rsid w:val="007F3B86"/>
    <w:rsid w:val="007F5D7D"/>
    <w:rsid w:val="007F6135"/>
    <w:rsid w:val="007F6C73"/>
    <w:rsid w:val="0080265E"/>
    <w:rsid w:val="008041BF"/>
    <w:rsid w:val="00805E70"/>
    <w:rsid w:val="00806032"/>
    <w:rsid w:val="0081149D"/>
    <w:rsid w:val="008146FD"/>
    <w:rsid w:val="00815FC3"/>
    <w:rsid w:val="00817503"/>
    <w:rsid w:val="00820674"/>
    <w:rsid w:val="00824224"/>
    <w:rsid w:val="00826F59"/>
    <w:rsid w:val="008273D6"/>
    <w:rsid w:val="00833E01"/>
    <w:rsid w:val="00837492"/>
    <w:rsid w:val="00837A4F"/>
    <w:rsid w:val="00842441"/>
    <w:rsid w:val="00847614"/>
    <w:rsid w:val="00851E38"/>
    <w:rsid w:val="00854315"/>
    <w:rsid w:val="00855012"/>
    <w:rsid w:val="00855404"/>
    <w:rsid w:val="0085566A"/>
    <w:rsid w:val="0086059D"/>
    <w:rsid w:val="008606C4"/>
    <w:rsid w:val="00865777"/>
    <w:rsid w:val="00865DC7"/>
    <w:rsid w:val="00866F91"/>
    <w:rsid w:val="008679CB"/>
    <w:rsid w:val="00867C5E"/>
    <w:rsid w:val="00867FEB"/>
    <w:rsid w:val="00871D82"/>
    <w:rsid w:val="00873A1E"/>
    <w:rsid w:val="0087516C"/>
    <w:rsid w:val="008763D9"/>
    <w:rsid w:val="0087668D"/>
    <w:rsid w:val="008766FD"/>
    <w:rsid w:val="00876906"/>
    <w:rsid w:val="0088758C"/>
    <w:rsid w:val="00897199"/>
    <w:rsid w:val="008A19EC"/>
    <w:rsid w:val="008B0DCE"/>
    <w:rsid w:val="008C4E5E"/>
    <w:rsid w:val="008D0971"/>
    <w:rsid w:val="008D18C3"/>
    <w:rsid w:val="008D3214"/>
    <w:rsid w:val="008D36EB"/>
    <w:rsid w:val="008D623F"/>
    <w:rsid w:val="008D63B6"/>
    <w:rsid w:val="008E2040"/>
    <w:rsid w:val="008E240F"/>
    <w:rsid w:val="008E284D"/>
    <w:rsid w:val="008E3807"/>
    <w:rsid w:val="008F1984"/>
    <w:rsid w:val="008F241B"/>
    <w:rsid w:val="008F6979"/>
    <w:rsid w:val="0090189C"/>
    <w:rsid w:val="00902974"/>
    <w:rsid w:val="009054E6"/>
    <w:rsid w:val="00906C59"/>
    <w:rsid w:val="0090777A"/>
    <w:rsid w:val="00910722"/>
    <w:rsid w:val="00913499"/>
    <w:rsid w:val="00914617"/>
    <w:rsid w:val="00915DE0"/>
    <w:rsid w:val="00916350"/>
    <w:rsid w:val="009163C6"/>
    <w:rsid w:val="00924D07"/>
    <w:rsid w:val="00927A40"/>
    <w:rsid w:val="009305F1"/>
    <w:rsid w:val="0093182B"/>
    <w:rsid w:val="0093274A"/>
    <w:rsid w:val="00933EBE"/>
    <w:rsid w:val="00934D37"/>
    <w:rsid w:val="00935A05"/>
    <w:rsid w:val="0094341C"/>
    <w:rsid w:val="00944959"/>
    <w:rsid w:val="00945AC2"/>
    <w:rsid w:val="00945F9F"/>
    <w:rsid w:val="00946D3C"/>
    <w:rsid w:val="00947C8F"/>
    <w:rsid w:val="00950B1C"/>
    <w:rsid w:val="00957F8F"/>
    <w:rsid w:val="009633BE"/>
    <w:rsid w:val="00964BC0"/>
    <w:rsid w:val="00966C7E"/>
    <w:rsid w:val="00970886"/>
    <w:rsid w:val="00970DC9"/>
    <w:rsid w:val="0097134D"/>
    <w:rsid w:val="00972FC1"/>
    <w:rsid w:val="00975572"/>
    <w:rsid w:val="009772BD"/>
    <w:rsid w:val="00983FA6"/>
    <w:rsid w:val="00984229"/>
    <w:rsid w:val="009871E8"/>
    <w:rsid w:val="009874F2"/>
    <w:rsid w:val="00993534"/>
    <w:rsid w:val="00993AAD"/>
    <w:rsid w:val="00995FF2"/>
    <w:rsid w:val="00997994"/>
    <w:rsid w:val="009B25C4"/>
    <w:rsid w:val="009B5049"/>
    <w:rsid w:val="009C1271"/>
    <w:rsid w:val="009C39B6"/>
    <w:rsid w:val="009C44D1"/>
    <w:rsid w:val="009C7169"/>
    <w:rsid w:val="009C7CE1"/>
    <w:rsid w:val="009D3834"/>
    <w:rsid w:val="009D49E0"/>
    <w:rsid w:val="009D5162"/>
    <w:rsid w:val="009D5EF4"/>
    <w:rsid w:val="009D6A52"/>
    <w:rsid w:val="009D76B1"/>
    <w:rsid w:val="009E1665"/>
    <w:rsid w:val="009E241E"/>
    <w:rsid w:val="009E3B70"/>
    <w:rsid w:val="009E4FD9"/>
    <w:rsid w:val="009E59EE"/>
    <w:rsid w:val="009F0CC0"/>
    <w:rsid w:val="009F1379"/>
    <w:rsid w:val="009F388A"/>
    <w:rsid w:val="009F5ED0"/>
    <w:rsid w:val="009F6550"/>
    <w:rsid w:val="00A11F57"/>
    <w:rsid w:val="00A124A1"/>
    <w:rsid w:val="00A1301E"/>
    <w:rsid w:val="00A14850"/>
    <w:rsid w:val="00A16FBF"/>
    <w:rsid w:val="00A2323F"/>
    <w:rsid w:val="00A23E0F"/>
    <w:rsid w:val="00A26A35"/>
    <w:rsid w:val="00A342BB"/>
    <w:rsid w:val="00A35439"/>
    <w:rsid w:val="00A3558D"/>
    <w:rsid w:val="00A37489"/>
    <w:rsid w:val="00A4614B"/>
    <w:rsid w:val="00A46826"/>
    <w:rsid w:val="00A54316"/>
    <w:rsid w:val="00A57118"/>
    <w:rsid w:val="00A60B14"/>
    <w:rsid w:val="00A64267"/>
    <w:rsid w:val="00A649BA"/>
    <w:rsid w:val="00A676B7"/>
    <w:rsid w:val="00A74316"/>
    <w:rsid w:val="00A75259"/>
    <w:rsid w:val="00A75C12"/>
    <w:rsid w:val="00A76AC2"/>
    <w:rsid w:val="00A91B0D"/>
    <w:rsid w:val="00A91FBA"/>
    <w:rsid w:val="00A95A0A"/>
    <w:rsid w:val="00AA5DEB"/>
    <w:rsid w:val="00AA5EA6"/>
    <w:rsid w:val="00AC2188"/>
    <w:rsid w:val="00AC339B"/>
    <w:rsid w:val="00AC4DC1"/>
    <w:rsid w:val="00AC5820"/>
    <w:rsid w:val="00AD19CD"/>
    <w:rsid w:val="00AD291C"/>
    <w:rsid w:val="00AD3C49"/>
    <w:rsid w:val="00AD5DAF"/>
    <w:rsid w:val="00AD6993"/>
    <w:rsid w:val="00AE465C"/>
    <w:rsid w:val="00AE64C2"/>
    <w:rsid w:val="00AE6735"/>
    <w:rsid w:val="00AF332A"/>
    <w:rsid w:val="00AF45A8"/>
    <w:rsid w:val="00AF77E2"/>
    <w:rsid w:val="00B05242"/>
    <w:rsid w:val="00B14537"/>
    <w:rsid w:val="00B15238"/>
    <w:rsid w:val="00B15B72"/>
    <w:rsid w:val="00B260B7"/>
    <w:rsid w:val="00B26103"/>
    <w:rsid w:val="00B26AA7"/>
    <w:rsid w:val="00B3214C"/>
    <w:rsid w:val="00B33EA3"/>
    <w:rsid w:val="00B3519E"/>
    <w:rsid w:val="00B37C79"/>
    <w:rsid w:val="00B44509"/>
    <w:rsid w:val="00B461BE"/>
    <w:rsid w:val="00B46348"/>
    <w:rsid w:val="00B50597"/>
    <w:rsid w:val="00B50CF7"/>
    <w:rsid w:val="00B51501"/>
    <w:rsid w:val="00B53757"/>
    <w:rsid w:val="00B54217"/>
    <w:rsid w:val="00B55BA9"/>
    <w:rsid w:val="00B56F34"/>
    <w:rsid w:val="00B62385"/>
    <w:rsid w:val="00B6409B"/>
    <w:rsid w:val="00B65ED6"/>
    <w:rsid w:val="00B7185A"/>
    <w:rsid w:val="00B73C2C"/>
    <w:rsid w:val="00B74340"/>
    <w:rsid w:val="00B77501"/>
    <w:rsid w:val="00B8032D"/>
    <w:rsid w:val="00B850C5"/>
    <w:rsid w:val="00B87599"/>
    <w:rsid w:val="00B87E65"/>
    <w:rsid w:val="00B87F1F"/>
    <w:rsid w:val="00B97E21"/>
    <w:rsid w:val="00BA026E"/>
    <w:rsid w:val="00BA0753"/>
    <w:rsid w:val="00BA0F22"/>
    <w:rsid w:val="00BA1B33"/>
    <w:rsid w:val="00BB01D1"/>
    <w:rsid w:val="00BB6EB6"/>
    <w:rsid w:val="00BC0E50"/>
    <w:rsid w:val="00BC5AD9"/>
    <w:rsid w:val="00BD0841"/>
    <w:rsid w:val="00BD4B3C"/>
    <w:rsid w:val="00BD57F0"/>
    <w:rsid w:val="00BD5F7C"/>
    <w:rsid w:val="00BE10FA"/>
    <w:rsid w:val="00BE1A23"/>
    <w:rsid w:val="00BE1EAF"/>
    <w:rsid w:val="00BF2686"/>
    <w:rsid w:val="00BF57A1"/>
    <w:rsid w:val="00C041CF"/>
    <w:rsid w:val="00C043F8"/>
    <w:rsid w:val="00C05144"/>
    <w:rsid w:val="00C11154"/>
    <w:rsid w:val="00C25B3D"/>
    <w:rsid w:val="00C33087"/>
    <w:rsid w:val="00C35225"/>
    <w:rsid w:val="00C3738E"/>
    <w:rsid w:val="00C433AA"/>
    <w:rsid w:val="00C43531"/>
    <w:rsid w:val="00C476BF"/>
    <w:rsid w:val="00C54404"/>
    <w:rsid w:val="00C55903"/>
    <w:rsid w:val="00C60324"/>
    <w:rsid w:val="00C60573"/>
    <w:rsid w:val="00C606F1"/>
    <w:rsid w:val="00C61A9E"/>
    <w:rsid w:val="00C64E73"/>
    <w:rsid w:val="00C65467"/>
    <w:rsid w:val="00C75A08"/>
    <w:rsid w:val="00C75E5A"/>
    <w:rsid w:val="00C775DB"/>
    <w:rsid w:val="00C80BA2"/>
    <w:rsid w:val="00C82B26"/>
    <w:rsid w:val="00C84B69"/>
    <w:rsid w:val="00C84D2E"/>
    <w:rsid w:val="00C85CB5"/>
    <w:rsid w:val="00C86BC0"/>
    <w:rsid w:val="00C90EC8"/>
    <w:rsid w:val="00C94213"/>
    <w:rsid w:val="00C96AE0"/>
    <w:rsid w:val="00CA341E"/>
    <w:rsid w:val="00CA42B5"/>
    <w:rsid w:val="00CA6599"/>
    <w:rsid w:val="00CA713F"/>
    <w:rsid w:val="00CA7177"/>
    <w:rsid w:val="00CB1A46"/>
    <w:rsid w:val="00CB2E68"/>
    <w:rsid w:val="00CB5F23"/>
    <w:rsid w:val="00CB65B5"/>
    <w:rsid w:val="00CC39F7"/>
    <w:rsid w:val="00CC6FA3"/>
    <w:rsid w:val="00CD7F6C"/>
    <w:rsid w:val="00CE0D6F"/>
    <w:rsid w:val="00CE4914"/>
    <w:rsid w:val="00CE6793"/>
    <w:rsid w:val="00CF08D1"/>
    <w:rsid w:val="00CF51D6"/>
    <w:rsid w:val="00CF552D"/>
    <w:rsid w:val="00CF652A"/>
    <w:rsid w:val="00D01E02"/>
    <w:rsid w:val="00D02909"/>
    <w:rsid w:val="00D03927"/>
    <w:rsid w:val="00D0759F"/>
    <w:rsid w:val="00D22FAA"/>
    <w:rsid w:val="00D242E1"/>
    <w:rsid w:val="00D2437F"/>
    <w:rsid w:val="00D2546A"/>
    <w:rsid w:val="00D2554F"/>
    <w:rsid w:val="00D30EEA"/>
    <w:rsid w:val="00D32BE1"/>
    <w:rsid w:val="00D3503C"/>
    <w:rsid w:val="00D37D32"/>
    <w:rsid w:val="00D41AAC"/>
    <w:rsid w:val="00D4569D"/>
    <w:rsid w:val="00D45DA3"/>
    <w:rsid w:val="00D462F3"/>
    <w:rsid w:val="00D47D96"/>
    <w:rsid w:val="00D529BE"/>
    <w:rsid w:val="00D53F85"/>
    <w:rsid w:val="00D55E7E"/>
    <w:rsid w:val="00D61802"/>
    <w:rsid w:val="00D67603"/>
    <w:rsid w:val="00D73EB8"/>
    <w:rsid w:val="00D80882"/>
    <w:rsid w:val="00D82193"/>
    <w:rsid w:val="00D85925"/>
    <w:rsid w:val="00D86E16"/>
    <w:rsid w:val="00D87C5A"/>
    <w:rsid w:val="00D93364"/>
    <w:rsid w:val="00D93593"/>
    <w:rsid w:val="00D94237"/>
    <w:rsid w:val="00DA335A"/>
    <w:rsid w:val="00DA3EAE"/>
    <w:rsid w:val="00DA6361"/>
    <w:rsid w:val="00DA6EA0"/>
    <w:rsid w:val="00DB0853"/>
    <w:rsid w:val="00DB1678"/>
    <w:rsid w:val="00DB1E67"/>
    <w:rsid w:val="00DB26F8"/>
    <w:rsid w:val="00DB60B9"/>
    <w:rsid w:val="00DB7067"/>
    <w:rsid w:val="00DC09D0"/>
    <w:rsid w:val="00DC09DC"/>
    <w:rsid w:val="00DC3671"/>
    <w:rsid w:val="00DC588A"/>
    <w:rsid w:val="00DD0237"/>
    <w:rsid w:val="00DD14A6"/>
    <w:rsid w:val="00DD2559"/>
    <w:rsid w:val="00DD304D"/>
    <w:rsid w:val="00DD4C66"/>
    <w:rsid w:val="00DE040C"/>
    <w:rsid w:val="00DE06BC"/>
    <w:rsid w:val="00DE5884"/>
    <w:rsid w:val="00DF0E26"/>
    <w:rsid w:val="00DF6857"/>
    <w:rsid w:val="00E068C6"/>
    <w:rsid w:val="00E139B3"/>
    <w:rsid w:val="00E1541E"/>
    <w:rsid w:val="00E15DA9"/>
    <w:rsid w:val="00E20797"/>
    <w:rsid w:val="00E21666"/>
    <w:rsid w:val="00E2585D"/>
    <w:rsid w:val="00E25A50"/>
    <w:rsid w:val="00E27988"/>
    <w:rsid w:val="00E33945"/>
    <w:rsid w:val="00E3470F"/>
    <w:rsid w:val="00E35260"/>
    <w:rsid w:val="00E37B3E"/>
    <w:rsid w:val="00E40FC3"/>
    <w:rsid w:val="00E41A5A"/>
    <w:rsid w:val="00E42046"/>
    <w:rsid w:val="00E42FB9"/>
    <w:rsid w:val="00E5022B"/>
    <w:rsid w:val="00E532FA"/>
    <w:rsid w:val="00E53987"/>
    <w:rsid w:val="00E63251"/>
    <w:rsid w:val="00E70842"/>
    <w:rsid w:val="00E70BFB"/>
    <w:rsid w:val="00E7116A"/>
    <w:rsid w:val="00E76425"/>
    <w:rsid w:val="00E77579"/>
    <w:rsid w:val="00E83807"/>
    <w:rsid w:val="00E87D7E"/>
    <w:rsid w:val="00E87F32"/>
    <w:rsid w:val="00E903BC"/>
    <w:rsid w:val="00E9147F"/>
    <w:rsid w:val="00E95013"/>
    <w:rsid w:val="00E96B36"/>
    <w:rsid w:val="00E97E7C"/>
    <w:rsid w:val="00EB098E"/>
    <w:rsid w:val="00EB2B21"/>
    <w:rsid w:val="00EC1045"/>
    <w:rsid w:val="00EC1B71"/>
    <w:rsid w:val="00EC1E6C"/>
    <w:rsid w:val="00EC2FE1"/>
    <w:rsid w:val="00EC3CA9"/>
    <w:rsid w:val="00EC4985"/>
    <w:rsid w:val="00EC51D1"/>
    <w:rsid w:val="00EC5CF3"/>
    <w:rsid w:val="00EC61BA"/>
    <w:rsid w:val="00ED1376"/>
    <w:rsid w:val="00ED1406"/>
    <w:rsid w:val="00ED394F"/>
    <w:rsid w:val="00ED4B72"/>
    <w:rsid w:val="00ED4DBE"/>
    <w:rsid w:val="00EE252E"/>
    <w:rsid w:val="00EE27B5"/>
    <w:rsid w:val="00EE32F9"/>
    <w:rsid w:val="00EE4CB7"/>
    <w:rsid w:val="00EE564D"/>
    <w:rsid w:val="00EE7C49"/>
    <w:rsid w:val="00EE7EDF"/>
    <w:rsid w:val="00EF0633"/>
    <w:rsid w:val="00EF42FA"/>
    <w:rsid w:val="00EF586A"/>
    <w:rsid w:val="00EF6335"/>
    <w:rsid w:val="00EF6D85"/>
    <w:rsid w:val="00F00A89"/>
    <w:rsid w:val="00F02563"/>
    <w:rsid w:val="00F02A3C"/>
    <w:rsid w:val="00F11E1A"/>
    <w:rsid w:val="00F15FC2"/>
    <w:rsid w:val="00F22765"/>
    <w:rsid w:val="00F242A8"/>
    <w:rsid w:val="00F3385C"/>
    <w:rsid w:val="00F347A9"/>
    <w:rsid w:val="00F34C1C"/>
    <w:rsid w:val="00F370F3"/>
    <w:rsid w:val="00F376B7"/>
    <w:rsid w:val="00F42145"/>
    <w:rsid w:val="00F45AC0"/>
    <w:rsid w:val="00F4673A"/>
    <w:rsid w:val="00F504E8"/>
    <w:rsid w:val="00F50C87"/>
    <w:rsid w:val="00F52504"/>
    <w:rsid w:val="00F5740C"/>
    <w:rsid w:val="00F60640"/>
    <w:rsid w:val="00F64569"/>
    <w:rsid w:val="00F67D37"/>
    <w:rsid w:val="00F7333B"/>
    <w:rsid w:val="00F770EC"/>
    <w:rsid w:val="00F82B64"/>
    <w:rsid w:val="00F82BD1"/>
    <w:rsid w:val="00F845F3"/>
    <w:rsid w:val="00F848BE"/>
    <w:rsid w:val="00F90D51"/>
    <w:rsid w:val="00F91BBB"/>
    <w:rsid w:val="00F91EBB"/>
    <w:rsid w:val="00F94426"/>
    <w:rsid w:val="00F94623"/>
    <w:rsid w:val="00FA1BFD"/>
    <w:rsid w:val="00FA2202"/>
    <w:rsid w:val="00FA44D5"/>
    <w:rsid w:val="00FA4F7C"/>
    <w:rsid w:val="00FA672A"/>
    <w:rsid w:val="00FA6E44"/>
    <w:rsid w:val="00FB01C4"/>
    <w:rsid w:val="00FB036F"/>
    <w:rsid w:val="00FB3005"/>
    <w:rsid w:val="00FB68BD"/>
    <w:rsid w:val="00FB6D79"/>
    <w:rsid w:val="00FB72E5"/>
    <w:rsid w:val="00FC047E"/>
    <w:rsid w:val="00FC1D39"/>
    <w:rsid w:val="00FC4E20"/>
    <w:rsid w:val="00FD1021"/>
    <w:rsid w:val="00FD1E04"/>
    <w:rsid w:val="00FD375F"/>
    <w:rsid w:val="00FD43B9"/>
    <w:rsid w:val="00FD4C6B"/>
    <w:rsid w:val="00FD4D48"/>
    <w:rsid w:val="00FD75A3"/>
    <w:rsid w:val="00FE18D7"/>
    <w:rsid w:val="00FE1ADD"/>
    <w:rsid w:val="00FE28CA"/>
    <w:rsid w:val="00FE3700"/>
    <w:rsid w:val="00FE3AC6"/>
    <w:rsid w:val="00FE6898"/>
    <w:rsid w:val="00FF17E8"/>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BC84FC5"/>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890529652">
          <w:marLeft w:val="0"/>
          <w:marRight w:val="0"/>
          <w:marTop w:val="0"/>
          <w:marBottom w:val="0"/>
          <w:divBdr>
            <w:top w:val="none" w:sz="0" w:space="0" w:color="auto"/>
            <w:left w:val="none" w:sz="0" w:space="0" w:color="auto"/>
            <w:bottom w:val="none" w:sz="0" w:space="0" w:color="auto"/>
            <w:right w:val="none" w:sz="0" w:space="0" w:color="auto"/>
          </w:divBdr>
        </w:div>
        <w:div w:id="1171025814">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1941596909">
          <w:marLeft w:val="0"/>
          <w:marRight w:val="0"/>
          <w:marTop w:val="0"/>
          <w:marBottom w:val="0"/>
          <w:divBdr>
            <w:top w:val="none" w:sz="0" w:space="0" w:color="auto"/>
            <w:left w:val="none" w:sz="0" w:space="0" w:color="auto"/>
            <w:bottom w:val="none" w:sz="0" w:space="0" w:color="auto"/>
            <w:right w:val="none" w:sz="0" w:space="0" w:color="auto"/>
          </w:divBdr>
        </w:div>
        <w:div w:id="949774138">
          <w:marLeft w:val="0"/>
          <w:marRight w:val="0"/>
          <w:marTop w:val="0"/>
          <w:marBottom w:val="0"/>
          <w:divBdr>
            <w:top w:val="none" w:sz="0" w:space="0" w:color="auto"/>
            <w:left w:val="none" w:sz="0" w:space="0" w:color="auto"/>
            <w:bottom w:val="none" w:sz="0" w:space="0" w:color="auto"/>
            <w:right w:val="none" w:sz="0" w:space="0" w:color="auto"/>
          </w:divBdr>
        </w:div>
      </w:divsChild>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9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BCF7-EF47-4070-81A2-FF270CBF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2290</Words>
  <Characters>17319</Characters>
  <Application>Microsoft Office Word</Application>
  <DocSecurity>0</DocSecurity>
  <Lines>787</Lines>
  <Paragraphs>148</Paragraphs>
  <ScaleCrop>false</ScaleCrop>
  <HeadingPairs>
    <vt:vector size="2" baseType="variant">
      <vt:variant>
        <vt:lpstr>Title</vt:lpstr>
      </vt:variant>
      <vt:variant>
        <vt:i4>1</vt:i4>
      </vt:variant>
    </vt:vector>
  </HeadingPairs>
  <TitlesOfParts>
    <vt:vector size="1" baseType="lpstr">
      <vt:lpstr>IEMIzz_280211_Turk; Izziņa par atzinumos sniegtajiem iebildumiem par likumprojektu „Par Latvijas Republikas valdības un Turkmenistānas valdības līgumu par sadarbību cīņā pret terorismu, organizēto noziedzību un nelegālu narkotisko vielu, psihotropo vielu </vt:lpstr>
    </vt:vector>
  </TitlesOfParts>
  <Company>IEM</Company>
  <LinksUpToDate>false</LinksUpToDate>
  <CharactersWithSpaces>19461</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IEMIzz_280211_Turk; Izziņa par atzinumos sniegtajiem iebildumiem par likumprojektu „Par Latvijas Republikas valdības un Turkmenistānas valdības līgumu par sadarbību cīņā pret terorismu, organizēto noziedzību un nelegālu narkotisko vielu, psihotropo vielu un prekursoru apriti un citiem noziedzīgiem nodarījumiem”</dc:title>
  <dc:subject>Izziņa</dc:subject>
  <dc:creator>Karina Stoļarova</dc:creator>
  <cp:keywords/>
  <dc:description>karina.stolarova@iem.gov.lv;_x000d_
67219584</dc:description>
  <cp:lastModifiedBy>Gints Rozenbilds</cp:lastModifiedBy>
  <cp:revision>27</cp:revision>
  <cp:lastPrinted>2017-12-07T07:43:00Z</cp:lastPrinted>
  <dcterms:created xsi:type="dcterms:W3CDTF">2018-11-08T08:00:00Z</dcterms:created>
  <dcterms:modified xsi:type="dcterms:W3CDTF">2018-11-14T08:50:00Z</dcterms:modified>
</cp:coreProperties>
</file>