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0" w:rsidRPr="00C54F9C" w:rsidRDefault="00BA0BA3">
      <w:pPr>
        <w:pBdr>
          <w:top w:val="nil"/>
          <w:left w:val="nil"/>
          <w:bottom w:val="nil"/>
          <w:right w:val="nil"/>
          <w:between w:val="nil"/>
        </w:pBdr>
        <w:ind w:firstLine="720"/>
        <w:jc w:val="center"/>
        <w:rPr>
          <w:b/>
          <w:sz w:val="28"/>
          <w:szCs w:val="28"/>
        </w:rPr>
      </w:pPr>
      <w:r w:rsidRPr="00C54F9C">
        <w:rPr>
          <w:b/>
          <w:sz w:val="28"/>
          <w:szCs w:val="28"/>
        </w:rPr>
        <w:t>Izziņa par atzinumos sniegtajiem iebildumiem</w:t>
      </w:r>
    </w:p>
    <w:p w:rsidR="00436609" w:rsidRPr="00C54F9C" w:rsidRDefault="00BA0BA3" w:rsidP="00436609">
      <w:pPr>
        <w:pBdr>
          <w:top w:val="nil"/>
          <w:left w:val="nil"/>
          <w:bottom w:val="nil"/>
          <w:right w:val="nil"/>
          <w:between w:val="nil"/>
        </w:pBdr>
        <w:ind w:firstLine="720"/>
        <w:jc w:val="center"/>
        <w:rPr>
          <w:b/>
          <w:color w:val="000000"/>
          <w:sz w:val="28"/>
          <w:szCs w:val="28"/>
        </w:rPr>
      </w:pPr>
      <w:r w:rsidRPr="00C54F9C">
        <w:rPr>
          <w:b/>
          <w:color w:val="000000"/>
          <w:sz w:val="28"/>
          <w:szCs w:val="28"/>
        </w:rPr>
        <w:t xml:space="preserve">par </w:t>
      </w:r>
      <w:r w:rsidR="00436609" w:rsidRPr="00C54F9C">
        <w:rPr>
          <w:b/>
          <w:color w:val="000000"/>
          <w:sz w:val="28"/>
          <w:szCs w:val="28"/>
        </w:rPr>
        <w:t xml:space="preserve">Ministru kabineta noteikumu projektu </w:t>
      </w:r>
    </w:p>
    <w:p w:rsidR="00436609" w:rsidRPr="00C54F9C" w:rsidRDefault="00436609" w:rsidP="00436609">
      <w:pPr>
        <w:pBdr>
          <w:top w:val="nil"/>
          <w:left w:val="nil"/>
          <w:bottom w:val="nil"/>
          <w:right w:val="nil"/>
          <w:between w:val="nil"/>
        </w:pBdr>
        <w:ind w:firstLine="720"/>
        <w:jc w:val="center"/>
        <w:rPr>
          <w:b/>
          <w:color w:val="000000"/>
          <w:sz w:val="28"/>
          <w:szCs w:val="28"/>
        </w:rPr>
      </w:pPr>
      <w:r w:rsidRPr="00C54F9C">
        <w:rPr>
          <w:b/>
          <w:color w:val="000000"/>
          <w:sz w:val="28"/>
          <w:szCs w:val="28"/>
        </w:rPr>
        <w:t>“Kārtība, kādā Valsts policija klasificē šaujamieročus un to munīciju”</w:t>
      </w:r>
    </w:p>
    <w:p w:rsidR="000635C0" w:rsidRDefault="000635C0">
      <w:pPr>
        <w:pBdr>
          <w:top w:val="nil"/>
          <w:left w:val="nil"/>
          <w:bottom w:val="nil"/>
          <w:right w:val="nil"/>
          <w:between w:val="nil"/>
        </w:pBdr>
        <w:ind w:firstLine="720"/>
        <w:jc w:val="both"/>
        <w:rPr>
          <w:color w:val="000000"/>
        </w:rPr>
      </w:pPr>
    </w:p>
    <w:p w:rsidR="000635C0" w:rsidRDefault="00BA0BA3">
      <w:pPr>
        <w:pBdr>
          <w:top w:val="nil"/>
          <w:left w:val="nil"/>
          <w:bottom w:val="nil"/>
          <w:right w:val="nil"/>
          <w:between w:val="nil"/>
        </w:pBdr>
        <w:jc w:val="center"/>
        <w:rPr>
          <w:color w:val="000000"/>
        </w:rPr>
      </w:pPr>
      <w:r>
        <w:rPr>
          <w:b/>
          <w:color w:val="000000"/>
        </w:rPr>
        <w:t>I. Jautājumi, par kuriem saskaņošanā vienošanās nav panākta</w:t>
      </w:r>
    </w:p>
    <w:p w:rsidR="000635C0" w:rsidRDefault="000635C0">
      <w:pPr>
        <w:pBdr>
          <w:top w:val="nil"/>
          <w:left w:val="nil"/>
          <w:bottom w:val="nil"/>
          <w:right w:val="nil"/>
          <w:between w:val="nil"/>
        </w:pBdr>
        <w:ind w:firstLine="720"/>
        <w:jc w:val="both"/>
        <w:rPr>
          <w:color w:val="000000"/>
        </w:rPr>
      </w:pPr>
    </w:p>
    <w:tbl>
      <w:tblPr>
        <w:tblStyle w:val="a"/>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2261"/>
        <w:gridCol w:w="5387"/>
        <w:gridCol w:w="2551"/>
        <w:gridCol w:w="1559"/>
        <w:gridCol w:w="1817"/>
      </w:tblGrid>
      <w:tr w:rsidR="000635C0" w:rsidTr="00E674FD">
        <w:tc>
          <w:tcPr>
            <w:tcW w:w="708"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jc w:val="center"/>
              <w:rPr>
                <w:b/>
                <w:color w:val="000000"/>
              </w:rPr>
            </w:pPr>
            <w:r w:rsidRPr="001D3235">
              <w:rPr>
                <w:b/>
                <w:color w:val="000000"/>
              </w:rPr>
              <w:t>Nr. p. k.</w:t>
            </w:r>
          </w:p>
        </w:tc>
        <w:tc>
          <w:tcPr>
            <w:tcW w:w="2261"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ind w:firstLine="12"/>
              <w:jc w:val="center"/>
              <w:rPr>
                <w:b/>
                <w:color w:val="000000"/>
              </w:rPr>
            </w:pPr>
            <w:r w:rsidRPr="001D3235">
              <w:rPr>
                <w:b/>
                <w:color w:val="000000"/>
              </w:rPr>
              <w:t>Saskaņošanai nosūtītā projekta redakcija (konkrēta punkta (panta)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ind w:right="3"/>
              <w:jc w:val="center"/>
              <w:rPr>
                <w:b/>
                <w:color w:val="000000"/>
              </w:rPr>
            </w:pPr>
            <w:r w:rsidRPr="001D3235">
              <w:rPr>
                <w:b/>
                <w:color w:val="000000"/>
              </w:rPr>
              <w:t>Atzinumā norādītais ministrijas (citas institūcijas) iebildums, kā arī saskaņošanā papildus izteiktais iebildums par projekta konkrēto punktu (pantu)</w:t>
            </w:r>
          </w:p>
        </w:tc>
        <w:tc>
          <w:tcPr>
            <w:tcW w:w="2551" w:type="dxa"/>
            <w:tcBorders>
              <w:top w:val="single" w:sz="6" w:space="0" w:color="000000"/>
              <w:left w:val="single" w:sz="6" w:space="0" w:color="000000"/>
              <w:bottom w:val="single" w:sz="6" w:space="0" w:color="000000"/>
              <w:right w:val="single" w:sz="6" w:space="0" w:color="000000"/>
            </w:tcBorders>
            <w:vAlign w:val="center"/>
          </w:tcPr>
          <w:p w:rsidR="000635C0" w:rsidRPr="001D3235" w:rsidRDefault="00BA0BA3">
            <w:pPr>
              <w:pBdr>
                <w:top w:val="nil"/>
                <w:left w:val="nil"/>
                <w:bottom w:val="nil"/>
                <w:right w:val="nil"/>
                <w:between w:val="nil"/>
              </w:pBdr>
              <w:ind w:firstLine="21"/>
              <w:jc w:val="center"/>
              <w:rPr>
                <w:b/>
                <w:color w:val="000000"/>
              </w:rPr>
            </w:pPr>
            <w:r w:rsidRPr="001D3235">
              <w:rPr>
                <w:b/>
                <w:color w:val="000000"/>
              </w:rPr>
              <w:t>Atbildīgās ministrijas pamatojums iebilduma noraidījumam</w:t>
            </w:r>
          </w:p>
        </w:tc>
        <w:tc>
          <w:tcPr>
            <w:tcW w:w="1559" w:type="dxa"/>
            <w:tcBorders>
              <w:top w:val="single" w:sz="4" w:space="0" w:color="000000"/>
              <w:left w:val="single" w:sz="4" w:space="0" w:color="000000"/>
              <w:bottom w:val="single" w:sz="4" w:space="0" w:color="000000"/>
              <w:right w:val="single" w:sz="4" w:space="0" w:color="000000"/>
            </w:tcBorders>
            <w:vAlign w:val="center"/>
          </w:tcPr>
          <w:p w:rsidR="000635C0" w:rsidRPr="001D3235" w:rsidRDefault="00BA0BA3">
            <w:pPr>
              <w:jc w:val="center"/>
              <w:rPr>
                <w:b/>
              </w:rPr>
            </w:pPr>
            <w:r w:rsidRPr="001D3235">
              <w:rPr>
                <w:b/>
              </w:rPr>
              <w:t>Atzinuma sniedzēja uzturētais iebildums, ja tas atšķiras no atzinumā norādītā iebilduma pamatojuma</w:t>
            </w:r>
          </w:p>
        </w:tc>
        <w:tc>
          <w:tcPr>
            <w:tcW w:w="1817" w:type="dxa"/>
            <w:tcBorders>
              <w:top w:val="single" w:sz="4" w:space="0" w:color="000000"/>
              <w:left w:val="single" w:sz="4" w:space="0" w:color="000000"/>
              <w:bottom w:val="single" w:sz="4" w:space="0" w:color="000000"/>
            </w:tcBorders>
            <w:vAlign w:val="center"/>
          </w:tcPr>
          <w:p w:rsidR="000635C0" w:rsidRPr="001D3235" w:rsidRDefault="00BA0BA3">
            <w:pPr>
              <w:jc w:val="center"/>
              <w:rPr>
                <w:b/>
              </w:rPr>
            </w:pPr>
            <w:r w:rsidRPr="001D3235">
              <w:rPr>
                <w:b/>
              </w:rPr>
              <w:t>Projekta attiecīgā punkta (panta) galīgā redakcija</w:t>
            </w:r>
          </w:p>
        </w:tc>
      </w:tr>
      <w:tr w:rsidR="000635C0" w:rsidTr="00E674FD">
        <w:tc>
          <w:tcPr>
            <w:tcW w:w="708"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538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551"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1559" w:type="dxa"/>
            <w:tcBorders>
              <w:top w:val="single" w:sz="4" w:space="0" w:color="000000"/>
              <w:left w:val="single" w:sz="4" w:space="0" w:color="000000"/>
              <w:bottom w:val="single" w:sz="4" w:space="0" w:color="000000"/>
              <w:right w:val="single" w:sz="4" w:space="0" w:color="000000"/>
            </w:tcBorders>
          </w:tcPr>
          <w:p w:rsidR="000635C0" w:rsidRDefault="00BA0BA3">
            <w:pPr>
              <w:jc w:val="center"/>
              <w:rPr>
                <w:sz w:val="20"/>
                <w:szCs w:val="20"/>
              </w:rPr>
            </w:pPr>
            <w:r>
              <w:rPr>
                <w:sz w:val="20"/>
                <w:szCs w:val="20"/>
              </w:rPr>
              <w:t>5</w:t>
            </w:r>
          </w:p>
        </w:tc>
        <w:tc>
          <w:tcPr>
            <w:tcW w:w="1817"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6</w:t>
            </w:r>
          </w:p>
        </w:tc>
      </w:tr>
    </w:tbl>
    <w:p w:rsidR="000635C0" w:rsidRDefault="000635C0">
      <w:pPr>
        <w:pBdr>
          <w:top w:val="nil"/>
          <w:left w:val="nil"/>
          <w:bottom w:val="nil"/>
          <w:right w:val="nil"/>
          <w:between w:val="nil"/>
        </w:pBdr>
        <w:jc w:val="both"/>
        <w:rPr>
          <w:color w:val="000000"/>
        </w:rPr>
      </w:pPr>
    </w:p>
    <w:p w:rsidR="000635C0" w:rsidRDefault="00BA0BA3">
      <w:pPr>
        <w:pBdr>
          <w:top w:val="nil"/>
          <w:left w:val="nil"/>
          <w:bottom w:val="nil"/>
          <w:right w:val="nil"/>
          <w:between w:val="nil"/>
        </w:pBdr>
        <w:jc w:val="both"/>
        <w:rPr>
          <w:color w:val="000000"/>
        </w:rPr>
      </w:pPr>
      <w:r>
        <w:rPr>
          <w:b/>
          <w:color w:val="000000"/>
        </w:rPr>
        <w:t>Informācija par starpministriju (starpinstitūciju) sanāksmi vai elektronisko saskaņošanu</w:t>
      </w:r>
    </w:p>
    <w:p w:rsidR="000635C0" w:rsidRDefault="000635C0">
      <w:pPr>
        <w:pBdr>
          <w:top w:val="nil"/>
          <w:left w:val="nil"/>
          <w:bottom w:val="nil"/>
          <w:right w:val="nil"/>
          <w:between w:val="nil"/>
        </w:pBdr>
        <w:jc w:val="both"/>
        <w:rPr>
          <w:color w:val="000000"/>
        </w:rPr>
      </w:pPr>
    </w:p>
    <w:tbl>
      <w:tblPr>
        <w:tblStyle w:val="a0"/>
        <w:tblW w:w="13325" w:type="dxa"/>
        <w:tblLayout w:type="fixed"/>
        <w:tblLook w:val="0000" w:firstRow="0" w:lastRow="0" w:firstColumn="0" w:lastColumn="0" w:noHBand="0" w:noVBand="0"/>
      </w:tblPr>
      <w:tblGrid>
        <w:gridCol w:w="6663"/>
        <w:gridCol w:w="1203"/>
        <w:gridCol w:w="5459"/>
      </w:tblGrid>
      <w:tr w:rsidR="000635C0" w:rsidTr="00F17650">
        <w:tc>
          <w:tcPr>
            <w:tcW w:w="6663" w:type="dxa"/>
          </w:tcPr>
          <w:p w:rsidR="000635C0" w:rsidRDefault="00BA0BA3">
            <w:pPr>
              <w:pBdr>
                <w:top w:val="nil"/>
                <w:left w:val="nil"/>
                <w:bottom w:val="nil"/>
                <w:right w:val="nil"/>
                <w:between w:val="nil"/>
              </w:pBdr>
              <w:jc w:val="both"/>
              <w:rPr>
                <w:color w:val="000000"/>
              </w:rPr>
            </w:pPr>
            <w:r>
              <w:rPr>
                <w:color w:val="000000"/>
              </w:rPr>
              <w:t>Datums</w:t>
            </w:r>
          </w:p>
        </w:tc>
        <w:tc>
          <w:tcPr>
            <w:tcW w:w="6662" w:type="dxa"/>
            <w:gridSpan w:val="2"/>
            <w:tcBorders>
              <w:bottom w:val="single" w:sz="4" w:space="0" w:color="000000"/>
            </w:tcBorders>
          </w:tcPr>
          <w:p w:rsidR="000635C0" w:rsidRDefault="00980508">
            <w:pPr>
              <w:pBdr>
                <w:top w:val="nil"/>
                <w:left w:val="nil"/>
                <w:bottom w:val="nil"/>
                <w:right w:val="nil"/>
                <w:between w:val="nil"/>
              </w:pBdr>
              <w:ind w:firstLine="720"/>
              <w:rPr>
                <w:color w:val="000000"/>
              </w:rPr>
            </w:pPr>
            <w:r>
              <w:rPr>
                <w:color w:val="000000"/>
              </w:rPr>
              <w:t>2019.gada 4.aprīlis</w:t>
            </w:r>
          </w:p>
        </w:tc>
      </w:tr>
      <w:tr w:rsidR="000635C0" w:rsidTr="00F17650">
        <w:tc>
          <w:tcPr>
            <w:tcW w:w="6663" w:type="dxa"/>
          </w:tcPr>
          <w:p w:rsidR="000635C0" w:rsidRDefault="000635C0">
            <w:pPr>
              <w:pBdr>
                <w:top w:val="nil"/>
                <w:left w:val="nil"/>
                <w:bottom w:val="nil"/>
                <w:right w:val="nil"/>
                <w:between w:val="nil"/>
              </w:pBdr>
              <w:jc w:val="both"/>
              <w:rPr>
                <w:color w:val="000000"/>
              </w:rPr>
            </w:pPr>
          </w:p>
        </w:tc>
        <w:tc>
          <w:tcPr>
            <w:tcW w:w="6662" w:type="dxa"/>
            <w:gridSpan w:val="2"/>
            <w:tcBorders>
              <w:top w:val="single" w:sz="4" w:space="0" w:color="000000"/>
            </w:tcBorders>
          </w:tcPr>
          <w:p w:rsidR="000635C0" w:rsidRDefault="000635C0">
            <w:pPr>
              <w:pBdr>
                <w:top w:val="nil"/>
                <w:left w:val="nil"/>
                <w:bottom w:val="nil"/>
                <w:right w:val="nil"/>
                <w:between w:val="nil"/>
              </w:pBdr>
              <w:ind w:firstLine="720"/>
              <w:rPr>
                <w:color w:val="000000"/>
              </w:rPr>
            </w:pPr>
          </w:p>
        </w:tc>
      </w:tr>
      <w:tr w:rsidR="000635C0" w:rsidTr="00F17650">
        <w:tc>
          <w:tcPr>
            <w:tcW w:w="6663" w:type="dxa"/>
          </w:tcPr>
          <w:p w:rsidR="000635C0" w:rsidRDefault="00BA0BA3">
            <w:pPr>
              <w:pBdr>
                <w:top w:val="nil"/>
                <w:left w:val="nil"/>
                <w:bottom w:val="nil"/>
                <w:right w:val="nil"/>
                <w:between w:val="nil"/>
              </w:pBdr>
              <w:rPr>
                <w:color w:val="000000"/>
              </w:rPr>
            </w:pPr>
            <w:r>
              <w:rPr>
                <w:color w:val="000000"/>
              </w:rPr>
              <w:t>Saskaņošanas dalībnieki</w:t>
            </w:r>
          </w:p>
        </w:tc>
        <w:tc>
          <w:tcPr>
            <w:tcW w:w="6662" w:type="dxa"/>
            <w:gridSpan w:val="2"/>
          </w:tcPr>
          <w:p w:rsidR="000635C0" w:rsidRPr="00FD79E4" w:rsidRDefault="000635C0" w:rsidP="00FD79E4">
            <w:pPr>
              <w:pBdr>
                <w:top w:val="nil"/>
                <w:left w:val="nil"/>
                <w:bottom w:val="nil"/>
                <w:right w:val="nil"/>
                <w:between w:val="nil"/>
              </w:pBdr>
              <w:ind w:firstLine="720"/>
              <w:rPr>
                <w:color w:val="000000"/>
              </w:rPr>
            </w:pPr>
          </w:p>
        </w:tc>
      </w:tr>
      <w:tr w:rsidR="000635C0" w:rsidTr="00F17650">
        <w:tc>
          <w:tcPr>
            <w:tcW w:w="6663" w:type="dxa"/>
          </w:tcPr>
          <w:p w:rsidR="000635C0" w:rsidRDefault="00BA0BA3">
            <w:pPr>
              <w:pBdr>
                <w:top w:val="nil"/>
                <w:left w:val="nil"/>
                <w:bottom w:val="nil"/>
                <w:right w:val="nil"/>
                <w:between w:val="nil"/>
              </w:pBdr>
              <w:ind w:firstLine="720"/>
              <w:rPr>
                <w:color w:val="000000"/>
              </w:rPr>
            </w:pPr>
            <w:r>
              <w:rPr>
                <w:color w:val="000000"/>
              </w:rPr>
              <w:t>  </w:t>
            </w:r>
          </w:p>
        </w:tc>
        <w:tc>
          <w:tcPr>
            <w:tcW w:w="6662" w:type="dxa"/>
            <w:gridSpan w:val="2"/>
            <w:tcBorders>
              <w:bottom w:val="single" w:sz="6" w:space="0" w:color="000000"/>
            </w:tcBorders>
          </w:tcPr>
          <w:p w:rsidR="000635C0" w:rsidRDefault="00FD79E4" w:rsidP="00FD79E4">
            <w:pPr>
              <w:pBdr>
                <w:top w:val="nil"/>
                <w:left w:val="nil"/>
                <w:bottom w:val="nil"/>
                <w:right w:val="nil"/>
                <w:between w:val="nil"/>
              </w:pBdr>
              <w:ind w:firstLine="720"/>
              <w:jc w:val="both"/>
              <w:rPr>
                <w:color w:val="000000"/>
              </w:rPr>
            </w:pPr>
            <w:r w:rsidRPr="00FD79E4">
              <w:rPr>
                <w:bCs/>
                <w:color w:val="000000"/>
              </w:rPr>
              <w:t>Aizsardzības ministrija,</w:t>
            </w:r>
            <w:r w:rsidRPr="00FD79E4">
              <w:rPr>
                <w:color w:val="000000"/>
              </w:rPr>
              <w:t xml:space="preserve"> Ārlietu ministrija</w:t>
            </w:r>
            <w:r w:rsidRPr="00FD79E4">
              <w:rPr>
                <w:bCs/>
                <w:color w:val="000000"/>
              </w:rPr>
              <w:t>, Finanšu ministrija, Izglītības un zinātnes ministrija</w:t>
            </w:r>
            <w:r w:rsidRPr="00FD79E4">
              <w:rPr>
                <w:color w:val="000000"/>
              </w:rPr>
              <w:t xml:space="preserve">, </w:t>
            </w:r>
            <w:r w:rsidRPr="00FD79E4">
              <w:rPr>
                <w:bCs/>
                <w:color w:val="000000"/>
              </w:rPr>
              <w:t>Kultūras ministrija,</w:t>
            </w:r>
            <w:r w:rsidRPr="00FD79E4">
              <w:rPr>
                <w:color w:val="000000"/>
              </w:rPr>
              <w:t xml:space="preserve"> Tieslietu ministrija, </w:t>
            </w:r>
            <w:r>
              <w:rPr>
                <w:color w:val="000000"/>
              </w:rPr>
              <w:t>Zemkopības ministrija</w:t>
            </w:r>
          </w:p>
        </w:tc>
      </w:tr>
      <w:tr w:rsidR="000635C0" w:rsidTr="00F17650">
        <w:trPr>
          <w:trHeight w:val="280"/>
        </w:trPr>
        <w:tc>
          <w:tcPr>
            <w:tcW w:w="6663" w:type="dxa"/>
          </w:tcPr>
          <w:p w:rsidR="000635C0" w:rsidRDefault="000635C0">
            <w:pPr>
              <w:pBdr>
                <w:top w:val="nil"/>
                <w:left w:val="nil"/>
                <w:bottom w:val="nil"/>
                <w:right w:val="nil"/>
                <w:between w:val="nil"/>
              </w:pBdr>
              <w:rPr>
                <w:color w:val="000000"/>
              </w:rPr>
            </w:pPr>
          </w:p>
        </w:tc>
        <w:tc>
          <w:tcPr>
            <w:tcW w:w="1203" w:type="dxa"/>
          </w:tcPr>
          <w:p w:rsidR="000635C0" w:rsidRDefault="000635C0">
            <w:pPr>
              <w:pBdr>
                <w:top w:val="nil"/>
                <w:left w:val="nil"/>
                <w:bottom w:val="nil"/>
                <w:right w:val="nil"/>
                <w:between w:val="nil"/>
              </w:pBdr>
              <w:ind w:firstLine="720"/>
              <w:rPr>
                <w:color w:val="000000"/>
              </w:rPr>
            </w:pPr>
          </w:p>
        </w:tc>
        <w:tc>
          <w:tcPr>
            <w:tcW w:w="5459" w:type="dxa"/>
          </w:tcPr>
          <w:p w:rsidR="000635C0" w:rsidRDefault="000635C0">
            <w:pPr>
              <w:pBdr>
                <w:top w:val="nil"/>
                <w:left w:val="nil"/>
                <w:bottom w:val="nil"/>
                <w:right w:val="nil"/>
                <w:between w:val="nil"/>
              </w:pBdr>
              <w:ind w:firstLine="12"/>
              <w:rPr>
                <w:color w:val="000000"/>
              </w:rPr>
            </w:pPr>
          </w:p>
        </w:tc>
      </w:tr>
    </w:tbl>
    <w:p w:rsidR="000635C0" w:rsidRDefault="000635C0"/>
    <w:tbl>
      <w:tblPr>
        <w:tblStyle w:val="a1"/>
        <w:tblW w:w="13398" w:type="dxa"/>
        <w:tblLayout w:type="fixed"/>
        <w:tblLook w:val="0000" w:firstRow="0" w:lastRow="0" w:firstColumn="0" w:lastColumn="0" w:noHBand="0" w:noVBand="0"/>
      </w:tblPr>
      <w:tblGrid>
        <w:gridCol w:w="6707"/>
        <w:gridCol w:w="6691"/>
      </w:tblGrid>
      <w:tr w:rsidR="00FD79E4" w:rsidTr="00FD79E4">
        <w:trPr>
          <w:trHeight w:val="280"/>
        </w:trPr>
        <w:tc>
          <w:tcPr>
            <w:tcW w:w="6707" w:type="dxa"/>
          </w:tcPr>
          <w:p w:rsidR="00FD79E4" w:rsidRDefault="00FD79E4">
            <w:pPr>
              <w:pBdr>
                <w:top w:val="nil"/>
                <w:left w:val="nil"/>
                <w:bottom w:val="nil"/>
                <w:right w:val="nil"/>
                <w:between w:val="nil"/>
              </w:pBdr>
              <w:rPr>
                <w:color w:val="000000"/>
              </w:rPr>
            </w:pPr>
            <w:r>
              <w:rPr>
                <w:color w:val="000000"/>
              </w:rPr>
              <w:t>Saskaņošanas dalībnieki izskatīja šādu ministriju (citu institūciju) iebildumus</w:t>
            </w:r>
          </w:p>
        </w:tc>
        <w:tc>
          <w:tcPr>
            <w:tcW w:w="6691" w:type="dxa"/>
            <w:tcBorders>
              <w:bottom w:val="single" w:sz="4" w:space="0" w:color="auto"/>
            </w:tcBorders>
          </w:tcPr>
          <w:p w:rsidR="00FD79E4" w:rsidRDefault="00FD79E4" w:rsidP="00F17650">
            <w:pPr>
              <w:pBdr>
                <w:top w:val="nil"/>
                <w:left w:val="nil"/>
                <w:bottom w:val="nil"/>
                <w:right w:val="nil"/>
                <w:between w:val="nil"/>
              </w:pBdr>
              <w:spacing w:before="240"/>
              <w:ind w:firstLine="418"/>
              <w:jc w:val="both"/>
              <w:rPr>
                <w:color w:val="000000"/>
              </w:rPr>
            </w:pPr>
            <w:r w:rsidRPr="00FD79E4">
              <w:rPr>
                <w:color w:val="000000"/>
              </w:rPr>
              <w:t>Ārlietu ministrija</w:t>
            </w:r>
            <w:r w:rsidRPr="00FD79E4">
              <w:rPr>
                <w:bCs/>
                <w:color w:val="000000"/>
              </w:rPr>
              <w:t>, Izglītības un zinātnes ministrija</w:t>
            </w:r>
            <w:r w:rsidR="00F17650">
              <w:rPr>
                <w:bCs/>
                <w:color w:val="000000"/>
              </w:rPr>
              <w:t xml:space="preserve"> (</w:t>
            </w:r>
            <w:r w:rsidR="00F17650" w:rsidRPr="00F17650">
              <w:rPr>
                <w:bCs/>
                <w:color w:val="000000"/>
              </w:rPr>
              <w:t>Latvijas Sporta federāciju padome</w:t>
            </w:r>
            <w:r w:rsidR="00F17650">
              <w:rPr>
                <w:bCs/>
                <w:color w:val="000000"/>
              </w:rPr>
              <w:t>)</w:t>
            </w:r>
            <w:r w:rsidRPr="00FD79E4">
              <w:rPr>
                <w:color w:val="000000"/>
              </w:rPr>
              <w:t xml:space="preserve">, </w:t>
            </w:r>
            <w:r w:rsidRPr="00FD79E4">
              <w:rPr>
                <w:bCs/>
                <w:color w:val="000000"/>
              </w:rPr>
              <w:t>Kultūras ministrija</w:t>
            </w:r>
            <w:r>
              <w:rPr>
                <w:bCs/>
                <w:color w:val="000000"/>
              </w:rPr>
              <w:t xml:space="preserve"> (</w:t>
            </w:r>
            <w:r w:rsidRPr="00FD79E4">
              <w:rPr>
                <w:bCs/>
                <w:color w:val="000000"/>
              </w:rPr>
              <w:t>Nacionālās kultūras mantojuma pārvalde</w:t>
            </w:r>
            <w:r>
              <w:rPr>
                <w:bCs/>
                <w:color w:val="000000"/>
              </w:rPr>
              <w:t>)</w:t>
            </w:r>
            <w:r w:rsidRPr="00FD79E4">
              <w:rPr>
                <w:bCs/>
                <w:color w:val="000000"/>
              </w:rPr>
              <w:t>,</w:t>
            </w:r>
            <w:r w:rsidRPr="00FD79E4">
              <w:rPr>
                <w:color w:val="000000"/>
              </w:rPr>
              <w:t xml:space="preserve"> Tieslietu ministrija, Zemkopības ministrija</w:t>
            </w:r>
          </w:p>
        </w:tc>
      </w:tr>
      <w:tr w:rsidR="000635C0" w:rsidTr="00D20625">
        <w:trPr>
          <w:trHeight w:val="460"/>
        </w:trPr>
        <w:tc>
          <w:tcPr>
            <w:tcW w:w="13398" w:type="dxa"/>
            <w:gridSpan w:val="2"/>
          </w:tcPr>
          <w:p w:rsidR="000635C0" w:rsidRDefault="000635C0">
            <w:pPr>
              <w:pBdr>
                <w:top w:val="nil"/>
                <w:left w:val="nil"/>
                <w:bottom w:val="nil"/>
                <w:right w:val="nil"/>
                <w:between w:val="nil"/>
              </w:pBdr>
              <w:ind w:left="4820" w:firstLine="720"/>
              <w:jc w:val="center"/>
              <w:rPr>
                <w:color w:val="000000"/>
              </w:rPr>
            </w:pPr>
          </w:p>
        </w:tc>
      </w:tr>
      <w:tr w:rsidR="000635C0" w:rsidTr="00D20625">
        <w:tc>
          <w:tcPr>
            <w:tcW w:w="6707" w:type="dxa"/>
          </w:tcPr>
          <w:p w:rsidR="000635C0" w:rsidRDefault="00BA0BA3">
            <w:pPr>
              <w:pBdr>
                <w:top w:val="nil"/>
                <w:left w:val="nil"/>
                <w:bottom w:val="nil"/>
                <w:right w:val="nil"/>
                <w:between w:val="nil"/>
              </w:pBdr>
              <w:rPr>
                <w:color w:val="000000"/>
              </w:rPr>
            </w:pPr>
            <w:r>
              <w:rPr>
                <w:color w:val="000000"/>
              </w:rPr>
              <w:lastRenderedPageBreak/>
              <w:t>Ministrijas (citas institūcijas), kuras nav ieradušās uz sanāksmi vai kuras nav atbildējušas uz uzaicinājumu piedalīties elektroniskajā saskaņošanā</w:t>
            </w:r>
          </w:p>
        </w:tc>
        <w:tc>
          <w:tcPr>
            <w:tcW w:w="6691" w:type="dxa"/>
          </w:tcPr>
          <w:p w:rsidR="000635C0" w:rsidRPr="00FD79E4" w:rsidRDefault="00FD79E4">
            <w:pPr>
              <w:pBdr>
                <w:top w:val="nil"/>
                <w:left w:val="nil"/>
                <w:bottom w:val="nil"/>
                <w:right w:val="nil"/>
                <w:between w:val="nil"/>
              </w:pBdr>
              <w:ind w:firstLine="720"/>
              <w:rPr>
                <w:color w:val="000000"/>
              </w:rPr>
            </w:pPr>
            <w:r w:rsidRPr="00FD79E4">
              <w:rPr>
                <w:bCs/>
                <w:color w:val="000000"/>
                <w:u w:val="single"/>
              </w:rPr>
              <w:t>Aizsardzības ministrija, Finanšu ministrija</w:t>
            </w:r>
            <w:r>
              <w:rPr>
                <w:bCs/>
                <w:color w:val="000000"/>
              </w:rPr>
              <w:t>_____________</w:t>
            </w:r>
          </w:p>
        </w:tc>
      </w:tr>
    </w:tbl>
    <w:p w:rsidR="005D52EC" w:rsidRDefault="005D52EC" w:rsidP="00905152">
      <w:pPr>
        <w:pBdr>
          <w:top w:val="nil"/>
          <w:left w:val="nil"/>
          <w:bottom w:val="nil"/>
          <w:right w:val="nil"/>
          <w:between w:val="nil"/>
        </w:pBdr>
        <w:rPr>
          <w:b/>
          <w:color w:val="000000"/>
        </w:rPr>
      </w:pPr>
    </w:p>
    <w:p w:rsidR="001A3CFD" w:rsidRDefault="001A3CFD">
      <w:pPr>
        <w:pBdr>
          <w:top w:val="nil"/>
          <w:left w:val="nil"/>
          <w:bottom w:val="nil"/>
          <w:right w:val="nil"/>
          <w:between w:val="nil"/>
        </w:pBdr>
        <w:jc w:val="center"/>
        <w:rPr>
          <w:b/>
          <w:color w:val="000000"/>
        </w:rPr>
      </w:pPr>
    </w:p>
    <w:p w:rsidR="000635C0" w:rsidRDefault="00BA0BA3">
      <w:pPr>
        <w:pBdr>
          <w:top w:val="nil"/>
          <w:left w:val="nil"/>
          <w:bottom w:val="nil"/>
          <w:right w:val="nil"/>
          <w:between w:val="nil"/>
        </w:pBdr>
        <w:jc w:val="center"/>
        <w:rPr>
          <w:color w:val="000000"/>
        </w:rPr>
      </w:pPr>
      <w:r>
        <w:rPr>
          <w:b/>
          <w:color w:val="000000"/>
        </w:rPr>
        <w:t>II. Jautājumi, par kuriem saskaņošanā vienošanās ir panākta</w:t>
      </w:r>
    </w:p>
    <w:p w:rsidR="000635C0" w:rsidRDefault="000635C0">
      <w:pPr>
        <w:pBdr>
          <w:top w:val="nil"/>
          <w:left w:val="nil"/>
          <w:bottom w:val="nil"/>
          <w:right w:val="nil"/>
          <w:between w:val="nil"/>
        </w:pBdr>
        <w:ind w:firstLine="720"/>
        <w:jc w:val="both"/>
        <w:rPr>
          <w:color w:val="000000"/>
        </w:rPr>
      </w:pPr>
    </w:p>
    <w:tbl>
      <w:tblPr>
        <w:tblStyle w:val="a2"/>
        <w:tblW w:w="149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0"/>
        <w:gridCol w:w="686"/>
        <w:gridCol w:w="5413"/>
        <w:gridCol w:w="2410"/>
        <w:gridCol w:w="3375"/>
      </w:tblGrid>
      <w:tr w:rsidR="000635C0" w:rsidTr="00C31412">
        <w:tc>
          <w:tcPr>
            <w:tcW w:w="707" w:type="dxa"/>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jc w:val="center"/>
              <w:rPr>
                <w:b/>
                <w:color w:val="000000"/>
              </w:rPr>
            </w:pPr>
            <w:r w:rsidRPr="00E3225C">
              <w:rPr>
                <w:b/>
                <w:color w:val="000000"/>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ind w:firstLine="12"/>
              <w:jc w:val="center"/>
              <w:rPr>
                <w:b/>
                <w:color w:val="000000"/>
              </w:rPr>
            </w:pPr>
            <w:r w:rsidRPr="00E3225C">
              <w:rPr>
                <w:b/>
                <w:color w:val="000000"/>
              </w:rPr>
              <w:t>Saskaņošanai nosūtītā projekta redakcija (konkrēta punkta (panta) redakcija)</w:t>
            </w:r>
          </w:p>
        </w:tc>
        <w:tc>
          <w:tcPr>
            <w:tcW w:w="5413" w:type="dxa"/>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ind w:right="3"/>
              <w:jc w:val="center"/>
              <w:rPr>
                <w:b/>
                <w:color w:val="000000"/>
              </w:rPr>
            </w:pPr>
            <w:r w:rsidRPr="00E3225C">
              <w:rPr>
                <w:b/>
                <w:color w:val="000000"/>
              </w:rPr>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0635C0" w:rsidRPr="00E3225C" w:rsidRDefault="00BA0BA3">
            <w:pPr>
              <w:pBdr>
                <w:top w:val="nil"/>
                <w:left w:val="nil"/>
                <w:bottom w:val="nil"/>
                <w:right w:val="nil"/>
                <w:between w:val="nil"/>
              </w:pBdr>
              <w:ind w:firstLine="21"/>
              <w:jc w:val="center"/>
              <w:rPr>
                <w:b/>
                <w:color w:val="000000"/>
              </w:rPr>
            </w:pPr>
            <w:r w:rsidRPr="00E3225C">
              <w:rPr>
                <w:b/>
                <w:color w:val="000000"/>
              </w:rPr>
              <w:t>Atbildīgās ministrijas norāde par to, ka iebildums ir ņemts vērā, vai informācija par saskaņošanā panākto alternatīvo risinājumu</w:t>
            </w:r>
          </w:p>
        </w:tc>
        <w:tc>
          <w:tcPr>
            <w:tcW w:w="3375" w:type="dxa"/>
            <w:tcBorders>
              <w:top w:val="single" w:sz="4" w:space="0" w:color="000000"/>
              <w:left w:val="single" w:sz="4" w:space="0" w:color="000000"/>
              <w:bottom w:val="single" w:sz="4" w:space="0" w:color="000000"/>
            </w:tcBorders>
            <w:vAlign w:val="center"/>
          </w:tcPr>
          <w:p w:rsidR="000635C0" w:rsidRPr="00E3225C" w:rsidRDefault="00BA0BA3">
            <w:pPr>
              <w:jc w:val="center"/>
              <w:rPr>
                <w:b/>
              </w:rPr>
            </w:pPr>
            <w:r w:rsidRPr="00E3225C">
              <w:rPr>
                <w:b/>
              </w:rPr>
              <w:t>Projekta attiecīgā punkta (panta) galīgā redakcija</w:t>
            </w:r>
          </w:p>
        </w:tc>
      </w:tr>
      <w:tr w:rsidR="000635C0" w:rsidTr="00C31412">
        <w:tc>
          <w:tcPr>
            <w:tcW w:w="70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5413"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3375"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5</w:t>
            </w:r>
          </w:p>
        </w:tc>
      </w:tr>
      <w:tr w:rsidR="00176FF0" w:rsidTr="00C31412">
        <w:tc>
          <w:tcPr>
            <w:tcW w:w="707" w:type="dxa"/>
            <w:tcBorders>
              <w:left w:val="single" w:sz="6" w:space="0" w:color="000000"/>
              <w:bottom w:val="single" w:sz="4" w:space="0" w:color="000000"/>
              <w:right w:val="single" w:sz="6" w:space="0" w:color="000000"/>
            </w:tcBorders>
          </w:tcPr>
          <w:p w:rsidR="00176FF0" w:rsidRPr="00396A50" w:rsidRDefault="00396A50" w:rsidP="00590763">
            <w:pPr>
              <w:pBdr>
                <w:top w:val="nil"/>
                <w:left w:val="nil"/>
                <w:bottom w:val="nil"/>
                <w:right w:val="nil"/>
                <w:between w:val="nil"/>
              </w:pBdr>
              <w:jc w:val="center"/>
              <w:rPr>
                <w:color w:val="000000"/>
              </w:rPr>
            </w:pPr>
            <w:r>
              <w:rPr>
                <w:color w:val="000000"/>
              </w:rPr>
              <w:t>1.</w:t>
            </w:r>
          </w:p>
        </w:tc>
        <w:tc>
          <w:tcPr>
            <w:tcW w:w="3086" w:type="dxa"/>
            <w:gridSpan w:val="2"/>
            <w:tcBorders>
              <w:left w:val="single" w:sz="6" w:space="0" w:color="000000"/>
              <w:bottom w:val="single" w:sz="4" w:space="0" w:color="000000"/>
              <w:right w:val="single" w:sz="6" w:space="0" w:color="000000"/>
            </w:tcBorders>
          </w:tcPr>
          <w:p w:rsidR="00176FF0" w:rsidRPr="003A178E" w:rsidRDefault="00176FF0" w:rsidP="006B68EC">
            <w:pPr>
              <w:pBdr>
                <w:top w:val="nil"/>
                <w:left w:val="nil"/>
                <w:bottom w:val="nil"/>
                <w:right w:val="nil"/>
                <w:between w:val="nil"/>
              </w:pBdr>
              <w:jc w:val="both"/>
              <w:rPr>
                <w:b/>
                <w:color w:val="000000"/>
              </w:rPr>
            </w:pPr>
          </w:p>
        </w:tc>
        <w:tc>
          <w:tcPr>
            <w:tcW w:w="5413" w:type="dxa"/>
            <w:tcBorders>
              <w:left w:val="single" w:sz="6" w:space="0" w:color="000000"/>
              <w:bottom w:val="single" w:sz="4" w:space="0" w:color="000000"/>
              <w:right w:val="single" w:sz="6" w:space="0" w:color="000000"/>
            </w:tcBorders>
          </w:tcPr>
          <w:p w:rsidR="006B68EC" w:rsidRPr="006B68EC" w:rsidRDefault="006B68EC" w:rsidP="006B68EC">
            <w:pPr>
              <w:pBdr>
                <w:top w:val="nil"/>
                <w:left w:val="nil"/>
                <w:bottom w:val="nil"/>
                <w:right w:val="nil"/>
                <w:between w:val="nil"/>
              </w:pBdr>
              <w:jc w:val="center"/>
              <w:rPr>
                <w:b/>
                <w:color w:val="000000"/>
              </w:rPr>
            </w:pPr>
            <w:r w:rsidRPr="006B68EC">
              <w:rPr>
                <w:b/>
                <w:color w:val="000000"/>
              </w:rPr>
              <w:t>Tieslietu ministrija</w:t>
            </w:r>
            <w:r w:rsidR="000A116A">
              <w:rPr>
                <w:b/>
                <w:color w:val="000000"/>
              </w:rPr>
              <w:t>s iebildums</w:t>
            </w:r>
          </w:p>
          <w:p w:rsidR="006B68EC" w:rsidRPr="006B68EC" w:rsidRDefault="006B68EC" w:rsidP="006B68EC">
            <w:pPr>
              <w:pBdr>
                <w:top w:val="nil"/>
                <w:left w:val="nil"/>
                <w:bottom w:val="nil"/>
                <w:right w:val="nil"/>
                <w:between w:val="nil"/>
              </w:pBdr>
              <w:jc w:val="both"/>
              <w:rPr>
                <w:color w:val="000000"/>
              </w:rPr>
            </w:pPr>
            <w:r w:rsidRPr="006B68EC">
              <w:rPr>
                <w:color w:val="000000"/>
              </w:rPr>
              <w:t>Sākotnēji vēlamies norādīt, ka nevaram veikt korektu iesniegtā projekta atbilstības likuma normām un pilnvarojuma Ministru kabineta noteikumu izdošanai izvērtējumu, jo likumprojekts "Ieroču aprites likums" (turpmāk – likumprojekts) Latvijas Republikas Saeimā vēl nav pieņemts.</w:t>
            </w:r>
          </w:p>
          <w:p w:rsidR="00176FF0" w:rsidRPr="00176FF0" w:rsidRDefault="00176FF0" w:rsidP="00176FF0">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tcPr>
          <w:p w:rsidR="006B68EC" w:rsidRPr="006B68EC" w:rsidRDefault="006B68EC" w:rsidP="00F16D9B">
            <w:pPr>
              <w:pBdr>
                <w:top w:val="nil"/>
                <w:left w:val="nil"/>
                <w:bottom w:val="nil"/>
                <w:right w:val="nil"/>
                <w:between w:val="nil"/>
              </w:pBdr>
              <w:jc w:val="center"/>
              <w:rPr>
                <w:b/>
                <w:color w:val="000000"/>
              </w:rPr>
            </w:pPr>
            <w:r>
              <w:rPr>
                <w:b/>
                <w:color w:val="000000"/>
              </w:rPr>
              <w:t>Iebildums</w:t>
            </w:r>
            <w:r w:rsidRPr="006B68EC">
              <w:rPr>
                <w:b/>
                <w:color w:val="000000"/>
              </w:rPr>
              <w:t xml:space="preserve"> ņemts vērā</w:t>
            </w:r>
          </w:p>
          <w:p w:rsidR="006B68EC" w:rsidRPr="006B68EC" w:rsidRDefault="006B68EC" w:rsidP="006B68EC">
            <w:pPr>
              <w:pBdr>
                <w:top w:val="nil"/>
                <w:left w:val="nil"/>
                <w:bottom w:val="nil"/>
                <w:right w:val="nil"/>
                <w:between w:val="nil"/>
              </w:pBdr>
              <w:jc w:val="center"/>
              <w:rPr>
                <w:b/>
                <w:color w:val="000000"/>
              </w:rPr>
            </w:pPr>
          </w:p>
          <w:p w:rsidR="006B68EC" w:rsidRPr="006B68EC" w:rsidRDefault="00B8512F" w:rsidP="00396A50">
            <w:pPr>
              <w:pBdr>
                <w:top w:val="nil"/>
                <w:left w:val="nil"/>
                <w:bottom w:val="nil"/>
                <w:right w:val="nil"/>
                <w:between w:val="nil"/>
              </w:pBdr>
              <w:jc w:val="both"/>
              <w:rPr>
                <w:b/>
                <w:color w:val="000000"/>
              </w:rPr>
            </w:pPr>
            <w:r>
              <w:rPr>
                <w:color w:val="000000"/>
              </w:rPr>
              <w:t>Ieroču aprites likums stājies spēkā 2019.gada 10.aprīlī.</w:t>
            </w:r>
          </w:p>
          <w:p w:rsidR="00176FF0" w:rsidRPr="00905152" w:rsidRDefault="00176FF0" w:rsidP="006B68EC">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rsidR="00C71BFE" w:rsidRDefault="00C71BFE" w:rsidP="00C71BFE">
            <w:pPr>
              <w:jc w:val="both"/>
            </w:pPr>
          </w:p>
        </w:tc>
      </w:tr>
      <w:tr w:rsidR="00345F85" w:rsidTr="00C31412">
        <w:tc>
          <w:tcPr>
            <w:tcW w:w="707" w:type="dxa"/>
            <w:tcBorders>
              <w:left w:val="single" w:sz="6" w:space="0" w:color="000000"/>
              <w:bottom w:val="single" w:sz="4" w:space="0" w:color="000000"/>
              <w:right w:val="single" w:sz="6" w:space="0" w:color="000000"/>
            </w:tcBorders>
          </w:tcPr>
          <w:p w:rsidR="00345F85" w:rsidRPr="00590763" w:rsidRDefault="00590763" w:rsidP="00590763">
            <w:pPr>
              <w:pBdr>
                <w:top w:val="nil"/>
                <w:left w:val="nil"/>
                <w:bottom w:val="nil"/>
                <w:right w:val="nil"/>
                <w:between w:val="nil"/>
              </w:pBdr>
              <w:jc w:val="center"/>
              <w:rPr>
                <w:color w:val="000000"/>
              </w:rPr>
            </w:pPr>
            <w:r w:rsidRPr="00590763">
              <w:rPr>
                <w:color w:val="000000"/>
              </w:rPr>
              <w:t>2.</w:t>
            </w:r>
          </w:p>
        </w:tc>
        <w:tc>
          <w:tcPr>
            <w:tcW w:w="3086" w:type="dxa"/>
            <w:gridSpan w:val="2"/>
            <w:tcBorders>
              <w:left w:val="single" w:sz="6" w:space="0" w:color="000000"/>
              <w:bottom w:val="single" w:sz="4" w:space="0" w:color="000000"/>
              <w:right w:val="single" w:sz="6" w:space="0" w:color="000000"/>
            </w:tcBorders>
          </w:tcPr>
          <w:p w:rsidR="00345F85" w:rsidRPr="003A178E" w:rsidRDefault="00345F85" w:rsidP="006B68EC">
            <w:pPr>
              <w:pBdr>
                <w:top w:val="nil"/>
                <w:left w:val="nil"/>
                <w:bottom w:val="nil"/>
                <w:right w:val="nil"/>
                <w:between w:val="nil"/>
              </w:pBdr>
              <w:jc w:val="both"/>
              <w:rPr>
                <w:b/>
                <w:color w:val="000000"/>
              </w:rPr>
            </w:pPr>
          </w:p>
        </w:tc>
        <w:tc>
          <w:tcPr>
            <w:tcW w:w="5413" w:type="dxa"/>
            <w:tcBorders>
              <w:left w:val="single" w:sz="6" w:space="0" w:color="000000"/>
              <w:bottom w:val="single" w:sz="4" w:space="0" w:color="000000"/>
              <w:right w:val="single" w:sz="6" w:space="0" w:color="000000"/>
            </w:tcBorders>
          </w:tcPr>
          <w:p w:rsidR="00345F85" w:rsidRPr="00D03014" w:rsidRDefault="00345F85" w:rsidP="00345F85">
            <w:pPr>
              <w:widowControl w:val="0"/>
              <w:contextualSpacing/>
              <w:jc w:val="center"/>
              <w:rPr>
                <w:rFonts w:eastAsia="Calibri"/>
                <w:b/>
                <w:lang w:eastAsia="en-US"/>
              </w:rPr>
            </w:pPr>
            <w:r w:rsidRPr="00D03014">
              <w:rPr>
                <w:rFonts w:eastAsia="Calibri"/>
                <w:b/>
                <w:lang w:eastAsia="en-US"/>
              </w:rPr>
              <w:t>Tieslietu ministrijas iebildums</w:t>
            </w:r>
          </w:p>
          <w:p w:rsidR="00345F85" w:rsidRPr="00D03014" w:rsidRDefault="00345F85" w:rsidP="00345F85">
            <w:pPr>
              <w:widowControl w:val="0"/>
              <w:contextualSpacing/>
              <w:jc w:val="both"/>
              <w:rPr>
                <w:rFonts w:eastAsia="Calibri"/>
                <w:lang w:eastAsia="en-US"/>
              </w:rPr>
            </w:pPr>
            <w:r w:rsidRPr="00D03014">
              <w:rPr>
                <w:rFonts w:eastAsia="Calibri"/>
                <w:lang w:eastAsia="en-US"/>
              </w:rPr>
              <w:t xml:space="preserve">Projekta regulējums par klasificēšanu nav pietiekami izvērsts, jo tajā netiek nodalīta mūsdienās rūpnieciski ražotu noteikta tipa un modeļa šaujamieroču klasificēšana, ko varētu lūgt šaujamieroču ražošanas komersanti un ko varētu interpretēt kā tehnisko klasificēšanu, no individuālās klasificēšanas, ko varētu lūgt fiziskas personas, lai šaujamieroci atzītu par kultūras, vēstures vai kolekcijas šaujamieroci. </w:t>
            </w:r>
            <w:r w:rsidRPr="00D03014">
              <w:rPr>
                <w:rFonts w:eastAsia="Calibri"/>
                <w:lang w:eastAsia="en-US"/>
              </w:rPr>
              <w:lastRenderedPageBreak/>
              <w:t xml:space="preserve">Piedāvājam veidot izvērstu, atsevišķās nodaļās paredzētu regulējumu par dažādiem klasificēšanas veidiem. </w:t>
            </w:r>
          </w:p>
          <w:p w:rsidR="00345F85" w:rsidRPr="006B68EC" w:rsidRDefault="00345F85" w:rsidP="006B68EC">
            <w:pPr>
              <w:pBdr>
                <w:top w:val="nil"/>
                <w:left w:val="nil"/>
                <w:bottom w:val="nil"/>
                <w:right w:val="nil"/>
                <w:between w:val="nil"/>
              </w:pBdr>
              <w:jc w:val="center"/>
              <w:rPr>
                <w:b/>
                <w:color w:val="000000"/>
              </w:rPr>
            </w:pPr>
          </w:p>
        </w:tc>
        <w:tc>
          <w:tcPr>
            <w:tcW w:w="2410" w:type="dxa"/>
            <w:tcBorders>
              <w:left w:val="single" w:sz="6" w:space="0" w:color="000000"/>
              <w:bottom w:val="single" w:sz="4" w:space="0" w:color="000000"/>
              <w:right w:val="single" w:sz="6" w:space="0" w:color="000000"/>
            </w:tcBorders>
          </w:tcPr>
          <w:p w:rsidR="00345F85" w:rsidRDefault="00396A50" w:rsidP="00F16D9B">
            <w:pPr>
              <w:pBdr>
                <w:top w:val="nil"/>
                <w:left w:val="nil"/>
                <w:bottom w:val="nil"/>
                <w:right w:val="nil"/>
                <w:between w:val="nil"/>
              </w:pBdr>
              <w:jc w:val="center"/>
              <w:rPr>
                <w:b/>
                <w:color w:val="000000"/>
              </w:rPr>
            </w:pPr>
            <w:r>
              <w:rPr>
                <w:b/>
                <w:color w:val="000000"/>
              </w:rPr>
              <w:lastRenderedPageBreak/>
              <w:t>Panākta vienošanās saskaņošanas sanāksme</w:t>
            </w:r>
          </w:p>
        </w:tc>
        <w:tc>
          <w:tcPr>
            <w:tcW w:w="3375" w:type="dxa"/>
            <w:tcBorders>
              <w:top w:val="single" w:sz="4" w:space="0" w:color="000000"/>
              <w:left w:val="single" w:sz="4" w:space="0" w:color="000000"/>
              <w:bottom w:val="single" w:sz="4" w:space="0" w:color="000000"/>
            </w:tcBorders>
          </w:tcPr>
          <w:p w:rsidR="00345F85" w:rsidRDefault="00345F85" w:rsidP="00C71BFE">
            <w:pPr>
              <w:jc w:val="both"/>
            </w:pPr>
          </w:p>
        </w:tc>
      </w:tr>
      <w:tr w:rsidR="006B68EC" w:rsidTr="006D0EFC">
        <w:tc>
          <w:tcPr>
            <w:tcW w:w="707" w:type="dxa"/>
            <w:tcBorders>
              <w:left w:val="single" w:sz="6" w:space="0" w:color="000000"/>
              <w:bottom w:val="single" w:sz="4" w:space="0" w:color="000000"/>
              <w:right w:val="single" w:sz="6" w:space="0" w:color="000000"/>
            </w:tcBorders>
          </w:tcPr>
          <w:p w:rsidR="00A7529C" w:rsidRDefault="00A7529C" w:rsidP="00E8019D">
            <w:pPr>
              <w:pBdr>
                <w:top w:val="nil"/>
                <w:left w:val="nil"/>
                <w:bottom w:val="nil"/>
                <w:right w:val="nil"/>
                <w:between w:val="nil"/>
              </w:pBdr>
              <w:ind w:firstLine="720"/>
              <w:rPr>
                <w:color w:val="000000"/>
              </w:rPr>
            </w:pPr>
          </w:p>
          <w:p w:rsidR="006B68EC" w:rsidRPr="00590763" w:rsidRDefault="00590763" w:rsidP="00590763">
            <w:pPr>
              <w:jc w:val="center"/>
            </w:pPr>
            <w:r>
              <w:t>3.</w:t>
            </w:r>
          </w:p>
        </w:tc>
        <w:tc>
          <w:tcPr>
            <w:tcW w:w="3086" w:type="dxa"/>
            <w:gridSpan w:val="2"/>
            <w:tcBorders>
              <w:left w:val="single" w:sz="6" w:space="0" w:color="000000"/>
              <w:bottom w:val="single" w:sz="4" w:space="0" w:color="000000"/>
              <w:right w:val="single" w:sz="6" w:space="0" w:color="000000"/>
            </w:tcBorders>
          </w:tcPr>
          <w:p w:rsidR="006B68EC" w:rsidRPr="006B68EC" w:rsidRDefault="006B68EC" w:rsidP="006B68EC">
            <w:pPr>
              <w:pBdr>
                <w:top w:val="nil"/>
                <w:left w:val="nil"/>
                <w:bottom w:val="nil"/>
                <w:right w:val="nil"/>
                <w:between w:val="nil"/>
              </w:pBdr>
              <w:jc w:val="both"/>
              <w:rPr>
                <w:color w:val="000000"/>
              </w:rPr>
            </w:pPr>
            <w:r w:rsidRPr="006B68EC">
              <w:rPr>
                <w:color w:val="000000"/>
              </w:rPr>
              <w:t>2.  Šaujamieročus un munīciju klasificē Valsts policijas priekšnieka izveidota Šaujamieroču un munīcijas klasificēšanas komisija (turpmāk – Komisija) vismaz trīs amatpersonu sastāvā. Komisija ieroču klasificēšanai var pieaicināt valsts institūciju, sporta organizāciju, ieroču komersantu un nevalstisko organizāciju pārstāvjus, kuriem ir padomdevēja tiesības.</w:t>
            </w:r>
          </w:p>
          <w:p w:rsidR="006B68EC" w:rsidRPr="0049353D" w:rsidRDefault="006B68EC" w:rsidP="00493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6B68EC" w:rsidRPr="006B68EC" w:rsidRDefault="006B68EC" w:rsidP="006B68EC">
            <w:pPr>
              <w:pBdr>
                <w:top w:val="nil"/>
                <w:left w:val="nil"/>
                <w:bottom w:val="nil"/>
                <w:right w:val="nil"/>
                <w:between w:val="nil"/>
              </w:pBdr>
              <w:jc w:val="center"/>
              <w:rPr>
                <w:b/>
                <w:color w:val="000000"/>
              </w:rPr>
            </w:pPr>
            <w:r w:rsidRPr="006B68EC">
              <w:rPr>
                <w:b/>
                <w:color w:val="000000"/>
              </w:rPr>
              <w:t>Zemkopības ministrija</w:t>
            </w:r>
            <w:r w:rsidR="000A116A">
              <w:rPr>
                <w:b/>
                <w:color w:val="000000"/>
              </w:rPr>
              <w:t>s iebildums</w:t>
            </w:r>
          </w:p>
          <w:p w:rsidR="006B68EC" w:rsidRPr="006B68EC" w:rsidRDefault="006B68EC" w:rsidP="006B68EC">
            <w:pPr>
              <w:pBdr>
                <w:top w:val="nil"/>
                <w:left w:val="nil"/>
                <w:bottom w:val="nil"/>
                <w:right w:val="nil"/>
                <w:between w:val="nil"/>
              </w:pBdr>
              <w:jc w:val="center"/>
              <w:rPr>
                <w:b/>
                <w:color w:val="000000"/>
              </w:rPr>
            </w:pPr>
          </w:p>
          <w:p w:rsidR="006B68EC" w:rsidRPr="00A7529C" w:rsidRDefault="006B68EC" w:rsidP="00A7529C">
            <w:pPr>
              <w:pBdr>
                <w:top w:val="nil"/>
                <w:left w:val="nil"/>
                <w:bottom w:val="nil"/>
                <w:right w:val="nil"/>
                <w:between w:val="nil"/>
              </w:pBdr>
              <w:jc w:val="both"/>
              <w:rPr>
                <w:color w:val="000000"/>
              </w:rPr>
            </w:pPr>
            <w:r w:rsidRPr="00A7529C">
              <w:rPr>
                <w:color w:val="000000"/>
              </w:rPr>
              <w:t>Noteikumu projekta 2.punktā minēts, ka "komisija ieroču klasificēšanai </w:t>
            </w:r>
            <w:r w:rsidRPr="00A7529C">
              <w:rPr>
                <w:color w:val="000000"/>
                <w:u w:val="single"/>
              </w:rPr>
              <w:t>var pieaicināt</w:t>
            </w:r>
            <w:r w:rsidRPr="00A7529C">
              <w:rPr>
                <w:color w:val="000000"/>
              </w:rPr>
              <w:t> valsts institūciju, sporta organizāciju, ieroču komersantu un nevalstisko organizāciju pārstāvjus". Tātad, var pieaicināt un var nepieaicināt. Tā kā nav skaidrs, pēc kādiem principiem, kādos gadījumos, kādas kvalifikācijas pārstāvji tiks vai netiks pieaicināti, kā arī cik nopietni un kādā kārtībā izvērtēti un ņemti vērā viņu atzinumi, normai nav juridiskas slodzes. Nepieciešams vai nu precizēt noteikumu projektu vai sniegt detalizētu (izvērstu) skaidrojumu anotācijā.</w:t>
            </w:r>
          </w:p>
        </w:tc>
        <w:tc>
          <w:tcPr>
            <w:tcW w:w="2410" w:type="dxa"/>
            <w:tcBorders>
              <w:left w:val="single" w:sz="6" w:space="0" w:color="000000"/>
              <w:bottom w:val="single" w:sz="4" w:space="0" w:color="000000"/>
              <w:right w:val="single" w:sz="6" w:space="0" w:color="000000"/>
            </w:tcBorders>
            <w:shd w:val="clear" w:color="auto" w:fill="auto"/>
          </w:tcPr>
          <w:p w:rsidR="006B68EC" w:rsidRPr="006B68EC" w:rsidRDefault="006B68EC" w:rsidP="00D03014">
            <w:pPr>
              <w:pBdr>
                <w:top w:val="nil"/>
                <w:left w:val="nil"/>
                <w:bottom w:val="nil"/>
                <w:right w:val="nil"/>
                <w:between w:val="nil"/>
              </w:pBdr>
              <w:jc w:val="center"/>
              <w:rPr>
                <w:b/>
                <w:color w:val="000000"/>
              </w:rPr>
            </w:pPr>
            <w:r w:rsidRPr="006D0EFC">
              <w:rPr>
                <w:b/>
                <w:color w:val="000000"/>
              </w:rPr>
              <w:t>Iebildums ņemts vērā</w:t>
            </w:r>
          </w:p>
          <w:p w:rsidR="006B68EC" w:rsidRPr="00176FF0" w:rsidRDefault="006B68EC" w:rsidP="00176FF0">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rsidR="006D0EFC" w:rsidRPr="00176FF0" w:rsidRDefault="006D0EFC" w:rsidP="006D0EFC">
            <w:pPr>
              <w:jc w:val="both"/>
            </w:pPr>
            <w:r>
              <w:t>Precizēts</w:t>
            </w:r>
            <w:r w:rsidR="006B68EC" w:rsidRPr="006B68EC">
              <w:t xml:space="preserve"> Projekta sākotnējās ietekmes n</w:t>
            </w:r>
            <w:r>
              <w:t>ovērtējuma ziņojums (anotācija).</w:t>
            </w:r>
          </w:p>
          <w:p w:rsidR="006B68EC" w:rsidRPr="00176FF0" w:rsidRDefault="006B68EC" w:rsidP="006B68EC">
            <w:pPr>
              <w:jc w:val="both"/>
            </w:pPr>
          </w:p>
        </w:tc>
      </w:tr>
      <w:tr w:rsidR="00345F85" w:rsidTr="006D0EFC">
        <w:tc>
          <w:tcPr>
            <w:tcW w:w="707" w:type="dxa"/>
            <w:tcBorders>
              <w:left w:val="single" w:sz="6" w:space="0" w:color="000000"/>
              <w:bottom w:val="single" w:sz="4" w:space="0" w:color="000000"/>
              <w:right w:val="single" w:sz="6" w:space="0" w:color="000000"/>
            </w:tcBorders>
          </w:tcPr>
          <w:p w:rsidR="00345F85" w:rsidRDefault="00A6329A" w:rsidP="00A6329A">
            <w:pPr>
              <w:pBdr>
                <w:top w:val="nil"/>
                <w:left w:val="nil"/>
                <w:bottom w:val="nil"/>
                <w:right w:val="nil"/>
                <w:between w:val="nil"/>
              </w:pBdr>
              <w:ind w:firstLine="720"/>
              <w:jc w:val="center"/>
              <w:rPr>
                <w:color w:val="000000"/>
              </w:rPr>
            </w:pPr>
            <w:r>
              <w:rPr>
                <w:color w:val="000000"/>
              </w:rPr>
              <w:t>44.</w:t>
            </w:r>
          </w:p>
        </w:tc>
        <w:tc>
          <w:tcPr>
            <w:tcW w:w="3086" w:type="dxa"/>
            <w:gridSpan w:val="2"/>
            <w:tcBorders>
              <w:left w:val="single" w:sz="6" w:space="0" w:color="000000"/>
              <w:bottom w:val="single" w:sz="4" w:space="0" w:color="000000"/>
              <w:right w:val="single" w:sz="6" w:space="0" w:color="000000"/>
            </w:tcBorders>
          </w:tcPr>
          <w:p w:rsidR="00CD5FB2" w:rsidRPr="006B68EC" w:rsidRDefault="00CD5FB2" w:rsidP="00CD5FB2">
            <w:pPr>
              <w:pBdr>
                <w:top w:val="nil"/>
                <w:left w:val="nil"/>
                <w:bottom w:val="nil"/>
                <w:right w:val="nil"/>
                <w:between w:val="nil"/>
              </w:pBdr>
              <w:ind w:firstLine="1"/>
            </w:pPr>
            <w:r w:rsidRPr="006B68EC">
              <w:t>3.Komisija šaujamieročus un munīciju klasificē (vai pārskata iepriekš klasificēto ieroču klasifikāciju) pēc savas iniciatīvas, kā arī uz fiziskas vai juridiskas personas iesnieguma pamata (turpmāk – iesniedzējs).</w:t>
            </w:r>
          </w:p>
          <w:p w:rsidR="00345F85" w:rsidRPr="006B68EC" w:rsidRDefault="00345F85"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345F85" w:rsidRPr="000123E5" w:rsidRDefault="00345F85" w:rsidP="00345F85">
            <w:pPr>
              <w:pBdr>
                <w:top w:val="nil"/>
                <w:left w:val="nil"/>
                <w:bottom w:val="nil"/>
                <w:right w:val="nil"/>
                <w:between w:val="nil"/>
              </w:pBdr>
              <w:jc w:val="center"/>
              <w:rPr>
                <w:b/>
              </w:rPr>
            </w:pPr>
            <w:r w:rsidRPr="000123E5">
              <w:rPr>
                <w:b/>
              </w:rPr>
              <w:t>Zemkopības ministrijas iebildums</w:t>
            </w:r>
          </w:p>
          <w:p w:rsidR="00345F85" w:rsidRPr="000123E5" w:rsidRDefault="00345F85" w:rsidP="00345F85">
            <w:pPr>
              <w:pBdr>
                <w:top w:val="nil"/>
                <w:left w:val="nil"/>
                <w:bottom w:val="nil"/>
                <w:right w:val="nil"/>
                <w:between w:val="nil"/>
              </w:pBdr>
              <w:jc w:val="both"/>
            </w:pPr>
            <w:r w:rsidRPr="000123E5">
              <w:t>Noteikumu projekta 3.punktu nepieciešams papildināt, izsakot to sekojošā redakcijā: "3. Komisija šaujamieročus un munīciju klasificē </w:t>
            </w:r>
            <w:r w:rsidRPr="000123E5">
              <w:rPr>
                <w:u w:val="single"/>
              </w:rPr>
              <w:t>(vai pārskata iepriekš klasificēto ieroču klasifikāciju)</w:t>
            </w:r>
            <w:r w:rsidRPr="000123E5">
              <w:t> pēc savas iniciatīvas, kā arī uz fiziskas vai juridiskas personas iesnieguma pamata (turpmāk – iesniedzējs)." Iepriekš klasificēto ieroču klasifikācijas pārskatīšana var būt nepieciešama pieļauto kļūdu novēršanas nolūkos, kā arī gadījumos, kad mainās likumdošana attiecībā uz ieroču iedalījumu.</w:t>
            </w:r>
          </w:p>
          <w:p w:rsidR="00345F85" w:rsidRPr="006B68EC" w:rsidRDefault="00345F85" w:rsidP="006B68EC">
            <w:pPr>
              <w:pBdr>
                <w:top w:val="nil"/>
                <w:left w:val="nil"/>
                <w:bottom w:val="nil"/>
                <w:right w:val="nil"/>
                <w:between w:val="nil"/>
              </w:pBdr>
              <w:jc w:val="center"/>
              <w:rPr>
                <w:b/>
                <w:color w:val="000000"/>
              </w:rPr>
            </w:pPr>
          </w:p>
        </w:tc>
        <w:tc>
          <w:tcPr>
            <w:tcW w:w="2410" w:type="dxa"/>
            <w:tcBorders>
              <w:left w:val="single" w:sz="6" w:space="0" w:color="000000"/>
              <w:bottom w:val="single" w:sz="4" w:space="0" w:color="000000"/>
              <w:right w:val="single" w:sz="6" w:space="0" w:color="000000"/>
            </w:tcBorders>
            <w:shd w:val="clear" w:color="auto" w:fill="auto"/>
          </w:tcPr>
          <w:p w:rsidR="00345F85" w:rsidRPr="006D0EFC" w:rsidRDefault="002A35D4" w:rsidP="002A35D4">
            <w:pPr>
              <w:pBdr>
                <w:top w:val="nil"/>
                <w:left w:val="nil"/>
                <w:bottom w:val="nil"/>
                <w:right w:val="nil"/>
                <w:between w:val="nil"/>
              </w:pBdr>
              <w:jc w:val="center"/>
              <w:rPr>
                <w:b/>
                <w:color w:val="000000"/>
              </w:rPr>
            </w:pPr>
            <w:r>
              <w:rPr>
                <w:b/>
                <w:color w:val="000000"/>
              </w:rPr>
              <w:t>Panākta vienošanās saskaņošanas sanāksme</w:t>
            </w:r>
          </w:p>
        </w:tc>
        <w:tc>
          <w:tcPr>
            <w:tcW w:w="3375" w:type="dxa"/>
            <w:tcBorders>
              <w:top w:val="single" w:sz="4" w:space="0" w:color="000000"/>
              <w:left w:val="single" w:sz="4" w:space="0" w:color="000000"/>
              <w:bottom w:val="single" w:sz="4" w:space="0" w:color="000000"/>
            </w:tcBorders>
          </w:tcPr>
          <w:p w:rsidR="00345F85" w:rsidRDefault="000123E5" w:rsidP="00CD6840">
            <w:pPr>
              <w:jc w:val="both"/>
            </w:pPr>
            <w:r w:rsidRPr="000123E5">
              <w:t>3. Komisija šaujamieročus vai munīciju klasificē pēc savas in</w:t>
            </w:r>
            <w:r w:rsidR="00CD6840">
              <w:t>iciatīvas, uz fiziskās personas vai</w:t>
            </w:r>
            <w:r w:rsidRPr="000123E5">
              <w:t xml:space="preserve"> juridiskās personas (turpmāk – iesniedzējs) iesnieguma pamata.</w:t>
            </w:r>
          </w:p>
        </w:tc>
      </w:tr>
      <w:tr w:rsidR="00CD5FB2" w:rsidTr="006D0EFC">
        <w:tc>
          <w:tcPr>
            <w:tcW w:w="707" w:type="dxa"/>
            <w:tcBorders>
              <w:left w:val="single" w:sz="6" w:space="0" w:color="000000"/>
              <w:bottom w:val="single" w:sz="4" w:space="0" w:color="000000"/>
              <w:right w:val="single" w:sz="6" w:space="0" w:color="000000"/>
            </w:tcBorders>
          </w:tcPr>
          <w:p w:rsidR="00CD5FB2" w:rsidRDefault="005C4DC7" w:rsidP="00E8019D">
            <w:pPr>
              <w:pBdr>
                <w:top w:val="nil"/>
                <w:left w:val="nil"/>
                <w:bottom w:val="nil"/>
                <w:right w:val="nil"/>
                <w:between w:val="nil"/>
              </w:pBdr>
              <w:ind w:firstLine="720"/>
              <w:rPr>
                <w:color w:val="000000"/>
              </w:rPr>
            </w:pPr>
            <w:r>
              <w:rPr>
                <w:color w:val="000000"/>
              </w:rPr>
              <w:lastRenderedPageBreak/>
              <w:t>55.</w:t>
            </w:r>
          </w:p>
        </w:tc>
        <w:tc>
          <w:tcPr>
            <w:tcW w:w="3086" w:type="dxa"/>
            <w:gridSpan w:val="2"/>
            <w:tcBorders>
              <w:left w:val="single" w:sz="6" w:space="0" w:color="000000"/>
              <w:bottom w:val="single" w:sz="4" w:space="0" w:color="000000"/>
              <w:right w:val="single" w:sz="6" w:space="0" w:color="000000"/>
            </w:tcBorders>
          </w:tcPr>
          <w:p w:rsidR="00CD5FB2" w:rsidRPr="006B68EC" w:rsidRDefault="00CD5FB2" w:rsidP="00CD5FB2">
            <w:pPr>
              <w:pBdr>
                <w:top w:val="nil"/>
                <w:left w:val="nil"/>
                <w:bottom w:val="nil"/>
                <w:right w:val="nil"/>
                <w:between w:val="nil"/>
              </w:pBdr>
              <w:ind w:firstLine="1"/>
            </w:pPr>
            <w:r w:rsidRPr="006B68EC">
              <w:t>3.Komisija šaujamieročus un munīciju klasificē (vai pārskata iepriekš klasificēto ieroču klasifikāciju) pēc savas iniciatīvas, kā arī uz fiziskas vai juridiskas personas iesnieguma pamata (turpmāk – iesniedzējs).</w:t>
            </w:r>
          </w:p>
          <w:p w:rsidR="00CD5FB2" w:rsidRPr="006B68EC" w:rsidRDefault="00CD5FB2"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CD5FB2" w:rsidRPr="007F4870" w:rsidRDefault="00CD5FB2" w:rsidP="00CD5FB2">
            <w:pPr>
              <w:widowControl w:val="0"/>
              <w:contextualSpacing/>
              <w:jc w:val="center"/>
              <w:rPr>
                <w:rFonts w:eastAsia="Calibri"/>
                <w:b/>
                <w:lang w:eastAsia="en-US"/>
              </w:rPr>
            </w:pPr>
            <w:r w:rsidRPr="007F4870">
              <w:rPr>
                <w:rFonts w:eastAsia="Calibri"/>
                <w:b/>
                <w:lang w:eastAsia="en-US"/>
              </w:rPr>
              <w:t>Tieslietu ministrijas iebildums</w:t>
            </w:r>
          </w:p>
          <w:p w:rsidR="00CD5FB2" w:rsidRPr="007F4870" w:rsidRDefault="00CD5FB2" w:rsidP="00CD5FB2">
            <w:pPr>
              <w:widowControl w:val="0"/>
              <w:contextualSpacing/>
              <w:jc w:val="both"/>
              <w:rPr>
                <w:rFonts w:eastAsia="Calibri"/>
                <w:lang w:eastAsia="en-US"/>
              </w:rPr>
            </w:pPr>
            <w:r w:rsidRPr="007F4870">
              <w:rPr>
                <w:rFonts w:eastAsia="Calibri"/>
                <w:lang w:eastAsia="en-US"/>
              </w:rPr>
              <w:t xml:space="preserve">Projekta 3. punkts paredz, ka komisija šaujamieročus un munīciju klasificē pēc savas iniciatīvas, kā arī uz fiziskas vai juridiskas personas iesnieguma pamata. Turpmākajos punktos seko regulējums par iesnieguma pieņemšanu un izvērtēšanas procedūru. Vēršam uzmanību, ka projektā netiek paredzēts regulējums par to, kādos gadījumos un kādā procedūrā komisija šaujamieročus un munīciju klasificē pēc savas iniciatīvas. Ievērojot minēto, piedāvājam papildināt projektu ar atbilstošu regulējumu, vai arī svītrot komisijas tiesības klasificēt šaujamieročus un munīciju pēc savas iniciatīvas. </w:t>
            </w:r>
          </w:p>
          <w:p w:rsidR="00CD5FB2" w:rsidRPr="00345F85" w:rsidRDefault="00CD5FB2" w:rsidP="00345F85">
            <w:pPr>
              <w:pBdr>
                <w:top w:val="nil"/>
                <w:left w:val="nil"/>
                <w:bottom w:val="nil"/>
                <w:right w:val="nil"/>
                <w:between w:val="nil"/>
              </w:pBdr>
              <w:jc w:val="center"/>
              <w:rPr>
                <w:b/>
                <w:color w:val="FF0000"/>
              </w:rPr>
            </w:pPr>
          </w:p>
        </w:tc>
        <w:tc>
          <w:tcPr>
            <w:tcW w:w="2410" w:type="dxa"/>
            <w:tcBorders>
              <w:left w:val="single" w:sz="6" w:space="0" w:color="000000"/>
              <w:bottom w:val="single" w:sz="4" w:space="0" w:color="000000"/>
              <w:right w:val="single" w:sz="6" w:space="0" w:color="000000"/>
            </w:tcBorders>
            <w:shd w:val="clear" w:color="auto" w:fill="auto"/>
          </w:tcPr>
          <w:p w:rsidR="00CD5FB2" w:rsidRPr="006D0EFC" w:rsidRDefault="007F4870" w:rsidP="007F4870">
            <w:pPr>
              <w:pBdr>
                <w:top w:val="nil"/>
                <w:left w:val="nil"/>
                <w:bottom w:val="nil"/>
                <w:right w:val="nil"/>
                <w:between w:val="nil"/>
              </w:pBdr>
              <w:jc w:val="center"/>
              <w:rPr>
                <w:b/>
                <w:color w:val="000000"/>
              </w:rPr>
            </w:pPr>
            <w:r>
              <w:rPr>
                <w:b/>
                <w:color w:val="000000"/>
              </w:rPr>
              <w:t>Panākta vienošanās saskaņošanas sanāksme</w:t>
            </w:r>
          </w:p>
        </w:tc>
        <w:tc>
          <w:tcPr>
            <w:tcW w:w="3375" w:type="dxa"/>
            <w:tcBorders>
              <w:top w:val="single" w:sz="4" w:space="0" w:color="000000"/>
              <w:left w:val="single" w:sz="4" w:space="0" w:color="000000"/>
              <w:bottom w:val="single" w:sz="4" w:space="0" w:color="000000"/>
            </w:tcBorders>
          </w:tcPr>
          <w:p w:rsidR="00CD5FB2" w:rsidRDefault="007F4870" w:rsidP="006D0EFC">
            <w:pPr>
              <w:jc w:val="both"/>
            </w:pPr>
            <w:r w:rsidRPr="000123E5">
              <w:t xml:space="preserve">3. </w:t>
            </w:r>
            <w:r w:rsidR="0030263A" w:rsidRPr="0030263A">
              <w:t>Komisija šaujamieročus vai munīciju klasificē pēc savas iniciatīvas, uz fiziskās personas vai juridiskās personas (turpmāk – iesniedzējs) iesnieguma pamata.</w:t>
            </w:r>
          </w:p>
        </w:tc>
      </w:tr>
      <w:tr w:rsidR="0049353D" w:rsidTr="00C31412">
        <w:tc>
          <w:tcPr>
            <w:tcW w:w="707" w:type="dxa"/>
            <w:tcBorders>
              <w:left w:val="single" w:sz="6" w:space="0" w:color="000000"/>
              <w:bottom w:val="single" w:sz="4" w:space="0" w:color="000000"/>
              <w:right w:val="single" w:sz="6" w:space="0" w:color="000000"/>
            </w:tcBorders>
          </w:tcPr>
          <w:p w:rsidR="0049353D" w:rsidRDefault="00A7529C" w:rsidP="005C4DC7">
            <w:pPr>
              <w:pBdr>
                <w:top w:val="nil"/>
                <w:left w:val="nil"/>
                <w:bottom w:val="nil"/>
                <w:right w:val="nil"/>
                <w:between w:val="nil"/>
              </w:pBdr>
              <w:ind w:firstLine="720"/>
              <w:rPr>
                <w:color w:val="000000"/>
              </w:rPr>
            </w:pPr>
            <w:r>
              <w:rPr>
                <w:color w:val="000000"/>
              </w:rPr>
              <w:t>2</w:t>
            </w:r>
            <w:r w:rsidR="005C4DC7" w:rsidRPr="005C4DC7">
              <w:rPr>
                <w:color w:val="000000"/>
              </w:rPr>
              <w:t>6.</w:t>
            </w:r>
            <w:r w:rsidR="005C4DC7">
              <w:rPr>
                <w:b/>
                <w:color w:val="000000"/>
              </w:rPr>
              <w:t xml:space="preserve"> </w:t>
            </w:r>
          </w:p>
        </w:tc>
        <w:tc>
          <w:tcPr>
            <w:tcW w:w="3086" w:type="dxa"/>
            <w:gridSpan w:val="2"/>
            <w:tcBorders>
              <w:left w:val="single" w:sz="6" w:space="0" w:color="000000"/>
              <w:bottom w:val="single" w:sz="4" w:space="0" w:color="000000"/>
              <w:right w:val="single" w:sz="6" w:space="0" w:color="000000"/>
            </w:tcBorders>
          </w:tcPr>
          <w:p w:rsidR="00A7529C" w:rsidRPr="00A7529C" w:rsidRDefault="00A7529C" w:rsidP="00A7529C">
            <w:pPr>
              <w:jc w:val="both"/>
            </w:pPr>
            <w:r w:rsidRPr="00A7529C">
              <w:t xml:space="preserve">4. Lai klasificētu šaujamieroci vai munīciju, iesniedzējs Komisijai iesniedz iesniegumu. Iesniedzējs iesniegumam var pievienot arī citu tā rīcībā esošo informāciju par šaujamieroci vai munīciju, kas būtu lietderīga šaujamieroča vai munīcijas klasifikācijai.  </w:t>
            </w:r>
          </w:p>
          <w:p w:rsidR="00A7529C" w:rsidRPr="00A7529C" w:rsidRDefault="00A7529C" w:rsidP="00A7529C">
            <w:pPr>
              <w:jc w:val="both"/>
            </w:pPr>
          </w:p>
          <w:p w:rsidR="0049353D" w:rsidRPr="00A7529C" w:rsidRDefault="0049353D" w:rsidP="00E47236">
            <w:pPr>
              <w:jc w:val="both"/>
              <w:rPr>
                <w:b/>
                <w:color w:val="000000"/>
              </w:rPr>
            </w:pPr>
          </w:p>
        </w:tc>
        <w:tc>
          <w:tcPr>
            <w:tcW w:w="5413" w:type="dxa"/>
            <w:tcBorders>
              <w:left w:val="single" w:sz="6" w:space="0" w:color="000000"/>
              <w:bottom w:val="single" w:sz="4" w:space="0" w:color="000000"/>
              <w:right w:val="single" w:sz="6" w:space="0" w:color="000000"/>
            </w:tcBorders>
          </w:tcPr>
          <w:p w:rsidR="0049353D" w:rsidRPr="0049353D" w:rsidRDefault="00AB7AA4" w:rsidP="0049353D">
            <w:pPr>
              <w:widowControl w:val="0"/>
              <w:contextualSpacing/>
              <w:jc w:val="center"/>
              <w:rPr>
                <w:rFonts w:eastAsia="Calibri"/>
                <w:b/>
                <w:lang w:eastAsia="en-US"/>
              </w:rPr>
            </w:pPr>
            <w:r>
              <w:rPr>
                <w:rFonts w:eastAsia="Calibri"/>
                <w:b/>
                <w:lang w:eastAsia="en-US"/>
              </w:rPr>
              <w:t>Tieslietu ministrija</w:t>
            </w:r>
            <w:r w:rsidR="000A116A">
              <w:rPr>
                <w:rFonts w:eastAsia="Calibri"/>
                <w:b/>
                <w:lang w:eastAsia="en-US"/>
              </w:rPr>
              <w:t>s iebildums</w:t>
            </w:r>
          </w:p>
          <w:p w:rsidR="0049353D" w:rsidRDefault="0049353D" w:rsidP="0049353D">
            <w:pPr>
              <w:widowControl w:val="0"/>
              <w:contextualSpacing/>
              <w:jc w:val="both"/>
              <w:rPr>
                <w:rFonts w:eastAsia="Calibri"/>
                <w:lang w:eastAsia="en-US"/>
              </w:rPr>
            </w:pPr>
          </w:p>
          <w:p w:rsidR="0049353D" w:rsidRPr="0049353D" w:rsidRDefault="0049353D" w:rsidP="0049353D">
            <w:pPr>
              <w:widowControl w:val="0"/>
              <w:contextualSpacing/>
              <w:jc w:val="both"/>
              <w:rPr>
                <w:rFonts w:eastAsia="Calibri"/>
                <w:lang w:eastAsia="en-US"/>
              </w:rPr>
            </w:pPr>
            <w:r w:rsidRPr="0049353D">
              <w:rPr>
                <w:rFonts w:eastAsia="Calibri"/>
                <w:lang w:eastAsia="en-US"/>
              </w:rPr>
              <w:t xml:space="preserve">Saskaņā ar pašreizējās projekta redakcijas 4. punktu, lai klasificētu </w:t>
            </w:r>
            <w:r w:rsidRPr="0049353D">
              <w:rPr>
                <w:rFonts w:eastAsia="Calibri"/>
                <w:u w:val="single"/>
                <w:lang w:eastAsia="en-US"/>
              </w:rPr>
              <w:t>šaujamieroci vai munīciju</w:t>
            </w:r>
            <w:r w:rsidRPr="0049353D">
              <w:rPr>
                <w:rFonts w:eastAsia="Calibri"/>
                <w:lang w:eastAsia="en-US"/>
              </w:rPr>
              <w:t xml:space="preserve">, iesniedzējs Komisijai iesniedz iesniegumu, savukārt no projekta 5. punkta izriet, ka komisijai pēc iesnieguma saņemšanas ir jāpieņem viens no diviem lēmumiem – lēmumu par </w:t>
            </w:r>
            <w:r w:rsidRPr="0049353D">
              <w:rPr>
                <w:rFonts w:eastAsia="Calibri"/>
                <w:u w:val="single"/>
                <w:lang w:eastAsia="en-US"/>
              </w:rPr>
              <w:t>šaujamieroča un munīcijas</w:t>
            </w:r>
            <w:r w:rsidRPr="0049353D">
              <w:rPr>
                <w:rFonts w:eastAsia="Calibri"/>
                <w:lang w:eastAsia="en-US"/>
              </w:rPr>
              <w:t xml:space="preserve"> klasificēšanu vai atteikumu klasificēt </w:t>
            </w:r>
            <w:r w:rsidRPr="0049353D">
              <w:rPr>
                <w:rFonts w:eastAsia="Calibri"/>
                <w:u w:val="single"/>
                <w:lang w:eastAsia="en-US"/>
              </w:rPr>
              <w:t>šaujamieroci un munīciju.</w:t>
            </w:r>
            <w:r w:rsidRPr="0049353D">
              <w:rPr>
                <w:rFonts w:eastAsia="Calibri"/>
                <w:lang w:eastAsia="en-US"/>
              </w:rPr>
              <w:t xml:space="preserve"> No minētā nevar viennozīmīgi saprast, vai komisija pieņem lēmumu par šaujamieroča vai munīcijas klasificēšanu vai atteikumu to klasificēt, vai arī komisijai vienmēr jāpieņem vienā lēmumā par abu – gan šaujamieroča, gan munīcijas – klasificēšanu vai atteikumu tos klasificēt. Ņemot vērā minēto, punktu nepieciešams precizēt.</w:t>
            </w:r>
          </w:p>
          <w:p w:rsidR="0049353D" w:rsidRPr="00176FF0" w:rsidRDefault="0049353D" w:rsidP="00176FF0">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tcPr>
          <w:p w:rsidR="0049353D" w:rsidRPr="0049353D" w:rsidRDefault="0049353D" w:rsidP="00102C51">
            <w:pPr>
              <w:pBdr>
                <w:top w:val="nil"/>
                <w:left w:val="nil"/>
                <w:bottom w:val="nil"/>
                <w:right w:val="nil"/>
                <w:between w:val="nil"/>
              </w:pBdr>
              <w:jc w:val="center"/>
              <w:rPr>
                <w:b/>
                <w:color w:val="000000"/>
              </w:rPr>
            </w:pPr>
            <w:r w:rsidRPr="0049353D">
              <w:rPr>
                <w:b/>
                <w:color w:val="000000"/>
              </w:rPr>
              <w:t>Iebildums ņemts vērā</w:t>
            </w:r>
          </w:p>
          <w:p w:rsidR="0049353D" w:rsidRPr="00176FF0" w:rsidRDefault="0049353D" w:rsidP="00176FF0">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rsidR="0049353D" w:rsidRPr="00176FF0" w:rsidRDefault="00BA08CB">
            <w:pPr>
              <w:jc w:val="both"/>
            </w:pPr>
            <w:r w:rsidRPr="00A7529C">
              <w:t>Projekts precizēts kopumā.</w:t>
            </w:r>
          </w:p>
        </w:tc>
      </w:tr>
      <w:tr w:rsidR="006B68EC" w:rsidTr="00C31412">
        <w:tc>
          <w:tcPr>
            <w:tcW w:w="707" w:type="dxa"/>
            <w:tcBorders>
              <w:left w:val="single" w:sz="6" w:space="0" w:color="000000"/>
              <w:bottom w:val="single" w:sz="4" w:space="0" w:color="000000"/>
              <w:right w:val="single" w:sz="6" w:space="0" w:color="000000"/>
            </w:tcBorders>
          </w:tcPr>
          <w:p w:rsidR="006B68EC" w:rsidRDefault="00203308" w:rsidP="005C4DC7">
            <w:pPr>
              <w:pBdr>
                <w:top w:val="nil"/>
                <w:left w:val="nil"/>
                <w:bottom w:val="nil"/>
                <w:right w:val="nil"/>
                <w:between w:val="nil"/>
              </w:pBdr>
              <w:ind w:firstLine="720"/>
              <w:rPr>
                <w:color w:val="000000"/>
              </w:rPr>
            </w:pPr>
            <w:r>
              <w:rPr>
                <w:color w:val="000000"/>
              </w:rPr>
              <w:lastRenderedPageBreak/>
              <w:t>4</w:t>
            </w:r>
            <w:r w:rsidR="005C4DC7" w:rsidRPr="005C4DC7">
              <w:rPr>
                <w:color w:val="000000"/>
              </w:rPr>
              <w:t>7.</w:t>
            </w:r>
          </w:p>
        </w:tc>
        <w:tc>
          <w:tcPr>
            <w:tcW w:w="3086" w:type="dxa"/>
            <w:gridSpan w:val="2"/>
            <w:tcBorders>
              <w:left w:val="single" w:sz="6" w:space="0" w:color="000000"/>
              <w:bottom w:val="single" w:sz="4" w:space="0" w:color="000000"/>
              <w:right w:val="single" w:sz="6" w:space="0" w:color="000000"/>
            </w:tcBorders>
          </w:tcPr>
          <w:p w:rsidR="006B68EC" w:rsidRPr="00C51409" w:rsidRDefault="006B68EC" w:rsidP="006B68EC">
            <w:pPr>
              <w:pBdr>
                <w:top w:val="nil"/>
                <w:left w:val="nil"/>
                <w:bottom w:val="nil"/>
                <w:right w:val="nil"/>
                <w:between w:val="nil"/>
              </w:pBdr>
              <w:ind w:firstLine="1"/>
              <w:jc w:val="both"/>
              <w:rPr>
                <w:color w:val="000000"/>
              </w:rPr>
            </w:pPr>
            <w:r w:rsidRPr="00C51409">
              <w:rPr>
                <w:color w:val="000000"/>
              </w:rPr>
              <w:t>5. Komisija pēc iesnieguma saņemšanas izvērtē iesniegumu, tam pievienoto informāciju un pieņem lēmumu par šaujamieroča un munīcijas klasificēšanu vai atteikumu klasificēt šaujamieroci un munīciju. Komisijas lēmumu var apstrīdēt viena mēneša laikā no tā spēkā stāšanās dienas Administratīvā procesa likumā noteiktajā kārtībā, iesniedzot attiecīgu iesniegumu Valsts policijas priekšniekam. Valsts policijas priekšnieka lēmumu var pārsūdzēt Administratīvajā rajona tiesā.</w:t>
            </w:r>
          </w:p>
          <w:p w:rsidR="006B68EC" w:rsidRPr="00DA7881" w:rsidRDefault="006B68EC" w:rsidP="006B68EC">
            <w:pPr>
              <w:pBdr>
                <w:top w:val="nil"/>
                <w:left w:val="nil"/>
                <w:bottom w:val="nil"/>
                <w:right w:val="nil"/>
                <w:between w:val="nil"/>
              </w:pBdr>
              <w:ind w:firstLine="1"/>
              <w:jc w:val="both"/>
              <w:rPr>
                <w:color w:val="000000"/>
              </w:rPr>
            </w:pPr>
          </w:p>
        </w:tc>
        <w:tc>
          <w:tcPr>
            <w:tcW w:w="5413" w:type="dxa"/>
            <w:tcBorders>
              <w:left w:val="single" w:sz="6" w:space="0" w:color="000000"/>
              <w:bottom w:val="single" w:sz="4" w:space="0" w:color="000000"/>
              <w:right w:val="single" w:sz="6" w:space="0" w:color="000000"/>
            </w:tcBorders>
          </w:tcPr>
          <w:p w:rsidR="006B68EC" w:rsidRPr="00C51409" w:rsidRDefault="006B68EC" w:rsidP="006B68EC">
            <w:pPr>
              <w:pBdr>
                <w:top w:val="nil"/>
                <w:left w:val="nil"/>
                <w:bottom w:val="nil"/>
                <w:right w:val="nil"/>
                <w:between w:val="nil"/>
              </w:pBdr>
              <w:jc w:val="center"/>
              <w:rPr>
                <w:b/>
                <w:color w:val="000000"/>
              </w:rPr>
            </w:pPr>
            <w:r>
              <w:rPr>
                <w:b/>
                <w:color w:val="000000"/>
              </w:rPr>
              <w:t>Tieslietu ministrija</w:t>
            </w:r>
            <w:r w:rsidR="000A116A">
              <w:rPr>
                <w:b/>
                <w:color w:val="000000"/>
              </w:rPr>
              <w:t>s iebildums</w:t>
            </w:r>
          </w:p>
          <w:p w:rsidR="006B68EC" w:rsidRDefault="006B68EC" w:rsidP="006B68EC">
            <w:pPr>
              <w:pBdr>
                <w:top w:val="nil"/>
                <w:left w:val="nil"/>
                <w:bottom w:val="nil"/>
                <w:right w:val="nil"/>
                <w:between w:val="nil"/>
              </w:pBdr>
              <w:jc w:val="both"/>
              <w:rPr>
                <w:color w:val="000000"/>
              </w:rPr>
            </w:pPr>
          </w:p>
          <w:p w:rsidR="006B68EC" w:rsidRDefault="006B68EC" w:rsidP="006B68EC">
            <w:pPr>
              <w:pBdr>
                <w:top w:val="nil"/>
                <w:left w:val="nil"/>
                <w:bottom w:val="nil"/>
                <w:right w:val="nil"/>
                <w:between w:val="nil"/>
              </w:pBdr>
              <w:jc w:val="both"/>
              <w:rPr>
                <w:color w:val="000000"/>
              </w:rPr>
            </w:pPr>
            <w:r w:rsidRPr="00C51409">
              <w:rPr>
                <w:color w:val="000000"/>
              </w:rPr>
              <w:t>Projekta 5. punkts paredz, ka komisijas lēmumu par šaujamieroču un munīcijas klasificēšanu var apstrīdēt viena mēneša laikā no tā spēkā stāšanās dienas Administratīvā procesa likumā noteiktajā kārtībā. Vēršam uzmanību, ka dažādos citos gadījumos tiesiskais regulējums par valsts pārvaldes izdoto administratīvo aktu apstrīdēšanas tiesībām tiek paredzēts likumprojektā. Tādejādi projekta 5. punktā paredzētais regulējums neatbilst veidojamajai ieroču aprites tiesību normu sistēmai. Papildus vēlamies norādīt, ka komisijas lēmumu uzskatīšana par administratīvo aktu būtu izvērtējama, jo šaujamieroču apritei ir īpaši nosacījumi, konkrētu tipu un modeļu šaujamieroču iekļaušana noteiktā kategorijā, Tieslietu ministrijas ieskatā, būs pārvaldes lēmums, kas nav vērsts uz individuāli noteiktu personu. Savukārt gadījumos, kad persona, kurai būs Valsts policijas izdota kolekcijas veidošanas atļauja, vērsīsies komisijā ar iesniegumu, lai noteiktu šaujamieroci atzītu par kolekcijas ieroci, komisijas lēmums varētu būt administratīvais akts. Vienlaikus vēlamies norādīt, ka Valsts policijas komisija nebūtu tiesīga pieņemt lēmumu ar šaujamieroču vēsturisku, māksliniecisku vai izgatavošanas autentiskuma vērtējumu, jo tas neietilpst Valsts policijas kompetencē.</w:t>
            </w:r>
          </w:p>
          <w:p w:rsidR="00BF1057" w:rsidRPr="00C51409" w:rsidRDefault="00BF1057" w:rsidP="006B68EC">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tcPr>
          <w:p w:rsidR="006B68EC" w:rsidRPr="0049353D" w:rsidRDefault="000F1933" w:rsidP="006B68EC">
            <w:pPr>
              <w:pBdr>
                <w:top w:val="nil"/>
                <w:left w:val="nil"/>
                <w:bottom w:val="nil"/>
                <w:right w:val="nil"/>
                <w:between w:val="nil"/>
              </w:pBdr>
              <w:jc w:val="center"/>
              <w:rPr>
                <w:b/>
                <w:color w:val="000000"/>
              </w:rPr>
            </w:pPr>
            <w:r w:rsidRPr="000F1933">
              <w:rPr>
                <w:b/>
                <w:color w:val="000000"/>
              </w:rPr>
              <w:t xml:space="preserve">Panākta vienošanās saskaņošanas sanāksme </w:t>
            </w:r>
          </w:p>
        </w:tc>
        <w:tc>
          <w:tcPr>
            <w:tcW w:w="3375" w:type="dxa"/>
            <w:tcBorders>
              <w:top w:val="single" w:sz="4" w:space="0" w:color="000000"/>
              <w:left w:val="single" w:sz="4" w:space="0" w:color="000000"/>
              <w:bottom w:val="single" w:sz="4" w:space="0" w:color="000000"/>
            </w:tcBorders>
          </w:tcPr>
          <w:p w:rsidR="006B68EC" w:rsidRPr="00BA08CB" w:rsidRDefault="000C63D3" w:rsidP="00203308">
            <w:pPr>
              <w:jc w:val="both"/>
              <w:rPr>
                <w:color w:val="FF0000"/>
              </w:rPr>
            </w:pPr>
            <w:r w:rsidRPr="000C63D3">
              <w:t xml:space="preserve">6. </w:t>
            </w:r>
            <w:r w:rsidR="00EF7E5B" w:rsidRPr="00EF7E5B">
              <w:t>Komisija pēc iesnieguma saņemšanas vērtē to, tam pievienoto informāciju, kā arī citu informāciju, kas nepieciešama, lai pieņemtu lēmumu.</w:t>
            </w:r>
          </w:p>
        </w:tc>
      </w:tr>
      <w:tr w:rsidR="006B68EC" w:rsidTr="00C31412">
        <w:tc>
          <w:tcPr>
            <w:tcW w:w="707" w:type="dxa"/>
            <w:tcBorders>
              <w:left w:val="single" w:sz="6" w:space="0" w:color="000000"/>
              <w:bottom w:val="single" w:sz="4" w:space="0" w:color="000000"/>
              <w:right w:val="single" w:sz="6" w:space="0" w:color="000000"/>
            </w:tcBorders>
          </w:tcPr>
          <w:p w:rsidR="006B68EC" w:rsidRDefault="00203308" w:rsidP="005C4DC7">
            <w:pPr>
              <w:pBdr>
                <w:top w:val="nil"/>
                <w:left w:val="nil"/>
                <w:bottom w:val="nil"/>
                <w:right w:val="nil"/>
                <w:between w:val="nil"/>
              </w:pBdr>
              <w:ind w:firstLine="720"/>
              <w:rPr>
                <w:color w:val="000000"/>
              </w:rPr>
            </w:pPr>
            <w:r>
              <w:rPr>
                <w:color w:val="000000"/>
              </w:rPr>
              <w:t>3</w:t>
            </w:r>
            <w:r w:rsidR="005C4DC7" w:rsidRPr="005C4DC7">
              <w:rPr>
                <w:color w:val="000000"/>
              </w:rPr>
              <w:t>8.</w:t>
            </w:r>
          </w:p>
        </w:tc>
        <w:tc>
          <w:tcPr>
            <w:tcW w:w="3086" w:type="dxa"/>
            <w:gridSpan w:val="2"/>
            <w:tcBorders>
              <w:left w:val="single" w:sz="6" w:space="0" w:color="000000"/>
              <w:bottom w:val="single" w:sz="4" w:space="0" w:color="000000"/>
              <w:right w:val="single" w:sz="6" w:space="0" w:color="000000"/>
            </w:tcBorders>
          </w:tcPr>
          <w:p w:rsidR="006B68EC" w:rsidRPr="00C51409" w:rsidRDefault="006B68EC" w:rsidP="006B68EC">
            <w:pPr>
              <w:pBdr>
                <w:top w:val="nil"/>
                <w:left w:val="nil"/>
                <w:bottom w:val="nil"/>
                <w:right w:val="nil"/>
                <w:between w:val="nil"/>
              </w:pBdr>
              <w:jc w:val="both"/>
              <w:rPr>
                <w:color w:val="000000"/>
              </w:rPr>
            </w:pPr>
            <w:r w:rsidRPr="00C51409">
              <w:rPr>
                <w:color w:val="000000"/>
              </w:rPr>
              <w:t xml:space="preserve">7. Komisija, nosakot šaujamieroča tehnisko kategoriju, ņem vērā nosacījumu, ka iespēja garstobra šaujamieročiem </w:t>
            </w:r>
            <w:r w:rsidRPr="00C51409">
              <w:rPr>
                <w:color w:val="000000"/>
              </w:rPr>
              <w:lastRenderedPageBreak/>
              <w:t>piestiprināt lādējamo ierīci ar tilpumu, kas pārsniedz 10 patronas, un īsstobra šaujamieročiem – 20 patronas, nenosaka šaujamieroču klasifikāciju konkrētā kategorijā.</w:t>
            </w:r>
          </w:p>
          <w:p w:rsidR="006B68EC" w:rsidRPr="0049353D" w:rsidRDefault="006B68EC"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6B68EC" w:rsidRDefault="006B68EC" w:rsidP="006B68EC">
            <w:pPr>
              <w:widowControl w:val="0"/>
              <w:jc w:val="center"/>
              <w:rPr>
                <w:b/>
              </w:rPr>
            </w:pPr>
            <w:r w:rsidRPr="00C51409">
              <w:rPr>
                <w:b/>
              </w:rPr>
              <w:lastRenderedPageBreak/>
              <w:t>Tieslietu ministrija</w:t>
            </w:r>
            <w:r w:rsidR="000A116A">
              <w:rPr>
                <w:b/>
              </w:rPr>
              <w:t>s iebildums</w:t>
            </w:r>
          </w:p>
          <w:p w:rsidR="006B68EC" w:rsidRPr="00CD2A46" w:rsidRDefault="006B68EC" w:rsidP="006B68EC">
            <w:pPr>
              <w:widowControl w:val="0"/>
              <w:jc w:val="both"/>
            </w:pPr>
            <w:r w:rsidRPr="00CD2A46">
              <w:t xml:space="preserve">Projekta 7. punkts paredz šaujamieroču un munīcijas klasificēšanas nosacījumu par patronu ietilpību, proti, regulējumu, kas ir iekļauts likumprojekta 6. panta pirmās daļas 7. punktā. Projektā nav pieļaujama šādu </w:t>
            </w:r>
            <w:r w:rsidRPr="00CD2A46">
              <w:lastRenderedPageBreak/>
              <w:t>dublējošu normu veidošana. Ievērojot minēto, piedāvājam svītrot projekta 7.</w:t>
            </w:r>
            <w:r>
              <w:t> </w:t>
            </w:r>
            <w:r w:rsidRPr="00CD2A46">
              <w:t xml:space="preserve">punktu. </w:t>
            </w:r>
          </w:p>
          <w:p w:rsidR="006B68EC" w:rsidRPr="0049353D" w:rsidRDefault="006B68EC" w:rsidP="006B68EC">
            <w:pPr>
              <w:widowControl w:val="0"/>
              <w:contextualSpacing/>
              <w:jc w:val="center"/>
              <w:rPr>
                <w:rFonts w:eastAsia="Calibri"/>
                <w:b/>
                <w:lang w:eastAsia="en-US"/>
              </w:rPr>
            </w:pPr>
          </w:p>
        </w:tc>
        <w:tc>
          <w:tcPr>
            <w:tcW w:w="2410" w:type="dxa"/>
            <w:tcBorders>
              <w:left w:val="single" w:sz="6" w:space="0" w:color="000000"/>
              <w:bottom w:val="single" w:sz="4" w:space="0" w:color="000000"/>
              <w:right w:val="single" w:sz="6" w:space="0" w:color="000000"/>
            </w:tcBorders>
          </w:tcPr>
          <w:p w:rsidR="006B68EC" w:rsidRPr="00C51409" w:rsidRDefault="006B68EC" w:rsidP="00BF1057">
            <w:pPr>
              <w:pBdr>
                <w:top w:val="nil"/>
                <w:left w:val="nil"/>
                <w:bottom w:val="nil"/>
                <w:right w:val="nil"/>
                <w:between w:val="nil"/>
              </w:pBdr>
              <w:jc w:val="center"/>
              <w:rPr>
                <w:b/>
                <w:color w:val="000000"/>
              </w:rPr>
            </w:pPr>
            <w:r w:rsidRPr="00C51409">
              <w:rPr>
                <w:b/>
                <w:color w:val="000000"/>
              </w:rPr>
              <w:lastRenderedPageBreak/>
              <w:t>Iebildums ņemts vērā</w:t>
            </w:r>
          </w:p>
          <w:p w:rsidR="006B68EC" w:rsidRPr="0049353D" w:rsidRDefault="006B68EC" w:rsidP="006B68EC">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rsidR="006B68EC" w:rsidRPr="00176FF0" w:rsidRDefault="006B68EC" w:rsidP="006B68EC">
            <w:pPr>
              <w:jc w:val="both"/>
            </w:pPr>
            <w:r>
              <w:t>Projekta 7.punkts ir svītrots.</w:t>
            </w:r>
          </w:p>
        </w:tc>
      </w:tr>
      <w:tr w:rsidR="00CD5FB2" w:rsidTr="00C31412">
        <w:tc>
          <w:tcPr>
            <w:tcW w:w="707" w:type="dxa"/>
            <w:tcBorders>
              <w:left w:val="single" w:sz="6" w:space="0" w:color="000000"/>
              <w:bottom w:val="single" w:sz="4" w:space="0" w:color="000000"/>
              <w:right w:val="single" w:sz="6" w:space="0" w:color="000000"/>
            </w:tcBorders>
          </w:tcPr>
          <w:p w:rsidR="00CD5FB2" w:rsidRDefault="005C4DC7" w:rsidP="006B68EC">
            <w:pPr>
              <w:pBdr>
                <w:top w:val="nil"/>
                <w:left w:val="nil"/>
                <w:bottom w:val="nil"/>
                <w:right w:val="nil"/>
                <w:between w:val="nil"/>
              </w:pBdr>
              <w:ind w:firstLine="720"/>
              <w:rPr>
                <w:color w:val="000000"/>
              </w:rPr>
            </w:pPr>
            <w:r>
              <w:rPr>
                <w:color w:val="000000"/>
              </w:rPr>
              <w:t>99.</w:t>
            </w:r>
          </w:p>
        </w:tc>
        <w:tc>
          <w:tcPr>
            <w:tcW w:w="3086" w:type="dxa"/>
            <w:gridSpan w:val="2"/>
            <w:tcBorders>
              <w:left w:val="single" w:sz="6" w:space="0" w:color="000000"/>
              <w:bottom w:val="single" w:sz="4" w:space="0" w:color="000000"/>
              <w:right w:val="single" w:sz="6" w:space="0" w:color="000000"/>
            </w:tcBorders>
          </w:tcPr>
          <w:p w:rsidR="00CD5FB2" w:rsidRDefault="00CD5FB2"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CD5FB2" w:rsidRPr="00716787" w:rsidRDefault="00CD5FB2" w:rsidP="00CD5FB2">
            <w:pPr>
              <w:pBdr>
                <w:top w:val="nil"/>
                <w:left w:val="nil"/>
                <w:bottom w:val="nil"/>
                <w:right w:val="nil"/>
                <w:between w:val="nil"/>
              </w:pBdr>
              <w:tabs>
                <w:tab w:val="left" w:pos="674"/>
              </w:tabs>
              <w:jc w:val="center"/>
              <w:rPr>
                <w:b/>
              </w:rPr>
            </w:pPr>
            <w:r w:rsidRPr="00716787">
              <w:rPr>
                <w:b/>
              </w:rPr>
              <w:t>Kultūras ministrijas iebildums</w:t>
            </w:r>
          </w:p>
          <w:p w:rsidR="00CD5FB2" w:rsidRPr="00716787" w:rsidRDefault="00CD5FB2" w:rsidP="00CD5FB2">
            <w:pPr>
              <w:pBdr>
                <w:top w:val="nil"/>
                <w:left w:val="nil"/>
                <w:bottom w:val="nil"/>
                <w:right w:val="nil"/>
                <w:between w:val="nil"/>
              </w:pBdr>
              <w:tabs>
                <w:tab w:val="left" w:pos="674"/>
              </w:tabs>
              <w:jc w:val="both"/>
            </w:pPr>
            <w:r w:rsidRPr="00716787">
              <w:t xml:space="preserve">Projekta 11.punkts nosaka, ka Šaujamieroču un munīcijas klasificēšanas </w:t>
            </w:r>
            <w:r w:rsidRPr="00716787">
              <w:rPr>
                <w:bCs/>
              </w:rPr>
              <w:t>komisija (turpmāk – komisija), lai noteiktu šaujamierocim kolekcijas lietojuma veidu, izvērtē šaujamieroča vēsturisko, kultūras, zinātnisku, tehnisko, izglītojošo, kriminālistisko vai citāda izziņas avota nozīmi. Savukārt P</w:t>
            </w:r>
            <w:r w:rsidRPr="00716787">
              <w:t>rojekta 16.3.apakšpunkts nosaka, ka</w:t>
            </w:r>
            <w:r w:rsidRPr="00716787">
              <w:rPr>
                <w:bCs/>
              </w:rPr>
              <w:t xml:space="preserve"> gadījumos, kad ir pamats uzskatīt, ka šaujamierocis vai šaujamieroča munīcija neatbilst attiecīgajam lietojuma veidam, komisija pieprasa atzinumu no Kultūras ministrijas </w:t>
            </w:r>
            <w:r w:rsidRPr="00716787">
              <w:t xml:space="preserve">par to, vai šaujamierocis ir uzskatāms par kolekcijas šaujamieroci. </w:t>
            </w:r>
          </w:p>
          <w:p w:rsidR="00CD5FB2" w:rsidRPr="00716787" w:rsidRDefault="00CD5FB2" w:rsidP="00CD5FB2">
            <w:pPr>
              <w:pBdr>
                <w:top w:val="nil"/>
                <w:left w:val="nil"/>
                <w:bottom w:val="nil"/>
                <w:right w:val="nil"/>
                <w:between w:val="nil"/>
              </w:pBdr>
              <w:tabs>
                <w:tab w:val="left" w:pos="674"/>
              </w:tabs>
              <w:jc w:val="both"/>
            </w:pPr>
            <w:r w:rsidRPr="00716787">
              <w:rPr>
                <w:bCs/>
              </w:rPr>
              <w:t xml:space="preserve">Kultūras ministrija vērš uzmanību, ka no Projekta 11.punkta nav konstatējams, </w:t>
            </w:r>
            <w:r w:rsidRPr="00716787">
              <w:t xml:space="preserve">pēc kādiem kritērijiem komisija vērtēs šaujamieroča </w:t>
            </w:r>
            <w:r w:rsidRPr="00716787">
              <w:rPr>
                <w:bCs/>
              </w:rPr>
              <w:t>vēsturisko, kultūras,</w:t>
            </w:r>
            <w:r w:rsidRPr="00716787">
              <w:t xml:space="preserve"> zinātnisku, tehnisko, izglītojošo, kriminālistisko vai citāda izziņas avota nozīmi, piemēram, vai šaujamieroča derīgums šaušanai ir uzskatāms par kritēriju kolekcijas lietojuma veida noteikšanai.</w:t>
            </w:r>
          </w:p>
          <w:p w:rsidR="00CD5FB2" w:rsidRPr="00716787" w:rsidRDefault="00CD5FB2" w:rsidP="00CD5FB2">
            <w:pPr>
              <w:pBdr>
                <w:top w:val="nil"/>
                <w:left w:val="nil"/>
                <w:bottom w:val="nil"/>
                <w:right w:val="nil"/>
                <w:between w:val="nil"/>
              </w:pBdr>
              <w:tabs>
                <w:tab w:val="left" w:pos="674"/>
              </w:tabs>
              <w:jc w:val="both"/>
            </w:pPr>
            <w:r w:rsidRPr="00716787">
              <w:rPr>
                <w:bCs/>
              </w:rPr>
              <w:t xml:space="preserve">Saskaņā ar Ministru kabineta 2016.gada 20.decembra noteikumu Nr.846 „Noteikumi par kultūras pieminekļu, tajā skaitā valstij piederošo senlietu, mākslas un antikvāro priekšmetu izvešanu no Latvijas un ievešanu Latvijā” 3.punktu </w:t>
            </w:r>
            <w:r w:rsidRPr="00716787">
              <w:t xml:space="preserve">kultūras priekšmetu </w:t>
            </w:r>
            <w:r w:rsidRPr="00716787">
              <w:lastRenderedPageBreak/>
              <w:t>kolekcija šo noteikumu izpratnē ir pēc vienotiem principiem atlasītu mākslas un antikvāro priekšmetu kopums, ja ir noformēts kolekcijas apraksts (attiecīgās jomas speciālista sagatavots zinātnisks kolekcijas kultūrvēsturiskais izvērtējums) un priekšmetu uzskaite ar identificējamām atšķirības un kopības pazīmēm, datējumu un saglabātības pakāpes novērtējumu.</w:t>
            </w:r>
            <w:r w:rsidRPr="00716787">
              <w:rPr>
                <w:bCs/>
              </w:rPr>
              <w:t xml:space="preserve"> Minētais skaidrojums būtu piemērojams kolekcijas jēdziena formulējumam arī Projekta izpratnē.</w:t>
            </w:r>
            <w:r w:rsidRPr="00716787">
              <w:t xml:space="preserve"> Līdz ar to no Projekta 16.3.apakšpunkta redakcijas nav saprotams, kuri būs tie gadījumi, kad būs nepieciešams Kultūras ministrijas atzinums.</w:t>
            </w:r>
          </w:p>
          <w:p w:rsidR="00CD5FB2" w:rsidRPr="00716787" w:rsidRDefault="00CD5FB2" w:rsidP="00CD5FB2">
            <w:pPr>
              <w:pBdr>
                <w:top w:val="nil"/>
                <w:left w:val="nil"/>
                <w:bottom w:val="nil"/>
                <w:right w:val="nil"/>
                <w:between w:val="nil"/>
              </w:pBdr>
              <w:tabs>
                <w:tab w:val="left" w:pos="674"/>
              </w:tabs>
              <w:jc w:val="both"/>
              <w:rPr>
                <w:bCs/>
              </w:rPr>
            </w:pPr>
            <w:r w:rsidRPr="00716787">
              <w:t xml:space="preserve">Ņemot vērā minēto, lūdzam precizēt Projekta 11.punktu un 16.3.apakšpunktu vai Projekta sākotnējās ietekmes novērtējuma ziņojumu (anotāciju), nosakot </w:t>
            </w:r>
            <w:r w:rsidRPr="00716787">
              <w:rPr>
                <w:bCs/>
              </w:rPr>
              <w:t>kritērijus šaujamieroča kolekcijas lietojuma veida noteikšanai.</w:t>
            </w:r>
          </w:p>
          <w:p w:rsidR="00CD5FB2" w:rsidRPr="00CE3E80" w:rsidRDefault="00CD5FB2" w:rsidP="006B68EC">
            <w:pPr>
              <w:widowControl w:val="0"/>
              <w:jc w:val="center"/>
              <w:rPr>
                <w:b/>
                <w:color w:val="FF0000"/>
              </w:rPr>
            </w:pPr>
          </w:p>
        </w:tc>
        <w:tc>
          <w:tcPr>
            <w:tcW w:w="2410" w:type="dxa"/>
            <w:tcBorders>
              <w:left w:val="single" w:sz="6" w:space="0" w:color="000000"/>
              <w:bottom w:val="single" w:sz="4" w:space="0" w:color="000000"/>
              <w:right w:val="single" w:sz="6" w:space="0" w:color="000000"/>
            </w:tcBorders>
          </w:tcPr>
          <w:p w:rsidR="00CD5FB2" w:rsidRPr="00C51409" w:rsidRDefault="00716787" w:rsidP="00716787">
            <w:pPr>
              <w:pBdr>
                <w:top w:val="nil"/>
                <w:left w:val="nil"/>
                <w:bottom w:val="nil"/>
                <w:right w:val="nil"/>
                <w:between w:val="nil"/>
              </w:pBdr>
              <w:jc w:val="center"/>
              <w:rPr>
                <w:b/>
                <w:color w:val="000000"/>
              </w:rPr>
            </w:pPr>
            <w:r w:rsidRPr="00716787">
              <w:rPr>
                <w:b/>
                <w:color w:val="000000"/>
              </w:rPr>
              <w:lastRenderedPageBreak/>
              <w:t>Panākta vienošanās saskaņošanas sanāksme</w:t>
            </w:r>
          </w:p>
        </w:tc>
        <w:tc>
          <w:tcPr>
            <w:tcW w:w="3375" w:type="dxa"/>
            <w:tcBorders>
              <w:top w:val="single" w:sz="4" w:space="0" w:color="000000"/>
              <w:left w:val="single" w:sz="4" w:space="0" w:color="000000"/>
              <w:bottom w:val="single" w:sz="4" w:space="0" w:color="000000"/>
            </w:tcBorders>
          </w:tcPr>
          <w:p w:rsidR="00CD5FB2" w:rsidRDefault="00CB40C5" w:rsidP="006B68EC">
            <w:pPr>
              <w:jc w:val="both"/>
            </w:pPr>
            <w:r>
              <w:t>7</w:t>
            </w:r>
            <w:r w:rsidR="00716787" w:rsidRPr="00716787">
              <w:t>. Komisija gadījumos, kad ir pamats uzskatīt, ka šaujamierocis vai munīcija neatbilst attiecīgajam lietojuma veidam, pieprasa atzinumu:</w:t>
            </w:r>
          </w:p>
          <w:p w:rsidR="00716787" w:rsidRDefault="00CB40C5" w:rsidP="006B68EC">
            <w:pPr>
              <w:jc w:val="both"/>
            </w:pPr>
            <w:r>
              <w:t>7</w:t>
            </w:r>
            <w:r w:rsidR="00FE4DDD" w:rsidRPr="00FE4DDD">
              <w:t>.3. Kultūras ministrijai – par to, vai šaujamierocis ir uzskatāms par tādu, kuram ir vēsturiska vai kultūras nozīme;</w:t>
            </w:r>
          </w:p>
        </w:tc>
      </w:tr>
      <w:tr w:rsidR="00163CDB" w:rsidTr="00C31412">
        <w:tc>
          <w:tcPr>
            <w:tcW w:w="707" w:type="dxa"/>
            <w:tcBorders>
              <w:left w:val="single" w:sz="6" w:space="0" w:color="000000"/>
              <w:bottom w:val="single" w:sz="4" w:space="0" w:color="000000"/>
              <w:right w:val="single" w:sz="6" w:space="0" w:color="000000"/>
            </w:tcBorders>
          </w:tcPr>
          <w:p w:rsidR="00163CDB" w:rsidRDefault="005C4DC7" w:rsidP="006B68EC">
            <w:pPr>
              <w:pBdr>
                <w:top w:val="nil"/>
                <w:left w:val="nil"/>
                <w:bottom w:val="nil"/>
                <w:right w:val="nil"/>
                <w:between w:val="nil"/>
              </w:pBdr>
              <w:ind w:firstLine="720"/>
              <w:rPr>
                <w:color w:val="000000"/>
              </w:rPr>
            </w:pPr>
            <w:r>
              <w:rPr>
                <w:color w:val="000000"/>
              </w:rPr>
              <w:t>110.</w:t>
            </w:r>
          </w:p>
        </w:tc>
        <w:tc>
          <w:tcPr>
            <w:tcW w:w="3086" w:type="dxa"/>
            <w:gridSpan w:val="2"/>
            <w:tcBorders>
              <w:left w:val="single" w:sz="6" w:space="0" w:color="000000"/>
              <w:bottom w:val="single" w:sz="4" w:space="0" w:color="000000"/>
              <w:right w:val="single" w:sz="6" w:space="0" w:color="000000"/>
            </w:tcBorders>
          </w:tcPr>
          <w:p w:rsidR="00163CDB" w:rsidRDefault="00163CDB"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CE3E80" w:rsidRPr="00331C22" w:rsidRDefault="00CE3E80" w:rsidP="00331C22">
            <w:pPr>
              <w:pBdr>
                <w:top w:val="nil"/>
                <w:left w:val="nil"/>
                <w:bottom w:val="nil"/>
                <w:right w:val="nil"/>
                <w:between w:val="nil"/>
              </w:pBdr>
              <w:jc w:val="center"/>
            </w:pPr>
            <w:r w:rsidRPr="00331C22">
              <w:rPr>
                <w:b/>
              </w:rPr>
              <w:t>Tieslietu ministrijas iebildums</w:t>
            </w:r>
          </w:p>
          <w:p w:rsidR="00CE3E80" w:rsidRPr="00331C22" w:rsidRDefault="00CE3E80" w:rsidP="00CE3E80">
            <w:pPr>
              <w:pBdr>
                <w:top w:val="nil"/>
                <w:left w:val="nil"/>
                <w:bottom w:val="nil"/>
                <w:right w:val="nil"/>
                <w:between w:val="nil"/>
              </w:pBdr>
              <w:jc w:val="both"/>
            </w:pPr>
            <w:r w:rsidRPr="00331C22">
              <w:t xml:space="preserve">Projekta 16. punktā paredzētās komisijas tiesības pieprasīt atzinumus no dažādām ministrijām nepieciešams izvērtēt un precizēt, jo tas neatbilst Valsts pārvaldes iekārtas likuma 10. panta desmitajā daļā noteiktajam efektīvas valsts pārvaldes principam. Vēršam uzmanību, ka tikai Aizsardzības ministrija (Nacionālie bruņotie spēki) ir saistīti ar šaujamieroču apriti un viņiem ir atbilstošas zināšanas par militārajiem šaujamieročiem. Citās ministrijās šādas kompetences nav un apšaubāma ir arī šādu zināšanu esamība, kas ļautu sniegt kvalificētu atzinumu. Papildus norādām, ka Valsts policijas par ieroču apriti atbildīgajai struktūrvienībai jābūt ar pietiekamu spēju pārbaudīt starptautiskajos līgumos noteikto aizliegto </w:t>
            </w:r>
            <w:r w:rsidRPr="00331C22">
              <w:lastRenderedPageBreak/>
              <w:t>munīciju sarakstu, neprasot par to atzinumu Ārlietu ministrijai. Savukārt dažādos sarežģītos gadījumos piedāvājam izvērtēt iespēju projektā paredzēt kvalificēta kriminālistikas (ieroču un munīcijas) eksperta atzinuma saņemšanu, kura izdevumus apmaksās klasificēšanas pieprasītājs.</w:t>
            </w:r>
          </w:p>
          <w:p w:rsidR="00163CDB" w:rsidRPr="00CE3E80" w:rsidRDefault="00163CDB" w:rsidP="00CD5FB2">
            <w:pPr>
              <w:pBdr>
                <w:top w:val="nil"/>
                <w:left w:val="nil"/>
                <w:bottom w:val="nil"/>
                <w:right w:val="nil"/>
                <w:between w:val="nil"/>
              </w:pBdr>
              <w:tabs>
                <w:tab w:val="left" w:pos="674"/>
              </w:tabs>
              <w:jc w:val="center"/>
              <w:rPr>
                <w:b/>
                <w:color w:val="FF0000"/>
              </w:rPr>
            </w:pPr>
          </w:p>
        </w:tc>
        <w:tc>
          <w:tcPr>
            <w:tcW w:w="2410" w:type="dxa"/>
            <w:tcBorders>
              <w:left w:val="single" w:sz="6" w:space="0" w:color="000000"/>
              <w:bottom w:val="single" w:sz="4" w:space="0" w:color="000000"/>
              <w:right w:val="single" w:sz="6" w:space="0" w:color="000000"/>
            </w:tcBorders>
          </w:tcPr>
          <w:p w:rsidR="00163CDB" w:rsidRPr="00C51409" w:rsidRDefault="00331C22" w:rsidP="00331C22">
            <w:pPr>
              <w:pBdr>
                <w:top w:val="nil"/>
                <w:left w:val="nil"/>
                <w:bottom w:val="nil"/>
                <w:right w:val="nil"/>
                <w:between w:val="nil"/>
              </w:pBdr>
              <w:jc w:val="center"/>
              <w:rPr>
                <w:b/>
                <w:color w:val="000000"/>
              </w:rPr>
            </w:pPr>
            <w:r w:rsidRPr="00331C22">
              <w:rPr>
                <w:b/>
                <w:color w:val="000000"/>
              </w:rPr>
              <w:lastRenderedPageBreak/>
              <w:t>Panākta vienošanās saskaņošanas sanāksme</w:t>
            </w:r>
          </w:p>
        </w:tc>
        <w:tc>
          <w:tcPr>
            <w:tcW w:w="3375" w:type="dxa"/>
            <w:tcBorders>
              <w:top w:val="single" w:sz="4" w:space="0" w:color="000000"/>
              <w:left w:val="single" w:sz="4" w:space="0" w:color="000000"/>
              <w:bottom w:val="single" w:sz="4" w:space="0" w:color="000000"/>
            </w:tcBorders>
          </w:tcPr>
          <w:p w:rsidR="00331C22" w:rsidRDefault="00C237ED" w:rsidP="00331C22">
            <w:pPr>
              <w:jc w:val="both"/>
            </w:pPr>
            <w:r>
              <w:t>7</w:t>
            </w:r>
            <w:r w:rsidR="00331C22">
              <w:t>. Komisija gadījumos, kad ir pamats uzskatīt, ka šaujamierocis vai munīcija neatbilst attiecīgajam lietojuma veidam, pieprasa atzinumu:</w:t>
            </w:r>
          </w:p>
          <w:p w:rsidR="00331C22" w:rsidRDefault="00C237ED" w:rsidP="00331C22">
            <w:pPr>
              <w:jc w:val="both"/>
            </w:pPr>
            <w:r>
              <w:t>7</w:t>
            </w:r>
            <w:r w:rsidR="00331C22">
              <w:t>.1. Aizsardzības ministrijai – par to, vai šaujamierocis vai munīcija ir uzskatāma tikai par militāro šaujamieroci vai munīciju;</w:t>
            </w:r>
          </w:p>
          <w:p w:rsidR="00331C22" w:rsidRDefault="00C237ED" w:rsidP="00331C22">
            <w:pPr>
              <w:jc w:val="both"/>
            </w:pPr>
            <w:r>
              <w:t>7</w:t>
            </w:r>
            <w:r w:rsidR="00331C22">
              <w:t>.2. Ārlietu ministrijai – par to, vai munīcija nav uzskatāma par Latvijai saistošajos starptautiskajos līgumos aizliegto munīciju;</w:t>
            </w:r>
          </w:p>
          <w:p w:rsidR="00331C22" w:rsidRDefault="00C237ED" w:rsidP="00331C22">
            <w:pPr>
              <w:jc w:val="both"/>
            </w:pPr>
            <w:r>
              <w:lastRenderedPageBreak/>
              <w:t>7</w:t>
            </w:r>
            <w:r w:rsidR="00331C22">
              <w:t xml:space="preserve">.3. Kultūras ministrijai – par to, vai šaujamierocis ir uzskatāms par tādu, kuram ir vēsturiska vai kultūras nozīme; </w:t>
            </w:r>
          </w:p>
          <w:p w:rsidR="00331C22" w:rsidRDefault="00C237ED" w:rsidP="00331C22">
            <w:pPr>
              <w:jc w:val="both"/>
            </w:pPr>
            <w:r>
              <w:t>7</w:t>
            </w:r>
            <w:r w:rsidR="00331C22">
              <w:t>.4. Zemkopības ministrijai par to, vai šaujamierocis vai munīcija ir uzskatāma par medību šaujamieroci vai munīciju;</w:t>
            </w:r>
          </w:p>
          <w:p w:rsidR="00163CDB" w:rsidRDefault="00C237ED" w:rsidP="00331C22">
            <w:pPr>
              <w:jc w:val="both"/>
            </w:pPr>
            <w:r>
              <w:t>7</w:t>
            </w:r>
            <w:r w:rsidR="00331C22">
              <w:t>.5. Latvijas Sporta federāciju padomei – par to, vai šaujamierocis vai munīcija ir uzskatāma par sporta šaujamieroci vai munīciju.</w:t>
            </w:r>
          </w:p>
          <w:p w:rsidR="005C4DC7" w:rsidRDefault="005C4DC7" w:rsidP="00331C22">
            <w:pPr>
              <w:jc w:val="both"/>
            </w:pPr>
          </w:p>
        </w:tc>
      </w:tr>
      <w:tr w:rsidR="00D41593" w:rsidTr="00C31412">
        <w:tc>
          <w:tcPr>
            <w:tcW w:w="707" w:type="dxa"/>
            <w:tcBorders>
              <w:left w:val="single" w:sz="6" w:space="0" w:color="000000"/>
              <w:bottom w:val="single" w:sz="4" w:space="0" w:color="000000"/>
              <w:right w:val="single" w:sz="6" w:space="0" w:color="000000"/>
            </w:tcBorders>
          </w:tcPr>
          <w:p w:rsidR="00D41593" w:rsidRDefault="005C4DC7" w:rsidP="006B68EC">
            <w:pPr>
              <w:pBdr>
                <w:top w:val="nil"/>
                <w:left w:val="nil"/>
                <w:bottom w:val="nil"/>
                <w:right w:val="nil"/>
                <w:between w:val="nil"/>
              </w:pBdr>
              <w:ind w:firstLine="720"/>
              <w:rPr>
                <w:color w:val="000000"/>
              </w:rPr>
            </w:pPr>
            <w:r>
              <w:rPr>
                <w:color w:val="000000"/>
              </w:rPr>
              <w:lastRenderedPageBreak/>
              <w:t>111.</w:t>
            </w:r>
          </w:p>
        </w:tc>
        <w:tc>
          <w:tcPr>
            <w:tcW w:w="3086" w:type="dxa"/>
            <w:gridSpan w:val="2"/>
            <w:tcBorders>
              <w:left w:val="single" w:sz="6" w:space="0" w:color="000000"/>
              <w:bottom w:val="single" w:sz="4" w:space="0" w:color="000000"/>
              <w:right w:val="single" w:sz="6" w:space="0" w:color="000000"/>
            </w:tcBorders>
          </w:tcPr>
          <w:p w:rsidR="00D41593" w:rsidRPr="00FB78A7" w:rsidRDefault="00D41593" w:rsidP="00D41593">
            <w:pPr>
              <w:pBdr>
                <w:top w:val="nil"/>
                <w:left w:val="nil"/>
                <w:bottom w:val="nil"/>
                <w:right w:val="nil"/>
                <w:between w:val="nil"/>
              </w:pBdr>
              <w:ind w:firstLine="1"/>
              <w:jc w:val="both"/>
              <w:rPr>
                <w:color w:val="000000"/>
              </w:rPr>
            </w:pPr>
            <w:r w:rsidRPr="00FB78A7">
              <w:rPr>
                <w:color w:val="000000"/>
              </w:rPr>
              <w:t>16. Komisija gadījumos, kad ir pamats uzskatīt, ka šaujamierocis vai šaujamieroča munīcija neatbilst attiecīgajam lietojuma veidam, pieprasa atzinumu:</w:t>
            </w:r>
          </w:p>
          <w:p w:rsidR="00D41593" w:rsidRDefault="00D41593"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D41593" w:rsidRPr="00841C57" w:rsidRDefault="00D41593" w:rsidP="00D41593">
            <w:pPr>
              <w:pBdr>
                <w:top w:val="nil"/>
                <w:left w:val="nil"/>
                <w:bottom w:val="nil"/>
                <w:right w:val="nil"/>
                <w:between w:val="nil"/>
              </w:pBdr>
              <w:jc w:val="center"/>
              <w:rPr>
                <w:b/>
              </w:rPr>
            </w:pPr>
            <w:r w:rsidRPr="00841C57">
              <w:rPr>
                <w:b/>
              </w:rPr>
              <w:t>Ārlietu ministrijas iebildums</w:t>
            </w:r>
          </w:p>
          <w:p w:rsidR="00D41593" w:rsidRPr="00841C57" w:rsidRDefault="00D41593" w:rsidP="00D41593">
            <w:pPr>
              <w:pBdr>
                <w:top w:val="nil"/>
                <w:left w:val="nil"/>
                <w:bottom w:val="nil"/>
                <w:right w:val="nil"/>
                <w:between w:val="nil"/>
              </w:pBdr>
              <w:jc w:val="both"/>
            </w:pPr>
            <w:r w:rsidRPr="00841C57">
              <w:t>Aizstāt 16.punktā vārdus “pieprasa atzinumu” ar vārdiem “veic konsultāciju ar”.</w:t>
            </w:r>
          </w:p>
          <w:p w:rsidR="00D41593" w:rsidRPr="00CE3E80" w:rsidRDefault="00D41593" w:rsidP="00CE3E80">
            <w:pPr>
              <w:pBdr>
                <w:top w:val="nil"/>
                <w:left w:val="nil"/>
                <w:bottom w:val="nil"/>
                <w:right w:val="nil"/>
                <w:between w:val="nil"/>
              </w:pBdr>
              <w:jc w:val="center"/>
              <w:rPr>
                <w:b/>
                <w:color w:val="FF0000"/>
              </w:rPr>
            </w:pPr>
          </w:p>
        </w:tc>
        <w:tc>
          <w:tcPr>
            <w:tcW w:w="2410" w:type="dxa"/>
            <w:tcBorders>
              <w:left w:val="single" w:sz="6" w:space="0" w:color="000000"/>
              <w:bottom w:val="single" w:sz="4" w:space="0" w:color="000000"/>
              <w:right w:val="single" w:sz="6" w:space="0" w:color="000000"/>
            </w:tcBorders>
          </w:tcPr>
          <w:p w:rsidR="00D41593" w:rsidRPr="00C51409" w:rsidRDefault="00841C57" w:rsidP="00841C57">
            <w:pPr>
              <w:pBdr>
                <w:top w:val="nil"/>
                <w:left w:val="nil"/>
                <w:bottom w:val="nil"/>
                <w:right w:val="nil"/>
                <w:between w:val="nil"/>
              </w:pBdr>
              <w:jc w:val="center"/>
              <w:rPr>
                <w:b/>
                <w:color w:val="000000"/>
              </w:rPr>
            </w:pPr>
            <w:r w:rsidRPr="00841C57">
              <w:rPr>
                <w:b/>
                <w:color w:val="000000"/>
              </w:rPr>
              <w:t>Panākta vienošanās saskaņošanas sanāksme</w:t>
            </w:r>
          </w:p>
        </w:tc>
        <w:tc>
          <w:tcPr>
            <w:tcW w:w="3375" w:type="dxa"/>
            <w:tcBorders>
              <w:top w:val="single" w:sz="4" w:space="0" w:color="000000"/>
              <w:left w:val="single" w:sz="4" w:space="0" w:color="000000"/>
              <w:bottom w:val="single" w:sz="4" w:space="0" w:color="000000"/>
            </w:tcBorders>
          </w:tcPr>
          <w:p w:rsidR="00D41593" w:rsidRDefault="00C237ED" w:rsidP="006B68EC">
            <w:pPr>
              <w:jc w:val="both"/>
            </w:pPr>
            <w:r>
              <w:t>7</w:t>
            </w:r>
            <w:r w:rsidR="00005E0E" w:rsidRPr="00005E0E">
              <w:t>. Komisija gadījumos, kad ir pamats uzskatīt, ka šaujamierocis vai munīcija neatbilst attiecīgajam lietojuma veidam, pieprasa atzinumu:</w:t>
            </w:r>
          </w:p>
        </w:tc>
      </w:tr>
      <w:tr w:rsidR="00D41593" w:rsidTr="00C31412">
        <w:tc>
          <w:tcPr>
            <w:tcW w:w="707" w:type="dxa"/>
            <w:tcBorders>
              <w:left w:val="single" w:sz="6" w:space="0" w:color="000000"/>
              <w:bottom w:val="single" w:sz="4" w:space="0" w:color="000000"/>
              <w:right w:val="single" w:sz="6" w:space="0" w:color="000000"/>
            </w:tcBorders>
          </w:tcPr>
          <w:p w:rsidR="005C4DC7" w:rsidRDefault="005C4DC7" w:rsidP="006B68EC">
            <w:pPr>
              <w:pBdr>
                <w:top w:val="nil"/>
                <w:left w:val="nil"/>
                <w:bottom w:val="nil"/>
                <w:right w:val="nil"/>
                <w:between w:val="nil"/>
              </w:pBdr>
              <w:ind w:firstLine="720"/>
              <w:rPr>
                <w:color w:val="000000"/>
              </w:rPr>
            </w:pPr>
          </w:p>
          <w:p w:rsidR="00D41593" w:rsidRPr="005C4DC7" w:rsidRDefault="005C4DC7" w:rsidP="005C4DC7">
            <w:r>
              <w:t>12.</w:t>
            </w:r>
          </w:p>
        </w:tc>
        <w:tc>
          <w:tcPr>
            <w:tcW w:w="3086" w:type="dxa"/>
            <w:gridSpan w:val="2"/>
            <w:tcBorders>
              <w:left w:val="single" w:sz="6" w:space="0" w:color="000000"/>
              <w:bottom w:val="single" w:sz="4" w:space="0" w:color="000000"/>
              <w:right w:val="single" w:sz="6" w:space="0" w:color="000000"/>
            </w:tcBorders>
          </w:tcPr>
          <w:p w:rsidR="00D41593" w:rsidRDefault="00D41593"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D963EB" w:rsidRPr="00841C57" w:rsidRDefault="00D963EB" w:rsidP="00D963EB">
            <w:pPr>
              <w:pBdr>
                <w:top w:val="nil"/>
                <w:left w:val="nil"/>
                <w:bottom w:val="nil"/>
                <w:right w:val="nil"/>
                <w:between w:val="nil"/>
              </w:pBdr>
              <w:tabs>
                <w:tab w:val="left" w:pos="674"/>
              </w:tabs>
              <w:jc w:val="center"/>
              <w:rPr>
                <w:b/>
              </w:rPr>
            </w:pPr>
            <w:r w:rsidRPr="00841C57">
              <w:rPr>
                <w:b/>
              </w:rPr>
              <w:t>Ārlietu ministrijas iebildums</w:t>
            </w:r>
          </w:p>
          <w:p w:rsidR="00D963EB" w:rsidRPr="00841C57" w:rsidRDefault="00D963EB" w:rsidP="00D963EB">
            <w:pPr>
              <w:pBdr>
                <w:top w:val="nil"/>
                <w:left w:val="nil"/>
                <w:bottom w:val="nil"/>
                <w:right w:val="nil"/>
                <w:between w:val="nil"/>
              </w:pBdr>
              <w:tabs>
                <w:tab w:val="left" w:pos="674"/>
              </w:tabs>
              <w:jc w:val="both"/>
            </w:pPr>
            <w:r w:rsidRPr="00841C57">
              <w:t>Aizstāt 16.1., 16.2., 16.3., 16.4. un 16.5. apakšpunktā vārdu “ministrijai” ar vārdu “ministriju”.</w:t>
            </w:r>
          </w:p>
          <w:p w:rsidR="00D41593" w:rsidRPr="00CE3E80" w:rsidRDefault="00D41593" w:rsidP="00CE3E80">
            <w:pPr>
              <w:pBdr>
                <w:top w:val="nil"/>
                <w:left w:val="nil"/>
                <w:bottom w:val="nil"/>
                <w:right w:val="nil"/>
                <w:between w:val="nil"/>
              </w:pBdr>
              <w:jc w:val="center"/>
              <w:rPr>
                <w:b/>
                <w:color w:val="FF0000"/>
              </w:rPr>
            </w:pPr>
          </w:p>
        </w:tc>
        <w:tc>
          <w:tcPr>
            <w:tcW w:w="2410" w:type="dxa"/>
            <w:tcBorders>
              <w:left w:val="single" w:sz="6" w:space="0" w:color="000000"/>
              <w:bottom w:val="single" w:sz="4" w:space="0" w:color="000000"/>
              <w:right w:val="single" w:sz="6" w:space="0" w:color="000000"/>
            </w:tcBorders>
          </w:tcPr>
          <w:p w:rsidR="00D41593" w:rsidRPr="00C51409" w:rsidRDefault="00841C57" w:rsidP="00841C57">
            <w:pPr>
              <w:pBdr>
                <w:top w:val="nil"/>
                <w:left w:val="nil"/>
                <w:bottom w:val="nil"/>
                <w:right w:val="nil"/>
                <w:between w:val="nil"/>
              </w:pBdr>
              <w:jc w:val="center"/>
              <w:rPr>
                <w:b/>
                <w:color w:val="000000"/>
              </w:rPr>
            </w:pPr>
            <w:r w:rsidRPr="00841C57">
              <w:rPr>
                <w:b/>
                <w:color w:val="000000"/>
              </w:rPr>
              <w:t>Panākta vienošanās saskaņošanas sanāksme</w:t>
            </w:r>
          </w:p>
        </w:tc>
        <w:tc>
          <w:tcPr>
            <w:tcW w:w="3375" w:type="dxa"/>
            <w:tcBorders>
              <w:top w:val="single" w:sz="4" w:space="0" w:color="000000"/>
              <w:left w:val="single" w:sz="4" w:space="0" w:color="000000"/>
              <w:bottom w:val="single" w:sz="4" w:space="0" w:color="000000"/>
            </w:tcBorders>
          </w:tcPr>
          <w:p w:rsidR="00D41593" w:rsidRDefault="00D41593" w:rsidP="006B68EC">
            <w:pPr>
              <w:jc w:val="both"/>
            </w:pPr>
          </w:p>
        </w:tc>
      </w:tr>
      <w:tr w:rsidR="006B68EC" w:rsidTr="00C31412">
        <w:tc>
          <w:tcPr>
            <w:tcW w:w="707" w:type="dxa"/>
            <w:tcBorders>
              <w:left w:val="single" w:sz="6" w:space="0" w:color="000000"/>
              <w:bottom w:val="single" w:sz="4" w:space="0" w:color="000000"/>
              <w:right w:val="single" w:sz="6" w:space="0" w:color="000000"/>
            </w:tcBorders>
          </w:tcPr>
          <w:p w:rsidR="006B68EC" w:rsidRPr="005C4DC7" w:rsidRDefault="006B68EC" w:rsidP="005C4DC7">
            <w:pPr>
              <w:pBdr>
                <w:top w:val="nil"/>
                <w:left w:val="nil"/>
                <w:bottom w:val="nil"/>
                <w:right w:val="nil"/>
                <w:between w:val="nil"/>
              </w:pBdr>
              <w:ind w:firstLine="720"/>
              <w:rPr>
                <w:color w:val="000000"/>
              </w:rPr>
            </w:pPr>
            <w:r w:rsidRPr="005C4DC7">
              <w:rPr>
                <w:color w:val="000000"/>
              </w:rPr>
              <w:t>3</w:t>
            </w:r>
            <w:r w:rsidR="005C4DC7" w:rsidRPr="005C4DC7">
              <w:rPr>
                <w:color w:val="000000"/>
              </w:rPr>
              <w:t>13.</w:t>
            </w:r>
          </w:p>
        </w:tc>
        <w:tc>
          <w:tcPr>
            <w:tcW w:w="3086" w:type="dxa"/>
            <w:gridSpan w:val="2"/>
            <w:tcBorders>
              <w:left w:val="single" w:sz="6" w:space="0" w:color="000000"/>
              <w:bottom w:val="single" w:sz="4" w:space="0" w:color="000000"/>
              <w:right w:val="single" w:sz="6" w:space="0" w:color="000000"/>
            </w:tcBorders>
          </w:tcPr>
          <w:p w:rsidR="006B68EC" w:rsidRPr="00B673BD" w:rsidRDefault="006B68EC" w:rsidP="006B68EC">
            <w:pPr>
              <w:pBdr>
                <w:top w:val="nil"/>
                <w:left w:val="nil"/>
                <w:bottom w:val="nil"/>
                <w:right w:val="nil"/>
                <w:between w:val="nil"/>
              </w:pBdr>
              <w:jc w:val="both"/>
              <w:rPr>
                <w:color w:val="000000"/>
              </w:rPr>
            </w:pPr>
            <w:r w:rsidRPr="00B673BD">
              <w:rPr>
                <w:color w:val="000000"/>
              </w:rPr>
              <w:t>16.5. Izglītības un zinātnes ministrijai – par to, vai šaujamierocis vai munīcija ir uzskatāma par sporta šaujamieroci vai munīciju.</w:t>
            </w:r>
          </w:p>
          <w:p w:rsidR="006B68EC" w:rsidRPr="00C72BBB" w:rsidRDefault="006B68EC"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6B68EC" w:rsidRDefault="006B68EC" w:rsidP="006B68EC">
            <w:pPr>
              <w:pBdr>
                <w:top w:val="nil"/>
                <w:left w:val="nil"/>
                <w:bottom w:val="nil"/>
                <w:right w:val="nil"/>
                <w:between w:val="nil"/>
              </w:pBdr>
              <w:jc w:val="center"/>
              <w:rPr>
                <w:b/>
                <w:color w:val="000000"/>
              </w:rPr>
            </w:pPr>
            <w:r w:rsidRPr="00905152">
              <w:rPr>
                <w:b/>
                <w:color w:val="000000"/>
              </w:rPr>
              <w:t>Izglītības un zinātnes ministrija</w:t>
            </w:r>
            <w:r w:rsidR="000A116A">
              <w:rPr>
                <w:b/>
                <w:color w:val="000000"/>
              </w:rPr>
              <w:t>s iebildums</w:t>
            </w:r>
          </w:p>
          <w:p w:rsidR="006B68EC" w:rsidRPr="00905152" w:rsidRDefault="006B68EC" w:rsidP="006B68EC">
            <w:pPr>
              <w:pBdr>
                <w:top w:val="nil"/>
                <w:left w:val="nil"/>
                <w:bottom w:val="nil"/>
                <w:right w:val="nil"/>
                <w:between w:val="nil"/>
              </w:pBdr>
              <w:jc w:val="both"/>
              <w:rPr>
                <w:color w:val="000000"/>
              </w:rPr>
            </w:pPr>
            <w:r w:rsidRPr="00905152">
              <w:rPr>
                <w:color w:val="000000"/>
              </w:rPr>
              <w:t>Projekta 16.5.apakšpunktā noteikts, ka atzinumu par to, ka šaujamierocis vai munīcija ir uzskatāma par sporta šaujamieroci vai munīciju sniedz Izglītības un zinātnes ministrijai.</w:t>
            </w:r>
            <w:r>
              <w:rPr>
                <w:color w:val="000000"/>
              </w:rPr>
              <w:t xml:space="preserve"> </w:t>
            </w:r>
            <w:r w:rsidRPr="00905152">
              <w:rPr>
                <w:color w:val="000000"/>
              </w:rPr>
              <w:t xml:space="preserve">Saskaņā ar Sporta likuma 10.panta ceturto daļu Sporta federācijai ir tiesības vadīt un </w:t>
            </w:r>
            <w:r w:rsidRPr="00905152">
              <w:rPr>
                <w:color w:val="000000"/>
              </w:rPr>
              <w:lastRenderedPageBreak/>
              <w:t>koordinēt darbu attiecīgajā sporta veidā (attiecīgajos sporta veidos) vai darbības jomā valstī, kā arī pārstāvēt valsti attiecīgajā starptautiskajā sporta organizācijā, ja šī federācija ir atzīta šajā likumā noteiktajā kārtībā un saskaņā ar 4.panta sesto daļu Latvijā atzīto sporta federāciju darbību koordinē, to kopīgās intereses pārstāv un īsteno sporta organizācija — biedrība "Latvijas Sporta federāciju padome".</w:t>
            </w:r>
            <w:r>
              <w:rPr>
                <w:color w:val="000000"/>
              </w:rPr>
              <w:t xml:space="preserve"> </w:t>
            </w:r>
            <w:r w:rsidRPr="00905152">
              <w:rPr>
                <w:color w:val="000000"/>
              </w:rPr>
              <w:t>Ievērojot iepriekš minēto, kā arī biedrības "Latvijas Sporta federāciju padome"  (turpmāk – LSFP) sniegto informāciju par to, ka LSFP un atzītās sporta federācijas, kuras izmanto sporta šaujamieročus un munīciju, sniegs visu nepieciešamo atbalstu projektā noteiktā atzinuma sagatavošanai par to, vai šaujamierocis vai munīcija ir uzskatāma par sporta šaujamieroci vai munīciju, 16.5.apakšpunkts būtu precizējams, nosakot, ka atzinumu par to, ka šaujamierocis vai munīcija ir uzskatāma par sporta šaujamieroci vai munīciju sniedz LSFP.</w:t>
            </w:r>
          </w:p>
          <w:p w:rsidR="006B68EC" w:rsidRPr="00C72BBB" w:rsidRDefault="006B68EC" w:rsidP="006B68EC">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tcPr>
          <w:p w:rsidR="006B68EC" w:rsidRPr="00C72BBB" w:rsidRDefault="006B68EC" w:rsidP="00005E0E">
            <w:pPr>
              <w:pBdr>
                <w:top w:val="nil"/>
                <w:left w:val="nil"/>
                <w:bottom w:val="nil"/>
                <w:right w:val="nil"/>
                <w:between w:val="nil"/>
              </w:pBdr>
              <w:ind w:firstLine="34"/>
              <w:jc w:val="center"/>
              <w:rPr>
                <w:b/>
                <w:color w:val="000000"/>
              </w:rPr>
            </w:pPr>
            <w:r w:rsidRPr="00C72BBB">
              <w:rPr>
                <w:b/>
                <w:color w:val="000000"/>
              </w:rPr>
              <w:lastRenderedPageBreak/>
              <w:t>Iebildums ņemts vērā</w:t>
            </w:r>
          </w:p>
        </w:tc>
        <w:tc>
          <w:tcPr>
            <w:tcW w:w="3375" w:type="dxa"/>
            <w:tcBorders>
              <w:top w:val="single" w:sz="4" w:space="0" w:color="000000"/>
              <w:left w:val="single" w:sz="4" w:space="0" w:color="000000"/>
              <w:bottom w:val="single" w:sz="4" w:space="0" w:color="000000"/>
            </w:tcBorders>
          </w:tcPr>
          <w:p w:rsidR="006B68EC" w:rsidRPr="00C72BBB" w:rsidRDefault="00A308B0" w:rsidP="000C11F8">
            <w:pPr>
              <w:jc w:val="both"/>
            </w:pPr>
            <w:r>
              <w:t>7</w:t>
            </w:r>
            <w:r w:rsidR="000C11F8" w:rsidRPr="000C11F8">
              <w:t>.5. Latvijas Sporta federāciju padomei – par to, vai šaujamierocis vai munīcija ir uzskatāma par sporta šaujamieroci vai munīciju.</w:t>
            </w:r>
          </w:p>
        </w:tc>
      </w:tr>
      <w:tr w:rsidR="000321BC" w:rsidTr="00C31412">
        <w:tc>
          <w:tcPr>
            <w:tcW w:w="707" w:type="dxa"/>
            <w:tcBorders>
              <w:left w:val="single" w:sz="6" w:space="0" w:color="000000"/>
              <w:bottom w:val="single" w:sz="4" w:space="0" w:color="000000"/>
              <w:right w:val="single" w:sz="6" w:space="0" w:color="000000"/>
            </w:tcBorders>
          </w:tcPr>
          <w:p w:rsidR="000321BC" w:rsidRPr="005C4DC7" w:rsidRDefault="005C4DC7" w:rsidP="006B68EC">
            <w:pPr>
              <w:pBdr>
                <w:top w:val="nil"/>
                <w:left w:val="nil"/>
                <w:bottom w:val="nil"/>
                <w:right w:val="nil"/>
                <w:between w:val="nil"/>
              </w:pBdr>
              <w:ind w:firstLine="720"/>
              <w:rPr>
                <w:color w:val="000000"/>
              </w:rPr>
            </w:pPr>
            <w:r>
              <w:rPr>
                <w:color w:val="000000"/>
              </w:rPr>
              <w:t>114.</w:t>
            </w:r>
          </w:p>
        </w:tc>
        <w:tc>
          <w:tcPr>
            <w:tcW w:w="3086" w:type="dxa"/>
            <w:gridSpan w:val="2"/>
            <w:tcBorders>
              <w:left w:val="single" w:sz="6" w:space="0" w:color="000000"/>
              <w:bottom w:val="single" w:sz="4" w:space="0" w:color="000000"/>
              <w:right w:val="single" w:sz="6" w:space="0" w:color="000000"/>
            </w:tcBorders>
          </w:tcPr>
          <w:p w:rsidR="000321BC" w:rsidRPr="002B0194" w:rsidRDefault="000321BC" w:rsidP="000321BC">
            <w:pPr>
              <w:pBdr>
                <w:top w:val="nil"/>
                <w:left w:val="nil"/>
                <w:bottom w:val="nil"/>
                <w:right w:val="nil"/>
                <w:between w:val="nil"/>
              </w:pBdr>
              <w:ind w:firstLine="1"/>
              <w:jc w:val="both"/>
              <w:rPr>
                <w:color w:val="000000"/>
              </w:rPr>
            </w:pPr>
            <w:r w:rsidRPr="002B0194">
              <w:rPr>
                <w:color w:val="000000"/>
              </w:rPr>
              <w:t>18. Komisija pieņemto lēmumu paziņo, publicējot to Valsts policijas mājaslapā (</w:t>
            </w:r>
            <w:hyperlink r:id="rId8" w:history="1">
              <w:r w:rsidRPr="002B0194">
                <w:rPr>
                  <w:rStyle w:val="Hyperlink"/>
                </w:rPr>
                <w:t>http://www.vp.gov.lv</w:t>
              </w:r>
            </w:hyperlink>
            <w:r w:rsidRPr="002B0194">
              <w:rPr>
                <w:color w:val="000000"/>
              </w:rPr>
              <w:t>).</w:t>
            </w:r>
          </w:p>
          <w:p w:rsidR="000321BC" w:rsidRPr="002B0194" w:rsidRDefault="000321BC" w:rsidP="000321BC">
            <w:pPr>
              <w:pBdr>
                <w:top w:val="nil"/>
                <w:left w:val="nil"/>
                <w:bottom w:val="nil"/>
                <w:right w:val="nil"/>
                <w:between w:val="nil"/>
              </w:pBdr>
              <w:ind w:firstLine="1"/>
              <w:jc w:val="both"/>
              <w:rPr>
                <w:color w:val="000000"/>
              </w:rPr>
            </w:pPr>
          </w:p>
          <w:p w:rsidR="000321BC" w:rsidRPr="002B0194" w:rsidRDefault="000321BC" w:rsidP="000321BC">
            <w:pPr>
              <w:pBdr>
                <w:top w:val="nil"/>
                <w:left w:val="nil"/>
                <w:bottom w:val="nil"/>
                <w:right w:val="nil"/>
                <w:between w:val="nil"/>
              </w:pBdr>
              <w:ind w:firstLine="1"/>
              <w:jc w:val="both"/>
              <w:rPr>
                <w:color w:val="000000"/>
              </w:rPr>
            </w:pPr>
            <w:r w:rsidRPr="002B0194">
              <w:rPr>
                <w:color w:val="000000"/>
              </w:rPr>
              <w:t xml:space="preserve">19. Komisija divu darba dienu laikā pēc lēmuma publicēšanas informē iesniedzēju par lēmuma paziņošanu Valsts policijas mājaslapā. </w:t>
            </w:r>
          </w:p>
          <w:p w:rsidR="000321BC" w:rsidRPr="00B673BD" w:rsidRDefault="000321BC"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0321BC" w:rsidRPr="00640541" w:rsidRDefault="000321BC" w:rsidP="000321BC">
            <w:pPr>
              <w:widowControl w:val="0"/>
              <w:contextualSpacing/>
              <w:jc w:val="center"/>
              <w:rPr>
                <w:rFonts w:eastAsia="Calibri"/>
                <w:b/>
                <w:lang w:eastAsia="en-US"/>
              </w:rPr>
            </w:pPr>
            <w:r w:rsidRPr="00640541">
              <w:rPr>
                <w:rFonts w:eastAsia="Calibri"/>
                <w:b/>
                <w:lang w:eastAsia="en-US"/>
              </w:rPr>
              <w:t>Tieslietu ministrijas iebildums</w:t>
            </w:r>
          </w:p>
          <w:p w:rsidR="000321BC" w:rsidRPr="00640541" w:rsidRDefault="000321BC" w:rsidP="000321BC">
            <w:pPr>
              <w:widowControl w:val="0"/>
              <w:contextualSpacing/>
              <w:jc w:val="both"/>
              <w:rPr>
                <w:rFonts w:eastAsia="Calibri"/>
                <w:lang w:eastAsia="en-US"/>
              </w:rPr>
            </w:pPr>
            <w:r w:rsidRPr="00640541">
              <w:rPr>
                <w:rFonts w:eastAsia="Calibri"/>
                <w:lang w:eastAsia="en-US"/>
              </w:rPr>
              <w:t>Piedāvājam papildus izvērtēt projekta 18. un 19. punktu par komisijas lēmuma paziņošanu. Vēršam uzmanību, ka gadījumā, kad komisijas lēmums būs administratīvais akts, to nepieciešams paziņot Administratīvā procesa likumā noteiktajā kārtībā. Projektā paredzētais regulējums par paziņošanu Valsts policijas mājaslapā tam neatbilst. Turklāt norma nesniedz priekš</w:t>
            </w:r>
            <w:r w:rsidR="00640541" w:rsidRPr="00640541">
              <w:rPr>
                <w:rFonts w:eastAsia="Calibri"/>
                <w:lang w:eastAsia="en-US"/>
              </w:rPr>
              <w:t>s</w:t>
            </w:r>
            <w:r w:rsidRPr="00640541">
              <w:rPr>
                <w:rFonts w:eastAsia="Calibri"/>
                <w:lang w:eastAsia="en-US"/>
              </w:rPr>
              <w:t>tatu par paziņošanas veidu, proti, vai paziņojums būs publisks, vai tajā tiks sniegtas ziņas par klasificēšanas pieprasītāju. Vēršam uzmanību, ka publiska informācija, piemēram, šaujamieroču kolekcijas turētāji, var radīt drošības riskus.</w:t>
            </w:r>
          </w:p>
          <w:p w:rsidR="000321BC" w:rsidRPr="00905152" w:rsidRDefault="000321BC" w:rsidP="006B68EC">
            <w:pPr>
              <w:pBdr>
                <w:top w:val="nil"/>
                <w:left w:val="nil"/>
                <w:bottom w:val="nil"/>
                <w:right w:val="nil"/>
                <w:between w:val="nil"/>
              </w:pBdr>
              <w:jc w:val="center"/>
              <w:rPr>
                <w:b/>
                <w:color w:val="000000"/>
              </w:rPr>
            </w:pPr>
          </w:p>
        </w:tc>
        <w:tc>
          <w:tcPr>
            <w:tcW w:w="2410" w:type="dxa"/>
            <w:tcBorders>
              <w:left w:val="single" w:sz="6" w:space="0" w:color="000000"/>
              <w:bottom w:val="single" w:sz="4" w:space="0" w:color="000000"/>
              <w:right w:val="single" w:sz="6" w:space="0" w:color="000000"/>
            </w:tcBorders>
          </w:tcPr>
          <w:p w:rsidR="000321BC" w:rsidRPr="00C72BBB" w:rsidRDefault="00640541" w:rsidP="00640541">
            <w:pPr>
              <w:pBdr>
                <w:top w:val="nil"/>
                <w:left w:val="nil"/>
                <w:bottom w:val="nil"/>
                <w:right w:val="nil"/>
                <w:between w:val="nil"/>
              </w:pBdr>
              <w:ind w:firstLine="34"/>
              <w:jc w:val="center"/>
              <w:rPr>
                <w:b/>
                <w:color w:val="000000"/>
              </w:rPr>
            </w:pPr>
            <w:r w:rsidRPr="00640541">
              <w:rPr>
                <w:b/>
                <w:color w:val="000000"/>
              </w:rPr>
              <w:lastRenderedPageBreak/>
              <w:t>Iebildums ņemts vērā</w:t>
            </w:r>
          </w:p>
        </w:tc>
        <w:tc>
          <w:tcPr>
            <w:tcW w:w="3375" w:type="dxa"/>
            <w:tcBorders>
              <w:top w:val="single" w:sz="4" w:space="0" w:color="000000"/>
              <w:left w:val="single" w:sz="4" w:space="0" w:color="000000"/>
              <w:bottom w:val="single" w:sz="4" w:space="0" w:color="000000"/>
            </w:tcBorders>
          </w:tcPr>
          <w:p w:rsidR="00A91668" w:rsidRDefault="00A91668" w:rsidP="00A91668">
            <w:pPr>
              <w:jc w:val="both"/>
            </w:pPr>
            <w:r>
              <w:t>10. Komisija pieņemto lēmumu par šaujamieroča vai munīcijas klasifikāciju vai atteikumu klasificēt paziņo, publicējot to Valsts policijas mājaslapā (http://www.vp.gov.lv).</w:t>
            </w:r>
          </w:p>
          <w:p w:rsidR="00A91668" w:rsidRDefault="00A91668" w:rsidP="00A91668">
            <w:pPr>
              <w:jc w:val="both"/>
            </w:pPr>
          </w:p>
          <w:p w:rsidR="000321BC" w:rsidRDefault="00A91668" w:rsidP="00A91668">
            <w:pPr>
              <w:jc w:val="both"/>
            </w:pPr>
            <w:r>
              <w:t xml:space="preserve">11. Komisija divu darba dienu laikā pēc lēmuma par šaujamieroča vai munīcijas klasifikāciju vai atteikuma klasificēt publicēšanas informē iesniedzēju par lēmuma par </w:t>
            </w:r>
            <w:r>
              <w:lastRenderedPageBreak/>
              <w:t>šaujamieroča vai munīcijas klasifikāciju paziņošanu Valsts policijas mājaslapā.</w:t>
            </w:r>
          </w:p>
          <w:p w:rsidR="00146498" w:rsidRDefault="00146498" w:rsidP="00A91668">
            <w:pPr>
              <w:jc w:val="both"/>
            </w:pPr>
          </w:p>
        </w:tc>
      </w:tr>
      <w:tr w:rsidR="0050646F" w:rsidTr="00C31412">
        <w:tc>
          <w:tcPr>
            <w:tcW w:w="707" w:type="dxa"/>
            <w:tcBorders>
              <w:left w:val="single" w:sz="6" w:space="0" w:color="000000"/>
              <w:bottom w:val="single" w:sz="4" w:space="0" w:color="000000"/>
              <w:right w:val="single" w:sz="6" w:space="0" w:color="000000"/>
            </w:tcBorders>
          </w:tcPr>
          <w:p w:rsidR="005C4DC7" w:rsidRDefault="005C4DC7" w:rsidP="006B68EC">
            <w:pPr>
              <w:pBdr>
                <w:top w:val="nil"/>
                <w:left w:val="nil"/>
                <w:bottom w:val="nil"/>
                <w:right w:val="nil"/>
                <w:between w:val="nil"/>
              </w:pBdr>
              <w:ind w:firstLine="720"/>
              <w:rPr>
                <w:b/>
                <w:color w:val="000000"/>
              </w:rPr>
            </w:pPr>
          </w:p>
          <w:p w:rsidR="0050646F" w:rsidRPr="005C4DC7" w:rsidRDefault="005C4DC7" w:rsidP="005C4DC7">
            <w:r>
              <w:t>15.</w:t>
            </w:r>
          </w:p>
        </w:tc>
        <w:tc>
          <w:tcPr>
            <w:tcW w:w="3086" w:type="dxa"/>
            <w:gridSpan w:val="2"/>
            <w:tcBorders>
              <w:left w:val="single" w:sz="6" w:space="0" w:color="000000"/>
              <w:bottom w:val="single" w:sz="4" w:space="0" w:color="000000"/>
              <w:right w:val="single" w:sz="6" w:space="0" w:color="000000"/>
            </w:tcBorders>
          </w:tcPr>
          <w:p w:rsidR="0050646F" w:rsidRPr="002B0194" w:rsidRDefault="0050646F" w:rsidP="000321BC">
            <w:pPr>
              <w:pBdr>
                <w:top w:val="nil"/>
                <w:left w:val="nil"/>
                <w:bottom w:val="nil"/>
                <w:right w:val="nil"/>
                <w:between w:val="nil"/>
              </w:pBdr>
              <w:ind w:firstLine="1"/>
              <w:jc w:val="both"/>
              <w:rPr>
                <w:color w:val="000000"/>
              </w:rPr>
            </w:pPr>
          </w:p>
        </w:tc>
        <w:tc>
          <w:tcPr>
            <w:tcW w:w="5413" w:type="dxa"/>
            <w:tcBorders>
              <w:left w:val="single" w:sz="6" w:space="0" w:color="000000"/>
              <w:bottom w:val="single" w:sz="4" w:space="0" w:color="000000"/>
              <w:right w:val="single" w:sz="6" w:space="0" w:color="000000"/>
            </w:tcBorders>
          </w:tcPr>
          <w:p w:rsidR="0050646F" w:rsidRPr="002B0194" w:rsidRDefault="0050646F" w:rsidP="0050646F">
            <w:pPr>
              <w:widowControl w:val="0"/>
              <w:jc w:val="center"/>
              <w:rPr>
                <w:b/>
              </w:rPr>
            </w:pPr>
            <w:r>
              <w:rPr>
                <w:b/>
              </w:rPr>
              <w:t>Tieslietu ministrijas iebildums</w:t>
            </w:r>
          </w:p>
          <w:p w:rsidR="0050646F" w:rsidRDefault="0050646F" w:rsidP="0050646F">
            <w:pPr>
              <w:widowControl w:val="0"/>
              <w:jc w:val="both"/>
            </w:pPr>
            <w:r>
              <w:t>Projektu nepieciešams papildināt ar sadaļu "</w:t>
            </w:r>
            <w:r w:rsidRPr="00577CED">
              <w:t>Noslēguma jautājumi</w:t>
            </w:r>
            <w:r>
              <w:t xml:space="preserve">", iekļaujot tajā punktu par to, ka </w:t>
            </w:r>
            <w:r w:rsidRPr="00577CED">
              <w:t>Ministru kabineta 2012.</w:t>
            </w:r>
            <w:r>
              <w:t> </w:t>
            </w:r>
            <w:r w:rsidRPr="00577CED">
              <w:t>gada 21.</w:t>
            </w:r>
            <w:r>
              <w:t> februāra</w:t>
            </w:r>
            <w:r w:rsidRPr="00577CED">
              <w:t xml:space="preserve"> </w:t>
            </w:r>
            <w:r>
              <w:t>noteikumi</w:t>
            </w:r>
            <w:r w:rsidRPr="00577CED">
              <w:t xml:space="preserve"> Nr.</w:t>
            </w:r>
            <w:r>
              <w:t> 117</w:t>
            </w:r>
            <w:r w:rsidRPr="00577CED">
              <w:t xml:space="preserve"> "Kārtība, kādā Valsts policija klasificē šaujamieročus, munīciju un lielas enerģijas pneimatiskos ieročus" </w:t>
            </w:r>
            <w:r>
              <w:t xml:space="preserve">tiek atzīti par spēku zaudējušiem, kā arī saskaņā ar </w:t>
            </w:r>
            <w:r w:rsidRPr="0020549B">
              <w:t xml:space="preserve">Ministru kabineta instrukcijas Nr.19 "Tiesību akta projekta </w:t>
            </w:r>
            <w:r w:rsidRPr="006C0783">
              <w:t>sākotnējās ietekmes izvērtēšanas kārtība" (turpmāk – instrukcija) 54. punktu iekļaut šo informāciju anotācijas IV sadaļas 1. punktā.</w:t>
            </w:r>
          </w:p>
          <w:p w:rsidR="0050646F" w:rsidRPr="000321BC" w:rsidRDefault="0050646F" w:rsidP="000321BC">
            <w:pPr>
              <w:widowControl w:val="0"/>
              <w:contextualSpacing/>
              <w:jc w:val="center"/>
              <w:rPr>
                <w:rFonts w:eastAsia="Calibri"/>
                <w:b/>
                <w:color w:val="FF0000"/>
                <w:lang w:eastAsia="en-US"/>
              </w:rPr>
            </w:pPr>
          </w:p>
        </w:tc>
        <w:tc>
          <w:tcPr>
            <w:tcW w:w="2410" w:type="dxa"/>
            <w:tcBorders>
              <w:left w:val="single" w:sz="6" w:space="0" w:color="000000"/>
              <w:bottom w:val="single" w:sz="4" w:space="0" w:color="000000"/>
              <w:right w:val="single" w:sz="6" w:space="0" w:color="000000"/>
            </w:tcBorders>
          </w:tcPr>
          <w:p w:rsidR="0050646F" w:rsidRPr="00C72BBB" w:rsidRDefault="00057046" w:rsidP="001D62F6">
            <w:pPr>
              <w:pBdr>
                <w:top w:val="nil"/>
                <w:left w:val="nil"/>
                <w:bottom w:val="nil"/>
                <w:right w:val="nil"/>
                <w:between w:val="nil"/>
              </w:pBdr>
              <w:ind w:firstLine="34"/>
              <w:rPr>
                <w:b/>
                <w:color w:val="000000"/>
              </w:rPr>
            </w:pPr>
            <w:r>
              <w:rPr>
                <w:b/>
                <w:color w:val="000000"/>
              </w:rPr>
              <w:t>Iebildums atsaukts</w:t>
            </w:r>
          </w:p>
        </w:tc>
        <w:tc>
          <w:tcPr>
            <w:tcW w:w="3375" w:type="dxa"/>
            <w:tcBorders>
              <w:top w:val="single" w:sz="4" w:space="0" w:color="000000"/>
              <w:left w:val="single" w:sz="4" w:space="0" w:color="000000"/>
              <w:bottom w:val="single" w:sz="4" w:space="0" w:color="000000"/>
            </w:tcBorders>
          </w:tcPr>
          <w:p w:rsidR="0050646F" w:rsidRDefault="0050646F" w:rsidP="006B68EC">
            <w:pPr>
              <w:jc w:val="both"/>
            </w:pPr>
          </w:p>
        </w:tc>
      </w:tr>
      <w:tr w:rsidR="000321BC" w:rsidTr="00C31412">
        <w:tc>
          <w:tcPr>
            <w:tcW w:w="707" w:type="dxa"/>
            <w:tcBorders>
              <w:left w:val="single" w:sz="6" w:space="0" w:color="000000"/>
              <w:bottom w:val="single" w:sz="4" w:space="0" w:color="000000"/>
              <w:right w:val="single" w:sz="6" w:space="0" w:color="000000"/>
            </w:tcBorders>
          </w:tcPr>
          <w:p w:rsidR="005C4DC7" w:rsidRPr="005C4DC7" w:rsidRDefault="005C4DC7" w:rsidP="006B68EC">
            <w:pPr>
              <w:pBdr>
                <w:top w:val="nil"/>
                <w:left w:val="nil"/>
                <w:bottom w:val="nil"/>
                <w:right w:val="nil"/>
                <w:between w:val="nil"/>
              </w:pBdr>
              <w:ind w:firstLine="720"/>
              <w:rPr>
                <w:color w:val="000000"/>
              </w:rPr>
            </w:pPr>
            <w:r w:rsidRPr="005C4DC7">
              <w:rPr>
                <w:color w:val="000000"/>
              </w:rPr>
              <w:t>116.</w:t>
            </w:r>
          </w:p>
          <w:p w:rsidR="000321BC" w:rsidRPr="005C4DC7" w:rsidRDefault="000321BC" w:rsidP="005C4DC7"/>
        </w:tc>
        <w:tc>
          <w:tcPr>
            <w:tcW w:w="3086" w:type="dxa"/>
            <w:gridSpan w:val="2"/>
            <w:tcBorders>
              <w:left w:val="single" w:sz="6" w:space="0" w:color="000000"/>
              <w:bottom w:val="single" w:sz="4" w:space="0" w:color="000000"/>
              <w:right w:val="single" w:sz="6" w:space="0" w:color="000000"/>
            </w:tcBorders>
          </w:tcPr>
          <w:p w:rsidR="000321BC" w:rsidRPr="00B673BD" w:rsidRDefault="000321BC"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D66147" w:rsidRDefault="00D66147" w:rsidP="00D66147">
            <w:pPr>
              <w:pBdr>
                <w:top w:val="nil"/>
                <w:left w:val="nil"/>
                <w:bottom w:val="nil"/>
                <w:right w:val="nil"/>
                <w:between w:val="nil"/>
              </w:pBdr>
              <w:jc w:val="center"/>
              <w:rPr>
                <w:b/>
                <w:color w:val="000000"/>
              </w:rPr>
            </w:pPr>
            <w:r w:rsidRPr="00616CF1">
              <w:rPr>
                <w:b/>
                <w:color w:val="000000"/>
              </w:rPr>
              <w:t>Zemkopības mi</w:t>
            </w:r>
            <w:r>
              <w:rPr>
                <w:b/>
                <w:color w:val="000000"/>
              </w:rPr>
              <w:t>nistrijas iebildums</w:t>
            </w:r>
          </w:p>
          <w:p w:rsidR="00D66147" w:rsidRDefault="00D66147" w:rsidP="00D66147">
            <w:pPr>
              <w:pBdr>
                <w:top w:val="nil"/>
                <w:left w:val="nil"/>
                <w:bottom w:val="nil"/>
                <w:right w:val="nil"/>
                <w:between w:val="nil"/>
              </w:pBdr>
              <w:jc w:val="both"/>
              <w:rPr>
                <w:color w:val="000000"/>
              </w:rPr>
            </w:pPr>
            <w:r w:rsidRPr="00273CB5">
              <w:rPr>
                <w:color w:val="000000"/>
              </w:rPr>
              <w:t> Lūdzam anotācijā skaidrot noteikumu projekta 5.punktā minēto atteikumu klasificēt šaujamieroci un munīciju. Likumprojekta 4.pants neparedz atteikumu, bet pasaka skaidri – Valsts policija ieročus un munīciju klasificē. Kādā kategorijā vai lietojuma veidā, tas ir sekundārs jautājums.</w:t>
            </w:r>
          </w:p>
          <w:p w:rsidR="000321BC" w:rsidRPr="00905152" w:rsidRDefault="000321BC" w:rsidP="006B68EC">
            <w:pPr>
              <w:pBdr>
                <w:top w:val="nil"/>
                <w:left w:val="nil"/>
                <w:bottom w:val="nil"/>
                <w:right w:val="nil"/>
                <w:between w:val="nil"/>
              </w:pBdr>
              <w:jc w:val="center"/>
              <w:rPr>
                <w:b/>
                <w:color w:val="000000"/>
              </w:rPr>
            </w:pPr>
          </w:p>
        </w:tc>
        <w:tc>
          <w:tcPr>
            <w:tcW w:w="2410" w:type="dxa"/>
            <w:tcBorders>
              <w:left w:val="single" w:sz="6" w:space="0" w:color="000000"/>
              <w:bottom w:val="single" w:sz="4" w:space="0" w:color="000000"/>
              <w:right w:val="single" w:sz="6" w:space="0" w:color="000000"/>
            </w:tcBorders>
          </w:tcPr>
          <w:p w:rsidR="000321BC" w:rsidRPr="00C72BBB" w:rsidRDefault="00A663E0" w:rsidP="00A663E0">
            <w:pPr>
              <w:pBdr>
                <w:top w:val="nil"/>
                <w:left w:val="nil"/>
                <w:bottom w:val="nil"/>
                <w:right w:val="nil"/>
                <w:between w:val="nil"/>
              </w:pBdr>
              <w:ind w:firstLine="34"/>
              <w:jc w:val="center"/>
              <w:rPr>
                <w:b/>
                <w:color w:val="000000"/>
              </w:rPr>
            </w:pPr>
            <w:r w:rsidRPr="00640541">
              <w:rPr>
                <w:b/>
                <w:color w:val="000000"/>
              </w:rPr>
              <w:t>Iebildums ņemts vērā</w:t>
            </w:r>
          </w:p>
        </w:tc>
        <w:tc>
          <w:tcPr>
            <w:tcW w:w="3375" w:type="dxa"/>
            <w:tcBorders>
              <w:top w:val="single" w:sz="4" w:space="0" w:color="000000"/>
              <w:left w:val="single" w:sz="4" w:space="0" w:color="000000"/>
              <w:bottom w:val="single" w:sz="4" w:space="0" w:color="000000"/>
            </w:tcBorders>
          </w:tcPr>
          <w:p w:rsidR="000321BC" w:rsidRDefault="00A663E0" w:rsidP="006B68EC">
            <w:pPr>
              <w:jc w:val="both"/>
            </w:pPr>
            <w:r w:rsidRPr="00A663E0">
              <w:t>Precizēts Projekta sākotnējās ietekmes novērtējuma ziņojums (anotācija).</w:t>
            </w:r>
          </w:p>
        </w:tc>
      </w:tr>
      <w:tr w:rsidR="000321BC" w:rsidTr="00C31412">
        <w:tc>
          <w:tcPr>
            <w:tcW w:w="707" w:type="dxa"/>
            <w:tcBorders>
              <w:left w:val="single" w:sz="6" w:space="0" w:color="000000"/>
              <w:bottom w:val="single" w:sz="4" w:space="0" w:color="000000"/>
              <w:right w:val="single" w:sz="6" w:space="0" w:color="000000"/>
            </w:tcBorders>
          </w:tcPr>
          <w:p w:rsidR="005C4DC7" w:rsidRDefault="005C4DC7" w:rsidP="006B68EC">
            <w:pPr>
              <w:pBdr>
                <w:top w:val="nil"/>
                <w:left w:val="nil"/>
                <w:bottom w:val="nil"/>
                <w:right w:val="nil"/>
                <w:between w:val="nil"/>
              </w:pBdr>
              <w:ind w:firstLine="720"/>
              <w:rPr>
                <w:b/>
                <w:color w:val="000000"/>
              </w:rPr>
            </w:pPr>
          </w:p>
          <w:p w:rsidR="000321BC" w:rsidRPr="005C4DC7" w:rsidRDefault="005C4DC7" w:rsidP="005C4DC7">
            <w:r>
              <w:t>17.</w:t>
            </w:r>
          </w:p>
        </w:tc>
        <w:tc>
          <w:tcPr>
            <w:tcW w:w="3086" w:type="dxa"/>
            <w:gridSpan w:val="2"/>
            <w:tcBorders>
              <w:left w:val="single" w:sz="6" w:space="0" w:color="000000"/>
              <w:bottom w:val="single" w:sz="4" w:space="0" w:color="000000"/>
              <w:right w:val="single" w:sz="6" w:space="0" w:color="000000"/>
            </w:tcBorders>
          </w:tcPr>
          <w:p w:rsidR="000321BC" w:rsidRPr="00B673BD" w:rsidRDefault="000321BC"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9D53D4" w:rsidRPr="00DA05BB" w:rsidRDefault="009D53D4" w:rsidP="009D53D4">
            <w:pPr>
              <w:pBdr>
                <w:top w:val="nil"/>
                <w:left w:val="nil"/>
                <w:bottom w:val="nil"/>
                <w:right w:val="nil"/>
                <w:between w:val="nil"/>
              </w:pBdr>
              <w:jc w:val="center"/>
              <w:rPr>
                <w:b/>
                <w:color w:val="000000"/>
              </w:rPr>
            </w:pPr>
            <w:r>
              <w:rPr>
                <w:b/>
                <w:color w:val="000000"/>
              </w:rPr>
              <w:t>Ārlietu ministrijas iebildums</w:t>
            </w:r>
          </w:p>
          <w:p w:rsidR="009D53D4" w:rsidRDefault="009D53D4" w:rsidP="009D53D4">
            <w:pPr>
              <w:pBdr>
                <w:top w:val="nil"/>
                <w:left w:val="nil"/>
                <w:bottom w:val="nil"/>
                <w:right w:val="nil"/>
                <w:between w:val="nil"/>
              </w:pBdr>
              <w:jc w:val="both"/>
              <w:rPr>
                <w:color w:val="000000"/>
              </w:rPr>
            </w:pPr>
            <w:r w:rsidRPr="00DA05BB">
              <w:rPr>
                <w:color w:val="000000"/>
              </w:rPr>
              <w:t xml:space="preserve">Projekta anotācijas I sadaļas 2.punktā norādīts, ka “Projekts paredz iespēju Komisijai šaubu gadījumā, proti, gadījumos kad ir pamats uzskatīt, ka šaujamierocis vai šaujamieroča munīcija neatbilst attiecīgajam lietojuma veidam, pieprasīt atzinumu: Zemkopības ministrijai – par šaujamieroču un munīcijas atbilstību medību lietojumam, Izglītības un </w:t>
            </w:r>
            <w:r w:rsidRPr="00DA05BB">
              <w:rPr>
                <w:color w:val="000000"/>
              </w:rPr>
              <w:lastRenderedPageBreak/>
              <w:t>zinātnes ministrijai – par šaujamieroču un munīcijas atbilstību sporta lietojumam, Kultūras ministrijai – par šaujamieroča izmantošanu kolekcijas lietojumam, Ārlietu ministrijai – vai šaujamieroču munīcija nav uzskatāma par Latvijai saistošajos starptautiskajos līgumos aizliegto munīciju, Aizsardzības ministrijai – vai šaujamierocis vai šaujamieroču munīcija nav uzskatāma par izgatavoto militārām vajadzībām”. Lūdzam papildināt šo teikumu ar skaidrojumu, vai Zemkopības, Kultūras, Ārlietu un Izglītības un zinātnes ministrijās ir pieejams personāls ar speciālām tehniskām zināšanām šaujamieroču un munīcijas jomā, lai spētu sniegt jebkādu konsultāciju attiecībā uz šo preču klasificēšanu.”</w:t>
            </w:r>
          </w:p>
          <w:p w:rsidR="000321BC" w:rsidRPr="00905152" w:rsidRDefault="000321BC" w:rsidP="006B68EC">
            <w:pPr>
              <w:pBdr>
                <w:top w:val="nil"/>
                <w:left w:val="nil"/>
                <w:bottom w:val="nil"/>
                <w:right w:val="nil"/>
                <w:between w:val="nil"/>
              </w:pBdr>
              <w:jc w:val="center"/>
              <w:rPr>
                <w:b/>
                <w:color w:val="000000"/>
              </w:rPr>
            </w:pPr>
          </w:p>
        </w:tc>
        <w:tc>
          <w:tcPr>
            <w:tcW w:w="2410" w:type="dxa"/>
            <w:tcBorders>
              <w:left w:val="single" w:sz="6" w:space="0" w:color="000000"/>
              <w:bottom w:val="single" w:sz="4" w:space="0" w:color="000000"/>
              <w:right w:val="single" w:sz="6" w:space="0" w:color="000000"/>
            </w:tcBorders>
          </w:tcPr>
          <w:p w:rsidR="000321BC" w:rsidRPr="00C72BBB" w:rsidRDefault="00E51981" w:rsidP="00E51981">
            <w:pPr>
              <w:pBdr>
                <w:top w:val="nil"/>
                <w:left w:val="nil"/>
                <w:bottom w:val="nil"/>
                <w:right w:val="nil"/>
                <w:between w:val="nil"/>
              </w:pBdr>
              <w:ind w:firstLine="34"/>
              <w:jc w:val="center"/>
              <w:rPr>
                <w:b/>
                <w:color w:val="000000"/>
              </w:rPr>
            </w:pPr>
            <w:r w:rsidRPr="00E51981">
              <w:rPr>
                <w:b/>
                <w:color w:val="000000"/>
              </w:rPr>
              <w:lastRenderedPageBreak/>
              <w:t>Panākta vienošanās saskaņošanas sanāksme</w:t>
            </w:r>
          </w:p>
        </w:tc>
        <w:tc>
          <w:tcPr>
            <w:tcW w:w="3375" w:type="dxa"/>
            <w:tcBorders>
              <w:top w:val="single" w:sz="4" w:space="0" w:color="000000"/>
              <w:left w:val="single" w:sz="4" w:space="0" w:color="000000"/>
              <w:bottom w:val="single" w:sz="4" w:space="0" w:color="000000"/>
            </w:tcBorders>
          </w:tcPr>
          <w:p w:rsidR="000321BC" w:rsidRDefault="000321BC" w:rsidP="006B68EC">
            <w:pPr>
              <w:jc w:val="both"/>
            </w:pPr>
          </w:p>
        </w:tc>
      </w:tr>
      <w:tr w:rsidR="00645CEA" w:rsidTr="00C31412">
        <w:tc>
          <w:tcPr>
            <w:tcW w:w="707" w:type="dxa"/>
            <w:tcBorders>
              <w:left w:val="single" w:sz="6" w:space="0" w:color="000000"/>
              <w:bottom w:val="single" w:sz="4" w:space="0" w:color="000000"/>
              <w:right w:val="single" w:sz="6" w:space="0" w:color="000000"/>
            </w:tcBorders>
          </w:tcPr>
          <w:p w:rsidR="005C4DC7" w:rsidRDefault="005C4DC7" w:rsidP="006B68EC">
            <w:pPr>
              <w:pBdr>
                <w:top w:val="nil"/>
                <w:left w:val="nil"/>
                <w:bottom w:val="nil"/>
                <w:right w:val="nil"/>
                <w:between w:val="nil"/>
              </w:pBdr>
              <w:ind w:firstLine="720"/>
              <w:rPr>
                <w:b/>
                <w:color w:val="000000"/>
              </w:rPr>
            </w:pPr>
          </w:p>
          <w:p w:rsidR="00645CEA" w:rsidRPr="005C4DC7" w:rsidRDefault="005C4DC7" w:rsidP="005C4DC7">
            <w:r>
              <w:t>18.</w:t>
            </w:r>
          </w:p>
        </w:tc>
        <w:tc>
          <w:tcPr>
            <w:tcW w:w="3086" w:type="dxa"/>
            <w:gridSpan w:val="2"/>
            <w:tcBorders>
              <w:left w:val="single" w:sz="6" w:space="0" w:color="000000"/>
              <w:bottom w:val="single" w:sz="4" w:space="0" w:color="000000"/>
              <w:right w:val="single" w:sz="6" w:space="0" w:color="000000"/>
            </w:tcBorders>
          </w:tcPr>
          <w:p w:rsidR="00645CEA" w:rsidRPr="00B673BD" w:rsidRDefault="00645CEA"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645CEA" w:rsidRPr="002B0194" w:rsidRDefault="00645CEA" w:rsidP="00645CEA">
            <w:pPr>
              <w:widowControl w:val="0"/>
              <w:contextualSpacing/>
              <w:jc w:val="center"/>
              <w:rPr>
                <w:b/>
                <w:color w:val="000000"/>
              </w:rPr>
            </w:pPr>
            <w:r>
              <w:rPr>
                <w:b/>
                <w:color w:val="000000"/>
              </w:rPr>
              <w:t>Tieslietu ministrijas iebildums</w:t>
            </w:r>
          </w:p>
          <w:p w:rsidR="00645CEA" w:rsidRDefault="00645CEA" w:rsidP="00645CEA">
            <w:pPr>
              <w:pBdr>
                <w:top w:val="nil"/>
                <w:left w:val="nil"/>
                <w:bottom w:val="nil"/>
                <w:right w:val="nil"/>
                <w:between w:val="nil"/>
              </w:pBdr>
              <w:jc w:val="both"/>
              <w:rPr>
                <w:color w:val="000000"/>
              </w:rPr>
            </w:pPr>
            <w:r w:rsidRPr="002B0194">
              <w:rPr>
                <w:color w:val="000000"/>
              </w:rPr>
              <w:t>Ņemot vērā to, ka ar projektu tiek pārņemtas Eiropas Parlamenta un Padomes 2017. gada 17. maija Direktīvas (ES) 2017/853, ar ko groza Padomes Direktīvu 91/477/EEK par ieroču iegādes un glabāšanas kontroli (turpmāk - Direktīva (ES) 2017/853) prasības, un saskaņā ar Ministru kabineta noteikumu Nr.108 "Normatīvo aktu projektu sagatavošanas noteikumi" 4. nodaļu projektu nepieciešams papildināt ar informatīvo atsauci uz Eiropas Savienības tiesību aktiem, kuru prasības ar projektu tiek pārņemtas.</w:t>
            </w:r>
          </w:p>
          <w:p w:rsidR="00A663E0" w:rsidRDefault="00A663E0" w:rsidP="00645CEA">
            <w:pPr>
              <w:pBdr>
                <w:top w:val="nil"/>
                <w:left w:val="nil"/>
                <w:bottom w:val="nil"/>
                <w:right w:val="nil"/>
                <w:between w:val="nil"/>
              </w:pBdr>
              <w:jc w:val="both"/>
              <w:rPr>
                <w:b/>
                <w:color w:val="000000"/>
              </w:rPr>
            </w:pPr>
          </w:p>
        </w:tc>
        <w:tc>
          <w:tcPr>
            <w:tcW w:w="2410" w:type="dxa"/>
            <w:tcBorders>
              <w:left w:val="single" w:sz="6" w:space="0" w:color="000000"/>
              <w:bottom w:val="single" w:sz="4" w:space="0" w:color="000000"/>
              <w:right w:val="single" w:sz="6" w:space="0" w:color="000000"/>
            </w:tcBorders>
          </w:tcPr>
          <w:p w:rsidR="00645CEA" w:rsidRPr="00C72BBB" w:rsidRDefault="00E51981" w:rsidP="00E51981">
            <w:pPr>
              <w:pBdr>
                <w:top w:val="nil"/>
                <w:left w:val="nil"/>
                <w:bottom w:val="nil"/>
                <w:right w:val="nil"/>
                <w:between w:val="nil"/>
              </w:pBdr>
              <w:ind w:firstLine="34"/>
              <w:jc w:val="center"/>
              <w:rPr>
                <w:b/>
                <w:color w:val="000000"/>
              </w:rPr>
            </w:pPr>
            <w:r w:rsidRPr="00E51981">
              <w:rPr>
                <w:b/>
                <w:color w:val="000000"/>
              </w:rPr>
              <w:t>Panākta vienošanās saskaņošanas sanāksme</w:t>
            </w:r>
          </w:p>
        </w:tc>
        <w:tc>
          <w:tcPr>
            <w:tcW w:w="3375" w:type="dxa"/>
            <w:tcBorders>
              <w:top w:val="single" w:sz="4" w:space="0" w:color="000000"/>
              <w:left w:val="single" w:sz="4" w:space="0" w:color="000000"/>
              <w:bottom w:val="single" w:sz="4" w:space="0" w:color="000000"/>
            </w:tcBorders>
          </w:tcPr>
          <w:p w:rsidR="00645CEA" w:rsidRDefault="00645CEA" w:rsidP="006B68EC">
            <w:pPr>
              <w:jc w:val="both"/>
            </w:pPr>
          </w:p>
        </w:tc>
      </w:tr>
      <w:tr w:rsidR="00645CEA" w:rsidTr="00C31412">
        <w:tc>
          <w:tcPr>
            <w:tcW w:w="707" w:type="dxa"/>
            <w:tcBorders>
              <w:left w:val="single" w:sz="6" w:space="0" w:color="000000"/>
              <w:bottom w:val="single" w:sz="4" w:space="0" w:color="000000"/>
              <w:right w:val="single" w:sz="6" w:space="0" w:color="000000"/>
            </w:tcBorders>
          </w:tcPr>
          <w:p w:rsidR="005C4DC7" w:rsidRDefault="005C4DC7" w:rsidP="006B68EC">
            <w:pPr>
              <w:pBdr>
                <w:top w:val="nil"/>
                <w:left w:val="nil"/>
                <w:bottom w:val="nil"/>
                <w:right w:val="nil"/>
                <w:between w:val="nil"/>
              </w:pBdr>
              <w:ind w:firstLine="720"/>
              <w:rPr>
                <w:b/>
                <w:color w:val="000000"/>
              </w:rPr>
            </w:pPr>
          </w:p>
          <w:p w:rsidR="00645CEA" w:rsidRPr="005C4DC7" w:rsidRDefault="005C4DC7" w:rsidP="005C4DC7">
            <w:r>
              <w:t>19.</w:t>
            </w:r>
          </w:p>
        </w:tc>
        <w:tc>
          <w:tcPr>
            <w:tcW w:w="3086" w:type="dxa"/>
            <w:gridSpan w:val="2"/>
            <w:tcBorders>
              <w:left w:val="single" w:sz="6" w:space="0" w:color="000000"/>
              <w:bottom w:val="single" w:sz="4" w:space="0" w:color="000000"/>
              <w:right w:val="single" w:sz="6" w:space="0" w:color="000000"/>
            </w:tcBorders>
          </w:tcPr>
          <w:p w:rsidR="00645CEA" w:rsidRPr="00B673BD" w:rsidRDefault="00645CEA"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645CEA" w:rsidRPr="002B0194" w:rsidRDefault="00645CEA" w:rsidP="00645CEA">
            <w:pPr>
              <w:widowControl w:val="0"/>
              <w:jc w:val="center"/>
              <w:rPr>
                <w:b/>
              </w:rPr>
            </w:pPr>
            <w:r>
              <w:rPr>
                <w:b/>
              </w:rPr>
              <w:t>Tieslietu ministrijas iebildums</w:t>
            </w:r>
          </w:p>
          <w:p w:rsidR="00645CEA" w:rsidRDefault="00645CEA" w:rsidP="00645CEA">
            <w:pPr>
              <w:widowControl w:val="0"/>
              <w:contextualSpacing/>
              <w:jc w:val="both"/>
            </w:pPr>
            <w:r w:rsidRPr="006C0783">
              <w:t>Projekta anotāciju nepieciešams papildināt ar V sadaļu "Tiesību akta projekta atbilstība Latvijas Republikas</w:t>
            </w:r>
            <w:r w:rsidRPr="0020549B">
              <w:t xml:space="preserve"> starptautiskajām saistībām</w:t>
            </w:r>
            <w:r>
              <w:t>"</w:t>
            </w:r>
            <w:r w:rsidRPr="001C5B6C">
              <w:t xml:space="preserve"> </w:t>
            </w:r>
            <w:r>
              <w:t>atbilstoši instrukcijas 55. un 56. punktam, kuros ir noteikts, ka a</w:t>
            </w:r>
            <w:r w:rsidRPr="00B257D7">
              <w:t xml:space="preserve">notācijas V </w:t>
            </w:r>
            <w:r w:rsidRPr="00B257D7">
              <w:lastRenderedPageBreak/>
              <w:t>sadaļas 1.</w:t>
            </w:r>
            <w:r>
              <w:t> </w:t>
            </w:r>
            <w:r w:rsidRPr="00B257D7">
              <w:t>punktā ("Saistības pret Eiropas Savienību") norāda</w:t>
            </w:r>
            <w:r>
              <w:t xml:space="preserve"> </w:t>
            </w:r>
            <w:r w:rsidRPr="00615B1C">
              <w:t>tā ES tiesību akta datumu, numuru un nosaukumu, kura prasības tiek pārņemtas vai ieviestas ar projektu</w:t>
            </w:r>
            <w:r>
              <w:t>, kā arī a</w:t>
            </w:r>
            <w:r w:rsidRPr="00615B1C">
              <w:t>notācijas V sadaļas 1.</w:t>
            </w:r>
            <w:r>
              <w:t> </w:t>
            </w:r>
            <w:r w:rsidRPr="00615B1C">
              <w:t>tabulā ("Tiesību akta projekta atbilstība ES tiesību aktiem") raksturo projekta atbilstības pakāpi ES tiesību aktiem, kas norādīti saskaņā ar instrukcijas 55.1.</w:t>
            </w:r>
            <w:r>
              <w:t> </w:t>
            </w:r>
            <w:r w:rsidRPr="00615B1C">
              <w:t>apakšpunktu</w:t>
            </w:r>
            <w:r>
              <w:t>. Ņemot vērā to, ka anotācijā nav iekļauta V sadaļa, šobrīd nav iespējams izvērtēt vai ir korekti pārņemtas Direktīvas</w:t>
            </w:r>
            <w:r w:rsidRPr="006C0783">
              <w:t xml:space="preserve"> (ES) 2017/853</w:t>
            </w:r>
            <w:r>
              <w:t xml:space="preserve"> prasības.</w:t>
            </w:r>
          </w:p>
          <w:p w:rsidR="00EA3FDB" w:rsidRDefault="00EA3FDB" w:rsidP="00645CEA">
            <w:pPr>
              <w:widowControl w:val="0"/>
              <w:contextualSpacing/>
              <w:jc w:val="both"/>
              <w:rPr>
                <w:b/>
                <w:color w:val="000000"/>
              </w:rPr>
            </w:pPr>
          </w:p>
        </w:tc>
        <w:tc>
          <w:tcPr>
            <w:tcW w:w="2410" w:type="dxa"/>
            <w:tcBorders>
              <w:left w:val="single" w:sz="6" w:space="0" w:color="000000"/>
              <w:bottom w:val="single" w:sz="4" w:space="0" w:color="000000"/>
              <w:right w:val="single" w:sz="6" w:space="0" w:color="000000"/>
            </w:tcBorders>
          </w:tcPr>
          <w:p w:rsidR="00645CEA" w:rsidRPr="00C72BBB" w:rsidRDefault="00A663E0" w:rsidP="00A663E0">
            <w:pPr>
              <w:pBdr>
                <w:top w:val="nil"/>
                <w:left w:val="nil"/>
                <w:bottom w:val="nil"/>
                <w:right w:val="nil"/>
                <w:between w:val="nil"/>
              </w:pBdr>
              <w:ind w:firstLine="34"/>
              <w:jc w:val="center"/>
              <w:rPr>
                <w:b/>
                <w:color w:val="000000"/>
              </w:rPr>
            </w:pPr>
            <w:r>
              <w:rPr>
                <w:b/>
                <w:color w:val="000000"/>
              </w:rPr>
              <w:lastRenderedPageBreak/>
              <w:t>Iebildums ņemts vērā</w:t>
            </w:r>
          </w:p>
        </w:tc>
        <w:tc>
          <w:tcPr>
            <w:tcW w:w="3375" w:type="dxa"/>
            <w:tcBorders>
              <w:top w:val="single" w:sz="4" w:space="0" w:color="000000"/>
              <w:left w:val="single" w:sz="4" w:space="0" w:color="000000"/>
              <w:bottom w:val="single" w:sz="4" w:space="0" w:color="000000"/>
            </w:tcBorders>
          </w:tcPr>
          <w:p w:rsidR="00645CEA" w:rsidRDefault="00A663E0" w:rsidP="006B68EC">
            <w:pPr>
              <w:jc w:val="both"/>
            </w:pPr>
            <w:r w:rsidRPr="00A663E0">
              <w:t>Precizēts Projekta sākotnējās ietekmes novērtējuma ziņojums (anotācija).</w:t>
            </w:r>
          </w:p>
        </w:tc>
      </w:tr>
      <w:tr w:rsidR="0053416E" w:rsidTr="00C31412">
        <w:tc>
          <w:tcPr>
            <w:tcW w:w="707" w:type="dxa"/>
            <w:tcBorders>
              <w:left w:val="single" w:sz="6" w:space="0" w:color="000000"/>
              <w:bottom w:val="single" w:sz="4" w:space="0" w:color="000000"/>
              <w:right w:val="single" w:sz="6" w:space="0" w:color="000000"/>
            </w:tcBorders>
          </w:tcPr>
          <w:p w:rsidR="0053416E" w:rsidRPr="005C4DC7" w:rsidRDefault="005C4DC7" w:rsidP="006B68EC">
            <w:pPr>
              <w:pBdr>
                <w:top w:val="nil"/>
                <w:left w:val="nil"/>
                <w:bottom w:val="nil"/>
                <w:right w:val="nil"/>
                <w:between w:val="nil"/>
              </w:pBdr>
              <w:ind w:firstLine="720"/>
              <w:rPr>
                <w:color w:val="000000"/>
              </w:rPr>
            </w:pPr>
            <w:r w:rsidRPr="005C4DC7">
              <w:rPr>
                <w:color w:val="000000"/>
              </w:rPr>
              <w:t>220.</w:t>
            </w:r>
          </w:p>
        </w:tc>
        <w:tc>
          <w:tcPr>
            <w:tcW w:w="3086" w:type="dxa"/>
            <w:gridSpan w:val="2"/>
            <w:tcBorders>
              <w:left w:val="single" w:sz="6" w:space="0" w:color="000000"/>
              <w:bottom w:val="single" w:sz="4" w:space="0" w:color="000000"/>
              <w:right w:val="single" w:sz="6" w:space="0" w:color="000000"/>
            </w:tcBorders>
          </w:tcPr>
          <w:p w:rsidR="0053416E" w:rsidRPr="00B673BD" w:rsidRDefault="0053416E"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53416E" w:rsidRDefault="00C70507" w:rsidP="00645CEA">
            <w:pPr>
              <w:widowControl w:val="0"/>
              <w:jc w:val="center"/>
              <w:rPr>
                <w:b/>
              </w:rPr>
            </w:pPr>
            <w:r>
              <w:rPr>
                <w:b/>
              </w:rPr>
              <w:t>Tieslietu ministrijas iebildums</w:t>
            </w:r>
          </w:p>
          <w:p w:rsidR="00C70507" w:rsidRDefault="00C70507" w:rsidP="00645CEA">
            <w:pPr>
              <w:widowControl w:val="0"/>
              <w:jc w:val="center"/>
              <w:rPr>
                <w:b/>
              </w:rPr>
            </w:pPr>
            <w:r>
              <w:rPr>
                <w:b/>
              </w:rPr>
              <w:t>(izteikts saskaņošanas sanāksmes laikā)</w:t>
            </w:r>
          </w:p>
          <w:p w:rsidR="00C70507" w:rsidRDefault="003550C6" w:rsidP="00C70507">
            <w:pPr>
              <w:widowControl w:val="0"/>
              <w:jc w:val="both"/>
            </w:pPr>
            <w:r>
              <w:t>Ieroču aprites likuma II nodaļā ietverts tiesiskais regulējums, kas noteic ieroču un munīcijas klasifikāciju. Līdz ar to Ieroču aprites likumā ir noteiktas prasības</w:t>
            </w:r>
            <w:r w:rsidR="00B36278">
              <w:t>,</w:t>
            </w:r>
            <w:r>
              <w:t xml:space="preserve"> atbilstoši kurām tiek noteikta šaujamieroča un munīcijas klasifikācija. Ņemot vērā minēto,  nepieciešams s</w:t>
            </w:r>
            <w:r w:rsidR="00C70507" w:rsidRPr="00C70507">
              <w:t>vītrot</w:t>
            </w:r>
            <w:r>
              <w:t xml:space="preserve"> projekta 7-15.punktu. </w:t>
            </w:r>
          </w:p>
          <w:p w:rsidR="00A96B63" w:rsidRPr="00C70507" w:rsidRDefault="00A96B63" w:rsidP="00C70507">
            <w:pPr>
              <w:widowControl w:val="0"/>
              <w:jc w:val="both"/>
            </w:pPr>
          </w:p>
        </w:tc>
        <w:tc>
          <w:tcPr>
            <w:tcW w:w="2410" w:type="dxa"/>
            <w:tcBorders>
              <w:left w:val="single" w:sz="6" w:space="0" w:color="000000"/>
              <w:bottom w:val="single" w:sz="4" w:space="0" w:color="000000"/>
              <w:right w:val="single" w:sz="6" w:space="0" w:color="000000"/>
            </w:tcBorders>
          </w:tcPr>
          <w:p w:rsidR="0053416E" w:rsidRPr="00C72BBB" w:rsidRDefault="00024047" w:rsidP="00024047">
            <w:pPr>
              <w:pBdr>
                <w:top w:val="nil"/>
                <w:left w:val="nil"/>
                <w:bottom w:val="nil"/>
                <w:right w:val="nil"/>
                <w:between w:val="nil"/>
              </w:pBdr>
              <w:ind w:firstLine="34"/>
              <w:jc w:val="center"/>
              <w:rPr>
                <w:b/>
                <w:color w:val="000000"/>
              </w:rPr>
            </w:pPr>
            <w:r>
              <w:rPr>
                <w:b/>
                <w:color w:val="000000"/>
              </w:rPr>
              <w:t>Iebildums ņemts vēra</w:t>
            </w:r>
          </w:p>
        </w:tc>
        <w:tc>
          <w:tcPr>
            <w:tcW w:w="3375" w:type="dxa"/>
            <w:tcBorders>
              <w:top w:val="single" w:sz="4" w:space="0" w:color="000000"/>
              <w:left w:val="single" w:sz="4" w:space="0" w:color="000000"/>
              <w:bottom w:val="single" w:sz="4" w:space="0" w:color="000000"/>
            </w:tcBorders>
          </w:tcPr>
          <w:p w:rsidR="0053416E" w:rsidRDefault="005C4DC7" w:rsidP="006B68EC">
            <w:pPr>
              <w:jc w:val="both"/>
            </w:pPr>
            <w:r>
              <w:t>Projekta 7.-15.punkts svītrots.</w:t>
            </w:r>
          </w:p>
        </w:tc>
      </w:tr>
      <w:tr w:rsidR="00C501E0" w:rsidTr="00C31412">
        <w:tc>
          <w:tcPr>
            <w:tcW w:w="707" w:type="dxa"/>
            <w:tcBorders>
              <w:left w:val="single" w:sz="6" w:space="0" w:color="000000"/>
              <w:bottom w:val="single" w:sz="4" w:space="0" w:color="000000"/>
              <w:right w:val="single" w:sz="6" w:space="0" w:color="000000"/>
            </w:tcBorders>
          </w:tcPr>
          <w:p w:rsidR="00C501E0" w:rsidRPr="005C4DC7" w:rsidRDefault="00C501E0" w:rsidP="006B68EC">
            <w:pPr>
              <w:pBdr>
                <w:top w:val="nil"/>
                <w:left w:val="nil"/>
                <w:bottom w:val="nil"/>
                <w:right w:val="nil"/>
                <w:between w:val="nil"/>
              </w:pBdr>
              <w:ind w:firstLine="720"/>
              <w:rPr>
                <w:color w:val="000000"/>
              </w:rPr>
            </w:pPr>
            <w:r>
              <w:rPr>
                <w:color w:val="000000"/>
              </w:rPr>
              <w:t xml:space="preserve">221. </w:t>
            </w:r>
          </w:p>
        </w:tc>
        <w:tc>
          <w:tcPr>
            <w:tcW w:w="3086" w:type="dxa"/>
            <w:gridSpan w:val="2"/>
            <w:tcBorders>
              <w:left w:val="single" w:sz="6" w:space="0" w:color="000000"/>
              <w:bottom w:val="single" w:sz="4" w:space="0" w:color="000000"/>
              <w:right w:val="single" w:sz="6" w:space="0" w:color="000000"/>
            </w:tcBorders>
          </w:tcPr>
          <w:p w:rsidR="00C501E0" w:rsidRPr="00B673BD" w:rsidRDefault="00C501E0"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C501E0" w:rsidRDefault="00C501E0" w:rsidP="00645CEA">
            <w:pPr>
              <w:widowControl w:val="0"/>
              <w:jc w:val="center"/>
              <w:rPr>
                <w:b/>
              </w:rPr>
            </w:pPr>
            <w:r w:rsidRPr="00C501E0">
              <w:rPr>
                <w:b/>
              </w:rPr>
              <w:t>Tieslietu ministrijas iebildums</w:t>
            </w:r>
          </w:p>
          <w:p w:rsidR="00C501E0" w:rsidRDefault="00C501E0" w:rsidP="00C501E0">
            <w:pPr>
              <w:widowControl w:val="0"/>
              <w:jc w:val="center"/>
              <w:rPr>
                <w:b/>
              </w:rPr>
            </w:pPr>
            <w:r>
              <w:rPr>
                <w:b/>
              </w:rPr>
              <w:t>(izteikts pēc par precizēto projektu, kas tika nosūtīts saskaņošanai 2019.gada 9.aprīlī)</w:t>
            </w:r>
          </w:p>
          <w:p w:rsidR="00B52688" w:rsidRDefault="008410D4" w:rsidP="008410D4">
            <w:pPr>
              <w:widowControl w:val="0"/>
              <w:jc w:val="both"/>
            </w:pPr>
            <w:r w:rsidRPr="008410D4">
              <w:t xml:space="preserve">Projektā nav paredzēts regulējums, kādos projekta 3.punktā noteiktajos gadījumos komisija šaujamieročus vai munīciju klasificē pēc savas iniciatīvas un arī projekta anotācijā informācija par to faktiski netiek sniegta. Ievērojot minēto, piedāvājam papildināt projektu ar secīgi jaunu punktu, par komisijas tiesībām pēc savas iniciatīvas klasifikāciju veikt, ja to rīcībā ir pārbaudīta un apstiprināta informācija par jauniem ražošanā ieviestiem ieroču un munīcijas veidiem. Informācijas sniedzēji varētu būt </w:t>
            </w:r>
            <w:r w:rsidRPr="008410D4">
              <w:lastRenderedPageBreak/>
              <w:t>citu ES valstu ieroču un munīcijas klasificēšanas institūcijas, kā arī citi ticami publiski informācijas sniedzēji.    </w:t>
            </w:r>
          </w:p>
          <w:p w:rsidR="00946772" w:rsidRPr="008410D4" w:rsidRDefault="00946772" w:rsidP="008410D4">
            <w:pPr>
              <w:widowControl w:val="0"/>
              <w:jc w:val="both"/>
            </w:pPr>
          </w:p>
        </w:tc>
        <w:tc>
          <w:tcPr>
            <w:tcW w:w="2410" w:type="dxa"/>
            <w:tcBorders>
              <w:left w:val="single" w:sz="6" w:space="0" w:color="000000"/>
              <w:bottom w:val="single" w:sz="4" w:space="0" w:color="000000"/>
              <w:right w:val="single" w:sz="6" w:space="0" w:color="000000"/>
            </w:tcBorders>
          </w:tcPr>
          <w:p w:rsidR="00C501E0" w:rsidRDefault="00BD221C" w:rsidP="00024047">
            <w:pPr>
              <w:pBdr>
                <w:top w:val="nil"/>
                <w:left w:val="nil"/>
                <w:bottom w:val="nil"/>
                <w:right w:val="nil"/>
                <w:between w:val="nil"/>
              </w:pBdr>
              <w:ind w:firstLine="34"/>
              <w:jc w:val="center"/>
              <w:rPr>
                <w:b/>
                <w:color w:val="000000"/>
              </w:rPr>
            </w:pPr>
            <w:r>
              <w:rPr>
                <w:b/>
                <w:color w:val="000000"/>
              </w:rPr>
              <w:lastRenderedPageBreak/>
              <w:t>Iebildums ņemts vēra</w:t>
            </w:r>
          </w:p>
        </w:tc>
        <w:tc>
          <w:tcPr>
            <w:tcW w:w="3375" w:type="dxa"/>
            <w:tcBorders>
              <w:top w:val="single" w:sz="4" w:space="0" w:color="000000"/>
              <w:left w:val="single" w:sz="4" w:space="0" w:color="000000"/>
              <w:bottom w:val="single" w:sz="4" w:space="0" w:color="000000"/>
            </w:tcBorders>
          </w:tcPr>
          <w:p w:rsidR="00C501E0" w:rsidRDefault="00614B8F" w:rsidP="006B68EC">
            <w:pPr>
              <w:jc w:val="both"/>
            </w:pPr>
            <w:r w:rsidRPr="00D430BC">
              <w:t>4. Komisija šaujamieročus vai munīciju klasificē pēc savas iniciatīvas, ja tās rīcībā ir pārbaudīta un apstiprināta informācija par jauniem ražošanā ieviestiem šaujamieročiem vai  munīciju.</w:t>
            </w:r>
          </w:p>
        </w:tc>
      </w:tr>
      <w:tr w:rsidR="00C501E0" w:rsidTr="00C31412">
        <w:tc>
          <w:tcPr>
            <w:tcW w:w="707" w:type="dxa"/>
            <w:tcBorders>
              <w:left w:val="single" w:sz="6" w:space="0" w:color="000000"/>
              <w:bottom w:val="single" w:sz="4" w:space="0" w:color="000000"/>
              <w:right w:val="single" w:sz="6" w:space="0" w:color="000000"/>
            </w:tcBorders>
          </w:tcPr>
          <w:p w:rsidR="00C501E0" w:rsidRDefault="00761D70" w:rsidP="006B68EC">
            <w:pPr>
              <w:pBdr>
                <w:top w:val="nil"/>
                <w:left w:val="nil"/>
                <w:bottom w:val="nil"/>
                <w:right w:val="nil"/>
                <w:between w:val="nil"/>
              </w:pBdr>
              <w:ind w:firstLine="720"/>
              <w:rPr>
                <w:color w:val="000000"/>
              </w:rPr>
            </w:pPr>
            <w:r>
              <w:rPr>
                <w:color w:val="000000"/>
              </w:rPr>
              <w:t xml:space="preserve">222. </w:t>
            </w:r>
          </w:p>
        </w:tc>
        <w:tc>
          <w:tcPr>
            <w:tcW w:w="3086" w:type="dxa"/>
            <w:gridSpan w:val="2"/>
            <w:tcBorders>
              <w:left w:val="single" w:sz="6" w:space="0" w:color="000000"/>
              <w:bottom w:val="single" w:sz="4" w:space="0" w:color="000000"/>
              <w:right w:val="single" w:sz="6" w:space="0" w:color="000000"/>
            </w:tcBorders>
          </w:tcPr>
          <w:p w:rsidR="00C501E0" w:rsidRPr="00B673BD" w:rsidRDefault="00C501E0"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C501E0" w:rsidRDefault="00C501E0" w:rsidP="00C501E0">
            <w:pPr>
              <w:widowControl w:val="0"/>
              <w:jc w:val="center"/>
              <w:rPr>
                <w:b/>
              </w:rPr>
            </w:pPr>
            <w:r w:rsidRPr="00C501E0">
              <w:rPr>
                <w:b/>
              </w:rPr>
              <w:t>Tieslietu ministrijas iebildums</w:t>
            </w:r>
          </w:p>
          <w:p w:rsidR="00C501E0" w:rsidRDefault="00C501E0" w:rsidP="00C501E0">
            <w:pPr>
              <w:widowControl w:val="0"/>
              <w:jc w:val="center"/>
              <w:rPr>
                <w:b/>
              </w:rPr>
            </w:pPr>
            <w:r>
              <w:rPr>
                <w:b/>
              </w:rPr>
              <w:t>(izteikts pēc par precizēto projektu, kas tika nosūtīts saskaņošanai 2019.gada 9.aprīlī)</w:t>
            </w:r>
          </w:p>
          <w:p w:rsidR="00946772" w:rsidRDefault="00946772" w:rsidP="00D37BA9">
            <w:pPr>
              <w:widowControl w:val="0"/>
              <w:jc w:val="both"/>
              <w:rPr>
                <w:b/>
              </w:rPr>
            </w:pPr>
          </w:p>
          <w:p w:rsidR="00B52688" w:rsidRDefault="00D37BA9" w:rsidP="00D37BA9">
            <w:pPr>
              <w:widowControl w:val="0"/>
              <w:jc w:val="both"/>
            </w:pPr>
            <w:r w:rsidRPr="00D37BA9">
              <w:t>Projekta 3.punktu nepieciešams precizēt atbilstoši Ieroču aprites likuma 4.panta trešajā daļā noteiktajam, ka ieroču un munīcijas klasifikācija nav attiecināma uz dienesta un militārajiem ieročiem. Vēršam uzmanību, ka normā paredzētajā valsts vai pašvaldību institūciju kopumā ietilpst arī Nacionālie bruņotie spēki, Valsts policija un citas iestādes, kurām var būt gan dienesta, gan arī militārie ieroči. Tādējādi norma nesniedz pietiekamu priekš</w:t>
            </w:r>
            <w:r w:rsidR="00BF183E">
              <w:t>s</w:t>
            </w:r>
            <w:r w:rsidRPr="00D37BA9">
              <w:t xml:space="preserve">tatu par valsts vai pašvaldību institūciju kompetenci vērsties komisijā ar klasificēšanas iesniegumu. Turklāt komisija no valsts pārvaldes un administratīvā procesa viedokļa būs Valsts policijas funkcionāla struktūrvienība, kas darbosies  iestādes vārdā, un strīda gadījumā administratīvajā procesā Valsts policijas vadībai būs jāuzņemas augstākas iestādes </w:t>
            </w:r>
            <w:r w:rsidR="00BF183E">
              <w:t>kompetence gan par lēmumiem, ka</w:t>
            </w:r>
            <w:r w:rsidRPr="00D37BA9">
              <w:t xml:space="preserve"> būs pieņemti pēc "komisijas iniciatīvas", gan arī citu Valsts policijas struktūrvienību iesniegumiem.  </w:t>
            </w:r>
          </w:p>
          <w:p w:rsidR="00602752" w:rsidRPr="00D37BA9" w:rsidRDefault="00602752" w:rsidP="00D37BA9">
            <w:pPr>
              <w:widowControl w:val="0"/>
              <w:jc w:val="both"/>
            </w:pPr>
          </w:p>
        </w:tc>
        <w:tc>
          <w:tcPr>
            <w:tcW w:w="2410" w:type="dxa"/>
            <w:tcBorders>
              <w:left w:val="single" w:sz="6" w:space="0" w:color="000000"/>
              <w:bottom w:val="single" w:sz="4" w:space="0" w:color="000000"/>
              <w:right w:val="single" w:sz="6" w:space="0" w:color="000000"/>
            </w:tcBorders>
          </w:tcPr>
          <w:p w:rsidR="00C501E0" w:rsidRDefault="00BD221C" w:rsidP="00024047">
            <w:pPr>
              <w:pBdr>
                <w:top w:val="nil"/>
                <w:left w:val="nil"/>
                <w:bottom w:val="nil"/>
                <w:right w:val="nil"/>
                <w:between w:val="nil"/>
              </w:pBdr>
              <w:ind w:firstLine="34"/>
              <w:jc w:val="center"/>
              <w:rPr>
                <w:b/>
                <w:color w:val="000000"/>
              </w:rPr>
            </w:pPr>
            <w:r w:rsidRPr="00BD221C">
              <w:rPr>
                <w:b/>
                <w:color w:val="000000"/>
              </w:rPr>
              <w:t>Iebildums ņemts vēra</w:t>
            </w:r>
          </w:p>
        </w:tc>
        <w:tc>
          <w:tcPr>
            <w:tcW w:w="3375" w:type="dxa"/>
            <w:tcBorders>
              <w:top w:val="single" w:sz="4" w:space="0" w:color="000000"/>
              <w:left w:val="single" w:sz="4" w:space="0" w:color="000000"/>
              <w:bottom w:val="single" w:sz="4" w:space="0" w:color="000000"/>
            </w:tcBorders>
          </w:tcPr>
          <w:p w:rsidR="00C501E0" w:rsidRDefault="00956200" w:rsidP="006B68EC">
            <w:pPr>
              <w:jc w:val="both"/>
            </w:pPr>
            <w:r>
              <w:t>Projektā svītrots tiesiskais regulējums, kas attiecas uz valsts un pašvaldības institūcijas tiesībām iesniegt iesniegumu šaujamieroču un munīcijas klasificēšanai.</w:t>
            </w:r>
          </w:p>
        </w:tc>
      </w:tr>
      <w:tr w:rsidR="00C501E0" w:rsidTr="00C31412">
        <w:tc>
          <w:tcPr>
            <w:tcW w:w="707" w:type="dxa"/>
            <w:tcBorders>
              <w:left w:val="single" w:sz="6" w:space="0" w:color="000000"/>
              <w:bottom w:val="single" w:sz="4" w:space="0" w:color="000000"/>
              <w:right w:val="single" w:sz="6" w:space="0" w:color="000000"/>
            </w:tcBorders>
          </w:tcPr>
          <w:p w:rsidR="00C501E0" w:rsidRDefault="00B52688" w:rsidP="006B68EC">
            <w:pPr>
              <w:pBdr>
                <w:top w:val="nil"/>
                <w:left w:val="nil"/>
                <w:bottom w:val="nil"/>
                <w:right w:val="nil"/>
                <w:between w:val="nil"/>
              </w:pBdr>
              <w:ind w:firstLine="720"/>
              <w:rPr>
                <w:color w:val="000000"/>
              </w:rPr>
            </w:pPr>
            <w:r>
              <w:rPr>
                <w:color w:val="000000"/>
              </w:rPr>
              <w:t xml:space="preserve">223. </w:t>
            </w:r>
          </w:p>
        </w:tc>
        <w:tc>
          <w:tcPr>
            <w:tcW w:w="3086" w:type="dxa"/>
            <w:gridSpan w:val="2"/>
            <w:tcBorders>
              <w:left w:val="single" w:sz="6" w:space="0" w:color="000000"/>
              <w:bottom w:val="single" w:sz="4" w:space="0" w:color="000000"/>
              <w:right w:val="single" w:sz="6" w:space="0" w:color="000000"/>
            </w:tcBorders>
          </w:tcPr>
          <w:p w:rsidR="00C501E0" w:rsidRPr="00B673BD" w:rsidRDefault="00C501E0" w:rsidP="006B68EC">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rsidR="00C501E0" w:rsidRDefault="00C501E0" w:rsidP="00C501E0">
            <w:pPr>
              <w:widowControl w:val="0"/>
              <w:jc w:val="center"/>
              <w:rPr>
                <w:b/>
              </w:rPr>
            </w:pPr>
            <w:r w:rsidRPr="00C501E0">
              <w:rPr>
                <w:b/>
              </w:rPr>
              <w:t>Tieslietu ministrijas iebildums</w:t>
            </w:r>
          </w:p>
          <w:p w:rsidR="00C501E0" w:rsidRDefault="00C501E0" w:rsidP="00C501E0">
            <w:pPr>
              <w:widowControl w:val="0"/>
              <w:jc w:val="center"/>
              <w:rPr>
                <w:b/>
              </w:rPr>
            </w:pPr>
            <w:r>
              <w:rPr>
                <w:b/>
              </w:rPr>
              <w:t>(izteikts pēc par precizēto projektu, kas tika nosūtīts saskaņošanai 2019.gada 9.aprīlī)</w:t>
            </w:r>
          </w:p>
          <w:p w:rsidR="00602752" w:rsidRDefault="00602752" w:rsidP="00C501E0">
            <w:pPr>
              <w:widowControl w:val="0"/>
              <w:jc w:val="center"/>
              <w:rPr>
                <w:b/>
              </w:rPr>
            </w:pPr>
          </w:p>
          <w:p w:rsidR="00B52688" w:rsidRDefault="001A4C77" w:rsidP="001A4C77">
            <w:pPr>
              <w:widowControl w:val="0"/>
              <w:jc w:val="both"/>
              <w:rPr>
                <w:b/>
              </w:rPr>
            </w:pPr>
            <w:r w:rsidRPr="001A4C77">
              <w:t xml:space="preserve">Projekta 4.punktu par atkārtotu klasifikāciju </w:t>
            </w:r>
            <w:r w:rsidRPr="001A4C77">
              <w:lastRenderedPageBreak/>
              <w:t>nepieciešams papildus izvērtēt atbilstoši</w:t>
            </w:r>
            <w:r w:rsidRPr="001A4C77">
              <w:rPr>
                <w:b/>
              </w:rPr>
              <w:t xml:space="preserve"> </w:t>
            </w:r>
            <w:r w:rsidRPr="001A4C77">
              <w:t>Administratīvā procesa likuma 4.pantā noteiktajiem administratīvā procesa principiem un 66.pantā noteiktajiem lietderības apsvērumiem. Vēršam uzmanību, ka administratīvajā procesā nav pieļaujama valsts pārvaldes (komisijas) lēmuma pieņemšana gadījumos, ja "nav zināma informācija"  vai "netika pareizi izvērtēti apstākļi". Šāds tiesiskais regulējums pieļauj un norāda uz valsts pārvaldes iespējamo nekompetenci lēmumu pieņemšanā, kā arī var veicināt negodīgu konkurenci starp ieroču aprites komersantiem un korupcijas riskus. Šāda komisijas nekonsekventa rīcība dos tiesības privātpersonai vērsties pret valsti par tiesiskās paļāvības un samērīguma principu pārkāpumu, jo klasifikācijas maiņa var aizskart privātpersonas tiesības, piemēram, ja ieroču aprites komersants būs veicis klasificētu ieroču un munīcijas iegādi, kam seko komisijas lēmums, kas komersantam aizliedz iepriekš klasificēto un iepirkto produktu tālāku realizāciju.</w:t>
            </w:r>
            <w:r w:rsidRPr="001A4C77">
              <w:rPr>
                <w:b/>
              </w:rPr>
              <w:t xml:space="preserve">   </w:t>
            </w:r>
          </w:p>
          <w:p w:rsidR="001A4C77" w:rsidRPr="00C501E0" w:rsidRDefault="001A4C77" w:rsidP="001A4C77">
            <w:pPr>
              <w:widowControl w:val="0"/>
              <w:jc w:val="both"/>
              <w:rPr>
                <w:b/>
              </w:rPr>
            </w:pPr>
          </w:p>
        </w:tc>
        <w:tc>
          <w:tcPr>
            <w:tcW w:w="2410" w:type="dxa"/>
            <w:tcBorders>
              <w:left w:val="single" w:sz="6" w:space="0" w:color="000000"/>
              <w:bottom w:val="single" w:sz="4" w:space="0" w:color="000000"/>
              <w:right w:val="single" w:sz="6" w:space="0" w:color="000000"/>
            </w:tcBorders>
          </w:tcPr>
          <w:p w:rsidR="00C501E0" w:rsidRDefault="00BD221C" w:rsidP="00024047">
            <w:pPr>
              <w:pBdr>
                <w:top w:val="nil"/>
                <w:left w:val="nil"/>
                <w:bottom w:val="nil"/>
                <w:right w:val="nil"/>
                <w:between w:val="nil"/>
              </w:pBdr>
              <w:ind w:firstLine="34"/>
              <w:jc w:val="center"/>
              <w:rPr>
                <w:b/>
                <w:color w:val="000000"/>
              </w:rPr>
            </w:pPr>
            <w:r w:rsidRPr="00BD221C">
              <w:rPr>
                <w:b/>
                <w:color w:val="000000"/>
              </w:rPr>
              <w:lastRenderedPageBreak/>
              <w:t>Iebildums ņemts vēra</w:t>
            </w:r>
          </w:p>
        </w:tc>
        <w:tc>
          <w:tcPr>
            <w:tcW w:w="3375" w:type="dxa"/>
            <w:tcBorders>
              <w:top w:val="single" w:sz="4" w:space="0" w:color="000000"/>
              <w:left w:val="single" w:sz="4" w:space="0" w:color="000000"/>
              <w:bottom w:val="single" w:sz="4" w:space="0" w:color="000000"/>
            </w:tcBorders>
          </w:tcPr>
          <w:p w:rsidR="00C501E0" w:rsidRDefault="00176143" w:rsidP="006B68EC">
            <w:pPr>
              <w:jc w:val="both"/>
            </w:pPr>
            <w:r>
              <w:t>Projekta 4.punkts svītrots.</w:t>
            </w:r>
          </w:p>
        </w:tc>
      </w:tr>
      <w:tr w:rsidR="00C501E0" w:rsidTr="00C31412">
        <w:tc>
          <w:tcPr>
            <w:tcW w:w="707" w:type="dxa"/>
            <w:tcBorders>
              <w:left w:val="single" w:sz="6" w:space="0" w:color="000000"/>
              <w:bottom w:val="single" w:sz="4" w:space="0" w:color="000000"/>
              <w:right w:val="single" w:sz="6" w:space="0" w:color="000000"/>
            </w:tcBorders>
          </w:tcPr>
          <w:p w:rsidR="00C501E0" w:rsidRDefault="00B52688" w:rsidP="006B68EC">
            <w:pPr>
              <w:pBdr>
                <w:top w:val="nil"/>
                <w:left w:val="nil"/>
                <w:bottom w:val="nil"/>
                <w:right w:val="nil"/>
                <w:between w:val="nil"/>
              </w:pBdr>
              <w:ind w:firstLine="720"/>
              <w:rPr>
                <w:color w:val="000000"/>
              </w:rPr>
            </w:pPr>
            <w:r>
              <w:rPr>
                <w:color w:val="000000"/>
              </w:rPr>
              <w:t xml:space="preserve">224. </w:t>
            </w:r>
          </w:p>
        </w:tc>
        <w:tc>
          <w:tcPr>
            <w:tcW w:w="3086" w:type="dxa"/>
            <w:gridSpan w:val="2"/>
            <w:tcBorders>
              <w:left w:val="single" w:sz="6" w:space="0" w:color="000000"/>
              <w:bottom w:val="single" w:sz="4" w:space="0" w:color="000000"/>
              <w:right w:val="single" w:sz="6" w:space="0" w:color="000000"/>
            </w:tcBorders>
          </w:tcPr>
          <w:p w:rsidR="00EE1F4C" w:rsidRDefault="00EE1F4C" w:rsidP="006B68EC">
            <w:pPr>
              <w:pBdr>
                <w:top w:val="nil"/>
                <w:left w:val="nil"/>
                <w:bottom w:val="nil"/>
                <w:right w:val="nil"/>
                <w:between w:val="nil"/>
              </w:pBdr>
              <w:jc w:val="both"/>
              <w:rPr>
                <w:color w:val="000000"/>
              </w:rPr>
            </w:pPr>
            <w:r>
              <w:rPr>
                <w:color w:val="000000"/>
              </w:rPr>
              <w:t>6</w:t>
            </w:r>
            <w:r w:rsidRPr="00EE1F4C">
              <w:rPr>
                <w:color w:val="000000"/>
              </w:rPr>
              <w:t xml:space="preserve">. Komisija pēc iesnieguma saņemšanas izvērtē to, tam pievienoto informāciju un pieņem lēmumu par šaujamieroča vai munīcijas klasificēšanu vai atteikumu klasificēt šaujamieroci vai munīciju.  </w:t>
            </w:r>
          </w:p>
          <w:p w:rsidR="00C501E0" w:rsidRPr="00B673BD" w:rsidRDefault="00EE1F4C" w:rsidP="006B68EC">
            <w:pPr>
              <w:pBdr>
                <w:top w:val="nil"/>
                <w:left w:val="nil"/>
                <w:bottom w:val="nil"/>
                <w:right w:val="nil"/>
                <w:between w:val="nil"/>
              </w:pBdr>
              <w:jc w:val="both"/>
              <w:rPr>
                <w:color w:val="000000"/>
              </w:rPr>
            </w:pPr>
            <w:r w:rsidRPr="00EE1F4C">
              <w:rPr>
                <w:color w:val="000000"/>
              </w:rPr>
              <w:t xml:space="preserve">9. Komisijas pieņemto lēmumu par šaujamieroča vai munīcijas klasifikāciju </w:t>
            </w:r>
            <w:r w:rsidRPr="00EE1F4C">
              <w:rPr>
                <w:color w:val="000000"/>
              </w:rPr>
              <w:lastRenderedPageBreak/>
              <w:t>ieraksta komisijas sēdes protokolā.</w:t>
            </w:r>
          </w:p>
        </w:tc>
        <w:tc>
          <w:tcPr>
            <w:tcW w:w="5413" w:type="dxa"/>
            <w:tcBorders>
              <w:left w:val="single" w:sz="6" w:space="0" w:color="000000"/>
              <w:bottom w:val="single" w:sz="4" w:space="0" w:color="000000"/>
              <w:right w:val="single" w:sz="6" w:space="0" w:color="000000"/>
            </w:tcBorders>
          </w:tcPr>
          <w:p w:rsidR="00C501E0" w:rsidRDefault="00C501E0" w:rsidP="00C501E0">
            <w:pPr>
              <w:widowControl w:val="0"/>
              <w:jc w:val="center"/>
              <w:rPr>
                <w:b/>
              </w:rPr>
            </w:pPr>
            <w:r w:rsidRPr="00C501E0">
              <w:rPr>
                <w:b/>
              </w:rPr>
              <w:lastRenderedPageBreak/>
              <w:t>Tieslietu ministrijas iebildums</w:t>
            </w:r>
          </w:p>
          <w:p w:rsidR="00C501E0" w:rsidRDefault="00C501E0" w:rsidP="00C501E0">
            <w:pPr>
              <w:widowControl w:val="0"/>
              <w:jc w:val="center"/>
              <w:rPr>
                <w:b/>
              </w:rPr>
            </w:pPr>
            <w:r>
              <w:rPr>
                <w:b/>
              </w:rPr>
              <w:t>(izteikts pēc par precizēto projektu, kas tika nosūtīts saskaņošanai 2019.gada 9.aprīlī)</w:t>
            </w:r>
          </w:p>
          <w:p w:rsidR="00721A14" w:rsidRDefault="00721A14" w:rsidP="00C501E0">
            <w:pPr>
              <w:widowControl w:val="0"/>
              <w:jc w:val="center"/>
              <w:rPr>
                <w:b/>
              </w:rPr>
            </w:pPr>
          </w:p>
          <w:p w:rsidR="00467D98" w:rsidRPr="00467D98" w:rsidRDefault="00467D98" w:rsidP="00467D98">
            <w:pPr>
              <w:widowControl w:val="0"/>
              <w:jc w:val="both"/>
            </w:pPr>
            <w:r w:rsidRPr="00467D98">
              <w:t xml:space="preserve">Projekta 6.punktu par komisijas rīcību pēc iesnieguma saņemšanas nepieciešams redakcionāli precizēt, ka komisija izvērtē (pārbauda) ne tikai iesniegumu, bet arī ar iesniegumu iesniegto vai citādi iegūto informāciju, proti, šajā punktā aprakstīt tikai komisijas rīcību līdz lēmuma pieņemšanai. Savukārt regulējumu daļā par lēmuma pieņemšanu piedāvājam iekļaut projekta 9.punktā par lēmuma ierakstīšanu sēdes </w:t>
            </w:r>
            <w:r w:rsidRPr="00467D98">
              <w:lastRenderedPageBreak/>
              <w:t>protokolā, jo lēmuma pieņemšanai jānotiek pēc visu apstākļu izvērtēšanas, tai skaitā pēc iesaistīto institūciju atzinumu saņemšanas.</w:t>
            </w:r>
          </w:p>
          <w:p w:rsidR="00B52688" w:rsidRPr="00C501E0" w:rsidRDefault="00B52688" w:rsidP="00C501E0">
            <w:pPr>
              <w:widowControl w:val="0"/>
              <w:jc w:val="center"/>
              <w:rPr>
                <w:b/>
              </w:rPr>
            </w:pPr>
          </w:p>
        </w:tc>
        <w:tc>
          <w:tcPr>
            <w:tcW w:w="2410" w:type="dxa"/>
            <w:tcBorders>
              <w:left w:val="single" w:sz="6" w:space="0" w:color="000000"/>
              <w:bottom w:val="single" w:sz="4" w:space="0" w:color="000000"/>
              <w:right w:val="single" w:sz="6" w:space="0" w:color="000000"/>
            </w:tcBorders>
          </w:tcPr>
          <w:p w:rsidR="00C501E0" w:rsidRDefault="00BD221C" w:rsidP="00024047">
            <w:pPr>
              <w:pBdr>
                <w:top w:val="nil"/>
                <w:left w:val="nil"/>
                <w:bottom w:val="nil"/>
                <w:right w:val="nil"/>
                <w:between w:val="nil"/>
              </w:pBdr>
              <w:ind w:firstLine="34"/>
              <w:jc w:val="center"/>
              <w:rPr>
                <w:b/>
                <w:color w:val="000000"/>
              </w:rPr>
            </w:pPr>
            <w:r w:rsidRPr="00BD221C">
              <w:rPr>
                <w:b/>
                <w:color w:val="000000"/>
              </w:rPr>
              <w:lastRenderedPageBreak/>
              <w:t>Iebildums ņemts vēra</w:t>
            </w:r>
          </w:p>
        </w:tc>
        <w:tc>
          <w:tcPr>
            <w:tcW w:w="3375" w:type="dxa"/>
            <w:tcBorders>
              <w:top w:val="single" w:sz="4" w:space="0" w:color="000000"/>
              <w:left w:val="single" w:sz="4" w:space="0" w:color="000000"/>
              <w:bottom w:val="single" w:sz="4" w:space="0" w:color="000000"/>
            </w:tcBorders>
          </w:tcPr>
          <w:p w:rsidR="00C501E0" w:rsidRPr="003300CF" w:rsidRDefault="009536CA" w:rsidP="006B68EC">
            <w:pPr>
              <w:jc w:val="both"/>
            </w:pPr>
            <w:r w:rsidRPr="00C40854">
              <w:t xml:space="preserve">6. Komisija pēc iesnieguma saņemšanas vērtē to, tam pievienoto informāciju, kā arī citu informāciju, kas nepieciešama, lai pieņemtu </w:t>
            </w:r>
            <w:r w:rsidRPr="003300CF">
              <w:t>lēmumu.</w:t>
            </w:r>
          </w:p>
          <w:p w:rsidR="009536CA" w:rsidRPr="003300CF" w:rsidRDefault="009536CA" w:rsidP="006B68EC">
            <w:pPr>
              <w:jc w:val="both"/>
            </w:pPr>
            <w:r w:rsidRPr="003300CF">
              <w:t xml:space="preserve"> 8. Komisija pēc šo noteikumu 6. un 7.punktā noteikto dokumentu un informācijas izvērtēšanas pieņem lēmumu par šaujamieroča vai munīcijas klasificēšanu, nosakot </w:t>
            </w:r>
            <w:r w:rsidRPr="003300CF">
              <w:lastRenderedPageBreak/>
              <w:t xml:space="preserve">šaujamieroča tehnisko kategoriju, apakšgrupu, kā arī lietojumu atbilstoši Ieroču aprites likumā noteiktajām prasībām, vai atteikumu klasificēt šaujamieroci vai munīciju.  </w:t>
            </w:r>
          </w:p>
          <w:p w:rsidR="00EE1F4C" w:rsidRPr="00B64CF1" w:rsidRDefault="003300CF" w:rsidP="000D7184">
            <w:pPr>
              <w:jc w:val="both"/>
              <w:rPr>
                <w:color w:val="FF0000"/>
              </w:rPr>
            </w:pPr>
            <w:r w:rsidRPr="003300CF">
              <w:t>9. Komisijas pieņemto lēmumu par šaujamieroča vai munīcijas klasifikāciju vai atteikumu klasificēt</w:t>
            </w:r>
            <w:r w:rsidR="00365848">
              <w:t xml:space="preserve"> </w:t>
            </w:r>
            <w:r w:rsidRPr="003300CF">
              <w:t>ieraksta komisijas sēdes protokolā.</w:t>
            </w:r>
          </w:p>
        </w:tc>
      </w:tr>
      <w:tr w:rsidR="006B68EC" w:rsidTr="00405261">
        <w:tc>
          <w:tcPr>
            <w:tcW w:w="3107" w:type="dxa"/>
            <w:gridSpan w:val="2"/>
          </w:tcPr>
          <w:p w:rsidR="006B68EC" w:rsidRDefault="006B68EC" w:rsidP="006B68EC">
            <w:pPr>
              <w:pBdr>
                <w:top w:val="nil"/>
                <w:left w:val="nil"/>
                <w:bottom w:val="nil"/>
                <w:right w:val="nil"/>
                <w:between w:val="nil"/>
              </w:pBdr>
              <w:rPr>
                <w:color w:val="000000"/>
              </w:rPr>
            </w:pPr>
          </w:p>
          <w:p w:rsidR="006B68EC" w:rsidRDefault="006B68EC" w:rsidP="006B68EC">
            <w:pPr>
              <w:pBdr>
                <w:top w:val="nil"/>
                <w:left w:val="nil"/>
                <w:bottom w:val="nil"/>
                <w:right w:val="nil"/>
                <w:between w:val="nil"/>
              </w:pBdr>
              <w:rPr>
                <w:color w:val="000000"/>
              </w:rPr>
            </w:pPr>
            <w:r>
              <w:rPr>
                <w:color w:val="000000"/>
              </w:rPr>
              <w:t>Atbildīgā amatpersona</w:t>
            </w:r>
          </w:p>
        </w:tc>
        <w:tc>
          <w:tcPr>
            <w:tcW w:w="11884" w:type="dxa"/>
            <w:gridSpan w:val="4"/>
          </w:tcPr>
          <w:p w:rsidR="006B68EC" w:rsidRPr="00B64CF1" w:rsidRDefault="006B68EC" w:rsidP="006B68EC">
            <w:pPr>
              <w:pBdr>
                <w:top w:val="nil"/>
                <w:left w:val="nil"/>
                <w:bottom w:val="nil"/>
                <w:right w:val="nil"/>
                <w:between w:val="nil"/>
              </w:pBdr>
              <w:ind w:firstLine="720"/>
              <w:rPr>
                <w:color w:val="FF0000"/>
              </w:rPr>
            </w:pPr>
            <w:r w:rsidRPr="00B64CF1">
              <w:rPr>
                <w:color w:val="FF0000"/>
              </w:rPr>
              <w:t>  </w:t>
            </w:r>
          </w:p>
        </w:tc>
      </w:tr>
      <w:tr w:rsidR="006B68EC" w:rsidTr="00405261">
        <w:tc>
          <w:tcPr>
            <w:tcW w:w="3107" w:type="dxa"/>
            <w:gridSpan w:val="2"/>
          </w:tcPr>
          <w:p w:rsidR="006B68EC" w:rsidRDefault="006B68EC" w:rsidP="006B68EC">
            <w:pPr>
              <w:pBdr>
                <w:top w:val="nil"/>
                <w:left w:val="nil"/>
                <w:bottom w:val="nil"/>
                <w:right w:val="nil"/>
                <w:between w:val="nil"/>
              </w:pBdr>
              <w:ind w:firstLine="720"/>
              <w:rPr>
                <w:color w:val="000000"/>
              </w:rPr>
            </w:pPr>
          </w:p>
        </w:tc>
        <w:tc>
          <w:tcPr>
            <w:tcW w:w="11884" w:type="dxa"/>
            <w:gridSpan w:val="4"/>
            <w:tcBorders>
              <w:top w:val="single" w:sz="6" w:space="0" w:color="000000"/>
            </w:tcBorders>
          </w:tcPr>
          <w:p w:rsidR="006B68EC" w:rsidRDefault="006B68EC" w:rsidP="006B68EC">
            <w:pPr>
              <w:pBdr>
                <w:top w:val="nil"/>
                <w:left w:val="nil"/>
                <w:bottom w:val="nil"/>
                <w:right w:val="nil"/>
                <w:between w:val="nil"/>
              </w:pBdr>
              <w:ind w:firstLine="720"/>
              <w:jc w:val="center"/>
              <w:rPr>
                <w:color w:val="000000"/>
              </w:rPr>
            </w:pPr>
            <w:r>
              <w:rPr>
                <w:color w:val="000000"/>
              </w:rPr>
              <w:t>(paraksts*)</w:t>
            </w:r>
          </w:p>
        </w:tc>
      </w:tr>
    </w:tbl>
    <w:p w:rsidR="000635C0" w:rsidRDefault="000635C0">
      <w:pPr>
        <w:pBdr>
          <w:top w:val="nil"/>
          <w:left w:val="nil"/>
          <w:bottom w:val="nil"/>
          <w:right w:val="nil"/>
          <w:between w:val="nil"/>
        </w:pBdr>
        <w:ind w:firstLine="720"/>
        <w:jc w:val="both"/>
        <w:rPr>
          <w:color w:val="000000"/>
        </w:rPr>
      </w:pPr>
    </w:p>
    <w:p w:rsidR="000635C0" w:rsidRDefault="00BA0BA3" w:rsidP="00587906">
      <w:pPr>
        <w:pBdr>
          <w:top w:val="nil"/>
          <w:left w:val="nil"/>
          <w:bottom w:val="nil"/>
          <w:right w:val="nil"/>
          <w:between w:val="nil"/>
        </w:pBdr>
        <w:ind w:firstLine="720"/>
        <w:jc w:val="both"/>
        <w:rPr>
          <w:color w:val="000000"/>
        </w:rPr>
      </w:pPr>
      <w:r>
        <w:rPr>
          <w:color w:val="000000"/>
        </w:rPr>
        <w:t>Piezīme. * Dokumenta rekvizītu "paraksts" neaizpilda, ja elektroniskais dokuments ir sagatavots atbilstoši normatīvajiem aktiem par elektronisko dokumentu noformēšanu.</w:t>
      </w:r>
    </w:p>
    <w:p w:rsidR="00587906" w:rsidRDefault="00587906" w:rsidP="00587906">
      <w:pPr>
        <w:pBdr>
          <w:top w:val="nil"/>
          <w:left w:val="nil"/>
          <w:bottom w:val="nil"/>
          <w:right w:val="nil"/>
          <w:between w:val="nil"/>
        </w:pBdr>
        <w:ind w:firstLine="720"/>
        <w:jc w:val="both"/>
        <w:rPr>
          <w:color w:val="000000"/>
        </w:rPr>
      </w:pPr>
    </w:p>
    <w:p w:rsidR="00587906" w:rsidRDefault="00EE5E60" w:rsidP="00587906">
      <w:pPr>
        <w:pBdr>
          <w:top w:val="nil"/>
          <w:left w:val="nil"/>
          <w:bottom w:val="nil"/>
          <w:right w:val="nil"/>
          <w:between w:val="nil"/>
        </w:pBdr>
        <w:ind w:firstLine="720"/>
        <w:jc w:val="both"/>
        <w:rPr>
          <w:color w:val="000000"/>
        </w:rPr>
      </w:pPr>
      <w:r>
        <w:rPr>
          <w:color w:val="000000"/>
        </w:rPr>
        <w:t>Andris Melkers</w:t>
      </w:r>
    </w:p>
    <w:tbl>
      <w:tblPr>
        <w:tblStyle w:val="a3"/>
        <w:tblW w:w="8268" w:type="dxa"/>
        <w:tblLayout w:type="fixed"/>
        <w:tblLook w:val="0000" w:firstRow="0" w:lastRow="0" w:firstColumn="0" w:lastColumn="0" w:noHBand="0" w:noVBand="0"/>
      </w:tblPr>
      <w:tblGrid>
        <w:gridCol w:w="8268"/>
      </w:tblGrid>
      <w:tr w:rsidR="000635C0">
        <w:tc>
          <w:tcPr>
            <w:tcW w:w="8268" w:type="dxa"/>
            <w:tcBorders>
              <w:top w:val="single" w:sz="4" w:space="0" w:color="000000"/>
            </w:tcBorders>
          </w:tcPr>
          <w:p w:rsidR="000635C0" w:rsidRDefault="00BA0BA3">
            <w:pPr>
              <w:jc w:val="center"/>
            </w:pPr>
            <w:r>
              <w:t>(par projektu atbildīgās amatpersonas vārds un uzvārds)</w:t>
            </w:r>
          </w:p>
        </w:tc>
      </w:tr>
      <w:tr w:rsidR="000635C0">
        <w:tc>
          <w:tcPr>
            <w:tcW w:w="8268" w:type="dxa"/>
            <w:tcBorders>
              <w:bottom w:val="single" w:sz="4" w:space="0" w:color="000000"/>
            </w:tcBorders>
          </w:tcPr>
          <w:p w:rsidR="000635C0" w:rsidRDefault="00EE5E60">
            <w:r>
              <w:t>VP GKPP KKP LASB priekšnieka vietnieks</w:t>
            </w:r>
          </w:p>
        </w:tc>
      </w:tr>
      <w:tr w:rsidR="000635C0">
        <w:tc>
          <w:tcPr>
            <w:tcW w:w="8268" w:type="dxa"/>
            <w:tcBorders>
              <w:top w:val="single" w:sz="4" w:space="0" w:color="000000"/>
            </w:tcBorders>
          </w:tcPr>
          <w:p w:rsidR="000635C0" w:rsidRDefault="00BA0BA3">
            <w:pPr>
              <w:jc w:val="center"/>
            </w:pPr>
            <w:r>
              <w:t>(amats)</w:t>
            </w:r>
          </w:p>
        </w:tc>
      </w:tr>
      <w:tr w:rsidR="000635C0">
        <w:tc>
          <w:tcPr>
            <w:tcW w:w="8268" w:type="dxa"/>
            <w:tcBorders>
              <w:bottom w:val="single" w:sz="4" w:space="0" w:color="000000"/>
            </w:tcBorders>
          </w:tcPr>
          <w:p w:rsidR="000635C0" w:rsidRDefault="00EE5E60">
            <w:r>
              <w:t>67208232</w:t>
            </w:r>
          </w:p>
        </w:tc>
      </w:tr>
      <w:tr w:rsidR="000635C0">
        <w:tc>
          <w:tcPr>
            <w:tcW w:w="8268" w:type="dxa"/>
            <w:tcBorders>
              <w:top w:val="single" w:sz="4" w:space="0" w:color="000000"/>
            </w:tcBorders>
          </w:tcPr>
          <w:p w:rsidR="000635C0" w:rsidRDefault="00BA0BA3">
            <w:pPr>
              <w:jc w:val="center"/>
            </w:pPr>
            <w:r>
              <w:t>(tālruņa un faksa numurs)</w:t>
            </w:r>
          </w:p>
        </w:tc>
      </w:tr>
      <w:tr w:rsidR="000635C0">
        <w:tc>
          <w:tcPr>
            <w:tcW w:w="8268" w:type="dxa"/>
            <w:tcBorders>
              <w:bottom w:val="single" w:sz="4" w:space="0" w:color="000000"/>
            </w:tcBorders>
          </w:tcPr>
          <w:p w:rsidR="000635C0" w:rsidRDefault="00EE5E60">
            <w:r>
              <w:t>andris.melkers@vp.gov.lv</w:t>
            </w:r>
          </w:p>
        </w:tc>
      </w:tr>
      <w:tr w:rsidR="000635C0">
        <w:tc>
          <w:tcPr>
            <w:tcW w:w="8268" w:type="dxa"/>
            <w:tcBorders>
              <w:top w:val="single" w:sz="4" w:space="0" w:color="000000"/>
            </w:tcBorders>
          </w:tcPr>
          <w:p w:rsidR="000635C0" w:rsidRDefault="00BA0BA3">
            <w:pPr>
              <w:jc w:val="center"/>
            </w:pPr>
            <w:r>
              <w:t>(e-pasta adrese)</w:t>
            </w:r>
          </w:p>
        </w:tc>
      </w:tr>
    </w:tbl>
    <w:p w:rsidR="00114DF3" w:rsidRDefault="00114DF3" w:rsidP="00C937EE">
      <w:pPr>
        <w:pBdr>
          <w:top w:val="nil"/>
          <w:left w:val="nil"/>
          <w:bottom w:val="nil"/>
          <w:right w:val="nil"/>
          <w:between w:val="nil"/>
        </w:pBdr>
        <w:rPr>
          <w:color w:val="000000"/>
          <w:sz w:val="28"/>
          <w:szCs w:val="28"/>
        </w:rPr>
      </w:pPr>
      <w:bookmarkStart w:id="0" w:name="_GoBack"/>
      <w:bookmarkEnd w:id="0"/>
    </w:p>
    <w:sectPr w:rsidR="00114DF3" w:rsidSect="00A67E00">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701" w:bottom="1418"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BE" w:rsidRDefault="00C156BE">
      <w:r>
        <w:separator/>
      </w:r>
    </w:p>
  </w:endnote>
  <w:endnote w:type="continuationSeparator" w:id="0">
    <w:p w:rsidR="00C156BE" w:rsidRDefault="00C1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76" w:rsidRDefault="00DB1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87" w:rsidRPr="00D87D87" w:rsidRDefault="00DB1676" w:rsidP="00D87D87">
    <w:pPr>
      <w:pBdr>
        <w:top w:val="nil"/>
        <w:left w:val="nil"/>
        <w:bottom w:val="nil"/>
        <w:right w:val="nil"/>
        <w:between w:val="nil"/>
      </w:pBdr>
      <w:rPr>
        <w:color w:val="000000"/>
        <w:sz w:val="20"/>
        <w:szCs w:val="20"/>
      </w:rPr>
    </w:pPr>
    <w:r>
      <w:rPr>
        <w:color w:val="000000"/>
        <w:sz w:val="20"/>
        <w:szCs w:val="20"/>
      </w:rPr>
      <w:t>IEMIzz_1</w:t>
    </w:r>
    <w:r w:rsidR="000E2C71">
      <w:rPr>
        <w:color w:val="000000"/>
        <w:sz w:val="20"/>
        <w:szCs w:val="20"/>
      </w:rPr>
      <w:t>80419</w:t>
    </w:r>
  </w:p>
  <w:p w:rsidR="00573EF8" w:rsidRDefault="00573EF8">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F8" w:rsidRPr="000E2C71" w:rsidRDefault="00DB1676" w:rsidP="000E2C71">
    <w:pPr>
      <w:pStyle w:val="Footer"/>
    </w:pPr>
    <w:r>
      <w:rPr>
        <w:color w:val="000000"/>
        <w:sz w:val="20"/>
        <w:szCs w:val="20"/>
      </w:rPr>
      <w:t>IEMIzz_1</w:t>
    </w:r>
    <w:r w:rsidR="000E2C71" w:rsidRPr="000E2C71">
      <w:rPr>
        <w:color w:val="000000"/>
        <w:sz w:val="20"/>
        <w:szCs w:val="20"/>
      </w:rPr>
      <w:t>80419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BE" w:rsidRDefault="00C156BE">
      <w:r>
        <w:separator/>
      </w:r>
    </w:p>
  </w:footnote>
  <w:footnote w:type="continuationSeparator" w:id="0">
    <w:p w:rsidR="00C156BE" w:rsidRDefault="00C1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F8" w:rsidRDefault="00573EF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573EF8" w:rsidRDefault="00573EF8">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F8" w:rsidRDefault="00573EF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F70E09">
      <w:rPr>
        <w:noProof/>
        <w:color w:val="000000"/>
      </w:rPr>
      <w:t>15</w:t>
    </w:r>
    <w:r>
      <w:rPr>
        <w:color w:val="000000"/>
      </w:rPr>
      <w:fldChar w:fldCharType="end"/>
    </w:r>
  </w:p>
  <w:p w:rsidR="00573EF8" w:rsidRDefault="00573EF8">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76" w:rsidRDefault="00DB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82B"/>
    <w:multiLevelType w:val="multilevel"/>
    <w:tmpl w:val="C0EEDC88"/>
    <w:lvl w:ilvl="0">
      <w:start w:val="1"/>
      <w:numFmt w:val="decimal"/>
      <w:lvlText w:val="(%1)"/>
      <w:lvlJc w:val="left"/>
      <w:pPr>
        <w:ind w:left="1159" w:hanging="45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51693A"/>
    <w:multiLevelType w:val="multilevel"/>
    <w:tmpl w:val="2B965EC8"/>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087F1C11"/>
    <w:multiLevelType w:val="multilevel"/>
    <w:tmpl w:val="C938038E"/>
    <w:lvl w:ilvl="0">
      <w:start w:val="7"/>
      <w:numFmt w:val="decimal"/>
      <w:lvlText w:val="%1."/>
      <w:lvlJc w:val="left"/>
      <w:pPr>
        <w:ind w:left="360" w:hanging="360"/>
      </w:pPr>
      <w:rPr>
        <w:b/>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F7064BD"/>
    <w:multiLevelType w:val="hybridMultilevel"/>
    <w:tmpl w:val="73DA0F90"/>
    <w:lvl w:ilvl="0" w:tplc="085AB782">
      <w:start w:val="2"/>
      <w:numFmt w:val="decimal"/>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330F6"/>
    <w:multiLevelType w:val="multilevel"/>
    <w:tmpl w:val="1F06739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8111C0D"/>
    <w:multiLevelType w:val="hybridMultilevel"/>
    <w:tmpl w:val="556C6526"/>
    <w:lvl w:ilvl="0" w:tplc="3BDE26C2">
      <w:start w:val="2"/>
      <w:numFmt w:val="decimal"/>
      <w:lvlText w:val="(%1)"/>
      <w:lvlJc w:val="left"/>
      <w:pPr>
        <w:ind w:left="825" w:hanging="465"/>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FC3040"/>
    <w:multiLevelType w:val="hybridMultilevel"/>
    <w:tmpl w:val="7FE86908"/>
    <w:lvl w:ilvl="0" w:tplc="DBEA6202">
      <w:start w:val="2"/>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7E6C13"/>
    <w:multiLevelType w:val="hybridMultilevel"/>
    <w:tmpl w:val="DCB6B758"/>
    <w:lvl w:ilvl="0" w:tplc="0F88568E">
      <w:start w:val="2"/>
      <w:numFmt w:val="decimal"/>
      <w:lvlText w:val="%1)"/>
      <w:lvlJc w:val="left"/>
      <w:pPr>
        <w:ind w:left="930" w:hanging="57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883A7F"/>
    <w:multiLevelType w:val="multilevel"/>
    <w:tmpl w:val="B7061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3365882"/>
    <w:multiLevelType w:val="hybridMultilevel"/>
    <w:tmpl w:val="3440D7CC"/>
    <w:lvl w:ilvl="0" w:tplc="7042F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3C7377"/>
    <w:multiLevelType w:val="hybridMultilevel"/>
    <w:tmpl w:val="E9DC3D72"/>
    <w:lvl w:ilvl="0" w:tplc="95A8C8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948464F"/>
    <w:multiLevelType w:val="multilevel"/>
    <w:tmpl w:val="049C5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1D29CA"/>
    <w:multiLevelType w:val="hybridMultilevel"/>
    <w:tmpl w:val="1F323CD8"/>
    <w:lvl w:ilvl="0" w:tplc="0E86A2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DA5674"/>
    <w:multiLevelType w:val="hybridMultilevel"/>
    <w:tmpl w:val="59BAC6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79242CD5"/>
    <w:multiLevelType w:val="multilevel"/>
    <w:tmpl w:val="2B4C502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B275F07"/>
    <w:multiLevelType w:val="hybridMultilevel"/>
    <w:tmpl w:val="2BBC473C"/>
    <w:lvl w:ilvl="0" w:tplc="CB1EC7CA">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CE418CA"/>
    <w:multiLevelType w:val="hybridMultilevel"/>
    <w:tmpl w:val="F5820A4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2"/>
  </w:num>
  <w:num w:numId="3">
    <w:abstractNumId w:val="11"/>
  </w:num>
  <w:num w:numId="4">
    <w:abstractNumId w:val="14"/>
  </w:num>
  <w:num w:numId="5">
    <w:abstractNumId w:val="4"/>
  </w:num>
  <w:num w:numId="6">
    <w:abstractNumId w:val="8"/>
  </w:num>
  <w:num w:numId="7">
    <w:abstractNumId w:val="1"/>
  </w:num>
  <w:num w:numId="8">
    <w:abstractNumId w:val="7"/>
  </w:num>
  <w:num w:numId="9">
    <w:abstractNumId w:val="3"/>
  </w:num>
  <w:num w:numId="10">
    <w:abstractNumId w:val="6"/>
  </w:num>
  <w:num w:numId="11">
    <w:abstractNumId w:val="15"/>
  </w:num>
  <w:num w:numId="12">
    <w:abstractNumId w:val="5"/>
  </w:num>
  <w:num w:numId="13">
    <w:abstractNumId w:val="9"/>
  </w:num>
  <w:num w:numId="14">
    <w:abstractNumId w:val="12"/>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0"/>
    <w:rsid w:val="00005E0E"/>
    <w:rsid w:val="000123E5"/>
    <w:rsid w:val="00015A38"/>
    <w:rsid w:val="00017878"/>
    <w:rsid w:val="000232EE"/>
    <w:rsid w:val="00024047"/>
    <w:rsid w:val="000271A1"/>
    <w:rsid w:val="00031E98"/>
    <w:rsid w:val="000321BC"/>
    <w:rsid w:val="00042539"/>
    <w:rsid w:val="00042E6C"/>
    <w:rsid w:val="00056864"/>
    <w:rsid w:val="00057046"/>
    <w:rsid w:val="000635C0"/>
    <w:rsid w:val="00065CCB"/>
    <w:rsid w:val="00074E76"/>
    <w:rsid w:val="00081482"/>
    <w:rsid w:val="00082EE6"/>
    <w:rsid w:val="00091F83"/>
    <w:rsid w:val="000953A6"/>
    <w:rsid w:val="000A116A"/>
    <w:rsid w:val="000A2EDA"/>
    <w:rsid w:val="000B1A7F"/>
    <w:rsid w:val="000B3092"/>
    <w:rsid w:val="000B4216"/>
    <w:rsid w:val="000C11F8"/>
    <w:rsid w:val="000C451F"/>
    <w:rsid w:val="000C49C6"/>
    <w:rsid w:val="000C63D3"/>
    <w:rsid w:val="000C787B"/>
    <w:rsid w:val="000D0EBB"/>
    <w:rsid w:val="000D2C8A"/>
    <w:rsid w:val="000D5D20"/>
    <w:rsid w:val="000D7184"/>
    <w:rsid w:val="000E2C71"/>
    <w:rsid w:val="000F1933"/>
    <w:rsid w:val="000F6878"/>
    <w:rsid w:val="000F747E"/>
    <w:rsid w:val="00102C51"/>
    <w:rsid w:val="00105126"/>
    <w:rsid w:val="00114A0B"/>
    <w:rsid w:val="00114DF3"/>
    <w:rsid w:val="00117092"/>
    <w:rsid w:val="0012580D"/>
    <w:rsid w:val="00131A70"/>
    <w:rsid w:val="00134388"/>
    <w:rsid w:val="001355D6"/>
    <w:rsid w:val="0013578B"/>
    <w:rsid w:val="0013594D"/>
    <w:rsid w:val="00137810"/>
    <w:rsid w:val="001442AD"/>
    <w:rsid w:val="001458F4"/>
    <w:rsid w:val="00146498"/>
    <w:rsid w:val="0015089D"/>
    <w:rsid w:val="00151C34"/>
    <w:rsid w:val="0015302B"/>
    <w:rsid w:val="00157BB4"/>
    <w:rsid w:val="001623D0"/>
    <w:rsid w:val="00163CDB"/>
    <w:rsid w:val="00167607"/>
    <w:rsid w:val="001738C7"/>
    <w:rsid w:val="00176143"/>
    <w:rsid w:val="00176A6C"/>
    <w:rsid w:val="00176FF0"/>
    <w:rsid w:val="001771DE"/>
    <w:rsid w:val="00192A08"/>
    <w:rsid w:val="00192BC0"/>
    <w:rsid w:val="00192C79"/>
    <w:rsid w:val="00193F01"/>
    <w:rsid w:val="00194EEC"/>
    <w:rsid w:val="001970C7"/>
    <w:rsid w:val="001A3CFD"/>
    <w:rsid w:val="001A4C77"/>
    <w:rsid w:val="001A5760"/>
    <w:rsid w:val="001B067F"/>
    <w:rsid w:val="001B2BE5"/>
    <w:rsid w:val="001B2C48"/>
    <w:rsid w:val="001C05CC"/>
    <w:rsid w:val="001D3235"/>
    <w:rsid w:val="001D62F6"/>
    <w:rsid w:val="001E4888"/>
    <w:rsid w:val="001E6DC7"/>
    <w:rsid w:val="001F0A79"/>
    <w:rsid w:val="001F35EE"/>
    <w:rsid w:val="00203308"/>
    <w:rsid w:val="00204A9B"/>
    <w:rsid w:val="00211337"/>
    <w:rsid w:val="00211550"/>
    <w:rsid w:val="00212E0E"/>
    <w:rsid w:val="00226095"/>
    <w:rsid w:val="00226F82"/>
    <w:rsid w:val="002363F8"/>
    <w:rsid w:val="00237DFE"/>
    <w:rsid w:val="00245D8E"/>
    <w:rsid w:val="0025024B"/>
    <w:rsid w:val="00255FF3"/>
    <w:rsid w:val="00257663"/>
    <w:rsid w:val="00270095"/>
    <w:rsid w:val="00271F72"/>
    <w:rsid w:val="00273CB5"/>
    <w:rsid w:val="002831A5"/>
    <w:rsid w:val="0029537C"/>
    <w:rsid w:val="00297595"/>
    <w:rsid w:val="002A35D4"/>
    <w:rsid w:val="002B0194"/>
    <w:rsid w:val="002B17E3"/>
    <w:rsid w:val="002B25AB"/>
    <w:rsid w:val="002B5BCC"/>
    <w:rsid w:val="002B7CCF"/>
    <w:rsid w:val="002C26F3"/>
    <w:rsid w:val="002C27F1"/>
    <w:rsid w:val="002C5994"/>
    <w:rsid w:val="002D0208"/>
    <w:rsid w:val="002D705D"/>
    <w:rsid w:val="002E2E93"/>
    <w:rsid w:val="002E5086"/>
    <w:rsid w:val="002F0538"/>
    <w:rsid w:val="002F5A7F"/>
    <w:rsid w:val="002F639B"/>
    <w:rsid w:val="002F7611"/>
    <w:rsid w:val="0030263A"/>
    <w:rsid w:val="00304B8D"/>
    <w:rsid w:val="00306C90"/>
    <w:rsid w:val="00307C9F"/>
    <w:rsid w:val="003111A4"/>
    <w:rsid w:val="003111EB"/>
    <w:rsid w:val="00311348"/>
    <w:rsid w:val="003142F9"/>
    <w:rsid w:val="00317454"/>
    <w:rsid w:val="0032058C"/>
    <w:rsid w:val="00326BE3"/>
    <w:rsid w:val="003300CF"/>
    <w:rsid w:val="00331C22"/>
    <w:rsid w:val="00332AD4"/>
    <w:rsid w:val="003331A9"/>
    <w:rsid w:val="00345F85"/>
    <w:rsid w:val="00352CC3"/>
    <w:rsid w:val="0035360B"/>
    <w:rsid w:val="0035441C"/>
    <w:rsid w:val="003550C6"/>
    <w:rsid w:val="00360682"/>
    <w:rsid w:val="00365848"/>
    <w:rsid w:val="0038097E"/>
    <w:rsid w:val="003821DA"/>
    <w:rsid w:val="00382B5B"/>
    <w:rsid w:val="00392B06"/>
    <w:rsid w:val="00396A50"/>
    <w:rsid w:val="003A178E"/>
    <w:rsid w:val="003A49E2"/>
    <w:rsid w:val="003A4ED6"/>
    <w:rsid w:val="003B17D8"/>
    <w:rsid w:val="003B3040"/>
    <w:rsid w:val="003B4574"/>
    <w:rsid w:val="003B5A2E"/>
    <w:rsid w:val="003B5FD9"/>
    <w:rsid w:val="003C38C4"/>
    <w:rsid w:val="003C6CB2"/>
    <w:rsid w:val="003C7435"/>
    <w:rsid w:val="003D136C"/>
    <w:rsid w:val="003D4A97"/>
    <w:rsid w:val="003D74A5"/>
    <w:rsid w:val="003E08C0"/>
    <w:rsid w:val="003E0996"/>
    <w:rsid w:val="003E1CBE"/>
    <w:rsid w:val="003F045D"/>
    <w:rsid w:val="003F210B"/>
    <w:rsid w:val="00400011"/>
    <w:rsid w:val="00400037"/>
    <w:rsid w:val="00405261"/>
    <w:rsid w:val="00413F9E"/>
    <w:rsid w:val="00414385"/>
    <w:rsid w:val="00423C9F"/>
    <w:rsid w:val="00426A84"/>
    <w:rsid w:val="00435506"/>
    <w:rsid w:val="004358F9"/>
    <w:rsid w:val="00436609"/>
    <w:rsid w:val="00442D34"/>
    <w:rsid w:val="00444863"/>
    <w:rsid w:val="0045657E"/>
    <w:rsid w:val="00457E0C"/>
    <w:rsid w:val="004649DD"/>
    <w:rsid w:val="00467269"/>
    <w:rsid w:val="00467D98"/>
    <w:rsid w:val="0047065C"/>
    <w:rsid w:val="0047113D"/>
    <w:rsid w:val="004711AF"/>
    <w:rsid w:val="00471AE1"/>
    <w:rsid w:val="00475466"/>
    <w:rsid w:val="00484F14"/>
    <w:rsid w:val="0049309B"/>
    <w:rsid w:val="0049314E"/>
    <w:rsid w:val="0049353D"/>
    <w:rsid w:val="004954A1"/>
    <w:rsid w:val="0049650C"/>
    <w:rsid w:val="00497201"/>
    <w:rsid w:val="00497A6C"/>
    <w:rsid w:val="004B2ED7"/>
    <w:rsid w:val="004C2BEB"/>
    <w:rsid w:val="004C2FFA"/>
    <w:rsid w:val="004C7A04"/>
    <w:rsid w:val="004E39CF"/>
    <w:rsid w:val="004F31CA"/>
    <w:rsid w:val="004F43EC"/>
    <w:rsid w:val="004F77D9"/>
    <w:rsid w:val="00500A9A"/>
    <w:rsid w:val="005042E3"/>
    <w:rsid w:val="0050646F"/>
    <w:rsid w:val="00511E22"/>
    <w:rsid w:val="005123E0"/>
    <w:rsid w:val="005164D2"/>
    <w:rsid w:val="005246CE"/>
    <w:rsid w:val="00524F23"/>
    <w:rsid w:val="0052733E"/>
    <w:rsid w:val="00530E2E"/>
    <w:rsid w:val="0053416E"/>
    <w:rsid w:val="00535DF0"/>
    <w:rsid w:val="00540C99"/>
    <w:rsid w:val="005479A2"/>
    <w:rsid w:val="00551184"/>
    <w:rsid w:val="00553B32"/>
    <w:rsid w:val="005552C2"/>
    <w:rsid w:val="005705F9"/>
    <w:rsid w:val="00571E83"/>
    <w:rsid w:val="00573EF8"/>
    <w:rsid w:val="00575249"/>
    <w:rsid w:val="00577758"/>
    <w:rsid w:val="00580195"/>
    <w:rsid w:val="00587906"/>
    <w:rsid w:val="00590763"/>
    <w:rsid w:val="005A129E"/>
    <w:rsid w:val="005A6430"/>
    <w:rsid w:val="005B0E41"/>
    <w:rsid w:val="005B3795"/>
    <w:rsid w:val="005B5102"/>
    <w:rsid w:val="005C226B"/>
    <w:rsid w:val="005C2C62"/>
    <w:rsid w:val="005C4DC7"/>
    <w:rsid w:val="005C51B7"/>
    <w:rsid w:val="005D1BE0"/>
    <w:rsid w:val="005D231C"/>
    <w:rsid w:val="005D2662"/>
    <w:rsid w:val="005D3978"/>
    <w:rsid w:val="005D52EC"/>
    <w:rsid w:val="005D5872"/>
    <w:rsid w:val="005E55D4"/>
    <w:rsid w:val="005F2A7D"/>
    <w:rsid w:val="005F5D59"/>
    <w:rsid w:val="00602752"/>
    <w:rsid w:val="00603657"/>
    <w:rsid w:val="00605345"/>
    <w:rsid w:val="00611F91"/>
    <w:rsid w:val="00614B8F"/>
    <w:rsid w:val="00616CF1"/>
    <w:rsid w:val="00623563"/>
    <w:rsid w:val="00640541"/>
    <w:rsid w:val="00641282"/>
    <w:rsid w:val="00645CEA"/>
    <w:rsid w:val="00652CB1"/>
    <w:rsid w:val="00655864"/>
    <w:rsid w:val="0065600F"/>
    <w:rsid w:val="00663250"/>
    <w:rsid w:val="006711C0"/>
    <w:rsid w:val="00675D17"/>
    <w:rsid w:val="00681904"/>
    <w:rsid w:val="00681CF5"/>
    <w:rsid w:val="00694DBE"/>
    <w:rsid w:val="006962E0"/>
    <w:rsid w:val="006A2DBE"/>
    <w:rsid w:val="006A6E1F"/>
    <w:rsid w:val="006B68EC"/>
    <w:rsid w:val="006D0532"/>
    <w:rsid w:val="006D0EFC"/>
    <w:rsid w:val="006D2FB3"/>
    <w:rsid w:val="006D51B6"/>
    <w:rsid w:val="006D6D01"/>
    <w:rsid w:val="006E6D0F"/>
    <w:rsid w:val="006F0185"/>
    <w:rsid w:val="006F70D9"/>
    <w:rsid w:val="007004C3"/>
    <w:rsid w:val="007069B0"/>
    <w:rsid w:val="00707843"/>
    <w:rsid w:val="00715273"/>
    <w:rsid w:val="00716787"/>
    <w:rsid w:val="00721A14"/>
    <w:rsid w:val="00725F9B"/>
    <w:rsid w:val="007344C4"/>
    <w:rsid w:val="007402CB"/>
    <w:rsid w:val="00741A26"/>
    <w:rsid w:val="0074430D"/>
    <w:rsid w:val="007469B1"/>
    <w:rsid w:val="00747E57"/>
    <w:rsid w:val="00753AB5"/>
    <w:rsid w:val="00761D70"/>
    <w:rsid w:val="00764259"/>
    <w:rsid w:val="00782EB7"/>
    <w:rsid w:val="00786F8B"/>
    <w:rsid w:val="007959FD"/>
    <w:rsid w:val="007A1647"/>
    <w:rsid w:val="007A6802"/>
    <w:rsid w:val="007B6833"/>
    <w:rsid w:val="007B6AAF"/>
    <w:rsid w:val="007C5234"/>
    <w:rsid w:val="007D3247"/>
    <w:rsid w:val="007D333F"/>
    <w:rsid w:val="007D510A"/>
    <w:rsid w:val="007E0D31"/>
    <w:rsid w:val="007E13FF"/>
    <w:rsid w:val="007E20A0"/>
    <w:rsid w:val="007E3E94"/>
    <w:rsid w:val="007E513A"/>
    <w:rsid w:val="007F2556"/>
    <w:rsid w:val="007F4870"/>
    <w:rsid w:val="00807CC2"/>
    <w:rsid w:val="00810901"/>
    <w:rsid w:val="008115B7"/>
    <w:rsid w:val="00823957"/>
    <w:rsid w:val="00833FFC"/>
    <w:rsid w:val="00840AF4"/>
    <w:rsid w:val="008410D4"/>
    <w:rsid w:val="00841C57"/>
    <w:rsid w:val="00843270"/>
    <w:rsid w:val="00843C3A"/>
    <w:rsid w:val="00845DCE"/>
    <w:rsid w:val="008561D6"/>
    <w:rsid w:val="00860D22"/>
    <w:rsid w:val="00862E7F"/>
    <w:rsid w:val="008670E0"/>
    <w:rsid w:val="00870C06"/>
    <w:rsid w:val="0087434B"/>
    <w:rsid w:val="008804BB"/>
    <w:rsid w:val="00884839"/>
    <w:rsid w:val="00892B53"/>
    <w:rsid w:val="00896AB6"/>
    <w:rsid w:val="00896F7C"/>
    <w:rsid w:val="008A1011"/>
    <w:rsid w:val="008A2EB8"/>
    <w:rsid w:val="008A55D7"/>
    <w:rsid w:val="008B37E5"/>
    <w:rsid w:val="008B760F"/>
    <w:rsid w:val="008C7B8E"/>
    <w:rsid w:val="008D2F28"/>
    <w:rsid w:val="008D5808"/>
    <w:rsid w:val="008E7EAC"/>
    <w:rsid w:val="008F1E89"/>
    <w:rsid w:val="008F5C4F"/>
    <w:rsid w:val="008F6D10"/>
    <w:rsid w:val="008F7A72"/>
    <w:rsid w:val="00905152"/>
    <w:rsid w:val="0090556E"/>
    <w:rsid w:val="00911918"/>
    <w:rsid w:val="009125F7"/>
    <w:rsid w:val="00916877"/>
    <w:rsid w:val="0091706D"/>
    <w:rsid w:val="00924C12"/>
    <w:rsid w:val="00930DFE"/>
    <w:rsid w:val="009435ED"/>
    <w:rsid w:val="00946772"/>
    <w:rsid w:val="009536CA"/>
    <w:rsid w:val="00956200"/>
    <w:rsid w:val="00960DB1"/>
    <w:rsid w:val="0096161F"/>
    <w:rsid w:val="00963920"/>
    <w:rsid w:val="00963EA6"/>
    <w:rsid w:val="00966373"/>
    <w:rsid w:val="00971748"/>
    <w:rsid w:val="009761EA"/>
    <w:rsid w:val="00980508"/>
    <w:rsid w:val="00987CA0"/>
    <w:rsid w:val="00992503"/>
    <w:rsid w:val="009962CF"/>
    <w:rsid w:val="009A04C7"/>
    <w:rsid w:val="009A4138"/>
    <w:rsid w:val="009B669E"/>
    <w:rsid w:val="009C0815"/>
    <w:rsid w:val="009C1EDF"/>
    <w:rsid w:val="009D53D4"/>
    <w:rsid w:val="009D63E1"/>
    <w:rsid w:val="009E0B1E"/>
    <w:rsid w:val="009E3E4D"/>
    <w:rsid w:val="009E5EC9"/>
    <w:rsid w:val="009E7028"/>
    <w:rsid w:val="009F112B"/>
    <w:rsid w:val="009F174E"/>
    <w:rsid w:val="009F1CBE"/>
    <w:rsid w:val="009F3385"/>
    <w:rsid w:val="00A01CF1"/>
    <w:rsid w:val="00A17FA7"/>
    <w:rsid w:val="00A20A87"/>
    <w:rsid w:val="00A23117"/>
    <w:rsid w:val="00A25EC2"/>
    <w:rsid w:val="00A308B0"/>
    <w:rsid w:val="00A32FD3"/>
    <w:rsid w:val="00A42199"/>
    <w:rsid w:val="00A50108"/>
    <w:rsid w:val="00A5031B"/>
    <w:rsid w:val="00A57400"/>
    <w:rsid w:val="00A60AEA"/>
    <w:rsid w:val="00A616BD"/>
    <w:rsid w:val="00A6329A"/>
    <w:rsid w:val="00A663E0"/>
    <w:rsid w:val="00A67E00"/>
    <w:rsid w:val="00A7210A"/>
    <w:rsid w:val="00A741C2"/>
    <w:rsid w:val="00A74C10"/>
    <w:rsid w:val="00A7529C"/>
    <w:rsid w:val="00A80A06"/>
    <w:rsid w:val="00A82A4E"/>
    <w:rsid w:val="00A87F22"/>
    <w:rsid w:val="00A91668"/>
    <w:rsid w:val="00A94615"/>
    <w:rsid w:val="00A96B63"/>
    <w:rsid w:val="00A97085"/>
    <w:rsid w:val="00AA0FE7"/>
    <w:rsid w:val="00AA56AE"/>
    <w:rsid w:val="00AB19D7"/>
    <w:rsid w:val="00AB7AA4"/>
    <w:rsid w:val="00AC637F"/>
    <w:rsid w:val="00AD42BC"/>
    <w:rsid w:val="00AD6935"/>
    <w:rsid w:val="00AD76DF"/>
    <w:rsid w:val="00AE796B"/>
    <w:rsid w:val="00B136EC"/>
    <w:rsid w:val="00B136FA"/>
    <w:rsid w:val="00B137F2"/>
    <w:rsid w:val="00B24495"/>
    <w:rsid w:val="00B26F07"/>
    <w:rsid w:val="00B36278"/>
    <w:rsid w:val="00B52688"/>
    <w:rsid w:val="00B559B9"/>
    <w:rsid w:val="00B64CF1"/>
    <w:rsid w:val="00B65736"/>
    <w:rsid w:val="00B673BD"/>
    <w:rsid w:val="00B7273E"/>
    <w:rsid w:val="00B77F42"/>
    <w:rsid w:val="00B8065C"/>
    <w:rsid w:val="00B8512F"/>
    <w:rsid w:val="00B90C0F"/>
    <w:rsid w:val="00B92AA8"/>
    <w:rsid w:val="00BA08CB"/>
    <w:rsid w:val="00BA0BA3"/>
    <w:rsid w:val="00BA2B78"/>
    <w:rsid w:val="00BB3D37"/>
    <w:rsid w:val="00BD221C"/>
    <w:rsid w:val="00BD55DC"/>
    <w:rsid w:val="00BD72BB"/>
    <w:rsid w:val="00BD7E7A"/>
    <w:rsid w:val="00BE7B8B"/>
    <w:rsid w:val="00BF1057"/>
    <w:rsid w:val="00BF129E"/>
    <w:rsid w:val="00BF172D"/>
    <w:rsid w:val="00BF183E"/>
    <w:rsid w:val="00C003D0"/>
    <w:rsid w:val="00C05527"/>
    <w:rsid w:val="00C0626E"/>
    <w:rsid w:val="00C114D2"/>
    <w:rsid w:val="00C13522"/>
    <w:rsid w:val="00C156BE"/>
    <w:rsid w:val="00C156C7"/>
    <w:rsid w:val="00C20C2B"/>
    <w:rsid w:val="00C21D62"/>
    <w:rsid w:val="00C237ED"/>
    <w:rsid w:val="00C266B1"/>
    <w:rsid w:val="00C27145"/>
    <w:rsid w:val="00C302CA"/>
    <w:rsid w:val="00C31412"/>
    <w:rsid w:val="00C315B4"/>
    <w:rsid w:val="00C3629F"/>
    <w:rsid w:val="00C40854"/>
    <w:rsid w:val="00C414A4"/>
    <w:rsid w:val="00C42490"/>
    <w:rsid w:val="00C45047"/>
    <w:rsid w:val="00C501E0"/>
    <w:rsid w:val="00C51409"/>
    <w:rsid w:val="00C54F9C"/>
    <w:rsid w:val="00C57CC5"/>
    <w:rsid w:val="00C61139"/>
    <w:rsid w:val="00C61F92"/>
    <w:rsid w:val="00C70507"/>
    <w:rsid w:val="00C71BFE"/>
    <w:rsid w:val="00C72BBB"/>
    <w:rsid w:val="00C80487"/>
    <w:rsid w:val="00C937EE"/>
    <w:rsid w:val="00C96CD7"/>
    <w:rsid w:val="00CB0B3F"/>
    <w:rsid w:val="00CB40C5"/>
    <w:rsid w:val="00CC3D6C"/>
    <w:rsid w:val="00CD1CE0"/>
    <w:rsid w:val="00CD3248"/>
    <w:rsid w:val="00CD4FF4"/>
    <w:rsid w:val="00CD5FB2"/>
    <w:rsid w:val="00CD6840"/>
    <w:rsid w:val="00CE1901"/>
    <w:rsid w:val="00CE3E80"/>
    <w:rsid w:val="00CF3EA1"/>
    <w:rsid w:val="00D004C6"/>
    <w:rsid w:val="00D02333"/>
    <w:rsid w:val="00D03014"/>
    <w:rsid w:val="00D052AE"/>
    <w:rsid w:val="00D06638"/>
    <w:rsid w:val="00D10CD7"/>
    <w:rsid w:val="00D13239"/>
    <w:rsid w:val="00D1665D"/>
    <w:rsid w:val="00D2044F"/>
    <w:rsid w:val="00D20625"/>
    <w:rsid w:val="00D22431"/>
    <w:rsid w:val="00D24ED1"/>
    <w:rsid w:val="00D37BA9"/>
    <w:rsid w:val="00D40198"/>
    <w:rsid w:val="00D4067E"/>
    <w:rsid w:val="00D41120"/>
    <w:rsid w:val="00D41593"/>
    <w:rsid w:val="00D430BC"/>
    <w:rsid w:val="00D439F8"/>
    <w:rsid w:val="00D51D15"/>
    <w:rsid w:val="00D5451C"/>
    <w:rsid w:val="00D57421"/>
    <w:rsid w:val="00D66147"/>
    <w:rsid w:val="00D7276D"/>
    <w:rsid w:val="00D81BDF"/>
    <w:rsid w:val="00D86DF5"/>
    <w:rsid w:val="00D87D87"/>
    <w:rsid w:val="00D963EB"/>
    <w:rsid w:val="00D96D8D"/>
    <w:rsid w:val="00DA05BB"/>
    <w:rsid w:val="00DA0F6A"/>
    <w:rsid w:val="00DA2AFC"/>
    <w:rsid w:val="00DA7881"/>
    <w:rsid w:val="00DA7B1F"/>
    <w:rsid w:val="00DB1676"/>
    <w:rsid w:val="00DB4D4E"/>
    <w:rsid w:val="00DC56B9"/>
    <w:rsid w:val="00DE4F91"/>
    <w:rsid w:val="00DE6896"/>
    <w:rsid w:val="00DE6F80"/>
    <w:rsid w:val="00DE7C13"/>
    <w:rsid w:val="00DF1990"/>
    <w:rsid w:val="00DF1BCB"/>
    <w:rsid w:val="00DF2754"/>
    <w:rsid w:val="00DF43D2"/>
    <w:rsid w:val="00E042EA"/>
    <w:rsid w:val="00E04C3B"/>
    <w:rsid w:val="00E07176"/>
    <w:rsid w:val="00E10B4C"/>
    <w:rsid w:val="00E21665"/>
    <w:rsid w:val="00E22AA8"/>
    <w:rsid w:val="00E22DEC"/>
    <w:rsid w:val="00E3225C"/>
    <w:rsid w:val="00E329E5"/>
    <w:rsid w:val="00E47236"/>
    <w:rsid w:val="00E51981"/>
    <w:rsid w:val="00E55A13"/>
    <w:rsid w:val="00E61010"/>
    <w:rsid w:val="00E6250F"/>
    <w:rsid w:val="00E64915"/>
    <w:rsid w:val="00E660DE"/>
    <w:rsid w:val="00E674FD"/>
    <w:rsid w:val="00E70C40"/>
    <w:rsid w:val="00E7547A"/>
    <w:rsid w:val="00E75CFA"/>
    <w:rsid w:val="00E76180"/>
    <w:rsid w:val="00E8019D"/>
    <w:rsid w:val="00E8314D"/>
    <w:rsid w:val="00E9699C"/>
    <w:rsid w:val="00EA11DE"/>
    <w:rsid w:val="00EA3FDB"/>
    <w:rsid w:val="00EB00D9"/>
    <w:rsid w:val="00EB5EA0"/>
    <w:rsid w:val="00EC18A8"/>
    <w:rsid w:val="00ED2814"/>
    <w:rsid w:val="00ED454D"/>
    <w:rsid w:val="00ED50B8"/>
    <w:rsid w:val="00ED5A52"/>
    <w:rsid w:val="00EE1F4C"/>
    <w:rsid w:val="00EE320A"/>
    <w:rsid w:val="00EE5E60"/>
    <w:rsid w:val="00EE6052"/>
    <w:rsid w:val="00EF7E5B"/>
    <w:rsid w:val="00F002BF"/>
    <w:rsid w:val="00F02E98"/>
    <w:rsid w:val="00F04E7B"/>
    <w:rsid w:val="00F04F90"/>
    <w:rsid w:val="00F124E3"/>
    <w:rsid w:val="00F16D9B"/>
    <w:rsid w:val="00F17650"/>
    <w:rsid w:val="00F225A8"/>
    <w:rsid w:val="00F32905"/>
    <w:rsid w:val="00F357D3"/>
    <w:rsid w:val="00F41EDE"/>
    <w:rsid w:val="00F44AFD"/>
    <w:rsid w:val="00F47CCD"/>
    <w:rsid w:val="00F501E3"/>
    <w:rsid w:val="00F52D85"/>
    <w:rsid w:val="00F558F8"/>
    <w:rsid w:val="00F564F9"/>
    <w:rsid w:val="00F60364"/>
    <w:rsid w:val="00F6399E"/>
    <w:rsid w:val="00F63BEA"/>
    <w:rsid w:val="00F665E1"/>
    <w:rsid w:val="00F70E09"/>
    <w:rsid w:val="00F75490"/>
    <w:rsid w:val="00F85796"/>
    <w:rsid w:val="00F90922"/>
    <w:rsid w:val="00F9259E"/>
    <w:rsid w:val="00F958BE"/>
    <w:rsid w:val="00F977F4"/>
    <w:rsid w:val="00FA21C9"/>
    <w:rsid w:val="00FA72D5"/>
    <w:rsid w:val="00FB0453"/>
    <w:rsid w:val="00FB2465"/>
    <w:rsid w:val="00FB6DF1"/>
    <w:rsid w:val="00FB78A7"/>
    <w:rsid w:val="00FC5B82"/>
    <w:rsid w:val="00FD6DD1"/>
    <w:rsid w:val="00FD7077"/>
    <w:rsid w:val="00FD79E4"/>
    <w:rsid w:val="00FD7E5E"/>
    <w:rsid w:val="00FE0C1E"/>
    <w:rsid w:val="00FE273C"/>
    <w:rsid w:val="00FE482C"/>
    <w:rsid w:val="00FE4951"/>
    <w:rsid w:val="00FE4DDD"/>
    <w:rsid w:val="00FE5C54"/>
    <w:rsid w:val="00FE5CA3"/>
    <w:rsid w:val="00FE68A8"/>
    <w:rsid w:val="00FF5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A69B2-0FF2-4643-BC73-93EEBA6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EB8"/>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75D17"/>
    <w:pPr>
      <w:ind w:left="720"/>
      <w:contextualSpacing/>
    </w:pPr>
  </w:style>
  <w:style w:type="character" w:styleId="Hyperlink">
    <w:name w:val="Hyperlink"/>
    <w:basedOn w:val="DefaultParagraphFont"/>
    <w:uiPriority w:val="99"/>
    <w:unhideWhenUsed/>
    <w:rsid w:val="00F60364"/>
    <w:rPr>
      <w:color w:val="0000FF" w:themeColor="hyperlink"/>
      <w:u w:val="single"/>
    </w:rPr>
  </w:style>
  <w:style w:type="character" w:customStyle="1" w:styleId="UnresolvedMention1">
    <w:name w:val="Unresolved Mention1"/>
    <w:basedOn w:val="DefaultParagraphFont"/>
    <w:uiPriority w:val="99"/>
    <w:semiHidden/>
    <w:unhideWhenUsed/>
    <w:rsid w:val="00F60364"/>
    <w:rPr>
      <w:color w:val="808080"/>
      <w:shd w:val="clear" w:color="auto" w:fill="E6E6E6"/>
    </w:rPr>
  </w:style>
  <w:style w:type="character" w:styleId="Strong">
    <w:name w:val="Strong"/>
    <w:basedOn w:val="DefaultParagraphFont"/>
    <w:uiPriority w:val="22"/>
    <w:qFormat/>
    <w:rsid w:val="000D2C8A"/>
    <w:rPr>
      <w:b/>
      <w:bCs/>
    </w:rPr>
  </w:style>
  <w:style w:type="paragraph" w:styleId="Footer">
    <w:name w:val="footer"/>
    <w:basedOn w:val="Normal"/>
    <w:link w:val="FooterChar"/>
    <w:uiPriority w:val="99"/>
    <w:unhideWhenUsed/>
    <w:rsid w:val="00B77F42"/>
    <w:pPr>
      <w:tabs>
        <w:tab w:val="center" w:pos="4153"/>
        <w:tab w:val="right" w:pos="8306"/>
      </w:tabs>
    </w:pPr>
  </w:style>
  <w:style w:type="character" w:customStyle="1" w:styleId="FooterChar">
    <w:name w:val="Footer Char"/>
    <w:basedOn w:val="DefaultParagraphFont"/>
    <w:link w:val="Footer"/>
    <w:uiPriority w:val="99"/>
    <w:rsid w:val="00B77F42"/>
  </w:style>
  <w:style w:type="paragraph" w:styleId="Header">
    <w:name w:val="header"/>
    <w:basedOn w:val="Normal"/>
    <w:link w:val="HeaderChar"/>
    <w:uiPriority w:val="99"/>
    <w:unhideWhenUsed/>
    <w:rsid w:val="00B77F42"/>
    <w:pPr>
      <w:tabs>
        <w:tab w:val="center" w:pos="4153"/>
        <w:tab w:val="right" w:pos="8306"/>
      </w:tabs>
    </w:pPr>
  </w:style>
  <w:style w:type="character" w:customStyle="1" w:styleId="HeaderChar">
    <w:name w:val="Header Char"/>
    <w:basedOn w:val="DefaultParagraphFont"/>
    <w:link w:val="Header"/>
    <w:uiPriority w:val="99"/>
    <w:rsid w:val="00B77F42"/>
  </w:style>
  <w:style w:type="character" w:customStyle="1" w:styleId="UnresolvedMention">
    <w:name w:val="Unresolved Mention"/>
    <w:basedOn w:val="DefaultParagraphFont"/>
    <w:uiPriority w:val="99"/>
    <w:semiHidden/>
    <w:unhideWhenUsed/>
    <w:rsid w:val="002C26F3"/>
    <w:rPr>
      <w:color w:val="605E5C"/>
      <w:shd w:val="clear" w:color="auto" w:fill="E1DFDD"/>
    </w:rPr>
  </w:style>
  <w:style w:type="paragraph" w:styleId="BalloonText">
    <w:name w:val="Balloon Text"/>
    <w:basedOn w:val="Normal"/>
    <w:link w:val="BalloonTextChar"/>
    <w:uiPriority w:val="99"/>
    <w:semiHidden/>
    <w:unhideWhenUsed/>
    <w:rsid w:val="002B1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11338">
      <w:bodyDiv w:val="1"/>
      <w:marLeft w:val="0"/>
      <w:marRight w:val="0"/>
      <w:marTop w:val="0"/>
      <w:marBottom w:val="0"/>
      <w:divBdr>
        <w:top w:val="none" w:sz="0" w:space="0" w:color="auto"/>
        <w:left w:val="none" w:sz="0" w:space="0" w:color="auto"/>
        <w:bottom w:val="none" w:sz="0" w:space="0" w:color="auto"/>
        <w:right w:val="none" w:sz="0" w:space="0" w:color="auto"/>
      </w:divBdr>
    </w:div>
    <w:div w:id="211316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1286-A49F-4140-9944-92750370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17057</Words>
  <Characters>9723</Characters>
  <Application>Microsoft Office Word</Application>
  <DocSecurity>4</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Karina Zagoskina</cp:lastModifiedBy>
  <cp:revision>2</cp:revision>
  <cp:lastPrinted>2019-03-26T07:29:00Z</cp:lastPrinted>
  <dcterms:created xsi:type="dcterms:W3CDTF">2019-05-10T11:24:00Z</dcterms:created>
  <dcterms:modified xsi:type="dcterms:W3CDTF">2019-05-10T11:24:00Z</dcterms:modified>
</cp:coreProperties>
</file>