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2F" w:rsidRPr="00712B66" w:rsidRDefault="00CD252F" w:rsidP="00CD252F">
      <w:pPr>
        <w:pStyle w:val="naisnod"/>
        <w:spacing w:before="0" w:after="0"/>
        <w:ind w:firstLine="720"/>
        <w:rPr>
          <w:sz w:val="28"/>
          <w:szCs w:val="28"/>
        </w:rPr>
      </w:pPr>
      <w:r w:rsidRPr="00712B66">
        <w:rPr>
          <w:sz w:val="28"/>
          <w:szCs w:val="28"/>
        </w:rPr>
        <w:t>Izziņa par atzinumos sniegtajiem iebildumiem</w:t>
      </w:r>
    </w:p>
    <w:p w:rsidR="00CD252F" w:rsidRPr="008A36C9" w:rsidRDefault="00CD252F" w:rsidP="00CD252F">
      <w:pPr>
        <w:pStyle w:val="naisf"/>
        <w:spacing w:before="0" w:after="0"/>
        <w:ind w:firstLine="720"/>
      </w:pPr>
    </w:p>
    <w:tbl>
      <w:tblPr>
        <w:tblW w:w="5000" w:type="pct"/>
        <w:jc w:val="center"/>
        <w:tblLook w:val="00A0" w:firstRow="1" w:lastRow="0" w:firstColumn="1" w:lastColumn="0" w:noHBand="0" w:noVBand="0"/>
      </w:tblPr>
      <w:tblGrid>
        <w:gridCol w:w="14219"/>
      </w:tblGrid>
      <w:tr w:rsidR="00CD252F" w:rsidRPr="00A4199A" w:rsidTr="006C3621">
        <w:trPr>
          <w:jc w:val="center"/>
        </w:trPr>
        <w:tc>
          <w:tcPr>
            <w:tcW w:w="5000" w:type="pct"/>
            <w:tcBorders>
              <w:bottom w:val="single" w:sz="6" w:space="0" w:color="000000"/>
            </w:tcBorders>
          </w:tcPr>
          <w:p w:rsidR="00CD252F" w:rsidRPr="00A4199A" w:rsidRDefault="00CD252F" w:rsidP="006C3621">
            <w:pPr>
              <w:ind w:firstLine="720"/>
              <w:jc w:val="center"/>
              <w:rPr>
                <w:b/>
                <w:sz w:val="28"/>
                <w:szCs w:val="28"/>
              </w:rPr>
            </w:pPr>
            <w:r w:rsidRPr="00A4199A">
              <w:rPr>
                <w:b/>
                <w:iCs/>
                <w:noProof/>
                <w:sz w:val="28"/>
                <w:szCs w:val="28"/>
              </w:rPr>
              <w:t xml:space="preserve">likumprojektam </w:t>
            </w:r>
            <w:r w:rsidRPr="00A4199A">
              <w:rPr>
                <w:b/>
                <w:bCs/>
                <w:sz w:val="28"/>
                <w:szCs w:val="28"/>
                <w:lang w:eastAsia="ar-SA"/>
              </w:rPr>
              <w:t>„Grozījumi likumā „Par obligāto sociālo apdrošināšanu pret nelaimes gadījumiem darbā un arodslimībām””</w:t>
            </w:r>
          </w:p>
        </w:tc>
      </w:tr>
    </w:tbl>
    <w:p w:rsidR="00CD252F" w:rsidRPr="00712B66" w:rsidRDefault="00CD252F" w:rsidP="00CD252F">
      <w:pPr>
        <w:pStyle w:val="naisc"/>
        <w:spacing w:before="0" w:after="0"/>
        <w:ind w:firstLine="1080"/>
      </w:pPr>
      <w:r w:rsidRPr="00712B66">
        <w:t>(dokumenta veids un nosaukums)</w:t>
      </w:r>
    </w:p>
    <w:p w:rsidR="00CD252F" w:rsidRPr="00712B66" w:rsidRDefault="00CD252F" w:rsidP="00CD252F">
      <w:pPr>
        <w:pStyle w:val="naisf"/>
        <w:spacing w:before="0" w:after="0"/>
        <w:ind w:firstLine="720"/>
      </w:pPr>
    </w:p>
    <w:p w:rsidR="00CD252F" w:rsidRPr="00712B66" w:rsidRDefault="00CD252F" w:rsidP="00CD252F">
      <w:pPr>
        <w:pStyle w:val="naisf"/>
        <w:spacing w:before="0" w:after="0"/>
        <w:ind w:firstLine="0"/>
        <w:jc w:val="center"/>
        <w:rPr>
          <w:b/>
        </w:rPr>
      </w:pPr>
      <w:r w:rsidRPr="00712B66">
        <w:rPr>
          <w:b/>
        </w:rPr>
        <w:t>I. Jautājumi, par kuriem saskaņošanā vienošanās nav panākta</w:t>
      </w:r>
    </w:p>
    <w:p w:rsidR="00CD252F" w:rsidRPr="00712B66" w:rsidRDefault="00CD252F" w:rsidP="00CD252F">
      <w:pPr>
        <w:pStyle w:val="naisf"/>
        <w:spacing w:before="0" w:after="0"/>
        <w:ind w:firstLine="720"/>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6"/>
        <w:gridCol w:w="3074"/>
        <w:gridCol w:w="3108"/>
        <w:gridCol w:w="2966"/>
        <w:gridCol w:w="2451"/>
        <w:gridCol w:w="1914"/>
      </w:tblGrid>
      <w:tr w:rsidR="00CD252F" w:rsidRPr="00712B66" w:rsidTr="006C3621">
        <w:tc>
          <w:tcPr>
            <w:tcW w:w="248" w:type="pct"/>
            <w:tcBorders>
              <w:top w:val="single" w:sz="6" w:space="0" w:color="000000"/>
              <w:left w:val="single" w:sz="6" w:space="0" w:color="000000"/>
              <w:bottom w:val="single" w:sz="6" w:space="0" w:color="000000"/>
              <w:right w:val="single" w:sz="6" w:space="0" w:color="000000"/>
            </w:tcBorders>
            <w:vAlign w:val="center"/>
          </w:tcPr>
          <w:p w:rsidR="00CD252F" w:rsidRPr="00712B66" w:rsidRDefault="00CD252F" w:rsidP="006C3621">
            <w:pPr>
              <w:pStyle w:val="naisc"/>
              <w:spacing w:before="0" w:after="0"/>
            </w:pPr>
            <w:bookmarkStart w:id="0" w:name="_GoBack"/>
            <w:r w:rsidRPr="00712B66">
              <w:t>Nr. p.k.</w:t>
            </w:r>
          </w:p>
        </w:tc>
        <w:tc>
          <w:tcPr>
            <w:tcW w:w="1081" w:type="pct"/>
            <w:tcBorders>
              <w:top w:val="single" w:sz="6" w:space="0" w:color="000000"/>
              <w:left w:val="single" w:sz="6" w:space="0" w:color="000000"/>
              <w:bottom w:val="single" w:sz="6" w:space="0" w:color="000000"/>
              <w:right w:val="single" w:sz="6" w:space="0" w:color="000000"/>
            </w:tcBorders>
            <w:vAlign w:val="center"/>
          </w:tcPr>
          <w:p w:rsidR="00CD252F" w:rsidRPr="00712B66" w:rsidRDefault="00CD252F" w:rsidP="006C3621">
            <w:pPr>
              <w:pStyle w:val="naisc"/>
              <w:spacing w:before="0" w:after="0"/>
              <w:ind w:firstLine="12"/>
            </w:pPr>
            <w:r w:rsidRPr="00712B66">
              <w:t>Saskaņošanai nosūtītā projekta redakcija (konkrēta punkta (panta) redakcija)</w:t>
            </w:r>
          </w:p>
        </w:tc>
        <w:tc>
          <w:tcPr>
            <w:tcW w:w="1093" w:type="pct"/>
            <w:tcBorders>
              <w:top w:val="single" w:sz="6" w:space="0" w:color="000000"/>
              <w:left w:val="single" w:sz="6" w:space="0" w:color="000000"/>
              <w:bottom w:val="single" w:sz="6" w:space="0" w:color="000000"/>
              <w:right w:val="single" w:sz="6" w:space="0" w:color="000000"/>
            </w:tcBorders>
            <w:vAlign w:val="center"/>
          </w:tcPr>
          <w:p w:rsidR="00CD252F" w:rsidRPr="00712B66" w:rsidRDefault="00CD252F" w:rsidP="006C3621">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1043" w:type="pct"/>
            <w:tcBorders>
              <w:top w:val="single" w:sz="6" w:space="0" w:color="000000"/>
              <w:left w:val="single" w:sz="6" w:space="0" w:color="000000"/>
              <w:bottom w:val="single" w:sz="6" w:space="0" w:color="000000"/>
              <w:right w:val="single" w:sz="6" w:space="0" w:color="000000"/>
            </w:tcBorders>
            <w:vAlign w:val="center"/>
          </w:tcPr>
          <w:p w:rsidR="00CD252F" w:rsidRPr="00712B66" w:rsidRDefault="00CD252F" w:rsidP="006C3621">
            <w:pPr>
              <w:pStyle w:val="naisc"/>
              <w:spacing w:before="0" w:after="0"/>
              <w:ind w:firstLine="21"/>
            </w:pPr>
            <w:r w:rsidRPr="00712B66">
              <w:t>Atbildīgās ministrijas pamatojums iebilduma noraidījumam</w:t>
            </w:r>
          </w:p>
        </w:tc>
        <w:tc>
          <w:tcPr>
            <w:tcW w:w="862" w:type="pct"/>
            <w:tcBorders>
              <w:top w:val="single" w:sz="4" w:space="0" w:color="auto"/>
              <w:left w:val="single" w:sz="4" w:space="0" w:color="auto"/>
              <w:bottom w:val="single" w:sz="4" w:space="0" w:color="auto"/>
              <w:right w:val="single" w:sz="4" w:space="0" w:color="auto"/>
            </w:tcBorders>
            <w:vAlign w:val="center"/>
          </w:tcPr>
          <w:p w:rsidR="00CD252F" w:rsidRPr="00712B66" w:rsidRDefault="00CD252F" w:rsidP="006C3621">
            <w:pPr>
              <w:jc w:val="center"/>
            </w:pPr>
            <w:r w:rsidRPr="00712B66">
              <w:t>Atzinuma sniedzēja uzturētais iebildums, ja tas atšķiras no atzinumā norādītā iebilduma pamatojuma</w:t>
            </w:r>
          </w:p>
        </w:tc>
        <w:tc>
          <w:tcPr>
            <w:tcW w:w="673" w:type="pct"/>
            <w:tcBorders>
              <w:top w:val="single" w:sz="4" w:space="0" w:color="auto"/>
              <w:left w:val="single" w:sz="4" w:space="0" w:color="auto"/>
              <w:bottom w:val="single" w:sz="4" w:space="0" w:color="auto"/>
            </w:tcBorders>
            <w:vAlign w:val="center"/>
          </w:tcPr>
          <w:p w:rsidR="00CD252F" w:rsidRPr="00712B66" w:rsidRDefault="00CD252F" w:rsidP="006C3621">
            <w:pPr>
              <w:jc w:val="center"/>
            </w:pPr>
            <w:r w:rsidRPr="00712B66">
              <w:t>Projekta attiecīgā punkta (panta) galīgā redakcija</w:t>
            </w:r>
          </w:p>
        </w:tc>
      </w:tr>
      <w:bookmarkEnd w:id="0"/>
      <w:tr w:rsidR="00CD252F" w:rsidRPr="008A36C9" w:rsidTr="006C3621">
        <w:tc>
          <w:tcPr>
            <w:tcW w:w="248" w:type="pct"/>
            <w:tcBorders>
              <w:top w:val="single" w:sz="6" w:space="0" w:color="000000"/>
              <w:left w:val="single" w:sz="6" w:space="0" w:color="000000"/>
              <w:bottom w:val="single" w:sz="6" w:space="0" w:color="000000"/>
              <w:right w:val="single" w:sz="6" w:space="0" w:color="000000"/>
            </w:tcBorders>
          </w:tcPr>
          <w:p w:rsidR="00CD252F" w:rsidRPr="008A36C9" w:rsidRDefault="00CD252F" w:rsidP="006C3621">
            <w:pPr>
              <w:pStyle w:val="naisc"/>
              <w:spacing w:before="0" w:after="0"/>
              <w:rPr>
                <w:sz w:val="20"/>
                <w:szCs w:val="20"/>
              </w:rPr>
            </w:pPr>
            <w:r w:rsidRPr="008A36C9">
              <w:rPr>
                <w:sz w:val="20"/>
                <w:szCs w:val="20"/>
              </w:rPr>
              <w:t>1</w:t>
            </w:r>
          </w:p>
        </w:tc>
        <w:tc>
          <w:tcPr>
            <w:tcW w:w="1081" w:type="pct"/>
            <w:tcBorders>
              <w:top w:val="single" w:sz="6" w:space="0" w:color="000000"/>
              <w:left w:val="single" w:sz="6" w:space="0" w:color="000000"/>
              <w:bottom w:val="single" w:sz="6" w:space="0" w:color="000000"/>
              <w:right w:val="single" w:sz="6" w:space="0" w:color="000000"/>
            </w:tcBorders>
          </w:tcPr>
          <w:p w:rsidR="00CD252F" w:rsidRPr="008A36C9" w:rsidRDefault="00CD252F" w:rsidP="006C3621">
            <w:pPr>
              <w:pStyle w:val="naisc"/>
              <w:spacing w:before="0" w:after="0"/>
              <w:ind w:firstLine="720"/>
              <w:rPr>
                <w:sz w:val="20"/>
                <w:szCs w:val="20"/>
              </w:rPr>
            </w:pPr>
            <w:r w:rsidRPr="008A36C9">
              <w:rPr>
                <w:sz w:val="20"/>
                <w:szCs w:val="20"/>
              </w:rPr>
              <w:t>2</w:t>
            </w:r>
          </w:p>
        </w:tc>
        <w:tc>
          <w:tcPr>
            <w:tcW w:w="1093" w:type="pct"/>
            <w:tcBorders>
              <w:top w:val="single" w:sz="6" w:space="0" w:color="000000"/>
              <w:left w:val="single" w:sz="6" w:space="0" w:color="000000"/>
              <w:bottom w:val="single" w:sz="6" w:space="0" w:color="000000"/>
              <w:right w:val="single" w:sz="6" w:space="0" w:color="000000"/>
            </w:tcBorders>
          </w:tcPr>
          <w:p w:rsidR="00CD252F" w:rsidRPr="008A36C9" w:rsidRDefault="00CD252F" w:rsidP="006C3621">
            <w:pPr>
              <w:pStyle w:val="naisc"/>
              <w:spacing w:before="0" w:after="0"/>
              <w:ind w:firstLine="720"/>
              <w:rPr>
                <w:sz w:val="20"/>
                <w:szCs w:val="20"/>
              </w:rPr>
            </w:pPr>
            <w:r w:rsidRPr="008A36C9">
              <w:rPr>
                <w:sz w:val="20"/>
                <w:szCs w:val="20"/>
              </w:rPr>
              <w:t>3</w:t>
            </w:r>
          </w:p>
        </w:tc>
        <w:tc>
          <w:tcPr>
            <w:tcW w:w="1043" w:type="pct"/>
            <w:tcBorders>
              <w:top w:val="single" w:sz="6" w:space="0" w:color="000000"/>
              <w:left w:val="single" w:sz="6" w:space="0" w:color="000000"/>
              <w:bottom w:val="single" w:sz="6" w:space="0" w:color="000000"/>
              <w:right w:val="single" w:sz="6" w:space="0" w:color="000000"/>
            </w:tcBorders>
          </w:tcPr>
          <w:p w:rsidR="00CD252F" w:rsidRPr="008A36C9" w:rsidRDefault="00CD252F" w:rsidP="006C3621">
            <w:pPr>
              <w:pStyle w:val="naisc"/>
              <w:spacing w:before="0" w:after="0"/>
              <w:ind w:firstLine="720"/>
              <w:rPr>
                <w:sz w:val="20"/>
                <w:szCs w:val="20"/>
              </w:rPr>
            </w:pPr>
            <w:r w:rsidRPr="008A36C9">
              <w:rPr>
                <w:sz w:val="20"/>
                <w:szCs w:val="20"/>
              </w:rPr>
              <w:t>4</w:t>
            </w:r>
          </w:p>
        </w:tc>
        <w:tc>
          <w:tcPr>
            <w:tcW w:w="862" w:type="pct"/>
            <w:tcBorders>
              <w:top w:val="single" w:sz="4" w:space="0" w:color="auto"/>
              <w:left w:val="single" w:sz="4" w:space="0" w:color="auto"/>
              <w:bottom w:val="single" w:sz="4" w:space="0" w:color="auto"/>
              <w:right w:val="single" w:sz="4" w:space="0" w:color="auto"/>
            </w:tcBorders>
          </w:tcPr>
          <w:p w:rsidR="00CD252F" w:rsidRPr="008A36C9" w:rsidRDefault="00CD252F" w:rsidP="006C3621">
            <w:pPr>
              <w:jc w:val="center"/>
              <w:rPr>
                <w:sz w:val="20"/>
                <w:szCs w:val="20"/>
              </w:rPr>
            </w:pPr>
            <w:r w:rsidRPr="008A36C9">
              <w:rPr>
                <w:sz w:val="20"/>
                <w:szCs w:val="20"/>
              </w:rPr>
              <w:t>5</w:t>
            </w:r>
          </w:p>
        </w:tc>
        <w:tc>
          <w:tcPr>
            <w:tcW w:w="673" w:type="pct"/>
            <w:tcBorders>
              <w:top w:val="single" w:sz="4" w:space="0" w:color="auto"/>
              <w:left w:val="single" w:sz="4" w:space="0" w:color="auto"/>
              <w:bottom w:val="single" w:sz="4" w:space="0" w:color="auto"/>
            </w:tcBorders>
          </w:tcPr>
          <w:p w:rsidR="00CD252F" w:rsidRPr="008A36C9" w:rsidRDefault="00CD252F" w:rsidP="006C3621">
            <w:pPr>
              <w:jc w:val="center"/>
              <w:rPr>
                <w:sz w:val="20"/>
                <w:szCs w:val="20"/>
              </w:rPr>
            </w:pPr>
            <w:r w:rsidRPr="008A36C9">
              <w:rPr>
                <w:sz w:val="20"/>
                <w:szCs w:val="20"/>
              </w:rPr>
              <w:t>6</w:t>
            </w:r>
          </w:p>
        </w:tc>
      </w:tr>
    </w:tbl>
    <w:p w:rsidR="00CD252F" w:rsidRPr="00712B66" w:rsidRDefault="00CD252F" w:rsidP="00CD252F">
      <w:pPr>
        <w:pStyle w:val="naisf"/>
        <w:spacing w:before="0" w:after="0"/>
        <w:ind w:firstLine="0"/>
      </w:pPr>
    </w:p>
    <w:p w:rsidR="00CD252F" w:rsidRPr="00712B66" w:rsidRDefault="00CD252F" w:rsidP="00CD252F">
      <w:pPr>
        <w:pStyle w:val="naisf"/>
        <w:spacing w:before="0" w:after="0"/>
        <w:ind w:firstLine="0"/>
        <w:rPr>
          <w:b/>
        </w:rPr>
      </w:pPr>
      <w:r w:rsidRPr="00712B66">
        <w:rPr>
          <w:b/>
        </w:rPr>
        <w:t>Informācija par starpministriju (starpinstitūciju) sanāksmi vai elektronisko saskaņošanu</w:t>
      </w:r>
    </w:p>
    <w:p w:rsidR="00CD252F" w:rsidRPr="00712B66" w:rsidRDefault="00CD252F" w:rsidP="00CD252F">
      <w:pPr>
        <w:pStyle w:val="naisf"/>
        <w:spacing w:before="0" w:after="0"/>
        <w:ind w:firstLine="0"/>
        <w:rPr>
          <w:b/>
        </w:rPr>
      </w:pPr>
    </w:p>
    <w:tbl>
      <w:tblPr>
        <w:tblW w:w="5000" w:type="pct"/>
        <w:tblLook w:val="00A0" w:firstRow="1" w:lastRow="0" w:firstColumn="1" w:lastColumn="0" w:noHBand="0" w:noVBand="0"/>
      </w:tblPr>
      <w:tblGrid>
        <w:gridCol w:w="2989"/>
        <w:gridCol w:w="11230"/>
      </w:tblGrid>
      <w:tr w:rsidR="00CD252F" w:rsidRPr="00712B66" w:rsidTr="006C3621">
        <w:tc>
          <w:tcPr>
            <w:tcW w:w="1051" w:type="pct"/>
          </w:tcPr>
          <w:p w:rsidR="00CD252F" w:rsidRPr="00712B66" w:rsidRDefault="00CD252F" w:rsidP="006C3621">
            <w:pPr>
              <w:pStyle w:val="naisf"/>
              <w:spacing w:before="0" w:after="0"/>
              <w:ind w:firstLine="0"/>
            </w:pPr>
            <w:r w:rsidRPr="00712B66">
              <w:t>Datums</w:t>
            </w:r>
          </w:p>
        </w:tc>
        <w:tc>
          <w:tcPr>
            <w:tcW w:w="3949" w:type="pct"/>
            <w:tcBorders>
              <w:bottom w:val="single" w:sz="4" w:space="0" w:color="auto"/>
            </w:tcBorders>
          </w:tcPr>
          <w:p w:rsidR="00CD252F" w:rsidRPr="00712B66" w:rsidRDefault="00CD252F" w:rsidP="006C3621">
            <w:pPr>
              <w:pStyle w:val="NormalWeb"/>
              <w:spacing w:before="0" w:beforeAutospacing="0" w:after="0" w:afterAutospacing="0"/>
            </w:pPr>
            <w:r>
              <w:t>Elektroniskā saskaņošana no 2019.gada 8. – 12.aprīlim</w:t>
            </w:r>
          </w:p>
        </w:tc>
      </w:tr>
      <w:tr w:rsidR="00CD252F" w:rsidRPr="00712B66" w:rsidTr="006C3621">
        <w:tc>
          <w:tcPr>
            <w:tcW w:w="1051" w:type="pct"/>
          </w:tcPr>
          <w:p w:rsidR="00CD252F" w:rsidRPr="00712B66" w:rsidRDefault="00CD252F" w:rsidP="006C3621">
            <w:pPr>
              <w:pStyle w:val="naisf"/>
              <w:spacing w:before="0" w:after="0"/>
              <w:ind w:firstLine="0"/>
            </w:pPr>
          </w:p>
        </w:tc>
        <w:tc>
          <w:tcPr>
            <w:tcW w:w="3949" w:type="pct"/>
            <w:tcBorders>
              <w:top w:val="single" w:sz="4" w:space="0" w:color="auto"/>
            </w:tcBorders>
          </w:tcPr>
          <w:p w:rsidR="00CD252F" w:rsidRPr="00712B66" w:rsidRDefault="00CD252F" w:rsidP="006C3621">
            <w:pPr>
              <w:pStyle w:val="NormalWeb"/>
              <w:spacing w:before="0" w:beforeAutospacing="0" w:after="0" w:afterAutospacing="0"/>
              <w:ind w:firstLine="720"/>
            </w:pPr>
          </w:p>
        </w:tc>
      </w:tr>
      <w:tr w:rsidR="00CD252F" w:rsidRPr="00712B66" w:rsidTr="006C3621">
        <w:tc>
          <w:tcPr>
            <w:tcW w:w="1051" w:type="pct"/>
          </w:tcPr>
          <w:p w:rsidR="00CD252F" w:rsidRPr="00712B66" w:rsidRDefault="00CD252F" w:rsidP="006C3621">
            <w:pPr>
              <w:pStyle w:val="naiskr"/>
              <w:spacing w:before="0" w:after="0"/>
            </w:pPr>
            <w:r>
              <w:t>Saskaņošanas d</w:t>
            </w:r>
            <w:r w:rsidRPr="00712B66">
              <w:t>alībnieki</w:t>
            </w:r>
          </w:p>
        </w:tc>
        <w:tc>
          <w:tcPr>
            <w:tcW w:w="3949" w:type="pct"/>
          </w:tcPr>
          <w:p w:rsidR="00CD252F" w:rsidRPr="00712B66" w:rsidRDefault="00CD252F" w:rsidP="006C3621">
            <w:pPr>
              <w:pStyle w:val="NormalWeb"/>
              <w:spacing w:before="0" w:beforeAutospacing="0" w:after="0" w:afterAutospacing="0"/>
            </w:pPr>
            <w:r>
              <w:t xml:space="preserve">Tieslietu ministrija, Finanšu ministrija, </w:t>
            </w:r>
          </w:p>
        </w:tc>
      </w:tr>
      <w:tr w:rsidR="00CD252F" w:rsidRPr="00712B66" w:rsidTr="006C3621">
        <w:tc>
          <w:tcPr>
            <w:tcW w:w="1051" w:type="pct"/>
          </w:tcPr>
          <w:p w:rsidR="00CD252F" w:rsidRPr="00712B66" w:rsidRDefault="00CD252F" w:rsidP="006C3621">
            <w:pPr>
              <w:pStyle w:val="naiskr"/>
              <w:spacing w:before="0" w:after="0"/>
              <w:ind w:firstLine="720"/>
            </w:pPr>
            <w:r w:rsidRPr="00712B66">
              <w:t>  </w:t>
            </w:r>
          </w:p>
        </w:tc>
        <w:tc>
          <w:tcPr>
            <w:tcW w:w="3949" w:type="pct"/>
            <w:tcBorders>
              <w:top w:val="single" w:sz="6" w:space="0" w:color="000000"/>
              <w:bottom w:val="single" w:sz="6" w:space="0" w:color="000000"/>
            </w:tcBorders>
          </w:tcPr>
          <w:p w:rsidR="00CD252F" w:rsidRPr="00712B66" w:rsidRDefault="00CD252F" w:rsidP="006C3621">
            <w:pPr>
              <w:pStyle w:val="naiskr"/>
              <w:spacing w:before="0" w:after="0"/>
            </w:pPr>
            <w:r w:rsidRPr="002F281F">
              <w:rPr>
                <w:rFonts w:eastAsiaTheme="minorHAnsi"/>
                <w:color w:val="000000"/>
                <w:lang w:eastAsia="en-US"/>
              </w:rPr>
              <w:t>Latvijas Brīvo arodbiedrību savienība</w:t>
            </w:r>
          </w:p>
        </w:tc>
      </w:tr>
      <w:tr w:rsidR="00CD252F" w:rsidRPr="00712B66" w:rsidTr="006C3621">
        <w:tc>
          <w:tcPr>
            <w:tcW w:w="1051" w:type="pct"/>
          </w:tcPr>
          <w:p w:rsidR="00CD252F" w:rsidRPr="00712B66" w:rsidRDefault="00CD252F" w:rsidP="006C3621">
            <w:pPr>
              <w:pStyle w:val="naiskr"/>
              <w:spacing w:before="0" w:after="0"/>
              <w:ind w:firstLine="720"/>
            </w:pPr>
          </w:p>
        </w:tc>
        <w:tc>
          <w:tcPr>
            <w:tcW w:w="3949" w:type="pct"/>
            <w:tcBorders>
              <w:top w:val="single" w:sz="6" w:space="0" w:color="000000"/>
              <w:bottom w:val="single" w:sz="6" w:space="0" w:color="000000"/>
            </w:tcBorders>
          </w:tcPr>
          <w:p w:rsidR="00CD252F" w:rsidRPr="00712B66" w:rsidRDefault="00CD252F" w:rsidP="006C3621">
            <w:pPr>
              <w:pStyle w:val="naiskr"/>
              <w:spacing w:before="0" w:after="0"/>
              <w:ind w:firstLine="720"/>
            </w:pPr>
          </w:p>
        </w:tc>
      </w:tr>
    </w:tbl>
    <w:p w:rsidR="00CD252F" w:rsidRDefault="00CD252F" w:rsidP="00CD252F"/>
    <w:tbl>
      <w:tblPr>
        <w:tblW w:w="5001" w:type="pct"/>
        <w:tblLook w:val="00A0" w:firstRow="1" w:lastRow="0" w:firstColumn="1" w:lastColumn="0" w:noHBand="0" w:noVBand="0"/>
      </w:tblPr>
      <w:tblGrid>
        <w:gridCol w:w="2989"/>
        <w:gridCol w:w="11233"/>
      </w:tblGrid>
      <w:tr w:rsidR="00CD252F" w:rsidRPr="00712B66" w:rsidTr="006C3621">
        <w:trPr>
          <w:trHeight w:val="285"/>
        </w:trPr>
        <w:tc>
          <w:tcPr>
            <w:tcW w:w="1051" w:type="pct"/>
          </w:tcPr>
          <w:p w:rsidR="00CD252F" w:rsidRDefault="00CD252F" w:rsidP="006C3621">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3949" w:type="pct"/>
            <w:tcBorders>
              <w:bottom w:val="single" w:sz="4" w:space="0" w:color="auto"/>
            </w:tcBorders>
          </w:tcPr>
          <w:p w:rsidR="00CD252F" w:rsidRPr="00712B66" w:rsidRDefault="00CD252F" w:rsidP="006C3621">
            <w:pPr>
              <w:pStyle w:val="naiskr"/>
              <w:spacing w:before="0" w:after="0"/>
              <w:ind w:firstLine="12"/>
            </w:pPr>
            <w:r>
              <w:t xml:space="preserve">Tieslietu ministrijas un </w:t>
            </w:r>
            <w:r w:rsidRPr="002F281F">
              <w:rPr>
                <w:rFonts w:eastAsiaTheme="minorHAnsi"/>
                <w:color w:val="000000"/>
                <w:lang w:eastAsia="en-US"/>
              </w:rPr>
              <w:t>Latvijas Brīvo arodbiedrību savienība</w:t>
            </w:r>
            <w:r>
              <w:rPr>
                <w:rFonts w:eastAsiaTheme="minorHAnsi"/>
                <w:color w:val="000000"/>
                <w:lang w:eastAsia="en-US"/>
              </w:rPr>
              <w:t>s</w:t>
            </w:r>
          </w:p>
        </w:tc>
      </w:tr>
      <w:tr w:rsidR="00CD252F" w:rsidRPr="00712B66" w:rsidTr="006C3621">
        <w:trPr>
          <w:trHeight w:val="285"/>
        </w:trPr>
        <w:tc>
          <w:tcPr>
            <w:tcW w:w="1051" w:type="pct"/>
          </w:tcPr>
          <w:p w:rsidR="00CD252F" w:rsidRPr="00712B66" w:rsidRDefault="00CD252F" w:rsidP="006C3621">
            <w:pPr>
              <w:pStyle w:val="naiskr"/>
              <w:spacing w:before="0" w:after="0"/>
            </w:pPr>
          </w:p>
        </w:tc>
        <w:tc>
          <w:tcPr>
            <w:tcW w:w="3949" w:type="pct"/>
            <w:tcBorders>
              <w:top w:val="single" w:sz="4" w:space="0" w:color="auto"/>
            </w:tcBorders>
          </w:tcPr>
          <w:p w:rsidR="00CD252F" w:rsidRPr="00712B66" w:rsidRDefault="00CD252F" w:rsidP="006C3621">
            <w:pPr>
              <w:pStyle w:val="naiskr"/>
              <w:spacing w:before="0" w:after="0"/>
              <w:ind w:firstLine="12"/>
            </w:pPr>
          </w:p>
        </w:tc>
      </w:tr>
      <w:tr w:rsidR="00CD252F" w:rsidRPr="00712B66" w:rsidTr="006C3621">
        <w:trPr>
          <w:trHeight w:val="465"/>
        </w:trPr>
        <w:tc>
          <w:tcPr>
            <w:tcW w:w="5000" w:type="pct"/>
            <w:gridSpan w:val="2"/>
          </w:tcPr>
          <w:p w:rsidR="00CD252F" w:rsidRPr="00712B66" w:rsidRDefault="00CD252F" w:rsidP="006C3621">
            <w:pPr>
              <w:pStyle w:val="naisc"/>
              <w:spacing w:before="0" w:after="0"/>
              <w:ind w:left="4820" w:firstLine="720"/>
            </w:pPr>
          </w:p>
        </w:tc>
      </w:tr>
      <w:tr w:rsidR="00CD252F" w:rsidRPr="00712B66" w:rsidTr="006C3621">
        <w:tc>
          <w:tcPr>
            <w:tcW w:w="1051" w:type="pct"/>
          </w:tcPr>
          <w:p w:rsidR="00CD252F" w:rsidRPr="00712B66" w:rsidRDefault="00CD252F" w:rsidP="006C3621">
            <w:pPr>
              <w:pStyle w:val="naiskr"/>
              <w:spacing w:before="0" w:after="0"/>
            </w:pPr>
            <w:r w:rsidRPr="00712B66">
              <w:t xml:space="preserve">Ministrijas (citas institūcijas), kuras nav </w:t>
            </w:r>
            <w:r w:rsidRPr="00712B66">
              <w:lastRenderedPageBreak/>
              <w:t>ieradušās uz sanāksmi vai kuras nav atbildējušas uz uzaicinājumu piedalīties</w:t>
            </w:r>
            <w:r>
              <w:t xml:space="preserve"> </w:t>
            </w:r>
            <w:r w:rsidRPr="00712B66">
              <w:t>elektroniskajā saskaņošanā</w:t>
            </w:r>
          </w:p>
        </w:tc>
        <w:tc>
          <w:tcPr>
            <w:tcW w:w="3949" w:type="pct"/>
            <w:tcBorders>
              <w:bottom w:val="single" w:sz="4" w:space="0" w:color="auto"/>
            </w:tcBorders>
          </w:tcPr>
          <w:p w:rsidR="00CD252F" w:rsidRPr="00712B66" w:rsidRDefault="00CD252F" w:rsidP="006C3621">
            <w:pPr>
              <w:pStyle w:val="naiskr"/>
              <w:spacing w:before="0" w:after="0"/>
              <w:ind w:firstLine="720"/>
            </w:pPr>
            <w:r>
              <w:lastRenderedPageBreak/>
              <w:t xml:space="preserve">    </w:t>
            </w:r>
          </w:p>
        </w:tc>
      </w:tr>
      <w:tr w:rsidR="00CD252F" w:rsidRPr="00712B66" w:rsidTr="006C3621">
        <w:tc>
          <w:tcPr>
            <w:tcW w:w="1051" w:type="pct"/>
          </w:tcPr>
          <w:p w:rsidR="00CD252F" w:rsidRPr="00712B66" w:rsidRDefault="00CD252F" w:rsidP="006C3621">
            <w:pPr>
              <w:pStyle w:val="naiskr"/>
              <w:spacing w:before="0" w:after="0"/>
            </w:pPr>
          </w:p>
        </w:tc>
        <w:tc>
          <w:tcPr>
            <w:tcW w:w="3949" w:type="pct"/>
          </w:tcPr>
          <w:p w:rsidR="00CD252F" w:rsidRPr="00712B66" w:rsidRDefault="00CD252F" w:rsidP="006C3621">
            <w:pPr>
              <w:pStyle w:val="naiskr"/>
              <w:spacing w:before="0" w:after="0"/>
              <w:ind w:firstLine="720"/>
            </w:pPr>
          </w:p>
        </w:tc>
      </w:tr>
      <w:tr w:rsidR="00CD252F" w:rsidRPr="00712B66" w:rsidTr="006C3621">
        <w:tc>
          <w:tcPr>
            <w:tcW w:w="1051" w:type="pct"/>
          </w:tcPr>
          <w:p w:rsidR="00CD252F" w:rsidRPr="00712B66" w:rsidRDefault="00CD252F" w:rsidP="006C3621">
            <w:pPr>
              <w:pStyle w:val="naiskr"/>
              <w:spacing w:before="0" w:after="0"/>
            </w:pPr>
          </w:p>
        </w:tc>
        <w:tc>
          <w:tcPr>
            <w:tcW w:w="3949" w:type="pct"/>
          </w:tcPr>
          <w:p w:rsidR="00CD252F" w:rsidRPr="00712B66" w:rsidRDefault="00CD252F" w:rsidP="006C3621">
            <w:pPr>
              <w:pStyle w:val="naiskr"/>
              <w:spacing w:before="0" w:after="0"/>
              <w:ind w:firstLine="720"/>
            </w:pPr>
          </w:p>
        </w:tc>
      </w:tr>
    </w:tbl>
    <w:p w:rsidR="00CD252F" w:rsidRPr="00712B66" w:rsidRDefault="00CD252F" w:rsidP="00CD252F">
      <w:pPr>
        <w:pStyle w:val="naisf"/>
        <w:spacing w:before="0" w:after="0"/>
        <w:ind w:firstLine="0"/>
      </w:pPr>
    </w:p>
    <w:p w:rsidR="00CD252F" w:rsidRPr="00712B66" w:rsidRDefault="00CD252F" w:rsidP="00CD252F">
      <w:pPr>
        <w:pStyle w:val="naisf"/>
        <w:spacing w:before="0" w:after="0"/>
        <w:ind w:firstLine="0"/>
        <w:jc w:val="center"/>
        <w:rPr>
          <w:b/>
        </w:rPr>
      </w:pPr>
      <w:r w:rsidRPr="00712B66">
        <w:rPr>
          <w:b/>
        </w:rPr>
        <w:t>II. Jautājumi, par kuriem saskaņošanā vienošan</w:t>
      </w:r>
      <w:r>
        <w:rPr>
          <w:b/>
        </w:rPr>
        <w:t>ā</w:t>
      </w:r>
      <w:r w:rsidRPr="00712B66">
        <w:rPr>
          <w:b/>
        </w:rPr>
        <w:t>s ir panākta</w:t>
      </w:r>
    </w:p>
    <w:p w:rsidR="00CD252F" w:rsidRPr="00712B66" w:rsidRDefault="00CD252F" w:rsidP="00CD252F">
      <w:pPr>
        <w:pStyle w:val="naisf"/>
        <w:spacing w:before="0" w:after="0"/>
        <w:ind w:firstLine="720"/>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90"/>
        <w:gridCol w:w="2301"/>
        <w:gridCol w:w="518"/>
        <w:gridCol w:w="4112"/>
        <w:gridCol w:w="1032"/>
        <w:gridCol w:w="2070"/>
        <w:gridCol w:w="3196"/>
      </w:tblGrid>
      <w:tr w:rsidR="00CD252F" w:rsidRPr="00712B66" w:rsidTr="00826D91">
        <w:tc>
          <w:tcPr>
            <w:tcW w:w="348" w:type="pct"/>
            <w:tcBorders>
              <w:top w:val="single" w:sz="6" w:space="0" w:color="000000"/>
              <w:left w:val="single" w:sz="6" w:space="0" w:color="000000"/>
              <w:bottom w:val="single" w:sz="6" w:space="0" w:color="000000"/>
              <w:right w:val="single" w:sz="6" w:space="0" w:color="000000"/>
            </w:tcBorders>
            <w:vAlign w:val="center"/>
          </w:tcPr>
          <w:p w:rsidR="00CD252F" w:rsidRPr="00712B66" w:rsidRDefault="00CD252F" w:rsidP="006C3621">
            <w:pPr>
              <w:pStyle w:val="naisc"/>
              <w:spacing w:before="0" w:after="0"/>
            </w:pPr>
            <w:r w:rsidRPr="00712B66">
              <w:t>Nr. p.k.</w:t>
            </w:r>
          </w:p>
        </w:tc>
        <w:tc>
          <w:tcPr>
            <w:tcW w:w="991" w:type="pct"/>
            <w:gridSpan w:val="2"/>
            <w:tcBorders>
              <w:top w:val="single" w:sz="6" w:space="0" w:color="000000"/>
              <w:left w:val="single" w:sz="6" w:space="0" w:color="000000"/>
              <w:bottom w:val="single" w:sz="6" w:space="0" w:color="000000"/>
              <w:right w:val="single" w:sz="6" w:space="0" w:color="000000"/>
            </w:tcBorders>
            <w:vAlign w:val="center"/>
          </w:tcPr>
          <w:p w:rsidR="00CD252F" w:rsidRPr="00712B66" w:rsidRDefault="00CD252F" w:rsidP="006C3621">
            <w:pPr>
              <w:pStyle w:val="naisc"/>
              <w:spacing w:before="0" w:after="0"/>
              <w:ind w:firstLine="12"/>
            </w:pPr>
            <w:r w:rsidRPr="00712B66">
              <w:t>Saskaņošanai nosūtītā projekta redakcija (konkrēta punkta (panta) redakcija)</w:t>
            </w:r>
          </w:p>
        </w:tc>
        <w:tc>
          <w:tcPr>
            <w:tcW w:w="1446" w:type="pct"/>
            <w:tcBorders>
              <w:top w:val="single" w:sz="6" w:space="0" w:color="000000"/>
              <w:left w:val="single" w:sz="6" w:space="0" w:color="000000"/>
              <w:bottom w:val="single" w:sz="6" w:space="0" w:color="000000"/>
              <w:right w:val="single" w:sz="6" w:space="0" w:color="000000"/>
            </w:tcBorders>
            <w:vAlign w:val="center"/>
          </w:tcPr>
          <w:p w:rsidR="00CD252F" w:rsidRPr="00712B66" w:rsidRDefault="00CD252F" w:rsidP="006C3621">
            <w:pPr>
              <w:pStyle w:val="naisc"/>
              <w:spacing w:before="0" w:after="0"/>
              <w:ind w:right="3"/>
            </w:pPr>
            <w:r w:rsidRPr="00712B66">
              <w:t>Atzinumā norādītais ministrijas (citas institūcijas) iebildums, kā arī saskaņošanā papildus izteiktais iebildums par projekta konkrēto punktu (pantu)</w:t>
            </w:r>
          </w:p>
        </w:tc>
        <w:tc>
          <w:tcPr>
            <w:tcW w:w="1091" w:type="pct"/>
            <w:gridSpan w:val="2"/>
            <w:tcBorders>
              <w:top w:val="single" w:sz="6" w:space="0" w:color="000000"/>
              <w:left w:val="single" w:sz="6" w:space="0" w:color="000000"/>
              <w:bottom w:val="single" w:sz="6" w:space="0" w:color="000000"/>
              <w:right w:val="single" w:sz="6" w:space="0" w:color="000000"/>
            </w:tcBorders>
            <w:vAlign w:val="center"/>
          </w:tcPr>
          <w:p w:rsidR="00CD252F" w:rsidRPr="00712B66" w:rsidRDefault="00CD252F" w:rsidP="006C3621">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1124" w:type="pct"/>
            <w:tcBorders>
              <w:top w:val="single" w:sz="4" w:space="0" w:color="auto"/>
              <w:left w:val="single" w:sz="4" w:space="0" w:color="auto"/>
              <w:bottom w:val="single" w:sz="4" w:space="0" w:color="auto"/>
            </w:tcBorders>
            <w:vAlign w:val="center"/>
          </w:tcPr>
          <w:p w:rsidR="00CD252F" w:rsidRPr="00712B66" w:rsidRDefault="00CD252F" w:rsidP="006C3621">
            <w:pPr>
              <w:jc w:val="center"/>
            </w:pPr>
            <w:r w:rsidRPr="00712B66">
              <w:t>Projekta attiecīgā punkta (panta) galīgā redakcija</w:t>
            </w:r>
          </w:p>
        </w:tc>
      </w:tr>
      <w:tr w:rsidR="00CD252F" w:rsidRPr="003B71E0" w:rsidTr="00826D91">
        <w:tc>
          <w:tcPr>
            <w:tcW w:w="348" w:type="pct"/>
            <w:tcBorders>
              <w:top w:val="single" w:sz="6" w:space="0" w:color="000000"/>
              <w:left w:val="single" w:sz="6" w:space="0" w:color="000000"/>
              <w:bottom w:val="single" w:sz="6" w:space="0" w:color="000000"/>
              <w:right w:val="single" w:sz="6" w:space="0" w:color="000000"/>
            </w:tcBorders>
          </w:tcPr>
          <w:p w:rsidR="00CD252F" w:rsidRPr="003B71E0" w:rsidRDefault="00CD252F" w:rsidP="006C3621">
            <w:pPr>
              <w:pStyle w:val="naisc"/>
              <w:spacing w:before="0" w:after="0"/>
              <w:rPr>
                <w:sz w:val="20"/>
                <w:szCs w:val="20"/>
              </w:rPr>
            </w:pPr>
            <w:r w:rsidRPr="003B71E0">
              <w:rPr>
                <w:sz w:val="20"/>
                <w:szCs w:val="20"/>
              </w:rPr>
              <w:t>1</w:t>
            </w:r>
          </w:p>
        </w:tc>
        <w:tc>
          <w:tcPr>
            <w:tcW w:w="991" w:type="pct"/>
            <w:gridSpan w:val="2"/>
            <w:tcBorders>
              <w:top w:val="single" w:sz="6" w:space="0" w:color="000000"/>
              <w:left w:val="single" w:sz="6" w:space="0" w:color="000000"/>
              <w:bottom w:val="single" w:sz="6" w:space="0" w:color="000000"/>
              <w:right w:val="single" w:sz="6" w:space="0" w:color="000000"/>
            </w:tcBorders>
          </w:tcPr>
          <w:p w:rsidR="00CD252F" w:rsidRPr="003B71E0" w:rsidRDefault="00CD252F" w:rsidP="006C3621">
            <w:pPr>
              <w:pStyle w:val="naisc"/>
              <w:spacing w:before="0" w:after="0"/>
              <w:ind w:firstLine="720"/>
              <w:rPr>
                <w:sz w:val="20"/>
                <w:szCs w:val="20"/>
              </w:rPr>
            </w:pPr>
            <w:r>
              <w:rPr>
                <w:sz w:val="20"/>
                <w:szCs w:val="20"/>
              </w:rPr>
              <w:t>2</w:t>
            </w:r>
          </w:p>
        </w:tc>
        <w:tc>
          <w:tcPr>
            <w:tcW w:w="1446" w:type="pct"/>
            <w:tcBorders>
              <w:top w:val="single" w:sz="6" w:space="0" w:color="000000"/>
              <w:left w:val="single" w:sz="6" w:space="0" w:color="000000"/>
              <w:bottom w:val="single" w:sz="6" w:space="0" w:color="000000"/>
              <w:right w:val="single" w:sz="6" w:space="0" w:color="000000"/>
            </w:tcBorders>
          </w:tcPr>
          <w:p w:rsidR="00CD252F" w:rsidRPr="003B71E0" w:rsidRDefault="00CD252F" w:rsidP="006C3621">
            <w:pPr>
              <w:pStyle w:val="naisc"/>
              <w:spacing w:before="0" w:after="0"/>
              <w:ind w:firstLine="720"/>
              <w:rPr>
                <w:sz w:val="20"/>
                <w:szCs w:val="20"/>
              </w:rPr>
            </w:pPr>
            <w:r w:rsidRPr="003B71E0">
              <w:rPr>
                <w:sz w:val="20"/>
                <w:szCs w:val="20"/>
              </w:rPr>
              <w:t>3</w:t>
            </w:r>
          </w:p>
        </w:tc>
        <w:tc>
          <w:tcPr>
            <w:tcW w:w="1091" w:type="pct"/>
            <w:gridSpan w:val="2"/>
            <w:tcBorders>
              <w:top w:val="single" w:sz="6" w:space="0" w:color="000000"/>
              <w:left w:val="single" w:sz="6" w:space="0" w:color="000000"/>
              <w:bottom w:val="single" w:sz="6" w:space="0" w:color="000000"/>
              <w:right w:val="single" w:sz="6" w:space="0" w:color="000000"/>
            </w:tcBorders>
          </w:tcPr>
          <w:p w:rsidR="00CD252F" w:rsidRPr="003B71E0" w:rsidRDefault="00CD252F" w:rsidP="006C3621">
            <w:pPr>
              <w:pStyle w:val="naisc"/>
              <w:spacing w:before="0" w:after="0"/>
              <w:ind w:firstLine="720"/>
              <w:rPr>
                <w:sz w:val="20"/>
                <w:szCs w:val="20"/>
              </w:rPr>
            </w:pPr>
            <w:r w:rsidRPr="003B71E0">
              <w:rPr>
                <w:sz w:val="20"/>
                <w:szCs w:val="20"/>
              </w:rPr>
              <w:t>4</w:t>
            </w:r>
          </w:p>
        </w:tc>
        <w:tc>
          <w:tcPr>
            <w:tcW w:w="1124" w:type="pct"/>
            <w:tcBorders>
              <w:top w:val="single" w:sz="4" w:space="0" w:color="auto"/>
              <w:left w:val="single" w:sz="4" w:space="0" w:color="auto"/>
              <w:bottom w:val="single" w:sz="4" w:space="0" w:color="auto"/>
            </w:tcBorders>
          </w:tcPr>
          <w:p w:rsidR="00CD252F" w:rsidRPr="003B71E0" w:rsidRDefault="00CD252F" w:rsidP="006C3621">
            <w:pPr>
              <w:jc w:val="center"/>
              <w:rPr>
                <w:sz w:val="20"/>
                <w:szCs w:val="20"/>
              </w:rPr>
            </w:pPr>
            <w:r w:rsidRPr="003B71E0">
              <w:rPr>
                <w:sz w:val="20"/>
                <w:szCs w:val="20"/>
              </w:rPr>
              <w:t>5</w:t>
            </w:r>
          </w:p>
        </w:tc>
      </w:tr>
      <w:tr w:rsidR="00CD252F" w:rsidRPr="00712B66" w:rsidTr="006C3621">
        <w:tc>
          <w:tcPr>
            <w:tcW w:w="5000" w:type="pct"/>
            <w:gridSpan w:val="7"/>
            <w:tcBorders>
              <w:left w:val="single" w:sz="6" w:space="0" w:color="000000"/>
              <w:bottom w:val="single" w:sz="4" w:space="0" w:color="auto"/>
            </w:tcBorders>
          </w:tcPr>
          <w:p w:rsidR="00CD252F" w:rsidRPr="00AB6BD0" w:rsidRDefault="00CD252F" w:rsidP="006C3621">
            <w:pPr>
              <w:jc w:val="center"/>
              <w:rPr>
                <w:b/>
              </w:rPr>
            </w:pPr>
            <w:r w:rsidRPr="00AB6BD0">
              <w:rPr>
                <w:b/>
              </w:rPr>
              <w:t>Tieslietu ministrija</w:t>
            </w:r>
          </w:p>
        </w:tc>
      </w:tr>
      <w:tr w:rsidR="00CD252F" w:rsidRPr="00AC6B68" w:rsidTr="00826D91">
        <w:tc>
          <w:tcPr>
            <w:tcW w:w="348" w:type="pct"/>
            <w:tcBorders>
              <w:left w:val="single" w:sz="6" w:space="0" w:color="000000"/>
              <w:bottom w:val="single" w:sz="4" w:space="0" w:color="auto"/>
              <w:right w:val="single" w:sz="6" w:space="0" w:color="000000"/>
            </w:tcBorders>
          </w:tcPr>
          <w:p w:rsidR="00CD252F" w:rsidRPr="00AC6B68" w:rsidRDefault="00CD252F" w:rsidP="006C3621">
            <w:r w:rsidRPr="00AC6B68">
              <w:t>1.</w:t>
            </w:r>
          </w:p>
        </w:tc>
        <w:tc>
          <w:tcPr>
            <w:tcW w:w="991" w:type="pct"/>
            <w:gridSpan w:val="2"/>
            <w:tcBorders>
              <w:left w:val="single" w:sz="6" w:space="0" w:color="000000"/>
              <w:bottom w:val="single" w:sz="4" w:space="0" w:color="auto"/>
              <w:right w:val="single" w:sz="6" w:space="0" w:color="000000"/>
            </w:tcBorders>
          </w:tcPr>
          <w:p w:rsidR="00CD252F" w:rsidRPr="00AC6B68" w:rsidRDefault="00CD252F" w:rsidP="006C3621">
            <w:pPr>
              <w:pStyle w:val="naisc"/>
              <w:spacing w:before="0" w:after="0"/>
              <w:jc w:val="left"/>
            </w:pPr>
            <w:r w:rsidRPr="00AC6B68">
              <w:t>Likumprojekta 5.pants (likuma pārejas noteikumu 23.punkts):</w:t>
            </w:r>
          </w:p>
          <w:p w:rsidR="00CD252F" w:rsidRPr="00AC6B68" w:rsidRDefault="00CD252F" w:rsidP="006C3621">
            <w:pPr>
              <w:pStyle w:val="naisc"/>
              <w:spacing w:before="0" w:after="0"/>
              <w:jc w:val="left"/>
            </w:pPr>
            <w:r w:rsidRPr="00AC6B68">
              <w:t>„23. Apdrošinātām personām, kurām apdrošināšanas gadījums iestājies līdz 2019.gada 31.decembrim, slimības pabalsta aprēķināšanai izmanto personas vidējo apdrošināšanas iemaksu algu, kas noteikta saskaņā ar tiesību normām, kas ir spēkā līdz 2019.gada 31.decembrim.”</w:t>
            </w:r>
          </w:p>
        </w:tc>
        <w:tc>
          <w:tcPr>
            <w:tcW w:w="1446" w:type="pct"/>
            <w:tcBorders>
              <w:left w:val="single" w:sz="6" w:space="0" w:color="000000"/>
              <w:bottom w:val="single" w:sz="4" w:space="0" w:color="auto"/>
              <w:right w:val="single" w:sz="6" w:space="0" w:color="000000"/>
            </w:tcBorders>
          </w:tcPr>
          <w:p w:rsidR="00CD252F" w:rsidRPr="00AC6B68" w:rsidRDefault="00CD252F" w:rsidP="006C3621">
            <w:pPr>
              <w:jc w:val="both"/>
            </w:pPr>
            <w:r w:rsidRPr="00AC6B68">
              <w:t>Tiesiskās noteiktības nolūkā lūdzam projektā noteikt pārejas regulējumu arī attiecībā uz apbedīšanas pabalsta aprēķināšanu vai arī projekta anotācijā skaidrot, kādēļ tas nav nepieciešams.</w:t>
            </w:r>
          </w:p>
        </w:tc>
        <w:tc>
          <w:tcPr>
            <w:tcW w:w="1091" w:type="pct"/>
            <w:gridSpan w:val="2"/>
            <w:tcBorders>
              <w:left w:val="single" w:sz="6" w:space="0" w:color="000000"/>
              <w:bottom w:val="single" w:sz="4" w:space="0" w:color="auto"/>
              <w:right w:val="single" w:sz="6" w:space="0" w:color="000000"/>
            </w:tcBorders>
          </w:tcPr>
          <w:p w:rsidR="00CD252F" w:rsidRPr="00AC6B68" w:rsidRDefault="00CD252F" w:rsidP="006C3621">
            <w:pPr>
              <w:pStyle w:val="naisc"/>
              <w:spacing w:before="0" w:after="0"/>
              <w:rPr>
                <w:b/>
              </w:rPr>
            </w:pPr>
            <w:r>
              <w:rPr>
                <w:b/>
              </w:rPr>
              <w:t>Iebildums ņemts vērā.</w:t>
            </w:r>
          </w:p>
        </w:tc>
        <w:tc>
          <w:tcPr>
            <w:tcW w:w="1124" w:type="pct"/>
            <w:tcBorders>
              <w:top w:val="single" w:sz="4" w:space="0" w:color="auto"/>
              <w:left w:val="single" w:sz="4" w:space="0" w:color="auto"/>
              <w:bottom w:val="single" w:sz="4" w:space="0" w:color="auto"/>
            </w:tcBorders>
          </w:tcPr>
          <w:p w:rsidR="00CD252F" w:rsidRPr="00AC6B68" w:rsidRDefault="00CD252F" w:rsidP="006C3621">
            <w:pPr>
              <w:pStyle w:val="naisc"/>
              <w:spacing w:before="0" w:after="0"/>
              <w:jc w:val="left"/>
            </w:pPr>
            <w:r w:rsidRPr="00AC6B68">
              <w:t>Likumprojekta 5.pants (likuma pārejas noteikumu 23.punkts):</w:t>
            </w:r>
          </w:p>
          <w:p w:rsidR="00CD252F" w:rsidRPr="00AC6B68" w:rsidRDefault="00CD252F" w:rsidP="006C3621">
            <w:pPr>
              <w:jc w:val="both"/>
            </w:pPr>
            <w:r w:rsidRPr="00AC6B68">
              <w:t xml:space="preserve">„23. </w:t>
            </w:r>
            <w:r w:rsidR="00F41108" w:rsidRPr="00C57F49">
              <w:t xml:space="preserve">Apdrošinātām personām, </w:t>
            </w:r>
            <w:proofErr w:type="gramStart"/>
            <w:r w:rsidR="00F41108" w:rsidRPr="00C57F49">
              <w:t>kurām apdrošināšanas gadījums iestājies</w:t>
            </w:r>
            <w:proofErr w:type="gramEnd"/>
            <w:r w:rsidR="00F41108" w:rsidRPr="00C57F49">
              <w:t xml:space="preserve"> līdz 2020.gada 31.decembrim, slimības pabalsta, apbedīšanas pabalsta, atlīdzības par darbspēju zaudējumu un atlīdzības par apgādnieka zaudējumu aprēķināšanai izmanto personas vidējo apdrošināšanas iemaksu algu, kas noteikta saskaņā ar tiesību normām, kas ir spēkā līdz 2020.gada 31.decembrim.”</w:t>
            </w:r>
          </w:p>
        </w:tc>
      </w:tr>
      <w:tr w:rsidR="00CD252F" w:rsidRPr="00AB6BD0" w:rsidTr="00826D91">
        <w:tc>
          <w:tcPr>
            <w:tcW w:w="348" w:type="pct"/>
            <w:tcBorders>
              <w:left w:val="single" w:sz="6" w:space="0" w:color="000000"/>
              <w:bottom w:val="single" w:sz="4" w:space="0" w:color="auto"/>
              <w:right w:val="single" w:sz="6" w:space="0" w:color="000000"/>
            </w:tcBorders>
          </w:tcPr>
          <w:p w:rsidR="00CD252F" w:rsidRPr="00AB6BD0" w:rsidRDefault="00CD252F" w:rsidP="006C3621">
            <w:r w:rsidRPr="00AB6BD0">
              <w:lastRenderedPageBreak/>
              <w:t>2.</w:t>
            </w:r>
          </w:p>
        </w:tc>
        <w:tc>
          <w:tcPr>
            <w:tcW w:w="991" w:type="pct"/>
            <w:gridSpan w:val="2"/>
            <w:tcBorders>
              <w:left w:val="single" w:sz="6" w:space="0" w:color="000000"/>
              <w:bottom w:val="single" w:sz="4" w:space="0" w:color="auto"/>
              <w:right w:val="single" w:sz="6" w:space="0" w:color="000000"/>
            </w:tcBorders>
          </w:tcPr>
          <w:p w:rsidR="00CD252F" w:rsidRPr="00171C63" w:rsidRDefault="00CD252F" w:rsidP="006C3621">
            <w:pPr>
              <w:pStyle w:val="naisc"/>
              <w:spacing w:before="0" w:after="0"/>
              <w:jc w:val="left"/>
            </w:pPr>
            <w:r w:rsidRPr="00171C63">
              <w:t>Likumprojekta 5.pants (likuma pārejas noteikumu 23.un 24.punkts):</w:t>
            </w:r>
          </w:p>
          <w:p w:rsidR="00CD252F" w:rsidRPr="00171C63" w:rsidRDefault="00CD252F" w:rsidP="006C3621">
            <w:pPr>
              <w:shd w:val="clear" w:color="auto" w:fill="FFFFFF"/>
              <w:tabs>
                <w:tab w:val="left" w:pos="1134"/>
              </w:tabs>
              <w:ind w:firstLine="2"/>
              <w:jc w:val="both"/>
            </w:pPr>
            <w:r>
              <w:t>„</w:t>
            </w:r>
            <w:r w:rsidRPr="00171C63">
              <w:t>23. Apdrošinātām personām, kurām apdrošināšanas gadījums iestājies līdz 2019.gada 31.decembrim, slimības pabalsta aprēķināšanai izmanto personas vidējo apdrošināšanas iemaksu algu, kas noteikta saskaņā ar tiesību normām, kas ir spēkā līdz 2019.gada 31.decembrim.</w:t>
            </w:r>
          </w:p>
          <w:p w:rsidR="00CD252F" w:rsidRPr="00171C63" w:rsidRDefault="00CD252F" w:rsidP="006C3621">
            <w:pPr>
              <w:shd w:val="clear" w:color="auto" w:fill="FFFFFF"/>
              <w:tabs>
                <w:tab w:val="left" w:pos="427"/>
              </w:tabs>
              <w:ind w:firstLine="2"/>
              <w:jc w:val="both"/>
            </w:pPr>
            <w:r w:rsidRPr="00171C63">
              <w:t xml:space="preserve">24. Apdrošinātām personām, </w:t>
            </w:r>
            <w:proofErr w:type="gramStart"/>
            <w:r w:rsidRPr="00171C63">
              <w:t>kurām apdrošināšanas gadījums iestājies</w:t>
            </w:r>
            <w:proofErr w:type="gramEnd"/>
            <w:r w:rsidRPr="00171C63">
              <w:t xml:space="preserve"> līdz 2020.gada 31.decembrim, atlīdzības par darbspēju zaudējumu un atlīdzības par apgādnieka zaudējumu aprēķināšanai izmanto personas vidējo apdrošināšanas iemaksu algu, kas noteikta saskaņā ar tiesību normām, kas ir spēkā līdz 2020.gada 31.decembrim.”</w:t>
            </w:r>
          </w:p>
          <w:p w:rsidR="00CD252F" w:rsidRPr="00171C63" w:rsidRDefault="00CD252F" w:rsidP="006C3621">
            <w:pPr>
              <w:pStyle w:val="naisc"/>
              <w:spacing w:before="0" w:after="0"/>
              <w:jc w:val="left"/>
            </w:pPr>
          </w:p>
        </w:tc>
        <w:tc>
          <w:tcPr>
            <w:tcW w:w="1446" w:type="pct"/>
            <w:tcBorders>
              <w:left w:val="single" w:sz="6" w:space="0" w:color="000000"/>
              <w:bottom w:val="single" w:sz="4" w:space="0" w:color="auto"/>
              <w:right w:val="single" w:sz="6" w:space="0" w:color="000000"/>
            </w:tcBorders>
          </w:tcPr>
          <w:p w:rsidR="00CD252F" w:rsidRPr="00AB6BD0" w:rsidRDefault="00CD252F" w:rsidP="006C3621">
            <w:pPr>
              <w:jc w:val="both"/>
            </w:pPr>
            <w:r w:rsidRPr="00AB6BD0">
              <w:t>Projektā paredzētais pārejas noteikumu 23. un 24. punkts paredz atšķirīgus vecā regulējuma piemērošanas termiņus vidējās apdrošināšanas iemaksu algas noteikšanai slimības pabalsta un atlīdzības par darbspēju zaudējumu un apgādnieka zaudējumu aprēķinam. Lūdzam projekta anotācijā pamatot šādas atšķirīgas pieejas atkarībā no sociālās apdrošināšanas pakalpojuma veida nepieciešamību.</w:t>
            </w:r>
          </w:p>
        </w:tc>
        <w:tc>
          <w:tcPr>
            <w:tcW w:w="1091" w:type="pct"/>
            <w:gridSpan w:val="2"/>
            <w:tcBorders>
              <w:left w:val="single" w:sz="6" w:space="0" w:color="000000"/>
              <w:bottom w:val="single" w:sz="4" w:space="0" w:color="auto"/>
              <w:right w:val="single" w:sz="6" w:space="0" w:color="000000"/>
            </w:tcBorders>
          </w:tcPr>
          <w:p w:rsidR="00CD252F" w:rsidRPr="00AB6BD0" w:rsidRDefault="00CD252F" w:rsidP="006C3621">
            <w:pPr>
              <w:pStyle w:val="naisc"/>
              <w:spacing w:before="0" w:after="0"/>
              <w:rPr>
                <w:b/>
              </w:rPr>
            </w:pPr>
            <w:r>
              <w:rPr>
                <w:b/>
              </w:rPr>
              <w:t>Iebildums ņemts vērā.</w:t>
            </w:r>
          </w:p>
        </w:tc>
        <w:tc>
          <w:tcPr>
            <w:tcW w:w="1124" w:type="pct"/>
            <w:tcBorders>
              <w:top w:val="single" w:sz="4" w:space="0" w:color="auto"/>
              <w:left w:val="single" w:sz="4" w:space="0" w:color="auto"/>
              <w:bottom w:val="single" w:sz="4" w:space="0" w:color="auto"/>
            </w:tcBorders>
          </w:tcPr>
          <w:p w:rsidR="00CD252F" w:rsidRPr="00C57F49" w:rsidRDefault="00CD252F" w:rsidP="006C3621">
            <w:pPr>
              <w:pStyle w:val="naisc"/>
              <w:spacing w:before="0" w:after="0"/>
              <w:jc w:val="left"/>
            </w:pPr>
            <w:r w:rsidRPr="00C57F49">
              <w:t>Likumprojekta 5.pants (likuma pārejas noteikumu 23.punkts):</w:t>
            </w:r>
          </w:p>
          <w:p w:rsidR="00CD252F" w:rsidRPr="00C57F49" w:rsidRDefault="00CD252F" w:rsidP="00C57F49">
            <w:pPr>
              <w:shd w:val="clear" w:color="auto" w:fill="FFFFFF"/>
              <w:tabs>
                <w:tab w:val="left" w:pos="1134"/>
              </w:tabs>
              <w:ind w:firstLine="52"/>
              <w:jc w:val="both"/>
            </w:pPr>
            <w:r w:rsidRPr="00C57F49">
              <w:t>„</w:t>
            </w:r>
            <w:r w:rsidR="00C57F49" w:rsidRPr="00C57F49">
              <w:t xml:space="preserve">23. Apdrošinātām personām, </w:t>
            </w:r>
            <w:proofErr w:type="gramStart"/>
            <w:r w:rsidR="00C57F49" w:rsidRPr="00C57F49">
              <w:t>kurām apdrošināšanas gadījums iestājies</w:t>
            </w:r>
            <w:proofErr w:type="gramEnd"/>
            <w:r w:rsidR="00C57F49" w:rsidRPr="00C57F49">
              <w:t xml:space="preserve"> līdz 2020.gada 31.decembrim, slimības pabalsta, apbedīšanas pabalsta, atlīdzības par darbspēju zaudējumu un atlīdzības par apgādnieka zaudējumu aprēķināšanai izmanto personas vidējo apdrošināšanas iemaksu algu, kas noteikta saskaņā ar tiesību normām, kas ir spēkā līdz 2020.gada 31.decembrim.</w:t>
            </w:r>
            <w:r w:rsidRPr="00C57F49">
              <w:t>”</w:t>
            </w:r>
          </w:p>
          <w:p w:rsidR="00CD252F" w:rsidRPr="00C57F49" w:rsidRDefault="00CD252F" w:rsidP="006C3621">
            <w:pPr>
              <w:pStyle w:val="naisc"/>
              <w:spacing w:before="0" w:after="0"/>
              <w:jc w:val="left"/>
            </w:pPr>
          </w:p>
        </w:tc>
      </w:tr>
      <w:tr w:rsidR="00CD252F" w:rsidRPr="00AB6BD0" w:rsidTr="00826D91">
        <w:tc>
          <w:tcPr>
            <w:tcW w:w="348" w:type="pct"/>
            <w:tcBorders>
              <w:left w:val="single" w:sz="6" w:space="0" w:color="000000"/>
              <w:bottom w:val="single" w:sz="4" w:space="0" w:color="auto"/>
              <w:right w:val="single" w:sz="6" w:space="0" w:color="000000"/>
            </w:tcBorders>
          </w:tcPr>
          <w:p w:rsidR="00CD252F" w:rsidRPr="00AB6BD0" w:rsidRDefault="00CD252F" w:rsidP="006C3621">
            <w:r w:rsidRPr="00AB6BD0">
              <w:t>3.</w:t>
            </w:r>
          </w:p>
        </w:tc>
        <w:tc>
          <w:tcPr>
            <w:tcW w:w="991" w:type="pct"/>
            <w:gridSpan w:val="2"/>
            <w:tcBorders>
              <w:left w:val="single" w:sz="6" w:space="0" w:color="000000"/>
              <w:bottom w:val="single" w:sz="4" w:space="0" w:color="auto"/>
              <w:right w:val="single" w:sz="6" w:space="0" w:color="000000"/>
            </w:tcBorders>
          </w:tcPr>
          <w:p w:rsidR="00CD252F" w:rsidRPr="00171C63" w:rsidRDefault="00CD252F" w:rsidP="006C3621">
            <w:pPr>
              <w:pStyle w:val="naisc"/>
              <w:spacing w:before="0" w:after="0"/>
              <w:jc w:val="left"/>
            </w:pPr>
            <w:r w:rsidRPr="00171C63">
              <w:t xml:space="preserve">Likumprojekta 5.pants </w:t>
            </w:r>
            <w:r w:rsidRPr="00171C63">
              <w:lastRenderedPageBreak/>
              <w:t>(likuma pārejas noteikumu 27.punkts):</w:t>
            </w:r>
          </w:p>
          <w:p w:rsidR="00CD252F" w:rsidRPr="00171C63" w:rsidRDefault="00CD252F" w:rsidP="006C3621">
            <w:pPr>
              <w:shd w:val="clear" w:color="auto" w:fill="FFFFFF"/>
              <w:tabs>
                <w:tab w:val="left" w:pos="1134"/>
              </w:tabs>
              <w:ind w:firstLine="3"/>
              <w:jc w:val="both"/>
            </w:pPr>
            <w:r w:rsidRPr="00171C63">
              <w:t>„27. Šā likuma 12.panta pirmā daļa un grozījumi 20.panta trešās daļas 2.punktā stājas spēkā 2021.gada 1.janvārī.”</w:t>
            </w:r>
          </w:p>
          <w:p w:rsidR="00CD252F" w:rsidRPr="00171C63" w:rsidRDefault="00CD252F" w:rsidP="006C3621">
            <w:pPr>
              <w:pStyle w:val="naisc"/>
              <w:spacing w:before="0" w:after="0"/>
              <w:jc w:val="left"/>
            </w:pPr>
          </w:p>
        </w:tc>
        <w:tc>
          <w:tcPr>
            <w:tcW w:w="1446" w:type="pct"/>
            <w:tcBorders>
              <w:left w:val="single" w:sz="6" w:space="0" w:color="000000"/>
              <w:bottom w:val="single" w:sz="4" w:space="0" w:color="auto"/>
              <w:right w:val="single" w:sz="6" w:space="0" w:color="000000"/>
            </w:tcBorders>
          </w:tcPr>
          <w:p w:rsidR="00CD252F" w:rsidRDefault="00CD252F" w:rsidP="006C3621">
            <w:pPr>
              <w:jc w:val="both"/>
            </w:pPr>
            <w:r w:rsidRPr="00AB6BD0">
              <w:lastRenderedPageBreak/>
              <w:t xml:space="preserve">Vēršam uzmanību, ka projekta 1. pants </w:t>
            </w:r>
            <w:r w:rsidRPr="00AB6BD0">
              <w:lastRenderedPageBreak/>
              <w:t>paredz izteikt likuma “Par obligāto sociālo apdrošināšanu pret nelaimes gadījumiem darbā un arodslimībām” 12. panta pirmo daļu jaunā redakcijā, un projektā nav 12. panta. Attiecīgi lūdzam precizēt projektā paredzēto pārejas noteikumu 27. punkta redakciju, norādot, ka grozījumi likuma 12. panta pirmajā daļā attiecībā uz apdrošināšanas iemaksu algas noteikšanu stāsies spēkā noteiktajā termiņā.</w:t>
            </w:r>
          </w:p>
          <w:p w:rsidR="001B235C" w:rsidRPr="00AB6BD0" w:rsidRDefault="001B235C" w:rsidP="006C3621">
            <w:pPr>
              <w:jc w:val="both"/>
            </w:pPr>
          </w:p>
        </w:tc>
        <w:tc>
          <w:tcPr>
            <w:tcW w:w="1091" w:type="pct"/>
            <w:gridSpan w:val="2"/>
            <w:tcBorders>
              <w:left w:val="single" w:sz="6" w:space="0" w:color="000000"/>
              <w:bottom w:val="single" w:sz="4" w:space="0" w:color="auto"/>
              <w:right w:val="single" w:sz="6" w:space="0" w:color="000000"/>
            </w:tcBorders>
          </w:tcPr>
          <w:p w:rsidR="00CD252F" w:rsidRPr="00AB6BD0" w:rsidRDefault="00CD252F" w:rsidP="006C3621">
            <w:pPr>
              <w:pStyle w:val="naisc"/>
              <w:spacing w:before="0" w:after="0"/>
              <w:rPr>
                <w:b/>
              </w:rPr>
            </w:pPr>
            <w:r>
              <w:rPr>
                <w:b/>
              </w:rPr>
              <w:lastRenderedPageBreak/>
              <w:t>Iebildums ņemts vērā.</w:t>
            </w:r>
          </w:p>
        </w:tc>
        <w:tc>
          <w:tcPr>
            <w:tcW w:w="1124" w:type="pct"/>
            <w:tcBorders>
              <w:top w:val="single" w:sz="4" w:space="0" w:color="auto"/>
              <w:left w:val="single" w:sz="4" w:space="0" w:color="auto"/>
              <w:bottom w:val="single" w:sz="4" w:space="0" w:color="auto"/>
            </w:tcBorders>
          </w:tcPr>
          <w:p w:rsidR="00CD252F" w:rsidRPr="005D241E" w:rsidRDefault="00CD252F" w:rsidP="006C3621">
            <w:pPr>
              <w:pStyle w:val="naisc"/>
              <w:spacing w:before="0" w:after="0"/>
              <w:jc w:val="left"/>
            </w:pPr>
            <w:r w:rsidRPr="005D241E">
              <w:t>Likumprojekta 5.pa</w:t>
            </w:r>
            <w:r w:rsidR="005D241E" w:rsidRPr="005D241E">
              <w:t xml:space="preserve">nts (likuma </w:t>
            </w:r>
            <w:r w:rsidR="005D241E" w:rsidRPr="005D241E">
              <w:lastRenderedPageBreak/>
              <w:t>pārejas noteikumu 26</w:t>
            </w:r>
            <w:r w:rsidRPr="005D241E">
              <w:t>.punkts):</w:t>
            </w:r>
          </w:p>
          <w:p w:rsidR="00CD252F" w:rsidRPr="005D241E" w:rsidRDefault="005D241E" w:rsidP="006C3621">
            <w:pPr>
              <w:shd w:val="clear" w:color="auto" w:fill="FFFFFF"/>
              <w:tabs>
                <w:tab w:val="left" w:pos="1134"/>
              </w:tabs>
              <w:ind w:firstLine="3"/>
              <w:jc w:val="both"/>
            </w:pPr>
            <w:r w:rsidRPr="005D241E">
              <w:t>„26</w:t>
            </w:r>
            <w:r w:rsidR="00CD252F" w:rsidRPr="005D241E">
              <w:t xml:space="preserve">. </w:t>
            </w:r>
            <w:r w:rsidRPr="005D241E">
              <w:t>Grozījumi likuma 12.panta pirmajā daļā, likuma 12.panta 1.</w:t>
            </w:r>
            <w:r w:rsidRPr="005D241E">
              <w:rPr>
                <w:vertAlign w:val="superscript"/>
              </w:rPr>
              <w:t>1</w:t>
            </w:r>
            <w:r w:rsidRPr="005D241E">
              <w:t xml:space="preserve"> daļa un grozījumi likuma 20.panta trešās daļas 2.punktā stājas spēkā 2021.gada 1.janvārī</w:t>
            </w:r>
            <w:r w:rsidR="00CD252F" w:rsidRPr="005D241E">
              <w:t>.”</w:t>
            </w:r>
          </w:p>
          <w:p w:rsidR="00CD252F" w:rsidRPr="005D241E" w:rsidRDefault="00CD252F" w:rsidP="006C3621">
            <w:pPr>
              <w:pStyle w:val="naisc"/>
              <w:spacing w:before="0" w:after="0"/>
              <w:jc w:val="left"/>
            </w:pPr>
          </w:p>
        </w:tc>
      </w:tr>
      <w:tr w:rsidR="00CD252F" w:rsidRPr="00AC6B68" w:rsidTr="006C3621">
        <w:tc>
          <w:tcPr>
            <w:tcW w:w="5000" w:type="pct"/>
            <w:gridSpan w:val="7"/>
            <w:tcBorders>
              <w:left w:val="single" w:sz="6" w:space="0" w:color="000000"/>
              <w:bottom w:val="single" w:sz="4" w:space="0" w:color="auto"/>
            </w:tcBorders>
          </w:tcPr>
          <w:p w:rsidR="00CD252F" w:rsidRPr="00AC6B68" w:rsidRDefault="00CD252F" w:rsidP="006C3621">
            <w:pPr>
              <w:jc w:val="center"/>
              <w:rPr>
                <w:b/>
              </w:rPr>
            </w:pPr>
            <w:r w:rsidRPr="00AC6B68">
              <w:rPr>
                <w:b/>
              </w:rPr>
              <w:lastRenderedPageBreak/>
              <w:t>Latvijas Brīvo arodbiedrības savienība</w:t>
            </w:r>
          </w:p>
        </w:tc>
      </w:tr>
      <w:tr w:rsidR="00CD252F" w:rsidRPr="00712B66" w:rsidTr="00826D91">
        <w:tc>
          <w:tcPr>
            <w:tcW w:w="348" w:type="pct"/>
            <w:tcBorders>
              <w:left w:val="single" w:sz="6" w:space="0" w:color="000000"/>
              <w:bottom w:val="single" w:sz="4" w:space="0" w:color="auto"/>
              <w:right w:val="single" w:sz="6" w:space="0" w:color="000000"/>
            </w:tcBorders>
          </w:tcPr>
          <w:p w:rsidR="00CD252F" w:rsidRPr="00EC1473" w:rsidRDefault="00CD252F" w:rsidP="006C3621">
            <w:r>
              <w:t>4.</w:t>
            </w:r>
          </w:p>
        </w:tc>
        <w:tc>
          <w:tcPr>
            <w:tcW w:w="991" w:type="pct"/>
            <w:gridSpan w:val="2"/>
            <w:tcBorders>
              <w:left w:val="single" w:sz="6" w:space="0" w:color="000000"/>
              <w:bottom w:val="single" w:sz="4" w:space="0" w:color="auto"/>
              <w:right w:val="single" w:sz="6" w:space="0" w:color="000000"/>
            </w:tcBorders>
          </w:tcPr>
          <w:p w:rsidR="00CD252F" w:rsidRPr="00712B66" w:rsidRDefault="00CD252F" w:rsidP="006C3621">
            <w:pPr>
              <w:pStyle w:val="naisc"/>
              <w:spacing w:before="0" w:after="0"/>
              <w:jc w:val="left"/>
            </w:pPr>
            <w:r>
              <w:t>Skat. likumprojekta 1.pantu.</w:t>
            </w:r>
          </w:p>
        </w:tc>
        <w:tc>
          <w:tcPr>
            <w:tcW w:w="1446" w:type="pct"/>
            <w:tcBorders>
              <w:left w:val="single" w:sz="6" w:space="0" w:color="000000"/>
              <w:bottom w:val="single" w:sz="4" w:space="0" w:color="auto"/>
              <w:right w:val="single" w:sz="6" w:space="0" w:color="000000"/>
            </w:tcBorders>
          </w:tcPr>
          <w:p w:rsidR="00CD252F" w:rsidRPr="00712B66" w:rsidRDefault="00CD252F" w:rsidP="006C3621">
            <w:pPr>
              <w:jc w:val="both"/>
            </w:pPr>
            <w:r>
              <w:t>Norādām, ka nosakot iemaksu algas aprēķinu par 36 mēnešiem pēc kārtas, netiek atrisināta problēma, ka iemaksu aprēķinā tiek iekļauti arī tie mēneši, kad gūtie ienākumi ir bijuši mazāki slimības dēļ. Turklāt, ja grozījumu mērķis ir nodrošināt un garantēt ienākumu atvietojumu, tad pie piedāvātās redakcijas netiek garantēts noteikts ienākumu atvietojums, jo joprojām pastāv iespēja, ka kādā no 36 mēnešiem gūtie ienākumi ir bijuši mazāki slimības vai citu iemeslu dēļ.</w:t>
            </w:r>
          </w:p>
        </w:tc>
        <w:tc>
          <w:tcPr>
            <w:tcW w:w="1091" w:type="pct"/>
            <w:gridSpan w:val="2"/>
            <w:tcBorders>
              <w:left w:val="single" w:sz="6" w:space="0" w:color="000000"/>
              <w:bottom w:val="single" w:sz="4" w:space="0" w:color="auto"/>
              <w:right w:val="single" w:sz="6" w:space="0" w:color="000000"/>
            </w:tcBorders>
          </w:tcPr>
          <w:p w:rsidR="00CD252F" w:rsidRDefault="005D241E" w:rsidP="006C3621">
            <w:pPr>
              <w:pStyle w:val="naisc"/>
              <w:spacing w:before="0" w:after="0"/>
              <w:rPr>
                <w:b/>
              </w:rPr>
            </w:pPr>
            <w:r>
              <w:rPr>
                <w:b/>
              </w:rPr>
              <w:t>Iebildums ņemts vērā.</w:t>
            </w:r>
          </w:p>
          <w:p w:rsidR="00CD252F" w:rsidRDefault="00CD252F" w:rsidP="006C3621">
            <w:pPr>
              <w:pStyle w:val="naisc"/>
              <w:spacing w:before="0" w:after="0"/>
              <w:jc w:val="both"/>
            </w:pPr>
            <w:r>
              <w:t xml:space="preserve">Nosakot elastīgāku iemaksu algas aprēķināšanas periodu, persona varēs izvēlēties sev labākos 36 mēnešus piecu gadu periodā. Piemēram, ja persona slimojusi kādu mēnesi pēdējā gada laikā pirms arodslimības noteikšanas, tagad viņai būs iespēja algas periodu izvēlēties tā, lai šis darbnespējas periods netiktu iekļauts algas aprēķināšanas periodā. Protams, pastāv iespēja, ka arī izvēlētajos 36 mēnešos kādā mēnesī persona ir slimojusi un viņas ienākumi ir bijuši mazāki. </w:t>
            </w:r>
            <w:r>
              <w:lastRenderedPageBreak/>
              <w:t>Atzīmējam, ka likumā tiek noteikts tikai algas aprēķina periods, bet Ministru kabineta noteikumos, ko paredz likuma „Par obligāto sociālo apdrošināšanu pret nelaimes gadījumiem darbā un arodslimībām” pārejas noteikumu 22.punkts,</w:t>
            </w:r>
            <w:proofErr w:type="gramStart"/>
            <w:r>
              <w:t xml:space="preserve">  </w:t>
            </w:r>
            <w:proofErr w:type="gramEnd"/>
            <w:r>
              <w:t>jau tiks detalizēti atrunāti gadījumi, kā noteiks algu, ja personai kādā mēnesī bijusi darbnespēja, vai ienākumi nav bijuši nemaz pēdējo piecu gadu laikā, kā arī citi gadījumi, kas var ietekmēt algas aprēķinu (grūtniecība, bērna kopšana, bezdarbs u.c.). Labklājības ministrija attiecīgos Ministru kabineta noteikumus izstrādās līdz 2020.gada 31.decembrim, lai jaunā aprēķināšanas kārtība varētu stāties spēkā ar 2021.gadu.</w:t>
            </w:r>
          </w:p>
          <w:p w:rsidR="005E78F6" w:rsidRPr="007707E2" w:rsidRDefault="005E78F6" w:rsidP="006C3621">
            <w:pPr>
              <w:pStyle w:val="naisc"/>
              <w:spacing w:before="0" w:after="0"/>
              <w:jc w:val="both"/>
            </w:pPr>
          </w:p>
        </w:tc>
        <w:tc>
          <w:tcPr>
            <w:tcW w:w="1124" w:type="pct"/>
            <w:tcBorders>
              <w:top w:val="single" w:sz="4" w:space="0" w:color="auto"/>
              <w:left w:val="single" w:sz="4" w:space="0" w:color="auto"/>
              <w:bottom w:val="single" w:sz="4" w:space="0" w:color="auto"/>
            </w:tcBorders>
          </w:tcPr>
          <w:p w:rsidR="00CD252F" w:rsidRPr="00712B66" w:rsidRDefault="00CD252F" w:rsidP="006C3621">
            <w:pPr>
              <w:pStyle w:val="naisc"/>
              <w:spacing w:before="0" w:after="0"/>
              <w:jc w:val="left"/>
            </w:pPr>
            <w:r>
              <w:lastRenderedPageBreak/>
              <w:t>Skat. likumprojekta 1.pantu.</w:t>
            </w:r>
          </w:p>
        </w:tc>
      </w:tr>
      <w:tr w:rsidR="00CD252F" w:rsidRPr="00712B66" w:rsidTr="00826D91">
        <w:tc>
          <w:tcPr>
            <w:tcW w:w="348" w:type="pct"/>
            <w:tcBorders>
              <w:left w:val="single" w:sz="6" w:space="0" w:color="000000"/>
              <w:bottom w:val="single" w:sz="4" w:space="0" w:color="auto"/>
              <w:right w:val="single" w:sz="6" w:space="0" w:color="000000"/>
            </w:tcBorders>
          </w:tcPr>
          <w:p w:rsidR="00CD252F" w:rsidRPr="00EC1473" w:rsidRDefault="00CD252F" w:rsidP="006C3621">
            <w:r>
              <w:lastRenderedPageBreak/>
              <w:t>5.</w:t>
            </w:r>
          </w:p>
        </w:tc>
        <w:tc>
          <w:tcPr>
            <w:tcW w:w="991" w:type="pct"/>
            <w:gridSpan w:val="2"/>
            <w:tcBorders>
              <w:left w:val="single" w:sz="6" w:space="0" w:color="000000"/>
              <w:bottom w:val="single" w:sz="4" w:space="0" w:color="auto"/>
              <w:right w:val="single" w:sz="6" w:space="0" w:color="000000"/>
            </w:tcBorders>
          </w:tcPr>
          <w:p w:rsidR="00CD252F" w:rsidRPr="00712B66" w:rsidRDefault="00CD252F" w:rsidP="006C3621">
            <w:pPr>
              <w:pStyle w:val="naisc"/>
              <w:spacing w:before="0" w:after="0"/>
              <w:jc w:val="left"/>
            </w:pPr>
            <w:r>
              <w:t>Skat. anotāciju.</w:t>
            </w:r>
          </w:p>
        </w:tc>
        <w:tc>
          <w:tcPr>
            <w:tcW w:w="1446" w:type="pct"/>
            <w:tcBorders>
              <w:left w:val="single" w:sz="6" w:space="0" w:color="000000"/>
              <w:bottom w:val="single" w:sz="4" w:space="0" w:color="auto"/>
              <w:right w:val="single" w:sz="6" w:space="0" w:color="000000"/>
            </w:tcBorders>
          </w:tcPr>
          <w:p w:rsidR="00CD252F" w:rsidRPr="00712B66" w:rsidRDefault="00CD252F" w:rsidP="006C3621">
            <w:pPr>
              <w:jc w:val="both"/>
            </w:pPr>
            <w:r>
              <w:t>Papildināt likumprojekta anotāciju ar informāciju par uzskaitē esošajiem invaliditātes pensijas saņēmējiem, kas vienlaicīgi ir uzskaitē kā apgādnieka zaudējuma atlīdzības saņēmēji.</w:t>
            </w:r>
          </w:p>
        </w:tc>
        <w:tc>
          <w:tcPr>
            <w:tcW w:w="1091" w:type="pct"/>
            <w:gridSpan w:val="2"/>
            <w:tcBorders>
              <w:left w:val="single" w:sz="6" w:space="0" w:color="000000"/>
              <w:bottom w:val="single" w:sz="4" w:space="0" w:color="auto"/>
              <w:right w:val="single" w:sz="6" w:space="0" w:color="000000"/>
            </w:tcBorders>
          </w:tcPr>
          <w:p w:rsidR="00CD252F" w:rsidRPr="00506B4F" w:rsidRDefault="00CD252F" w:rsidP="006C3621">
            <w:pPr>
              <w:pStyle w:val="naisc"/>
              <w:spacing w:before="0" w:after="0"/>
              <w:rPr>
                <w:b/>
              </w:rPr>
            </w:pPr>
            <w:r w:rsidRPr="00506B4F">
              <w:rPr>
                <w:b/>
              </w:rPr>
              <w:t>Iebildums ņemts vērā.</w:t>
            </w:r>
          </w:p>
          <w:p w:rsidR="00CD252F" w:rsidRPr="00506B4F" w:rsidRDefault="00CD252F" w:rsidP="006C3621">
            <w:pPr>
              <w:jc w:val="both"/>
            </w:pPr>
            <w:r w:rsidRPr="00506B4F">
              <w:t xml:space="preserve">Pēc VSAA datiem 2019.gada februārī uzskaitē ir 70 atlīdzību par apgādnieka zaudējumu saņēmēji, no tiem viena persona vienlaicīgi </w:t>
            </w:r>
            <w:r w:rsidRPr="00506B4F">
              <w:lastRenderedPageBreak/>
              <w:t xml:space="preserve">saņem arī invaliditātes pensiju. </w:t>
            </w:r>
          </w:p>
          <w:p w:rsidR="00CD252F" w:rsidRPr="00506B4F" w:rsidRDefault="00CD252F" w:rsidP="006C3621">
            <w:pPr>
              <w:pStyle w:val="naisc"/>
              <w:spacing w:before="0" w:after="0"/>
              <w:jc w:val="both"/>
            </w:pPr>
          </w:p>
        </w:tc>
        <w:tc>
          <w:tcPr>
            <w:tcW w:w="1124" w:type="pct"/>
            <w:tcBorders>
              <w:top w:val="single" w:sz="4" w:space="0" w:color="auto"/>
              <w:left w:val="single" w:sz="4" w:space="0" w:color="auto"/>
              <w:bottom w:val="single" w:sz="4" w:space="0" w:color="auto"/>
            </w:tcBorders>
          </w:tcPr>
          <w:p w:rsidR="00CD252F" w:rsidRPr="0042519F" w:rsidRDefault="00CD252F" w:rsidP="006C3621">
            <w:pPr>
              <w:jc w:val="both"/>
            </w:pPr>
            <w:r>
              <w:lastRenderedPageBreak/>
              <w:t>Skat. anotāciju.</w:t>
            </w:r>
          </w:p>
        </w:tc>
      </w:tr>
      <w:tr w:rsidR="00CD252F" w:rsidRPr="00002EE3" w:rsidTr="006C3621">
        <w:tblPrEx>
          <w:tblBorders>
            <w:top w:val="none" w:sz="0" w:space="0" w:color="auto"/>
            <w:left w:val="none" w:sz="0" w:space="0" w:color="auto"/>
            <w:bottom w:val="none" w:sz="0" w:space="0" w:color="auto"/>
            <w:right w:val="none" w:sz="0" w:space="0" w:color="auto"/>
          </w:tblBorders>
        </w:tblPrEx>
        <w:trPr>
          <w:gridAfter w:val="2"/>
          <w:wAfter w:w="1852" w:type="pct"/>
        </w:trPr>
        <w:tc>
          <w:tcPr>
            <w:tcW w:w="1157" w:type="pct"/>
            <w:gridSpan w:val="2"/>
          </w:tcPr>
          <w:p w:rsidR="00CD252F" w:rsidRPr="00002EE3" w:rsidRDefault="00CD252F" w:rsidP="006C3621">
            <w:pPr>
              <w:ind w:left="360"/>
              <w:rPr>
                <w:sz w:val="26"/>
                <w:szCs w:val="26"/>
              </w:rPr>
            </w:pPr>
          </w:p>
          <w:p w:rsidR="00CD252F" w:rsidRPr="00002EE3" w:rsidRDefault="00CD252F" w:rsidP="006C3621">
            <w:pPr>
              <w:ind w:left="360"/>
              <w:rPr>
                <w:sz w:val="26"/>
                <w:szCs w:val="26"/>
              </w:rPr>
            </w:pPr>
            <w:r w:rsidRPr="00002EE3">
              <w:rPr>
                <w:sz w:val="26"/>
                <w:szCs w:val="26"/>
              </w:rPr>
              <w:t>Atbildīgā amatpersona</w:t>
            </w:r>
          </w:p>
        </w:tc>
        <w:tc>
          <w:tcPr>
            <w:tcW w:w="1991" w:type="pct"/>
            <w:gridSpan w:val="3"/>
          </w:tcPr>
          <w:p w:rsidR="00CD252F" w:rsidRPr="00002EE3" w:rsidRDefault="00CD252F" w:rsidP="006C3621">
            <w:pPr>
              <w:ind w:firstLine="720"/>
              <w:rPr>
                <w:sz w:val="26"/>
                <w:szCs w:val="26"/>
              </w:rPr>
            </w:pPr>
            <w:r w:rsidRPr="00002EE3">
              <w:rPr>
                <w:sz w:val="26"/>
                <w:szCs w:val="26"/>
              </w:rPr>
              <w:t>  </w:t>
            </w:r>
          </w:p>
          <w:p w:rsidR="00CD252F" w:rsidRPr="00002EE3" w:rsidRDefault="00CD252F" w:rsidP="006C3621">
            <w:pPr>
              <w:ind w:firstLine="720"/>
              <w:jc w:val="center"/>
              <w:rPr>
                <w:sz w:val="26"/>
                <w:szCs w:val="26"/>
              </w:rPr>
            </w:pPr>
          </w:p>
          <w:p w:rsidR="00CD252F" w:rsidRPr="00002EE3" w:rsidRDefault="00CD252F" w:rsidP="006C3621">
            <w:pPr>
              <w:ind w:firstLine="720"/>
              <w:jc w:val="center"/>
              <w:rPr>
                <w:sz w:val="26"/>
                <w:szCs w:val="26"/>
              </w:rPr>
            </w:pPr>
            <w:r w:rsidRPr="00002EE3">
              <w:rPr>
                <w:sz w:val="26"/>
                <w:szCs w:val="26"/>
              </w:rPr>
              <w:t xml:space="preserve">        </w:t>
            </w:r>
            <w:r>
              <w:rPr>
                <w:sz w:val="26"/>
                <w:szCs w:val="26"/>
              </w:rPr>
              <w:t xml:space="preserve">                         </w:t>
            </w:r>
            <w:r w:rsidRPr="00002EE3">
              <w:rPr>
                <w:sz w:val="26"/>
                <w:szCs w:val="26"/>
              </w:rPr>
              <w:t xml:space="preserve"> </w:t>
            </w:r>
            <w:r>
              <w:rPr>
                <w:sz w:val="26"/>
                <w:szCs w:val="26"/>
              </w:rPr>
              <w:t xml:space="preserve">Dace </w:t>
            </w:r>
            <w:proofErr w:type="spellStart"/>
            <w:r>
              <w:rPr>
                <w:sz w:val="26"/>
                <w:szCs w:val="26"/>
              </w:rPr>
              <w:t>Trušinska</w:t>
            </w:r>
            <w:proofErr w:type="spellEnd"/>
          </w:p>
        </w:tc>
      </w:tr>
      <w:tr w:rsidR="00CD252F" w:rsidRPr="00002EE3" w:rsidTr="006C3621">
        <w:tblPrEx>
          <w:tblBorders>
            <w:top w:val="none" w:sz="0" w:space="0" w:color="auto"/>
            <w:left w:val="none" w:sz="0" w:space="0" w:color="auto"/>
            <w:bottom w:val="none" w:sz="0" w:space="0" w:color="auto"/>
            <w:right w:val="none" w:sz="0" w:space="0" w:color="auto"/>
          </w:tblBorders>
        </w:tblPrEx>
        <w:trPr>
          <w:gridAfter w:val="2"/>
          <w:wAfter w:w="1852" w:type="pct"/>
        </w:trPr>
        <w:tc>
          <w:tcPr>
            <w:tcW w:w="1157" w:type="pct"/>
            <w:gridSpan w:val="2"/>
          </w:tcPr>
          <w:p w:rsidR="00CD252F" w:rsidRPr="00002EE3" w:rsidRDefault="00CD252F" w:rsidP="006C3621">
            <w:pPr>
              <w:ind w:left="360"/>
              <w:rPr>
                <w:sz w:val="26"/>
                <w:szCs w:val="26"/>
              </w:rPr>
            </w:pPr>
          </w:p>
        </w:tc>
        <w:tc>
          <w:tcPr>
            <w:tcW w:w="1991" w:type="pct"/>
            <w:gridSpan w:val="3"/>
            <w:tcBorders>
              <w:top w:val="single" w:sz="6" w:space="0" w:color="000000"/>
            </w:tcBorders>
          </w:tcPr>
          <w:p w:rsidR="00CD252F" w:rsidRPr="00002EE3" w:rsidRDefault="00CD252F" w:rsidP="006C3621">
            <w:pPr>
              <w:ind w:firstLine="720"/>
              <w:rPr>
                <w:sz w:val="26"/>
                <w:szCs w:val="26"/>
              </w:rPr>
            </w:pPr>
            <w:r w:rsidRPr="00002EE3">
              <w:rPr>
                <w:sz w:val="26"/>
                <w:szCs w:val="26"/>
              </w:rPr>
              <w:t xml:space="preserve">                                        (vārds un uzvārds)</w:t>
            </w:r>
          </w:p>
        </w:tc>
      </w:tr>
    </w:tbl>
    <w:p w:rsidR="00CD252F" w:rsidRDefault="00CD252F" w:rsidP="00CD252F">
      <w:pPr>
        <w:rPr>
          <w:sz w:val="26"/>
          <w:szCs w:val="26"/>
        </w:rPr>
      </w:pPr>
    </w:p>
    <w:p w:rsidR="00CD252F" w:rsidRDefault="00CD252F" w:rsidP="00CD252F">
      <w:pPr>
        <w:rPr>
          <w:sz w:val="26"/>
          <w:szCs w:val="26"/>
        </w:rPr>
      </w:pPr>
    </w:p>
    <w:p w:rsidR="00B0421B" w:rsidRDefault="00B0421B" w:rsidP="00CD252F">
      <w:pPr>
        <w:rPr>
          <w:sz w:val="26"/>
          <w:szCs w:val="26"/>
        </w:rPr>
      </w:pPr>
      <w:r>
        <w:rPr>
          <w:sz w:val="26"/>
          <w:szCs w:val="26"/>
        </w:rPr>
        <w:t>16.04.2019 9:41</w:t>
      </w:r>
    </w:p>
    <w:p w:rsidR="00CD252F" w:rsidRPr="00002EE3" w:rsidRDefault="005E78F6" w:rsidP="00CD252F">
      <w:pPr>
        <w:rPr>
          <w:sz w:val="26"/>
          <w:szCs w:val="26"/>
        </w:rPr>
      </w:pPr>
      <w:r>
        <w:rPr>
          <w:sz w:val="26"/>
          <w:szCs w:val="26"/>
        </w:rPr>
        <w:t>905</w:t>
      </w:r>
    </w:p>
    <w:p w:rsidR="00CD252F" w:rsidRPr="00002EE3" w:rsidRDefault="005D241E" w:rsidP="00CD252F">
      <w:pPr>
        <w:jc w:val="both"/>
        <w:rPr>
          <w:sz w:val="26"/>
          <w:szCs w:val="26"/>
        </w:rPr>
      </w:pPr>
      <w:r>
        <w:rPr>
          <w:sz w:val="26"/>
          <w:szCs w:val="26"/>
        </w:rPr>
        <w:t xml:space="preserve">Dace </w:t>
      </w:r>
      <w:proofErr w:type="spellStart"/>
      <w:r>
        <w:rPr>
          <w:sz w:val="26"/>
          <w:szCs w:val="26"/>
        </w:rPr>
        <w:t>Trušinska</w:t>
      </w:r>
      <w:proofErr w:type="spellEnd"/>
    </w:p>
    <w:p w:rsidR="00CD252F" w:rsidRPr="00002EE3" w:rsidRDefault="00CD252F" w:rsidP="00CD252F">
      <w:pPr>
        <w:jc w:val="both"/>
        <w:rPr>
          <w:sz w:val="26"/>
          <w:szCs w:val="26"/>
        </w:rPr>
      </w:pPr>
      <w:r w:rsidRPr="00002EE3">
        <w:rPr>
          <w:sz w:val="26"/>
          <w:szCs w:val="26"/>
        </w:rPr>
        <w:t xml:space="preserve">Labklājības ministrijas </w:t>
      </w:r>
    </w:p>
    <w:p w:rsidR="00CD252F" w:rsidRPr="00002EE3" w:rsidRDefault="00CD252F" w:rsidP="00CD252F">
      <w:pPr>
        <w:jc w:val="both"/>
        <w:rPr>
          <w:sz w:val="26"/>
          <w:szCs w:val="26"/>
        </w:rPr>
      </w:pPr>
      <w:r w:rsidRPr="00002EE3">
        <w:rPr>
          <w:sz w:val="26"/>
          <w:szCs w:val="26"/>
        </w:rPr>
        <w:t xml:space="preserve">Sociālās apdrošināšanas departamenta </w:t>
      </w:r>
    </w:p>
    <w:p w:rsidR="00CD252F" w:rsidRPr="00002EE3" w:rsidRDefault="00CD252F" w:rsidP="00CD252F">
      <w:pPr>
        <w:jc w:val="both"/>
        <w:rPr>
          <w:sz w:val="26"/>
          <w:szCs w:val="26"/>
        </w:rPr>
      </w:pPr>
      <w:r w:rsidRPr="00002EE3">
        <w:rPr>
          <w:sz w:val="26"/>
          <w:szCs w:val="26"/>
        </w:rPr>
        <w:t xml:space="preserve">vecākā </w:t>
      </w:r>
      <w:r w:rsidR="005D241E">
        <w:rPr>
          <w:sz w:val="26"/>
          <w:szCs w:val="26"/>
        </w:rPr>
        <w:t>eksperte</w:t>
      </w:r>
    </w:p>
    <w:p w:rsidR="00CD252F" w:rsidRPr="00002EE3" w:rsidRDefault="00CD252F" w:rsidP="00CD252F">
      <w:pPr>
        <w:jc w:val="both"/>
        <w:rPr>
          <w:sz w:val="26"/>
          <w:szCs w:val="26"/>
        </w:rPr>
      </w:pPr>
      <w:r w:rsidRPr="00002EE3">
        <w:rPr>
          <w:sz w:val="26"/>
          <w:szCs w:val="26"/>
        </w:rPr>
        <w:t>Tālr.6702155</w:t>
      </w:r>
      <w:r w:rsidR="005D241E">
        <w:rPr>
          <w:sz w:val="26"/>
          <w:szCs w:val="26"/>
        </w:rPr>
        <w:t>3</w:t>
      </w:r>
    </w:p>
    <w:p w:rsidR="00CD252F" w:rsidRPr="00197620" w:rsidRDefault="005D241E" w:rsidP="00CD252F">
      <w:pPr>
        <w:rPr>
          <w:sz w:val="26"/>
          <w:szCs w:val="26"/>
        </w:rPr>
      </w:pPr>
      <w:r>
        <w:rPr>
          <w:sz w:val="26"/>
          <w:szCs w:val="26"/>
        </w:rPr>
        <w:t>Dace.Trusinska</w:t>
      </w:r>
      <w:r w:rsidR="00CD252F" w:rsidRPr="00002EE3">
        <w:rPr>
          <w:sz w:val="26"/>
          <w:szCs w:val="26"/>
        </w:rPr>
        <w:t>@lm.gov.lv</w:t>
      </w:r>
    </w:p>
    <w:p w:rsidR="00CD252F" w:rsidRDefault="00CD252F" w:rsidP="00CD252F"/>
    <w:p w:rsidR="00CD252F" w:rsidRDefault="00CD252F" w:rsidP="00CD252F"/>
    <w:p w:rsidR="00905ACF" w:rsidRDefault="00905ACF"/>
    <w:sectPr w:rsidR="00905ACF" w:rsidSect="00364BB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F5" w:rsidRDefault="003D39F5">
      <w:r>
        <w:separator/>
      </w:r>
    </w:p>
  </w:endnote>
  <w:endnote w:type="continuationSeparator" w:id="0">
    <w:p w:rsidR="003D39F5" w:rsidRDefault="003D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F8" w:rsidRPr="00B40FEB" w:rsidRDefault="005C0DB7" w:rsidP="006636F8">
    <w:r w:rsidRPr="00960205">
      <w:t>LM</w:t>
    </w:r>
    <w:r w:rsidR="00B0421B">
      <w:t>izz_16</w:t>
    </w:r>
    <w:r>
      <w:t>0419;</w:t>
    </w:r>
  </w:p>
  <w:p w:rsidR="006636F8" w:rsidRPr="006636F8" w:rsidRDefault="003D39F5" w:rsidP="006636F8">
    <w:pPr>
      <w:pStyle w:val="Footer"/>
    </w:pPr>
  </w:p>
  <w:p w:rsidR="007F3755" w:rsidRPr="006636F8" w:rsidRDefault="003D39F5" w:rsidP="00663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F8" w:rsidRPr="00B40FEB" w:rsidRDefault="005C0DB7" w:rsidP="006636F8">
    <w:r w:rsidRPr="00960205">
      <w:t>LM</w:t>
    </w:r>
    <w:r w:rsidR="00B0421B">
      <w:t>izz_16</w:t>
    </w:r>
    <w:r>
      <w:t>0419</w:t>
    </w:r>
  </w:p>
  <w:p w:rsidR="007F3755" w:rsidRPr="006636F8" w:rsidRDefault="003D39F5" w:rsidP="00663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F5" w:rsidRDefault="003D39F5">
      <w:r>
        <w:separator/>
      </w:r>
    </w:p>
  </w:footnote>
  <w:footnote w:type="continuationSeparator" w:id="0">
    <w:p w:rsidR="003D39F5" w:rsidRDefault="003D3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755" w:rsidRDefault="005C0DB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3755" w:rsidRDefault="003D3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755" w:rsidRDefault="005C0DB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21B">
      <w:rPr>
        <w:rStyle w:val="PageNumber"/>
        <w:noProof/>
      </w:rPr>
      <w:t>2</w:t>
    </w:r>
    <w:r>
      <w:rPr>
        <w:rStyle w:val="PageNumber"/>
      </w:rPr>
      <w:fldChar w:fldCharType="end"/>
    </w:r>
  </w:p>
  <w:p w:rsidR="007F3755" w:rsidRDefault="003D3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2F"/>
    <w:rsid w:val="000007D1"/>
    <w:rsid w:val="00002048"/>
    <w:rsid w:val="00003790"/>
    <w:rsid w:val="0000383E"/>
    <w:rsid w:val="00005F51"/>
    <w:rsid w:val="00006482"/>
    <w:rsid w:val="00007CDA"/>
    <w:rsid w:val="00011342"/>
    <w:rsid w:val="00013003"/>
    <w:rsid w:val="0001453B"/>
    <w:rsid w:val="00016458"/>
    <w:rsid w:val="000251DA"/>
    <w:rsid w:val="0003096D"/>
    <w:rsid w:val="0003315A"/>
    <w:rsid w:val="00034C32"/>
    <w:rsid w:val="00041368"/>
    <w:rsid w:val="00044312"/>
    <w:rsid w:val="00045021"/>
    <w:rsid w:val="000453AE"/>
    <w:rsid w:val="000478B2"/>
    <w:rsid w:val="00050441"/>
    <w:rsid w:val="0005065F"/>
    <w:rsid w:val="00051A86"/>
    <w:rsid w:val="00051C61"/>
    <w:rsid w:val="00057D2E"/>
    <w:rsid w:val="000631FA"/>
    <w:rsid w:val="00064FE0"/>
    <w:rsid w:val="0007005C"/>
    <w:rsid w:val="00073F63"/>
    <w:rsid w:val="00077828"/>
    <w:rsid w:val="00081BD5"/>
    <w:rsid w:val="000852B7"/>
    <w:rsid w:val="00085402"/>
    <w:rsid w:val="00086B42"/>
    <w:rsid w:val="00087B52"/>
    <w:rsid w:val="000910D7"/>
    <w:rsid w:val="000914AE"/>
    <w:rsid w:val="00093CF3"/>
    <w:rsid w:val="000958DF"/>
    <w:rsid w:val="000975B9"/>
    <w:rsid w:val="000A0A43"/>
    <w:rsid w:val="000A4600"/>
    <w:rsid w:val="000B090D"/>
    <w:rsid w:val="000B5206"/>
    <w:rsid w:val="000B57A7"/>
    <w:rsid w:val="000B57D0"/>
    <w:rsid w:val="000B7A0A"/>
    <w:rsid w:val="000B7B4C"/>
    <w:rsid w:val="000C0120"/>
    <w:rsid w:val="000C302C"/>
    <w:rsid w:val="000C5FDE"/>
    <w:rsid w:val="000C680D"/>
    <w:rsid w:val="000D0439"/>
    <w:rsid w:val="000D1590"/>
    <w:rsid w:val="000D1E78"/>
    <w:rsid w:val="000D2757"/>
    <w:rsid w:val="000D509B"/>
    <w:rsid w:val="000D7EB3"/>
    <w:rsid w:val="000E3E07"/>
    <w:rsid w:val="000E6C9D"/>
    <w:rsid w:val="000F1A90"/>
    <w:rsid w:val="000F283B"/>
    <w:rsid w:val="000F2970"/>
    <w:rsid w:val="000F30AB"/>
    <w:rsid w:val="000F4D42"/>
    <w:rsid w:val="000F5509"/>
    <w:rsid w:val="000F646A"/>
    <w:rsid w:val="000F6B4A"/>
    <w:rsid w:val="000F7795"/>
    <w:rsid w:val="00102775"/>
    <w:rsid w:val="00102835"/>
    <w:rsid w:val="00103B28"/>
    <w:rsid w:val="00106774"/>
    <w:rsid w:val="00110B9C"/>
    <w:rsid w:val="0011250A"/>
    <w:rsid w:val="00117DDF"/>
    <w:rsid w:val="0012069E"/>
    <w:rsid w:val="001225BB"/>
    <w:rsid w:val="001229FF"/>
    <w:rsid w:val="00123B64"/>
    <w:rsid w:val="00123C42"/>
    <w:rsid w:val="001251C0"/>
    <w:rsid w:val="00132401"/>
    <w:rsid w:val="00132A38"/>
    <w:rsid w:val="00132C38"/>
    <w:rsid w:val="001355EE"/>
    <w:rsid w:val="00136B3C"/>
    <w:rsid w:val="00145599"/>
    <w:rsid w:val="00145AE7"/>
    <w:rsid w:val="00146E5F"/>
    <w:rsid w:val="0015027A"/>
    <w:rsid w:val="00152651"/>
    <w:rsid w:val="0015430F"/>
    <w:rsid w:val="00155211"/>
    <w:rsid w:val="00160473"/>
    <w:rsid w:val="00161E51"/>
    <w:rsid w:val="0016624E"/>
    <w:rsid w:val="001677DF"/>
    <w:rsid w:val="00171268"/>
    <w:rsid w:val="0017149A"/>
    <w:rsid w:val="00180E23"/>
    <w:rsid w:val="001838CD"/>
    <w:rsid w:val="001877A1"/>
    <w:rsid w:val="00191328"/>
    <w:rsid w:val="0019570A"/>
    <w:rsid w:val="001A0666"/>
    <w:rsid w:val="001A32C8"/>
    <w:rsid w:val="001A49F2"/>
    <w:rsid w:val="001A4F97"/>
    <w:rsid w:val="001A7073"/>
    <w:rsid w:val="001A7B85"/>
    <w:rsid w:val="001B0C2A"/>
    <w:rsid w:val="001B2115"/>
    <w:rsid w:val="001B235C"/>
    <w:rsid w:val="001B27C5"/>
    <w:rsid w:val="001B5C66"/>
    <w:rsid w:val="001B73F2"/>
    <w:rsid w:val="001C011B"/>
    <w:rsid w:val="001C13AC"/>
    <w:rsid w:val="001C2260"/>
    <w:rsid w:val="001C7804"/>
    <w:rsid w:val="001D3509"/>
    <w:rsid w:val="001D4F8C"/>
    <w:rsid w:val="001D66EF"/>
    <w:rsid w:val="001D6B38"/>
    <w:rsid w:val="001E16AD"/>
    <w:rsid w:val="001E5908"/>
    <w:rsid w:val="001E6583"/>
    <w:rsid w:val="001F1061"/>
    <w:rsid w:val="001F366A"/>
    <w:rsid w:val="001F64A4"/>
    <w:rsid w:val="00200EFB"/>
    <w:rsid w:val="002025C4"/>
    <w:rsid w:val="002075AD"/>
    <w:rsid w:val="00216D1B"/>
    <w:rsid w:val="00220916"/>
    <w:rsid w:val="00221E9F"/>
    <w:rsid w:val="00222BD6"/>
    <w:rsid w:val="002242B3"/>
    <w:rsid w:val="00224F59"/>
    <w:rsid w:val="0022616F"/>
    <w:rsid w:val="00226973"/>
    <w:rsid w:val="00227139"/>
    <w:rsid w:val="002279EC"/>
    <w:rsid w:val="00227C20"/>
    <w:rsid w:val="002351EA"/>
    <w:rsid w:val="002432D4"/>
    <w:rsid w:val="00244629"/>
    <w:rsid w:val="00244756"/>
    <w:rsid w:val="002464A9"/>
    <w:rsid w:val="002465AC"/>
    <w:rsid w:val="00251A25"/>
    <w:rsid w:val="0025319B"/>
    <w:rsid w:val="0025429D"/>
    <w:rsid w:val="00255179"/>
    <w:rsid w:val="00255EE7"/>
    <w:rsid w:val="00260C0D"/>
    <w:rsid w:val="00261F09"/>
    <w:rsid w:val="00264BE9"/>
    <w:rsid w:val="0026516D"/>
    <w:rsid w:val="00271E13"/>
    <w:rsid w:val="002727D5"/>
    <w:rsid w:val="00272F11"/>
    <w:rsid w:val="002731D8"/>
    <w:rsid w:val="00273BB1"/>
    <w:rsid w:val="00274BD0"/>
    <w:rsid w:val="00277A72"/>
    <w:rsid w:val="00280692"/>
    <w:rsid w:val="00280D80"/>
    <w:rsid w:val="0028443A"/>
    <w:rsid w:val="00290C80"/>
    <w:rsid w:val="00290FD6"/>
    <w:rsid w:val="002919C2"/>
    <w:rsid w:val="00291EA8"/>
    <w:rsid w:val="00292C7B"/>
    <w:rsid w:val="00292DDF"/>
    <w:rsid w:val="00295C2E"/>
    <w:rsid w:val="002A0203"/>
    <w:rsid w:val="002A0D7F"/>
    <w:rsid w:val="002A1BD1"/>
    <w:rsid w:val="002A3886"/>
    <w:rsid w:val="002B1B6A"/>
    <w:rsid w:val="002B3D72"/>
    <w:rsid w:val="002B7543"/>
    <w:rsid w:val="002B7C4C"/>
    <w:rsid w:val="002C0859"/>
    <w:rsid w:val="002C1068"/>
    <w:rsid w:val="002C2A57"/>
    <w:rsid w:val="002C3DB1"/>
    <w:rsid w:val="002C4377"/>
    <w:rsid w:val="002C4EF1"/>
    <w:rsid w:val="002C5CAA"/>
    <w:rsid w:val="002C72D7"/>
    <w:rsid w:val="002D0FBC"/>
    <w:rsid w:val="002D58D5"/>
    <w:rsid w:val="002D6BC3"/>
    <w:rsid w:val="002D753D"/>
    <w:rsid w:val="002F1A31"/>
    <w:rsid w:val="00304010"/>
    <w:rsid w:val="00306B6E"/>
    <w:rsid w:val="003071F8"/>
    <w:rsid w:val="003117AA"/>
    <w:rsid w:val="00314020"/>
    <w:rsid w:val="0031423A"/>
    <w:rsid w:val="00325132"/>
    <w:rsid w:val="003324D3"/>
    <w:rsid w:val="003338A4"/>
    <w:rsid w:val="00334163"/>
    <w:rsid w:val="0033493D"/>
    <w:rsid w:val="00344821"/>
    <w:rsid w:val="00344A68"/>
    <w:rsid w:val="00347F41"/>
    <w:rsid w:val="003508AC"/>
    <w:rsid w:val="003578FA"/>
    <w:rsid w:val="003651B1"/>
    <w:rsid w:val="00365AC6"/>
    <w:rsid w:val="00365BC5"/>
    <w:rsid w:val="003671D6"/>
    <w:rsid w:val="00371332"/>
    <w:rsid w:val="003770FD"/>
    <w:rsid w:val="00391E15"/>
    <w:rsid w:val="00392694"/>
    <w:rsid w:val="00393F09"/>
    <w:rsid w:val="003A2114"/>
    <w:rsid w:val="003A3670"/>
    <w:rsid w:val="003A3DE6"/>
    <w:rsid w:val="003A54CC"/>
    <w:rsid w:val="003A5C4D"/>
    <w:rsid w:val="003A76BA"/>
    <w:rsid w:val="003B1B92"/>
    <w:rsid w:val="003B1B9D"/>
    <w:rsid w:val="003B241F"/>
    <w:rsid w:val="003B3271"/>
    <w:rsid w:val="003B3D57"/>
    <w:rsid w:val="003B405E"/>
    <w:rsid w:val="003B518A"/>
    <w:rsid w:val="003B72BC"/>
    <w:rsid w:val="003C0C59"/>
    <w:rsid w:val="003C15F9"/>
    <w:rsid w:val="003C4417"/>
    <w:rsid w:val="003C7369"/>
    <w:rsid w:val="003D1C5A"/>
    <w:rsid w:val="003D22E1"/>
    <w:rsid w:val="003D2E11"/>
    <w:rsid w:val="003D39F5"/>
    <w:rsid w:val="003E12E1"/>
    <w:rsid w:val="003E5FDF"/>
    <w:rsid w:val="003F0A60"/>
    <w:rsid w:val="003F166A"/>
    <w:rsid w:val="003F1980"/>
    <w:rsid w:val="003F2D83"/>
    <w:rsid w:val="003F3126"/>
    <w:rsid w:val="003F66B5"/>
    <w:rsid w:val="003F7418"/>
    <w:rsid w:val="0040021E"/>
    <w:rsid w:val="00405272"/>
    <w:rsid w:val="00405EFD"/>
    <w:rsid w:val="00412455"/>
    <w:rsid w:val="00417035"/>
    <w:rsid w:val="004220D5"/>
    <w:rsid w:val="004239A6"/>
    <w:rsid w:val="0042414D"/>
    <w:rsid w:val="00426BCB"/>
    <w:rsid w:val="00426F66"/>
    <w:rsid w:val="00427754"/>
    <w:rsid w:val="004310CA"/>
    <w:rsid w:val="00431574"/>
    <w:rsid w:val="00432CEF"/>
    <w:rsid w:val="0043302D"/>
    <w:rsid w:val="00433C24"/>
    <w:rsid w:val="004401C8"/>
    <w:rsid w:val="004406B4"/>
    <w:rsid w:val="00443227"/>
    <w:rsid w:val="00444C27"/>
    <w:rsid w:val="00445425"/>
    <w:rsid w:val="004457C3"/>
    <w:rsid w:val="004511B8"/>
    <w:rsid w:val="00452DB7"/>
    <w:rsid w:val="00453FB8"/>
    <w:rsid w:val="00454159"/>
    <w:rsid w:val="004638D6"/>
    <w:rsid w:val="0046701B"/>
    <w:rsid w:val="004672D6"/>
    <w:rsid w:val="0047156D"/>
    <w:rsid w:val="004715AD"/>
    <w:rsid w:val="00471762"/>
    <w:rsid w:val="00476D7E"/>
    <w:rsid w:val="0047789D"/>
    <w:rsid w:val="00482437"/>
    <w:rsid w:val="004833A7"/>
    <w:rsid w:val="00483DE3"/>
    <w:rsid w:val="004869CF"/>
    <w:rsid w:val="0049081D"/>
    <w:rsid w:val="00493ADB"/>
    <w:rsid w:val="00493B2F"/>
    <w:rsid w:val="00496A7A"/>
    <w:rsid w:val="00497660"/>
    <w:rsid w:val="004A3840"/>
    <w:rsid w:val="004A5697"/>
    <w:rsid w:val="004A6413"/>
    <w:rsid w:val="004A7AE1"/>
    <w:rsid w:val="004A7D9C"/>
    <w:rsid w:val="004A7E40"/>
    <w:rsid w:val="004B02FC"/>
    <w:rsid w:val="004B3CBF"/>
    <w:rsid w:val="004C1584"/>
    <w:rsid w:val="004C2308"/>
    <w:rsid w:val="004C2AFD"/>
    <w:rsid w:val="004C43AD"/>
    <w:rsid w:val="004C48D9"/>
    <w:rsid w:val="004C5BA8"/>
    <w:rsid w:val="004C6BDF"/>
    <w:rsid w:val="004D1803"/>
    <w:rsid w:val="004D2852"/>
    <w:rsid w:val="004D2E6B"/>
    <w:rsid w:val="004D2F15"/>
    <w:rsid w:val="004D3150"/>
    <w:rsid w:val="004D5932"/>
    <w:rsid w:val="004D64CD"/>
    <w:rsid w:val="004D6AE4"/>
    <w:rsid w:val="004E0AB0"/>
    <w:rsid w:val="004E19F0"/>
    <w:rsid w:val="004E2E28"/>
    <w:rsid w:val="004E3383"/>
    <w:rsid w:val="004E4718"/>
    <w:rsid w:val="004E4CD6"/>
    <w:rsid w:val="004E5CCA"/>
    <w:rsid w:val="004E5D2E"/>
    <w:rsid w:val="004F00C0"/>
    <w:rsid w:val="004F0ACD"/>
    <w:rsid w:val="004F1DE7"/>
    <w:rsid w:val="004F2C07"/>
    <w:rsid w:val="004F30EA"/>
    <w:rsid w:val="004F31A8"/>
    <w:rsid w:val="004F42D9"/>
    <w:rsid w:val="004F51DF"/>
    <w:rsid w:val="004F6366"/>
    <w:rsid w:val="00500173"/>
    <w:rsid w:val="00507B8A"/>
    <w:rsid w:val="00512F96"/>
    <w:rsid w:val="005135CC"/>
    <w:rsid w:val="005146C5"/>
    <w:rsid w:val="005206BC"/>
    <w:rsid w:val="00521B97"/>
    <w:rsid w:val="00522DFF"/>
    <w:rsid w:val="00524783"/>
    <w:rsid w:val="00525ACD"/>
    <w:rsid w:val="00526569"/>
    <w:rsid w:val="00526D69"/>
    <w:rsid w:val="00531678"/>
    <w:rsid w:val="00535DF3"/>
    <w:rsid w:val="00536FCB"/>
    <w:rsid w:val="00540D7F"/>
    <w:rsid w:val="005418B7"/>
    <w:rsid w:val="00545C7C"/>
    <w:rsid w:val="0054688D"/>
    <w:rsid w:val="0054764E"/>
    <w:rsid w:val="00550A89"/>
    <w:rsid w:val="00551BF0"/>
    <w:rsid w:val="00553A93"/>
    <w:rsid w:val="005618ED"/>
    <w:rsid w:val="0056487A"/>
    <w:rsid w:val="0056546D"/>
    <w:rsid w:val="00565828"/>
    <w:rsid w:val="00572EEC"/>
    <w:rsid w:val="00577C5D"/>
    <w:rsid w:val="00583219"/>
    <w:rsid w:val="0058365E"/>
    <w:rsid w:val="005868E2"/>
    <w:rsid w:val="00591A84"/>
    <w:rsid w:val="005925A9"/>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2F98"/>
    <w:rsid w:val="005B7417"/>
    <w:rsid w:val="005C0DB7"/>
    <w:rsid w:val="005C3283"/>
    <w:rsid w:val="005D241E"/>
    <w:rsid w:val="005D549E"/>
    <w:rsid w:val="005E0804"/>
    <w:rsid w:val="005E10A4"/>
    <w:rsid w:val="005E3464"/>
    <w:rsid w:val="005E3ABC"/>
    <w:rsid w:val="005E52E3"/>
    <w:rsid w:val="005E78F6"/>
    <w:rsid w:val="005F0731"/>
    <w:rsid w:val="005F11A9"/>
    <w:rsid w:val="005F5584"/>
    <w:rsid w:val="005F598A"/>
    <w:rsid w:val="005F7F38"/>
    <w:rsid w:val="00600882"/>
    <w:rsid w:val="00603FD7"/>
    <w:rsid w:val="006047DC"/>
    <w:rsid w:val="006108F0"/>
    <w:rsid w:val="00612609"/>
    <w:rsid w:val="00615C3E"/>
    <w:rsid w:val="00616AAC"/>
    <w:rsid w:val="00617618"/>
    <w:rsid w:val="00617865"/>
    <w:rsid w:val="00617F87"/>
    <w:rsid w:val="00620B34"/>
    <w:rsid w:val="00622EB3"/>
    <w:rsid w:val="00626576"/>
    <w:rsid w:val="00626B97"/>
    <w:rsid w:val="00626D6A"/>
    <w:rsid w:val="00626EF2"/>
    <w:rsid w:val="006272DF"/>
    <w:rsid w:val="006302D8"/>
    <w:rsid w:val="00630727"/>
    <w:rsid w:val="00631302"/>
    <w:rsid w:val="0063174D"/>
    <w:rsid w:val="00631CB3"/>
    <w:rsid w:val="00633934"/>
    <w:rsid w:val="00634643"/>
    <w:rsid w:val="006358C3"/>
    <w:rsid w:val="006412DC"/>
    <w:rsid w:val="006462B0"/>
    <w:rsid w:val="006545E1"/>
    <w:rsid w:val="006551DE"/>
    <w:rsid w:val="00655F02"/>
    <w:rsid w:val="00656093"/>
    <w:rsid w:val="006564BB"/>
    <w:rsid w:val="00656961"/>
    <w:rsid w:val="00657532"/>
    <w:rsid w:val="00657C10"/>
    <w:rsid w:val="00666279"/>
    <w:rsid w:val="0066748D"/>
    <w:rsid w:val="00667E8F"/>
    <w:rsid w:val="00667F9D"/>
    <w:rsid w:val="006736A3"/>
    <w:rsid w:val="00674F31"/>
    <w:rsid w:val="00675DFB"/>
    <w:rsid w:val="0067727A"/>
    <w:rsid w:val="00681BC7"/>
    <w:rsid w:val="00686EF8"/>
    <w:rsid w:val="00687D79"/>
    <w:rsid w:val="00690637"/>
    <w:rsid w:val="00691795"/>
    <w:rsid w:val="00692709"/>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C0BE9"/>
    <w:rsid w:val="006C14B3"/>
    <w:rsid w:val="006C62EB"/>
    <w:rsid w:val="006D1174"/>
    <w:rsid w:val="006D238C"/>
    <w:rsid w:val="006E110E"/>
    <w:rsid w:val="006E23B2"/>
    <w:rsid w:val="006E7373"/>
    <w:rsid w:val="006F17FC"/>
    <w:rsid w:val="006F2F2C"/>
    <w:rsid w:val="006F3D25"/>
    <w:rsid w:val="00701C20"/>
    <w:rsid w:val="00702178"/>
    <w:rsid w:val="00706047"/>
    <w:rsid w:val="00706E80"/>
    <w:rsid w:val="00711CA2"/>
    <w:rsid w:val="007137C7"/>
    <w:rsid w:val="00715090"/>
    <w:rsid w:val="00716B50"/>
    <w:rsid w:val="00716EDB"/>
    <w:rsid w:val="007206A0"/>
    <w:rsid w:val="00721CD8"/>
    <w:rsid w:val="00725188"/>
    <w:rsid w:val="0072571E"/>
    <w:rsid w:val="00725C26"/>
    <w:rsid w:val="0072729D"/>
    <w:rsid w:val="00731C30"/>
    <w:rsid w:val="00732ABA"/>
    <w:rsid w:val="00733490"/>
    <w:rsid w:val="00734F47"/>
    <w:rsid w:val="00735D76"/>
    <w:rsid w:val="007401DC"/>
    <w:rsid w:val="00743C69"/>
    <w:rsid w:val="007451F4"/>
    <w:rsid w:val="00745D57"/>
    <w:rsid w:val="00746B7C"/>
    <w:rsid w:val="007508B7"/>
    <w:rsid w:val="00750D09"/>
    <w:rsid w:val="007525C5"/>
    <w:rsid w:val="0075356C"/>
    <w:rsid w:val="0075607E"/>
    <w:rsid w:val="00760642"/>
    <w:rsid w:val="00761191"/>
    <w:rsid w:val="00766256"/>
    <w:rsid w:val="00770931"/>
    <w:rsid w:val="00780567"/>
    <w:rsid w:val="007806B5"/>
    <w:rsid w:val="00780CB0"/>
    <w:rsid w:val="00783221"/>
    <w:rsid w:val="00784CF0"/>
    <w:rsid w:val="00787D52"/>
    <w:rsid w:val="0079231A"/>
    <w:rsid w:val="00795DF3"/>
    <w:rsid w:val="0079771A"/>
    <w:rsid w:val="007B4185"/>
    <w:rsid w:val="007B548D"/>
    <w:rsid w:val="007C452F"/>
    <w:rsid w:val="007C4F22"/>
    <w:rsid w:val="007C6908"/>
    <w:rsid w:val="007C6A68"/>
    <w:rsid w:val="007C7091"/>
    <w:rsid w:val="007C7AD3"/>
    <w:rsid w:val="007D02C0"/>
    <w:rsid w:val="007D344D"/>
    <w:rsid w:val="007D5538"/>
    <w:rsid w:val="007D5ABB"/>
    <w:rsid w:val="007E42CD"/>
    <w:rsid w:val="007F21DA"/>
    <w:rsid w:val="007F2ACC"/>
    <w:rsid w:val="007F7820"/>
    <w:rsid w:val="007F7EB5"/>
    <w:rsid w:val="0080360C"/>
    <w:rsid w:val="00803EDE"/>
    <w:rsid w:val="00806204"/>
    <w:rsid w:val="00807BCE"/>
    <w:rsid w:val="00810812"/>
    <w:rsid w:val="0081595C"/>
    <w:rsid w:val="0081608E"/>
    <w:rsid w:val="00820598"/>
    <w:rsid w:val="00821B64"/>
    <w:rsid w:val="00821E4E"/>
    <w:rsid w:val="0082522E"/>
    <w:rsid w:val="008259BF"/>
    <w:rsid w:val="008266F2"/>
    <w:rsid w:val="00826D91"/>
    <w:rsid w:val="008307B7"/>
    <w:rsid w:val="008317AF"/>
    <w:rsid w:val="00840775"/>
    <w:rsid w:val="00852400"/>
    <w:rsid w:val="00852CD8"/>
    <w:rsid w:val="008545E7"/>
    <w:rsid w:val="00854A89"/>
    <w:rsid w:val="008554B7"/>
    <w:rsid w:val="00856A03"/>
    <w:rsid w:val="0086015F"/>
    <w:rsid w:val="0086647B"/>
    <w:rsid w:val="00867AD1"/>
    <w:rsid w:val="00872B06"/>
    <w:rsid w:val="008751E1"/>
    <w:rsid w:val="00881F00"/>
    <w:rsid w:val="008835A9"/>
    <w:rsid w:val="00885048"/>
    <w:rsid w:val="00892440"/>
    <w:rsid w:val="00892575"/>
    <w:rsid w:val="00894316"/>
    <w:rsid w:val="00895010"/>
    <w:rsid w:val="00895EFC"/>
    <w:rsid w:val="008961D2"/>
    <w:rsid w:val="008A0BB4"/>
    <w:rsid w:val="008A157B"/>
    <w:rsid w:val="008A2BAC"/>
    <w:rsid w:val="008A7EF4"/>
    <w:rsid w:val="008B4905"/>
    <w:rsid w:val="008B561A"/>
    <w:rsid w:val="008B7994"/>
    <w:rsid w:val="008C065E"/>
    <w:rsid w:val="008C3540"/>
    <w:rsid w:val="008C3E16"/>
    <w:rsid w:val="008C62A0"/>
    <w:rsid w:val="008D3FFE"/>
    <w:rsid w:val="008D4FF7"/>
    <w:rsid w:val="008D57CB"/>
    <w:rsid w:val="008E1429"/>
    <w:rsid w:val="008E18BC"/>
    <w:rsid w:val="008E2054"/>
    <w:rsid w:val="008E4E50"/>
    <w:rsid w:val="008E5D8E"/>
    <w:rsid w:val="008E6551"/>
    <w:rsid w:val="008F0FC4"/>
    <w:rsid w:val="008F1A3A"/>
    <w:rsid w:val="008F4F4F"/>
    <w:rsid w:val="0090081F"/>
    <w:rsid w:val="00901762"/>
    <w:rsid w:val="009020E7"/>
    <w:rsid w:val="009041DC"/>
    <w:rsid w:val="009041FF"/>
    <w:rsid w:val="00905ACF"/>
    <w:rsid w:val="00906953"/>
    <w:rsid w:val="00906E2A"/>
    <w:rsid w:val="00906EC7"/>
    <w:rsid w:val="009074DC"/>
    <w:rsid w:val="009142A9"/>
    <w:rsid w:val="00915542"/>
    <w:rsid w:val="00915B2A"/>
    <w:rsid w:val="0091674B"/>
    <w:rsid w:val="00925295"/>
    <w:rsid w:val="00930514"/>
    <w:rsid w:val="00930ABC"/>
    <w:rsid w:val="009315B7"/>
    <w:rsid w:val="0093474C"/>
    <w:rsid w:val="00936A2A"/>
    <w:rsid w:val="00936F7D"/>
    <w:rsid w:val="009443F5"/>
    <w:rsid w:val="009455D0"/>
    <w:rsid w:val="0095102F"/>
    <w:rsid w:val="00951910"/>
    <w:rsid w:val="0095309A"/>
    <w:rsid w:val="009566E1"/>
    <w:rsid w:val="00960509"/>
    <w:rsid w:val="00961067"/>
    <w:rsid w:val="009631D2"/>
    <w:rsid w:val="0096343C"/>
    <w:rsid w:val="00963DDB"/>
    <w:rsid w:val="0096626A"/>
    <w:rsid w:val="0097034B"/>
    <w:rsid w:val="009703AF"/>
    <w:rsid w:val="00974AD4"/>
    <w:rsid w:val="00977E20"/>
    <w:rsid w:val="00982381"/>
    <w:rsid w:val="00983168"/>
    <w:rsid w:val="0098688C"/>
    <w:rsid w:val="009914CA"/>
    <w:rsid w:val="009924FB"/>
    <w:rsid w:val="00992C4E"/>
    <w:rsid w:val="009A050E"/>
    <w:rsid w:val="009A098D"/>
    <w:rsid w:val="009A1993"/>
    <w:rsid w:val="009A27ED"/>
    <w:rsid w:val="009A396E"/>
    <w:rsid w:val="009A5222"/>
    <w:rsid w:val="009A62C8"/>
    <w:rsid w:val="009B2BFA"/>
    <w:rsid w:val="009B4BE5"/>
    <w:rsid w:val="009C16F2"/>
    <w:rsid w:val="009C2C5B"/>
    <w:rsid w:val="009C7832"/>
    <w:rsid w:val="009D250B"/>
    <w:rsid w:val="009D2653"/>
    <w:rsid w:val="009D2B22"/>
    <w:rsid w:val="009D4DAF"/>
    <w:rsid w:val="009D74F2"/>
    <w:rsid w:val="009E12DB"/>
    <w:rsid w:val="009E1E8F"/>
    <w:rsid w:val="009E471C"/>
    <w:rsid w:val="009E5903"/>
    <w:rsid w:val="009E7B38"/>
    <w:rsid w:val="009F3C8A"/>
    <w:rsid w:val="009F601E"/>
    <w:rsid w:val="00A00D32"/>
    <w:rsid w:val="00A0182F"/>
    <w:rsid w:val="00A036CA"/>
    <w:rsid w:val="00A0379B"/>
    <w:rsid w:val="00A05951"/>
    <w:rsid w:val="00A10437"/>
    <w:rsid w:val="00A10C79"/>
    <w:rsid w:val="00A12A1F"/>
    <w:rsid w:val="00A1471F"/>
    <w:rsid w:val="00A15B76"/>
    <w:rsid w:val="00A172B5"/>
    <w:rsid w:val="00A21892"/>
    <w:rsid w:val="00A22EB2"/>
    <w:rsid w:val="00A23955"/>
    <w:rsid w:val="00A276A8"/>
    <w:rsid w:val="00A329A2"/>
    <w:rsid w:val="00A35349"/>
    <w:rsid w:val="00A36FB6"/>
    <w:rsid w:val="00A4132F"/>
    <w:rsid w:val="00A43C76"/>
    <w:rsid w:val="00A44828"/>
    <w:rsid w:val="00A448C7"/>
    <w:rsid w:val="00A45CA8"/>
    <w:rsid w:val="00A4751A"/>
    <w:rsid w:val="00A475C0"/>
    <w:rsid w:val="00A52BC7"/>
    <w:rsid w:val="00A563BB"/>
    <w:rsid w:val="00A62DF0"/>
    <w:rsid w:val="00A631E8"/>
    <w:rsid w:val="00A66E9D"/>
    <w:rsid w:val="00A705C7"/>
    <w:rsid w:val="00A70DED"/>
    <w:rsid w:val="00A7104F"/>
    <w:rsid w:val="00A72E00"/>
    <w:rsid w:val="00A75F2F"/>
    <w:rsid w:val="00A80E85"/>
    <w:rsid w:val="00A81FA4"/>
    <w:rsid w:val="00A82F32"/>
    <w:rsid w:val="00A84FDA"/>
    <w:rsid w:val="00A875CC"/>
    <w:rsid w:val="00A9162B"/>
    <w:rsid w:val="00A919F9"/>
    <w:rsid w:val="00A96AC9"/>
    <w:rsid w:val="00AA1BEF"/>
    <w:rsid w:val="00AA1DEC"/>
    <w:rsid w:val="00AA1EE9"/>
    <w:rsid w:val="00AA32DE"/>
    <w:rsid w:val="00AA747F"/>
    <w:rsid w:val="00AB077B"/>
    <w:rsid w:val="00AB1C7E"/>
    <w:rsid w:val="00AC348C"/>
    <w:rsid w:val="00AC457A"/>
    <w:rsid w:val="00AC5220"/>
    <w:rsid w:val="00AC53B8"/>
    <w:rsid w:val="00AC5678"/>
    <w:rsid w:val="00AC6541"/>
    <w:rsid w:val="00AC7500"/>
    <w:rsid w:val="00AC7928"/>
    <w:rsid w:val="00AD306F"/>
    <w:rsid w:val="00AD4BFE"/>
    <w:rsid w:val="00AD536E"/>
    <w:rsid w:val="00AD5BC5"/>
    <w:rsid w:val="00AD60E5"/>
    <w:rsid w:val="00AD74AA"/>
    <w:rsid w:val="00AD7B09"/>
    <w:rsid w:val="00AE2415"/>
    <w:rsid w:val="00AE3131"/>
    <w:rsid w:val="00AE6084"/>
    <w:rsid w:val="00AE7040"/>
    <w:rsid w:val="00AF02AD"/>
    <w:rsid w:val="00AF03DC"/>
    <w:rsid w:val="00AF266F"/>
    <w:rsid w:val="00AF2855"/>
    <w:rsid w:val="00AF3022"/>
    <w:rsid w:val="00AF7091"/>
    <w:rsid w:val="00AF7487"/>
    <w:rsid w:val="00B00B5A"/>
    <w:rsid w:val="00B018FC"/>
    <w:rsid w:val="00B01B60"/>
    <w:rsid w:val="00B020DB"/>
    <w:rsid w:val="00B03603"/>
    <w:rsid w:val="00B0421B"/>
    <w:rsid w:val="00B04FA4"/>
    <w:rsid w:val="00B055D8"/>
    <w:rsid w:val="00B07B26"/>
    <w:rsid w:val="00B12107"/>
    <w:rsid w:val="00B12468"/>
    <w:rsid w:val="00B13681"/>
    <w:rsid w:val="00B14AEB"/>
    <w:rsid w:val="00B15573"/>
    <w:rsid w:val="00B17214"/>
    <w:rsid w:val="00B233AC"/>
    <w:rsid w:val="00B2593D"/>
    <w:rsid w:val="00B25B35"/>
    <w:rsid w:val="00B30971"/>
    <w:rsid w:val="00B30B35"/>
    <w:rsid w:val="00B313A3"/>
    <w:rsid w:val="00B32230"/>
    <w:rsid w:val="00B344B5"/>
    <w:rsid w:val="00B349BF"/>
    <w:rsid w:val="00B34B0F"/>
    <w:rsid w:val="00B35D6B"/>
    <w:rsid w:val="00B36396"/>
    <w:rsid w:val="00B37331"/>
    <w:rsid w:val="00B42ABF"/>
    <w:rsid w:val="00B436BB"/>
    <w:rsid w:val="00B442FF"/>
    <w:rsid w:val="00B50907"/>
    <w:rsid w:val="00B5315B"/>
    <w:rsid w:val="00B577B3"/>
    <w:rsid w:val="00B605AA"/>
    <w:rsid w:val="00B60D80"/>
    <w:rsid w:val="00B6124E"/>
    <w:rsid w:val="00B63CEB"/>
    <w:rsid w:val="00B645A1"/>
    <w:rsid w:val="00B64EE4"/>
    <w:rsid w:val="00B65C9B"/>
    <w:rsid w:val="00B67B26"/>
    <w:rsid w:val="00B70F4F"/>
    <w:rsid w:val="00B71FE1"/>
    <w:rsid w:val="00B73F50"/>
    <w:rsid w:val="00B74A8D"/>
    <w:rsid w:val="00B74BF1"/>
    <w:rsid w:val="00B81339"/>
    <w:rsid w:val="00B817FC"/>
    <w:rsid w:val="00B81F18"/>
    <w:rsid w:val="00B851B4"/>
    <w:rsid w:val="00B86028"/>
    <w:rsid w:val="00B86363"/>
    <w:rsid w:val="00B90114"/>
    <w:rsid w:val="00B91095"/>
    <w:rsid w:val="00B92C95"/>
    <w:rsid w:val="00B94D0B"/>
    <w:rsid w:val="00B964F4"/>
    <w:rsid w:val="00BA001D"/>
    <w:rsid w:val="00BB14C1"/>
    <w:rsid w:val="00BB1799"/>
    <w:rsid w:val="00BC31F6"/>
    <w:rsid w:val="00BC4ABD"/>
    <w:rsid w:val="00BC546C"/>
    <w:rsid w:val="00BC6334"/>
    <w:rsid w:val="00BD1A20"/>
    <w:rsid w:val="00BD30FC"/>
    <w:rsid w:val="00BD4F4F"/>
    <w:rsid w:val="00BD5216"/>
    <w:rsid w:val="00BD6D83"/>
    <w:rsid w:val="00BE2272"/>
    <w:rsid w:val="00BE3BEC"/>
    <w:rsid w:val="00BE4007"/>
    <w:rsid w:val="00BF02C8"/>
    <w:rsid w:val="00BF0ADA"/>
    <w:rsid w:val="00BF0B52"/>
    <w:rsid w:val="00BF1BD3"/>
    <w:rsid w:val="00BF3837"/>
    <w:rsid w:val="00BF5213"/>
    <w:rsid w:val="00C00854"/>
    <w:rsid w:val="00C01F56"/>
    <w:rsid w:val="00C02920"/>
    <w:rsid w:val="00C04ED5"/>
    <w:rsid w:val="00C0787D"/>
    <w:rsid w:val="00C10CE7"/>
    <w:rsid w:val="00C12152"/>
    <w:rsid w:val="00C14FB3"/>
    <w:rsid w:val="00C1583F"/>
    <w:rsid w:val="00C1718F"/>
    <w:rsid w:val="00C17923"/>
    <w:rsid w:val="00C20365"/>
    <w:rsid w:val="00C2214A"/>
    <w:rsid w:val="00C2386F"/>
    <w:rsid w:val="00C25484"/>
    <w:rsid w:val="00C2675B"/>
    <w:rsid w:val="00C26D28"/>
    <w:rsid w:val="00C30EE2"/>
    <w:rsid w:val="00C37F27"/>
    <w:rsid w:val="00C400FF"/>
    <w:rsid w:val="00C42A4B"/>
    <w:rsid w:val="00C459A1"/>
    <w:rsid w:val="00C463BC"/>
    <w:rsid w:val="00C5014E"/>
    <w:rsid w:val="00C56528"/>
    <w:rsid w:val="00C57F49"/>
    <w:rsid w:val="00C601F7"/>
    <w:rsid w:val="00C6037A"/>
    <w:rsid w:val="00C603E3"/>
    <w:rsid w:val="00C605F5"/>
    <w:rsid w:val="00C6143C"/>
    <w:rsid w:val="00C625A5"/>
    <w:rsid w:val="00C62771"/>
    <w:rsid w:val="00C71C6E"/>
    <w:rsid w:val="00C7202E"/>
    <w:rsid w:val="00C7211E"/>
    <w:rsid w:val="00C72669"/>
    <w:rsid w:val="00C74DCE"/>
    <w:rsid w:val="00C75757"/>
    <w:rsid w:val="00C76429"/>
    <w:rsid w:val="00C806AF"/>
    <w:rsid w:val="00C8157D"/>
    <w:rsid w:val="00C84088"/>
    <w:rsid w:val="00C84390"/>
    <w:rsid w:val="00C84EE4"/>
    <w:rsid w:val="00C874CB"/>
    <w:rsid w:val="00C91F19"/>
    <w:rsid w:val="00C9375A"/>
    <w:rsid w:val="00C93E48"/>
    <w:rsid w:val="00C943CA"/>
    <w:rsid w:val="00C9521A"/>
    <w:rsid w:val="00C957C1"/>
    <w:rsid w:val="00C97EBC"/>
    <w:rsid w:val="00CA0380"/>
    <w:rsid w:val="00CA1361"/>
    <w:rsid w:val="00CA150F"/>
    <w:rsid w:val="00CA4A6A"/>
    <w:rsid w:val="00CA4D3F"/>
    <w:rsid w:val="00CB17D9"/>
    <w:rsid w:val="00CB383C"/>
    <w:rsid w:val="00CB69AF"/>
    <w:rsid w:val="00CB7C96"/>
    <w:rsid w:val="00CC285D"/>
    <w:rsid w:val="00CC5928"/>
    <w:rsid w:val="00CD04E0"/>
    <w:rsid w:val="00CD10B6"/>
    <w:rsid w:val="00CD1587"/>
    <w:rsid w:val="00CD252F"/>
    <w:rsid w:val="00CD4D39"/>
    <w:rsid w:val="00CD6471"/>
    <w:rsid w:val="00CE19E0"/>
    <w:rsid w:val="00CE2583"/>
    <w:rsid w:val="00CE4AED"/>
    <w:rsid w:val="00CF16C4"/>
    <w:rsid w:val="00CF1BED"/>
    <w:rsid w:val="00CF3DD8"/>
    <w:rsid w:val="00CF5008"/>
    <w:rsid w:val="00D01646"/>
    <w:rsid w:val="00D039F1"/>
    <w:rsid w:val="00D03AFF"/>
    <w:rsid w:val="00D1117D"/>
    <w:rsid w:val="00D11A33"/>
    <w:rsid w:val="00D11CF6"/>
    <w:rsid w:val="00D12984"/>
    <w:rsid w:val="00D13199"/>
    <w:rsid w:val="00D140F6"/>
    <w:rsid w:val="00D15C5B"/>
    <w:rsid w:val="00D20094"/>
    <w:rsid w:val="00D20EB2"/>
    <w:rsid w:val="00D25573"/>
    <w:rsid w:val="00D33271"/>
    <w:rsid w:val="00D3753A"/>
    <w:rsid w:val="00D37FB3"/>
    <w:rsid w:val="00D4078A"/>
    <w:rsid w:val="00D413DF"/>
    <w:rsid w:val="00D41E42"/>
    <w:rsid w:val="00D42E84"/>
    <w:rsid w:val="00D45456"/>
    <w:rsid w:val="00D5049E"/>
    <w:rsid w:val="00D50A53"/>
    <w:rsid w:val="00D51CD8"/>
    <w:rsid w:val="00D53231"/>
    <w:rsid w:val="00D53C15"/>
    <w:rsid w:val="00D53EF1"/>
    <w:rsid w:val="00D5525D"/>
    <w:rsid w:val="00D563A3"/>
    <w:rsid w:val="00D649A7"/>
    <w:rsid w:val="00D72144"/>
    <w:rsid w:val="00D7528F"/>
    <w:rsid w:val="00D75E1E"/>
    <w:rsid w:val="00D7660B"/>
    <w:rsid w:val="00D801AF"/>
    <w:rsid w:val="00D81EBE"/>
    <w:rsid w:val="00D8494A"/>
    <w:rsid w:val="00D9041A"/>
    <w:rsid w:val="00D93AD9"/>
    <w:rsid w:val="00D94B6A"/>
    <w:rsid w:val="00D95D63"/>
    <w:rsid w:val="00D95F8B"/>
    <w:rsid w:val="00D9607E"/>
    <w:rsid w:val="00D97758"/>
    <w:rsid w:val="00DA0352"/>
    <w:rsid w:val="00DA4F10"/>
    <w:rsid w:val="00DB1312"/>
    <w:rsid w:val="00DB474E"/>
    <w:rsid w:val="00DB674B"/>
    <w:rsid w:val="00DB7BF8"/>
    <w:rsid w:val="00DC100F"/>
    <w:rsid w:val="00DC41D0"/>
    <w:rsid w:val="00DD36E2"/>
    <w:rsid w:val="00DE4F44"/>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19F0"/>
    <w:rsid w:val="00E14190"/>
    <w:rsid w:val="00E15D73"/>
    <w:rsid w:val="00E2588B"/>
    <w:rsid w:val="00E25F52"/>
    <w:rsid w:val="00E33221"/>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615B6"/>
    <w:rsid w:val="00E61AF1"/>
    <w:rsid w:val="00E62F64"/>
    <w:rsid w:val="00E63730"/>
    <w:rsid w:val="00E63DD6"/>
    <w:rsid w:val="00E6490F"/>
    <w:rsid w:val="00E6552A"/>
    <w:rsid w:val="00E65E73"/>
    <w:rsid w:val="00E70D31"/>
    <w:rsid w:val="00E7274C"/>
    <w:rsid w:val="00E73DA5"/>
    <w:rsid w:val="00E747D8"/>
    <w:rsid w:val="00E76268"/>
    <w:rsid w:val="00E76A48"/>
    <w:rsid w:val="00E846D2"/>
    <w:rsid w:val="00E86C0F"/>
    <w:rsid w:val="00E91E80"/>
    <w:rsid w:val="00E93DFB"/>
    <w:rsid w:val="00E95284"/>
    <w:rsid w:val="00E956E5"/>
    <w:rsid w:val="00E964A6"/>
    <w:rsid w:val="00E96E01"/>
    <w:rsid w:val="00E96FED"/>
    <w:rsid w:val="00EA37B5"/>
    <w:rsid w:val="00EA4A2F"/>
    <w:rsid w:val="00EA7718"/>
    <w:rsid w:val="00EB44DC"/>
    <w:rsid w:val="00EB46CC"/>
    <w:rsid w:val="00EC11A8"/>
    <w:rsid w:val="00ED17E0"/>
    <w:rsid w:val="00ED180F"/>
    <w:rsid w:val="00ED2EEF"/>
    <w:rsid w:val="00ED38C0"/>
    <w:rsid w:val="00ED7571"/>
    <w:rsid w:val="00EE4792"/>
    <w:rsid w:val="00EE7778"/>
    <w:rsid w:val="00F018EA"/>
    <w:rsid w:val="00F02475"/>
    <w:rsid w:val="00F03264"/>
    <w:rsid w:val="00F0458B"/>
    <w:rsid w:val="00F04B39"/>
    <w:rsid w:val="00F055A1"/>
    <w:rsid w:val="00F066F6"/>
    <w:rsid w:val="00F070FD"/>
    <w:rsid w:val="00F103D7"/>
    <w:rsid w:val="00F12E90"/>
    <w:rsid w:val="00F14FD3"/>
    <w:rsid w:val="00F150C5"/>
    <w:rsid w:val="00F16672"/>
    <w:rsid w:val="00F22A37"/>
    <w:rsid w:val="00F23E99"/>
    <w:rsid w:val="00F24CD6"/>
    <w:rsid w:val="00F30D68"/>
    <w:rsid w:val="00F3188C"/>
    <w:rsid w:val="00F332A2"/>
    <w:rsid w:val="00F35D29"/>
    <w:rsid w:val="00F36E68"/>
    <w:rsid w:val="00F36F55"/>
    <w:rsid w:val="00F3793D"/>
    <w:rsid w:val="00F41108"/>
    <w:rsid w:val="00F4165A"/>
    <w:rsid w:val="00F434F4"/>
    <w:rsid w:val="00F44D8F"/>
    <w:rsid w:val="00F47CE2"/>
    <w:rsid w:val="00F52110"/>
    <w:rsid w:val="00F5460A"/>
    <w:rsid w:val="00F54FE7"/>
    <w:rsid w:val="00F57F00"/>
    <w:rsid w:val="00F60525"/>
    <w:rsid w:val="00F60566"/>
    <w:rsid w:val="00F60EC9"/>
    <w:rsid w:val="00F62117"/>
    <w:rsid w:val="00F67568"/>
    <w:rsid w:val="00F70E49"/>
    <w:rsid w:val="00F714D0"/>
    <w:rsid w:val="00F717B2"/>
    <w:rsid w:val="00F73DB1"/>
    <w:rsid w:val="00F76882"/>
    <w:rsid w:val="00F81C56"/>
    <w:rsid w:val="00F83298"/>
    <w:rsid w:val="00F853CF"/>
    <w:rsid w:val="00F864B5"/>
    <w:rsid w:val="00F8698D"/>
    <w:rsid w:val="00F942C8"/>
    <w:rsid w:val="00F9550E"/>
    <w:rsid w:val="00FA045E"/>
    <w:rsid w:val="00FA1C82"/>
    <w:rsid w:val="00FA2563"/>
    <w:rsid w:val="00FA29AD"/>
    <w:rsid w:val="00FA2E26"/>
    <w:rsid w:val="00FA681D"/>
    <w:rsid w:val="00FA78B9"/>
    <w:rsid w:val="00FB099D"/>
    <w:rsid w:val="00FB1D81"/>
    <w:rsid w:val="00FB2659"/>
    <w:rsid w:val="00FB5C1D"/>
    <w:rsid w:val="00FC23D7"/>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2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252F"/>
    <w:pPr>
      <w:spacing w:before="100" w:beforeAutospacing="1" w:after="100" w:afterAutospacing="1"/>
    </w:pPr>
  </w:style>
  <w:style w:type="paragraph" w:customStyle="1" w:styleId="naisf">
    <w:name w:val="naisf"/>
    <w:basedOn w:val="Normal"/>
    <w:rsid w:val="00CD252F"/>
    <w:pPr>
      <w:spacing w:before="75" w:after="75"/>
      <w:ind w:firstLine="375"/>
      <w:jc w:val="both"/>
    </w:pPr>
  </w:style>
  <w:style w:type="paragraph" w:customStyle="1" w:styleId="naisnod">
    <w:name w:val="naisnod"/>
    <w:basedOn w:val="Normal"/>
    <w:uiPriority w:val="99"/>
    <w:rsid w:val="00CD252F"/>
    <w:pPr>
      <w:spacing w:before="150" w:after="150"/>
      <w:jc w:val="center"/>
    </w:pPr>
    <w:rPr>
      <w:b/>
      <w:bCs/>
    </w:rPr>
  </w:style>
  <w:style w:type="paragraph" w:customStyle="1" w:styleId="naiskr">
    <w:name w:val="naiskr"/>
    <w:basedOn w:val="Normal"/>
    <w:rsid w:val="00CD252F"/>
    <w:pPr>
      <w:spacing w:before="75" w:after="75"/>
    </w:pPr>
  </w:style>
  <w:style w:type="paragraph" w:customStyle="1" w:styleId="naisc">
    <w:name w:val="naisc"/>
    <w:basedOn w:val="Normal"/>
    <w:rsid w:val="00CD252F"/>
    <w:pPr>
      <w:spacing w:before="75" w:after="75"/>
      <w:jc w:val="center"/>
    </w:pPr>
  </w:style>
  <w:style w:type="paragraph" w:styleId="Header">
    <w:name w:val="header"/>
    <w:basedOn w:val="Normal"/>
    <w:link w:val="HeaderChar"/>
    <w:uiPriority w:val="99"/>
    <w:rsid w:val="00CD252F"/>
    <w:pPr>
      <w:tabs>
        <w:tab w:val="center" w:pos="4153"/>
        <w:tab w:val="right" w:pos="8306"/>
      </w:tabs>
    </w:pPr>
  </w:style>
  <w:style w:type="character" w:customStyle="1" w:styleId="HeaderChar">
    <w:name w:val="Header Char"/>
    <w:basedOn w:val="DefaultParagraphFont"/>
    <w:link w:val="Header"/>
    <w:uiPriority w:val="99"/>
    <w:rsid w:val="00CD252F"/>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CD252F"/>
    <w:rPr>
      <w:rFonts w:cs="Times New Roman"/>
    </w:rPr>
  </w:style>
  <w:style w:type="paragraph" w:styleId="Footer">
    <w:name w:val="footer"/>
    <w:basedOn w:val="Normal"/>
    <w:link w:val="FooterChar"/>
    <w:uiPriority w:val="99"/>
    <w:rsid w:val="00CD252F"/>
    <w:pPr>
      <w:tabs>
        <w:tab w:val="center" w:pos="4153"/>
        <w:tab w:val="right" w:pos="8306"/>
      </w:tabs>
    </w:pPr>
  </w:style>
  <w:style w:type="character" w:customStyle="1" w:styleId="FooterChar">
    <w:name w:val="Footer Char"/>
    <w:basedOn w:val="DefaultParagraphFont"/>
    <w:link w:val="Footer"/>
    <w:uiPriority w:val="99"/>
    <w:rsid w:val="00CD252F"/>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2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252F"/>
    <w:pPr>
      <w:spacing w:before="100" w:beforeAutospacing="1" w:after="100" w:afterAutospacing="1"/>
    </w:pPr>
  </w:style>
  <w:style w:type="paragraph" w:customStyle="1" w:styleId="naisf">
    <w:name w:val="naisf"/>
    <w:basedOn w:val="Normal"/>
    <w:rsid w:val="00CD252F"/>
    <w:pPr>
      <w:spacing w:before="75" w:after="75"/>
      <w:ind w:firstLine="375"/>
      <w:jc w:val="both"/>
    </w:pPr>
  </w:style>
  <w:style w:type="paragraph" w:customStyle="1" w:styleId="naisnod">
    <w:name w:val="naisnod"/>
    <w:basedOn w:val="Normal"/>
    <w:uiPriority w:val="99"/>
    <w:rsid w:val="00CD252F"/>
    <w:pPr>
      <w:spacing w:before="150" w:after="150"/>
      <w:jc w:val="center"/>
    </w:pPr>
    <w:rPr>
      <w:b/>
      <w:bCs/>
    </w:rPr>
  </w:style>
  <w:style w:type="paragraph" w:customStyle="1" w:styleId="naiskr">
    <w:name w:val="naiskr"/>
    <w:basedOn w:val="Normal"/>
    <w:rsid w:val="00CD252F"/>
    <w:pPr>
      <w:spacing w:before="75" w:after="75"/>
    </w:pPr>
  </w:style>
  <w:style w:type="paragraph" w:customStyle="1" w:styleId="naisc">
    <w:name w:val="naisc"/>
    <w:basedOn w:val="Normal"/>
    <w:rsid w:val="00CD252F"/>
    <w:pPr>
      <w:spacing w:before="75" w:after="75"/>
      <w:jc w:val="center"/>
    </w:pPr>
  </w:style>
  <w:style w:type="paragraph" w:styleId="Header">
    <w:name w:val="header"/>
    <w:basedOn w:val="Normal"/>
    <w:link w:val="HeaderChar"/>
    <w:uiPriority w:val="99"/>
    <w:rsid w:val="00CD252F"/>
    <w:pPr>
      <w:tabs>
        <w:tab w:val="center" w:pos="4153"/>
        <w:tab w:val="right" w:pos="8306"/>
      </w:tabs>
    </w:pPr>
  </w:style>
  <w:style w:type="character" w:customStyle="1" w:styleId="HeaderChar">
    <w:name w:val="Header Char"/>
    <w:basedOn w:val="DefaultParagraphFont"/>
    <w:link w:val="Header"/>
    <w:uiPriority w:val="99"/>
    <w:rsid w:val="00CD252F"/>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CD252F"/>
    <w:rPr>
      <w:rFonts w:cs="Times New Roman"/>
    </w:rPr>
  </w:style>
  <w:style w:type="paragraph" w:styleId="Footer">
    <w:name w:val="footer"/>
    <w:basedOn w:val="Normal"/>
    <w:link w:val="FooterChar"/>
    <w:uiPriority w:val="99"/>
    <w:rsid w:val="00CD252F"/>
    <w:pPr>
      <w:tabs>
        <w:tab w:val="center" w:pos="4153"/>
        <w:tab w:val="right" w:pos="8306"/>
      </w:tabs>
    </w:pPr>
  </w:style>
  <w:style w:type="character" w:customStyle="1" w:styleId="FooterChar">
    <w:name w:val="Footer Char"/>
    <w:basedOn w:val="DefaultParagraphFont"/>
    <w:link w:val="Footer"/>
    <w:uiPriority w:val="99"/>
    <w:rsid w:val="00CD252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6</Pages>
  <Words>4788</Words>
  <Characters>2730</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obligāto sociālo apdrošināšanu pret nelaimes gadījumiem darbā un arodslimībām”</dc:title>
  <dc:subject>izziņa par atzinumos sniegtajiem iebildumiem</dc:subject>
  <dc:creator>Dace Trusinska</dc:creator>
  <dc:description>D.Trušinska, 67021553
Dace.Trusinska@lm.gov.lv</dc:description>
  <cp:lastModifiedBy>Dace Trusinska</cp:lastModifiedBy>
  <cp:revision>9</cp:revision>
  <dcterms:created xsi:type="dcterms:W3CDTF">2019-04-03T06:28:00Z</dcterms:created>
  <dcterms:modified xsi:type="dcterms:W3CDTF">2019-04-16T06:42:00Z</dcterms:modified>
</cp:coreProperties>
</file>