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E65A40" w:rsidR="008C077C" w:rsidP="00AC0027" w:rsidRDefault="008C077C" w14:paraId="3BD9DAB3" w14:textId="3BD9DAB3">
      <w:pPr>
        <w:spacing w:after="120"/>
        <w:jc w:val="center"/>
        <w15:collapsed w:val="false"/>
        <w:rPr>
          <w:rFonts w:cs="Times New Roman"/>
          <w:b/>
          <w:sz w:val="28"/>
          <w:szCs w:val="28"/>
        </w:rPr>
      </w:pPr>
      <w:r w:rsidRPr="00E65A40">
        <w:rPr>
          <w:rFonts w:cs="Times New Roman"/>
          <w:b/>
          <w:sz w:val="28"/>
          <w:szCs w:val="28"/>
        </w:rPr>
        <w:t>INFORMATĪVAIS ZIŅOJUMS</w:t>
      </w:r>
    </w:p>
    <w:p w:rsidR="003C792A" w:rsidP="006D1CA0" w:rsidRDefault="004732B0" w14:paraId="39E0320D" w14:textId="77777777">
      <w:pPr>
        <w:spacing w:after="120"/>
        <w:jc w:val="center"/>
        <w:rPr>
          <w:rFonts w:cs="Times New Roman"/>
          <w:b/>
          <w:sz w:val="28"/>
          <w:szCs w:val="28"/>
        </w:rPr>
      </w:pPr>
      <w:r w:rsidRPr="00E65A40">
        <w:rPr>
          <w:rFonts w:cs="Times New Roman"/>
          <w:b/>
          <w:sz w:val="28"/>
          <w:szCs w:val="28"/>
        </w:rPr>
        <w:t>par 201</w:t>
      </w:r>
      <w:r w:rsidR="006D1CA0">
        <w:rPr>
          <w:rFonts w:cs="Times New Roman"/>
          <w:b/>
          <w:sz w:val="28"/>
          <w:szCs w:val="28"/>
        </w:rPr>
        <w:t>9</w:t>
      </w:r>
      <w:r w:rsidRPr="00E65A40" w:rsidR="008C077C">
        <w:rPr>
          <w:rFonts w:cs="Times New Roman"/>
          <w:b/>
          <w:sz w:val="28"/>
          <w:szCs w:val="28"/>
        </w:rPr>
        <w:t xml:space="preserve">. gada </w:t>
      </w:r>
      <w:r w:rsidR="006D1CA0">
        <w:rPr>
          <w:rFonts w:cs="Times New Roman"/>
          <w:b/>
          <w:sz w:val="28"/>
          <w:szCs w:val="28"/>
        </w:rPr>
        <w:t>02</w:t>
      </w:r>
      <w:r w:rsidRPr="00E65A40">
        <w:rPr>
          <w:rFonts w:cs="Times New Roman"/>
          <w:b/>
          <w:sz w:val="28"/>
          <w:szCs w:val="28"/>
        </w:rPr>
        <w:t>.</w:t>
      </w:r>
      <w:r w:rsidR="006D1CA0">
        <w:rPr>
          <w:rFonts w:cs="Times New Roman"/>
          <w:b/>
          <w:sz w:val="28"/>
          <w:szCs w:val="28"/>
        </w:rPr>
        <w:t>-03. maij</w:t>
      </w:r>
      <w:r w:rsidRPr="00E65A40">
        <w:rPr>
          <w:rFonts w:cs="Times New Roman"/>
          <w:b/>
          <w:sz w:val="28"/>
          <w:szCs w:val="28"/>
        </w:rPr>
        <w:t xml:space="preserve">a </w:t>
      </w:r>
      <w:r w:rsidRPr="00E65A40" w:rsidR="008C077C">
        <w:rPr>
          <w:rFonts w:cs="Times New Roman"/>
          <w:b/>
          <w:sz w:val="28"/>
          <w:szCs w:val="28"/>
        </w:rPr>
        <w:t xml:space="preserve">neformālajā Eiropas Savienības </w:t>
      </w:r>
      <w:r w:rsidRPr="00E65A40" w:rsidR="00AC0027">
        <w:rPr>
          <w:rFonts w:cs="Times New Roman"/>
          <w:b/>
          <w:sz w:val="28"/>
          <w:szCs w:val="28"/>
        </w:rPr>
        <w:t>k</w:t>
      </w:r>
      <w:r w:rsidRPr="00E65A40" w:rsidR="008C077C">
        <w:rPr>
          <w:rFonts w:cs="Times New Roman"/>
          <w:b/>
          <w:sz w:val="28"/>
          <w:szCs w:val="28"/>
        </w:rPr>
        <w:t>onkurētspējas ministru sanāksmē izskatāmajiem jautājumiem</w:t>
      </w:r>
    </w:p>
    <w:p w:rsidRPr="006D1CA0" w:rsidR="006D1CA0" w:rsidP="006D1CA0" w:rsidRDefault="006D1CA0" w14:paraId="68ECF3CA" w14:textId="77777777">
      <w:pPr>
        <w:spacing w:after="120"/>
        <w:jc w:val="center"/>
        <w:rPr>
          <w:rFonts w:cs="Times New Roman"/>
          <w:b/>
          <w:sz w:val="28"/>
          <w:szCs w:val="28"/>
        </w:rPr>
      </w:pPr>
    </w:p>
    <w:p w:rsidRPr="00E65A40" w:rsidR="008C077C" w:rsidP="00932E22" w:rsidRDefault="00A527C3" w14:paraId="655168C4" w14:textId="77777777">
      <w:pPr>
        <w:shd w:val="clear" w:color="auto" w:fill="F2F2F2" w:themeFill="background1" w:themeFillShade="F2"/>
        <w:spacing w:after="120"/>
        <w:ind w:left="567" w:hanging="567"/>
        <w:rPr>
          <w:rFonts w:cs="Times New Roman"/>
          <w:b/>
          <w:sz w:val="28"/>
          <w:szCs w:val="28"/>
        </w:rPr>
      </w:pPr>
      <w:r w:rsidRPr="00E65A40">
        <w:rPr>
          <w:rFonts w:cs="Times New Roman"/>
          <w:b/>
          <w:sz w:val="28"/>
          <w:szCs w:val="28"/>
        </w:rPr>
        <w:t>Neformālās konkurētspējas ministru sanāksmes darba kārtības jautājumi</w:t>
      </w:r>
    </w:p>
    <w:p w:rsidRPr="00E65A40" w:rsidR="00A527C3" w:rsidP="00932E22" w:rsidRDefault="006D1CA0" w14:paraId="7F2D25FA" w14:textId="39E57F4C">
      <w:pPr>
        <w:pStyle w:val="NoSpacing"/>
        <w:spacing w:after="120"/>
        <w:ind w:firstLine="567"/>
        <w:rPr>
          <w:sz w:val="28"/>
        </w:rPr>
      </w:pPr>
      <w:r>
        <w:rPr>
          <w:sz w:val="28"/>
        </w:rPr>
        <w:t>Rumān</w:t>
      </w:r>
      <w:r w:rsidRPr="00E65A40" w:rsidR="004732B0">
        <w:rPr>
          <w:sz w:val="28"/>
        </w:rPr>
        <w:t>ijas prezidentūra 201</w:t>
      </w:r>
      <w:r>
        <w:rPr>
          <w:sz w:val="28"/>
        </w:rPr>
        <w:t>9</w:t>
      </w:r>
      <w:r w:rsidRPr="00E65A40" w:rsidR="008C077C">
        <w:rPr>
          <w:sz w:val="28"/>
        </w:rPr>
        <w:t>. gada</w:t>
      </w:r>
      <w:r w:rsidRPr="00E65A40" w:rsidR="00E34A69">
        <w:rPr>
          <w:sz w:val="28"/>
        </w:rPr>
        <w:t xml:space="preserve"> </w:t>
      </w:r>
      <w:r>
        <w:rPr>
          <w:sz w:val="28"/>
        </w:rPr>
        <w:t>02.-03. maijā</w:t>
      </w:r>
      <w:r w:rsidRPr="00E65A40" w:rsidR="004732B0">
        <w:rPr>
          <w:sz w:val="28"/>
        </w:rPr>
        <w:t xml:space="preserve"> </w:t>
      </w:r>
      <w:r>
        <w:rPr>
          <w:sz w:val="28"/>
        </w:rPr>
        <w:t>Bukarestē</w:t>
      </w:r>
      <w:r w:rsidRPr="00E65A40" w:rsidR="004732B0">
        <w:rPr>
          <w:sz w:val="28"/>
        </w:rPr>
        <w:t xml:space="preserve">, </w:t>
      </w:r>
      <w:r>
        <w:rPr>
          <w:sz w:val="28"/>
        </w:rPr>
        <w:t>Rumān</w:t>
      </w:r>
      <w:r w:rsidRPr="00E65A40" w:rsidR="004732B0">
        <w:rPr>
          <w:sz w:val="28"/>
        </w:rPr>
        <w:t>ijā</w:t>
      </w:r>
      <w:r w:rsidRPr="00E65A40" w:rsidR="00770E1A">
        <w:rPr>
          <w:sz w:val="28"/>
        </w:rPr>
        <w:t>,</w:t>
      </w:r>
      <w:r w:rsidRPr="00E65A40" w:rsidR="008C077C">
        <w:rPr>
          <w:sz w:val="28"/>
        </w:rPr>
        <w:t xml:space="preserve"> organizē neformālo Eiropas Savienības (turpmāk – ES) </w:t>
      </w:r>
      <w:r w:rsidRPr="00E65A40" w:rsidR="00AC0027">
        <w:rPr>
          <w:sz w:val="28"/>
        </w:rPr>
        <w:t>k</w:t>
      </w:r>
      <w:r w:rsidRPr="00E65A40" w:rsidR="008C077C">
        <w:rPr>
          <w:sz w:val="28"/>
        </w:rPr>
        <w:t>onkurētspējas ministru sanāksmi (turpmāk – sanāksme</w:t>
      </w:r>
      <w:r w:rsidRPr="00E65A40" w:rsidR="009A304A">
        <w:rPr>
          <w:sz w:val="28"/>
        </w:rPr>
        <w:t>)</w:t>
      </w:r>
      <w:r w:rsidRPr="00E65A40" w:rsidR="003C28ED">
        <w:rPr>
          <w:sz w:val="28"/>
        </w:rPr>
        <w:t xml:space="preserve">, kas tiks </w:t>
      </w:r>
      <w:r w:rsidRPr="00E65A40" w:rsidR="009909E5">
        <w:rPr>
          <w:sz w:val="28"/>
        </w:rPr>
        <w:t>v</w:t>
      </w:r>
      <w:r w:rsidRPr="00E65A40" w:rsidR="003C28ED">
        <w:rPr>
          <w:sz w:val="28"/>
        </w:rPr>
        <w:t xml:space="preserve">eltīta </w:t>
      </w:r>
      <w:r w:rsidRPr="00E65A40" w:rsidR="009909E5">
        <w:rPr>
          <w:sz w:val="28"/>
        </w:rPr>
        <w:t>ES rūpniecības</w:t>
      </w:r>
      <w:r>
        <w:rPr>
          <w:sz w:val="28"/>
        </w:rPr>
        <w:t>, konkurētspējas un</w:t>
      </w:r>
      <w:r w:rsidR="006E3CB7">
        <w:rPr>
          <w:sz w:val="28"/>
        </w:rPr>
        <w:t xml:space="preserve"> ES</w:t>
      </w:r>
      <w:r>
        <w:rPr>
          <w:sz w:val="28"/>
        </w:rPr>
        <w:t xml:space="preserve"> </w:t>
      </w:r>
      <w:r w:rsidR="006E3CB7">
        <w:rPr>
          <w:sz w:val="28"/>
        </w:rPr>
        <w:t>V</w:t>
      </w:r>
      <w:r>
        <w:rPr>
          <w:sz w:val="28"/>
        </w:rPr>
        <w:t>ienotā tirgus</w:t>
      </w:r>
      <w:r w:rsidRPr="00E65A40" w:rsidR="009909E5">
        <w:rPr>
          <w:sz w:val="28"/>
        </w:rPr>
        <w:t xml:space="preserve"> </w:t>
      </w:r>
      <w:r w:rsidR="00932E22">
        <w:rPr>
          <w:sz w:val="28"/>
        </w:rPr>
        <w:t>jautājumiem</w:t>
      </w:r>
      <w:r w:rsidRPr="00E65A40" w:rsidR="00A527C3">
        <w:rPr>
          <w:sz w:val="28"/>
        </w:rPr>
        <w:t>.</w:t>
      </w:r>
    </w:p>
    <w:p w:rsidRPr="00E65A40" w:rsidR="008A7C1F" w:rsidP="007C5E67" w:rsidRDefault="009909E5" w14:paraId="0216F4EA" w14:textId="77777777">
      <w:pPr>
        <w:pStyle w:val="NoSpacing"/>
        <w:spacing w:after="120"/>
        <w:ind w:firstLine="567"/>
        <w:rPr>
          <w:sz w:val="28"/>
        </w:rPr>
      </w:pPr>
      <w:r w:rsidRPr="00E65A40">
        <w:rPr>
          <w:sz w:val="28"/>
        </w:rPr>
        <w:t>Sanāksmē plānotas divas</w:t>
      </w:r>
      <w:r w:rsidRPr="00E65A40" w:rsidR="008A7C1F">
        <w:rPr>
          <w:sz w:val="28"/>
        </w:rPr>
        <w:t xml:space="preserve"> darba sesijas, kuru laikā tiks </w:t>
      </w:r>
      <w:r w:rsidRPr="00E65A40">
        <w:rPr>
          <w:sz w:val="28"/>
        </w:rPr>
        <w:t>diskutēt</w:t>
      </w:r>
      <w:r w:rsidR="00F3116C">
        <w:rPr>
          <w:sz w:val="28"/>
        </w:rPr>
        <w:t>s par</w:t>
      </w:r>
      <w:r w:rsidRPr="00E65A40">
        <w:rPr>
          <w:sz w:val="28"/>
        </w:rPr>
        <w:t xml:space="preserve"> </w:t>
      </w:r>
      <w:r w:rsidR="00F3116C">
        <w:rPr>
          <w:sz w:val="28"/>
        </w:rPr>
        <w:t>šādām</w:t>
      </w:r>
      <w:r w:rsidRPr="00E65A40">
        <w:rPr>
          <w:sz w:val="28"/>
        </w:rPr>
        <w:t xml:space="preserve"> </w:t>
      </w:r>
      <w:r w:rsidR="00F3116C">
        <w:rPr>
          <w:sz w:val="28"/>
        </w:rPr>
        <w:t>tēmām</w:t>
      </w:r>
      <w:r w:rsidRPr="00E65A40" w:rsidR="008A7C1F">
        <w:rPr>
          <w:sz w:val="28"/>
        </w:rPr>
        <w:t>:</w:t>
      </w:r>
    </w:p>
    <w:p w:rsidRPr="001D6EF4" w:rsidR="008A7C1F" w:rsidRDefault="00114349" w14:paraId="45BE69AF" w14:textId="77777777">
      <w:pPr>
        <w:pStyle w:val="NoSpacing"/>
        <w:numPr>
          <w:ilvl w:val="0"/>
          <w:numId w:val="28"/>
        </w:numPr>
        <w:spacing w:after="120"/>
        <w:rPr>
          <w:i/>
          <w:sz w:val="28"/>
        </w:rPr>
      </w:pPr>
      <w:r>
        <w:rPr>
          <w:i/>
          <w:sz w:val="28"/>
        </w:rPr>
        <w:t xml:space="preserve">Uzņēmējdarbība, </w:t>
      </w:r>
      <w:r w:rsidR="004673C2">
        <w:rPr>
          <w:i/>
          <w:sz w:val="28"/>
        </w:rPr>
        <w:t xml:space="preserve">mazie un </w:t>
      </w:r>
      <w:r w:rsidR="00166958">
        <w:rPr>
          <w:i/>
          <w:sz w:val="28"/>
        </w:rPr>
        <w:t xml:space="preserve">vidējie uzņēmumi (turpmāk – </w:t>
      </w:r>
      <w:r>
        <w:rPr>
          <w:i/>
          <w:sz w:val="28"/>
        </w:rPr>
        <w:t>MVU</w:t>
      </w:r>
      <w:r w:rsidR="00166958">
        <w:rPr>
          <w:i/>
          <w:sz w:val="28"/>
        </w:rPr>
        <w:t>)</w:t>
      </w:r>
      <w:r>
        <w:rPr>
          <w:i/>
          <w:sz w:val="28"/>
        </w:rPr>
        <w:t xml:space="preserve">, </w:t>
      </w:r>
      <w:proofErr w:type="spellStart"/>
      <w:r>
        <w:rPr>
          <w:i/>
          <w:sz w:val="28"/>
        </w:rPr>
        <w:t>jaunuzņēmumi</w:t>
      </w:r>
      <w:proofErr w:type="spellEnd"/>
      <w:r>
        <w:rPr>
          <w:i/>
          <w:sz w:val="28"/>
        </w:rPr>
        <w:t>, tālākās izaugsmes uzņēmumi un to pienesums ES konkurētspējai</w:t>
      </w:r>
      <w:r w:rsidRPr="001D6EF4" w:rsidR="008A7C1F">
        <w:rPr>
          <w:i/>
          <w:sz w:val="28"/>
        </w:rPr>
        <w:t>;</w:t>
      </w:r>
    </w:p>
    <w:p w:rsidRPr="001D6EF4" w:rsidR="008A7C1F" w:rsidRDefault="00114349" w14:paraId="34E92CA7" w14:textId="5713CA53">
      <w:pPr>
        <w:pStyle w:val="NoSpacing"/>
        <w:numPr>
          <w:ilvl w:val="0"/>
          <w:numId w:val="28"/>
        </w:numPr>
        <w:spacing w:after="120"/>
        <w:rPr>
          <w:i/>
          <w:sz w:val="28"/>
        </w:rPr>
      </w:pPr>
      <w:r>
        <w:rPr>
          <w:i/>
          <w:sz w:val="28"/>
        </w:rPr>
        <w:t>Iekšējais tirgus – integrēta pieeja atbalstam rūpniecībai un labākai</w:t>
      </w:r>
      <w:r w:rsidR="001D6B33">
        <w:rPr>
          <w:i/>
          <w:sz w:val="28"/>
        </w:rPr>
        <w:t xml:space="preserve"> ES</w:t>
      </w:r>
      <w:r>
        <w:rPr>
          <w:i/>
          <w:sz w:val="28"/>
        </w:rPr>
        <w:t xml:space="preserve"> </w:t>
      </w:r>
      <w:r w:rsidR="001D6B33">
        <w:rPr>
          <w:i/>
          <w:sz w:val="28"/>
        </w:rPr>
        <w:t>V</w:t>
      </w:r>
      <w:r>
        <w:rPr>
          <w:i/>
          <w:sz w:val="28"/>
        </w:rPr>
        <w:t>ienotā tirgus noteikumu ieviešanai un izpildes nodrošināšanai</w:t>
      </w:r>
      <w:r w:rsidRPr="001D6EF4" w:rsidR="008A7C1F">
        <w:rPr>
          <w:i/>
          <w:sz w:val="28"/>
        </w:rPr>
        <w:t>;</w:t>
      </w:r>
    </w:p>
    <w:p w:rsidR="00142F13" w:rsidP="002D697B" w:rsidRDefault="00142F13" w14:paraId="7062D77C" w14:textId="77777777">
      <w:pPr>
        <w:spacing w:after="120"/>
        <w:ind w:firstLine="567"/>
        <w:rPr>
          <w:rFonts w:eastAsia="Times New Roman" w:cs="Times New Roman"/>
          <w:sz w:val="28"/>
          <w:szCs w:val="28"/>
          <w:lang w:eastAsia="lv-LV"/>
        </w:rPr>
      </w:pPr>
    </w:p>
    <w:p w:rsidR="00680C55" w:rsidP="002D697B" w:rsidRDefault="00C85855" w14:paraId="1AF1A191" w14:textId="77777777">
      <w:pPr>
        <w:spacing w:after="120"/>
        <w:ind w:firstLine="567"/>
        <w:rPr>
          <w:rFonts w:eastAsia="Times New Roman" w:cs="Times New Roman"/>
          <w:sz w:val="28"/>
          <w:szCs w:val="28"/>
          <w:lang w:eastAsia="lv-LV"/>
        </w:rPr>
      </w:pPr>
      <w:r>
        <w:rPr>
          <w:rFonts w:eastAsia="Times New Roman" w:cs="Times New Roman"/>
          <w:sz w:val="28"/>
          <w:szCs w:val="28"/>
          <w:lang w:eastAsia="lv-LV"/>
        </w:rPr>
        <w:t>Darba pusdienās paredzēts apspriest</w:t>
      </w:r>
      <w:r w:rsidR="00680C55">
        <w:rPr>
          <w:rFonts w:eastAsia="Times New Roman" w:cs="Times New Roman"/>
          <w:sz w:val="28"/>
          <w:szCs w:val="28"/>
          <w:lang w:eastAsia="lv-LV"/>
        </w:rPr>
        <w:t>:</w:t>
      </w:r>
      <w:r>
        <w:rPr>
          <w:rFonts w:eastAsia="Times New Roman" w:cs="Times New Roman"/>
          <w:sz w:val="28"/>
          <w:szCs w:val="28"/>
          <w:lang w:eastAsia="lv-LV"/>
        </w:rPr>
        <w:t xml:space="preserve"> </w:t>
      </w:r>
    </w:p>
    <w:p w:rsidR="00680C55" w:rsidP="00680C55" w:rsidRDefault="00680C55" w14:paraId="42CFF258" w14:textId="77777777">
      <w:pPr>
        <w:pStyle w:val="ListParagraph"/>
        <w:numPr>
          <w:ilvl w:val="0"/>
          <w:numId w:val="28"/>
        </w:numPr>
        <w:spacing w:after="120"/>
        <w:rPr>
          <w:rFonts w:eastAsia="Times New Roman" w:cs="Times New Roman"/>
          <w:sz w:val="28"/>
          <w:szCs w:val="28"/>
          <w:lang w:eastAsia="lv-LV"/>
        </w:rPr>
      </w:pPr>
      <w:r>
        <w:rPr>
          <w:rFonts w:eastAsia="Times New Roman" w:cs="Times New Roman"/>
          <w:i/>
          <w:sz w:val="28"/>
          <w:szCs w:val="28"/>
          <w:lang w:eastAsia="lv-LV"/>
        </w:rPr>
        <w:t>E</w:t>
      </w:r>
      <w:r w:rsidRPr="00680C55" w:rsidR="00C85855">
        <w:rPr>
          <w:rFonts w:eastAsia="Times New Roman" w:cs="Times New Roman"/>
          <w:i/>
          <w:sz w:val="28"/>
          <w:szCs w:val="28"/>
          <w:lang w:eastAsia="lv-LV"/>
        </w:rPr>
        <w:t>ner</w:t>
      </w:r>
      <w:r w:rsidR="00940F54">
        <w:rPr>
          <w:rFonts w:eastAsia="Times New Roman" w:cs="Times New Roman"/>
          <w:i/>
          <w:sz w:val="28"/>
          <w:szCs w:val="28"/>
          <w:lang w:eastAsia="lv-LV"/>
        </w:rPr>
        <w:t>goietilpīgās</w:t>
      </w:r>
      <w:r w:rsidRPr="00680C55" w:rsidR="00C85855">
        <w:rPr>
          <w:rFonts w:eastAsia="Times New Roman" w:cs="Times New Roman"/>
          <w:i/>
          <w:sz w:val="28"/>
          <w:szCs w:val="28"/>
          <w:lang w:eastAsia="lv-LV"/>
        </w:rPr>
        <w:t xml:space="preserve"> rūpniecības ceļa karti</w:t>
      </w:r>
    </w:p>
    <w:p w:rsidRPr="00E65A40" w:rsidR="008A7C1F" w:rsidP="00211654" w:rsidRDefault="008A7C1F" w14:paraId="3E90FC6D" w14:textId="77777777">
      <w:pPr>
        <w:spacing w:after="120"/>
        <w:rPr>
          <w:sz w:val="28"/>
          <w:szCs w:val="28"/>
        </w:rPr>
      </w:pPr>
    </w:p>
    <w:p w:rsidRPr="00012A4A" w:rsidR="00203630" w:rsidP="00012A4A" w:rsidRDefault="00680C55" w14:paraId="5B30AEFF" w14:textId="77777777">
      <w:pPr>
        <w:keepNext/>
        <w:keepLines/>
        <w:shd w:val="clear" w:color="auto" w:fill="F2F2F2" w:themeFill="background1" w:themeFillShade="F2"/>
        <w:spacing w:after="120"/>
        <w:ind w:left="567" w:hanging="567"/>
        <w:rPr>
          <w:rFonts w:cs="Times New Roman"/>
          <w:b/>
          <w:sz w:val="28"/>
          <w:szCs w:val="28"/>
        </w:rPr>
      </w:pPr>
      <w:r>
        <w:rPr>
          <w:rFonts w:cs="Times New Roman"/>
          <w:b/>
          <w:sz w:val="28"/>
          <w:szCs w:val="28"/>
        </w:rPr>
        <w:t>1</w:t>
      </w:r>
      <w:r w:rsidRPr="00E65A40" w:rsidR="004F4C19">
        <w:rPr>
          <w:rFonts w:cs="Times New Roman"/>
          <w:b/>
          <w:sz w:val="28"/>
          <w:szCs w:val="28"/>
        </w:rPr>
        <w:t>.</w:t>
      </w:r>
      <w:r w:rsidR="00932E22">
        <w:rPr>
          <w:rFonts w:cs="Times New Roman"/>
          <w:b/>
          <w:sz w:val="28"/>
          <w:szCs w:val="28"/>
        </w:rPr>
        <w:tab/>
      </w:r>
      <w:r w:rsidRPr="005132F1" w:rsidR="005345D6">
        <w:rPr>
          <w:b/>
          <w:i/>
          <w:sz w:val="28"/>
        </w:rPr>
        <w:t xml:space="preserve">Uzņēmējdarbība, MVU, </w:t>
      </w:r>
      <w:proofErr w:type="spellStart"/>
      <w:r w:rsidRPr="005132F1" w:rsidR="005345D6">
        <w:rPr>
          <w:b/>
          <w:i/>
          <w:sz w:val="28"/>
        </w:rPr>
        <w:t>jaunuzņēmumi</w:t>
      </w:r>
      <w:proofErr w:type="spellEnd"/>
      <w:r w:rsidRPr="005132F1" w:rsidR="005345D6">
        <w:rPr>
          <w:b/>
          <w:i/>
          <w:sz w:val="28"/>
        </w:rPr>
        <w:t>, tālākās izaugsmes uzņēmumi un to pienesums ES konkurētspējai</w:t>
      </w:r>
    </w:p>
    <w:p w:rsidRPr="00166958" w:rsidR="00166958" w:rsidP="00166958" w:rsidRDefault="00166958" w14:paraId="75B65ED3" w14:textId="128EFAAD">
      <w:pPr>
        <w:spacing w:after="120"/>
        <w:ind w:firstLine="567"/>
        <w:rPr>
          <w:sz w:val="28"/>
          <w:szCs w:val="28"/>
        </w:rPr>
      </w:pPr>
      <w:r>
        <w:rPr>
          <w:sz w:val="28"/>
          <w:szCs w:val="28"/>
        </w:rPr>
        <w:t>2012.gadā E</w:t>
      </w:r>
      <w:r w:rsidR="00EB47FC">
        <w:rPr>
          <w:sz w:val="28"/>
          <w:szCs w:val="28"/>
        </w:rPr>
        <w:t xml:space="preserve">iropas </w:t>
      </w:r>
      <w:r>
        <w:rPr>
          <w:sz w:val="28"/>
          <w:szCs w:val="28"/>
        </w:rPr>
        <w:t>K</w:t>
      </w:r>
      <w:r w:rsidR="00EB47FC">
        <w:rPr>
          <w:sz w:val="28"/>
          <w:szCs w:val="28"/>
        </w:rPr>
        <w:t>omisija (turpmāk - EK)</w:t>
      </w:r>
      <w:r>
        <w:rPr>
          <w:sz w:val="28"/>
          <w:szCs w:val="28"/>
        </w:rPr>
        <w:t xml:space="preserve"> nāca klajā ar </w:t>
      </w:r>
      <w:r w:rsidRPr="00166958">
        <w:rPr>
          <w:sz w:val="28"/>
          <w:szCs w:val="28"/>
        </w:rPr>
        <w:t>Rīcības plān</w:t>
      </w:r>
      <w:r>
        <w:rPr>
          <w:sz w:val="28"/>
          <w:szCs w:val="28"/>
        </w:rPr>
        <w:t>u</w:t>
      </w:r>
      <w:r w:rsidRPr="00166958">
        <w:rPr>
          <w:sz w:val="28"/>
          <w:szCs w:val="28"/>
        </w:rPr>
        <w:t xml:space="preserve"> uzņēmējdarbības jomā 2020.gadam</w:t>
      </w:r>
      <w:r>
        <w:rPr>
          <w:sz w:val="28"/>
          <w:szCs w:val="28"/>
        </w:rPr>
        <w:t xml:space="preserve"> -</w:t>
      </w:r>
      <w:r w:rsidRPr="00166958">
        <w:rPr>
          <w:sz w:val="28"/>
          <w:szCs w:val="28"/>
        </w:rPr>
        <w:t xml:space="preserve"> </w:t>
      </w:r>
      <w:r>
        <w:rPr>
          <w:sz w:val="28"/>
          <w:szCs w:val="28"/>
        </w:rPr>
        <w:t>u</w:t>
      </w:r>
      <w:r w:rsidRPr="00166958">
        <w:rPr>
          <w:sz w:val="28"/>
          <w:szCs w:val="28"/>
        </w:rPr>
        <w:t>zņēmējdarbības gara atdzīvināšana Eiropā</w:t>
      </w:r>
      <w:r>
        <w:rPr>
          <w:sz w:val="28"/>
          <w:szCs w:val="28"/>
        </w:rPr>
        <w:t>, kas</w:t>
      </w:r>
      <w:r w:rsidRPr="00166958">
        <w:rPr>
          <w:sz w:val="28"/>
          <w:szCs w:val="28"/>
        </w:rPr>
        <w:t xml:space="preserve"> sniedz informāciju par īstenotajām uzņēmējdarbības aktivitātēm Eiropā, norādot, ka, lai Eiropā atsāktos izaugsme un nodarbinātības līmenis būtu augstāks, nepieciešams sniegt atbalstu MVU un īpaši jaunizveidotiem uzņēmumiem. Ziņojums ir kā papildinājums 2011.gada aprīlī publicētajam „Vidēja termiņa pārskatam par Mazās uzņēmējdarbības akta Eiropai īstenošanas gaitu” un 2012.gada oktobrī pieņemtajam ziņojumam par „Rūpniecības politiku”, kura rīcības plānā ietverts jauns redzējums un virkne darbību, kas jāveic </w:t>
      </w:r>
      <w:r>
        <w:rPr>
          <w:sz w:val="28"/>
          <w:szCs w:val="28"/>
        </w:rPr>
        <w:t>ES</w:t>
      </w:r>
      <w:r w:rsidRPr="00166958">
        <w:rPr>
          <w:sz w:val="28"/>
          <w:szCs w:val="28"/>
        </w:rPr>
        <w:t xml:space="preserve"> un dalībvalstu līmenī, lai atbalstītu uzņēmējdarbību Eiropā.</w:t>
      </w:r>
    </w:p>
    <w:p w:rsidRPr="00166958" w:rsidR="00166958" w:rsidP="00166958" w:rsidRDefault="00166958" w14:paraId="7060BDF5" w14:textId="77777777">
      <w:pPr>
        <w:spacing w:after="120"/>
        <w:ind w:firstLine="567"/>
        <w:rPr>
          <w:sz w:val="28"/>
          <w:szCs w:val="28"/>
        </w:rPr>
      </w:pPr>
      <w:r>
        <w:rPr>
          <w:sz w:val="28"/>
          <w:szCs w:val="28"/>
        </w:rPr>
        <w:t>EK</w:t>
      </w:r>
      <w:r w:rsidRPr="00166958">
        <w:rPr>
          <w:sz w:val="28"/>
          <w:szCs w:val="28"/>
        </w:rPr>
        <w:t xml:space="preserve"> Rīcības plāna uzņēmējdarbības jomā 2020.gadam uzdevums ir veicināt uzņēmējdarbības un inovāciju kultūru, kas palīdzētu stimulēt ekonomiku un radīt patiesu „Eiropas uzņēmējdarbības garu”, kurš spētu mobilizēt sabiedrību kopumā, lai varētu sasniegt visiem nozīmīgos mērķus.</w:t>
      </w:r>
    </w:p>
    <w:p w:rsidR="00166958" w:rsidP="00166958" w:rsidRDefault="00166958" w14:paraId="4A646334" w14:textId="77777777">
      <w:pPr>
        <w:spacing w:after="120"/>
        <w:ind w:firstLine="567"/>
        <w:rPr>
          <w:sz w:val="28"/>
          <w:szCs w:val="28"/>
        </w:rPr>
      </w:pPr>
      <w:r>
        <w:rPr>
          <w:sz w:val="28"/>
          <w:szCs w:val="28"/>
        </w:rPr>
        <w:t xml:space="preserve">Ziņojumā ir skaidri iezīmētas rīcības jomas- </w:t>
      </w:r>
      <w:r w:rsidRPr="00166958">
        <w:rPr>
          <w:sz w:val="28"/>
          <w:szCs w:val="28"/>
        </w:rPr>
        <w:t>izglītība un apmācība uzņēmējdarbības jomā, lai veicinātu izaugsmi un uzņēmumu dibināšanu;</w:t>
      </w:r>
      <w:r>
        <w:rPr>
          <w:sz w:val="28"/>
          <w:szCs w:val="28"/>
        </w:rPr>
        <w:t xml:space="preserve"> </w:t>
      </w:r>
      <w:r w:rsidRPr="00166958">
        <w:rPr>
          <w:sz w:val="28"/>
          <w:szCs w:val="28"/>
        </w:rPr>
        <w:lastRenderedPageBreak/>
        <w:t>uzņēmējiem labvēlīgu pamatnoteikumu nostiprināšana, likvidējot pašreizējos strukturālos šķēršļus un atbalstot uzņēmumus kritiskos uzņēmējdarbības attīstības cikla posmos, neaizmirstot par finansējuma nozīmi šajā procesā;</w:t>
      </w:r>
      <w:r>
        <w:rPr>
          <w:sz w:val="28"/>
          <w:szCs w:val="28"/>
        </w:rPr>
        <w:t xml:space="preserve"> </w:t>
      </w:r>
      <w:r w:rsidRPr="00166958">
        <w:rPr>
          <w:sz w:val="28"/>
          <w:szCs w:val="28"/>
        </w:rPr>
        <w:t>uzņēmējdarbības kultūras pastiprināšana Eiropā un jaunas uzņēmēju paaudzes veidošana.</w:t>
      </w:r>
    </w:p>
    <w:p w:rsidR="00CF559E" w:rsidP="007C5E67" w:rsidRDefault="00CF559E" w14:paraId="083E9DD5" w14:textId="77777777">
      <w:pPr>
        <w:spacing w:after="120"/>
        <w:ind w:firstLine="567"/>
        <w:rPr>
          <w:sz w:val="28"/>
          <w:szCs w:val="28"/>
        </w:rPr>
      </w:pPr>
      <w:r w:rsidRPr="00CF559E">
        <w:rPr>
          <w:sz w:val="28"/>
          <w:szCs w:val="28"/>
        </w:rPr>
        <w:t>2016.</w:t>
      </w:r>
      <w:r>
        <w:rPr>
          <w:sz w:val="28"/>
          <w:szCs w:val="28"/>
        </w:rPr>
        <w:t xml:space="preserve"> </w:t>
      </w:r>
      <w:r w:rsidRPr="00CF559E">
        <w:rPr>
          <w:sz w:val="28"/>
          <w:szCs w:val="28"/>
        </w:rPr>
        <w:t>gada  16.</w:t>
      </w:r>
      <w:r>
        <w:rPr>
          <w:sz w:val="28"/>
          <w:szCs w:val="28"/>
        </w:rPr>
        <w:t xml:space="preserve"> </w:t>
      </w:r>
      <w:r w:rsidRPr="00CF559E">
        <w:rPr>
          <w:sz w:val="28"/>
          <w:szCs w:val="28"/>
        </w:rPr>
        <w:t xml:space="preserve">aprīlī  EK  publicēja  paziņojumu  „Eiropas  rūpniecības </w:t>
      </w:r>
      <w:proofErr w:type="spellStart"/>
      <w:r w:rsidRPr="00CF559E">
        <w:rPr>
          <w:sz w:val="28"/>
          <w:szCs w:val="28"/>
        </w:rPr>
        <w:t>digitalizācija</w:t>
      </w:r>
      <w:proofErr w:type="spellEnd"/>
      <w:r w:rsidRPr="00CF559E">
        <w:rPr>
          <w:sz w:val="28"/>
          <w:szCs w:val="28"/>
        </w:rPr>
        <w:t>. Digitālā vienotā tirgus priekšrocību izmantošana pilnā apmērā”. Tajā</w:t>
      </w:r>
      <w:r w:rsidR="00012A4A">
        <w:rPr>
          <w:sz w:val="28"/>
          <w:szCs w:val="28"/>
        </w:rPr>
        <w:t xml:space="preserve"> bija</w:t>
      </w:r>
      <w:r w:rsidRPr="00CF559E">
        <w:rPr>
          <w:sz w:val="28"/>
          <w:szCs w:val="28"/>
        </w:rPr>
        <w:t xml:space="preserve"> aplūkots pasākumu kopums, kas paredzēts, lai atbalstītu un savstarpēji  sasaistītu  valstu iniciatīvas visu rūpniecības nozaru un ar tām saistīto pakalpojumu </w:t>
      </w:r>
      <w:proofErr w:type="spellStart"/>
      <w:r w:rsidRPr="00CF559E">
        <w:rPr>
          <w:sz w:val="28"/>
          <w:szCs w:val="28"/>
        </w:rPr>
        <w:t>digitalizācijai</w:t>
      </w:r>
      <w:proofErr w:type="spellEnd"/>
      <w:r>
        <w:rPr>
          <w:sz w:val="28"/>
          <w:szCs w:val="28"/>
        </w:rPr>
        <w:t xml:space="preserve"> </w:t>
      </w:r>
      <w:r w:rsidRPr="00CF559E">
        <w:rPr>
          <w:sz w:val="28"/>
          <w:szCs w:val="28"/>
        </w:rPr>
        <w:t>un veicinātu investīcijas, izmantojot stratēģiskās partnerības un tīklus.</w:t>
      </w:r>
    </w:p>
    <w:p w:rsidR="00CF559E" w:rsidP="007C5E67" w:rsidRDefault="00012A4A" w14:paraId="6539A2FB" w14:textId="77777777">
      <w:pPr>
        <w:spacing w:after="120"/>
        <w:ind w:firstLine="567"/>
        <w:rPr>
          <w:sz w:val="28"/>
          <w:szCs w:val="28"/>
        </w:rPr>
      </w:pPr>
      <w:r w:rsidRPr="00012A4A">
        <w:rPr>
          <w:sz w:val="28"/>
          <w:szCs w:val="28"/>
        </w:rPr>
        <w:t>2017.gada 13.</w:t>
      </w:r>
      <w:r w:rsidR="00686A39">
        <w:rPr>
          <w:sz w:val="28"/>
          <w:szCs w:val="28"/>
        </w:rPr>
        <w:t xml:space="preserve"> </w:t>
      </w:r>
      <w:r w:rsidRPr="00012A4A">
        <w:rPr>
          <w:sz w:val="28"/>
          <w:szCs w:val="28"/>
        </w:rPr>
        <w:t>septembrī</w:t>
      </w:r>
      <w:r w:rsidR="00166958">
        <w:rPr>
          <w:sz w:val="28"/>
          <w:szCs w:val="28"/>
        </w:rPr>
        <w:t>,</w:t>
      </w:r>
      <w:r>
        <w:rPr>
          <w:sz w:val="28"/>
          <w:szCs w:val="28"/>
        </w:rPr>
        <w:t xml:space="preserve"> savukārt</w:t>
      </w:r>
      <w:r w:rsidR="00166958">
        <w:rPr>
          <w:sz w:val="28"/>
          <w:szCs w:val="28"/>
        </w:rPr>
        <w:t>,</w:t>
      </w:r>
      <w:r w:rsidRPr="00012A4A">
        <w:rPr>
          <w:sz w:val="28"/>
          <w:szCs w:val="28"/>
        </w:rPr>
        <w:t xml:space="preserve">  </w:t>
      </w:r>
      <w:r>
        <w:rPr>
          <w:sz w:val="28"/>
          <w:szCs w:val="28"/>
        </w:rPr>
        <w:t>tika</w:t>
      </w:r>
      <w:r w:rsidRPr="00012A4A">
        <w:rPr>
          <w:sz w:val="28"/>
          <w:szCs w:val="28"/>
        </w:rPr>
        <w:t xml:space="preserve"> publicē</w:t>
      </w:r>
      <w:r>
        <w:rPr>
          <w:sz w:val="28"/>
          <w:szCs w:val="28"/>
        </w:rPr>
        <w:t>ts</w:t>
      </w:r>
      <w:r w:rsidRPr="00012A4A">
        <w:rPr>
          <w:sz w:val="28"/>
          <w:szCs w:val="28"/>
        </w:rPr>
        <w:t xml:space="preserve"> ziņojum</w:t>
      </w:r>
      <w:r>
        <w:rPr>
          <w:sz w:val="28"/>
          <w:szCs w:val="28"/>
        </w:rPr>
        <w:t>s</w:t>
      </w:r>
      <w:r w:rsidRPr="00012A4A">
        <w:rPr>
          <w:sz w:val="28"/>
          <w:szCs w:val="28"/>
        </w:rPr>
        <w:t xml:space="preserve"> „Ieguldījumi gudrā, inovatīvā un ilgtspējīgā  rūpniecības  attīstībā.  Atjaunotā  ES rūpniecības politikas stratēģija”, ar kuru </w:t>
      </w:r>
      <w:r>
        <w:rPr>
          <w:sz w:val="28"/>
          <w:szCs w:val="28"/>
        </w:rPr>
        <w:t>EK</w:t>
      </w:r>
      <w:r w:rsidRPr="00012A4A">
        <w:rPr>
          <w:sz w:val="28"/>
          <w:szCs w:val="28"/>
        </w:rPr>
        <w:t xml:space="preserve"> norāda rūpniecības nozares nozīmīgumu. Eiropas rūpniecības nozare ir spēcīga un joprojām saglabā savu vadošo lomu pasaulē. Tieši rūpniecības nozare nodrošina darba vietas 36 miljoniem</w:t>
      </w:r>
      <w:r>
        <w:rPr>
          <w:sz w:val="28"/>
          <w:szCs w:val="28"/>
        </w:rPr>
        <w:t xml:space="preserve"> </w:t>
      </w:r>
      <w:r w:rsidRPr="00012A4A">
        <w:rPr>
          <w:sz w:val="28"/>
          <w:szCs w:val="28"/>
        </w:rPr>
        <w:t>ES iedzīvotāju, tādējādi nodrošinot Eiropas izaugsmi. Lai</w:t>
      </w:r>
      <w:r>
        <w:rPr>
          <w:sz w:val="28"/>
          <w:szCs w:val="28"/>
        </w:rPr>
        <w:t xml:space="preserve"> </w:t>
      </w:r>
      <w:r w:rsidRPr="00012A4A">
        <w:rPr>
          <w:sz w:val="28"/>
          <w:szCs w:val="28"/>
        </w:rPr>
        <w:t>saglabātu un stiprinātu ES</w:t>
      </w:r>
      <w:r>
        <w:rPr>
          <w:sz w:val="28"/>
          <w:szCs w:val="28"/>
        </w:rPr>
        <w:t xml:space="preserve"> </w:t>
      </w:r>
      <w:r w:rsidRPr="00012A4A">
        <w:rPr>
          <w:sz w:val="28"/>
          <w:szCs w:val="28"/>
        </w:rPr>
        <w:t xml:space="preserve">konkurences priekšrocības, </w:t>
      </w:r>
      <w:r w:rsidR="00163C94">
        <w:rPr>
          <w:sz w:val="28"/>
          <w:szCs w:val="28"/>
        </w:rPr>
        <w:t>kā arī spēju</w:t>
      </w:r>
      <w:r w:rsidRPr="004A7CAA" w:rsidR="00163C94">
        <w:rPr>
          <w:sz w:val="28"/>
          <w:szCs w:val="28"/>
        </w:rPr>
        <w:t xml:space="preserve"> pielāgoties un ieviest </w:t>
      </w:r>
      <w:r w:rsidR="00163C94">
        <w:rPr>
          <w:sz w:val="28"/>
          <w:szCs w:val="28"/>
        </w:rPr>
        <w:t>inovācijas</w:t>
      </w:r>
      <w:r w:rsidRPr="004A7CAA" w:rsidR="00163C94">
        <w:rPr>
          <w:sz w:val="28"/>
          <w:szCs w:val="28"/>
        </w:rPr>
        <w:t xml:space="preserve">, </w:t>
      </w:r>
      <w:r w:rsidR="00163C94">
        <w:rPr>
          <w:sz w:val="28"/>
          <w:szCs w:val="28"/>
        </w:rPr>
        <w:t xml:space="preserve">kas veicina </w:t>
      </w:r>
      <w:proofErr w:type="spellStart"/>
      <w:r w:rsidRPr="004A7CAA" w:rsidR="00163C94">
        <w:rPr>
          <w:sz w:val="28"/>
          <w:szCs w:val="28"/>
        </w:rPr>
        <w:t>digitalizācij</w:t>
      </w:r>
      <w:r w:rsidR="00163C94">
        <w:rPr>
          <w:sz w:val="28"/>
          <w:szCs w:val="28"/>
        </w:rPr>
        <w:t>u</w:t>
      </w:r>
      <w:proofErr w:type="spellEnd"/>
      <w:r w:rsidR="00163C94">
        <w:rPr>
          <w:sz w:val="28"/>
          <w:szCs w:val="28"/>
        </w:rPr>
        <w:t xml:space="preserve">, </w:t>
      </w:r>
      <w:r w:rsidRPr="004A7CAA" w:rsidR="00163C94">
        <w:rPr>
          <w:sz w:val="28"/>
          <w:szCs w:val="28"/>
        </w:rPr>
        <w:t>pārej</w:t>
      </w:r>
      <w:r w:rsidR="00163C94">
        <w:rPr>
          <w:sz w:val="28"/>
          <w:szCs w:val="28"/>
        </w:rPr>
        <w:t>u</w:t>
      </w:r>
      <w:r w:rsidRPr="004A7CAA" w:rsidR="00163C94">
        <w:rPr>
          <w:sz w:val="28"/>
          <w:szCs w:val="28"/>
        </w:rPr>
        <w:t xml:space="preserve"> uz oglekļa </w:t>
      </w:r>
      <w:r w:rsidR="00163C94">
        <w:rPr>
          <w:sz w:val="28"/>
          <w:szCs w:val="28"/>
        </w:rPr>
        <w:t>mazietilpīgu attīstību</w:t>
      </w:r>
      <w:r w:rsidRPr="004A7CAA" w:rsidR="00163C94">
        <w:rPr>
          <w:sz w:val="28"/>
          <w:szCs w:val="28"/>
        </w:rPr>
        <w:t xml:space="preserve"> un aprites ekonomiku</w:t>
      </w:r>
      <w:r w:rsidR="00163C94">
        <w:rPr>
          <w:sz w:val="28"/>
          <w:szCs w:val="28"/>
        </w:rPr>
        <w:t xml:space="preserve">,  </w:t>
      </w:r>
      <w:r w:rsidRPr="00012A4A">
        <w:rPr>
          <w:sz w:val="28"/>
          <w:szCs w:val="28"/>
        </w:rPr>
        <w:t>ir vajadzīgi nozīmīgi modernizācijas pasākumi.</w:t>
      </w:r>
      <w:r>
        <w:rPr>
          <w:sz w:val="28"/>
          <w:szCs w:val="28"/>
        </w:rPr>
        <w:t xml:space="preserve"> </w:t>
      </w:r>
      <w:r w:rsidRPr="00012A4A">
        <w:rPr>
          <w:sz w:val="28"/>
          <w:szCs w:val="28"/>
        </w:rPr>
        <w:t>Komisijas ieskatā</w:t>
      </w:r>
      <w:r>
        <w:rPr>
          <w:sz w:val="28"/>
          <w:szCs w:val="28"/>
        </w:rPr>
        <w:t xml:space="preserve"> </w:t>
      </w:r>
      <w:r w:rsidRPr="00012A4A">
        <w:rPr>
          <w:sz w:val="28"/>
          <w:szCs w:val="28"/>
        </w:rPr>
        <w:t>līdz 2020.</w:t>
      </w:r>
      <w:r>
        <w:rPr>
          <w:sz w:val="28"/>
          <w:szCs w:val="28"/>
        </w:rPr>
        <w:t xml:space="preserve"> </w:t>
      </w:r>
      <w:r w:rsidRPr="00012A4A">
        <w:rPr>
          <w:sz w:val="28"/>
          <w:szCs w:val="28"/>
        </w:rPr>
        <w:t>gadam rūpniecībā nepieciešams panākt ES rūpniecības īpatsvara palielināšanos līdz 20%</w:t>
      </w:r>
      <w:r>
        <w:rPr>
          <w:sz w:val="28"/>
          <w:szCs w:val="28"/>
        </w:rPr>
        <w:t xml:space="preserve"> </w:t>
      </w:r>
      <w:r w:rsidRPr="00012A4A">
        <w:rPr>
          <w:sz w:val="28"/>
          <w:szCs w:val="28"/>
        </w:rPr>
        <w:t>no ES IKP.</w:t>
      </w:r>
    </w:p>
    <w:p w:rsidR="00614DB3" w:rsidP="007C5E67" w:rsidRDefault="00614DB3" w14:paraId="22913DB3" w14:textId="237FA92B">
      <w:pPr>
        <w:spacing w:after="120"/>
        <w:ind w:firstLine="567"/>
        <w:rPr>
          <w:sz w:val="28"/>
          <w:szCs w:val="28"/>
        </w:rPr>
      </w:pPr>
      <w:r w:rsidRPr="00614DB3">
        <w:rPr>
          <w:sz w:val="28"/>
          <w:szCs w:val="28"/>
        </w:rPr>
        <w:t xml:space="preserve">ES Digitālā vienotā tirgus stratēģijas iniciatīvas veicina nozares </w:t>
      </w:r>
      <w:proofErr w:type="spellStart"/>
      <w:r w:rsidRPr="00614DB3">
        <w:rPr>
          <w:sz w:val="28"/>
          <w:szCs w:val="28"/>
        </w:rPr>
        <w:t>digitalizāciju</w:t>
      </w:r>
      <w:proofErr w:type="spellEnd"/>
      <w:r w:rsidRPr="00614DB3">
        <w:rPr>
          <w:sz w:val="28"/>
          <w:szCs w:val="28"/>
        </w:rPr>
        <w:t xml:space="preserve"> un sabiedrisko pakalpojumu modernizāciju, tostarp ar</w:t>
      </w:r>
      <w:r>
        <w:rPr>
          <w:sz w:val="28"/>
          <w:szCs w:val="28"/>
        </w:rPr>
        <w:t>ī</w:t>
      </w:r>
      <w:r w:rsidRPr="00614DB3">
        <w:rPr>
          <w:sz w:val="28"/>
          <w:szCs w:val="28"/>
        </w:rPr>
        <w:t xml:space="preserve"> </w:t>
      </w:r>
      <w:r w:rsidR="0098264D">
        <w:rPr>
          <w:sz w:val="28"/>
          <w:szCs w:val="28"/>
        </w:rPr>
        <w:t>i</w:t>
      </w:r>
      <w:r w:rsidRPr="0098264D" w:rsidR="0098264D">
        <w:rPr>
          <w:sz w:val="28"/>
          <w:szCs w:val="28"/>
        </w:rPr>
        <w:t>nformācijas un komunikācij</w:t>
      </w:r>
      <w:r w:rsidR="007A17FE">
        <w:rPr>
          <w:sz w:val="28"/>
          <w:szCs w:val="28"/>
        </w:rPr>
        <w:t>as</w:t>
      </w:r>
      <w:r w:rsidRPr="0098264D" w:rsidR="0098264D">
        <w:rPr>
          <w:sz w:val="28"/>
          <w:szCs w:val="28"/>
        </w:rPr>
        <w:t xml:space="preserve"> tehnoloģij</w:t>
      </w:r>
      <w:r w:rsidR="0098264D">
        <w:rPr>
          <w:sz w:val="28"/>
          <w:szCs w:val="28"/>
        </w:rPr>
        <w:t>u (turpmāk</w:t>
      </w:r>
      <w:r w:rsidR="00A476A2">
        <w:rPr>
          <w:sz w:val="28"/>
          <w:szCs w:val="28"/>
        </w:rPr>
        <w:t xml:space="preserve"> </w:t>
      </w:r>
      <w:r w:rsidR="0098264D">
        <w:rPr>
          <w:sz w:val="28"/>
          <w:szCs w:val="28"/>
        </w:rPr>
        <w:t>-</w:t>
      </w:r>
      <w:r w:rsidR="00A476A2">
        <w:rPr>
          <w:sz w:val="28"/>
          <w:szCs w:val="28"/>
        </w:rPr>
        <w:t xml:space="preserve"> </w:t>
      </w:r>
      <w:r w:rsidRPr="00614DB3">
        <w:rPr>
          <w:sz w:val="28"/>
          <w:szCs w:val="28"/>
        </w:rPr>
        <w:t>IKT</w:t>
      </w:r>
      <w:r w:rsidR="0098264D">
        <w:rPr>
          <w:sz w:val="28"/>
          <w:szCs w:val="28"/>
        </w:rPr>
        <w:t>) attīstīb</w:t>
      </w:r>
      <w:r w:rsidR="00A476A2">
        <w:rPr>
          <w:sz w:val="28"/>
          <w:szCs w:val="28"/>
        </w:rPr>
        <w:t>u</w:t>
      </w:r>
      <w:r w:rsidR="0098264D">
        <w:rPr>
          <w:sz w:val="28"/>
          <w:szCs w:val="28"/>
        </w:rPr>
        <w:t>,</w:t>
      </w:r>
      <w:r w:rsidRPr="00614DB3">
        <w:rPr>
          <w:sz w:val="28"/>
          <w:szCs w:val="28"/>
        </w:rPr>
        <w:t xml:space="preserve"> standartizācijas pasākum</w:t>
      </w:r>
      <w:r w:rsidR="00E43EB3">
        <w:rPr>
          <w:sz w:val="28"/>
          <w:szCs w:val="28"/>
        </w:rPr>
        <w:t>us</w:t>
      </w:r>
      <w:r w:rsidRPr="00614DB3">
        <w:rPr>
          <w:sz w:val="28"/>
          <w:szCs w:val="28"/>
        </w:rPr>
        <w:t>, publiskā pārvaldība</w:t>
      </w:r>
      <w:r w:rsidR="00E43EB3">
        <w:rPr>
          <w:sz w:val="28"/>
          <w:szCs w:val="28"/>
        </w:rPr>
        <w:t xml:space="preserve">s </w:t>
      </w:r>
      <w:proofErr w:type="spellStart"/>
      <w:r w:rsidR="00E43EB3">
        <w:rPr>
          <w:sz w:val="28"/>
          <w:szCs w:val="28"/>
        </w:rPr>
        <w:t>digitalizāciju</w:t>
      </w:r>
      <w:proofErr w:type="spellEnd"/>
      <w:r w:rsidRPr="00614DB3">
        <w:rPr>
          <w:sz w:val="28"/>
          <w:szCs w:val="28"/>
        </w:rPr>
        <w:t>, ātrgaitas savienojamība</w:t>
      </w:r>
      <w:r w:rsidR="00E43EB3">
        <w:rPr>
          <w:sz w:val="28"/>
          <w:szCs w:val="28"/>
        </w:rPr>
        <w:t>s</w:t>
      </w:r>
      <w:r w:rsidRPr="00614DB3">
        <w:rPr>
          <w:sz w:val="28"/>
          <w:szCs w:val="28"/>
        </w:rPr>
        <w:t xml:space="preserve"> (tostarp 5G) un liet</w:t>
      </w:r>
      <w:r w:rsidR="00E43EB3">
        <w:rPr>
          <w:sz w:val="28"/>
          <w:szCs w:val="28"/>
        </w:rPr>
        <w:t>u</w:t>
      </w:r>
      <w:r w:rsidRPr="00614DB3">
        <w:rPr>
          <w:sz w:val="28"/>
          <w:szCs w:val="28"/>
        </w:rPr>
        <w:t xml:space="preserve"> internet</w:t>
      </w:r>
      <w:r w:rsidR="00E43EB3">
        <w:rPr>
          <w:sz w:val="28"/>
          <w:szCs w:val="28"/>
        </w:rPr>
        <w:t>a attīstību</w:t>
      </w:r>
      <w:r>
        <w:rPr>
          <w:sz w:val="28"/>
          <w:szCs w:val="28"/>
        </w:rPr>
        <w:t>.</w:t>
      </w:r>
      <w:r w:rsidR="00E70E48">
        <w:rPr>
          <w:sz w:val="28"/>
          <w:szCs w:val="28"/>
        </w:rPr>
        <w:t xml:space="preserve"> Digitālā vienotā tirgus stratēģijas ietvaros</w:t>
      </w:r>
      <w:r w:rsidRPr="00614DB3">
        <w:rPr>
          <w:sz w:val="28"/>
          <w:szCs w:val="28"/>
        </w:rPr>
        <w:t xml:space="preserve"> </w:t>
      </w:r>
      <w:r>
        <w:rPr>
          <w:sz w:val="28"/>
          <w:szCs w:val="28"/>
        </w:rPr>
        <w:t>EK</w:t>
      </w:r>
      <w:r w:rsidR="00E70E48">
        <w:rPr>
          <w:sz w:val="28"/>
          <w:szCs w:val="28"/>
        </w:rPr>
        <w:t xml:space="preserve"> ierosinājusi un ir pieņemti pasākumi</w:t>
      </w:r>
      <w:r>
        <w:rPr>
          <w:sz w:val="28"/>
          <w:szCs w:val="28"/>
        </w:rPr>
        <w:t xml:space="preserve"> </w:t>
      </w:r>
      <w:r w:rsidR="00E70E48">
        <w:rPr>
          <w:sz w:val="28"/>
          <w:szCs w:val="28"/>
        </w:rPr>
        <w:t xml:space="preserve">arī </w:t>
      </w:r>
      <w:r w:rsidRPr="00614DB3">
        <w:rPr>
          <w:sz w:val="28"/>
          <w:szCs w:val="28"/>
        </w:rPr>
        <w:t>tādās jomās, kā, piemēram,</w:t>
      </w:r>
      <w:r>
        <w:rPr>
          <w:sz w:val="28"/>
          <w:szCs w:val="28"/>
        </w:rPr>
        <w:t xml:space="preserve"> </w:t>
      </w:r>
      <w:r w:rsidRPr="00614DB3">
        <w:rPr>
          <w:sz w:val="28"/>
          <w:szCs w:val="28"/>
        </w:rPr>
        <w:t>datu ekonomika, mākslīgais</w:t>
      </w:r>
      <w:r>
        <w:rPr>
          <w:sz w:val="28"/>
          <w:szCs w:val="28"/>
        </w:rPr>
        <w:t xml:space="preserve"> </w:t>
      </w:r>
      <w:r w:rsidRPr="00614DB3">
        <w:rPr>
          <w:sz w:val="28"/>
          <w:szCs w:val="28"/>
        </w:rPr>
        <w:t>intelekts</w:t>
      </w:r>
      <w:r>
        <w:rPr>
          <w:sz w:val="28"/>
          <w:szCs w:val="28"/>
        </w:rPr>
        <w:t xml:space="preserve"> </w:t>
      </w:r>
      <w:r w:rsidRPr="00614DB3">
        <w:rPr>
          <w:sz w:val="28"/>
          <w:szCs w:val="28"/>
        </w:rPr>
        <w:t>un augstas veiktspējas skaitļošana.</w:t>
      </w:r>
    </w:p>
    <w:p w:rsidR="00F716D7" w:rsidP="00CF559E" w:rsidRDefault="00C40D81" w14:paraId="38F8C682" w14:textId="77777777">
      <w:pPr>
        <w:spacing w:after="120"/>
        <w:ind w:firstLine="567"/>
        <w:rPr>
          <w:rFonts w:eastAsia="Times New Roman" w:cs="Times New Roman"/>
          <w:sz w:val="28"/>
          <w:szCs w:val="28"/>
          <w:lang w:eastAsia="lv-LV"/>
        </w:rPr>
      </w:pPr>
      <w:r>
        <w:rPr>
          <w:rFonts w:eastAsia="Times New Roman" w:cs="Times New Roman"/>
          <w:sz w:val="28"/>
          <w:szCs w:val="28"/>
          <w:lang w:eastAsia="lv-LV"/>
        </w:rPr>
        <w:t xml:space="preserve"> </w:t>
      </w:r>
      <w:r w:rsidR="0075610A">
        <w:rPr>
          <w:rFonts w:eastAsia="Times New Roman" w:cs="Times New Roman"/>
          <w:sz w:val="28"/>
          <w:szCs w:val="28"/>
          <w:lang w:eastAsia="lv-LV"/>
        </w:rPr>
        <w:t>Diskusijai ir izvirzīti sekojoši jautājumi:</w:t>
      </w:r>
    </w:p>
    <w:p w:rsidRPr="00132BC5" w:rsidR="00C40D81" w:rsidP="005B0ACA" w:rsidRDefault="00AB7C8E" w14:paraId="3AE431D5" w14:textId="44375831">
      <w:pPr>
        <w:pStyle w:val="ListParagraph"/>
        <w:numPr>
          <w:ilvl w:val="0"/>
          <w:numId w:val="42"/>
        </w:numPr>
        <w:spacing w:after="120"/>
        <w:rPr>
          <w:rFonts w:eastAsia="Times New Roman" w:cs="Times New Roman"/>
          <w:i/>
          <w:sz w:val="28"/>
          <w:szCs w:val="28"/>
          <w:lang w:eastAsia="lv-LV"/>
        </w:rPr>
      </w:pPr>
      <w:r w:rsidRPr="00132BC5">
        <w:rPr>
          <w:rFonts w:eastAsia="Times New Roman" w:cs="Times New Roman"/>
          <w:i/>
          <w:sz w:val="28"/>
          <w:szCs w:val="28"/>
          <w:lang w:eastAsia="lv-LV"/>
        </w:rPr>
        <w:t>Kādas Eiropas uzņēmējdarbību atbalstošas politikas mēs varam</w:t>
      </w:r>
      <w:r w:rsidRPr="00132BC5" w:rsidR="00132BC5">
        <w:rPr>
          <w:rFonts w:eastAsia="Times New Roman" w:cs="Times New Roman"/>
          <w:i/>
          <w:sz w:val="28"/>
          <w:szCs w:val="28"/>
          <w:lang w:eastAsia="lv-LV"/>
        </w:rPr>
        <w:t xml:space="preserve"> </w:t>
      </w:r>
      <w:r w:rsidRPr="00132BC5">
        <w:rPr>
          <w:rFonts w:eastAsia="Times New Roman" w:cs="Times New Roman"/>
          <w:i/>
          <w:sz w:val="28"/>
          <w:szCs w:val="28"/>
          <w:lang w:eastAsia="lv-LV"/>
        </w:rPr>
        <w:t>paredzēt turpmākajai desmitgade</w:t>
      </w:r>
      <w:r w:rsidR="00733977">
        <w:rPr>
          <w:rFonts w:eastAsia="Times New Roman" w:cs="Times New Roman"/>
          <w:i/>
          <w:sz w:val="28"/>
          <w:szCs w:val="28"/>
          <w:lang w:eastAsia="lv-LV"/>
        </w:rPr>
        <w:t>i, tai skaitā</w:t>
      </w:r>
      <w:r w:rsidRPr="00132BC5">
        <w:rPr>
          <w:rFonts w:eastAsia="Times New Roman" w:cs="Times New Roman"/>
          <w:i/>
          <w:sz w:val="28"/>
          <w:szCs w:val="28"/>
          <w:lang w:eastAsia="lv-LV"/>
        </w:rPr>
        <w:t>, domājot par atjauninātu darbības plānu</w:t>
      </w:r>
      <w:r w:rsidR="00733977">
        <w:rPr>
          <w:rFonts w:eastAsia="Times New Roman" w:cs="Times New Roman"/>
          <w:i/>
          <w:sz w:val="28"/>
          <w:szCs w:val="28"/>
          <w:lang w:eastAsia="lv-LV"/>
        </w:rPr>
        <w:t xml:space="preserve"> </w:t>
      </w:r>
      <w:r w:rsidRPr="00C20699" w:rsidR="00733977">
        <w:rPr>
          <w:i/>
          <w:sz w:val="28"/>
          <w:szCs w:val="28"/>
        </w:rPr>
        <w:t>ziņojumam par „Rūpniecības politiku”</w:t>
      </w:r>
      <w:r w:rsidRPr="00132BC5">
        <w:rPr>
          <w:rFonts w:eastAsia="Times New Roman" w:cs="Times New Roman"/>
          <w:i/>
          <w:sz w:val="28"/>
          <w:szCs w:val="28"/>
          <w:lang w:eastAsia="lv-LV"/>
        </w:rPr>
        <w:t>?</w:t>
      </w:r>
      <w:r w:rsidRPr="00132BC5" w:rsidR="00C40D81">
        <w:rPr>
          <w:rFonts w:eastAsia="Times New Roman" w:cs="Times New Roman"/>
          <w:i/>
          <w:sz w:val="28"/>
          <w:szCs w:val="28"/>
          <w:lang w:eastAsia="lv-LV"/>
        </w:rPr>
        <w:t xml:space="preserve"> </w:t>
      </w:r>
      <w:r w:rsidRPr="00132BC5">
        <w:rPr>
          <w:rFonts w:eastAsia="Times New Roman" w:cs="Times New Roman"/>
          <w:i/>
          <w:sz w:val="28"/>
          <w:szCs w:val="28"/>
          <w:lang w:eastAsia="lv-LV"/>
        </w:rPr>
        <w:t xml:space="preserve">Kādus jaunus elementus plānam būtu jāiekļauj, lai spēcinātu uzņēmējdarbību un saglabātu būtiskus uzņēmējus ES? </w:t>
      </w:r>
    </w:p>
    <w:p w:rsidRPr="00686A39" w:rsidR="00C40D81" w:rsidP="005B0ACA" w:rsidRDefault="00132BC5" w14:paraId="5F589297" w14:textId="77777777">
      <w:pPr>
        <w:pStyle w:val="ListParagraph"/>
        <w:numPr>
          <w:ilvl w:val="0"/>
          <w:numId w:val="42"/>
        </w:numPr>
        <w:spacing w:after="120"/>
        <w:rPr>
          <w:rFonts w:eastAsia="Times New Roman" w:cs="Times New Roman"/>
          <w:sz w:val="28"/>
          <w:szCs w:val="28"/>
          <w:lang w:eastAsia="lv-LV"/>
        </w:rPr>
      </w:pPr>
      <w:r w:rsidRPr="00132BC5">
        <w:rPr>
          <w:rFonts w:eastAsia="Times New Roman" w:cs="Times New Roman"/>
          <w:i/>
          <w:sz w:val="28"/>
          <w:szCs w:val="28"/>
          <w:lang w:eastAsia="lv-LV"/>
        </w:rPr>
        <w:t xml:space="preserve">Kā palielināt uzņēmēju, MVU, </w:t>
      </w:r>
      <w:proofErr w:type="spellStart"/>
      <w:r w:rsidRPr="00132BC5">
        <w:rPr>
          <w:rFonts w:eastAsia="Times New Roman" w:cs="Times New Roman"/>
          <w:i/>
          <w:sz w:val="28"/>
          <w:szCs w:val="28"/>
          <w:lang w:eastAsia="lv-LV"/>
        </w:rPr>
        <w:t>jaunuzņēmumu</w:t>
      </w:r>
      <w:proofErr w:type="spellEnd"/>
      <w:r w:rsidRPr="00132BC5">
        <w:rPr>
          <w:rFonts w:eastAsia="Times New Roman" w:cs="Times New Roman"/>
          <w:i/>
          <w:sz w:val="28"/>
          <w:szCs w:val="28"/>
          <w:lang w:eastAsia="lv-LV"/>
        </w:rPr>
        <w:t xml:space="preserve"> un strauji augošo uzņēmumu pienesumu ES iekšējai un globālajai konkurētspējai? Kas, jūsuprāt, papildus </w:t>
      </w:r>
      <w:proofErr w:type="spellStart"/>
      <w:r w:rsidRPr="00132BC5">
        <w:rPr>
          <w:rFonts w:eastAsia="Times New Roman" w:cs="Times New Roman"/>
          <w:i/>
          <w:sz w:val="28"/>
          <w:szCs w:val="28"/>
          <w:lang w:eastAsia="lv-LV"/>
        </w:rPr>
        <w:t>digitalizācijai</w:t>
      </w:r>
      <w:proofErr w:type="spellEnd"/>
      <w:r w:rsidRPr="00132BC5">
        <w:rPr>
          <w:rFonts w:eastAsia="Times New Roman" w:cs="Times New Roman"/>
          <w:i/>
          <w:sz w:val="28"/>
          <w:szCs w:val="28"/>
          <w:lang w:eastAsia="lv-LV"/>
        </w:rPr>
        <w:t xml:space="preserve"> un mākslīgajam intelektam varētu vislabāk veicināt MVU pienesumu Eiropas rūpniecības konkurētspējai?</w:t>
      </w:r>
    </w:p>
    <w:p w:rsidR="00686A39" w:rsidP="00686A39" w:rsidRDefault="00686A39" w14:paraId="63FC9F5E" w14:textId="77777777">
      <w:pPr>
        <w:spacing w:after="120"/>
        <w:rPr>
          <w:rFonts w:eastAsia="Times New Roman" w:cs="Times New Roman"/>
          <w:sz w:val="28"/>
          <w:szCs w:val="28"/>
          <w:lang w:eastAsia="lv-LV"/>
        </w:rPr>
      </w:pPr>
    </w:p>
    <w:p w:rsidRPr="00686A39" w:rsidR="00686A39" w:rsidP="00686A39" w:rsidRDefault="00686A39" w14:paraId="6D7AC44B" w14:textId="77777777">
      <w:pPr>
        <w:spacing w:after="120"/>
        <w:rPr>
          <w:rFonts w:eastAsia="Times New Roman" w:cs="Times New Roman"/>
          <w:sz w:val="28"/>
          <w:szCs w:val="28"/>
          <w:lang w:eastAsia="lv-LV"/>
        </w:rPr>
      </w:pPr>
    </w:p>
    <w:p w:rsidR="00132BC5" w:rsidP="00132BC5" w:rsidRDefault="00132BC5" w14:paraId="19C967B6" w14:textId="77777777">
      <w:pPr>
        <w:spacing w:after="120"/>
        <w:ind w:firstLine="567"/>
        <w:rPr>
          <w:sz w:val="28"/>
          <w:szCs w:val="28"/>
        </w:rPr>
      </w:pPr>
      <w:r w:rsidRPr="005132F1">
        <w:rPr>
          <w:b/>
          <w:sz w:val="28"/>
          <w:szCs w:val="28"/>
        </w:rPr>
        <w:lastRenderedPageBreak/>
        <w:t>Latvijas nostāja</w:t>
      </w:r>
      <w:r w:rsidR="002E37FC">
        <w:rPr>
          <w:rStyle w:val="FootnoteReference"/>
          <w:b/>
          <w:sz w:val="28"/>
          <w:szCs w:val="28"/>
        </w:rPr>
        <w:footnoteReference w:id="1"/>
      </w:r>
    </w:p>
    <w:p w:rsidR="00132BC5" w:rsidP="00132BC5" w:rsidRDefault="00132BC5" w14:paraId="5F0CFA60" w14:textId="77777777">
      <w:pPr>
        <w:spacing w:after="120"/>
        <w:ind w:firstLine="567"/>
        <w:rPr>
          <w:rFonts w:eastAsia="Times New Roman" w:cs="Times New Roman"/>
          <w:sz w:val="28"/>
          <w:szCs w:val="28"/>
          <w:lang w:eastAsia="lv-LV"/>
        </w:rPr>
      </w:pPr>
      <w:proofErr w:type="spellStart"/>
      <w:r w:rsidRPr="00774D46">
        <w:rPr>
          <w:rFonts w:eastAsia="Times New Roman" w:cs="Times New Roman"/>
          <w:sz w:val="28"/>
          <w:szCs w:val="28"/>
          <w:lang w:eastAsia="lv-LV"/>
        </w:rPr>
        <w:t>Jaunuzņēm</w:t>
      </w:r>
      <w:r>
        <w:rPr>
          <w:rFonts w:eastAsia="Times New Roman" w:cs="Times New Roman"/>
          <w:sz w:val="28"/>
          <w:szCs w:val="28"/>
          <w:lang w:eastAsia="lv-LV"/>
        </w:rPr>
        <w:t>umi</w:t>
      </w:r>
      <w:proofErr w:type="spellEnd"/>
      <w:r w:rsidRPr="00774D46">
        <w:rPr>
          <w:rFonts w:eastAsia="Times New Roman" w:cs="Times New Roman"/>
          <w:sz w:val="28"/>
          <w:szCs w:val="28"/>
          <w:lang w:eastAsia="lv-LV"/>
        </w:rPr>
        <w:t xml:space="preserve"> un </w:t>
      </w:r>
      <w:r>
        <w:rPr>
          <w:rFonts w:eastAsia="Times New Roman" w:cs="Times New Roman"/>
          <w:sz w:val="28"/>
          <w:szCs w:val="28"/>
          <w:lang w:eastAsia="lv-LV"/>
        </w:rPr>
        <w:t>tālākās izaugsmes</w:t>
      </w:r>
      <w:r w:rsidRPr="00774D46">
        <w:rPr>
          <w:rFonts w:eastAsia="Times New Roman" w:cs="Times New Roman"/>
          <w:sz w:val="28"/>
          <w:szCs w:val="28"/>
          <w:lang w:eastAsia="lv-LV"/>
        </w:rPr>
        <w:t xml:space="preserve"> uzņēmumi ir nozīmīgs jaunu darba vietu radīšanas</w:t>
      </w:r>
      <w:r>
        <w:rPr>
          <w:rFonts w:eastAsia="Times New Roman" w:cs="Times New Roman"/>
          <w:sz w:val="28"/>
          <w:szCs w:val="28"/>
          <w:lang w:eastAsia="lv-LV"/>
        </w:rPr>
        <w:t xml:space="preserve"> </w:t>
      </w:r>
      <w:r w:rsidRPr="00774D46">
        <w:rPr>
          <w:rFonts w:eastAsia="Times New Roman" w:cs="Times New Roman"/>
          <w:sz w:val="28"/>
          <w:szCs w:val="28"/>
          <w:lang w:eastAsia="lv-LV"/>
        </w:rPr>
        <w:t>un inovācijas avots Latvijā. Saskaņā ar Centrālās statistikas pārvaldes (turpmāk –</w:t>
      </w:r>
      <w:r w:rsidR="00686A39">
        <w:rPr>
          <w:rFonts w:eastAsia="Times New Roman" w:cs="Times New Roman"/>
          <w:sz w:val="28"/>
          <w:szCs w:val="28"/>
          <w:lang w:eastAsia="lv-LV"/>
        </w:rPr>
        <w:t xml:space="preserve"> </w:t>
      </w:r>
      <w:r w:rsidRPr="00774D46">
        <w:rPr>
          <w:rFonts w:eastAsia="Times New Roman" w:cs="Times New Roman"/>
          <w:sz w:val="28"/>
          <w:szCs w:val="28"/>
          <w:lang w:eastAsia="lv-LV"/>
        </w:rPr>
        <w:t>CSP) 2016.gada  datiem, Latvijā bija 104209  ekonomiski aktīvie individuālie komersanti un komercsabiedrības, no kuriem 99,6% atbilda ES MVU kategorijas definīcijai: mikro uzņēmumi –91,1%, mazie uzņēmumi –7,5%, vidējie uzņēmumi –1,4%.</w:t>
      </w:r>
      <w:r>
        <w:rPr>
          <w:rStyle w:val="FootnoteReference"/>
          <w:rFonts w:eastAsia="Times New Roman" w:cs="Times New Roman"/>
          <w:sz w:val="28"/>
          <w:szCs w:val="28"/>
          <w:lang w:eastAsia="lv-LV"/>
        </w:rPr>
        <w:footnoteReference w:id="2"/>
      </w:r>
    </w:p>
    <w:p w:rsidR="00132BC5" w:rsidP="00132BC5" w:rsidRDefault="00132BC5" w14:paraId="3E074E00" w14:textId="7E43A45E">
      <w:pPr>
        <w:spacing w:after="120"/>
        <w:ind w:firstLine="567"/>
        <w:rPr>
          <w:rFonts w:eastAsia="Times New Roman" w:cs="Times New Roman"/>
          <w:sz w:val="28"/>
          <w:szCs w:val="28"/>
          <w:lang w:eastAsia="lv-LV"/>
        </w:rPr>
      </w:pPr>
      <w:r w:rsidRPr="00CF559E">
        <w:rPr>
          <w:rFonts w:eastAsia="Times New Roman" w:cs="Times New Roman"/>
          <w:sz w:val="28"/>
          <w:szCs w:val="28"/>
          <w:lang w:eastAsia="lv-LV"/>
        </w:rPr>
        <w:t xml:space="preserve">Latvija atbalsta iniciatīvas, kas paredzētas, lai sekmētu sadarbību un koordināciju starp dalībvalstīm, veicinot rūpniecības </w:t>
      </w:r>
      <w:proofErr w:type="spellStart"/>
      <w:r w:rsidRPr="00CF559E">
        <w:rPr>
          <w:rFonts w:eastAsia="Times New Roman" w:cs="Times New Roman"/>
          <w:sz w:val="28"/>
          <w:szCs w:val="28"/>
          <w:lang w:eastAsia="lv-LV"/>
        </w:rPr>
        <w:t>digitalizāciju</w:t>
      </w:r>
      <w:proofErr w:type="spellEnd"/>
      <w:r w:rsidRPr="00CF559E">
        <w:rPr>
          <w:rFonts w:eastAsia="Times New Roman" w:cs="Times New Roman"/>
          <w:sz w:val="28"/>
          <w:szCs w:val="28"/>
          <w:lang w:eastAsia="lv-LV"/>
        </w:rPr>
        <w:t>.</w:t>
      </w:r>
      <w:r>
        <w:rPr>
          <w:rFonts w:eastAsia="Times New Roman" w:cs="Times New Roman"/>
          <w:sz w:val="28"/>
          <w:szCs w:val="28"/>
          <w:lang w:eastAsia="lv-LV"/>
        </w:rPr>
        <w:t xml:space="preserve"> </w:t>
      </w:r>
      <w:r w:rsidRPr="00CF559E">
        <w:rPr>
          <w:rFonts w:eastAsia="Times New Roman" w:cs="Times New Roman"/>
          <w:sz w:val="28"/>
          <w:szCs w:val="28"/>
          <w:lang w:eastAsia="lv-LV"/>
        </w:rPr>
        <w:t xml:space="preserve">Vienlaikus norādām, ka pasākumu īstenošanai nevajadzētu radīt nesamērīgu finansiālo vai administratīvo slogu dalībvalstīm. No </w:t>
      </w:r>
      <w:r w:rsidR="00B457DB">
        <w:rPr>
          <w:rFonts w:eastAsia="Times New Roman" w:cs="Times New Roman"/>
          <w:sz w:val="28"/>
          <w:szCs w:val="28"/>
          <w:lang w:eastAsia="lv-LV"/>
        </w:rPr>
        <w:t>EK</w:t>
      </w:r>
      <w:r w:rsidRPr="00CF559E">
        <w:rPr>
          <w:rFonts w:eastAsia="Times New Roman" w:cs="Times New Roman"/>
          <w:sz w:val="28"/>
          <w:szCs w:val="28"/>
          <w:lang w:eastAsia="lv-LV"/>
        </w:rPr>
        <w:t xml:space="preserve"> tiek gaidīta konkrēta rīcība, lai sekmētu MVU un </w:t>
      </w:r>
      <w:proofErr w:type="spellStart"/>
      <w:r>
        <w:rPr>
          <w:rFonts w:eastAsia="Times New Roman" w:cs="Times New Roman"/>
          <w:sz w:val="28"/>
          <w:szCs w:val="28"/>
          <w:lang w:eastAsia="lv-LV"/>
        </w:rPr>
        <w:t>jaunuzņēmumu</w:t>
      </w:r>
      <w:proofErr w:type="spellEnd"/>
      <w:r w:rsidRPr="00CF559E">
        <w:rPr>
          <w:rFonts w:eastAsia="Times New Roman" w:cs="Times New Roman"/>
          <w:sz w:val="28"/>
          <w:szCs w:val="28"/>
          <w:lang w:eastAsia="lv-LV"/>
        </w:rPr>
        <w:t xml:space="preserve"> izaugsmi un internacionalizāciju, atvieglotu šo uzņēmumu piekļuvi finansējumam, kā arī veicinātu MVU iesaistīšanos starptautiskajās vērtību un piegāžu ķēdēs</w:t>
      </w:r>
      <w:r w:rsidR="00C46A1E">
        <w:rPr>
          <w:rFonts w:eastAsia="Times New Roman" w:cs="Times New Roman"/>
          <w:sz w:val="28"/>
          <w:szCs w:val="28"/>
          <w:lang w:eastAsia="lv-LV"/>
        </w:rPr>
        <w:t xml:space="preserve"> un</w:t>
      </w:r>
      <w:r w:rsidRPr="00CF559E">
        <w:rPr>
          <w:rFonts w:eastAsia="Times New Roman" w:cs="Times New Roman"/>
          <w:sz w:val="28"/>
          <w:szCs w:val="28"/>
          <w:lang w:eastAsia="lv-LV"/>
        </w:rPr>
        <w:t xml:space="preserve"> MVU digitālo pārveidi</w:t>
      </w:r>
      <w:r>
        <w:rPr>
          <w:rFonts w:eastAsia="Times New Roman" w:cs="Times New Roman"/>
          <w:sz w:val="28"/>
          <w:szCs w:val="28"/>
          <w:lang w:eastAsia="lv-LV"/>
        </w:rPr>
        <w:t>.</w:t>
      </w:r>
    </w:p>
    <w:p w:rsidR="00BD65FB" w:rsidP="00AF24CD" w:rsidRDefault="00132BC5" w14:paraId="6005A5AF" w14:textId="16952764">
      <w:pPr>
        <w:spacing w:after="120"/>
        <w:ind w:firstLine="567"/>
        <w:rPr>
          <w:rFonts w:eastAsia="Times New Roman" w:cs="Times New Roman"/>
          <w:sz w:val="28"/>
          <w:szCs w:val="28"/>
          <w:lang w:eastAsia="lv-LV"/>
        </w:rPr>
      </w:pPr>
      <w:r w:rsidRPr="00692D5B">
        <w:rPr>
          <w:rFonts w:eastAsia="Times New Roman" w:cs="Times New Roman"/>
          <w:sz w:val="28"/>
          <w:szCs w:val="28"/>
          <w:lang w:eastAsia="lv-LV"/>
        </w:rPr>
        <w:t xml:space="preserve">Latvijas IKT nozari raksturo ne vien pasaules klases uzņēmumi ar ilggadēju pieredzi, bet arī </w:t>
      </w:r>
      <w:proofErr w:type="spellStart"/>
      <w:r>
        <w:rPr>
          <w:rFonts w:eastAsia="Times New Roman" w:cs="Times New Roman"/>
          <w:sz w:val="28"/>
          <w:szCs w:val="28"/>
          <w:lang w:eastAsia="lv-LV"/>
        </w:rPr>
        <w:t>jaunuzņēmumi</w:t>
      </w:r>
      <w:proofErr w:type="spellEnd"/>
      <w:r w:rsidRPr="00692D5B">
        <w:rPr>
          <w:rFonts w:eastAsia="Times New Roman" w:cs="Times New Roman"/>
          <w:sz w:val="28"/>
          <w:szCs w:val="28"/>
          <w:lang w:eastAsia="lv-LV"/>
        </w:rPr>
        <w:t>, kas spēj veiksmīgi sevi apliecināt globālā mērogā, kur konkurence ir īpaši liela. Turklāt IKT sektoram ir būtiska loma valsts tautsaimniecībā, ko raksturo arī statistika. Piemēram, nozares pievienotās vērtības īpatsvars Latvijas iekšzemes kopproduktā 2014.gadā bija 3,8%, bet vairāk kā 5,5 tūkstoši IKT nozares uzņēmumu radīja 3,1 miljardus EUR</w:t>
      </w:r>
      <w:r>
        <w:rPr>
          <w:rFonts w:eastAsia="Times New Roman" w:cs="Times New Roman"/>
          <w:sz w:val="28"/>
          <w:szCs w:val="28"/>
          <w:lang w:eastAsia="lv-LV"/>
        </w:rPr>
        <w:t xml:space="preserve"> </w:t>
      </w:r>
      <w:r w:rsidRPr="00692D5B">
        <w:rPr>
          <w:rFonts w:eastAsia="Times New Roman" w:cs="Times New Roman"/>
          <w:sz w:val="28"/>
          <w:szCs w:val="28"/>
          <w:lang w:eastAsia="lv-LV"/>
        </w:rPr>
        <w:t>lielu apgrozījumu, šajos uzņēmumos nodrošinot aptuveni 26,6 tūkstošus darba vietu.</w:t>
      </w:r>
      <w:r w:rsidR="00AF24CD">
        <w:rPr>
          <w:rFonts w:eastAsia="Times New Roman" w:cs="Times New Roman"/>
          <w:sz w:val="28"/>
          <w:szCs w:val="28"/>
          <w:lang w:eastAsia="lv-LV"/>
        </w:rPr>
        <w:t xml:space="preserve"> </w:t>
      </w:r>
      <w:r w:rsidR="0094161D">
        <w:rPr>
          <w:rFonts w:eastAsia="Times New Roman" w:cs="Times New Roman"/>
          <w:sz w:val="28"/>
          <w:szCs w:val="28"/>
          <w:lang w:eastAsia="lv-LV"/>
        </w:rPr>
        <w:t xml:space="preserve">Kopš 2017. gada Latvijas normatīvais regulējums ir pielāgots </w:t>
      </w:r>
      <w:proofErr w:type="spellStart"/>
      <w:r w:rsidR="0094161D">
        <w:rPr>
          <w:rFonts w:eastAsia="Times New Roman" w:cs="Times New Roman"/>
          <w:sz w:val="28"/>
          <w:szCs w:val="28"/>
          <w:lang w:eastAsia="lv-LV"/>
        </w:rPr>
        <w:t>jaunuzņēmumu</w:t>
      </w:r>
      <w:proofErr w:type="spellEnd"/>
      <w:r w:rsidR="0094161D">
        <w:rPr>
          <w:rFonts w:eastAsia="Times New Roman" w:cs="Times New Roman"/>
          <w:sz w:val="28"/>
          <w:szCs w:val="28"/>
          <w:lang w:eastAsia="lv-LV"/>
        </w:rPr>
        <w:t xml:space="preserve"> </w:t>
      </w:r>
      <w:proofErr w:type="spellStart"/>
      <w:r w:rsidR="0094161D">
        <w:rPr>
          <w:rFonts w:eastAsia="Times New Roman" w:cs="Times New Roman"/>
          <w:sz w:val="28"/>
          <w:szCs w:val="28"/>
          <w:lang w:eastAsia="lv-LV"/>
        </w:rPr>
        <w:t>eko</w:t>
      </w:r>
      <w:proofErr w:type="spellEnd"/>
      <w:r w:rsidR="0094161D">
        <w:rPr>
          <w:rFonts w:eastAsia="Times New Roman" w:cs="Times New Roman"/>
          <w:sz w:val="28"/>
          <w:szCs w:val="28"/>
          <w:lang w:eastAsia="lv-LV"/>
        </w:rPr>
        <w:t>-sistēmu atbalstam.</w:t>
      </w:r>
    </w:p>
    <w:p w:rsidR="00AF24CD" w:rsidP="00AF24CD" w:rsidRDefault="00AF24CD" w14:paraId="1F667123" w14:textId="46F5A3FA">
      <w:pPr>
        <w:spacing w:after="120"/>
        <w:ind w:firstLine="567"/>
        <w:rPr>
          <w:rFonts w:eastAsia="Times New Roman" w:cs="Times New Roman"/>
          <w:sz w:val="28"/>
          <w:szCs w:val="28"/>
          <w:lang w:eastAsia="lv-LV"/>
        </w:rPr>
      </w:pPr>
      <w:r>
        <w:rPr>
          <w:rFonts w:eastAsia="Times New Roman" w:cs="Times New Roman"/>
          <w:sz w:val="28"/>
          <w:szCs w:val="28"/>
          <w:lang w:eastAsia="lv-LV"/>
        </w:rPr>
        <w:t>Latvijā ar vien nozīmīgāki kļūst dažādi nozares tīklošanās pasākumi (</w:t>
      </w:r>
      <w:proofErr w:type="spellStart"/>
      <w:r w:rsidRPr="00AF24CD">
        <w:rPr>
          <w:rFonts w:eastAsia="Times New Roman" w:cs="Times New Roman"/>
          <w:i/>
          <w:sz w:val="28"/>
          <w:szCs w:val="28"/>
          <w:lang w:eastAsia="lv-LV"/>
        </w:rPr>
        <w:t>Digital</w:t>
      </w:r>
      <w:proofErr w:type="spellEnd"/>
      <w:r w:rsidRPr="00AF24CD">
        <w:rPr>
          <w:rFonts w:eastAsia="Times New Roman" w:cs="Times New Roman"/>
          <w:i/>
          <w:sz w:val="28"/>
          <w:szCs w:val="28"/>
          <w:lang w:eastAsia="lv-LV"/>
        </w:rPr>
        <w:t xml:space="preserve"> </w:t>
      </w:r>
      <w:proofErr w:type="spellStart"/>
      <w:r w:rsidRPr="00AF24CD">
        <w:rPr>
          <w:rFonts w:eastAsia="Times New Roman" w:cs="Times New Roman"/>
          <w:i/>
          <w:sz w:val="28"/>
          <w:szCs w:val="28"/>
          <w:lang w:eastAsia="lv-LV"/>
        </w:rPr>
        <w:t>Freedom</w:t>
      </w:r>
      <w:proofErr w:type="spellEnd"/>
      <w:r w:rsidRPr="00AF24CD">
        <w:rPr>
          <w:rFonts w:eastAsia="Times New Roman" w:cs="Times New Roman"/>
          <w:i/>
          <w:sz w:val="28"/>
          <w:szCs w:val="28"/>
          <w:lang w:eastAsia="lv-LV"/>
        </w:rPr>
        <w:t xml:space="preserve"> </w:t>
      </w:r>
      <w:proofErr w:type="spellStart"/>
      <w:r w:rsidRPr="00AF24CD">
        <w:rPr>
          <w:rFonts w:eastAsia="Times New Roman" w:cs="Times New Roman"/>
          <w:i/>
          <w:sz w:val="28"/>
          <w:szCs w:val="28"/>
          <w:lang w:eastAsia="lv-LV"/>
        </w:rPr>
        <w:t>Festival</w:t>
      </w:r>
      <w:proofErr w:type="spellEnd"/>
      <w:r w:rsidR="00814C2F">
        <w:rPr>
          <w:rFonts w:eastAsia="Times New Roman" w:cs="Times New Roman"/>
          <w:i/>
          <w:sz w:val="28"/>
          <w:szCs w:val="28"/>
          <w:lang w:eastAsia="lv-LV"/>
        </w:rPr>
        <w:t>,</w:t>
      </w:r>
      <w:r w:rsidRPr="00AF24CD">
        <w:rPr>
          <w:rFonts w:eastAsia="Times New Roman" w:cs="Times New Roman"/>
          <w:i/>
          <w:sz w:val="28"/>
          <w:szCs w:val="28"/>
          <w:lang w:eastAsia="lv-LV"/>
        </w:rPr>
        <w:t xml:space="preserve"> </w:t>
      </w:r>
      <w:proofErr w:type="spellStart"/>
      <w:r w:rsidRPr="00AF24CD">
        <w:rPr>
          <w:rFonts w:eastAsia="Times New Roman" w:cs="Times New Roman"/>
          <w:i/>
          <w:sz w:val="28"/>
          <w:szCs w:val="28"/>
          <w:lang w:eastAsia="lv-LV"/>
        </w:rPr>
        <w:t>TechChill</w:t>
      </w:r>
      <w:proofErr w:type="spellEnd"/>
      <w:r w:rsidRPr="00AF24CD">
        <w:rPr>
          <w:rFonts w:eastAsia="Times New Roman" w:cs="Times New Roman"/>
          <w:sz w:val="28"/>
          <w:szCs w:val="28"/>
          <w:lang w:eastAsia="lv-LV"/>
        </w:rPr>
        <w:t>)</w:t>
      </w:r>
      <w:r>
        <w:rPr>
          <w:rFonts w:eastAsia="Times New Roman" w:cs="Times New Roman"/>
          <w:sz w:val="28"/>
          <w:szCs w:val="28"/>
          <w:lang w:eastAsia="lv-LV"/>
        </w:rPr>
        <w:t>, kuri atļauj starptautiska mēroga kontaktu un ideju apmaiņu</w:t>
      </w:r>
      <w:r w:rsidR="00C72AE9">
        <w:rPr>
          <w:rFonts w:eastAsia="Times New Roman" w:cs="Times New Roman"/>
          <w:sz w:val="28"/>
          <w:szCs w:val="28"/>
          <w:lang w:eastAsia="lv-LV"/>
        </w:rPr>
        <w:t>.</w:t>
      </w:r>
      <w:r>
        <w:rPr>
          <w:rFonts w:eastAsia="Times New Roman" w:cs="Times New Roman"/>
          <w:sz w:val="28"/>
          <w:szCs w:val="28"/>
          <w:lang w:eastAsia="lv-LV"/>
        </w:rPr>
        <w:t xml:space="preserve"> </w:t>
      </w:r>
      <w:r w:rsidR="00BD65FB">
        <w:rPr>
          <w:rFonts w:eastAsia="Times New Roman" w:cs="Times New Roman"/>
          <w:sz w:val="28"/>
          <w:szCs w:val="28"/>
          <w:lang w:eastAsia="lv-LV"/>
        </w:rPr>
        <w:t xml:space="preserve">Latvija uzskata, ka valsts pārvalde var spēlēt lomu atbalstot un veicinot starptautisku sadarbības platformu veidošanos attīstību. </w:t>
      </w:r>
    </w:p>
    <w:p w:rsidR="00132BC5" w:rsidP="00132BC5" w:rsidRDefault="00132BC5" w14:paraId="2317E8FE" w14:textId="422E1CBF">
      <w:pPr>
        <w:spacing w:after="120"/>
        <w:ind w:firstLine="567"/>
        <w:rPr>
          <w:rFonts w:eastAsia="Times New Roman" w:cs="Times New Roman"/>
          <w:sz w:val="28"/>
          <w:szCs w:val="28"/>
          <w:lang w:eastAsia="lv-LV"/>
        </w:rPr>
      </w:pPr>
      <w:r w:rsidRPr="00F716D7">
        <w:rPr>
          <w:rFonts w:eastAsia="Times New Roman" w:cs="Times New Roman"/>
          <w:sz w:val="28"/>
          <w:szCs w:val="28"/>
          <w:lang w:eastAsia="lv-LV"/>
        </w:rPr>
        <w:t>Ti</w:t>
      </w:r>
      <w:r>
        <w:rPr>
          <w:rFonts w:eastAsia="Times New Roman" w:cs="Times New Roman"/>
          <w:sz w:val="28"/>
          <w:szCs w:val="28"/>
          <w:lang w:eastAsia="lv-LV"/>
        </w:rPr>
        <w:t>cis</w:t>
      </w:r>
      <w:r w:rsidRPr="00F716D7">
        <w:rPr>
          <w:rFonts w:eastAsia="Times New Roman" w:cs="Times New Roman"/>
          <w:sz w:val="28"/>
          <w:szCs w:val="28"/>
          <w:lang w:eastAsia="lv-LV"/>
        </w:rPr>
        <w:t xml:space="preserve"> prognozēts, ka pieprasījums pēc IKT speciālistiem Latvijā 2020.</w:t>
      </w:r>
      <w:r>
        <w:rPr>
          <w:rFonts w:eastAsia="Times New Roman" w:cs="Times New Roman"/>
          <w:sz w:val="28"/>
          <w:szCs w:val="28"/>
          <w:lang w:eastAsia="lv-LV"/>
        </w:rPr>
        <w:t xml:space="preserve"> </w:t>
      </w:r>
      <w:r w:rsidRPr="00F716D7">
        <w:rPr>
          <w:rFonts w:eastAsia="Times New Roman" w:cs="Times New Roman"/>
          <w:sz w:val="28"/>
          <w:szCs w:val="28"/>
          <w:lang w:eastAsia="lv-LV"/>
        </w:rPr>
        <w:t>gadā pārsniegs piedāvājumu par 21%. Turklāt pieaugošā plaisa starp pieprasījumu un piedāvājumu draud samazināt mūsu uzņēmumu konkurētspēju, lai radītu jaunus, inovatīvus</w:t>
      </w:r>
      <w:r w:rsidR="00A3254D">
        <w:rPr>
          <w:rFonts w:eastAsia="Times New Roman" w:cs="Times New Roman"/>
          <w:sz w:val="28"/>
          <w:szCs w:val="28"/>
          <w:lang w:eastAsia="lv-LV"/>
        </w:rPr>
        <w:t xml:space="preserve"> IKT</w:t>
      </w:r>
      <w:r w:rsidRPr="00F716D7">
        <w:rPr>
          <w:rFonts w:eastAsia="Times New Roman" w:cs="Times New Roman"/>
          <w:sz w:val="28"/>
          <w:szCs w:val="28"/>
          <w:lang w:eastAsia="lv-LV"/>
        </w:rPr>
        <w:t xml:space="preserve"> produktus un pakalpojumus.</w:t>
      </w:r>
      <w:r>
        <w:rPr>
          <w:rFonts w:eastAsia="Times New Roman" w:cs="Times New Roman"/>
          <w:sz w:val="28"/>
          <w:szCs w:val="28"/>
          <w:lang w:eastAsia="lv-LV"/>
        </w:rPr>
        <w:t xml:space="preserve"> Diemžēl s</w:t>
      </w:r>
      <w:r w:rsidRPr="00187311">
        <w:rPr>
          <w:rFonts w:eastAsia="Times New Roman" w:cs="Times New Roman"/>
          <w:sz w:val="28"/>
          <w:szCs w:val="28"/>
          <w:lang w:eastAsia="lv-LV"/>
        </w:rPr>
        <w:t xml:space="preserve">askaņā ar CSP datiem </w:t>
      </w:r>
      <w:r w:rsidRPr="00187311">
        <w:rPr>
          <w:rFonts w:eastAsia="Times New Roman" w:cs="Times New Roman"/>
          <w:sz w:val="28"/>
          <w:szCs w:val="28"/>
          <w:lang w:eastAsia="lv-LV"/>
        </w:rPr>
        <w:lastRenderedPageBreak/>
        <w:t>Latvijā izdevumi zinātniski pētnieciskajam darbam ilgstoši ir bijuši nelieli. Latvijas kvantitatīvais mērķis ir līdz 2020. gadam palielināt pētniecībā ieguldīto finansējumu līdz 1,5 % no Latvijas IKP,</w:t>
      </w:r>
      <w:r>
        <w:rPr>
          <w:rFonts w:eastAsia="Times New Roman" w:cs="Times New Roman"/>
          <w:sz w:val="28"/>
          <w:szCs w:val="28"/>
          <w:lang w:eastAsia="lv-LV"/>
        </w:rPr>
        <w:t xml:space="preserve"> </w:t>
      </w:r>
      <w:r w:rsidRPr="00187311">
        <w:rPr>
          <w:rFonts w:eastAsia="Times New Roman" w:cs="Times New Roman"/>
          <w:sz w:val="28"/>
          <w:szCs w:val="28"/>
          <w:lang w:eastAsia="lv-LV"/>
        </w:rPr>
        <w:t>bet līdz 2030. gadam –līdz 3 % no IKP</w:t>
      </w:r>
      <w:r>
        <w:rPr>
          <w:rFonts w:eastAsia="Times New Roman" w:cs="Times New Roman"/>
          <w:sz w:val="28"/>
          <w:szCs w:val="28"/>
          <w:lang w:eastAsia="lv-LV"/>
        </w:rPr>
        <w:t>.</w:t>
      </w:r>
    </w:p>
    <w:p w:rsidRPr="00132BC5" w:rsidR="00132BC5" w:rsidP="0076113E" w:rsidRDefault="00132BC5" w14:paraId="675220F4" w14:textId="38C27389">
      <w:pPr>
        <w:spacing w:after="120"/>
        <w:ind w:firstLine="567"/>
        <w:rPr>
          <w:rFonts w:eastAsia="Times New Roman" w:cs="Times New Roman"/>
          <w:sz w:val="28"/>
          <w:szCs w:val="28"/>
          <w:lang w:eastAsia="lv-LV"/>
        </w:rPr>
      </w:pPr>
      <w:r w:rsidRPr="001207E9">
        <w:rPr>
          <w:rFonts w:eastAsia="Times New Roman" w:cs="Times New Roman"/>
          <w:sz w:val="28"/>
          <w:szCs w:val="28"/>
          <w:lang w:eastAsia="lv-LV"/>
        </w:rPr>
        <w:t xml:space="preserve">Latvija pozitīvi vērtē </w:t>
      </w:r>
      <w:r w:rsidR="00B457DB">
        <w:rPr>
          <w:rFonts w:eastAsia="Times New Roman" w:cs="Times New Roman"/>
          <w:sz w:val="28"/>
          <w:szCs w:val="28"/>
          <w:lang w:eastAsia="lv-LV"/>
        </w:rPr>
        <w:t xml:space="preserve">EK </w:t>
      </w:r>
      <w:r w:rsidRPr="001207E9">
        <w:rPr>
          <w:rFonts w:eastAsia="Times New Roman" w:cs="Times New Roman"/>
          <w:sz w:val="28"/>
          <w:szCs w:val="28"/>
          <w:lang w:eastAsia="lv-LV"/>
        </w:rPr>
        <w:t>iniciatīvu pārskatīt Eiropas Stratēģisko investīciju</w:t>
      </w:r>
      <w:r>
        <w:rPr>
          <w:rFonts w:eastAsia="Times New Roman" w:cs="Times New Roman"/>
          <w:sz w:val="28"/>
          <w:szCs w:val="28"/>
          <w:lang w:eastAsia="lv-LV"/>
        </w:rPr>
        <w:t xml:space="preserve"> </w:t>
      </w:r>
      <w:r w:rsidRPr="001207E9">
        <w:rPr>
          <w:rFonts w:eastAsia="Times New Roman" w:cs="Times New Roman"/>
          <w:sz w:val="28"/>
          <w:szCs w:val="28"/>
          <w:lang w:eastAsia="lv-LV"/>
        </w:rPr>
        <w:t>fonda darbību</w:t>
      </w:r>
      <w:r w:rsidR="00B457DB">
        <w:rPr>
          <w:rFonts w:eastAsia="Times New Roman" w:cs="Times New Roman"/>
          <w:sz w:val="28"/>
          <w:szCs w:val="28"/>
          <w:lang w:eastAsia="lv-LV"/>
        </w:rPr>
        <w:t xml:space="preserve"> (turpmāk -ESIF)</w:t>
      </w:r>
      <w:r w:rsidRPr="001207E9">
        <w:rPr>
          <w:rFonts w:eastAsia="Times New Roman" w:cs="Times New Roman"/>
          <w:sz w:val="28"/>
          <w:szCs w:val="28"/>
          <w:lang w:eastAsia="lv-LV"/>
        </w:rPr>
        <w:t>, paredzot, ka 40% no ESIF papildu riska uzņemšanās spējas tiks izmantoti finansējuma pieejamības palielināšanai MVU un ka Eiropas Investīciju banka palielinās finansējuma īpatsvaru uzņēmumiem ar vidēji lielu kapitālu. Tai pat laikā saredzam nepieciešamību pēc plašākas ES līmeņa informatīvajām kampaņām par ES dalībvalstu atbalsta instrumentiem industriālās inovācijas attīstībai.</w:t>
      </w:r>
      <w:r>
        <w:rPr>
          <w:rFonts w:eastAsia="Times New Roman" w:cs="Times New Roman"/>
          <w:sz w:val="28"/>
          <w:szCs w:val="28"/>
          <w:lang w:eastAsia="lv-LV"/>
        </w:rPr>
        <w:t xml:space="preserve"> </w:t>
      </w:r>
      <w:r w:rsidRPr="001207E9">
        <w:rPr>
          <w:rFonts w:eastAsia="Times New Roman" w:cs="Times New Roman"/>
          <w:sz w:val="28"/>
          <w:szCs w:val="28"/>
          <w:lang w:eastAsia="lv-LV"/>
        </w:rPr>
        <w:t>Latvija atzinīgi vērtē Komisijas</w:t>
      </w:r>
      <w:r>
        <w:rPr>
          <w:rFonts w:eastAsia="Times New Roman" w:cs="Times New Roman"/>
          <w:sz w:val="28"/>
          <w:szCs w:val="28"/>
          <w:lang w:eastAsia="lv-LV"/>
        </w:rPr>
        <w:t xml:space="preserve"> </w:t>
      </w:r>
      <w:r w:rsidRPr="001207E9">
        <w:rPr>
          <w:rFonts w:eastAsia="Times New Roman" w:cs="Times New Roman"/>
          <w:sz w:val="28"/>
          <w:szCs w:val="28"/>
          <w:lang w:eastAsia="lv-LV"/>
        </w:rPr>
        <w:t>iniciatīvas finansējuma pieejamības atvieglošanai inovatīviem uzņēmumiem attīstības sākumstadijā, t.sk., Komisijas</w:t>
      </w:r>
      <w:r>
        <w:rPr>
          <w:rFonts w:eastAsia="Times New Roman" w:cs="Times New Roman"/>
          <w:sz w:val="28"/>
          <w:szCs w:val="28"/>
          <w:lang w:eastAsia="lv-LV"/>
        </w:rPr>
        <w:t xml:space="preserve"> </w:t>
      </w:r>
      <w:r w:rsidRPr="001207E9">
        <w:rPr>
          <w:rFonts w:eastAsia="Times New Roman" w:cs="Times New Roman"/>
          <w:sz w:val="28"/>
          <w:szCs w:val="28"/>
          <w:lang w:eastAsia="lv-LV"/>
        </w:rPr>
        <w:t>fokusu</w:t>
      </w:r>
      <w:r>
        <w:rPr>
          <w:rFonts w:eastAsia="Times New Roman" w:cs="Times New Roman"/>
          <w:sz w:val="28"/>
          <w:szCs w:val="28"/>
          <w:lang w:eastAsia="lv-LV"/>
        </w:rPr>
        <w:t xml:space="preserve"> </w:t>
      </w:r>
      <w:r w:rsidRPr="001207E9">
        <w:rPr>
          <w:rFonts w:eastAsia="Times New Roman" w:cs="Times New Roman"/>
          <w:sz w:val="28"/>
          <w:szCs w:val="28"/>
          <w:lang w:eastAsia="lv-LV"/>
        </w:rPr>
        <w:t xml:space="preserve">uz </w:t>
      </w:r>
      <w:proofErr w:type="spellStart"/>
      <w:r>
        <w:rPr>
          <w:rFonts w:eastAsia="Times New Roman" w:cs="Times New Roman"/>
          <w:sz w:val="28"/>
          <w:szCs w:val="28"/>
          <w:lang w:eastAsia="lv-LV"/>
        </w:rPr>
        <w:t>jaunuzņēmumiem</w:t>
      </w:r>
      <w:proofErr w:type="spellEnd"/>
      <w:r w:rsidRPr="001207E9">
        <w:rPr>
          <w:rFonts w:eastAsia="Times New Roman" w:cs="Times New Roman"/>
          <w:sz w:val="28"/>
          <w:szCs w:val="28"/>
          <w:lang w:eastAsia="lv-LV"/>
        </w:rPr>
        <w:t xml:space="preserve"> un </w:t>
      </w:r>
      <w:r>
        <w:rPr>
          <w:rFonts w:eastAsia="Times New Roman" w:cs="Times New Roman"/>
          <w:sz w:val="28"/>
          <w:szCs w:val="28"/>
          <w:lang w:eastAsia="lv-LV"/>
        </w:rPr>
        <w:t>tālākās izaugsmes uzņēmumiem</w:t>
      </w:r>
      <w:r w:rsidRPr="001207E9">
        <w:rPr>
          <w:rFonts w:eastAsia="Times New Roman" w:cs="Times New Roman"/>
          <w:sz w:val="28"/>
          <w:szCs w:val="28"/>
          <w:lang w:eastAsia="lv-LV"/>
        </w:rPr>
        <w:t>. Latvija atbalsta Komisijas</w:t>
      </w:r>
      <w:r>
        <w:rPr>
          <w:rFonts w:eastAsia="Times New Roman" w:cs="Times New Roman"/>
          <w:sz w:val="28"/>
          <w:szCs w:val="28"/>
          <w:lang w:eastAsia="lv-LV"/>
        </w:rPr>
        <w:t xml:space="preserve"> </w:t>
      </w:r>
      <w:r w:rsidRPr="001207E9">
        <w:rPr>
          <w:rFonts w:eastAsia="Times New Roman" w:cs="Times New Roman"/>
          <w:sz w:val="28"/>
          <w:szCs w:val="28"/>
          <w:lang w:eastAsia="lv-LV"/>
        </w:rPr>
        <w:t>iniciatīvu pārskatīt Eiropas riska kapitāla fondu noteikumus, lai šie fondi varētu finansēt pēc iespējas plašāku uzņēmumu loku, tādejādi atvieglojot finansējuma piesaisti MVU. Īpaši augsti tiek vērtēta Komisijas iniciatīva</w:t>
      </w:r>
      <w:r>
        <w:rPr>
          <w:rFonts w:eastAsia="Times New Roman" w:cs="Times New Roman"/>
          <w:sz w:val="28"/>
          <w:szCs w:val="28"/>
          <w:lang w:eastAsia="lv-LV"/>
        </w:rPr>
        <w:t xml:space="preserve"> </w:t>
      </w:r>
      <w:r w:rsidRPr="001207E9">
        <w:rPr>
          <w:rFonts w:eastAsia="Times New Roman" w:cs="Times New Roman"/>
          <w:sz w:val="28"/>
          <w:szCs w:val="28"/>
          <w:lang w:eastAsia="lv-LV"/>
        </w:rPr>
        <w:t>veidot Eiropas mēroga riska kapitāla fondu</w:t>
      </w:r>
      <w:r w:rsidR="00786A81">
        <w:rPr>
          <w:rFonts w:eastAsia="Times New Roman" w:cs="Times New Roman"/>
          <w:sz w:val="28"/>
          <w:szCs w:val="28"/>
          <w:lang w:eastAsia="lv-LV"/>
        </w:rPr>
        <w:t xml:space="preserve"> </w:t>
      </w:r>
      <w:r w:rsidRPr="00C8002F" w:rsidR="00C8002F">
        <w:rPr>
          <w:rFonts w:eastAsia="Times New Roman" w:cs="Times New Roman"/>
          <w:sz w:val="28"/>
          <w:szCs w:val="28"/>
          <w:lang w:eastAsia="lv-LV"/>
        </w:rPr>
        <w:t>programmu (</w:t>
      </w:r>
      <w:proofErr w:type="spellStart"/>
      <w:r w:rsidRPr="00C8002F" w:rsidR="00C8002F">
        <w:rPr>
          <w:rFonts w:eastAsia="Times New Roman" w:cs="Times New Roman"/>
          <w:i/>
          <w:sz w:val="28"/>
          <w:szCs w:val="28"/>
          <w:lang w:eastAsia="lv-LV"/>
        </w:rPr>
        <w:t>VentureEU</w:t>
      </w:r>
      <w:proofErr w:type="spellEnd"/>
      <w:r w:rsidRPr="00C8002F" w:rsidR="00C8002F">
        <w:rPr>
          <w:rFonts w:eastAsia="Times New Roman" w:cs="Times New Roman"/>
          <w:sz w:val="28"/>
          <w:szCs w:val="28"/>
          <w:lang w:eastAsia="lv-LV"/>
        </w:rPr>
        <w:t>)</w:t>
      </w:r>
      <w:r>
        <w:rPr>
          <w:rFonts w:eastAsia="Times New Roman" w:cs="Times New Roman"/>
          <w:sz w:val="28"/>
          <w:szCs w:val="28"/>
          <w:lang w:eastAsia="lv-LV"/>
        </w:rPr>
        <w:t xml:space="preserve"> </w:t>
      </w:r>
      <w:r w:rsidRPr="001207E9">
        <w:rPr>
          <w:rFonts w:eastAsia="Times New Roman" w:cs="Times New Roman"/>
          <w:sz w:val="28"/>
          <w:szCs w:val="28"/>
          <w:lang w:eastAsia="lv-LV"/>
        </w:rPr>
        <w:t>ar mērķi apmierināt uzņēmumu nepieciešamību pēc lielākiem riska kapitāla ieguldījumiem pēc starta posma</w:t>
      </w:r>
      <w:r w:rsidR="00803D81">
        <w:rPr>
          <w:rFonts w:eastAsia="Times New Roman" w:cs="Times New Roman"/>
          <w:sz w:val="28"/>
          <w:szCs w:val="28"/>
          <w:lang w:eastAsia="lv-LV"/>
        </w:rPr>
        <w:t xml:space="preserve"> (</w:t>
      </w:r>
      <w:proofErr w:type="spellStart"/>
      <w:r w:rsidR="00803D81">
        <w:rPr>
          <w:rFonts w:eastAsia="Times New Roman" w:cs="Times New Roman"/>
          <w:sz w:val="28"/>
          <w:szCs w:val="28"/>
          <w:lang w:eastAsia="lv-LV"/>
        </w:rPr>
        <w:t>jaunuzņēmumi</w:t>
      </w:r>
      <w:proofErr w:type="spellEnd"/>
      <w:r w:rsidR="00803D81">
        <w:rPr>
          <w:rFonts w:eastAsia="Times New Roman" w:cs="Times New Roman"/>
          <w:sz w:val="28"/>
          <w:szCs w:val="28"/>
          <w:lang w:eastAsia="lv-LV"/>
        </w:rPr>
        <w:t xml:space="preserve"> un augošie uzņēmumi)</w:t>
      </w:r>
      <w:r w:rsidRPr="001207E9">
        <w:rPr>
          <w:rFonts w:eastAsia="Times New Roman" w:cs="Times New Roman"/>
          <w:sz w:val="28"/>
          <w:szCs w:val="28"/>
          <w:lang w:eastAsia="lv-LV"/>
        </w:rPr>
        <w:t>.</w:t>
      </w:r>
      <w:r>
        <w:rPr>
          <w:rFonts w:eastAsia="Times New Roman" w:cs="Times New Roman"/>
          <w:sz w:val="28"/>
          <w:szCs w:val="28"/>
          <w:lang w:eastAsia="lv-LV"/>
        </w:rPr>
        <w:t xml:space="preserve"> </w:t>
      </w:r>
      <w:r w:rsidRPr="001207E9">
        <w:rPr>
          <w:rFonts w:eastAsia="Times New Roman" w:cs="Times New Roman"/>
          <w:sz w:val="28"/>
          <w:szCs w:val="28"/>
          <w:lang w:eastAsia="lv-LV"/>
        </w:rPr>
        <w:t>Šobrīd Latvijā ir izveidoti</w:t>
      </w:r>
      <w:r>
        <w:rPr>
          <w:rFonts w:eastAsia="Times New Roman" w:cs="Times New Roman"/>
          <w:sz w:val="28"/>
          <w:szCs w:val="28"/>
          <w:lang w:eastAsia="lv-LV"/>
        </w:rPr>
        <w:t xml:space="preserve"> </w:t>
      </w:r>
      <w:r w:rsidRPr="001207E9">
        <w:rPr>
          <w:rFonts w:eastAsia="Times New Roman" w:cs="Times New Roman"/>
          <w:sz w:val="28"/>
          <w:szCs w:val="28"/>
          <w:lang w:eastAsia="lv-LV"/>
        </w:rPr>
        <w:t>vairāki</w:t>
      </w:r>
      <w:r>
        <w:rPr>
          <w:rFonts w:eastAsia="Times New Roman" w:cs="Times New Roman"/>
          <w:sz w:val="28"/>
          <w:szCs w:val="28"/>
          <w:lang w:eastAsia="lv-LV"/>
        </w:rPr>
        <w:t xml:space="preserve"> </w:t>
      </w:r>
      <w:proofErr w:type="spellStart"/>
      <w:r w:rsidRPr="001207E9">
        <w:rPr>
          <w:rFonts w:eastAsia="Times New Roman" w:cs="Times New Roman"/>
          <w:sz w:val="28"/>
          <w:szCs w:val="28"/>
          <w:lang w:eastAsia="lv-LV"/>
        </w:rPr>
        <w:t>akselerācijas</w:t>
      </w:r>
      <w:proofErr w:type="spellEnd"/>
      <w:r w:rsidRPr="001207E9">
        <w:rPr>
          <w:rFonts w:eastAsia="Times New Roman" w:cs="Times New Roman"/>
          <w:sz w:val="28"/>
          <w:szCs w:val="28"/>
          <w:lang w:eastAsia="lv-LV"/>
        </w:rPr>
        <w:t xml:space="preserve"> fondi</w:t>
      </w:r>
      <w:r>
        <w:rPr>
          <w:rFonts w:eastAsia="Times New Roman" w:cs="Times New Roman"/>
          <w:sz w:val="28"/>
          <w:szCs w:val="28"/>
          <w:lang w:eastAsia="lv-LV"/>
        </w:rPr>
        <w:t xml:space="preserve"> </w:t>
      </w:r>
      <w:r w:rsidRPr="001207E9">
        <w:rPr>
          <w:rFonts w:eastAsia="Times New Roman" w:cs="Times New Roman"/>
          <w:sz w:val="28"/>
          <w:szCs w:val="28"/>
          <w:lang w:eastAsia="lv-LV"/>
        </w:rPr>
        <w:t>un īpaši nepieciešams uzsvērt veiksmīgā Baltijas inovāciju fonda darbību, kas tika izveidots starp Baltijas valstīm ar mērķi attīstīt inovatīvus uzņēmumus.</w:t>
      </w:r>
    </w:p>
    <w:p w:rsidRPr="00CF559E" w:rsidR="00692D5B" w:rsidP="001207E9" w:rsidRDefault="00692D5B" w14:paraId="54C711D2" w14:textId="77777777">
      <w:pPr>
        <w:spacing w:after="120"/>
        <w:rPr>
          <w:rFonts w:eastAsia="Times New Roman" w:cs="Times New Roman"/>
          <w:sz w:val="28"/>
          <w:szCs w:val="28"/>
          <w:lang w:eastAsia="lv-LV"/>
        </w:rPr>
      </w:pPr>
    </w:p>
    <w:p w:rsidRPr="005132F1" w:rsidR="005345D6" w:rsidP="005345D6" w:rsidRDefault="00680C55" w14:paraId="740395AE" w14:textId="77777777">
      <w:pPr>
        <w:keepNext/>
        <w:keepLines/>
        <w:shd w:val="clear" w:color="auto" w:fill="F2F2F2" w:themeFill="background1" w:themeFillShade="F2"/>
        <w:spacing w:after="120"/>
        <w:ind w:left="567" w:hanging="567"/>
        <w:rPr>
          <w:rFonts w:cs="Times New Roman"/>
          <w:b/>
          <w:sz w:val="28"/>
          <w:szCs w:val="28"/>
        </w:rPr>
      </w:pPr>
      <w:r>
        <w:rPr>
          <w:rFonts w:cs="Times New Roman"/>
          <w:b/>
          <w:sz w:val="28"/>
          <w:szCs w:val="28"/>
        </w:rPr>
        <w:t>2</w:t>
      </w:r>
      <w:r w:rsidRPr="00E65A40" w:rsidR="005345D6">
        <w:rPr>
          <w:rFonts w:cs="Times New Roman"/>
          <w:b/>
          <w:sz w:val="28"/>
          <w:szCs w:val="28"/>
        </w:rPr>
        <w:t>.</w:t>
      </w:r>
      <w:r w:rsidR="005345D6">
        <w:rPr>
          <w:rFonts w:cs="Times New Roman"/>
          <w:b/>
          <w:sz w:val="28"/>
          <w:szCs w:val="28"/>
        </w:rPr>
        <w:tab/>
      </w:r>
      <w:r w:rsidRPr="005132F1" w:rsidR="005345D6">
        <w:rPr>
          <w:b/>
          <w:i/>
          <w:sz w:val="28"/>
        </w:rPr>
        <w:t>Iekšējais tirgus – integrēta pieeja atbalstam rūpniecībai un labākai vienotā tirgus noteikumu ieviešanai un izpildes nodrošināšanai</w:t>
      </w:r>
    </w:p>
    <w:p w:rsidR="003C7C61" w:rsidP="003C7C61" w:rsidRDefault="003C7C61" w14:paraId="48921FBC" w14:textId="4E52DE17">
      <w:pPr>
        <w:spacing w:after="120"/>
        <w:ind w:firstLine="567"/>
        <w:rPr>
          <w:rFonts w:eastAsia="Times New Roman" w:cs="Times New Roman"/>
          <w:sz w:val="28"/>
          <w:szCs w:val="28"/>
          <w:lang w:eastAsia="lv-LV"/>
        </w:rPr>
      </w:pPr>
      <w:r>
        <w:rPr>
          <w:rFonts w:eastAsia="Times New Roman" w:cs="Times New Roman"/>
          <w:sz w:val="28"/>
          <w:szCs w:val="28"/>
          <w:lang w:eastAsia="lv-LV"/>
        </w:rPr>
        <w:t>P</w:t>
      </w:r>
      <w:r w:rsidRPr="003C7C61">
        <w:rPr>
          <w:rFonts w:eastAsia="Times New Roman" w:cs="Times New Roman"/>
          <w:sz w:val="28"/>
          <w:szCs w:val="28"/>
          <w:lang w:eastAsia="lv-LV"/>
        </w:rPr>
        <w:t>irms jaunā E</w:t>
      </w:r>
      <w:r w:rsidR="00853D3A">
        <w:rPr>
          <w:rFonts w:eastAsia="Times New Roman" w:cs="Times New Roman"/>
          <w:sz w:val="28"/>
          <w:szCs w:val="28"/>
          <w:lang w:eastAsia="lv-LV"/>
        </w:rPr>
        <w:t>K</w:t>
      </w:r>
      <w:r w:rsidRPr="003C7C61">
        <w:rPr>
          <w:rFonts w:eastAsia="Times New Roman" w:cs="Times New Roman"/>
          <w:sz w:val="28"/>
          <w:szCs w:val="28"/>
          <w:lang w:eastAsia="lv-LV"/>
        </w:rPr>
        <w:t xml:space="preserve"> mandāta ir īpaši aktualizējušies ES Vienotā tirgus jautājumi</w:t>
      </w:r>
      <w:r>
        <w:rPr>
          <w:rFonts w:eastAsia="Times New Roman" w:cs="Times New Roman"/>
          <w:sz w:val="28"/>
          <w:szCs w:val="28"/>
          <w:lang w:eastAsia="lv-LV"/>
        </w:rPr>
        <w:t xml:space="preserve">, kas </w:t>
      </w:r>
      <w:r w:rsidRPr="003C7C61">
        <w:rPr>
          <w:rFonts w:eastAsia="Times New Roman" w:cs="Times New Roman"/>
          <w:sz w:val="28"/>
          <w:szCs w:val="28"/>
          <w:lang w:eastAsia="lv-LV"/>
        </w:rPr>
        <w:t>tie</w:t>
      </w:r>
      <w:r>
        <w:rPr>
          <w:rFonts w:eastAsia="Times New Roman" w:cs="Times New Roman"/>
          <w:sz w:val="28"/>
          <w:szCs w:val="28"/>
          <w:lang w:eastAsia="lv-LV"/>
        </w:rPr>
        <w:t xml:space="preserve">k </w:t>
      </w:r>
      <w:r w:rsidRPr="003C7C61">
        <w:rPr>
          <w:rFonts w:eastAsia="Times New Roman" w:cs="Times New Roman"/>
          <w:sz w:val="28"/>
          <w:szCs w:val="28"/>
          <w:lang w:eastAsia="lv-LV"/>
        </w:rPr>
        <w:t xml:space="preserve">skatīti </w:t>
      </w:r>
      <w:r>
        <w:rPr>
          <w:rFonts w:eastAsia="Times New Roman" w:cs="Times New Roman"/>
          <w:sz w:val="28"/>
          <w:szCs w:val="28"/>
          <w:lang w:eastAsia="lv-LV"/>
        </w:rPr>
        <w:t xml:space="preserve">dažādos formātos - </w:t>
      </w:r>
      <w:r w:rsidRPr="003C7C61">
        <w:rPr>
          <w:rFonts w:eastAsia="Times New Roman" w:cs="Times New Roman"/>
          <w:sz w:val="28"/>
          <w:szCs w:val="28"/>
          <w:lang w:eastAsia="lv-LV"/>
        </w:rPr>
        <w:t xml:space="preserve">arī marta Eiropadomē un sagaidāms, ka tiks pārrunāti arī maija </w:t>
      </w:r>
      <w:proofErr w:type="spellStart"/>
      <w:r w:rsidRPr="003C7C61">
        <w:rPr>
          <w:rFonts w:eastAsia="Times New Roman" w:cs="Times New Roman"/>
          <w:sz w:val="28"/>
          <w:szCs w:val="28"/>
          <w:lang w:eastAsia="lv-LV"/>
        </w:rPr>
        <w:t>Sibiu</w:t>
      </w:r>
      <w:proofErr w:type="spellEnd"/>
      <w:r w:rsidRPr="003C7C61">
        <w:rPr>
          <w:rFonts w:eastAsia="Times New Roman" w:cs="Times New Roman"/>
          <w:sz w:val="28"/>
          <w:szCs w:val="28"/>
          <w:lang w:eastAsia="lv-LV"/>
        </w:rPr>
        <w:t xml:space="preserve"> samitā un jūnija Eiropadomē.</w:t>
      </w:r>
      <w:r>
        <w:rPr>
          <w:rFonts w:eastAsia="Times New Roman" w:cs="Times New Roman"/>
          <w:sz w:val="28"/>
          <w:szCs w:val="28"/>
          <w:lang w:eastAsia="lv-LV"/>
        </w:rPr>
        <w:t xml:space="preserve"> Tiek uzsvērts, ka tieši ES Vienotā tirgus stiprināšanai ir jābūt prioritārajai ES jomai turpmākajos gados, lai nodrošinātu un veicinātu ES konkurētspēju globālā mērogā.</w:t>
      </w:r>
    </w:p>
    <w:p w:rsidRPr="00092517" w:rsidR="00E823AC" w:rsidP="003C7C61" w:rsidRDefault="00E823AC" w14:paraId="28D83BF3" w14:textId="45AB6EFB">
      <w:pPr>
        <w:spacing w:after="120"/>
        <w:ind w:firstLine="567"/>
        <w:rPr>
          <w:rFonts w:eastAsia="Times New Roman" w:cs="Times New Roman"/>
          <w:sz w:val="28"/>
          <w:szCs w:val="28"/>
          <w:lang w:eastAsia="lv-LV"/>
        </w:rPr>
      </w:pPr>
      <w:r>
        <w:rPr>
          <w:rFonts w:eastAsia="Times New Roman" w:cs="Times New Roman"/>
          <w:sz w:val="28"/>
          <w:szCs w:val="28"/>
          <w:lang w:eastAsia="lv-LV"/>
        </w:rPr>
        <w:t xml:space="preserve">Marta Eiropadomes secinājumos no dalībvalstu vadītāju puses īpaši tika uzsvērta pakalpojumu joma, digitālie jautājumi un barjeru novēršana kā prioritārie jautājumi, kam jāpievērš </w:t>
      </w:r>
      <w:r w:rsidR="00092517">
        <w:rPr>
          <w:rFonts w:eastAsia="Times New Roman" w:cs="Times New Roman"/>
          <w:sz w:val="28"/>
          <w:szCs w:val="28"/>
          <w:lang w:eastAsia="lv-LV"/>
        </w:rPr>
        <w:t xml:space="preserve">pastiprināta uzmanība </w:t>
      </w:r>
      <w:r>
        <w:rPr>
          <w:rFonts w:eastAsia="Times New Roman" w:cs="Times New Roman"/>
          <w:sz w:val="28"/>
          <w:szCs w:val="28"/>
          <w:lang w:eastAsia="lv-LV"/>
        </w:rPr>
        <w:t>turpmākā ES Vienotā tirgus stiprināšanā. Tāpat E</w:t>
      </w:r>
      <w:r w:rsidR="00BA426E">
        <w:rPr>
          <w:rFonts w:eastAsia="Times New Roman" w:cs="Times New Roman"/>
          <w:sz w:val="28"/>
          <w:szCs w:val="28"/>
          <w:lang w:eastAsia="lv-LV"/>
        </w:rPr>
        <w:t>K</w:t>
      </w:r>
      <w:r>
        <w:rPr>
          <w:rFonts w:eastAsia="Times New Roman" w:cs="Times New Roman"/>
          <w:sz w:val="28"/>
          <w:szCs w:val="28"/>
          <w:lang w:eastAsia="lv-LV"/>
        </w:rPr>
        <w:t xml:space="preserve"> sadarbībā ar dalībvalstīm tika aicināta izstrādāt ilgtermiņa darbības plānu labākai ES Vienotā tirgus noteikumu ieviešanai un izpildes nodrošināšanai</w:t>
      </w:r>
      <w:r w:rsidR="00092517">
        <w:rPr>
          <w:rFonts w:eastAsia="Times New Roman" w:cs="Times New Roman"/>
          <w:sz w:val="28"/>
          <w:szCs w:val="28"/>
          <w:lang w:eastAsia="lv-LV"/>
        </w:rPr>
        <w:t xml:space="preserve"> līdz 2020. gada martam.</w:t>
      </w:r>
    </w:p>
    <w:p w:rsidRPr="00E65A40" w:rsidR="005D1C50" w:rsidP="00157118" w:rsidRDefault="00157118" w14:paraId="0A80AC27" w14:textId="2468F313">
      <w:pPr>
        <w:spacing w:after="120"/>
        <w:ind w:firstLine="567"/>
        <w:rPr>
          <w:rFonts w:eastAsia="Times New Roman" w:cs="Times New Roman"/>
          <w:sz w:val="28"/>
          <w:szCs w:val="28"/>
          <w:lang w:eastAsia="lv-LV"/>
        </w:rPr>
      </w:pPr>
      <w:r w:rsidRPr="00157118">
        <w:rPr>
          <w:rFonts w:eastAsia="Times New Roman" w:cs="Times New Roman"/>
          <w:sz w:val="28"/>
          <w:szCs w:val="28"/>
          <w:lang w:eastAsia="lv-LV"/>
        </w:rPr>
        <w:t xml:space="preserve">Šobrīd ekspertu līmenī notiek darbs pie </w:t>
      </w:r>
      <w:r w:rsidRPr="00157118">
        <w:rPr>
          <w:rFonts w:eastAsia="Times New Roman" w:cs="Times New Roman"/>
          <w:i/>
          <w:sz w:val="28"/>
          <w:szCs w:val="28"/>
          <w:lang w:eastAsia="lv-LV"/>
        </w:rPr>
        <w:t>ES Padomes secinājumu projekta par jaunu mērķtiecīgāku pieeju konkurētspējīgam ES Vienotajam tirgum</w:t>
      </w:r>
      <w:r>
        <w:rPr>
          <w:rFonts w:eastAsia="Times New Roman" w:cs="Times New Roman"/>
          <w:sz w:val="28"/>
          <w:szCs w:val="28"/>
          <w:lang w:eastAsia="lv-LV"/>
        </w:rPr>
        <w:t xml:space="preserve">, kas </w:t>
      </w:r>
      <w:r w:rsidRPr="00157118">
        <w:rPr>
          <w:rFonts w:eastAsia="Times New Roman" w:cs="Times New Roman"/>
          <w:sz w:val="28"/>
          <w:szCs w:val="28"/>
          <w:lang w:eastAsia="lv-LV"/>
        </w:rPr>
        <w:t>snieg</w:t>
      </w:r>
      <w:r>
        <w:rPr>
          <w:rFonts w:eastAsia="Times New Roman" w:cs="Times New Roman"/>
          <w:sz w:val="28"/>
          <w:szCs w:val="28"/>
          <w:lang w:eastAsia="lv-LV"/>
        </w:rPr>
        <w:t>s</w:t>
      </w:r>
      <w:r w:rsidRPr="00157118">
        <w:rPr>
          <w:rFonts w:eastAsia="Times New Roman" w:cs="Times New Roman"/>
          <w:sz w:val="28"/>
          <w:szCs w:val="28"/>
          <w:lang w:eastAsia="lv-LV"/>
        </w:rPr>
        <w:t xml:space="preserve"> Padomes priekšlikumus un norādījumus ES Vienotā tirgus stiprināšanai nākamās E</w:t>
      </w:r>
      <w:r w:rsidR="00AF0E9D">
        <w:rPr>
          <w:rFonts w:eastAsia="Times New Roman" w:cs="Times New Roman"/>
          <w:sz w:val="28"/>
          <w:szCs w:val="28"/>
          <w:lang w:eastAsia="lv-LV"/>
        </w:rPr>
        <w:t>K</w:t>
      </w:r>
      <w:r w:rsidRPr="00157118">
        <w:rPr>
          <w:rFonts w:eastAsia="Times New Roman" w:cs="Times New Roman"/>
          <w:sz w:val="28"/>
          <w:szCs w:val="28"/>
          <w:lang w:eastAsia="lv-LV"/>
        </w:rPr>
        <w:t xml:space="preserve"> </w:t>
      </w:r>
      <w:proofErr w:type="spellStart"/>
      <w:r w:rsidRPr="00157118">
        <w:rPr>
          <w:rFonts w:eastAsia="Times New Roman" w:cs="Times New Roman"/>
          <w:sz w:val="28"/>
          <w:szCs w:val="28"/>
          <w:lang w:eastAsia="lv-LV"/>
        </w:rPr>
        <w:t>sasaukumam</w:t>
      </w:r>
      <w:proofErr w:type="spellEnd"/>
      <w:r w:rsidRPr="00157118">
        <w:rPr>
          <w:rFonts w:eastAsia="Times New Roman" w:cs="Times New Roman"/>
          <w:sz w:val="28"/>
          <w:szCs w:val="28"/>
          <w:lang w:eastAsia="lv-LV"/>
        </w:rPr>
        <w:t xml:space="preserve"> un darba programmai</w:t>
      </w:r>
      <w:r>
        <w:rPr>
          <w:rFonts w:eastAsia="Times New Roman" w:cs="Times New Roman"/>
          <w:sz w:val="28"/>
          <w:szCs w:val="28"/>
          <w:lang w:eastAsia="lv-LV"/>
        </w:rPr>
        <w:t xml:space="preserve">. ES Padomes secinājumus </w:t>
      </w:r>
      <w:r w:rsidRPr="002D697B" w:rsidR="005D1C50">
        <w:rPr>
          <w:rFonts w:eastAsia="Times New Roman" w:cs="Times New Roman"/>
          <w:sz w:val="28"/>
          <w:szCs w:val="28"/>
          <w:lang w:eastAsia="lv-LV"/>
        </w:rPr>
        <w:t>plānots apstiprināt 2019.</w:t>
      </w:r>
      <w:r w:rsidR="005D1C50">
        <w:rPr>
          <w:rFonts w:eastAsia="Times New Roman" w:cs="Times New Roman"/>
          <w:sz w:val="28"/>
          <w:szCs w:val="28"/>
          <w:lang w:eastAsia="lv-LV"/>
        </w:rPr>
        <w:t xml:space="preserve"> </w:t>
      </w:r>
      <w:r w:rsidRPr="002D697B" w:rsidR="005D1C50">
        <w:rPr>
          <w:rFonts w:eastAsia="Times New Roman" w:cs="Times New Roman"/>
          <w:sz w:val="28"/>
          <w:szCs w:val="28"/>
          <w:lang w:eastAsia="lv-LV"/>
        </w:rPr>
        <w:t>gada 27.</w:t>
      </w:r>
      <w:r w:rsidR="005D1C50">
        <w:rPr>
          <w:rFonts w:eastAsia="Times New Roman" w:cs="Times New Roman"/>
          <w:sz w:val="28"/>
          <w:szCs w:val="28"/>
          <w:lang w:eastAsia="lv-LV"/>
        </w:rPr>
        <w:t xml:space="preserve"> </w:t>
      </w:r>
      <w:r w:rsidRPr="002D697B" w:rsidR="005D1C50">
        <w:rPr>
          <w:rFonts w:eastAsia="Times New Roman" w:cs="Times New Roman"/>
          <w:sz w:val="28"/>
          <w:szCs w:val="28"/>
          <w:lang w:eastAsia="lv-LV"/>
        </w:rPr>
        <w:t>maija ES Konkurētspējas ministru sanāksmē.</w:t>
      </w:r>
    </w:p>
    <w:p w:rsidR="0075610A" w:rsidP="00853597" w:rsidRDefault="005D1C50" w14:paraId="0559039A" w14:textId="77777777">
      <w:pPr>
        <w:spacing w:after="120"/>
        <w:ind w:firstLine="567"/>
        <w:rPr>
          <w:sz w:val="28"/>
          <w:szCs w:val="28"/>
        </w:rPr>
      </w:pPr>
      <w:r>
        <w:rPr>
          <w:rFonts w:eastAsia="Times New Roman" w:cs="Times New Roman"/>
          <w:sz w:val="28"/>
          <w:szCs w:val="28"/>
          <w:lang w:eastAsia="lv-LV"/>
        </w:rPr>
        <w:lastRenderedPageBreak/>
        <w:t>Secinājumu projektā pausts, ka</w:t>
      </w:r>
      <w:r w:rsidRPr="00E65A40">
        <w:rPr>
          <w:rFonts w:eastAsia="Times New Roman" w:cs="Times New Roman"/>
          <w:sz w:val="28"/>
          <w:szCs w:val="28"/>
          <w:lang w:eastAsia="lv-LV"/>
        </w:rPr>
        <w:t xml:space="preserve"> </w:t>
      </w:r>
      <w:r w:rsidRPr="002D697B">
        <w:rPr>
          <w:rFonts w:eastAsia="Times New Roman" w:cs="Times New Roman"/>
          <w:sz w:val="28"/>
          <w:szCs w:val="28"/>
          <w:lang w:eastAsia="lv-LV"/>
        </w:rPr>
        <w:t>ES Vienotaja</w:t>
      </w:r>
      <w:r w:rsidR="00686A39">
        <w:rPr>
          <w:rFonts w:eastAsia="Times New Roman" w:cs="Times New Roman"/>
          <w:sz w:val="28"/>
          <w:szCs w:val="28"/>
          <w:lang w:eastAsia="lv-LV"/>
        </w:rPr>
        <w:t>m</w:t>
      </w:r>
      <w:r w:rsidRPr="002D697B">
        <w:rPr>
          <w:rFonts w:eastAsia="Times New Roman" w:cs="Times New Roman"/>
          <w:sz w:val="28"/>
          <w:szCs w:val="28"/>
          <w:lang w:eastAsia="lv-LV"/>
        </w:rPr>
        <w:t xml:space="preserve">  tirgum ir nepieciešama jauna stratēģija, lai ES</w:t>
      </w:r>
      <w:r>
        <w:rPr>
          <w:rFonts w:eastAsia="Times New Roman" w:cs="Times New Roman"/>
          <w:sz w:val="28"/>
          <w:szCs w:val="28"/>
          <w:lang w:eastAsia="lv-LV"/>
        </w:rPr>
        <w:t xml:space="preserve"> </w:t>
      </w:r>
      <w:r w:rsidRPr="002D697B">
        <w:rPr>
          <w:rFonts w:eastAsia="Times New Roman" w:cs="Times New Roman"/>
          <w:sz w:val="28"/>
          <w:szCs w:val="28"/>
          <w:lang w:eastAsia="lv-LV"/>
        </w:rPr>
        <w:t>Vienotais tirgus būtu konkurētspējīgs globālo, tehnoloģisko, drošības un ilgtspējības izaicinājumu priekšā.</w:t>
      </w:r>
      <w:r>
        <w:rPr>
          <w:rFonts w:eastAsia="Times New Roman" w:cs="Times New Roman"/>
          <w:sz w:val="28"/>
          <w:szCs w:val="28"/>
          <w:lang w:eastAsia="lv-LV"/>
        </w:rPr>
        <w:t xml:space="preserve"> </w:t>
      </w:r>
      <w:r w:rsidRPr="002D697B">
        <w:rPr>
          <w:rFonts w:eastAsia="Times New Roman" w:cs="Times New Roman"/>
          <w:sz w:val="28"/>
          <w:szCs w:val="28"/>
          <w:lang w:eastAsia="lv-LV"/>
        </w:rPr>
        <w:t>Līdz ar to ir nepieciešama atjaunota</w:t>
      </w:r>
      <w:r>
        <w:rPr>
          <w:rFonts w:eastAsia="Times New Roman" w:cs="Times New Roman"/>
          <w:sz w:val="28"/>
          <w:szCs w:val="28"/>
          <w:lang w:eastAsia="lv-LV"/>
        </w:rPr>
        <w:t xml:space="preserve"> </w:t>
      </w:r>
      <w:r w:rsidRPr="002D697B">
        <w:rPr>
          <w:rFonts w:eastAsia="Times New Roman" w:cs="Times New Roman"/>
          <w:sz w:val="28"/>
          <w:szCs w:val="28"/>
          <w:lang w:eastAsia="lv-LV"/>
        </w:rPr>
        <w:t>apņemšanās no ES dalībvalstu un ES institūciju puses strādāt pie ES Vienotā tirgus stiprināšanas. Turpmākajai ES Vienotā tirgus politikai ir jābūt integrētai un uz nākotni vērstai, nodrošinot veiksmīgu pāreju uz digitālu, visaptverošu, ģeogrāfiski balansētu un ilgtspējīgu Eiropu.</w:t>
      </w:r>
      <w:r>
        <w:rPr>
          <w:rFonts w:eastAsia="Times New Roman" w:cs="Times New Roman"/>
          <w:sz w:val="28"/>
          <w:szCs w:val="28"/>
          <w:lang w:eastAsia="lv-LV"/>
        </w:rPr>
        <w:t xml:space="preserve"> </w:t>
      </w:r>
      <w:r w:rsidRPr="002D697B">
        <w:rPr>
          <w:rFonts w:eastAsia="Times New Roman" w:cs="Times New Roman"/>
          <w:sz w:val="28"/>
          <w:szCs w:val="28"/>
          <w:lang w:eastAsia="lv-LV"/>
        </w:rPr>
        <w:t>ES uzņēmējdarbības videi ir jābūt atvērtai</w:t>
      </w:r>
      <w:r>
        <w:rPr>
          <w:rFonts w:eastAsia="Times New Roman" w:cs="Times New Roman"/>
          <w:sz w:val="28"/>
          <w:szCs w:val="28"/>
          <w:lang w:eastAsia="lv-LV"/>
        </w:rPr>
        <w:t xml:space="preserve"> </w:t>
      </w:r>
      <w:r w:rsidRPr="002D697B">
        <w:rPr>
          <w:rFonts w:eastAsia="Times New Roman" w:cs="Times New Roman"/>
          <w:sz w:val="28"/>
          <w:szCs w:val="28"/>
          <w:lang w:eastAsia="lv-LV"/>
        </w:rPr>
        <w:t>investīcijām, inovācijām un uzņēmējdarbībai</w:t>
      </w:r>
      <w:r>
        <w:rPr>
          <w:rFonts w:eastAsia="Times New Roman" w:cs="Times New Roman"/>
          <w:sz w:val="28"/>
          <w:szCs w:val="28"/>
          <w:lang w:eastAsia="lv-LV"/>
        </w:rPr>
        <w:t xml:space="preserve"> </w:t>
      </w:r>
      <w:r w:rsidRPr="002D697B">
        <w:rPr>
          <w:rFonts w:eastAsia="Times New Roman" w:cs="Times New Roman"/>
          <w:sz w:val="28"/>
          <w:szCs w:val="28"/>
          <w:lang w:eastAsia="lv-LV"/>
        </w:rPr>
        <w:t>dažādiem biznesa modeļiem.</w:t>
      </w:r>
      <w:r w:rsidR="00670BB2">
        <w:rPr>
          <w:rFonts w:eastAsia="Times New Roman" w:cs="Times New Roman"/>
          <w:sz w:val="28"/>
          <w:szCs w:val="28"/>
          <w:lang w:eastAsia="lv-LV"/>
        </w:rPr>
        <w:t xml:space="preserve"> P</w:t>
      </w:r>
      <w:r w:rsidRPr="00670BB2" w:rsidR="00670BB2">
        <w:rPr>
          <w:rFonts w:eastAsia="Times New Roman" w:cs="Times New Roman"/>
          <w:sz w:val="28"/>
          <w:szCs w:val="28"/>
          <w:lang w:eastAsia="lv-LV"/>
        </w:rPr>
        <w:t xml:space="preserve">astiprinātu uzmanību </w:t>
      </w:r>
      <w:r w:rsidR="00670BB2">
        <w:rPr>
          <w:rFonts w:eastAsia="Times New Roman" w:cs="Times New Roman"/>
          <w:sz w:val="28"/>
          <w:szCs w:val="28"/>
          <w:lang w:eastAsia="lv-LV"/>
        </w:rPr>
        <w:t xml:space="preserve">ir jāvelta </w:t>
      </w:r>
      <w:r w:rsidRPr="00670BB2" w:rsidR="00670BB2">
        <w:rPr>
          <w:rFonts w:eastAsia="Times New Roman" w:cs="Times New Roman"/>
          <w:sz w:val="28"/>
          <w:szCs w:val="28"/>
          <w:lang w:eastAsia="lv-LV"/>
        </w:rPr>
        <w:t>pakalpojumu sektora integrācijai, ieskaitot ražošanas jomu un pakalpojumu intensifikāciju ražošanas vērtību ķēdēs.</w:t>
      </w:r>
      <w:r w:rsidRPr="00670BB2" w:rsidR="00670BB2">
        <w:t xml:space="preserve"> </w:t>
      </w:r>
      <w:r w:rsidRPr="00670BB2" w:rsidR="00670BB2">
        <w:rPr>
          <w:rFonts w:eastAsia="Times New Roman" w:cs="Times New Roman"/>
          <w:sz w:val="28"/>
          <w:szCs w:val="28"/>
          <w:lang w:eastAsia="lv-LV"/>
        </w:rPr>
        <w:t xml:space="preserve">Svarīga ir pieejamo instrumentu efektīva izmantošana, tajā skaitā harmonizācijas un savstarpējās atzīšanas. </w:t>
      </w:r>
      <w:proofErr w:type="spellStart"/>
      <w:r w:rsidR="00670BB2">
        <w:rPr>
          <w:rFonts w:eastAsia="Times New Roman" w:cs="Times New Roman"/>
          <w:sz w:val="28"/>
          <w:szCs w:val="28"/>
          <w:lang w:eastAsia="lv-LV"/>
        </w:rPr>
        <w:t>D</w:t>
      </w:r>
      <w:r w:rsidRPr="00670BB2" w:rsidR="00670BB2">
        <w:rPr>
          <w:rFonts w:eastAsia="Times New Roman" w:cs="Times New Roman"/>
          <w:sz w:val="28"/>
          <w:szCs w:val="28"/>
          <w:lang w:eastAsia="lv-LV"/>
        </w:rPr>
        <w:t>igitalizācija</w:t>
      </w:r>
      <w:proofErr w:type="spellEnd"/>
      <w:r w:rsidRPr="00670BB2" w:rsidR="00670BB2">
        <w:rPr>
          <w:rFonts w:eastAsia="Times New Roman" w:cs="Times New Roman"/>
          <w:sz w:val="28"/>
          <w:szCs w:val="28"/>
          <w:lang w:eastAsia="lv-LV"/>
        </w:rPr>
        <w:t xml:space="preserve"> ir veids kā panākt vairāk integrētu ES Vienoto tirgu</w:t>
      </w:r>
      <w:r w:rsidR="00670BB2">
        <w:rPr>
          <w:rFonts w:eastAsia="Times New Roman" w:cs="Times New Roman"/>
          <w:sz w:val="28"/>
          <w:szCs w:val="28"/>
          <w:lang w:eastAsia="lv-LV"/>
        </w:rPr>
        <w:t>, tāpēc tai ir jāvelta prioritāra uzmanība un d</w:t>
      </w:r>
      <w:r w:rsidRPr="00670BB2" w:rsidR="00670BB2">
        <w:rPr>
          <w:rFonts w:eastAsia="Times New Roman" w:cs="Times New Roman"/>
          <w:sz w:val="28"/>
          <w:szCs w:val="28"/>
          <w:lang w:eastAsia="lv-LV"/>
        </w:rPr>
        <w:t>igitālajiem jautājumiem jābūt horizontāli atspoguļotiem visās politikas jomās. ES regulējumam ir jābūt orientētam uz nākotni un jāņem vērā digitālie izaicinājumi, lai sekmētu inovācijas, jaunas tehnoloģijas un biznesa modeļus, tāpat jānodrošina efektīvāki publiskie pakalpojumi, kas samazin</w:t>
      </w:r>
      <w:r w:rsidR="00670BB2">
        <w:rPr>
          <w:rFonts w:eastAsia="Times New Roman" w:cs="Times New Roman"/>
          <w:sz w:val="28"/>
          <w:szCs w:val="28"/>
          <w:lang w:eastAsia="lv-LV"/>
        </w:rPr>
        <w:t>ātu</w:t>
      </w:r>
      <w:r w:rsidRPr="00670BB2" w:rsidR="00670BB2">
        <w:rPr>
          <w:rFonts w:eastAsia="Times New Roman" w:cs="Times New Roman"/>
          <w:sz w:val="28"/>
          <w:szCs w:val="28"/>
          <w:lang w:eastAsia="lv-LV"/>
        </w:rPr>
        <w:t xml:space="preserve"> administratīvo slogu.</w:t>
      </w:r>
      <w:r w:rsidR="00724E34">
        <w:rPr>
          <w:rFonts w:eastAsia="Times New Roman" w:cs="Times New Roman"/>
          <w:sz w:val="28"/>
          <w:szCs w:val="28"/>
          <w:lang w:eastAsia="lv-LV"/>
        </w:rPr>
        <w:t xml:space="preserve"> </w:t>
      </w:r>
      <w:r w:rsidR="0075610A">
        <w:rPr>
          <w:rFonts w:eastAsia="Times New Roman" w:cs="Times New Roman"/>
          <w:sz w:val="28"/>
          <w:szCs w:val="28"/>
          <w:lang w:eastAsia="lv-LV"/>
        </w:rPr>
        <w:t>Diskusijai ir izvirzīts sekojošs jautājums:</w:t>
      </w:r>
    </w:p>
    <w:p w:rsidRPr="00853597" w:rsidR="00853597" w:rsidP="005B0ACA" w:rsidRDefault="00853597" w14:paraId="42EBDD99" w14:textId="77777777">
      <w:pPr>
        <w:pStyle w:val="ListParagraph"/>
        <w:numPr>
          <w:ilvl w:val="0"/>
          <w:numId w:val="41"/>
        </w:numPr>
        <w:spacing w:after="120"/>
        <w:rPr>
          <w:i/>
          <w:sz w:val="28"/>
          <w:szCs w:val="28"/>
        </w:rPr>
      </w:pPr>
      <w:r>
        <w:rPr>
          <w:i/>
          <w:sz w:val="28"/>
          <w:szCs w:val="28"/>
        </w:rPr>
        <w:t xml:space="preserve">Kādi instrumenti un pasākumi </w:t>
      </w:r>
      <w:r w:rsidR="00DF742B">
        <w:rPr>
          <w:i/>
          <w:sz w:val="28"/>
          <w:szCs w:val="28"/>
        </w:rPr>
        <w:t>nacionālajā un ES līmenī varētu uzlabot Vienotā tirgus noteikumu iedzīvināšanu un pielietojumu, tādējādi spēcinot ES rūpniecības un stratēģisko vērtību-ķēžu globālo konkurētspēju?</w:t>
      </w:r>
    </w:p>
    <w:p w:rsidR="00791790" w:rsidP="00791790" w:rsidRDefault="00791790" w14:paraId="6DA10854" w14:textId="77777777">
      <w:pPr>
        <w:spacing w:after="120"/>
        <w:ind w:firstLine="567"/>
        <w:rPr>
          <w:sz w:val="28"/>
          <w:szCs w:val="28"/>
        </w:rPr>
      </w:pPr>
      <w:r w:rsidRPr="005132F1">
        <w:rPr>
          <w:b/>
          <w:sz w:val="28"/>
          <w:szCs w:val="28"/>
        </w:rPr>
        <w:t>Latvijas nostāja</w:t>
      </w:r>
      <w:r w:rsidR="002E37FC">
        <w:rPr>
          <w:rStyle w:val="FootnoteReference"/>
          <w:b/>
          <w:sz w:val="28"/>
          <w:szCs w:val="28"/>
        </w:rPr>
        <w:footnoteReference w:id="3"/>
      </w:r>
    </w:p>
    <w:p w:rsidR="00CF1C44" w:rsidP="00CF1C44" w:rsidRDefault="00CF1C44" w14:paraId="294981A1" w14:textId="77777777">
      <w:pPr>
        <w:spacing w:after="120"/>
        <w:ind w:firstLine="562"/>
        <w:rPr>
          <w:sz w:val="28"/>
          <w:szCs w:val="28"/>
        </w:rPr>
      </w:pPr>
      <w:r w:rsidRPr="00CF1C44">
        <w:rPr>
          <w:sz w:val="28"/>
          <w:szCs w:val="28"/>
        </w:rPr>
        <w:t xml:space="preserve">ES Vienotā tirgus attīstība un funkcionēšana attiecībā uz preču, pakalpojumu, personu un kapitāla brīvu kustību Latvijai ir nozīmīga, jo ES Vienotais tirgus ir Latvijas lielākais eksporta un importa tirgus. </w:t>
      </w:r>
      <w:r w:rsidR="007A7A8A">
        <w:rPr>
          <w:sz w:val="28"/>
          <w:szCs w:val="28"/>
        </w:rPr>
        <w:t xml:space="preserve">Tiek </w:t>
      </w:r>
      <w:r w:rsidRPr="00CF1C44">
        <w:rPr>
          <w:sz w:val="28"/>
          <w:szCs w:val="28"/>
        </w:rPr>
        <w:t>lēsts, ka, novēršot ne-tarifu barjeras preču tirdzniecībā, Latvijas IKP potenciālais pieaugums varētu sasniegt papildus 3%, savukārt tirdzniecības apjoms palielinātos par 9,19%.</w:t>
      </w:r>
      <w:r w:rsidR="00C55EF6">
        <w:rPr>
          <w:rStyle w:val="FootnoteReference"/>
          <w:sz w:val="28"/>
          <w:szCs w:val="28"/>
        </w:rPr>
        <w:footnoteReference w:id="4"/>
      </w:r>
      <w:r w:rsidRPr="00805DEA" w:rsidR="00805DEA">
        <w:t xml:space="preserve"> </w:t>
      </w:r>
      <w:r w:rsidRPr="00805DEA" w:rsidR="00805DEA">
        <w:rPr>
          <w:sz w:val="28"/>
          <w:szCs w:val="28"/>
        </w:rPr>
        <w:t>Tādējādi Latvijai ir ļoti būtiski, lai ES Vienotā tirgus politika veicinātu uzņēmumu konkurētspēju, mazinot šķēršļus ES iekšējā tirgū un veidojot tādus priekšnoteikumus, kas nodrošinātu veiksmīgu pārrobežu sadarbību.</w:t>
      </w:r>
    </w:p>
    <w:p w:rsidR="005E6A0A" w:rsidP="007C5E67" w:rsidRDefault="004B6471" w14:paraId="62A022CC" w14:textId="03A56F46">
      <w:pPr>
        <w:spacing w:after="120"/>
        <w:ind w:firstLine="562"/>
        <w:rPr>
          <w:bCs/>
          <w:sz w:val="28"/>
          <w:szCs w:val="28"/>
        </w:rPr>
      </w:pPr>
      <w:r w:rsidRPr="004B6471">
        <w:rPr>
          <w:bCs/>
          <w:sz w:val="28"/>
          <w:szCs w:val="28"/>
        </w:rPr>
        <w:t xml:space="preserve">Latvijai ir svarīgi, ka </w:t>
      </w:r>
      <w:r w:rsidR="00805DEA">
        <w:rPr>
          <w:bCs/>
          <w:sz w:val="28"/>
          <w:szCs w:val="28"/>
        </w:rPr>
        <w:t xml:space="preserve">ES Vienotā tirgus politikas jomā </w:t>
      </w:r>
      <w:r w:rsidRPr="004B6471">
        <w:rPr>
          <w:bCs/>
          <w:sz w:val="28"/>
          <w:szCs w:val="28"/>
        </w:rPr>
        <w:t>tiek noteikti</w:t>
      </w:r>
      <w:r>
        <w:rPr>
          <w:bCs/>
          <w:sz w:val="28"/>
          <w:szCs w:val="28"/>
        </w:rPr>
        <w:t xml:space="preserve"> </w:t>
      </w:r>
      <w:r w:rsidRPr="004B6471">
        <w:rPr>
          <w:bCs/>
          <w:sz w:val="28"/>
          <w:szCs w:val="28"/>
        </w:rPr>
        <w:t>skaidri uzdevumi un uzstādījumi, lai pēc iespējas efektīvāk un rezultatīvāk veicinātu ES</w:t>
      </w:r>
      <w:r>
        <w:rPr>
          <w:bCs/>
          <w:sz w:val="28"/>
          <w:szCs w:val="28"/>
        </w:rPr>
        <w:t xml:space="preserve"> </w:t>
      </w:r>
      <w:r w:rsidRPr="004B6471">
        <w:rPr>
          <w:bCs/>
          <w:sz w:val="28"/>
          <w:szCs w:val="28"/>
        </w:rPr>
        <w:t>Vienotā tirgus politikas</w:t>
      </w:r>
      <w:r>
        <w:rPr>
          <w:bCs/>
          <w:sz w:val="28"/>
          <w:szCs w:val="28"/>
        </w:rPr>
        <w:t xml:space="preserve"> </w:t>
      </w:r>
      <w:r w:rsidRPr="004B6471">
        <w:rPr>
          <w:bCs/>
          <w:sz w:val="28"/>
          <w:szCs w:val="28"/>
        </w:rPr>
        <w:t>mērķu</w:t>
      </w:r>
      <w:r>
        <w:rPr>
          <w:bCs/>
          <w:sz w:val="28"/>
          <w:szCs w:val="28"/>
        </w:rPr>
        <w:t xml:space="preserve"> </w:t>
      </w:r>
      <w:r w:rsidRPr="004B6471">
        <w:rPr>
          <w:bCs/>
          <w:sz w:val="28"/>
          <w:szCs w:val="28"/>
        </w:rPr>
        <w:t>sasniegšanu</w:t>
      </w:r>
      <w:r>
        <w:rPr>
          <w:bCs/>
          <w:sz w:val="28"/>
          <w:szCs w:val="28"/>
        </w:rPr>
        <w:t xml:space="preserve"> </w:t>
      </w:r>
      <w:r w:rsidRPr="004B6471">
        <w:rPr>
          <w:bCs/>
          <w:sz w:val="28"/>
          <w:szCs w:val="28"/>
        </w:rPr>
        <w:t xml:space="preserve">un nodrošinātu atbilstošu, fokusētu, </w:t>
      </w:r>
      <w:r w:rsidRPr="004B6471">
        <w:rPr>
          <w:bCs/>
          <w:sz w:val="28"/>
          <w:szCs w:val="28"/>
        </w:rPr>
        <w:lastRenderedPageBreak/>
        <w:t>apņēmīgu un koordinētu rīcību pasākumu īstenošanā.</w:t>
      </w:r>
      <w:r w:rsidR="00B747F4">
        <w:rPr>
          <w:bCs/>
          <w:sz w:val="28"/>
          <w:szCs w:val="28"/>
        </w:rPr>
        <w:t xml:space="preserve"> </w:t>
      </w:r>
      <w:r w:rsidRPr="005E6A0A" w:rsidR="005E6A0A">
        <w:rPr>
          <w:bCs/>
          <w:sz w:val="28"/>
          <w:szCs w:val="28"/>
        </w:rPr>
        <w:t>ES Vienotā tirgus stiprināšanai</w:t>
      </w:r>
      <w:r w:rsidR="005E6A0A">
        <w:rPr>
          <w:bCs/>
          <w:sz w:val="28"/>
          <w:szCs w:val="28"/>
        </w:rPr>
        <w:t xml:space="preserve"> </w:t>
      </w:r>
      <w:r w:rsidRPr="005E6A0A" w:rsidR="005E6A0A">
        <w:rPr>
          <w:bCs/>
          <w:sz w:val="28"/>
          <w:szCs w:val="28"/>
        </w:rPr>
        <w:t xml:space="preserve">ir jābūt nākamās </w:t>
      </w:r>
      <w:r w:rsidR="00B457DB">
        <w:rPr>
          <w:bCs/>
          <w:sz w:val="28"/>
          <w:szCs w:val="28"/>
        </w:rPr>
        <w:t>EK</w:t>
      </w:r>
      <w:r w:rsidRPr="005E6A0A" w:rsidR="005E6A0A">
        <w:rPr>
          <w:bCs/>
          <w:sz w:val="28"/>
          <w:szCs w:val="28"/>
        </w:rPr>
        <w:t xml:space="preserve"> mandāta prioritātei. ES Vienotā tirgus stiprināšana ir pastāvīgs process,</w:t>
      </w:r>
      <w:r w:rsidR="007C5127">
        <w:rPr>
          <w:bCs/>
          <w:sz w:val="28"/>
          <w:szCs w:val="28"/>
        </w:rPr>
        <w:t xml:space="preserve"> </w:t>
      </w:r>
      <w:r w:rsidRPr="005E6A0A" w:rsidR="005E6A0A">
        <w:rPr>
          <w:bCs/>
          <w:sz w:val="28"/>
          <w:szCs w:val="28"/>
        </w:rPr>
        <w:t xml:space="preserve">kam nepieciešama gan </w:t>
      </w:r>
      <w:proofErr w:type="spellStart"/>
      <w:r w:rsidRPr="005E6A0A" w:rsidR="005E6A0A">
        <w:rPr>
          <w:bCs/>
          <w:sz w:val="28"/>
          <w:szCs w:val="28"/>
        </w:rPr>
        <w:t>sektorāla</w:t>
      </w:r>
      <w:proofErr w:type="spellEnd"/>
      <w:r w:rsidRPr="005E6A0A" w:rsidR="005E6A0A">
        <w:rPr>
          <w:bCs/>
          <w:sz w:val="28"/>
          <w:szCs w:val="28"/>
        </w:rPr>
        <w:t>, gan arī horizontāla pieeja dažādos līmeņos (ES un nacionālajā līmenī), lai nodrošinātu ES Vienotā tirgus izaugsmi un turpmāku attīstību.</w:t>
      </w:r>
      <w:r w:rsidR="005E6A0A">
        <w:rPr>
          <w:bCs/>
          <w:sz w:val="28"/>
          <w:szCs w:val="28"/>
        </w:rPr>
        <w:t xml:space="preserve"> </w:t>
      </w:r>
      <w:r w:rsidRPr="005E6A0A" w:rsidR="005E6A0A">
        <w:rPr>
          <w:bCs/>
          <w:sz w:val="28"/>
          <w:szCs w:val="28"/>
        </w:rPr>
        <w:t xml:space="preserve">Latvija būtu atvērta jaunas ES Vienotā tirgus stratēģijas vai pieejas meklēšanai, </w:t>
      </w:r>
      <w:r w:rsidR="00921B56">
        <w:rPr>
          <w:bCs/>
          <w:sz w:val="28"/>
          <w:szCs w:val="28"/>
        </w:rPr>
        <w:t>lai novērstu</w:t>
      </w:r>
      <w:r w:rsidRPr="005E6A0A" w:rsidR="005E6A0A">
        <w:rPr>
          <w:bCs/>
          <w:sz w:val="28"/>
          <w:szCs w:val="28"/>
        </w:rPr>
        <w:t xml:space="preserve"> dalībvalstu dalī</w:t>
      </w:r>
      <w:r w:rsidR="00805DEA">
        <w:rPr>
          <w:bCs/>
          <w:sz w:val="28"/>
          <w:szCs w:val="28"/>
        </w:rPr>
        <w:t>šanos</w:t>
      </w:r>
      <w:r w:rsidRPr="005E6A0A" w:rsidR="005E6A0A">
        <w:rPr>
          <w:bCs/>
          <w:sz w:val="28"/>
          <w:szCs w:val="28"/>
        </w:rPr>
        <w:t xml:space="preserve"> blokos</w:t>
      </w:r>
      <w:r w:rsidR="00805DEA">
        <w:rPr>
          <w:bCs/>
          <w:sz w:val="28"/>
          <w:szCs w:val="28"/>
        </w:rPr>
        <w:t>, ka</w:t>
      </w:r>
      <w:r w:rsidR="00921B56">
        <w:rPr>
          <w:bCs/>
          <w:sz w:val="28"/>
          <w:szCs w:val="28"/>
        </w:rPr>
        <w:t>s</w:t>
      </w:r>
      <w:r w:rsidR="00805DEA">
        <w:rPr>
          <w:bCs/>
          <w:sz w:val="28"/>
          <w:szCs w:val="28"/>
        </w:rPr>
        <w:t xml:space="preserve"> notiek darb</w:t>
      </w:r>
      <w:r w:rsidR="00921B56">
        <w:rPr>
          <w:bCs/>
          <w:sz w:val="28"/>
          <w:szCs w:val="28"/>
        </w:rPr>
        <w:t>ā</w:t>
      </w:r>
      <w:r w:rsidR="00805DEA">
        <w:rPr>
          <w:bCs/>
          <w:sz w:val="28"/>
          <w:szCs w:val="28"/>
        </w:rPr>
        <w:t xml:space="preserve"> pie ES līmeņa regulējuma vai politiku izstrādes</w:t>
      </w:r>
      <w:r w:rsidRPr="005E6A0A" w:rsidR="005E6A0A">
        <w:rPr>
          <w:bCs/>
          <w:sz w:val="28"/>
          <w:szCs w:val="28"/>
        </w:rPr>
        <w:t>.</w:t>
      </w:r>
      <w:r w:rsidR="00724E34">
        <w:rPr>
          <w:bCs/>
          <w:sz w:val="28"/>
          <w:szCs w:val="28"/>
        </w:rPr>
        <w:t xml:space="preserve"> </w:t>
      </w:r>
      <w:r w:rsidRPr="005E6A0A" w:rsidR="005E6A0A">
        <w:rPr>
          <w:bCs/>
          <w:sz w:val="28"/>
          <w:szCs w:val="28"/>
        </w:rPr>
        <w:t>Latvija norāda, ka īpaša</w:t>
      </w:r>
      <w:r w:rsidR="005E6A0A">
        <w:rPr>
          <w:bCs/>
          <w:sz w:val="28"/>
          <w:szCs w:val="28"/>
        </w:rPr>
        <w:t xml:space="preserve"> </w:t>
      </w:r>
      <w:r w:rsidRPr="005E6A0A" w:rsidR="005E6A0A">
        <w:rPr>
          <w:bCs/>
          <w:sz w:val="28"/>
          <w:szCs w:val="28"/>
        </w:rPr>
        <w:t>uzmanība ir jāvelta ES Vienotā tirgus š</w:t>
      </w:r>
      <w:r w:rsidR="007C5127">
        <w:rPr>
          <w:bCs/>
          <w:sz w:val="28"/>
          <w:szCs w:val="28"/>
        </w:rPr>
        <w:t>ķ</w:t>
      </w:r>
      <w:r w:rsidRPr="005E6A0A" w:rsidR="005E6A0A">
        <w:rPr>
          <w:bCs/>
          <w:sz w:val="28"/>
          <w:szCs w:val="28"/>
        </w:rPr>
        <w:t>ēršļu</w:t>
      </w:r>
      <w:r w:rsidR="005E6A0A">
        <w:rPr>
          <w:bCs/>
          <w:sz w:val="28"/>
          <w:szCs w:val="28"/>
        </w:rPr>
        <w:t xml:space="preserve"> </w:t>
      </w:r>
      <w:r w:rsidRPr="005E6A0A" w:rsidR="005E6A0A">
        <w:rPr>
          <w:bCs/>
          <w:sz w:val="28"/>
          <w:szCs w:val="28"/>
        </w:rPr>
        <w:t>un barjeru novēršanai un mazināšanai, īpaši pakalpojumu jomā, kur ir liels potenciāls.</w:t>
      </w:r>
      <w:r w:rsidRPr="008810CE" w:rsidR="008810CE">
        <w:t xml:space="preserve"> </w:t>
      </w:r>
      <w:r w:rsidR="008810CE">
        <w:rPr>
          <w:bCs/>
          <w:sz w:val="28"/>
          <w:szCs w:val="28"/>
        </w:rPr>
        <w:t>Jāveicina</w:t>
      </w:r>
      <w:r w:rsidRPr="008810CE" w:rsidR="008810CE">
        <w:rPr>
          <w:bCs/>
          <w:sz w:val="28"/>
          <w:szCs w:val="28"/>
        </w:rPr>
        <w:t xml:space="preserve"> pakalpojumu sektora </w:t>
      </w:r>
      <w:r w:rsidR="008810CE">
        <w:rPr>
          <w:bCs/>
          <w:sz w:val="28"/>
          <w:szCs w:val="28"/>
        </w:rPr>
        <w:t xml:space="preserve">ciešāka </w:t>
      </w:r>
      <w:r w:rsidRPr="008810CE" w:rsidR="008810CE">
        <w:rPr>
          <w:bCs/>
          <w:sz w:val="28"/>
          <w:szCs w:val="28"/>
        </w:rPr>
        <w:t xml:space="preserve">integrācija, </w:t>
      </w:r>
      <w:r w:rsidR="008810CE">
        <w:rPr>
          <w:bCs/>
          <w:sz w:val="28"/>
          <w:szCs w:val="28"/>
        </w:rPr>
        <w:t>tādējādi sekmējot arī rūpniecības konkurētspēju</w:t>
      </w:r>
      <w:r w:rsidRPr="008810CE" w:rsidR="008810CE">
        <w:rPr>
          <w:bCs/>
          <w:sz w:val="28"/>
          <w:szCs w:val="28"/>
        </w:rPr>
        <w:t xml:space="preserve"> un pakalpojumu intensifikāciju ražošanas vērtību ķēdēs. </w:t>
      </w:r>
      <w:r w:rsidRPr="005E6A0A" w:rsidR="005E6A0A">
        <w:rPr>
          <w:bCs/>
          <w:sz w:val="28"/>
          <w:szCs w:val="28"/>
        </w:rPr>
        <w:t xml:space="preserve"> Risinājumiem pakalpojumu jomā ir jābūt pielāgotiem konkrētās nozares un jomas specifikai, tāpēc sākotnēji būtu</w:t>
      </w:r>
      <w:r w:rsidR="005E6A0A">
        <w:rPr>
          <w:bCs/>
          <w:sz w:val="28"/>
          <w:szCs w:val="28"/>
        </w:rPr>
        <w:t xml:space="preserve"> </w:t>
      </w:r>
      <w:r w:rsidRPr="005E6A0A" w:rsidR="005E6A0A">
        <w:rPr>
          <w:bCs/>
          <w:sz w:val="28"/>
          <w:szCs w:val="28"/>
        </w:rPr>
        <w:t>jāveic detalizēts sektoru vai piegādes ķēžu izvērtējums.</w:t>
      </w:r>
    </w:p>
    <w:p w:rsidR="0079524B" w:rsidP="00A5455C" w:rsidRDefault="007C5127" w14:paraId="3463DF80" w14:textId="77777777">
      <w:pPr>
        <w:spacing w:after="120"/>
        <w:ind w:firstLine="562"/>
        <w:rPr>
          <w:bCs/>
          <w:sz w:val="28"/>
          <w:szCs w:val="28"/>
        </w:rPr>
      </w:pPr>
      <w:r w:rsidRPr="007C5127">
        <w:rPr>
          <w:bCs/>
          <w:sz w:val="28"/>
          <w:szCs w:val="28"/>
        </w:rPr>
        <w:t>Latvija</w:t>
      </w:r>
      <w:r w:rsidR="00C75BB7">
        <w:rPr>
          <w:bCs/>
          <w:sz w:val="28"/>
          <w:szCs w:val="28"/>
        </w:rPr>
        <w:t xml:space="preserve"> uzsver, ka turpmākā</w:t>
      </w:r>
      <w:r w:rsidRPr="007C5127">
        <w:rPr>
          <w:bCs/>
          <w:sz w:val="28"/>
          <w:szCs w:val="28"/>
        </w:rPr>
        <w:t xml:space="preserve"> ES Vienot</w:t>
      </w:r>
      <w:r w:rsidR="00C75BB7">
        <w:rPr>
          <w:bCs/>
          <w:sz w:val="28"/>
          <w:szCs w:val="28"/>
        </w:rPr>
        <w:t>ā</w:t>
      </w:r>
      <w:r w:rsidRPr="007C5127">
        <w:rPr>
          <w:bCs/>
          <w:sz w:val="28"/>
          <w:szCs w:val="28"/>
        </w:rPr>
        <w:t xml:space="preserve"> tirgu</w:t>
      </w:r>
      <w:r w:rsidR="00C75BB7">
        <w:rPr>
          <w:bCs/>
          <w:sz w:val="28"/>
          <w:szCs w:val="28"/>
        </w:rPr>
        <w:t>s stiprināšanā svarīga ir efektīva</w:t>
      </w:r>
      <w:r w:rsidRPr="007C5127">
        <w:rPr>
          <w:bCs/>
          <w:sz w:val="28"/>
          <w:szCs w:val="28"/>
        </w:rPr>
        <w:t xml:space="preserve"> </w:t>
      </w:r>
      <w:r w:rsidR="00C75BB7">
        <w:rPr>
          <w:bCs/>
          <w:sz w:val="28"/>
          <w:szCs w:val="28"/>
        </w:rPr>
        <w:t>esošo</w:t>
      </w:r>
      <w:r w:rsidR="00724E34">
        <w:rPr>
          <w:bCs/>
          <w:sz w:val="28"/>
          <w:szCs w:val="28"/>
        </w:rPr>
        <w:t xml:space="preserve"> </w:t>
      </w:r>
      <w:r w:rsidRPr="007C5127">
        <w:rPr>
          <w:bCs/>
          <w:sz w:val="28"/>
          <w:szCs w:val="28"/>
        </w:rPr>
        <w:t>instrument</w:t>
      </w:r>
      <w:r w:rsidR="00C75BB7">
        <w:rPr>
          <w:bCs/>
          <w:sz w:val="28"/>
          <w:szCs w:val="28"/>
        </w:rPr>
        <w:t>u</w:t>
      </w:r>
      <w:r w:rsidRPr="007C5127">
        <w:rPr>
          <w:bCs/>
          <w:sz w:val="28"/>
          <w:szCs w:val="28"/>
        </w:rPr>
        <w:t xml:space="preserve"> un</w:t>
      </w:r>
      <w:r>
        <w:rPr>
          <w:bCs/>
          <w:sz w:val="28"/>
          <w:szCs w:val="28"/>
        </w:rPr>
        <w:t xml:space="preserve"> </w:t>
      </w:r>
      <w:r w:rsidRPr="007C5127">
        <w:rPr>
          <w:bCs/>
          <w:sz w:val="28"/>
          <w:szCs w:val="28"/>
        </w:rPr>
        <w:t>risinājum</w:t>
      </w:r>
      <w:r w:rsidR="00C75BB7">
        <w:rPr>
          <w:bCs/>
          <w:sz w:val="28"/>
          <w:szCs w:val="28"/>
        </w:rPr>
        <w:t>u izmantošana</w:t>
      </w:r>
      <w:r w:rsidRPr="007C5127">
        <w:rPr>
          <w:bCs/>
          <w:sz w:val="28"/>
          <w:szCs w:val="28"/>
        </w:rPr>
        <w:t>,</w:t>
      </w:r>
      <w:r>
        <w:rPr>
          <w:bCs/>
          <w:sz w:val="28"/>
          <w:szCs w:val="28"/>
        </w:rPr>
        <w:t xml:space="preserve"> </w:t>
      </w:r>
      <w:r w:rsidRPr="007C5127">
        <w:rPr>
          <w:bCs/>
          <w:sz w:val="28"/>
          <w:szCs w:val="28"/>
        </w:rPr>
        <w:t xml:space="preserve">piemēram, savstarpējās atzīšanas principa un harmonizācijas efektīva piemērošana un to pielietojums. </w:t>
      </w:r>
      <w:r w:rsidR="00C75BB7">
        <w:rPr>
          <w:bCs/>
          <w:sz w:val="28"/>
          <w:szCs w:val="28"/>
        </w:rPr>
        <w:t xml:space="preserve">Tāpat </w:t>
      </w:r>
      <w:r w:rsidRPr="00C75BB7" w:rsidR="00C75BB7">
        <w:rPr>
          <w:bCs/>
          <w:sz w:val="28"/>
          <w:szCs w:val="28"/>
        </w:rPr>
        <w:t>Latvija uzskata, ka Eiropas standartizācijas sistēmai ir nozīmīga loma ES Vienotā tirgus funkcionēšanā un Eiropas rūpniecības nozares konkurētspējas veicināšanā globālajā tirgū. Eiropas standarti ir ļoti svarīgi uzņēmumu (jo īpaši MVU) konkurētspējas nodrošināšanai. Tie ir arī būtisks instruments ES tiesību aktu un standartizācijas politikas atbalstam, izmantojot gan tiešās, gan netiešās norādes uz standartiem</w:t>
      </w:r>
      <w:r w:rsidR="00C75BB7">
        <w:rPr>
          <w:bCs/>
          <w:sz w:val="28"/>
          <w:szCs w:val="28"/>
        </w:rPr>
        <w:t xml:space="preserve">. </w:t>
      </w:r>
      <w:r w:rsidRPr="007C5127">
        <w:rPr>
          <w:bCs/>
          <w:sz w:val="28"/>
          <w:szCs w:val="28"/>
        </w:rPr>
        <w:t>Tāpat svarīga ir nacionālās</w:t>
      </w:r>
      <w:r>
        <w:rPr>
          <w:bCs/>
          <w:sz w:val="28"/>
          <w:szCs w:val="28"/>
        </w:rPr>
        <w:t xml:space="preserve"> </w:t>
      </w:r>
      <w:r w:rsidRPr="007C5127">
        <w:rPr>
          <w:bCs/>
          <w:sz w:val="28"/>
          <w:szCs w:val="28"/>
        </w:rPr>
        <w:t>likumdošanas izstrādes un ieviešanas disciplīna un tās uzraudzība.</w:t>
      </w:r>
    </w:p>
    <w:p w:rsidR="0092104C" w:rsidP="007C5E67" w:rsidRDefault="0079524B" w14:paraId="768200D9" w14:textId="30664135">
      <w:pPr>
        <w:spacing w:after="120"/>
        <w:ind w:firstLine="562"/>
        <w:rPr>
          <w:bCs/>
          <w:sz w:val="28"/>
          <w:szCs w:val="28"/>
        </w:rPr>
      </w:pPr>
      <w:r>
        <w:rPr>
          <w:bCs/>
          <w:sz w:val="28"/>
          <w:szCs w:val="28"/>
        </w:rPr>
        <w:t>Latvija norāda, ka turpmākai ES konkurētspējas veicināšanai būtiski ir veidot inovācijām</w:t>
      </w:r>
      <w:r w:rsidR="00710865">
        <w:rPr>
          <w:bCs/>
          <w:sz w:val="28"/>
          <w:szCs w:val="28"/>
        </w:rPr>
        <w:t xml:space="preserve">, </w:t>
      </w:r>
      <w:proofErr w:type="spellStart"/>
      <w:r w:rsidR="00710865">
        <w:rPr>
          <w:bCs/>
          <w:sz w:val="28"/>
          <w:szCs w:val="28"/>
        </w:rPr>
        <w:t>digitalizācijai</w:t>
      </w:r>
      <w:proofErr w:type="spellEnd"/>
      <w:r>
        <w:rPr>
          <w:bCs/>
          <w:sz w:val="28"/>
          <w:szCs w:val="28"/>
        </w:rPr>
        <w:t xml:space="preserve"> un izaugsmei draudzīgu vidi, mazinot tiesiskā regulējuma slogu</w:t>
      </w:r>
      <w:r w:rsidR="0092104C">
        <w:rPr>
          <w:bCs/>
          <w:sz w:val="28"/>
          <w:szCs w:val="28"/>
        </w:rPr>
        <w:t>. Izstrādājot jaunas politikas vai regulējumu j</w:t>
      </w:r>
      <w:r w:rsidRPr="0092104C" w:rsidR="0092104C">
        <w:rPr>
          <w:bCs/>
          <w:sz w:val="28"/>
          <w:szCs w:val="28"/>
        </w:rPr>
        <w:t>ābalstās uz gala lietotāju (uzņēmēji, patērētāji) vajadzībām.</w:t>
      </w:r>
      <w:r w:rsidR="0092104C">
        <w:rPr>
          <w:bCs/>
          <w:sz w:val="28"/>
          <w:szCs w:val="28"/>
        </w:rPr>
        <w:t xml:space="preserve"> </w:t>
      </w:r>
      <w:r w:rsidRPr="0092104C" w:rsidR="0092104C">
        <w:rPr>
          <w:bCs/>
          <w:sz w:val="28"/>
          <w:szCs w:val="28"/>
        </w:rPr>
        <w:t>Lai ES Vienotais tirgus pilnvērtīgi darbotos, ir jārespektē ES četras pamatbrīvības un ar ES līmeņa iniciatīvām nedrīkst to apdraudēt.</w:t>
      </w:r>
    </w:p>
    <w:p w:rsidR="0003284A" w:rsidP="0003284A" w:rsidRDefault="0003284A" w14:paraId="26AA50DC" w14:textId="139FBBEC">
      <w:pPr>
        <w:spacing w:after="160" w:line="259" w:lineRule="auto"/>
        <w:ind w:firstLine="562"/>
        <w:jc w:val="left"/>
        <w:rPr>
          <w:rFonts w:cs="Times New Roman"/>
          <w:sz w:val="28"/>
          <w:szCs w:val="28"/>
        </w:rPr>
      </w:pPr>
      <w:r w:rsidRPr="0092104C">
        <w:rPr>
          <w:bCs/>
          <w:sz w:val="28"/>
          <w:szCs w:val="28"/>
        </w:rPr>
        <w:t xml:space="preserve">Tāpat konkurētspējas veicināšanai ir jāsekmē ieguldījumi </w:t>
      </w:r>
      <w:proofErr w:type="spellStart"/>
      <w:r>
        <w:rPr>
          <w:bCs/>
          <w:sz w:val="28"/>
          <w:szCs w:val="28"/>
        </w:rPr>
        <w:t>digitalizācijā</w:t>
      </w:r>
      <w:proofErr w:type="spellEnd"/>
      <w:r>
        <w:rPr>
          <w:bCs/>
          <w:sz w:val="28"/>
          <w:szCs w:val="28"/>
        </w:rPr>
        <w:t xml:space="preserve">, </w:t>
      </w:r>
      <w:r w:rsidRPr="0092104C">
        <w:rPr>
          <w:bCs/>
          <w:sz w:val="28"/>
          <w:szCs w:val="28"/>
        </w:rPr>
        <w:t xml:space="preserve">pētniecībā, inovācijās </w:t>
      </w:r>
      <w:r>
        <w:rPr>
          <w:bCs/>
          <w:sz w:val="28"/>
          <w:szCs w:val="28"/>
        </w:rPr>
        <w:t xml:space="preserve"> un </w:t>
      </w:r>
      <w:r w:rsidRPr="0092104C">
        <w:rPr>
          <w:bCs/>
          <w:sz w:val="28"/>
          <w:szCs w:val="28"/>
        </w:rPr>
        <w:t>tehnoloģij</w:t>
      </w:r>
      <w:r>
        <w:rPr>
          <w:bCs/>
          <w:sz w:val="28"/>
          <w:szCs w:val="28"/>
        </w:rPr>
        <w:t>u, tai skaitā</w:t>
      </w:r>
      <w:r w:rsidR="00082CA4">
        <w:rPr>
          <w:bCs/>
          <w:sz w:val="28"/>
          <w:szCs w:val="28"/>
        </w:rPr>
        <w:t>,</w:t>
      </w:r>
      <w:r>
        <w:rPr>
          <w:bCs/>
          <w:sz w:val="28"/>
          <w:szCs w:val="28"/>
        </w:rPr>
        <w:t xml:space="preserve"> mākslīgā intelekta attīstībā</w:t>
      </w:r>
      <w:r w:rsidRPr="0092104C">
        <w:rPr>
          <w:rFonts w:cs="Times New Roman"/>
          <w:sz w:val="28"/>
          <w:szCs w:val="28"/>
        </w:rPr>
        <w:t>. Latvijai īpaši svarīgi, lai tiktu sekmēts atbalsts arī MVU attiecībā uz piekļuvi tirgiem, globālajām vērtību ķēdēm, inovācijām un finansēm.</w:t>
      </w:r>
    </w:p>
    <w:p w:rsidR="0003284A" w:rsidP="0003284A" w:rsidRDefault="0003284A" w14:paraId="2626C6EE" w14:textId="77777777">
      <w:pPr>
        <w:spacing w:after="160" w:line="259" w:lineRule="auto"/>
        <w:ind w:firstLine="562"/>
        <w:jc w:val="left"/>
        <w:rPr>
          <w:rFonts w:cs="Times New Roman"/>
          <w:b/>
          <w:sz w:val="28"/>
          <w:szCs w:val="28"/>
        </w:rPr>
      </w:pPr>
    </w:p>
    <w:p w:rsidRPr="00E65A40" w:rsidR="005345D6" w:rsidP="00671DD0" w:rsidRDefault="00680C55" w14:paraId="3EB5C6A4" w14:textId="77777777">
      <w:pPr>
        <w:keepNext/>
        <w:keepLines/>
        <w:shd w:val="clear" w:color="auto" w:fill="F2F2F2" w:themeFill="background1" w:themeFillShade="F2"/>
        <w:spacing w:after="120"/>
        <w:rPr>
          <w:rFonts w:cs="Times New Roman"/>
          <w:b/>
          <w:sz w:val="28"/>
          <w:szCs w:val="28"/>
        </w:rPr>
      </w:pPr>
      <w:r>
        <w:rPr>
          <w:rFonts w:cs="Times New Roman"/>
          <w:b/>
          <w:sz w:val="28"/>
          <w:szCs w:val="28"/>
        </w:rPr>
        <w:t>3</w:t>
      </w:r>
      <w:r w:rsidRPr="00E65A40" w:rsidR="005345D6">
        <w:rPr>
          <w:rFonts w:cs="Times New Roman"/>
          <w:b/>
          <w:sz w:val="28"/>
          <w:szCs w:val="28"/>
        </w:rPr>
        <w:t>.</w:t>
      </w:r>
      <w:r w:rsidR="005345D6">
        <w:rPr>
          <w:rFonts w:cs="Times New Roman"/>
          <w:b/>
          <w:sz w:val="28"/>
          <w:szCs w:val="28"/>
        </w:rPr>
        <w:tab/>
      </w:r>
      <w:r w:rsidRPr="005132F1" w:rsidR="005345D6">
        <w:rPr>
          <w:rFonts w:eastAsia="Times New Roman" w:cs="Times New Roman"/>
          <w:b/>
          <w:i/>
          <w:sz w:val="28"/>
          <w:szCs w:val="28"/>
          <w:lang w:eastAsia="lv-LV"/>
        </w:rPr>
        <w:t>Ener</w:t>
      </w:r>
      <w:r w:rsidRPr="005132F1" w:rsidR="00940F54">
        <w:rPr>
          <w:rFonts w:eastAsia="Times New Roman" w:cs="Times New Roman"/>
          <w:b/>
          <w:i/>
          <w:sz w:val="28"/>
          <w:szCs w:val="28"/>
          <w:lang w:eastAsia="lv-LV"/>
        </w:rPr>
        <w:t>goietilpīgās</w:t>
      </w:r>
      <w:r w:rsidRPr="005132F1" w:rsidR="005345D6">
        <w:rPr>
          <w:rFonts w:eastAsia="Times New Roman" w:cs="Times New Roman"/>
          <w:b/>
          <w:i/>
          <w:sz w:val="28"/>
          <w:szCs w:val="28"/>
          <w:lang w:eastAsia="lv-LV"/>
        </w:rPr>
        <w:t xml:space="preserve"> rūpniecības ceļa karte</w:t>
      </w:r>
    </w:p>
    <w:p w:rsidRPr="004E5022" w:rsidR="004E5022" w:rsidP="004E5022" w:rsidRDefault="004E5022" w14:paraId="5E924FBA" w14:textId="5BFD02CE">
      <w:pPr>
        <w:spacing w:after="120"/>
        <w:ind w:firstLine="567"/>
        <w:rPr>
          <w:sz w:val="28"/>
          <w:szCs w:val="28"/>
        </w:rPr>
      </w:pPr>
      <w:r w:rsidRPr="004E5022">
        <w:rPr>
          <w:sz w:val="28"/>
          <w:szCs w:val="28"/>
        </w:rPr>
        <w:t xml:space="preserve">2018. gada 28. novembrī EK publicēja ziņojumu “Tīru planētu visiem! Stratēģisks Eiropas ilgtermiņa redzējums par pārticīgu, modernu, konkurētspējīgu un </w:t>
      </w:r>
      <w:proofErr w:type="spellStart"/>
      <w:r w:rsidRPr="004E5022">
        <w:rPr>
          <w:sz w:val="28"/>
          <w:szCs w:val="28"/>
        </w:rPr>
        <w:t>klimatneitrālu</w:t>
      </w:r>
      <w:proofErr w:type="spellEnd"/>
      <w:r w:rsidRPr="004E5022">
        <w:rPr>
          <w:sz w:val="28"/>
          <w:szCs w:val="28"/>
        </w:rPr>
        <w:t xml:space="preserve"> ekonomiku” (turpmāk – Stratēģija). 2019. gadā, balstoties uz šo Stratēģiju, plānotas plašas diskusijas un politiskās debates par ES ilgtermiņa attīstību laika posmā līdz 2050.gadam. To rezultātā ES plānots apstiprināt un </w:t>
      </w:r>
      <w:r w:rsidRPr="004E5022">
        <w:rPr>
          <w:sz w:val="28"/>
          <w:szCs w:val="28"/>
        </w:rPr>
        <w:lastRenderedPageBreak/>
        <w:t>Apvienoto Nāciju Organizācijas Vispārējās konvencijas par klimata pārmaiņām sekretariātā atbilstoši Parīzes nolīgumam</w:t>
      </w:r>
      <w:r w:rsidR="0066333B">
        <w:rPr>
          <w:sz w:val="28"/>
          <w:szCs w:val="28"/>
        </w:rPr>
        <w:t xml:space="preserve"> līdz 2020. gadam</w:t>
      </w:r>
      <w:r w:rsidRPr="004E5022">
        <w:rPr>
          <w:sz w:val="28"/>
          <w:szCs w:val="28"/>
        </w:rPr>
        <w:t xml:space="preserve"> iesniegt ES oglekļa mazietilpīgas attīstības</w:t>
      </w:r>
      <w:r w:rsidR="00F43B7C">
        <w:rPr>
          <w:sz w:val="28"/>
          <w:szCs w:val="28"/>
        </w:rPr>
        <w:t xml:space="preserve"> </w:t>
      </w:r>
      <w:r w:rsidRPr="004E5022">
        <w:rPr>
          <w:sz w:val="28"/>
          <w:szCs w:val="28"/>
        </w:rPr>
        <w:t>stratēģiju.</w:t>
      </w:r>
    </w:p>
    <w:p w:rsidR="004E5022" w:rsidP="00305B4E" w:rsidRDefault="004E5022" w14:paraId="2E097DB8" w14:textId="39613A6B">
      <w:pPr>
        <w:spacing w:after="120"/>
        <w:ind w:firstLine="567"/>
        <w:rPr>
          <w:sz w:val="28"/>
          <w:szCs w:val="28"/>
        </w:rPr>
      </w:pPr>
      <w:r w:rsidRPr="004E5022">
        <w:rPr>
          <w:sz w:val="28"/>
          <w:szCs w:val="28"/>
        </w:rPr>
        <w:t>Stratēģijas pamatā ir visaptveroša padziļināta analīze par ES spēkā esošo politiku, to ietekmi uz siltumnīcefekta gāzu (turpmāk – SEG) emisijām, scenārijiem enerģētikas piegādes, transporta, ēku, rūpniecības un zemes izmantošanas sektoros, kā arī dažādi citi apsvērumi. Stratēģija apliecina ES līderību klimata pārmaiņu ierobežošanā un izklāsta vīziju, lai līdz 2050. gadam ES sasniegtu SEG neitralitāti (net-</w:t>
      </w:r>
      <w:proofErr w:type="spellStart"/>
      <w:r w:rsidRPr="004E5022">
        <w:rPr>
          <w:sz w:val="28"/>
          <w:szCs w:val="28"/>
        </w:rPr>
        <w:t>zero</w:t>
      </w:r>
      <w:proofErr w:type="spellEnd"/>
      <w:r w:rsidRPr="004E5022">
        <w:rPr>
          <w:sz w:val="28"/>
          <w:szCs w:val="28"/>
        </w:rPr>
        <w:t xml:space="preserve"> GHG </w:t>
      </w:r>
      <w:proofErr w:type="spellStart"/>
      <w:r w:rsidRPr="004E5022">
        <w:rPr>
          <w:sz w:val="28"/>
          <w:szCs w:val="28"/>
        </w:rPr>
        <w:t>emissions</w:t>
      </w:r>
      <w:proofErr w:type="spellEnd"/>
      <w:r w:rsidRPr="004E5022">
        <w:rPr>
          <w:sz w:val="28"/>
          <w:szCs w:val="28"/>
        </w:rPr>
        <w:t>) sociāli taisnīgā un izmaksu efektīvā veidā. Stratēģija akcentē šādas pārejas sniegtās iespējas Eiropas pilsoņiem un ekonomikai, kā arī identificē izaicinājumus. Stratēģijā skaidrots, ka šobrīd ES apstiprinātās likumdošanas prasību pilnīga ieviešana līdz 2030. gadam nodrošinās SEG samazinājumu par aptuveni 45% un līdz 2050. gadam – par aptuveni 60%. Stratēģijā aplūkoti 8 scenāriji, kas 2050. gadā nodrošina</w:t>
      </w:r>
      <w:r w:rsidR="00D402BF">
        <w:rPr>
          <w:sz w:val="28"/>
          <w:szCs w:val="28"/>
        </w:rPr>
        <w:t xml:space="preserve"> </w:t>
      </w:r>
      <w:r w:rsidRPr="004E5022" w:rsidR="00D402BF">
        <w:rPr>
          <w:sz w:val="28"/>
          <w:szCs w:val="28"/>
        </w:rPr>
        <w:t>SEG emisiju samazinājum</w:t>
      </w:r>
      <w:r w:rsidR="00D402BF">
        <w:rPr>
          <w:sz w:val="28"/>
          <w:szCs w:val="28"/>
        </w:rPr>
        <w:t>u</w:t>
      </w:r>
      <w:r w:rsidRPr="004E5022">
        <w:rPr>
          <w:sz w:val="28"/>
          <w:szCs w:val="28"/>
        </w:rPr>
        <w:t xml:space="preserve"> sākot no 80% līdz pat SEG neitralitātei. Stratēģijā secināts, ka, ņemot vērā aktuālāko Klimata pārmaiņu starpvaldību padomes īpašo ziņojumu par 1,5°C  (turpmāk – IPCC ziņojums), ES mērķim būtu jāparedz, ka līdz 2050. gadam</w:t>
      </w:r>
      <w:r w:rsidR="00D402BF">
        <w:rPr>
          <w:sz w:val="28"/>
          <w:szCs w:val="28"/>
        </w:rPr>
        <w:t xml:space="preserve"> ES</w:t>
      </w:r>
      <w:r w:rsidRPr="004E5022">
        <w:rPr>
          <w:sz w:val="28"/>
          <w:szCs w:val="28"/>
        </w:rPr>
        <w:t xml:space="preserve"> jākļūst par vienu no pirmajiem, kas sasniedz SEG neitralitāti. Lai to panāktu, ES ir nepieciešams intensificēt un paplašināt rīcību klimata pārmaiņu ierobežošanā. Stratēģijā aplūkotie scenāriji ir ar izaicinājumiem, bet tajā pašā laikā – iespējami no tehnoloģiskās, ekonomiskās, vides un sociālās perspektīvas. Stratēģijā izceltie oglekļa mazietilpīgas attīstības pamatprincipi:</w:t>
      </w:r>
      <w:r w:rsidR="00305B4E">
        <w:rPr>
          <w:sz w:val="28"/>
          <w:szCs w:val="28"/>
        </w:rPr>
        <w:t xml:space="preserve"> </w:t>
      </w:r>
      <w:r w:rsidRPr="004E5022">
        <w:rPr>
          <w:sz w:val="28"/>
          <w:szCs w:val="28"/>
        </w:rPr>
        <w:t>maksimizēt ieguvumus no energoefektivitātes, tai skaitā nulles emisiju ēkas;</w:t>
      </w:r>
      <w:r w:rsidR="00305B4E">
        <w:rPr>
          <w:sz w:val="28"/>
          <w:szCs w:val="28"/>
        </w:rPr>
        <w:t xml:space="preserve"> </w:t>
      </w:r>
      <w:r w:rsidRPr="004E5022">
        <w:rPr>
          <w:sz w:val="28"/>
          <w:szCs w:val="28"/>
        </w:rPr>
        <w:t xml:space="preserve">maksimizēt atjaunojamo energoresursu un elektrības izmantošanu, lai pilnībā </w:t>
      </w:r>
      <w:proofErr w:type="spellStart"/>
      <w:r w:rsidRPr="004E5022">
        <w:rPr>
          <w:sz w:val="28"/>
          <w:szCs w:val="28"/>
        </w:rPr>
        <w:t>dekarbonizētu</w:t>
      </w:r>
      <w:proofErr w:type="spellEnd"/>
      <w:r w:rsidRPr="004E5022">
        <w:rPr>
          <w:sz w:val="28"/>
          <w:szCs w:val="28"/>
        </w:rPr>
        <w:t xml:space="preserve"> Eiropas </w:t>
      </w:r>
      <w:proofErr w:type="spellStart"/>
      <w:r w:rsidRPr="004E5022">
        <w:rPr>
          <w:sz w:val="28"/>
          <w:szCs w:val="28"/>
        </w:rPr>
        <w:t>energopiegādes</w:t>
      </w:r>
      <w:proofErr w:type="spellEnd"/>
      <w:r w:rsidRPr="004E5022">
        <w:rPr>
          <w:sz w:val="28"/>
          <w:szCs w:val="28"/>
        </w:rPr>
        <w:t>;</w:t>
      </w:r>
      <w:r w:rsidR="00305B4E">
        <w:rPr>
          <w:sz w:val="28"/>
          <w:szCs w:val="28"/>
        </w:rPr>
        <w:t xml:space="preserve"> </w:t>
      </w:r>
      <w:r w:rsidRPr="004E5022">
        <w:rPr>
          <w:sz w:val="28"/>
          <w:szCs w:val="28"/>
        </w:rPr>
        <w:t>īstenot tīru, drošu un savienotu mobilitāti;</w:t>
      </w:r>
      <w:r w:rsidR="00305B4E">
        <w:rPr>
          <w:sz w:val="28"/>
          <w:szCs w:val="28"/>
        </w:rPr>
        <w:t xml:space="preserve"> </w:t>
      </w:r>
      <w:r w:rsidRPr="004E5022">
        <w:rPr>
          <w:sz w:val="28"/>
          <w:szCs w:val="28"/>
        </w:rPr>
        <w:t>konkurētspējīga ES rūpniecība un aprites ekonomika kā galvenais SEG emisiju samazināšanas veicinātājs;</w:t>
      </w:r>
      <w:r w:rsidR="00305B4E">
        <w:rPr>
          <w:sz w:val="28"/>
          <w:szCs w:val="28"/>
        </w:rPr>
        <w:t xml:space="preserve"> </w:t>
      </w:r>
      <w:r w:rsidRPr="004E5022">
        <w:rPr>
          <w:sz w:val="28"/>
          <w:szCs w:val="28"/>
        </w:rPr>
        <w:t xml:space="preserve">attīstīt adekvātu viedā tīkla infrastruktūru un </w:t>
      </w:r>
      <w:proofErr w:type="spellStart"/>
      <w:r w:rsidRPr="004E5022">
        <w:rPr>
          <w:sz w:val="28"/>
          <w:szCs w:val="28"/>
        </w:rPr>
        <w:t>starpsavienojumus</w:t>
      </w:r>
      <w:proofErr w:type="spellEnd"/>
      <w:r w:rsidRPr="004E5022">
        <w:rPr>
          <w:sz w:val="28"/>
          <w:szCs w:val="28"/>
        </w:rPr>
        <w:t>;</w:t>
      </w:r>
      <w:r w:rsidR="00305B4E">
        <w:rPr>
          <w:sz w:val="28"/>
          <w:szCs w:val="28"/>
        </w:rPr>
        <w:t xml:space="preserve"> </w:t>
      </w:r>
      <w:r w:rsidRPr="004E5022">
        <w:rPr>
          <w:sz w:val="28"/>
          <w:szCs w:val="28"/>
        </w:rPr>
        <w:t xml:space="preserve">gūt pilnīgus labumus no </w:t>
      </w:r>
      <w:proofErr w:type="spellStart"/>
      <w:r w:rsidRPr="004E5022">
        <w:rPr>
          <w:sz w:val="28"/>
          <w:szCs w:val="28"/>
        </w:rPr>
        <w:t>bioekonomikas</w:t>
      </w:r>
      <w:proofErr w:type="spellEnd"/>
      <w:r w:rsidRPr="004E5022">
        <w:rPr>
          <w:sz w:val="28"/>
          <w:szCs w:val="28"/>
        </w:rPr>
        <w:t xml:space="preserve"> un radīt būtiskas oglekļa piesaistes;</w:t>
      </w:r>
      <w:r w:rsidR="00305B4E">
        <w:rPr>
          <w:sz w:val="28"/>
          <w:szCs w:val="28"/>
        </w:rPr>
        <w:t xml:space="preserve"> </w:t>
      </w:r>
      <w:r w:rsidRPr="004E5022">
        <w:rPr>
          <w:sz w:val="28"/>
          <w:szCs w:val="28"/>
        </w:rPr>
        <w:t>pārējās oglekļa dioksīda emisijas aptvert ar oglekļa uztveršanu un uzglabāšanu.</w:t>
      </w:r>
    </w:p>
    <w:p w:rsidRPr="00680C55" w:rsidR="0075610A" w:rsidP="0075610A" w:rsidRDefault="0075610A" w14:paraId="3D28CBF1" w14:textId="620AF95B">
      <w:pPr>
        <w:spacing w:after="120"/>
        <w:ind w:firstLine="567"/>
        <w:rPr>
          <w:rFonts w:eastAsia="Times New Roman" w:cs="Times New Roman"/>
          <w:sz w:val="28"/>
          <w:szCs w:val="28"/>
          <w:lang w:eastAsia="lv-LV"/>
        </w:rPr>
      </w:pPr>
      <w:r>
        <w:rPr>
          <w:rFonts w:eastAsia="Times New Roman" w:cs="Times New Roman"/>
          <w:sz w:val="28"/>
          <w:szCs w:val="28"/>
          <w:lang w:eastAsia="lv-LV"/>
        </w:rPr>
        <w:t xml:space="preserve">Energoietilpīgo nozaru augsta līmeņa ekspertu grupas sanāksmē 2018. gada 28. februārī ticis secināts, ka energoietilpīgām nozarēm un EK dienestiem būtu jāizstrādā visaptverošs ģenerālplāns tādu ilgtspējīgu energoietilpīgo  nozaru (turpmāk - EII) vairošanai, kas ir konkurētspējīgas un rada mazas emisijas, vienlaikus meklējot veidus, kā  izstrādāt stabilu ES tiesisko regulējumu un iegūt nepieciešamās investīcijas. Savukārt 2018. gada 28. novembrī EK publicējusi ziņojumu “Tīru planētu - visiem! Stratēģisks Eiropas ilgtermiņa redzējums par pārticīgu, modernu, konkurētspējīgu un </w:t>
      </w:r>
      <w:proofErr w:type="spellStart"/>
      <w:r>
        <w:rPr>
          <w:rFonts w:eastAsia="Times New Roman" w:cs="Times New Roman"/>
          <w:sz w:val="28"/>
          <w:szCs w:val="28"/>
          <w:lang w:eastAsia="lv-LV"/>
        </w:rPr>
        <w:t>klimatneitrālu</w:t>
      </w:r>
      <w:proofErr w:type="spellEnd"/>
      <w:r>
        <w:rPr>
          <w:rFonts w:eastAsia="Times New Roman" w:cs="Times New Roman"/>
          <w:sz w:val="28"/>
          <w:szCs w:val="28"/>
          <w:lang w:eastAsia="lv-LV"/>
        </w:rPr>
        <w:t xml:space="preserve"> ekonomiku”.</w:t>
      </w:r>
    </w:p>
    <w:p w:rsidR="0075610A" w:rsidP="00305B4E" w:rsidRDefault="0098264D" w14:paraId="6124BD0F" w14:textId="77777777">
      <w:pPr>
        <w:spacing w:after="120"/>
        <w:ind w:firstLine="567"/>
        <w:rPr>
          <w:sz w:val="28"/>
          <w:szCs w:val="28"/>
        </w:rPr>
      </w:pPr>
      <w:r>
        <w:rPr>
          <w:rFonts w:eastAsia="Times New Roman" w:cs="Times New Roman"/>
          <w:sz w:val="28"/>
          <w:szCs w:val="28"/>
          <w:lang w:eastAsia="lv-LV"/>
        </w:rPr>
        <w:t>Diskusijai ir izvirzīts sekojošs jautājums:</w:t>
      </w:r>
    </w:p>
    <w:p w:rsidRPr="005B0ACA" w:rsidR="005D56AB" w:rsidP="005B0ACA" w:rsidRDefault="005B0ACA" w14:paraId="5975C07D" w14:textId="77777777">
      <w:pPr>
        <w:pStyle w:val="ListParagraph"/>
        <w:numPr>
          <w:ilvl w:val="0"/>
          <w:numId w:val="41"/>
        </w:numPr>
        <w:spacing w:after="120"/>
        <w:rPr>
          <w:i/>
          <w:sz w:val="28"/>
          <w:szCs w:val="28"/>
        </w:rPr>
      </w:pPr>
      <w:r>
        <w:rPr>
          <w:i/>
          <w:sz w:val="28"/>
          <w:szCs w:val="28"/>
        </w:rPr>
        <w:t xml:space="preserve">Kā Jūs uzlūkojat mijiedarbību starp nākotnes rūpniecības politikas stratēģiju un tiekšanos uz klimata-neitralitāti, sevišķi ņemot vērā </w:t>
      </w:r>
      <w:r>
        <w:rPr>
          <w:i/>
          <w:sz w:val="28"/>
          <w:szCs w:val="28"/>
        </w:rPr>
        <w:lastRenderedPageBreak/>
        <w:t>nepieciešamību nosargāt un uzlabot ES konkurētspēju, veicot šo transformācijas procesu?</w:t>
      </w:r>
    </w:p>
    <w:p w:rsidRPr="00774D46" w:rsidR="005345D6" w:rsidP="002E37FC" w:rsidRDefault="006C23D2" w14:paraId="156665A9" w14:textId="77777777">
      <w:pPr>
        <w:spacing w:after="120"/>
        <w:ind w:firstLine="567"/>
        <w:rPr>
          <w:i/>
          <w:szCs w:val="28"/>
        </w:rPr>
      </w:pPr>
      <w:r w:rsidRPr="005132F1">
        <w:rPr>
          <w:b/>
          <w:sz w:val="28"/>
          <w:szCs w:val="28"/>
        </w:rPr>
        <w:t>Latvijas nostāja</w:t>
      </w:r>
      <w:r w:rsidR="002E37FC">
        <w:rPr>
          <w:rStyle w:val="FootnoteReference"/>
          <w:b/>
          <w:sz w:val="28"/>
          <w:szCs w:val="28"/>
        </w:rPr>
        <w:footnoteReference w:id="5"/>
      </w:r>
    </w:p>
    <w:p w:rsidR="00F43B7C" w:rsidP="006C23D2" w:rsidRDefault="00F43B7C" w14:paraId="611A522D" w14:textId="5A0CF3C5">
      <w:pPr>
        <w:spacing w:after="120"/>
        <w:ind w:firstLine="562"/>
        <w:rPr>
          <w:bCs/>
          <w:sz w:val="28"/>
          <w:szCs w:val="28"/>
        </w:rPr>
      </w:pPr>
      <w:r w:rsidRPr="00F43B7C">
        <w:rPr>
          <w:bCs/>
          <w:sz w:val="28"/>
          <w:szCs w:val="28"/>
        </w:rPr>
        <w:t>Latvija šobrīd vērtē Stratēģijā iekļauto vēlamo virzību uz ES SEG neitralitāti 2050. gadā.</w:t>
      </w:r>
    </w:p>
    <w:p w:rsidR="00140DB3" w:rsidP="00140DB3" w:rsidRDefault="0057164B" w14:paraId="74AF1DC3" w14:textId="77777777">
      <w:pPr>
        <w:spacing w:after="120"/>
        <w:ind w:firstLine="562"/>
        <w:rPr>
          <w:rFonts w:asciiTheme="majorBidi" w:hAnsiTheme="majorBidi" w:cstheme="majorBidi"/>
          <w:sz w:val="28"/>
          <w:szCs w:val="28"/>
        </w:rPr>
      </w:pPr>
      <w:r w:rsidRPr="0057164B">
        <w:rPr>
          <w:sz w:val="28"/>
          <w:szCs w:val="28"/>
        </w:rPr>
        <w:t>2019.</w:t>
      </w:r>
      <w:r w:rsidR="002026E6">
        <w:rPr>
          <w:sz w:val="28"/>
          <w:szCs w:val="28"/>
        </w:rPr>
        <w:t xml:space="preserve"> gada 19.martā</w:t>
      </w:r>
      <w:r w:rsidRPr="0057164B">
        <w:rPr>
          <w:sz w:val="28"/>
          <w:szCs w:val="28"/>
        </w:rPr>
        <w:t xml:space="preserve"> Ministru kabinets apstiprināja </w:t>
      </w:r>
      <w:r w:rsidRPr="0057164B">
        <w:rPr>
          <w:color w:val="2A2A2A"/>
          <w:sz w:val="28"/>
          <w:szCs w:val="28"/>
          <w:shd w:val="clear" w:color="auto" w:fill="FFFFFF"/>
        </w:rPr>
        <w:t>nacionālo pozīciju par "Par Eiropas Komisijas paziņojumu "</w:t>
      </w:r>
      <w:r w:rsidRPr="0057164B">
        <w:rPr>
          <w:i/>
          <w:iCs/>
          <w:color w:val="2A2A2A"/>
          <w:sz w:val="28"/>
          <w:szCs w:val="28"/>
          <w:shd w:val="clear" w:color="auto" w:fill="FFFFFF"/>
        </w:rPr>
        <w:t xml:space="preserve">Tīru planētu - visiem! Stratēģisks Eiropas ilgtermiņa redzējums par pārticīgu, modernu, konkurētspējīgu un </w:t>
      </w:r>
      <w:proofErr w:type="spellStart"/>
      <w:r w:rsidRPr="0057164B">
        <w:rPr>
          <w:i/>
          <w:iCs/>
          <w:color w:val="2A2A2A"/>
          <w:sz w:val="28"/>
          <w:szCs w:val="28"/>
          <w:shd w:val="clear" w:color="auto" w:fill="FFFFFF"/>
        </w:rPr>
        <w:t>klimatneitrālu</w:t>
      </w:r>
      <w:proofErr w:type="spellEnd"/>
      <w:r w:rsidRPr="0057164B">
        <w:rPr>
          <w:i/>
          <w:iCs/>
          <w:color w:val="2A2A2A"/>
          <w:sz w:val="28"/>
          <w:szCs w:val="28"/>
          <w:shd w:val="clear" w:color="auto" w:fill="FFFFFF"/>
        </w:rPr>
        <w:t xml:space="preserve"> ekonomiku</w:t>
      </w:r>
      <w:r w:rsidRPr="0057164B">
        <w:rPr>
          <w:color w:val="2A2A2A"/>
          <w:sz w:val="28"/>
          <w:szCs w:val="28"/>
          <w:shd w:val="clear" w:color="auto" w:fill="FFFFFF"/>
        </w:rPr>
        <w:t>""</w:t>
      </w:r>
      <w:r w:rsidR="002026E6">
        <w:rPr>
          <w:color w:val="2A2A2A"/>
          <w:sz w:val="28"/>
          <w:szCs w:val="28"/>
          <w:shd w:val="clear" w:color="auto" w:fill="FFFFFF"/>
        </w:rPr>
        <w:t xml:space="preserve"> kur</w:t>
      </w:r>
      <w:r w:rsidR="008871D6">
        <w:rPr>
          <w:color w:val="2A2A2A"/>
          <w:sz w:val="28"/>
          <w:szCs w:val="28"/>
          <w:shd w:val="clear" w:color="auto" w:fill="FFFFFF"/>
        </w:rPr>
        <w:t>ā</w:t>
      </w:r>
      <w:r w:rsidR="002026E6">
        <w:rPr>
          <w:color w:val="2A2A2A"/>
          <w:sz w:val="28"/>
          <w:szCs w:val="28"/>
          <w:shd w:val="clear" w:color="auto" w:fill="FFFFFF"/>
        </w:rPr>
        <w:t xml:space="preserve"> </w:t>
      </w:r>
      <w:r w:rsidR="00840C1D">
        <w:rPr>
          <w:color w:val="2A2A2A"/>
          <w:sz w:val="28"/>
          <w:szCs w:val="28"/>
          <w:shd w:val="clear" w:color="auto" w:fill="FFFFFF"/>
        </w:rPr>
        <w:t>no</w:t>
      </w:r>
      <w:r w:rsidR="002026E6">
        <w:rPr>
          <w:color w:val="2A2A2A"/>
          <w:sz w:val="28"/>
          <w:szCs w:val="28"/>
          <w:shd w:val="clear" w:color="auto" w:fill="FFFFFF"/>
        </w:rPr>
        <w:t>teikts</w:t>
      </w:r>
      <w:r w:rsidR="00840C1D">
        <w:rPr>
          <w:color w:val="2A2A2A"/>
          <w:sz w:val="28"/>
          <w:szCs w:val="28"/>
          <w:shd w:val="clear" w:color="auto" w:fill="FFFFFF"/>
        </w:rPr>
        <w:t xml:space="preserve">, ka </w:t>
      </w:r>
      <w:r w:rsidRPr="0057164B" w:rsidR="00840C1D">
        <w:rPr>
          <w:rFonts w:asciiTheme="majorBidi" w:hAnsiTheme="majorBidi" w:cstheme="majorBidi"/>
          <w:sz w:val="28"/>
          <w:szCs w:val="28"/>
        </w:rPr>
        <w:t>Stratēģijai ir jāve</w:t>
      </w:r>
      <w:r w:rsidR="00D920A6">
        <w:rPr>
          <w:rFonts w:asciiTheme="majorBidi" w:hAnsiTheme="majorBidi" w:cstheme="majorBidi"/>
          <w:sz w:val="28"/>
          <w:szCs w:val="28"/>
        </w:rPr>
        <w:t>icina visu ES reģionu attīstība un</w:t>
      </w:r>
      <w:r w:rsidRPr="0057164B" w:rsidR="00840C1D">
        <w:rPr>
          <w:rFonts w:asciiTheme="majorBidi" w:hAnsiTheme="majorBidi" w:cstheme="majorBidi"/>
          <w:sz w:val="28"/>
          <w:szCs w:val="28"/>
        </w:rPr>
        <w:t xml:space="preserve"> konkurētspēja. </w:t>
      </w:r>
    </w:p>
    <w:p w:rsidRPr="00802CF7" w:rsidR="00140DB3" w:rsidP="00140DB3" w:rsidRDefault="00140DB3" w14:paraId="7D15BD51" w14:textId="77777777">
      <w:pPr>
        <w:spacing w:after="120"/>
        <w:ind w:firstLine="562"/>
        <w:rPr>
          <w:rFonts w:asciiTheme="majorBidi" w:hAnsiTheme="majorBidi" w:cstheme="majorBidi"/>
          <w:color w:val="000000" w:themeColor="text1"/>
        </w:rPr>
      </w:pPr>
      <w:r>
        <w:rPr>
          <w:rFonts w:asciiTheme="majorBidi" w:hAnsiTheme="majorBidi" w:cstheme="majorBidi"/>
          <w:sz w:val="28"/>
          <w:szCs w:val="28"/>
        </w:rPr>
        <w:t xml:space="preserve">Tāpat </w:t>
      </w:r>
      <w:r w:rsidRPr="00140DB3">
        <w:rPr>
          <w:rFonts w:asciiTheme="majorBidi" w:hAnsiTheme="majorBidi" w:cstheme="majorBidi"/>
          <w:color w:val="000000" w:themeColor="text1"/>
          <w:sz w:val="28"/>
          <w:szCs w:val="28"/>
        </w:rPr>
        <w:t>Latvija kopumā atbalsta EK centienus ar Paziņojumu dot ieguldījumu ES SEG emisiju tālākā samazināšanā, vienlaikus sniedzot ieguldījumu globālo klimata pārmaiņu mazināšanā, un ES ekonomikas modernizācijas un konkurētspējas palielināšanā</w:t>
      </w:r>
      <w:r w:rsidRPr="00802CF7">
        <w:rPr>
          <w:rFonts w:asciiTheme="majorBidi" w:hAnsiTheme="majorBidi" w:cstheme="majorBidi"/>
          <w:color w:val="000000" w:themeColor="text1"/>
        </w:rPr>
        <w:t>.</w:t>
      </w:r>
      <w:r>
        <w:rPr>
          <w:rFonts w:asciiTheme="majorBidi" w:hAnsiTheme="majorBidi" w:cstheme="majorBidi"/>
          <w:color w:val="000000" w:themeColor="text1"/>
        </w:rPr>
        <w:t xml:space="preserve"> </w:t>
      </w:r>
    </w:p>
    <w:p w:rsidRPr="00F43B7C" w:rsidR="00F43B7C" w:rsidP="00F43B7C" w:rsidRDefault="00F43B7C" w14:paraId="760CF779" w14:textId="306F7A2A">
      <w:pPr>
        <w:spacing w:after="120"/>
        <w:ind w:firstLine="562"/>
        <w:rPr>
          <w:bCs/>
          <w:sz w:val="28"/>
          <w:szCs w:val="28"/>
        </w:rPr>
      </w:pPr>
      <w:r w:rsidRPr="00F43B7C">
        <w:rPr>
          <w:bCs/>
          <w:sz w:val="28"/>
          <w:szCs w:val="28"/>
        </w:rPr>
        <w:t>Stratēģijai būtu jāveicina visu reģionu attīstība, konkurētspēja un jānodrošina izmaksu efektīvāko risinājumu ieviešana, ņemot vērā ne vien ES kopējo, bet arī reģionālās un nacionālās situācijas. Informēta lēmuma pieņemšanai par Stratēģiju būtu nepieciešama analīze ne tikai ES līmenī, bet arī ES dalībvalstu vai vismaz reģionu līmenī</w:t>
      </w:r>
      <w:r w:rsidR="0018502F">
        <w:rPr>
          <w:bCs/>
          <w:sz w:val="28"/>
          <w:szCs w:val="28"/>
        </w:rPr>
        <w:t xml:space="preserve">, tostarp </w:t>
      </w:r>
      <w:r w:rsidRPr="00826720" w:rsidR="008F2BEE">
        <w:rPr>
          <w:bCs/>
          <w:sz w:val="28"/>
          <w:szCs w:val="28"/>
        </w:rPr>
        <w:t>nepieciešams analizēt un novērtēt iespējamo ietekmi uz MVU.</w:t>
      </w:r>
      <w:r w:rsidR="0018502F">
        <w:rPr>
          <w:rFonts w:cs="Times New Roman"/>
          <w:color w:val="1F497D"/>
          <w:sz w:val="28"/>
          <w:szCs w:val="28"/>
          <w:shd w:val="clear" w:color="auto" w:fill="FFFFFF"/>
        </w:rPr>
        <w:t xml:space="preserve"> </w:t>
      </w:r>
      <w:r w:rsidRPr="00F43B7C">
        <w:rPr>
          <w:bCs/>
          <w:sz w:val="28"/>
          <w:szCs w:val="28"/>
        </w:rPr>
        <w:t>Ņemot vērā stratēģijas ilgtermiņa ambīcijas</w:t>
      </w:r>
      <w:r>
        <w:rPr>
          <w:bCs/>
          <w:sz w:val="28"/>
          <w:szCs w:val="28"/>
        </w:rPr>
        <w:t>,</w:t>
      </w:r>
      <w:r w:rsidRPr="00F43B7C">
        <w:rPr>
          <w:bCs/>
          <w:sz w:val="28"/>
          <w:szCs w:val="28"/>
        </w:rPr>
        <w:t xml:space="preserve"> vēršam uzmanību uz to, ka arī finansējuma plānošanai būtu jāpieiet ar ilgtermiņa redzējumu.</w:t>
      </w:r>
    </w:p>
    <w:p w:rsidRPr="00E65A40" w:rsidR="00F43B7C" w:rsidP="00F43B7C" w:rsidRDefault="00F43B7C" w14:paraId="3D654CBD" w14:textId="37DE52BB">
      <w:pPr>
        <w:spacing w:after="120"/>
        <w:ind w:firstLine="562"/>
        <w:rPr>
          <w:bCs/>
          <w:sz w:val="28"/>
          <w:szCs w:val="28"/>
        </w:rPr>
      </w:pPr>
      <w:r w:rsidRPr="00F43B7C">
        <w:rPr>
          <w:bCs/>
          <w:sz w:val="28"/>
          <w:szCs w:val="28"/>
        </w:rPr>
        <w:t xml:space="preserve">Latvija piekrīt, ka šādu ambiciozu ilgtermiņa mērķu sasniegšanā būtiska loma ir pētniecības un, inovāciju attīstībai gan tehnoloģiskās, gan attīstībai, kur EK ir jāuzņemas līderības loma pētniecības, attīstības un inovāciju jomā. Tāpat nenoliedzami, ka ES rūpniecības politikas stratēģijai 2030.gadam būs būtiska loma izmaiņu nodrošināšanā ražošanā. </w:t>
      </w:r>
      <w:r w:rsidR="00794DDD">
        <w:rPr>
          <w:bCs/>
          <w:sz w:val="28"/>
          <w:szCs w:val="28"/>
        </w:rPr>
        <w:t>Lai to sasniegtu būs nepieciešams veicināt</w:t>
      </w:r>
      <w:r w:rsidRPr="00F43B7C" w:rsidR="00794DDD">
        <w:rPr>
          <w:bCs/>
          <w:sz w:val="28"/>
          <w:szCs w:val="28"/>
        </w:rPr>
        <w:t xml:space="preserve"> sabiedrības uzvedības un patēriņa paradumu maiņ</w:t>
      </w:r>
      <w:r w:rsidR="00794DDD">
        <w:rPr>
          <w:bCs/>
          <w:sz w:val="28"/>
          <w:szCs w:val="28"/>
        </w:rPr>
        <w:t>u</w:t>
      </w:r>
      <w:r w:rsidRPr="00F43B7C" w:rsidR="00794DDD">
        <w:rPr>
          <w:bCs/>
          <w:sz w:val="28"/>
          <w:szCs w:val="28"/>
        </w:rPr>
        <w:t>.</w:t>
      </w:r>
      <w:r w:rsidRPr="00F43B7C">
        <w:rPr>
          <w:bCs/>
          <w:sz w:val="28"/>
          <w:szCs w:val="28"/>
        </w:rPr>
        <w:t xml:space="preserve"> Lai panāktu</w:t>
      </w:r>
      <w:r w:rsidR="00794DDD">
        <w:rPr>
          <w:bCs/>
          <w:sz w:val="28"/>
          <w:szCs w:val="28"/>
        </w:rPr>
        <w:t xml:space="preserve"> to savukārt</w:t>
      </w:r>
      <w:r w:rsidRPr="00F43B7C">
        <w:rPr>
          <w:bCs/>
          <w:sz w:val="28"/>
          <w:szCs w:val="28"/>
        </w:rPr>
        <w:t>, nepieciešams turpināt sabiedrības izglītošanu un informēšanu aizvien intensīvāk skaidrojot pārmaiņu nepieciešamību, sniegtās priekšrocības un ieguvumus. Tajā pašā laikā būtiski ir mainīt arī ražotāju domāšanas paradigmu, jo līdz šim arī uzņēmumu darbība nereti vērsta uz to, lai patērētu vairāk, piem., lai biežāk mainītu mobilos telefonus un citas elektroierīces, lai, sekojot modei, valkātu visu laiku iespējami jaunu apģērbu u.tml.</w:t>
      </w:r>
      <w:r w:rsidR="005D1C50">
        <w:rPr>
          <w:bCs/>
          <w:sz w:val="28"/>
          <w:szCs w:val="28"/>
        </w:rPr>
        <w:t>.</w:t>
      </w:r>
    </w:p>
    <w:p w:rsidR="00671DD0" w:rsidRDefault="00671DD0" w14:paraId="723DD276" w14:textId="77777777">
      <w:pPr>
        <w:spacing w:after="160" w:line="259" w:lineRule="auto"/>
        <w:jc w:val="left"/>
        <w:rPr>
          <w:rFonts w:cs="Times New Roman"/>
          <w:b/>
          <w:sz w:val="28"/>
          <w:szCs w:val="28"/>
        </w:rPr>
      </w:pPr>
    </w:p>
    <w:p w:rsidR="00DA3455" w:rsidP="00845431" w:rsidRDefault="008C077C" w14:paraId="2C667248" w14:textId="77777777">
      <w:pPr>
        <w:keepNext/>
        <w:keepLines/>
        <w:shd w:val="clear" w:color="auto" w:fill="F2F2F2" w:themeFill="background1" w:themeFillShade="F2"/>
        <w:spacing w:after="120"/>
        <w:ind w:left="567" w:hanging="567"/>
        <w:rPr>
          <w:rFonts w:cs="Times New Roman"/>
          <w:b/>
          <w:sz w:val="28"/>
          <w:szCs w:val="28"/>
        </w:rPr>
      </w:pPr>
      <w:r w:rsidRPr="00E65A40">
        <w:rPr>
          <w:rFonts w:cs="Times New Roman"/>
          <w:b/>
          <w:sz w:val="28"/>
          <w:szCs w:val="28"/>
        </w:rPr>
        <w:tab/>
      </w:r>
    </w:p>
    <w:p w:rsidR="00DA3455" w:rsidRDefault="00DA3455" w14:paraId="00EE08D0" w14:textId="77777777">
      <w:pPr>
        <w:spacing w:after="160" w:line="259" w:lineRule="auto"/>
        <w:jc w:val="left"/>
        <w:rPr>
          <w:rFonts w:cs="Times New Roman"/>
          <w:b/>
          <w:sz w:val="28"/>
          <w:szCs w:val="28"/>
        </w:rPr>
      </w:pPr>
      <w:r>
        <w:rPr>
          <w:rFonts w:cs="Times New Roman"/>
          <w:b/>
          <w:sz w:val="28"/>
          <w:szCs w:val="28"/>
        </w:rPr>
        <w:br w:type="page"/>
      </w:r>
    </w:p>
    <w:p w:rsidRPr="00E65A40" w:rsidR="008C077C" w:rsidP="00845431" w:rsidRDefault="008C077C" w14:paraId="48BFF6F9" w14:textId="713B09A6">
      <w:pPr>
        <w:keepNext/>
        <w:keepLines/>
        <w:shd w:val="clear" w:color="auto" w:fill="F2F2F2" w:themeFill="background1" w:themeFillShade="F2"/>
        <w:spacing w:after="120"/>
        <w:ind w:left="567" w:hanging="567"/>
        <w:rPr>
          <w:rFonts w:cs="Times New Roman"/>
          <w:b/>
          <w:sz w:val="28"/>
          <w:szCs w:val="28"/>
        </w:rPr>
      </w:pPr>
      <w:r w:rsidRPr="00E65A40">
        <w:rPr>
          <w:rFonts w:cs="Times New Roman"/>
          <w:b/>
          <w:sz w:val="28"/>
          <w:szCs w:val="28"/>
        </w:rPr>
        <w:lastRenderedPageBreak/>
        <w:t>Latvijas delegācijas sastāvs</w:t>
      </w:r>
    </w:p>
    <w:p w:rsidR="00211266" w:rsidP="00AC0027" w:rsidRDefault="00211266" w14:paraId="07727CE9" w14:textId="77777777">
      <w:pPr>
        <w:keepNext/>
        <w:keepLines/>
        <w:spacing w:after="120"/>
        <w:rPr>
          <w:rFonts w:eastAsia="Calibri"/>
          <w:sz w:val="28"/>
          <w:szCs w:val="28"/>
        </w:rPr>
      </w:pPr>
      <w:r w:rsidRPr="00E65A40">
        <w:rPr>
          <w:rFonts w:eastAsia="Calibri"/>
          <w:sz w:val="28"/>
          <w:szCs w:val="28"/>
        </w:rPr>
        <w:t>Delegācijas vadītāj</w:t>
      </w:r>
      <w:r w:rsidR="00C85855">
        <w:rPr>
          <w:rFonts w:eastAsia="Calibri"/>
          <w:sz w:val="28"/>
          <w:szCs w:val="28"/>
        </w:rPr>
        <w:t>s</w:t>
      </w:r>
      <w:r w:rsidR="00DF742B">
        <w:rPr>
          <w:rFonts w:eastAsia="Calibri"/>
          <w:sz w:val="28"/>
          <w:szCs w:val="28"/>
        </w:rPr>
        <w:t>:</w:t>
      </w:r>
      <w:r w:rsidR="00DF742B">
        <w:rPr>
          <w:rFonts w:eastAsia="Calibri"/>
          <w:sz w:val="28"/>
          <w:szCs w:val="28"/>
        </w:rPr>
        <w:tab/>
      </w:r>
      <w:r w:rsidRPr="00E65A40">
        <w:rPr>
          <w:rFonts w:eastAsia="Calibri"/>
          <w:sz w:val="28"/>
          <w:szCs w:val="28"/>
        </w:rPr>
        <w:t>Ekonomikas ministrijas valsts sekretār</w:t>
      </w:r>
      <w:r w:rsidR="00C85855">
        <w:rPr>
          <w:rFonts w:eastAsia="Calibri"/>
          <w:sz w:val="28"/>
          <w:szCs w:val="28"/>
        </w:rPr>
        <w:t>s</w:t>
      </w:r>
      <w:r>
        <w:rPr>
          <w:rFonts w:eastAsia="Calibri"/>
          <w:sz w:val="28"/>
          <w:szCs w:val="28"/>
        </w:rPr>
        <w:t xml:space="preserve"> </w:t>
      </w:r>
      <w:r w:rsidR="00C85855">
        <w:rPr>
          <w:rFonts w:eastAsia="Calibri"/>
          <w:b/>
          <w:sz w:val="28"/>
          <w:szCs w:val="28"/>
        </w:rPr>
        <w:t>Ē</w:t>
      </w:r>
      <w:r w:rsidRPr="00E65A40">
        <w:rPr>
          <w:rFonts w:eastAsia="Calibri"/>
          <w:b/>
          <w:sz w:val="28"/>
          <w:szCs w:val="28"/>
        </w:rPr>
        <w:t>.</w:t>
      </w:r>
      <w:r w:rsidR="00C85855">
        <w:rPr>
          <w:rFonts w:eastAsia="Calibri"/>
          <w:b/>
          <w:sz w:val="28"/>
          <w:szCs w:val="28"/>
        </w:rPr>
        <w:t xml:space="preserve"> Eglītis</w:t>
      </w:r>
      <w:r>
        <w:rPr>
          <w:rFonts w:eastAsia="Calibri"/>
          <w:sz w:val="28"/>
          <w:szCs w:val="28"/>
        </w:rPr>
        <w:t>.</w:t>
      </w:r>
    </w:p>
    <w:p w:rsidRPr="00DF742B" w:rsidR="00DF742B" w:rsidP="00A5455C" w:rsidRDefault="00DF742B" w14:paraId="4E2EB0F0" w14:textId="77777777">
      <w:pPr>
        <w:keepNext/>
        <w:keepLines/>
        <w:spacing w:after="120"/>
        <w:ind w:left="2880" w:hanging="2880"/>
        <w:rPr>
          <w:rFonts w:eastAsia="Calibri"/>
          <w:sz w:val="28"/>
          <w:szCs w:val="28"/>
        </w:rPr>
      </w:pPr>
      <w:r w:rsidRPr="00DF742B">
        <w:rPr>
          <w:rFonts w:eastAsia="Calibri"/>
          <w:sz w:val="28"/>
          <w:szCs w:val="28"/>
        </w:rPr>
        <w:t>Delegācijas dalībnieki:</w:t>
      </w:r>
      <w:r w:rsidRPr="00DF742B">
        <w:rPr>
          <w:rFonts w:eastAsia="Calibri"/>
          <w:sz w:val="28"/>
          <w:szCs w:val="28"/>
        </w:rPr>
        <w:tab/>
      </w:r>
      <w:r w:rsidR="005D1C50">
        <w:rPr>
          <w:rFonts w:eastAsia="Calibri"/>
          <w:b/>
          <w:sz w:val="28"/>
          <w:szCs w:val="28"/>
        </w:rPr>
        <w:t>Zaiga Liepiņa</w:t>
      </w:r>
      <w:r w:rsidRPr="00DF742B">
        <w:rPr>
          <w:rFonts w:eastAsia="Calibri"/>
          <w:sz w:val="28"/>
          <w:szCs w:val="28"/>
        </w:rPr>
        <w:t xml:space="preserve">, Ekonomikas ministrijas </w:t>
      </w:r>
      <w:r>
        <w:rPr>
          <w:rFonts w:eastAsia="Calibri"/>
          <w:sz w:val="28"/>
          <w:szCs w:val="28"/>
        </w:rPr>
        <w:t>valsts sekretāra vietniece</w:t>
      </w:r>
    </w:p>
    <w:p w:rsidRPr="00E65A40" w:rsidR="008C077C" w:rsidP="00AC0027" w:rsidRDefault="008C077C" w14:paraId="7046CD2A" w14:textId="77777777">
      <w:pPr>
        <w:spacing w:after="120"/>
        <w:ind w:left="2835" w:hanging="2835"/>
        <w:rPr>
          <w:sz w:val="28"/>
          <w:szCs w:val="28"/>
        </w:rPr>
      </w:pPr>
    </w:p>
    <w:p w:rsidR="00826720" w:rsidP="007C0EB2" w:rsidRDefault="00845431" w14:paraId="1C3CC698" w14:textId="26BE1BBD">
      <w:pPr>
        <w:tabs>
          <w:tab w:val="right" w:pos="8931"/>
        </w:tabs>
        <w:spacing w:after="120"/>
        <w:rPr>
          <w:sz w:val="28"/>
          <w:szCs w:val="28"/>
        </w:rPr>
      </w:pPr>
      <w:r>
        <w:rPr>
          <w:sz w:val="28"/>
          <w:szCs w:val="28"/>
        </w:rPr>
        <w:t>Iesniedzējs:</w:t>
      </w:r>
      <w:r w:rsidR="00A5455C">
        <w:rPr>
          <w:sz w:val="28"/>
          <w:szCs w:val="28"/>
        </w:rPr>
        <w:t xml:space="preserve"> </w:t>
      </w:r>
      <w:r w:rsidR="00C96EE9">
        <w:rPr>
          <w:sz w:val="28"/>
          <w:szCs w:val="28"/>
        </w:rPr>
        <w:t>ekonomikas ministr</w:t>
      </w:r>
      <w:r w:rsidR="00826720">
        <w:rPr>
          <w:sz w:val="28"/>
          <w:szCs w:val="28"/>
        </w:rPr>
        <w:t>a pienākumu izpildītāja</w:t>
      </w:r>
      <w:r w:rsidR="00E4359F">
        <w:rPr>
          <w:sz w:val="28"/>
          <w:szCs w:val="28"/>
        </w:rPr>
        <w:t>,</w:t>
      </w:r>
      <w:bookmarkStart w:name="_GoBack" w:id="0"/>
      <w:bookmarkEnd w:id="0"/>
    </w:p>
    <w:p w:rsidRPr="00E65A40" w:rsidR="008C077C" w:rsidP="007C0EB2" w:rsidRDefault="00826720" w14:paraId="6739A643" w14:textId="7B82776F">
      <w:pPr>
        <w:tabs>
          <w:tab w:val="right" w:pos="8931"/>
        </w:tabs>
        <w:spacing w:after="120"/>
        <w:rPr>
          <w:sz w:val="28"/>
          <w:szCs w:val="28"/>
        </w:rPr>
      </w:pPr>
      <w:r>
        <w:rPr>
          <w:sz w:val="28"/>
          <w:szCs w:val="28"/>
        </w:rPr>
        <w:t>labklājības ministre</w:t>
      </w:r>
      <w:r w:rsidRPr="00E65A40" w:rsidR="008C077C">
        <w:rPr>
          <w:sz w:val="28"/>
          <w:szCs w:val="28"/>
        </w:rPr>
        <w:tab/>
      </w:r>
      <w:r w:rsidR="00A5455C">
        <w:rPr>
          <w:sz w:val="28"/>
          <w:szCs w:val="28"/>
        </w:rPr>
        <w:t>R.</w:t>
      </w:r>
      <w:r w:rsidR="00C96EE9">
        <w:rPr>
          <w:sz w:val="28"/>
          <w:szCs w:val="28"/>
        </w:rPr>
        <w:t xml:space="preserve"> </w:t>
      </w:r>
      <w:proofErr w:type="spellStart"/>
      <w:r>
        <w:rPr>
          <w:sz w:val="28"/>
          <w:szCs w:val="28"/>
        </w:rPr>
        <w:t>Petraviča</w:t>
      </w:r>
      <w:proofErr w:type="spellEnd"/>
    </w:p>
    <w:p w:rsidRPr="00E65A40" w:rsidR="008C077C" w:rsidP="00AC0027" w:rsidRDefault="008C077C" w14:paraId="29AC48A9" w14:textId="77777777">
      <w:pPr>
        <w:spacing w:after="120"/>
        <w:rPr>
          <w:sz w:val="28"/>
          <w:szCs w:val="28"/>
        </w:rPr>
      </w:pPr>
    </w:p>
    <w:p w:rsidRPr="00E65A40" w:rsidR="00293D19" w:rsidP="00845431" w:rsidRDefault="00C355E6" w14:paraId="516C3996" w14:textId="72BD08EC">
      <w:pPr>
        <w:tabs>
          <w:tab w:val="right" w:pos="9071"/>
        </w:tabs>
        <w:rPr>
          <w:rFonts w:cs="Times New Roman"/>
          <w:sz w:val="20"/>
          <w:szCs w:val="20"/>
        </w:rPr>
      </w:pPr>
      <w:r w:rsidRPr="00E65A40">
        <w:rPr>
          <w:sz w:val="28"/>
          <w:szCs w:val="28"/>
        </w:rPr>
        <w:t>Vīza: valsts sekretārs</w:t>
      </w:r>
      <w:r w:rsidRPr="00E65A40">
        <w:rPr>
          <w:sz w:val="28"/>
          <w:szCs w:val="28"/>
        </w:rPr>
        <w:tab/>
      </w:r>
      <w:r w:rsidR="00C85855">
        <w:rPr>
          <w:sz w:val="28"/>
          <w:szCs w:val="28"/>
        </w:rPr>
        <w:t>Ē</w:t>
      </w:r>
      <w:r w:rsidRPr="00E65A40">
        <w:rPr>
          <w:sz w:val="28"/>
          <w:szCs w:val="28"/>
        </w:rPr>
        <w:t>.</w:t>
      </w:r>
      <w:r w:rsidR="00845431">
        <w:rPr>
          <w:sz w:val="28"/>
          <w:szCs w:val="28"/>
        </w:rPr>
        <w:t> </w:t>
      </w:r>
      <w:r w:rsidR="00C85855">
        <w:rPr>
          <w:sz w:val="28"/>
          <w:szCs w:val="28"/>
        </w:rPr>
        <w:t>Eglītis</w:t>
      </w:r>
    </w:p>
    <w:p w:rsidRPr="00E65A40" w:rsidR="00293D19" w:rsidP="008B4876" w:rsidRDefault="00293D19" w14:paraId="3FEA0031" w14:textId="77777777">
      <w:pPr>
        <w:tabs>
          <w:tab w:val="left" w:pos="7230"/>
        </w:tabs>
        <w:rPr>
          <w:rFonts w:cs="Times New Roman"/>
          <w:sz w:val="20"/>
          <w:szCs w:val="20"/>
        </w:rPr>
      </w:pPr>
    </w:p>
    <w:p w:rsidRPr="00E65A40" w:rsidR="00293D19" w:rsidP="008B4876" w:rsidRDefault="00293D19" w14:paraId="0F162355" w14:textId="77777777">
      <w:pPr>
        <w:tabs>
          <w:tab w:val="left" w:pos="7230"/>
        </w:tabs>
        <w:rPr>
          <w:rFonts w:cs="Times New Roman"/>
          <w:sz w:val="20"/>
          <w:szCs w:val="20"/>
        </w:rPr>
      </w:pPr>
    </w:p>
    <w:p w:rsidRPr="00686A39" w:rsidR="00293D19" w:rsidP="00293D19" w:rsidRDefault="00C85855" w14:paraId="5F562AF3" w14:textId="77777777">
      <w:pPr>
        <w:rPr>
          <w:sz w:val="20"/>
          <w:szCs w:val="28"/>
        </w:rPr>
      </w:pPr>
      <w:r w:rsidRPr="00686A39">
        <w:rPr>
          <w:sz w:val="20"/>
          <w:szCs w:val="28"/>
        </w:rPr>
        <w:t>15</w:t>
      </w:r>
      <w:r w:rsidRPr="00686A39" w:rsidR="00293D19">
        <w:rPr>
          <w:sz w:val="20"/>
          <w:szCs w:val="28"/>
        </w:rPr>
        <w:t>.</w:t>
      </w:r>
      <w:r w:rsidRPr="00686A39" w:rsidR="0037551F">
        <w:rPr>
          <w:sz w:val="20"/>
          <w:szCs w:val="28"/>
        </w:rPr>
        <w:t>0</w:t>
      </w:r>
      <w:r w:rsidRPr="00686A39">
        <w:rPr>
          <w:sz w:val="20"/>
          <w:szCs w:val="28"/>
        </w:rPr>
        <w:t>4</w:t>
      </w:r>
      <w:r w:rsidRPr="00686A39" w:rsidR="00293D19">
        <w:rPr>
          <w:sz w:val="20"/>
          <w:szCs w:val="28"/>
        </w:rPr>
        <w:t>.201</w:t>
      </w:r>
      <w:r w:rsidRPr="00686A39">
        <w:rPr>
          <w:sz w:val="20"/>
          <w:szCs w:val="28"/>
        </w:rPr>
        <w:t>9</w:t>
      </w:r>
      <w:r w:rsidRPr="00686A39" w:rsidR="00293D19">
        <w:rPr>
          <w:sz w:val="20"/>
          <w:szCs w:val="28"/>
        </w:rPr>
        <w:t xml:space="preserve">. </w:t>
      </w:r>
    </w:p>
    <w:p w:rsidRPr="00E65A40" w:rsidR="00293D19" w:rsidP="00293D19" w:rsidRDefault="00DF742B" w14:paraId="07BA9987" w14:textId="083F762B">
      <w:pPr>
        <w:rPr>
          <w:sz w:val="20"/>
          <w:szCs w:val="28"/>
        </w:rPr>
      </w:pPr>
      <w:r w:rsidRPr="00686A39">
        <w:rPr>
          <w:sz w:val="20"/>
          <w:szCs w:val="28"/>
        </w:rPr>
        <w:t>2</w:t>
      </w:r>
      <w:r w:rsidR="00867371">
        <w:rPr>
          <w:sz w:val="20"/>
          <w:szCs w:val="28"/>
        </w:rPr>
        <w:t>7</w:t>
      </w:r>
      <w:r w:rsidR="0002228C">
        <w:rPr>
          <w:sz w:val="20"/>
          <w:szCs w:val="28"/>
        </w:rPr>
        <w:t>93</w:t>
      </w:r>
    </w:p>
    <w:p w:rsidRPr="00E65A40" w:rsidR="00293D19" w:rsidP="00293D19" w:rsidRDefault="00C85855" w14:paraId="1CA07D14" w14:textId="77777777">
      <w:pPr>
        <w:tabs>
          <w:tab w:val="left" w:pos="7230"/>
        </w:tabs>
        <w:rPr>
          <w:sz w:val="20"/>
          <w:szCs w:val="20"/>
        </w:rPr>
      </w:pPr>
      <w:proofErr w:type="spellStart"/>
      <w:r>
        <w:rPr>
          <w:sz w:val="20"/>
          <w:szCs w:val="20"/>
        </w:rPr>
        <w:t>O</w:t>
      </w:r>
      <w:r w:rsidRPr="00E65A40" w:rsidR="00293D19">
        <w:rPr>
          <w:sz w:val="20"/>
          <w:szCs w:val="20"/>
        </w:rPr>
        <w:t>.</w:t>
      </w:r>
      <w:r>
        <w:rPr>
          <w:sz w:val="20"/>
          <w:szCs w:val="20"/>
        </w:rPr>
        <w:t>Grigus</w:t>
      </w:r>
      <w:proofErr w:type="spellEnd"/>
    </w:p>
    <w:p w:rsidRPr="00845431" w:rsidR="00293D19" w:rsidP="008B4876" w:rsidRDefault="00293D19" w14:paraId="53EB221C" w14:textId="77777777">
      <w:pPr>
        <w:tabs>
          <w:tab w:val="left" w:pos="7230"/>
        </w:tabs>
        <w:rPr>
          <w:sz w:val="20"/>
          <w:szCs w:val="20"/>
        </w:rPr>
      </w:pPr>
      <w:r w:rsidRPr="00E65A40">
        <w:rPr>
          <w:sz w:val="20"/>
          <w:szCs w:val="20"/>
        </w:rPr>
        <w:t>67013</w:t>
      </w:r>
      <w:r w:rsidR="00C85855">
        <w:rPr>
          <w:sz w:val="20"/>
          <w:szCs w:val="20"/>
        </w:rPr>
        <w:t>114</w:t>
      </w:r>
      <w:r w:rsidRPr="00E65A40">
        <w:rPr>
          <w:sz w:val="20"/>
          <w:szCs w:val="20"/>
        </w:rPr>
        <w:t xml:space="preserve">, </w:t>
      </w:r>
      <w:r w:rsidR="00C85855">
        <w:rPr>
          <w:sz w:val="20"/>
          <w:szCs w:val="20"/>
          <w:u w:val="single"/>
        </w:rPr>
        <w:t>olafs</w:t>
      </w:r>
      <w:r w:rsidRPr="00E65A40">
        <w:rPr>
          <w:sz w:val="20"/>
          <w:szCs w:val="20"/>
          <w:u w:val="single"/>
        </w:rPr>
        <w:t>.</w:t>
      </w:r>
      <w:r w:rsidR="00C85855">
        <w:rPr>
          <w:sz w:val="20"/>
          <w:szCs w:val="20"/>
          <w:u w:val="single"/>
        </w:rPr>
        <w:t>grigus</w:t>
      </w:r>
      <w:r w:rsidRPr="00E65A40">
        <w:rPr>
          <w:sz w:val="20"/>
          <w:szCs w:val="20"/>
          <w:u w:val="single"/>
        </w:rPr>
        <w:t>@em.gov.lv</w:t>
      </w:r>
    </w:p>
    <w:sectPr w:rsidRPr="00845431" w:rsidR="00293D19" w:rsidSect="00E34A6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328E" w14:textId="77777777" w:rsidR="008542C7" w:rsidRDefault="008542C7" w:rsidP="008C077C">
      <w:r>
        <w:separator/>
      </w:r>
    </w:p>
  </w:endnote>
  <w:endnote w:type="continuationSeparator" w:id="0">
    <w:p w14:paraId="4E9A6786" w14:textId="77777777" w:rsidR="008542C7" w:rsidRDefault="008542C7" w:rsidP="008C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0A93" w14:textId="04DD412E" w:rsidR="008C077C" w:rsidRDefault="0002228C" w:rsidP="000E40F9">
    <w:pPr>
      <w:pStyle w:val="Footer"/>
      <w:tabs>
        <w:tab w:val="clear" w:pos="8306"/>
        <w:tab w:val="right" w:pos="9072"/>
      </w:tabs>
      <w:rPr>
        <w:rFonts w:cs="Times New Roman"/>
        <w:sz w:val="20"/>
        <w:szCs w:val="20"/>
      </w:rPr>
    </w:pPr>
    <w:r>
      <w:rPr>
        <w:rFonts w:cs="Times New Roman"/>
        <w:sz w:val="20"/>
        <w:szCs w:val="20"/>
      </w:rPr>
      <w:t xml:space="preserve">ESVIS </w:t>
    </w:r>
    <w:r w:rsidRPr="0002228C">
      <w:rPr>
        <w:rFonts w:cs="Times New Roman"/>
        <w:sz w:val="20"/>
        <w:szCs w:val="20"/>
      </w:rPr>
      <w:t>L206947</w:t>
    </w:r>
    <w:r w:rsidR="008C077C" w:rsidRPr="000E2F02">
      <w:rPr>
        <w:rFonts w:cs="Times New Roman"/>
        <w:sz w:val="20"/>
        <w:szCs w:val="20"/>
      </w:rPr>
      <w:t xml:space="preserve">; </w:t>
    </w:r>
    <w:r w:rsidR="00A527C3">
      <w:rPr>
        <w:rFonts w:cs="Times New Roman"/>
        <w:sz w:val="20"/>
        <w:szCs w:val="20"/>
      </w:rPr>
      <w:t>Informatīvais ziņojums par 201</w:t>
    </w:r>
    <w:r w:rsidR="00C85855">
      <w:rPr>
        <w:rFonts w:cs="Times New Roman"/>
        <w:sz w:val="20"/>
        <w:szCs w:val="20"/>
      </w:rPr>
      <w:t>9</w:t>
    </w:r>
    <w:r w:rsidR="008C077C" w:rsidRPr="000E2F02">
      <w:rPr>
        <w:rFonts w:cs="Times New Roman"/>
        <w:sz w:val="20"/>
        <w:szCs w:val="20"/>
      </w:rPr>
      <w:t>.</w:t>
    </w:r>
    <w:r w:rsidR="008C077C">
      <w:rPr>
        <w:rFonts w:cs="Times New Roman"/>
        <w:sz w:val="20"/>
        <w:szCs w:val="20"/>
      </w:rPr>
      <w:t> </w:t>
    </w:r>
    <w:r w:rsidR="008C077C" w:rsidRPr="000E2F02">
      <w:rPr>
        <w:rFonts w:cs="Times New Roman"/>
        <w:sz w:val="20"/>
        <w:szCs w:val="20"/>
      </w:rPr>
      <w:t xml:space="preserve">gada </w:t>
    </w:r>
    <w:r w:rsidR="00C85855">
      <w:rPr>
        <w:rFonts w:cs="Times New Roman"/>
        <w:sz w:val="20"/>
        <w:szCs w:val="20"/>
      </w:rPr>
      <w:t>02</w:t>
    </w:r>
    <w:r w:rsidR="0037551F">
      <w:rPr>
        <w:rFonts w:cs="Times New Roman"/>
        <w:sz w:val="20"/>
        <w:szCs w:val="20"/>
      </w:rPr>
      <w:t>.</w:t>
    </w:r>
    <w:r w:rsidR="00C85855">
      <w:rPr>
        <w:rFonts w:cs="Times New Roman"/>
        <w:sz w:val="20"/>
        <w:szCs w:val="20"/>
      </w:rPr>
      <w:t>maij</w:t>
    </w:r>
    <w:r w:rsidR="0037551F">
      <w:rPr>
        <w:rFonts w:cs="Times New Roman"/>
        <w:sz w:val="20"/>
        <w:szCs w:val="20"/>
      </w:rPr>
      <w:t xml:space="preserve">a – </w:t>
    </w:r>
    <w:r w:rsidR="00C85855">
      <w:rPr>
        <w:rFonts w:cs="Times New Roman"/>
        <w:sz w:val="20"/>
        <w:szCs w:val="20"/>
      </w:rPr>
      <w:t>03</w:t>
    </w:r>
    <w:r w:rsidR="0037551F">
      <w:rPr>
        <w:rFonts w:cs="Times New Roman"/>
        <w:sz w:val="20"/>
        <w:szCs w:val="20"/>
      </w:rPr>
      <w:t>.</w:t>
    </w:r>
    <w:r w:rsidR="00C85855">
      <w:rPr>
        <w:rFonts w:cs="Times New Roman"/>
        <w:sz w:val="20"/>
        <w:szCs w:val="20"/>
      </w:rPr>
      <w:t>maij</w:t>
    </w:r>
    <w:r w:rsidR="0037551F">
      <w:rPr>
        <w:rFonts w:cs="Times New Roman"/>
        <w:sz w:val="20"/>
        <w:szCs w:val="20"/>
      </w:rPr>
      <w:t xml:space="preserve">a </w:t>
    </w:r>
    <w:r w:rsidR="008C077C" w:rsidRPr="000E2F02">
      <w:rPr>
        <w:rFonts w:cs="Times New Roman"/>
        <w:sz w:val="20"/>
        <w:szCs w:val="20"/>
      </w:rPr>
      <w:t xml:space="preserve">neformālajā Eiropas Savienības Konkurētspējas </w:t>
    </w:r>
    <w:r w:rsidR="008C077C">
      <w:rPr>
        <w:rFonts w:cs="Times New Roman"/>
        <w:sz w:val="20"/>
        <w:szCs w:val="20"/>
      </w:rPr>
      <w:t xml:space="preserve">ministru </w:t>
    </w:r>
    <w:r w:rsidR="008C077C" w:rsidRPr="000E2F02">
      <w:rPr>
        <w:rFonts w:cs="Times New Roman"/>
        <w:sz w:val="20"/>
        <w:szCs w:val="20"/>
      </w:rPr>
      <w:t>sanāksmē izskatāmajiem jautājumiem</w:t>
    </w:r>
  </w:p>
  <w:p w14:paraId="24886A4B" w14:textId="77777777" w:rsidR="00037336" w:rsidRPr="000E40F9" w:rsidRDefault="00C66C62" w:rsidP="00037336">
    <w:pPr>
      <w:pStyle w:val="Footer"/>
      <w:tabs>
        <w:tab w:val="clear" w:pos="8306"/>
        <w:tab w:val="right" w:pos="9072"/>
      </w:tabs>
      <w:spacing w:before="120"/>
      <w:jc w:val="center"/>
      <w:rPr>
        <w:rFonts w:cs="Times New Roman"/>
        <w:sz w:val="20"/>
        <w:szCs w:val="20"/>
      </w:rPr>
    </w:pPr>
    <w:r>
      <w:rPr>
        <w:rFonts w:cs="Times New Roman"/>
        <w:sz w:val="20"/>
        <w:szCs w:val="20"/>
      </w:rPr>
      <w:fldChar w:fldCharType="begin"/>
    </w:r>
    <w:r w:rsidR="00037336">
      <w:rPr>
        <w:rFonts w:cs="Times New Roman"/>
        <w:sz w:val="20"/>
        <w:szCs w:val="20"/>
      </w:rPr>
      <w:instrText xml:space="preserve"> PAGE  \* Arabic  \* MERGEFORMAT </w:instrText>
    </w:r>
    <w:r>
      <w:rPr>
        <w:rFonts w:cs="Times New Roman"/>
        <w:sz w:val="20"/>
        <w:szCs w:val="20"/>
      </w:rPr>
      <w:fldChar w:fldCharType="separate"/>
    </w:r>
    <w:r w:rsidR="0018502F">
      <w:rPr>
        <w:rFonts w:cs="Times New Roman"/>
        <w:noProof/>
        <w:sz w:val="20"/>
        <w:szCs w:val="20"/>
      </w:rPr>
      <w:t>8</w:t>
    </w:r>
    <w:r>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DB50" w14:textId="77777777" w:rsidR="008542C7" w:rsidRDefault="008542C7" w:rsidP="008C077C">
      <w:r>
        <w:separator/>
      </w:r>
    </w:p>
  </w:footnote>
  <w:footnote w:type="continuationSeparator" w:id="0">
    <w:p w14:paraId="1CFB59EA" w14:textId="77777777" w:rsidR="008542C7" w:rsidRDefault="008542C7" w:rsidP="008C077C">
      <w:r>
        <w:continuationSeparator/>
      </w:r>
    </w:p>
  </w:footnote>
  <w:footnote w:id="1">
    <w:p w14:paraId="71B53547" w14:textId="77777777" w:rsidR="002E37FC" w:rsidRPr="002E37FC" w:rsidRDefault="002E37FC" w:rsidP="002E37FC">
      <w:pPr>
        <w:spacing w:after="120"/>
        <w:rPr>
          <w:i/>
          <w:sz w:val="20"/>
          <w:szCs w:val="28"/>
        </w:rPr>
      </w:pPr>
      <w:r w:rsidRPr="002E37FC">
        <w:rPr>
          <w:rStyle w:val="FootnoteReference"/>
          <w:sz w:val="20"/>
        </w:rPr>
        <w:footnoteRef/>
      </w:r>
      <w:r w:rsidRPr="002E37FC">
        <w:rPr>
          <w:sz w:val="20"/>
        </w:rPr>
        <w:t xml:space="preserve"> </w:t>
      </w:r>
      <w:r w:rsidRPr="002E37FC">
        <w:rPr>
          <w:sz w:val="20"/>
          <w:szCs w:val="28"/>
        </w:rPr>
        <w:t xml:space="preserve">2017. gada 16. augusta pozīcijā Nr.1 </w:t>
      </w:r>
      <w:r w:rsidRPr="002E37FC">
        <w:rPr>
          <w:i/>
          <w:sz w:val="20"/>
          <w:szCs w:val="28"/>
        </w:rPr>
        <w:t xml:space="preserve">“Komisijas paziņojums Eiropas Parlamentam, Padomei, Eiropas Ekonomikas un sociālo lietu komitejai un Reģionu Komitejai „Eiropas rūpniecības </w:t>
      </w:r>
      <w:proofErr w:type="spellStart"/>
      <w:r w:rsidRPr="002E37FC">
        <w:rPr>
          <w:i/>
          <w:sz w:val="20"/>
          <w:szCs w:val="28"/>
        </w:rPr>
        <w:t>digitalizācija</w:t>
      </w:r>
      <w:proofErr w:type="spellEnd"/>
      <w:r w:rsidRPr="002E37FC">
        <w:rPr>
          <w:i/>
          <w:sz w:val="20"/>
          <w:szCs w:val="28"/>
        </w:rPr>
        <w:t>. Digitālā vienotā tirgus priekšrocību izmantošana pilnā apmērā”</w:t>
      </w:r>
    </w:p>
    <w:p w14:paraId="4FC9EBBD" w14:textId="77777777" w:rsidR="002E37FC" w:rsidRPr="002E37FC" w:rsidRDefault="002E37FC" w:rsidP="002E37FC">
      <w:pPr>
        <w:spacing w:after="120"/>
        <w:rPr>
          <w:sz w:val="20"/>
          <w:szCs w:val="28"/>
        </w:rPr>
      </w:pPr>
      <w:r w:rsidRPr="002E37FC">
        <w:rPr>
          <w:sz w:val="20"/>
          <w:szCs w:val="28"/>
        </w:rPr>
        <w:t xml:space="preserve">2017. gada 28. novembra nacionālajā pozīcijā Nr.1 </w:t>
      </w:r>
      <w:r w:rsidRPr="002E37FC">
        <w:rPr>
          <w:i/>
          <w:sz w:val="20"/>
          <w:szCs w:val="28"/>
        </w:rPr>
        <w:t>"Komisijas ziņojums Eiropas Parlamentam, Eiropadomei, Padomei, Eiropas Ekonomikas un sociālo lietu komitejai, Reģionu Komitejai un Eiropas Investīciju bankai "Ieguldījumi gudrā, inovatīvā un ilgtspējīgā rūpniecības attīstībā. Atjaunotā ES rūpniecības politikas stratēģija""</w:t>
      </w:r>
    </w:p>
    <w:p w14:paraId="106590BF" w14:textId="77777777" w:rsidR="002E37FC" w:rsidRPr="002E37FC" w:rsidRDefault="002E37FC" w:rsidP="002E37FC">
      <w:pPr>
        <w:spacing w:after="120"/>
        <w:rPr>
          <w:sz w:val="20"/>
          <w:szCs w:val="28"/>
        </w:rPr>
      </w:pPr>
      <w:r w:rsidRPr="002E37FC">
        <w:rPr>
          <w:sz w:val="20"/>
          <w:szCs w:val="28"/>
        </w:rPr>
        <w:t xml:space="preserve">2018. gada 11. septembra pozīcijā Nr.1 </w:t>
      </w:r>
      <w:r w:rsidRPr="002E37FC">
        <w:rPr>
          <w:i/>
          <w:sz w:val="20"/>
          <w:szCs w:val="28"/>
        </w:rPr>
        <w:t>“Par priekšlikumu Eiropas parlamenta un Padomes regula, ar ko izveido Vienotā tirgus, uzņēmumu, tostarp mazo un vidējo uzņēmumu, konkurētspējas un Eiropas statistikas programmu un atceļ Regulu (ES) Nr. 99/2013, Regulu (ES) Nr. 1287/2013, Regulu (ES) Nr. 254/2014, Regulu (ES) Nr. 258/2014, Regulu (ES) Nr. 652/2014 un Regulu (ES) 2017/826”</w:t>
      </w:r>
    </w:p>
    <w:p w14:paraId="236EB61F" w14:textId="77777777" w:rsidR="002E37FC" w:rsidRDefault="002E37FC">
      <w:pPr>
        <w:pStyle w:val="FootnoteText"/>
      </w:pPr>
    </w:p>
  </w:footnote>
  <w:footnote w:id="2">
    <w:p w14:paraId="694D88B8" w14:textId="77777777" w:rsidR="00132BC5" w:rsidRDefault="00132BC5" w:rsidP="00132BC5">
      <w:pPr>
        <w:pStyle w:val="FootnoteText"/>
      </w:pPr>
    </w:p>
  </w:footnote>
  <w:footnote w:id="3">
    <w:p w14:paraId="5E82E34B" w14:textId="77777777" w:rsidR="002E37FC" w:rsidRPr="00A5455C" w:rsidRDefault="002E37FC" w:rsidP="002E37FC">
      <w:pPr>
        <w:spacing w:after="120"/>
        <w:rPr>
          <w:i/>
          <w:sz w:val="20"/>
          <w:szCs w:val="20"/>
        </w:rPr>
      </w:pPr>
      <w:r w:rsidRPr="002E37FC">
        <w:rPr>
          <w:rStyle w:val="FootnoteReference"/>
          <w:sz w:val="20"/>
          <w:szCs w:val="20"/>
        </w:rPr>
        <w:footnoteRef/>
      </w:r>
      <w:r w:rsidRPr="002E37FC">
        <w:rPr>
          <w:sz w:val="20"/>
          <w:szCs w:val="20"/>
        </w:rPr>
        <w:t xml:space="preserve"> 2018. gada 11. septembra pozīcijā Nr.1 </w:t>
      </w:r>
      <w:r w:rsidRPr="002E37FC">
        <w:rPr>
          <w:i/>
          <w:sz w:val="20"/>
          <w:szCs w:val="20"/>
        </w:rPr>
        <w:t>“Par priekšlikumu Eiropas parlamenta un Padomes regula, ar ko izveido Vienotā tirgus, uzņēmumu, tostarp mazo un vidējo uzņēmumu, konkurētspējas un Eiropas statistikas programmu un atceļ Regulu (ES) Nr. 99/2013, Regulu (ES) Nr. 1287/2013, Regulu (ES) Nr. 254/2014, Regulu (ES) Nr. 258/2014, Regulu (ES) Nr. 652/2014 un Regulu (ES) 2017/826”</w:t>
      </w:r>
    </w:p>
  </w:footnote>
  <w:footnote w:id="4">
    <w:p w14:paraId="5E569607" w14:textId="77777777" w:rsidR="00C55EF6" w:rsidRDefault="00C55EF6">
      <w:pPr>
        <w:pStyle w:val="FootnoteText"/>
      </w:pPr>
      <w:r w:rsidRPr="002E37FC">
        <w:rPr>
          <w:rStyle w:val="FootnoteReference"/>
        </w:rPr>
        <w:footnoteRef/>
      </w:r>
      <w:r w:rsidRPr="002E37FC">
        <w:t xml:space="preserve"> </w:t>
      </w:r>
      <w:proofErr w:type="spellStart"/>
      <w:r w:rsidRPr="002E37FC">
        <w:t>The</w:t>
      </w:r>
      <w:proofErr w:type="spellEnd"/>
      <w:r w:rsidRPr="002E37FC">
        <w:t xml:space="preserve">  </w:t>
      </w:r>
      <w:proofErr w:type="spellStart"/>
      <w:r w:rsidRPr="002E37FC">
        <w:t>Cost</w:t>
      </w:r>
      <w:proofErr w:type="spellEnd"/>
      <w:r w:rsidRPr="002E37FC">
        <w:t xml:space="preserve">  </w:t>
      </w:r>
      <w:proofErr w:type="spellStart"/>
      <w:r w:rsidRPr="002E37FC">
        <w:t>of</w:t>
      </w:r>
      <w:proofErr w:type="spellEnd"/>
      <w:r w:rsidRPr="002E37FC">
        <w:t xml:space="preserve">  Non-</w:t>
      </w:r>
      <w:proofErr w:type="spellStart"/>
      <w:r w:rsidRPr="002E37FC">
        <w:t>Europe</w:t>
      </w:r>
      <w:proofErr w:type="spellEnd"/>
      <w:r w:rsidRPr="002E37FC">
        <w:t xml:space="preserve">  </w:t>
      </w:r>
      <w:proofErr w:type="spellStart"/>
      <w:r w:rsidRPr="002E37FC">
        <w:t>in</w:t>
      </w:r>
      <w:proofErr w:type="spellEnd"/>
      <w:r w:rsidRPr="002E37FC">
        <w:t xml:space="preserve">  </w:t>
      </w:r>
      <w:proofErr w:type="spellStart"/>
      <w:r w:rsidRPr="002E37FC">
        <w:t>the</w:t>
      </w:r>
      <w:proofErr w:type="spellEnd"/>
      <w:r w:rsidRPr="002E37FC">
        <w:t xml:space="preserve">  </w:t>
      </w:r>
      <w:proofErr w:type="spellStart"/>
      <w:r w:rsidRPr="002E37FC">
        <w:t>Single</w:t>
      </w:r>
      <w:proofErr w:type="spellEnd"/>
      <w:r w:rsidRPr="002E37FC">
        <w:t xml:space="preserve">  </w:t>
      </w:r>
      <w:proofErr w:type="spellStart"/>
      <w:r w:rsidRPr="002E37FC">
        <w:t>Market</w:t>
      </w:r>
      <w:proofErr w:type="spellEnd"/>
      <w:r w:rsidRPr="002E37FC">
        <w:t xml:space="preserve">,  </w:t>
      </w:r>
      <w:proofErr w:type="spellStart"/>
      <w:r w:rsidRPr="002E37FC">
        <w:t>September</w:t>
      </w:r>
      <w:proofErr w:type="spellEnd"/>
      <w:r w:rsidRPr="002E37FC">
        <w:t xml:space="preserve">  2014,  </w:t>
      </w:r>
      <w:proofErr w:type="spellStart"/>
      <w:r w:rsidRPr="002E37FC">
        <w:t>European</w:t>
      </w:r>
      <w:proofErr w:type="spellEnd"/>
      <w:r w:rsidRPr="002E37FC">
        <w:t xml:space="preserve">  </w:t>
      </w:r>
      <w:proofErr w:type="spellStart"/>
      <w:r w:rsidRPr="002E37FC">
        <w:t>Parliamentary</w:t>
      </w:r>
      <w:proofErr w:type="spellEnd"/>
      <w:r w:rsidRPr="002E37FC">
        <w:t xml:space="preserve">  </w:t>
      </w:r>
      <w:proofErr w:type="spellStart"/>
      <w:r w:rsidRPr="002E37FC">
        <w:t>Research</w:t>
      </w:r>
      <w:proofErr w:type="spellEnd"/>
      <w:r w:rsidRPr="002E37FC">
        <w:t xml:space="preserve"> </w:t>
      </w:r>
      <w:proofErr w:type="spellStart"/>
      <w:r w:rsidRPr="002E37FC">
        <w:t>Service</w:t>
      </w:r>
      <w:proofErr w:type="spellEnd"/>
      <w:r w:rsidRPr="002E37FC">
        <w:t xml:space="preserve">: </w:t>
      </w:r>
      <w:hyperlink r:id="rId1" w:history="1">
        <w:r w:rsidRPr="00074FDC">
          <w:rPr>
            <w:rStyle w:val="Hyperlink"/>
          </w:rPr>
          <w:t>http://www.europarl.europa.eu/RegData/etudes/STUD/2014/510981/EPRS_STU%282014%29510981_REV1_EN.pdf</w:t>
        </w:r>
      </w:hyperlink>
      <w:r>
        <w:t xml:space="preserve"> </w:t>
      </w:r>
    </w:p>
  </w:footnote>
  <w:footnote w:id="5">
    <w:p w14:paraId="3AC665F5" w14:textId="77777777" w:rsidR="002E37FC" w:rsidRPr="002E37FC" w:rsidRDefault="002E37FC" w:rsidP="002E37FC">
      <w:pPr>
        <w:spacing w:after="120"/>
        <w:rPr>
          <w:i/>
          <w:szCs w:val="28"/>
        </w:rPr>
      </w:pPr>
      <w:r w:rsidRPr="002E37FC">
        <w:rPr>
          <w:rStyle w:val="FootnoteReference"/>
          <w:sz w:val="20"/>
        </w:rPr>
        <w:footnoteRef/>
      </w:r>
      <w:r w:rsidRPr="002E37FC">
        <w:rPr>
          <w:sz w:val="20"/>
        </w:rPr>
        <w:t xml:space="preserve"> </w:t>
      </w:r>
      <w:r w:rsidRPr="002E37FC">
        <w:rPr>
          <w:sz w:val="20"/>
          <w:szCs w:val="28"/>
        </w:rPr>
        <w:t xml:space="preserve">2019. gada </w:t>
      </w:r>
      <w:r w:rsidRPr="00826720">
        <w:rPr>
          <w:sz w:val="20"/>
          <w:szCs w:val="28"/>
        </w:rPr>
        <w:t>19. marta</w:t>
      </w:r>
      <w:r w:rsidRPr="002E37FC">
        <w:rPr>
          <w:sz w:val="20"/>
          <w:szCs w:val="28"/>
        </w:rPr>
        <w:t xml:space="preserve"> pozīcijā Nr.1 </w:t>
      </w:r>
      <w:r w:rsidRPr="002E37FC">
        <w:rPr>
          <w:i/>
          <w:sz w:val="20"/>
          <w:szCs w:val="28"/>
        </w:rPr>
        <w:t xml:space="preserve">“Par Eiropas Komisijas paziņojumu “Tīru planētu -- visiem! Stratēģisks Eiropas ilgtermiņa redzējums par pārticīgu, modernu, konkurētspējīgu un </w:t>
      </w:r>
      <w:proofErr w:type="spellStart"/>
      <w:r w:rsidRPr="002E37FC">
        <w:rPr>
          <w:i/>
          <w:sz w:val="20"/>
          <w:szCs w:val="28"/>
        </w:rPr>
        <w:t>klimatneitrālu</w:t>
      </w:r>
      <w:proofErr w:type="spellEnd"/>
      <w:r w:rsidRPr="002E37FC">
        <w:rPr>
          <w:i/>
          <w:sz w:val="20"/>
          <w:szCs w:val="28"/>
        </w:rPr>
        <w:t xml:space="preserve"> ekonomiku””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036"/>
    <w:multiLevelType w:val="hybridMultilevel"/>
    <w:tmpl w:val="BCFA726C"/>
    <w:lvl w:ilvl="0" w:tplc="04260001">
      <w:start w:val="1"/>
      <w:numFmt w:val="bullet"/>
      <w:lvlText w:val=""/>
      <w:lvlJc w:val="left"/>
      <w:pPr>
        <w:ind w:left="765" w:hanging="405"/>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23FA0"/>
    <w:multiLevelType w:val="hybridMultilevel"/>
    <w:tmpl w:val="F1E2EAF2"/>
    <w:lvl w:ilvl="0" w:tplc="77BE3F32">
      <w:numFmt w:val="bullet"/>
      <w:lvlText w:val="-"/>
      <w:lvlJc w:val="left"/>
      <w:pPr>
        <w:ind w:left="927" w:hanging="360"/>
      </w:pPr>
      <w:rPr>
        <w:rFonts w:ascii="Times New Roman" w:eastAsiaTheme="minorHAnsi" w:hAnsi="Times New Roman" w:cs="Times New Roman" w:hint="default"/>
        <w:color w:val="0070C0"/>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0C3576FA"/>
    <w:multiLevelType w:val="hybridMultilevel"/>
    <w:tmpl w:val="348E74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F1E36EC"/>
    <w:multiLevelType w:val="hybridMultilevel"/>
    <w:tmpl w:val="F6A8230C"/>
    <w:lvl w:ilvl="0" w:tplc="DB9457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FB97187"/>
    <w:multiLevelType w:val="hybridMultilevel"/>
    <w:tmpl w:val="CB5C310E"/>
    <w:lvl w:ilvl="0" w:tplc="919ED4E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4C0B92"/>
    <w:multiLevelType w:val="hybridMultilevel"/>
    <w:tmpl w:val="C380B22A"/>
    <w:lvl w:ilvl="0" w:tplc="0AC0DD3A">
      <w:start w:val="1"/>
      <w:numFmt w:val="bullet"/>
      <w:lvlText w:val="-"/>
      <w:lvlJc w:val="left"/>
      <w:pPr>
        <w:ind w:left="1647" w:hanging="360"/>
      </w:pPr>
      <w:rPr>
        <w:rFonts w:ascii="Courier New" w:hAnsi="Courier New"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6" w15:restartNumberingAfterBreak="0">
    <w:nsid w:val="17391266"/>
    <w:multiLevelType w:val="hybridMultilevel"/>
    <w:tmpl w:val="FBF2F9E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535BC2"/>
    <w:multiLevelType w:val="hybridMultilevel"/>
    <w:tmpl w:val="CFF81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9D4017"/>
    <w:multiLevelType w:val="hybridMultilevel"/>
    <w:tmpl w:val="46B63AB6"/>
    <w:lvl w:ilvl="0" w:tplc="DFDEC7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B96753A"/>
    <w:multiLevelType w:val="hybridMultilevel"/>
    <w:tmpl w:val="F3941484"/>
    <w:lvl w:ilvl="0" w:tplc="D7CAE0E6">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219D445B"/>
    <w:multiLevelType w:val="hybridMultilevel"/>
    <w:tmpl w:val="45322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39454B"/>
    <w:multiLevelType w:val="hybridMultilevel"/>
    <w:tmpl w:val="FCC011F6"/>
    <w:lvl w:ilvl="0" w:tplc="D7CAE0E6">
      <w:start w:val="1"/>
      <w:numFmt w:val="bullet"/>
      <w:lvlText w:val="˗"/>
      <w:lvlJc w:val="left"/>
      <w:pPr>
        <w:ind w:left="927" w:hanging="360"/>
      </w:pPr>
      <w:rPr>
        <w:rFonts w:ascii="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269D1923"/>
    <w:multiLevelType w:val="hybridMultilevel"/>
    <w:tmpl w:val="C8D2D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02006A"/>
    <w:multiLevelType w:val="hybridMultilevel"/>
    <w:tmpl w:val="3FE0ED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CB6633"/>
    <w:multiLevelType w:val="hybridMultilevel"/>
    <w:tmpl w:val="B386AB90"/>
    <w:lvl w:ilvl="0" w:tplc="E86C04C8">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2FC3B66"/>
    <w:multiLevelType w:val="hybridMultilevel"/>
    <w:tmpl w:val="FD7E7A1A"/>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4BF3A63"/>
    <w:multiLevelType w:val="hybridMultilevel"/>
    <w:tmpl w:val="A26223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1C7734"/>
    <w:multiLevelType w:val="hybridMultilevel"/>
    <w:tmpl w:val="0D1AF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CF5168"/>
    <w:multiLevelType w:val="hybridMultilevel"/>
    <w:tmpl w:val="F7669C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3276FB"/>
    <w:multiLevelType w:val="hybridMultilevel"/>
    <w:tmpl w:val="65A251F2"/>
    <w:lvl w:ilvl="0" w:tplc="3FF276F8">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E74192"/>
    <w:multiLevelType w:val="hybridMultilevel"/>
    <w:tmpl w:val="73946A6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154A52"/>
    <w:multiLevelType w:val="hybridMultilevel"/>
    <w:tmpl w:val="C2083C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857280"/>
    <w:multiLevelType w:val="hybridMultilevel"/>
    <w:tmpl w:val="B2A63072"/>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48441094"/>
    <w:multiLevelType w:val="hybridMultilevel"/>
    <w:tmpl w:val="70804A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74786E"/>
    <w:multiLevelType w:val="hybridMultilevel"/>
    <w:tmpl w:val="EC586F34"/>
    <w:lvl w:ilvl="0" w:tplc="04260011">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497CFA"/>
    <w:multiLevelType w:val="hybridMultilevel"/>
    <w:tmpl w:val="92BA78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E8C248E"/>
    <w:multiLevelType w:val="hybridMultilevel"/>
    <w:tmpl w:val="4314B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467D25"/>
    <w:multiLevelType w:val="hybridMultilevel"/>
    <w:tmpl w:val="051074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4FCF0746"/>
    <w:multiLevelType w:val="hybridMultilevel"/>
    <w:tmpl w:val="4F62C8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4587E49"/>
    <w:multiLevelType w:val="hybridMultilevel"/>
    <w:tmpl w:val="0D8C1DCE"/>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5B846D6"/>
    <w:multiLevelType w:val="hybridMultilevel"/>
    <w:tmpl w:val="928201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6780BE8"/>
    <w:multiLevelType w:val="hybridMultilevel"/>
    <w:tmpl w:val="FB5ED51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59E26C16"/>
    <w:multiLevelType w:val="hybridMultilevel"/>
    <w:tmpl w:val="CB621C8A"/>
    <w:lvl w:ilvl="0" w:tplc="04260017">
      <w:start w:val="1"/>
      <w:numFmt w:val="lowerLetter"/>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B145FE3"/>
    <w:multiLevelType w:val="hybridMultilevel"/>
    <w:tmpl w:val="B21E9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D95471"/>
    <w:multiLevelType w:val="hybridMultilevel"/>
    <w:tmpl w:val="978E9304"/>
    <w:lvl w:ilvl="0" w:tplc="0AC0DD3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CE3671"/>
    <w:multiLevelType w:val="hybridMultilevel"/>
    <w:tmpl w:val="563EF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0465F5"/>
    <w:multiLevelType w:val="hybridMultilevel"/>
    <w:tmpl w:val="845AFE3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98435D4"/>
    <w:multiLevelType w:val="hybridMultilevel"/>
    <w:tmpl w:val="922E6CA2"/>
    <w:lvl w:ilvl="0" w:tplc="D1F07BB0">
      <w:start w:val="1"/>
      <w:numFmt w:val="decimal"/>
      <w:lvlText w:val="%1."/>
      <w:lvlJc w:val="left"/>
      <w:pPr>
        <w:ind w:left="720" w:hanging="360"/>
      </w:pPr>
      <w:rPr>
        <w:rFonts w:cs="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6750C2"/>
    <w:multiLevelType w:val="hybridMultilevel"/>
    <w:tmpl w:val="E32E14B8"/>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7833145"/>
    <w:multiLevelType w:val="hybridMultilevel"/>
    <w:tmpl w:val="A7B8D948"/>
    <w:lvl w:ilvl="0" w:tplc="1626F4B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8065B59"/>
    <w:multiLevelType w:val="hybridMultilevel"/>
    <w:tmpl w:val="80CA4AFE"/>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2"/>
  </w:num>
  <w:num w:numId="2">
    <w:abstractNumId w:val="40"/>
  </w:num>
  <w:num w:numId="3">
    <w:abstractNumId w:val="33"/>
  </w:num>
  <w:num w:numId="4">
    <w:abstractNumId w:val="10"/>
  </w:num>
  <w:num w:numId="5">
    <w:abstractNumId w:val="13"/>
  </w:num>
  <w:num w:numId="6">
    <w:abstractNumId w:val="19"/>
  </w:num>
  <w:num w:numId="7">
    <w:abstractNumId w:val="26"/>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7"/>
  </w:num>
  <w:num w:numId="11">
    <w:abstractNumId w:val="9"/>
  </w:num>
  <w:num w:numId="12">
    <w:abstractNumId w:val="1"/>
  </w:num>
  <w:num w:numId="13">
    <w:abstractNumId w:val="32"/>
  </w:num>
  <w:num w:numId="14">
    <w:abstractNumId w:val="2"/>
  </w:num>
  <w:num w:numId="15">
    <w:abstractNumId w:val="27"/>
  </w:num>
  <w:num w:numId="16">
    <w:abstractNumId w:val="7"/>
  </w:num>
  <w:num w:numId="17">
    <w:abstractNumId w:val="4"/>
  </w:num>
  <w:num w:numId="18">
    <w:abstractNumId w:val="11"/>
  </w:num>
  <w:num w:numId="19">
    <w:abstractNumId w:val="8"/>
  </w:num>
  <w:num w:numId="20">
    <w:abstractNumId w:val="12"/>
  </w:num>
  <w:num w:numId="21">
    <w:abstractNumId w:val="16"/>
  </w:num>
  <w:num w:numId="22">
    <w:abstractNumId w:val="0"/>
  </w:num>
  <w:num w:numId="23">
    <w:abstractNumId w:val="28"/>
  </w:num>
  <w:num w:numId="24">
    <w:abstractNumId w:val="38"/>
  </w:num>
  <w:num w:numId="25">
    <w:abstractNumId w:val="20"/>
  </w:num>
  <w:num w:numId="26">
    <w:abstractNumId w:val="36"/>
  </w:num>
  <w:num w:numId="27">
    <w:abstractNumId w:val="39"/>
  </w:num>
  <w:num w:numId="28">
    <w:abstractNumId w:val="15"/>
  </w:num>
  <w:num w:numId="29">
    <w:abstractNumId w:val="25"/>
  </w:num>
  <w:num w:numId="30">
    <w:abstractNumId w:val="30"/>
  </w:num>
  <w:num w:numId="31">
    <w:abstractNumId w:val="21"/>
  </w:num>
  <w:num w:numId="32">
    <w:abstractNumId w:val="6"/>
  </w:num>
  <w:num w:numId="33">
    <w:abstractNumId w:val="29"/>
  </w:num>
  <w:num w:numId="34">
    <w:abstractNumId w:val="23"/>
  </w:num>
  <w:num w:numId="35">
    <w:abstractNumId w:val="24"/>
  </w:num>
  <w:num w:numId="36">
    <w:abstractNumId w:val="31"/>
  </w:num>
  <w:num w:numId="37">
    <w:abstractNumId w:val="14"/>
  </w:num>
  <w:num w:numId="38">
    <w:abstractNumId w:val="35"/>
  </w:num>
  <w:num w:numId="39">
    <w:abstractNumId w:val="18"/>
  </w:num>
  <w:num w:numId="40">
    <w:abstractNumId w:val="3"/>
  </w:num>
  <w:num w:numId="41">
    <w:abstractNumId w:val="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7C"/>
    <w:rsid w:val="00002CA1"/>
    <w:rsid w:val="00003151"/>
    <w:rsid w:val="00003392"/>
    <w:rsid w:val="00005846"/>
    <w:rsid w:val="00005DE4"/>
    <w:rsid w:val="00012A4A"/>
    <w:rsid w:val="000162C4"/>
    <w:rsid w:val="00020463"/>
    <w:rsid w:val="0002228C"/>
    <w:rsid w:val="00025079"/>
    <w:rsid w:val="0003284A"/>
    <w:rsid w:val="000360F9"/>
    <w:rsid w:val="00037336"/>
    <w:rsid w:val="00037381"/>
    <w:rsid w:val="000428A4"/>
    <w:rsid w:val="00046D4D"/>
    <w:rsid w:val="00057C4C"/>
    <w:rsid w:val="00063C3A"/>
    <w:rsid w:val="000643A1"/>
    <w:rsid w:val="00064E1A"/>
    <w:rsid w:val="00082CA4"/>
    <w:rsid w:val="00085F25"/>
    <w:rsid w:val="00092517"/>
    <w:rsid w:val="000A2A91"/>
    <w:rsid w:val="000A5899"/>
    <w:rsid w:val="000B332F"/>
    <w:rsid w:val="000C68A7"/>
    <w:rsid w:val="000C7352"/>
    <w:rsid w:val="000D3798"/>
    <w:rsid w:val="000E1828"/>
    <w:rsid w:val="000E40F9"/>
    <w:rsid w:val="000F43F8"/>
    <w:rsid w:val="000F6C8D"/>
    <w:rsid w:val="001045D0"/>
    <w:rsid w:val="00107E47"/>
    <w:rsid w:val="00114349"/>
    <w:rsid w:val="001168C8"/>
    <w:rsid w:val="001207E9"/>
    <w:rsid w:val="00120915"/>
    <w:rsid w:val="0012683F"/>
    <w:rsid w:val="00132BC5"/>
    <w:rsid w:val="00140DB3"/>
    <w:rsid w:val="001414F2"/>
    <w:rsid w:val="00141FE1"/>
    <w:rsid w:val="00142F13"/>
    <w:rsid w:val="00150C2E"/>
    <w:rsid w:val="00157118"/>
    <w:rsid w:val="00161C3B"/>
    <w:rsid w:val="00163C94"/>
    <w:rsid w:val="001662E6"/>
    <w:rsid w:val="00166958"/>
    <w:rsid w:val="00183E5D"/>
    <w:rsid w:val="0018502F"/>
    <w:rsid w:val="00187311"/>
    <w:rsid w:val="001875C8"/>
    <w:rsid w:val="001A0777"/>
    <w:rsid w:val="001A1193"/>
    <w:rsid w:val="001C58AC"/>
    <w:rsid w:val="001D6B33"/>
    <w:rsid w:val="001D6EF4"/>
    <w:rsid w:val="002019DB"/>
    <w:rsid w:val="002026E6"/>
    <w:rsid w:val="00203630"/>
    <w:rsid w:val="002054B1"/>
    <w:rsid w:val="00206463"/>
    <w:rsid w:val="002106AD"/>
    <w:rsid w:val="00211266"/>
    <w:rsid w:val="00211654"/>
    <w:rsid w:val="00211A07"/>
    <w:rsid w:val="002124E7"/>
    <w:rsid w:val="0021495A"/>
    <w:rsid w:val="00216DE5"/>
    <w:rsid w:val="00217184"/>
    <w:rsid w:val="0022245B"/>
    <w:rsid w:val="00227A13"/>
    <w:rsid w:val="002342B7"/>
    <w:rsid w:val="00234F4A"/>
    <w:rsid w:val="0023547D"/>
    <w:rsid w:val="00237FCC"/>
    <w:rsid w:val="00246375"/>
    <w:rsid w:val="0025514E"/>
    <w:rsid w:val="00255A20"/>
    <w:rsid w:val="002560D3"/>
    <w:rsid w:val="00267245"/>
    <w:rsid w:val="0027012F"/>
    <w:rsid w:val="00272288"/>
    <w:rsid w:val="00275C1B"/>
    <w:rsid w:val="00277504"/>
    <w:rsid w:val="00280340"/>
    <w:rsid w:val="00286CE8"/>
    <w:rsid w:val="002914A8"/>
    <w:rsid w:val="00293D19"/>
    <w:rsid w:val="002B1228"/>
    <w:rsid w:val="002D4278"/>
    <w:rsid w:val="002D697B"/>
    <w:rsid w:val="002E37FC"/>
    <w:rsid w:val="002F0EED"/>
    <w:rsid w:val="002F67DA"/>
    <w:rsid w:val="00305B4E"/>
    <w:rsid w:val="00326FD2"/>
    <w:rsid w:val="00340752"/>
    <w:rsid w:val="0034194E"/>
    <w:rsid w:val="00364375"/>
    <w:rsid w:val="00364BD4"/>
    <w:rsid w:val="00374CB9"/>
    <w:rsid w:val="0037551F"/>
    <w:rsid w:val="00390520"/>
    <w:rsid w:val="003951C0"/>
    <w:rsid w:val="003A5B5E"/>
    <w:rsid w:val="003A65FF"/>
    <w:rsid w:val="003B0291"/>
    <w:rsid w:val="003B19A2"/>
    <w:rsid w:val="003B5D05"/>
    <w:rsid w:val="003C28ED"/>
    <w:rsid w:val="003C3B89"/>
    <w:rsid w:val="003C792A"/>
    <w:rsid w:val="003C7C61"/>
    <w:rsid w:val="003D19F5"/>
    <w:rsid w:val="003D1A79"/>
    <w:rsid w:val="003D3151"/>
    <w:rsid w:val="003D5134"/>
    <w:rsid w:val="003E0AD6"/>
    <w:rsid w:val="003E277F"/>
    <w:rsid w:val="003E455D"/>
    <w:rsid w:val="003F0F38"/>
    <w:rsid w:val="00400814"/>
    <w:rsid w:val="00407070"/>
    <w:rsid w:val="00420538"/>
    <w:rsid w:val="00423F04"/>
    <w:rsid w:val="00424EC2"/>
    <w:rsid w:val="00451EEC"/>
    <w:rsid w:val="00466C94"/>
    <w:rsid w:val="004673C2"/>
    <w:rsid w:val="004732B0"/>
    <w:rsid w:val="0048164B"/>
    <w:rsid w:val="00492F4F"/>
    <w:rsid w:val="004A7CAA"/>
    <w:rsid w:val="004B31AF"/>
    <w:rsid w:val="004B3E6B"/>
    <w:rsid w:val="004B6471"/>
    <w:rsid w:val="004D4546"/>
    <w:rsid w:val="004E5022"/>
    <w:rsid w:val="004E6AFE"/>
    <w:rsid w:val="004F2C83"/>
    <w:rsid w:val="004F4C19"/>
    <w:rsid w:val="004F52F9"/>
    <w:rsid w:val="004F6FE7"/>
    <w:rsid w:val="005132F1"/>
    <w:rsid w:val="00521F77"/>
    <w:rsid w:val="00522366"/>
    <w:rsid w:val="00522747"/>
    <w:rsid w:val="00523472"/>
    <w:rsid w:val="00524F5C"/>
    <w:rsid w:val="005345D6"/>
    <w:rsid w:val="00536103"/>
    <w:rsid w:val="005375D0"/>
    <w:rsid w:val="00560773"/>
    <w:rsid w:val="005634B3"/>
    <w:rsid w:val="00566C87"/>
    <w:rsid w:val="0057164B"/>
    <w:rsid w:val="00575C8A"/>
    <w:rsid w:val="00582E25"/>
    <w:rsid w:val="005935BD"/>
    <w:rsid w:val="005A2F05"/>
    <w:rsid w:val="005A483A"/>
    <w:rsid w:val="005A5934"/>
    <w:rsid w:val="005B0ACA"/>
    <w:rsid w:val="005B17B6"/>
    <w:rsid w:val="005B43D1"/>
    <w:rsid w:val="005C0FE0"/>
    <w:rsid w:val="005C70C8"/>
    <w:rsid w:val="005D1C50"/>
    <w:rsid w:val="005D56AB"/>
    <w:rsid w:val="005E4A4A"/>
    <w:rsid w:val="005E6A0A"/>
    <w:rsid w:val="005F44AF"/>
    <w:rsid w:val="00604686"/>
    <w:rsid w:val="00614DB3"/>
    <w:rsid w:val="00615FCE"/>
    <w:rsid w:val="00616592"/>
    <w:rsid w:val="006173B8"/>
    <w:rsid w:val="00636199"/>
    <w:rsid w:val="00643477"/>
    <w:rsid w:val="00646825"/>
    <w:rsid w:val="00647EF9"/>
    <w:rsid w:val="0065116D"/>
    <w:rsid w:val="00654BC4"/>
    <w:rsid w:val="0066333B"/>
    <w:rsid w:val="0066369D"/>
    <w:rsid w:val="00670BB2"/>
    <w:rsid w:val="00670E36"/>
    <w:rsid w:val="00671DD0"/>
    <w:rsid w:val="0067667B"/>
    <w:rsid w:val="00680C55"/>
    <w:rsid w:val="00684B66"/>
    <w:rsid w:val="00686A39"/>
    <w:rsid w:val="00692D5B"/>
    <w:rsid w:val="00696BF8"/>
    <w:rsid w:val="0069764B"/>
    <w:rsid w:val="006A635B"/>
    <w:rsid w:val="006B58BA"/>
    <w:rsid w:val="006B73EC"/>
    <w:rsid w:val="006C23D2"/>
    <w:rsid w:val="006D1CA0"/>
    <w:rsid w:val="006D38AC"/>
    <w:rsid w:val="006D5D8E"/>
    <w:rsid w:val="006E3CB7"/>
    <w:rsid w:val="006E3F2D"/>
    <w:rsid w:val="006F4744"/>
    <w:rsid w:val="006F4ACD"/>
    <w:rsid w:val="006F68EC"/>
    <w:rsid w:val="007026B4"/>
    <w:rsid w:val="00702A07"/>
    <w:rsid w:val="00710865"/>
    <w:rsid w:val="00716A24"/>
    <w:rsid w:val="0072437E"/>
    <w:rsid w:val="00724E34"/>
    <w:rsid w:val="007279BF"/>
    <w:rsid w:val="00733977"/>
    <w:rsid w:val="007441EB"/>
    <w:rsid w:val="007465A0"/>
    <w:rsid w:val="007539D2"/>
    <w:rsid w:val="0075610A"/>
    <w:rsid w:val="00760424"/>
    <w:rsid w:val="0076113E"/>
    <w:rsid w:val="00770E1A"/>
    <w:rsid w:val="00774CBE"/>
    <w:rsid w:val="00774D46"/>
    <w:rsid w:val="00786A81"/>
    <w:rsid w:val="00786C78"/>
    <w:rsid w:val="00791790"/>
    <w:rsid w:val="00794DDD"/>
    <w:rsid w:val="0079524B"/>
    <w:rsid w:val="007A050A"/>
    <w:rsid w:val="007A17FE"/>
    <w:rsid w:val="007A7A8A"/>
    <w:rsid w:val="007B72DE"/>
    <w:rsid w:val="007C0EB2"/>
    <w:rsid w:val="007C1E6B"/>
    <w:rsid w:val="007C5127"/>
    <w:rsid w:val="007C5E67"/>
    <w:rsid w:val="007E6346"/>
    <w:rsid w:val="007F7EDD"/>
    <w:rsid w:val="00803D81"/>
    <w:rsid w:val="00804C75"/>
    <w:rsid w:val="00805DEA"/>
    <w:rsid w:val="00814C2F"/>
    <w:rsid w:val="0082650D"/>
    <w:rsid w:val="00826720"/>
    <w:rsid w:val="00840C1D"/>
    <w:rsid w:val="00845431"/>
    <w:rsid w:val="00847DF0"/>
    <w:rsid w:val="00853143"/>
    <w:rsid w:val="00853597"/>
    <w:rsid w:val="00853D3A"/>
    <w:rsid w:val="008542C7"/>
    <w:rsid w:val="00854E38"/>
    <w:rsid w:val="0086290F"/>
    <w:rsid w:val="00866FA7"/>
    <w:rsid w:val="00867371"/>
    <w:rsid w:val="0087254E"/>
    <w:rsid w:val="008810CE"/>
    <w:rsid w:val="00885C96"/>
    <w:rsid w:val="008871D6"/>
    <w:rsid w:val="00897B74"/>
    <w:rsid w:val="008A5C50"/>
    <w:rsid w:val="008A7C1F"/>
    <w:rsid w:val="008B0595"/>
    <w:rsid w:val="008B24ED"/>
    <w:rsid w:val="008B4876"/>
    <w:rsid w:val="008C077C"/>
    <w:rsid w:val="008C0A0E"/>
    <w:rsid w:val="008C18AA"/>
    <w:rsid w:val="008C621C"/>
    <w:rsid w:val="008D3E0B"/>
    <w:rsid w:val="008E6B37"/>
    <w:rsid w:val="008F2BEE"/>
    <w:rsid w:val="009102AD"/>
    <w:rsid w:val="00912975"/>
    <w:rsid w:val="00913E20"/>
    <w:rsid w:val="009144A4"/>
    <w:rsid w:val="0091690F"/>
    <w:rsid w:val="0092104C"/>
    <w:rsid w:val="00921B56"/>
    <w:rsid w:val="00924EBE"/>
    <w:rsid w:val="00930130"/>
    <w:rsid w:val="00932E22"/>
    <w:rsid w:val="00937045"/>
    <w:rsid w:val="00940F54"/>
    <w:rsid w:val="0094161D"/>
    <w:rsid w:val="009455E4"/>
    <w:rsid w:val="0096161D"/>
    <w:rsid w:val="0098264D"/>
    <w:rsid w:val="009838C8"/>
    <w:rsid w:val="009909E5"/>
    <w:rsid w:val="00990A6C"/>
    <w:rsid w:val="009919E8"/>
    <w:rsid w:val="00991BCF"/>
    <w:rsid w:val="009936CD"/>
    <w:rsid w:val="009A0EBF"/>
    <w:rsid w:val="009A304A"/>
    <w:rsid w:val="009A696C"/>
    <w:rsid w:val="009A6B2E"/>
    <w:rsid w:val="009B0356"/>
    <w:rsid w:val="009B7786"/>
    <w:rsid w:val="009C197B"/>
    <w:rsid w:val="009C3E18"/>
    <w:rsid w:val="009C3FE5"/>
    <w:rsid w:val="009D2938"/>
    <w:rsid w:val="009D5212"/>
    <w:rsid w:val="00A069FA"/>
    <w:rsid w:val="00A11829"/>
    <w:rsid w:val="00A30AC4"/>
    <w:rsid w:val="00A3254D"/>
    <w:rsid w:val="00A368C1"/>
    <w:rsid w:val="00A476A2"/>
    <w:rsid w:val="00A527C3"/>
    <w:rsid w:val="00A52D34"/>
    <w:rsid w:val="00A53FF3"/>
    <w:rsid w:val="00A5455C"/>
    <w:rsid w:val="00A54FC0"/>
    <w:rsid w:val="00A7242B"/>
    <w:rsid w:val="00A73059"/>
    <w:rsid w:val="00A80EEB"/>
    <w:rsid w:val="00A928AC"/>
    <w:rsid w:val="00A93AC2"/>
    <w:rsid w:val="00AA3191"/>
    <w:rsid w:val="00AA6994"/>
    <w:rsid w:val="00AB7C8E"/>
    <w:rsid w:val="00AC0027"/>
    <w:rsid w:val="00AD1DD7"/>
    <w:rsid w:val="00AD2240"/>
    <w:rsid w:val="00AE0FE3"/>
    <w:rsid w:val="00AF002B"/>
    <w:rsid w:val="00AF0E9D"/>
    <w:rsid w:val="00AF24CD"/>
    <w:rsid w:val="00AF5F9E"/>
    <w:rsid w:val="00B01D99"/>
    <w:rsid w:val="00B077D1"/>
    <w:rsid w:val="00B078E3"/>
    <w:rsid w:val="00B15DBB"/>
    <w:rsid w:val="00B27F04"/>
    <w:rsid w:val="00B35276"/>
    <w:rsid w:val="00B37858"/>
    <w:rsid w:val="00B42FA7"/>
    <w:rsid w:val="00B44D21"/>
    <w:rsid w:val="00B457DB"/>
    <w:rsid w:val="00B57180"/>
    <w:rsid w:val="00B577D1"/>
    <w:rsid w:val="00B63E41"/>
    <w:rsid w:val="00B72E78"/>
    <w:rsid w:val="00B747F4"/>
    <w:rsid w:val="00B74F5D"/>
    <w:rsid w:val="00B77D7B"/>
    <w:rsid w:val="00B831FE"/>
    <w:rsid w:val="00BA1422"/>
    <w:rsid w:val="00BA194F"/>
    <w:rsid w:val="00BA426E"/>
    <w:rsid w:val="00BB05E8"/>
    <w:rsid w:val="00BB209E"/>
    <w:rsid w:val="00BB71B2"/>
    <w:rsid w:val="00BC5556"/>
    <w:rsid w:val="00BD201B"/>
    <w:rsid w:val="00BD42B7"/>
    <w:rsid w:val="00BD631C"/>
    <w:rsid w:val="00BD65FB"/>
    <w:rsid w:val="00BE0640"/>
    <w:rsid w:val="00BE56FE"/>
    <w:rsid w:val="00BF54FD"/>
    <w:rsid w:val="00C06F53"/>
    <w:rsid w:val="00C1279E"/>
    <w:rsid w:val="00C12A4C"/>
    <w:rsid w:val="00C16186"/>
    <w:rsid w:val="00C20D7A"/>
    <w:rsid w:val="00C26AB0"/>
    <w:rsid w:val="00C27678"/>
    <w:rsid w:val="00C35462"/>
    <w:rsid w:val="00C355E6"/>
    <w:rsid w:val="00C375F2"/>
    <w:rsid w:val="00C40D81"/>
    <w:rsid w:val="00C46A1E"/>
    <w:rsid w:val="00C53616"/>
    <w:rsid w:val="00C55EF6"/>
    <w:rsid w:val="00C66C62"/>
    <w:rsid w:val="00C72AE9"/>
    <w:rsid w:val="00C759F1"/>
    <w:rsid w:val="00C75AE5"/>
    <w:rsid w:val="00C75BB7"/>
    <w:rsid w:val="00C774BA"/>
    <w:rsid w:val="00C8002F"/>
    <w:rsid w:val="00C85855"/>
    <w:rsid w:val="00C9308D"/>
    <w:rsid w:val="00C96EE9"/>
    <w:rsid w:val="00CA25EE"/>
    <w:rsid w:val="00CC39CD"/>
    <w:rsid w:val="00CD3690"/>
    <w:rsid w:val="00CE2270"/>
    <w:rsid w:val="00CF1C44"/>
    <w:rsid w:val="00CF27D6"/>
    <w:rsid w:val="00CF2A6F"/>
    <w:rsid w:val="00CF559E"/>
    <w:rsid w:val="00CF6382"/>
    <w:rsid w:val="00D217B9"/>
    <w:rsid w:val="00D26FDE"/>
    <w:rsid w:val="00D34BBE"/>
    <w:rsid w:val="00D3637B"/>
    <w:rsid w:val="00D402BF"/>
    <w:rsid w:val="00D413D7"/>
    <w:rsid w:val="00D4444F"/>
    <w:rsid w:val="00D504A0"/>
    <w:rsid w:val="00D515E1"/>
    <w:rsid w:val="00D52163"/>
    <w:rsid w:val="00D54537"/>
    <w:rsid w:val="00D565B0"/>
    <w:rsid w:val="00D62EBB"/>
    <w:rsid w:val="00D6574B"/>
    <w:rsid w:val="00D65B17"/>
    <w:rsid w:val="00D72D3E"/>
    <w:rsid w:val="00D77789"/>
    <w:rsid w:val="00D920A6"/>
    <w:rsid w:val="00D926D7"/>
    <w:rsid w:val="00DA2C5A"/>
    <w:rsid w:val="00DA3455"/>
    <w:rsid w:val="00DA659F"/>
    <w:rsid w:val="00DB785A"/>
    <w:rsid w:val="00DC17E5"/>
    <w:rsid w:val="00DC27A6"/>
    <w:rsid w:val="00DE149D"/>
    <w:rsid w:val="00DE2AD0"/>
    <w:rsid w:val="00DE357B"/>
    <w:rsid w:val="00DE7838"/>
    <w:rsid w:val="00DF633F"/>
    <w:rsid w:val="00DF742B"/>
    <w:rsid w:val="00E34A69"/>
    <w:rsid w:val="00E40205"/>
    <w:rsid w:val="00E4359F"/>
    <w:rsid w:val="00E43EB3"/>
    <w:rsid w:val="00E46D9E"/>
    <w:rsid w:val="00E52D2B"/>
    <w:rsid w:val="00E65A40"/>
    <w:rsid w:val="00E70E48"/>
    <w:rsid w:val="00E823AC"/>
    <w:rsid w:val="00E84F58"/>
    <w:rsid w:val="00EA05BC"/>
    <w:rsid w:val="00EA2D22"/>
    <w:rsid w:val="00EA4054"/>
    <w:rsid w:val="00EA6AB8"/>
    <w:rsid w:val="00EB47FC"/>
    <w:rsid w:val="00EB5D0A"/>
    <w:rsid w:val="00EB7F74"/>
    <w:rsid w:val="00ED3ED3"/>
    <w:rsid w:val="00ED4793"/>
    <w:rsid w:val="00EE0B74"/>
    <w:rsid w:val="00EF19B6"/>
    <w:rsid w:val="00EF2C44"/>
    <w:rsid w:val="00EF6A01"/>
    <w:rsid w:val="00EF7FEC"/>
    <w:rsid w:val="00F01DAE"/>
    <w:rsid w:val="00F16EAD"/>
    <w:rsid w:val="00F3116C"/>
    <w:rsid w:val="00F3384E"/>
    <w:rsid w:val="00F43B7C"/>
    <w:rsid w:val="00F46C00"/>
    <w:rsid w:val="00F54F91"/>
    <w:rsid w:val="00F5549E"/>
    <w:rsid w:val="00F558B5"/>
    <w:rsid w:val="00F62DF7"/>
    <w:rsid w:val="00F6582B"/>
    <w:rsid w:val="00F716D7"/>
    <w:rsid w:val="00F733D9"/>
    <w:rsid w:val="00F817AD"/>
    <w:rsid w:val="00F93E3C"/>
    <w:rsid w:val="00FA6C24"/>
    <w:rsid w:val="00FB0B0C"/>
    <w:rsid w:val="00FB31E9"/>
    <w:rsid w:val="00FB3A9F"/>
    <w:rsid w:val="00FB45AA"/>
    <w:rsid w:val="00FB69C8"/>
    <w:rsid w:val="00FC0F61"/>
    <w:rsid w:val="00FC317F"/>
    <w:rsid w:val="00FC5643"/>
    <w:rsid w:val="00FD2B4E"/>
    <w:rsid w:val="00FD786A"/>
    <w:rsid w:val="00FE5102"/>
    <w:rsid w:val="00FF1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7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2701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BD42B7"/>
    <w:pPr>
      <w:keepNext/>
      <w:jc w:val="center"/>
      <w:outlineLvl w:val="3"/>
    </w:pPr>
    <w:rPr>
      <w:rFonts w:eastAsia="Times New Roman" w:cs="Arial Unicode MS"/>
      <w:b/>
      <w:bCs/>
      <w:sz w:val="28"/>
      <w:szCs w:val="28"/>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77C"/>
    <w:pPr>
      <w:tabs>
        <w:tab w:val="center" w:pos="4153"/>
        <w:tab w:val="right" w:pos="8306"/>
      </w:tabs>
    </w:pPr>
  </w:style>
  <w:style w:type="character" w:customStyle="1" w:styleId="HeaderChar">
    <w:name w:val="Header Char"/>
    <w:basedOn w:val="DefaultParagraphFont"/>
    <w:link w:val="Header"/>
    <w:uiPriority w:val="99"/>
    <w:rsid w:val="008C077C"/>
    <w:rPr>
      <w:rFonts w:ascii="Times New Roman" w:hAnsi="Times New Roman"/>
      <w:sz w:val="24"/>
    </w:rPr>
  </w:style>
  <w:style w:type="paragraph" w:styleId="Footer">
    <w:name w:val="footer"/>
    <w:basedOn w:val="Normal"/>
    <w:link w:val="FooterChar"/>
    <w:uiPriority w:val="99"/>
    <w:unhideWhenUsed/>
    <w:rsid w:val="008C077C"/>
    <w:pPr>
      <w:tabs>
        <w:tab w:val="center" w:pos="4153"/>
        <w:tab w:val="right" w:pos="8306"/>
      </w:tabs>
    </w:pPr>
  </w:style>
  <w:style w:type="character" w:customStyle="1" w:styleId="FooterChar">
    <w:name w:val="Footer Char"/>
    <w:basedOn w:val="DefaultParagraphFont"/>
    <w:link w:val="Footer"/>
    <w:uiPriority w:val="99"/>
    <w:rsid w:val="008C077C"/>
    <w:rPr>
      <w:rFonts w:ascii="Times New Roman" w:hAnsi="Times New Roman"/>
      <w:sz w:val="24"/>
    </w:rPr>
  </w:style>
  <w:style w:type="table" w:styleId="TableGrid">
    <w:name w:val="Table Grid"/>
    <w:basedOn w:val="TableNormal"/>
    <w:uiPriority w:val="59"/>
    <w:rsid w:val="008C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DF0"/>
    <w:pPr>
      <w:ind w:left="720"/>
      <w:contextualSpacing/>
    </w:pPr>
  </w:style>
  <w:style w:type="paragraph" w:styleId="FootnoteText">
    <w:name w:val="footnote text"/>
    <w:basedOn w:val="Normal"/>
    <w:link w:val="FootnoteTextChar"/>
    <w:uiPriority w:val="99"/>
    <w:semiHidden/>
    <w:unhideWhenUsed/>
    <w:rsid w:val="002560D3"/>
    <w:rPr>
      <w:sz w:val="20"/>
      <w:szCs w:val="20"/>
    </w:rPr>
  </w:style>
  <w:style w:type="character" w:customStyle="1" w:styleId="FootnoteTextChar">
    <w:name w:val="Footnote Text Char"/>
    <w:basedOn w:val="DefaultParagraphFont"/>
    <w:link w:val="FootnoteText"/>
    <w:uiPriority w:val="99"/>
    <w:semiHidden/>
    <w:rsid w:val="002560D3"/>
    <w:rPr>
      <w:rFonts w:ascii="Times New Roman" w:hAnsi="Times New Roman"/>
      <w:sz w:val="20"/>
      <w:szCs w:val="20"/>
    </w:rPr>
  </w:style>
  <w:style w:type="character" w:styleId="FootnoteReference">
    <w:name w:val="footnote reference"/>
    <w:basedOn w:val="DefaultParagraphFont"/>
    <w:uiPriority w:val="99"/>
    <w:semiHidden/>
    <w:unhideWhenUsed/>
    <w:rsid w:val="002560D3"/>
    <w:rPr>
      <w:vertAlign w:val="superscript"/>
    </w:rPr>
  </w:style>
  <w:style w:type="paragraph" w:customStyle="1" w:styleId="mt-translation">
    <w:name w:val="mt-translation"/>
    <w:basedOn w:val="Normal"/>
    <w:rsid w:val="00005DE4"/>
    <w:pPr>
      <w:spacing w:before="100" w:beforeAutospacing="1" w:after="100" w:afterAutospacing="1"/>
      <w:jc w:val="left"/>
    </w:pPr>
    <w:rPr>
      <w:rFonts w:eastAsia="Times New Roman" w:cs="Times New Roman"/>
      <w:szCs w:val="24"/>
      <w:lang w:eastAsia="lv-LV"/>
    </w:rPr>
  </w:style>
  <w:style w:type="paragraph" w:styleId="NoSpacing">
    <w:name w:val="No Spacing"/>
    <w:uiPriority w:val="1"/>
    <w:qFormat/>
    <w:rsid w:val="00A54FC0"/>
    <w:pPr>
      <w:spacing w:after="0" w:line="240" w:lineRule="auto"/>
      <w:jc w:val="both"/>
    </w:pPr>
    <w:rPr>
      <w:rFonts w:ascii="Times New Roman" w:hAnsi="Times New Roman"/>
      <w:sz w:val="24"/>
    </w:rPr>
  </w:style>
  <w:style w:type="paragraph" w:customStyle="1" w:styleId="Default">
    <w:name w:val="Default"/>
    <w:rsid w:val="003407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semiHidden/>
    <w:rsid w:val="00BD42B7"/>
    <w:rPr>
      <w:rFonts w:ascii="Times New Roman" w:eastAsia="Times New Roman" w:hAnsi="Times New Roman" w:cs="Arial Unicode MS"/>
      <w:b/>
      <w:bCs/>
      <w:sz w:val="28"/>
      <w:szCs w:val="28"/>
      <w:lang w:eastAsia="lv-LV" w:bidi="lo-LA"/>
    </w:rPr>
  </w:style>
  <w:style w:type="character" w:styleId="CommentReference">
    <w:name w:val="annotation reference"/>
    <w:basedOn w:val="DefaultParagraphFont"/>
    <w:uiPriority w:val="99"/>
    <w:semiHidden/>
    <w:unhideWhenUsed/>
    <w:rsid w:val="00FC5643"/>
    <w:rPr>
      <w:sz w:val="16"/>
      <w:szCs w:val="16"/>
    </w:rPr>
  </w:style>
  <w:style w:type="paragraph" w:styleId="CommentText">
    <w:name w:val="annotation text"/>
    <w:basedOn w:val="Normal"/>
    <w:link w:val="CommentTextChar"/>
    <w:uiPriority w:val="99"/>
    <w:semiHidden/>
    <w:unhideWhenUsed/>
    <w:rsid w:val="00FC5643"/>
    <w:rPr>
      <w:sz w:val="20"/>
      <w:szCs w:val="20"/>
    </w:rPr>
  </w:style>
  <w:style w:type="character" w:customStyle="1" w:styleId="CommentTextChar">
    <w:name w:val="Comment Text Char"/>
    <w:basedOn w:val="DefaultParagraphFont"/>
    <w:link w:val="CommentText"/>
    <w:uiPriority w:val="99"/>
    <w:semiHidden/>
    <w:rsid w:val="00FC56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5643"/>
    <w:rPr>
      <w:b/>
      <w:bCs/>
    </w:rPr>
  </w:style>
  <w:style w:type="character" w:customStyle="1" w:styleId="CommentSubjectChar">
    <w:name w:val="Comment Subject Char"/>
    <w:basedOn w:val="CommentTextChar"/>
    <w:link w:val="CommentSubject"/>
    <w:uiPriority w:val="99"/>
    <w:semiHidden/>
    <w:rsid w:val="00FC5643"/>
    <w:rPr>
      <w:rFonts w:ascii="Times New Roman" w:hAnsi="Times New Roman"/>
      <w:b/>
      <w:bCs/>
      <w:sz w:val="20"/>
      <w:szCs w:val="20"/>
    </w:rPr>
  </w:style>
  <w:style w:type="paragraph" w:styleId="BalloonText">
    <w:name w:val="Balloon Text"/>
    <w:basedOn w:val="Normal"/>
    <w:link w:val="BalloonTextChar"/>
    <w:uiPriority w:val="99"/>
    <w:semiHidden/>
    <w:unhideWhenUsed/>
    <w:rsid w:val="00FC5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643"/>
    <w:rPr>
      <w:rFonts w:ascii="Segoe UI" w:hAnsi="Segoe UI" w:cs="Segoe UI"/>
      <w:sz w:val="18"/>
      <w:szCs w:val="18"/>
    </w:rPr>
  </w:style>
  <w:style w:type="paragraph" w:styleId="BodyText2">
    <w:name w:val="Body Text 2"/>
    <w:basedOn w:val="Normal"/>
    <w:link w:val="BodyText2Char"/>
    <w:uiPriority w:val="99"/>
    <w:unhideWhenUsed/>
    <w:rsid w:val="00F733D9"/>
    <w:pPr>
      <w:suppressAutoHyphens/>
      <w:spacing w:after="120" w:line="480" w:lineRule="auto"/>
      <w:jc w:val="left"/>
    </w:pPr>
    <w:rPr>
      <w:rFonts w:eastAsia="Times New Roman" w:cs="Times New Roman"/>
      <w:szCs w:val="24"/>
      <w:lang w:eastAsia="ar-SA"/>
    </w:rPr>
  </w:style>
  <w:style w:type="character" w:customStyle="1" w:styleId="BodyText2Char">
    <w:name w:val="Body Text 2 Char"/>
    <w:basedOn w:val="DefaultParagraphFont"/>
    <w:link w:val="BodyText2"/>
    <w:uiPriority w:val="99"/>
    <w:rsid w:val="00F733D9"/>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2B1228"/>
    <w:rPr>
      <w:i/>
      <w:iCs/>
    </w:rPr>
  </w:style>
  <w:style w:type="character" w:customStyle="1" w:styleId="apple-converted-space">
    <w:name w:val="apple-converted-space"/>
    <w:basedOn w:val="DefaultParagraphFont"/>
    <w:rsid w:val="002B1228"/>
  </w:style>
  <w:style w:type="paragraph" w:styleId="EnvelopeReturn">
    <w:name w:val="envelope return"/>
    <w:basedOn w:val="Normal"/>
    <w:uiPriority w:val="99"/>
    <w:unhideWhenUsed/>
    <w:rsid w:val="009936CD"/>
    <w:pPr>
      <w:jc w:val="left"/>
    </w:pPr>
    <w:rPr>
      <w:rFonts w:ascii="Cambria" w:eastAsia="Times New Roman" w:hAnsi="Cambria" w:cs="Times New Roman"/>
      <w:sz w:val="20"/>
      <w:szCs w:val="20"/>
      <w:lang w:eastAsia="lv-LV"/>
    </w:rPr>
  </w:style>
  <w:style w:type="character" w:customStyle="1" w:styleId="Heading1Char">
    <w:name w:val="Heading 1 Char"/>
    <w:basedOn w:val="DefaultParagraphFont"/>
    <w:link w:val="Heading1"/>
    <w:uiPriority w:val="9"/>
    <w:rsid w:val="0027012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D19F5"/>
    <w:rPr>
      <w:color w:val="0563C1" w:themeColor="hyperlink"/>
      <w:u w:val="single"/>
    </w:rPr>
  </w:style>
  <w:style w:type="character" w:customStyle="1" w:styleId="UnresolvedMention1">
    <w:name w:val="Unresolved Mention1"/>
    <w:basedOn w:val="DefaultParagraphFont"/>
    <w:uiPriority w:val="99"/>
    <w:semiHidden/>
    <w:unhideWhenUsed/>
    <w:rsid w:val="00C55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8303">
      <w:bodyDiv w:val="1"/>
      <w:marLeft w:val="0"/>
      <w:marRight w:val="0"/>
      <w:marTop w:val="0"/>
      <w:marBottom w:val="0"/>
      <w:divBdr>
        <w:top w:val="none" w:sz="0" w:space="0" w:color="auto"/>
        <w:left w:val="none" w:sz="0" w:space="0" w:color="auto"/>
        <w:bottom w:val="none" w:sz="0" w:space="0" w:color="auto"/>
        <w:right w:val="none" w:sz="0" w:space="0" w:color="auto"/>
      </w:divBdr>
    </w:div>
    <w:div w:id="64031035">
      <w:bodyDiv w:val="1"/>
      <w:marLeft w:val="0"/>
      <w:marRight w:val="0"/>
      <w:marTop w:val="0"/>
      <w:marBottom w:val="0"/>
      <w:divBdr>
        <w:top w:val="none" w:sz="0" w:space="0" w:color="auto"/>
        <w:left w:val="none" w:sz="0" w:space="0" w:color="auto"/>
        <w:bottom w:val="none" w:sz="0" w:space="0" w:color="auto"/>
        <w:right w:val="none" w:sz="0" w:space="0" w:color="auto"/>
      </w:divBdr>
    </w:div>
    <w:div w:id="115299900">
      <w:bodyDiv w:val="1"/>
      <w:marLeft w:val="0"/>
      <w:marRight w:val="0"/>
      <w:marTop w:val="0"/>
      <w:marBottom w:val="0"/>
      <w:divBdr>
        <w:top w:val="none" w:sz="0" w:space="0" w:color="auto"/>
        <w:left w:val="none" w:sz="0" w:space="0" w:color="auto"/>
        <w:bottom w:val="none" w:sz="0" w:space="0" w:color="auto"/>
        <w:right w:val="none" w:sz="0" w:space="0" w:color="auto"/>
      </w:divBdr>
    </w:div>
    <w:div w:id="174081584">
      <w:bodyDiv w:val="1"/>
      <w:marLeft w:val="0"/>
      <w:marRight w:val="0"/>
      <w:marTop w:val="0"/>
      <w:marBottom w:val="0"/>
      <w:divBdr>
        <w:top w:val="none" w:sz="0" w:space="0" w:color="auto"/>
        <w:left w:val="none" w:sz="0" w:space="0" w:color="auto"/>
        <w:bottom w:val="none" w:sz="0" w:space="0" w:color="auto"/>
        <w:right w:val="none" w:sz="0" w:space="0" w:color="auto"/>
      </w:divBdr>
    </w:div>
    <w:div w:id="184828019">
      <w:bodyDiv w:val="1"/>
      <w:marLeft w:val="0"/>
      <w:marRight w:val="0"/>
      <w:marTop w:val="0"/>
      <w:marBottom w:val="0"/>
      <w:divBdr>
        <w:top w:val="none" w:sz="0" w:space="0" w:color="auto"/>
        <w:left w:val="none" w:sz="0" w:space="0" w:color="auto"/>
        <w:bottom w:val="none" w:sz="0" w:space="0" w:color="auto"/>
        <w:right w:val="none" w:sz="0" w:space="0" w:color="auto"/>
      </w:divBdr>
    </w:div>
    <w:div w:id="368646636">
      <w:bodyDiv w:val="1"/>
      <w:marLeft w:val="0"/>
      <w:marRight w:val="0"/>
      <w:marTop w:val="0"/>
      <w:marBottom w:val="0"/>
      <w:divBdr>
        <w:top w:val="none" w:sz="0" w:space="0" w:color="auto"/>
        <w:left w:val="none" w:sz="0" w:space="0" w:color="auto"/>
        <w:bottom w:val="none" w:sz="0" w:space="0" w:color="auto"/>
        <w:right w:val="none" w:sz="0" w:space="0" w:color="auto"/>
      </w:divBdr>
    </w:div>
    <w:div w:id="441993896">
      <w:bodyDiv w:val="1"/>
      <w:marLeft w:val="0"/>
      <w:marRight w:val="0"/>
      <w:marTop w:val="0"/>
      <w:marBottom w:val="0"/>
      <w:divBdr>
        <w:top w:val="none" w:sz="0" w:space="0" w:color="auto"/>
        <w:left w:val="none" w:sz="0" w:space="0" w:color="auto"/>
        <w:bottom w:val="none" w:sz="0" w:space="0" w:color="auto"/>
        <w:right w:val="none" w:sz="0" w:space="0" w:color="auto"/>
      </w:divBdr>
      <w:divsChild>
        <w:div w:id="454295630">
          <w:marLeft w:val="0"/>
          <w:marRight w:val="0"/>
          <w:marTop w:val="15"/>
          <w:marBottom w:val="0"/>
          <w:divBdr>
            <w:top w:val="none" w:sz="0" w:space="0" w:color="auto"/>
            <w:left w:val="none" w:sz="0" w:space="0" w:color="auto"/>
            <w:bottom w:val="none" w:sz="0" w:space="0" w:color="auto"/>
            <w:right w:val="none" w:sz="0" w:space="0" w:color="auto"/>
          </w:divBdr>
          <w:divsChild>
            <w:div w:id="964428847">
              <w:marLeft w:val="0"/>
              <w:marRight w:val="0"/>
              <w:marTop w:val="0"/>
              <w:marBottom w:val="0"/>
              <w:divBdr>
                <w:top w:val="none" w:sz="0" w:space="0" w:color="auto"/>
                <w:left w:val="none" w:sz="0" w:space="0" w:color="auto"/>
                <w:bottom w:val="none" w:sz="0" w:space="0" w:color="auto"/>
                <w:right w:val="none" w:sz="0" w:space="0" w:color="auto"/>
              </w:divBdr>
              <w:divsChild>
                <w:div w:id="1705522257">
                  <w:marLeft w:val="0"/>
                  <w:marRight w:val="0"/>
                  <w:marTop w:val="0"/>
                  <w:marBottom w:val="0"/>
                  <w:divBdr>
                    <w:top w:val="none" w:sz="0" w:space="0" w:color="auto"/>
                    <w:left w:val="none" w:sz="0" w:space="0" w:color="auto"/>
                    <w:bottom w:val="none" w:sz="0" w:space="0" w:color="auto"/>
                    <w:right w:val="none" w:sz="0" w:space="0" w:color="auto"/>
                  </w:divBdr>
                </w:div>
                <w:div w:id="329144136">
                  <w:marLeft w:val="0"/>
                  <w:marRight w:val="0"/>
                  <w:marTop w:val="0"/>
                  <w:marBottom w:val="0"/>
                  <w:divBdr>
                    <w:top w:val="none" w:sz="0" w:space="0" w:color="auto"/>
                    <w:left w:val="none" w:sz="0" w:space="0" w:color="auto"/>
                    <w:bottom w:val="none" w:sz="0" w:space="0" w:color="auto"/>
                    <w:right w:val="none" w:sz="0" w:space="0" w:color="auto"/>
                  </w:divBdr>
                </w:div>
                <w:div w:id="2074962532">
                  <w:marLeft w:val="0"/>
                  <w:marRight w:val="0"/>
                  <w:marTop w:val="0"/>
                  <w:marBottom w:val="0"/>
                  <w:divBdr>
                    <w:top w:val="none" w:sz="0" w:space="0" w:color="auto"/>
                    <w:left w:val="none" w:sz="0" w:space="0" w:color="auto"/>
                    <w:bottom w:val="none" w:sz="0" w:space="0" w:color="auto"/>
                    <w:right w:val="none" w:sz="0" w:space="0" w:color="auto"/>
                  </w:divBdr>
                </w:div>
                <w:div w:id="796294036">
                  <w:marLeft w:val="0"/>
                  <w:marRight w:val="0"/>
                  <w:marTop w:val="0"/>
                  <w:marBottom w:val="0"/>
                  <w:divBdr>
                    <w:top w:val="none" w:sz="0" w:space="0" w:color="auto"/>
                    <w:left w:val="none" w:sz="0" w:space="0" w:color="auto"/>
                    <w:bottom w:val="none" w:sz="0" w:space="0" w:color="auto"/>
                    <w:right w:val="none" w:sz="0" w:space="0" w:color="auto"/>
                  </w:divBdr>
                </w:div>
                <w:div w:id="4623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800">
          <w:marLeft w:val="0"/>
          <w:marRight w:val="0"/>
          <w:marTop w:val="15"/>
          <w:marBottom w:val="0"/>
          <w:divBdr>
            <w:top w:val="none" w:sz="0" w:space="0" w:color="auto"/>
            <w:left w:val="none" w:sz="0" w:space="0" w:color="auto"/>
            <w:bottom w:val="none" w:sz="0" w:space="0" w:color="auto"/>
            <w:right w:val="none" w:sz="0" w:space="0" w:color="auto"/>
          </w:divBdr>
          <w:divsChild>
            <w:div w:id="1401101717">
              <w:marLeft w:val="0"/>
              <w:marRight w:val="0"/>
              <w:marTop w:val="0"/>
              <w:marBottom w:val="0"/>
              <w:divBdr>
                <w:top w:val="none" w:sz="0" w:space="0" w:color="auto"/>
                <w:left w:val="none" w:sz="0" w:space="0" w:color="auto"/>
                <w:bottom w:val="none" w:sz="0" w:space="0" w:color="auto"/>
                <w:right w:val="none" w:sz="0" w:space="0" w:color="auto"/>
              </w:divBdr>
              <w:divsChild>
                <w:div w:id="982081662">
                  <w:marLeft w:val="0"/>
                  <w:marRight w:val="0"/>
                  <w:marTop w:val="0"/>
                  <w:marBottom w:val="0"/>
                  <w:divBdr>
                    <w:top w:val="none" w:sz="0" w:space="0" w:color="auto"/>
                    <w:left w:val="none" w:sz="0" w:space="0" w:color="auto"/>
                    <w:bottom w:val="none" w:sz="0" w:space="0" w:color="auto"/>
                    <w:right w:val="none" w:sz="0" w:space="0" w:color="auto"/>
                  </w:divBdr>
                </w:div>
                <w:div w:id="1857691656">
                  <w:marLeft w:val="0"/>
                  <w:marRight w:val="0"/>
                  <w:marTop w:val="0"/>
                  <w:marBottom w:val="0"/>
                  <w:divBdr>
                    <w:top w:val="none" w:sz="0" w:space="0" w:color="auto"/>
                    <w:left w:val="none" w:sz="0" w:space="0" w:color="auto"/>
                    <w:bottom w:val="none" w:sz="0" w:space="0" w:color="auto"/>
                    <w:right w:val="none" w:sz="0" w:space="0" w:color="auto"/>
                  </w:divBdr>
                </w:div>
                <w:div w:id="1759981168">
                  <w:marLeft w:val="0"/>
                  <w:marRight w:val="0"/>
                  <w:marTop w:val="0"/>
                  <w:marBottom w:val="0"/>
                  <w:divBdr>
                    <w:top w:val="none" w:sz="0" w:space="0" w:color="auto"/>
                    <w:left w:val="none" w:sz="0" w:space="0" w:color="auto"/>
                    <w:bottom w:val="none" w:sz="0" w:space="0" w:color="auto"/>
                    <w:right w:val="none" w:sz="0" w:space="0" w:color="auto"/>
                  </w:divBdr>
                </w:div>
                <w:div w:id="596015221">
                  <w:marLeft w:val="0"/>
                  <w:marRight w:val="0"/>
                  <w:marTop w:val="0"/>
                  <w:marBottom w:val="0"/>
                  <w:divBdr>
                    <w:top w:val="none" w:sz="0" w:space="0" w:color="auto"/>
                    <w:left w:val="none" w:sz="0" w:space="0" w:color="auto"/>
                    <w:bottom w:val="none" w:sz="0" w:space="0" w:color="auto"/>
                    <w:right w:val="none" w:sz="0" w:space="0" w:color="auto"/>
                  </w:divBdr>
                </w:div>
                <w:div w:id="1125930825">
                  <w:marLeft w:val="0"/>
                  <w:marRight w:val="0"/>
                  <w:marTop w:val="0"/>
                  <w:marBottom w:val="0"/>
                  <w:divBdr>
                    <w:top w:val="none" w:sz="0" w:space="0" w:color="auto"/>
                    <w:left w:val="none" w:sz="0" w:space="0" w:color="auto"/>
                    <w:bottom w:val="none" w:sz="0" w:space="0" w:color="auto"/>
                    <w:right w:val="none" w:sz="0" w:space="0" w:color="auto"/>
                  </w:divBdr>
                </w:div>
                <w:div w:id="641230595">
                  <w:marLeft w:val="0"/>
                  <w:marRight w:val="0"/>
                  <w:marTop w:val="0"/>
                  <w:marBottom w:val="0"/>
                  <w:divBdr>
                    <w:top w:val="none" w:sz="0" w:space="0" w:color="auto"/>
                    <w:left w:val="none" w:sz="0" w:space="0" w:color="auto"/>
                    <w:bottom w:val="none" w:sz="0" w:space="0" w:color="auto"/>
                    <w:right w:val="none" w:sz="0" w:space="0" w:color="auto"/>
                  </w:divBdr>
                </w:div>
                <w:div w:id="319233235">
                  <w:marLeft w:val="0"/>
                  <w:marRight w:val="0"/>
                  <w:marTop w:val="0"/>
                  <w:marBottom w:val="0"/>
                  <w:divBdr>
                    <w:top w:val="none" w:sz="0" w:space="0" w:color="auto"/>
                    <w:left w:val="none" w:sz="0" w:space="0" w:color="auto"/>
                    <w:bottom w:val="none" w:sz="0" w:space="0" w:color="auto"/>
                    <w:right w:val="none" w:sz="0" w:space="0" w:color="auto"/>
                  </w:divBdr>
                </w:div>
                <w:div w:id="1337272658">
                  <w:marLeft w:val="0"/>
                  <w:marRight w:val="0"/>
                  <w:marTop w:val="0"/>
                  <w:marBottom w:val="0"/>
                  <w:divBdr>
                    <w:top w:val="none" w:sz="0" w:space="0" w:color="auto"/>
                    <w:left w:val="none" w:sz="0" w:space="0" w:color="auto"/>
                    <w:bottom w:val="none" w:sz="0" w:space="0" w:color="auto"/>
                    <w:right w:val="none" w:sz="0" w:space="0" w:color="auto"/>
                  </w:divBdr>
                </w:div>
                <w:div w:id="846137843">
                  <w:marLeft w:val="0"/>
                  <w:marRight w:val="0"/>
                  <w:marTop w:val="0"/>
                  <w:marBottom w:val="0"/>
                  <w:divBdr>
                    <w:top w:val="none" w:sz="0" w:space="0" w:color="auto"/>
                    <w:left w:val="none" w:sz="0" w:space="0" w:color="auto"/>
                    <w:bottom w:val="none" w:sz="0" w:space="0" w:color="auto"/>
                    <w:right w:val="none" w:sz="0" w:space="0" w:color="auto"/>
                  </w:divBdr>
                </w:div>
                <w:div w:id="8262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0768">
      <w:bodyDiv w:val="1"/>
      <w:marLeft w:val="0"/>
      <w:marRight w:val="0"/>
      <w:marTop w:val="0"/>
      <w:marBottom w:val="0"/>
      <w:divBdr>
        <w:top w:val="none" w:sz="0" w:space="0" w:color="auto"/>
        <w:left w:val="none" w:sz="0" w:space="0" w:color="auto"/>
        <w:bottom w:val="none" w:sz="0" w:space="0" w:color="auto"/>
        <w:right w:val="none" w:sz="0" w:space="0" w:color="auto"/>
      </w:divBdr>
    </w:div>
    <w:div w:id="456533253">
      <w:bodyDiv w:val="1"/>
      <w:marLeft w:val="0"/>
      <w:marRight w:val="0"/>
      <w:marTop w:val="0"/>
      <w:marBottom w:val="0"/>
      <w:divBdr>
        <w:top w:val="none" w:sz="0" w:space="0" w:color="auto"/>
        <w:left w:val="none" w:sz="0" w:space="0" w:color="auto"/>
        <w:bottom w:val="none" w:sz="0" w:space="0" w:color="auto"/>
        <w:right w:val="none" w:sz="0" w:space="0" w:color="auto"/>
      </w:divBdr>
    </w:div>
    <w:div w:id="490372076">
      <w:bodyDiv w:val="1"/>
      <w:marLeft w:val="0"/>
      <w:marRight w:val="0"/>
      <w:marTop w:val="0"/>
      <w:marBottom w:val="0"/>
      <w:divBdr>
        <w:top w:val="none" w:sz="0" w:space="0" w:color="auto"/>
        <w:left w:val="none" w:sz="0" w:space="0" w:color="auto"/>
        <w:bottom w:val="none" w:sz="0" w:space="0" w:color="auto"/>
        <w:right w:val="none" w:sz="0" w:space="0" w:color="auto"/>
      </w:divBdr>
    </w:div>
    <w:div w:id="571086452">
      <w:bodyDiv w:val="1"/>
      <w:marLeft w:val="0"/>
      <w:marRight w:val="0"/>
      <w:marTop w:val="0"/>
      <w:marBottom w:val="0"/>
      <w:divBdr>
        <w:top w:val="none" w:sz="0" w:space="0" w:color="auto"/>
        <w:left w:val="none" w:sz="0" w:space="0" w:color="auto"/>
        <w:bottom w:val="none" w:sz="0" w:space="0" w:color="auto"/>
        <w:right w:val="none" w:sz="0" w:space="0" w:color="auto"/>
      </w:divBdr>
    </w:div>
    <w:div w:id="610431110">
      <w:bodyDiv w:val="1"/>
      <w:marLeft w:val="0"/>
      <w:marRight w:val="0"/>
      <w:marTop w:val="0"/>
      <w:marBottom w:val="0"/>
      <w:divBdr>
        <w:top w:val="none" w:sz="0" w:space="0" w:color="auto"/>
        <w:left w:val="none" w:sz="0" w:space="0" w:color="auto"/>
        <w:bottom w:val="none" w:sz="0" w:space="0" w:color="auto"/>
        <w:right w:val="none" w:sz="0" w:space="0" w:color="auto"/>
      </w:divBdr>
    </w:div>
    <w:div w:id="718364950">
      <w:bodyDiv w:val="1"/>
      <w:marLeft w:val="0"/>
      <w:marRight w:val="0"/>
      <w:marTop w:val="0"/>
      <w:marBottom w:val="0"/>
      <w:divBdr>
        <w:top w:val="none" w:sz="0" w:space="0" w:color="auto"/>
        <w:left w:val="none" w:sz="0" w:space="0" w:color="auto"/>
        <w:bottom w:val="none" w:sz="0" w:space="0" w:color="auto"/>
        <w:right w:val="none" w:sz="0" w:space="0" w:color="auto"/>
      </w:divBdr>
    </w:div>
    <w:div w:id="724791644">
      <w:bodyDiv w:val="1"/>
      <w:marLeft w:val="0"/>
      <w:marRight w:val="0"/>
      <w:marTop w:val="0"/>
      <w:marBottom w:val="0"/>
      <w:divBdr>
        <w:top w:val="none" w:sz="0" w:space="0" w:color="auto"/>
        <w:left w:val="none" w:sz="0" w:space="0" w:color="auto"/>
        <w:bottom w:val="none" w:sz="0" w:space="0" w:color="auto"/>
        <w:right w:val="none" w:sz="0" w:space="0" w:color="auto"/>
      </w:divBdr>
    </w:div>
    <w:div w:id="790904331">
      <w:bodyDiv w:val="1"/>
      <w:marLeft w:val="0"/>
      <w:marRight w:val="0"/>
      <w:marTop w:val="0"/>
      <w:marBottom w:val="0"/>
      <w:divBdr>
        <w:top w:val="none" w:sz="0" w:space="0" w:color="auto"/>
        <w:left w:val="none" w:sz="0" w:space="0" w:color="auto"/>
        <w:bottom w:val="none" w:sz="0" w:space="0" w:color="auto"/>
        <w:right w:val="none" w:sz="0" w:space="0" w:color="auto"/>
      </w:divBdr>
    </w:div>
    <w:div w:id="868642858">
      <w:bodyDiv w:val="1"/>
      <w:marLeft w:val="0"/>
      <w:marRight w:val="0"/>
      <w:marTop w:val="0"/>
      <w:marBottom w:val="0"/>
      <w:divBdr>
        <w:top w:val="none" w:sz="0" w:space="0" w:color="auto"/>
        <w:left w:val="none" w:sz="0" w:space="0" w:color="auto"/>
        <w:bottom w:val="none" w:sz="0" w:space="0" w:color="auto"/>
        <w:right w:val="none" w:sz="0" w:space="0" w:color="auto"/>
      </w:divBdr>
    </w:div>
    <w:div w:id="877815844">
      <w:bodyDiv w:val="1"/>
      <w:marLeft w:val="0"/>
      <w:marRight w:val="0"/>
      <w:marTop w:val="0"/>
      <w:marBottom w:val="0"/>
      <w:divBdr>
        <w:top w:val="none" w:sz="0" w:space="0" w:color="auto"/>
        <w:left w:val="none" w:sz="0" w:space="0" w:color="auto"/>
        <w:bottom w:val="none" w:sz="0" w:space="0" w:color="auto"/>
        <w:right w:val="none" w:sz="0" w:space="0" w:color="auto"/>
      </w:divBdr>
    </w:div>
    <w:div w:id="998579477">
      <w:bodyDiv w:val="1"/>
      <w:marLeft w:val="0"/>
      <w:marRight w:val="0"/>
      <w:marTop w:val="0"/>
      <w:marBottom w:val="0"/>
      <w:divBdr>
        <w:top w:val="none" w:sz="0" w:space="0" w:color="auto"/>
        <w:left w:val="none" w:sz="0" w:space="0" w:color="auto"/>
        <w:bottom w:val="none" w:sz="0" w:space="0" w:color="auto"/>
        <w:right w:val="none" w:sz="0" w:space="0" w:color="auto"/>
      </w:divBdr>
    </w:div>
    <w:div w:id="1053968563">
      <w:bodyDiv w:val="1"/>
      <w:marLeft w:val="0"/>
      <w:marRight w:val="0"/>
      <w:marTop w:val="0"/>
      <w:marBottom w:val="0"/>
      <w:divBdr>
        <w:top w:val="none" w:sz="0" w:space="0" w:color="auto"/>
        <w:left w:val="none" w:sz="0" w:space="0" w:color="auto"/>
        <w:bottom w:val="none" w:sz="0" w:space="0" w:color="auto"/>
        <w:right w:val="none" w:sz="0" w:space="0" w:color="auto"/>
      </w:divBdr>
    </w:div>
    <w:div w:id="1082096347">
      <w:bodyDiv w:val="1"/>
      <w:marLeft w:val="0"/>
      <w:marRight w:val="0"/>
      <w:marTop w:val="0"/>
      <w:marBottom w:val="0"/>
      <w:divBdr>
        <w:top w:val="none" w:sz="0" w:space="0" w:color="auto"/>
        <w:left w:val="none" w:sz="0" w:space="0" w:color="auto"/>
        <w:bottom w:val="none" w:sz="0" w:space="0" w:color="auto"/>
        <w:right w:val="none" w:sz="0" w:space="0" w:color="auto"/>
      </w:divBdr>
    </w:div>
    <w:div w:id="1125612446">
      <w:bodyDiv w:val="1"/>
      <w:marLeft w:val="0"/>
      <w:marRight w:val="0"/>
      <w:marTop w:val="0"/>
      <w:marBottom w:val="0"/>
      <w:divBdr>
        <w:top w:val="none" w:sz="0" w:space="0" w:color="auto"/>
        <w:left w:val="none" w:sz="0" w:space="0" w:color="auto"/>
        <w:bottom w:val="none" w:sz="0" w:space="0" w:color="auto"/>
        <w:right w:val="none" w:sz="0" w:space="0" w:color="auto"/>
      </w:divBdr>
    </w:div>
    <w:div w:id="1204829403">
      <w:bodyDiv w:val="1"/>
      <w:marLeft w:val="0"/>
      <w:marRight w:val="0"/>
      <w:marTop w:val="0"/>
      <w:marBottom w:val="0"/>
      <w:divBdr>
        <w:top w:val="none" w:sz="0" w:space="0" w:color="auto"/>
        <w:left w:val="none" w:sz="0" w:space="0" w:color="auto"/>
        <w:bottom w:val="none" w:sz="0" w:space="0" w:color="auto"/>
        <w:right w:val="none" w:sz="0" w:space="0" w:color="auto"/>
      </w:divBdr>
    </w:div>
    <w:div w:id="1273586952">
      <w:bodyDiv w:val="1"/>
      <w:marLeft w:val="0"/>
      <w:marRight w:val="0"/>
      <w:marTop w:val="0"/>
      <w:marBottom w:val="0"/>
      <w:divBdr>
        <w:top w:val="none" w:sz="0" w:space="0" w:color="auto"/>
        <w:left w:val="none" w:sz="0" w:space="0" w:color="auto"/>
        <w:bottom w:val="none" w:sz="0" w:space="0" w:color="auto"/>
        <w:right w:val="none" w:sz="0" w:space="0" w:color="auto"/>
      </w:divBdr>
    </w:div>
    <w:div w:id="1308704339">
      <w:bodyDiv w:val="1"/>
      <w:marLeft w:val="0"/>
      <w:marRight w:val="0"/>
      <w:marTop w:val="0"/>
      <w:marBottom w:val="0"/>
      <w:divBdr>
        <w:top w:val="none" w:sz="0" w:space="0" w:color="auto"/>
        <w:left w:val="none" w:sz="0" w:space="0" w:color="auto"/>
        <w:bottom w:val="none" w:sz="0" w:space="0" w:color="auto"/>
        <w:right w:val="none" w:sz="0" w:space="0" w:color="auto"/>
      </w:divBdr>
    </w:div>
    <w:div w:id="1328290506">
      <w:bodyDiv w:val="1"/>
      <w:marLeft w:val="0"/>
      <w:marRight w:val="0"/>
      <w:marTop w:val="0"/>
      <w:marBottom w:val="0"/>
      <w:divBdr>
        <w:top w:val="none" w:sz="0" w:space="0" w:color="auto"/>
        <w:left w:val="none" w:sz="0" w:space="0" w:color="auto"/>
        <w:bottom w:val="none" w:sz="0" w:space="0" w:color="auto"/>
        <w:right w:val="none" w:sz="0" w:space="0" w:color="auto"/>
      </w:divBdr>
    </w:div>
    <w:div w:id="1370105666">
      <w:bodyDiv w:val="1"/>
      <w:marLeft w:val="0"/>
      <w:marRight w:val="0"/>
      <w:marTop w:val="0"/>
      <w:marBottom w:val="0"/>
      <w:divBdr>
        <w:top w:val="none" w:sz="0" w:space="0" w:color="auto"/>
        <w:left w:val="none" w:sz="0" w:space="0" w:color="auto"/>
        <w:bottom w:val="none" w:sz="0" w:space="0" w:color="auto"/>
        <w:right w:val="none" w:sz="0" w:space="0" w:color="auto"/>
      </w:divBdr>
    </w:div>
    <w:div w:id="1400514626">
      <w:bodyDiv w:val="1"/>
      <w:marLeft w:val="0"/>
      <w:marRight w:val="0"/>
      <w:marTop w:val="0"/>
      <w:marBottom w:val="0"/>
      <w:divBdr>
        <w:top w:val="none" w:sz="0" w:space="0" w:color="auto"/>
        <w:left w:val="none" w:sz="0" w:space="0" w:color="auto"/>
        <w:bottom w:val="none" w:sz="0" w:space="0" w:color="auto"/>
        <w:right w:val="none" w:sz="0" w:space="0" w:color="auto"/>
      </w:divBdr>
    </w:div>
    <w:div w:id="1420180395">
      <w:bodyDiv w:val="1"/>
      <w:marLeft w:val="0"/>
      <w:marRight w:val="0"/>
      <w:marTop w:val="0"/>
      <w:marBottom w:val="0"/>
      <w:divBdr>
        <w:top w:val="none" w:sz="0" w:space="0" w:color="auto"/>
        <w:left w:val="none" w:sz="0" w:space="0" w:color="auto"/>
        <w:bottom w:val="none" w:sz="0" w:space="0" w:color="auto"/>
        <w:right w:val="none" w:sz="0" w:space="0" w:color="auto"/>
      </w:divBdr>
    </w:div>
    <w:div w:id="1476024914">
      <w:bodyDiv w:val="1"/>
      <w:marLeft w:val="0"/>
      <w:marRight w:val="0"/>
      <w:marTop w:val="0"/>
      <w:marBottom w:val="0"/>
      <w:divBdr>
        <w:top w:val="none" w:sz="0" w:space="0" w:color="auto"/>
        <w:left w:val="none" w:sz="0" w:space="0" w:color="auto"/>
        <w:bottom w:val="none" w:sz="0" w:space="0" w:color="auto"/>
        <w:right w:val="none" w:sz="0" w:space="0" w:color="auto"/>
      </w:divBdr>
    </w:div>
    <w:div w:id="1554349305">
      <w:bodyDiv w:val="1"/>
      <w:marLeft w:val="0"/>
      <w:marRight w:val="0"/>
      <w:marTop w:val="0"/>
      <w:marBottom w:val="0"/>
      <w:divBdr>
        <w:top w:val="none" w:sz="0" w:space="0" w:color="auto"/>
        <w:left w:val="none" w:sz="0" w:space="0" w:color="auto"/>
        <w:bottom w:val="none" w:sz="0" w:space="0" w:color="auto"/>
        <w:right w:val="none" w:sz="0" w:space="0" w:color="auto"/>
      </w:divBdr>
    </w:div>
    <w:div w:id="1625191169">
      <w:bodyDiv w:val="1"/>
      <w:marLeft w:val="0"/>
      <w:marRight w:val="0"/>
      <w:marTop w:val="0"/>
      <w:marBottom w:val="0"/>
      <w:divBdr>
        <w:top w:val="none" w:sz="0" w:space="0" w:color="auto"/>
        <w:left w:val="none" w:sz="0" w:space="0" w:color="auto"/>
        <w:bottom w:val="none" w:sz="0" w:space="0" w:color="auto"/>
        <w:right w:val="none" w:sz="0" w:space="0" w:color="auto"/>
      </w:divBdr>
    </w:div>
    <w:div w:id="1637176343">
      <w:bodyDiv w:val="1"/>
      <w:marLeft w:val="0"/>
      <w:marRight w:val="0"/>
      <w:marTop w:val="0"/>
      <w:marBottom w:val="0"/>
      <w:divBdr>
        <w:top w:val="none" w:sz="0" w:space="0" w:color="auto"/>
        <w:left w:val="none" w:sz="0" w:space="0" w:color="auto"/>
        <w:bottom w:val="none" w:sz="0" w:space="0" w:color="auto"/>
        <w:right w:val="none" w:sz="0" w:space="0" w:color="auto"/>
      </w:divBdr>
    </w:div>
    <w:div w:id="1643995365">
      <w:bodyDiv w:val="1"/>
      <w:marLeft w:val="0"/>
      <w:marRight w:val="0"/>
      <w:marTop w:val="0"/>
      <w:marBottom w:val="0"/>
      <w:divBdr>
        <w:top w:val="none" w:sz="0" w:space="0" w:color="auto"/>
        <w:left w:val="none" w:sz="0" w:space="0" w:color="auto"/>
        <w:bottom w:val="none" w:sz="0" w:space="0" w:color="auto"/>
        <w:right w:val="none" w:sz="0" w:space="0" w:color="auto"/>
      </w:divBdr>
    </w:div>
    <w:div w:id="1681354322">
      <w:bodyDiv w:val="1"/>
      <w:marLeft w:val="0"/>
      <w:marRight w:val="0"/>
      <w:marTop w:val="0"/>
      <w:marBottom w:val="0"/>
      <w:divBdr>
        <w:top w:val="none" w:sz="0" w:space="0" w:color="auto"/>
        <w:left w:val="none" w:sz="0" w:space="0" w:color="auto"/>
        <w:bottom w:val="none" w:sz="0" w:space="0" w:color="auto"/>
        <w:right w:val="none" w:sz="0" w:space="0" w:color="auto"/>
      </w:divBdr>
    </w:div>
    <w:div w:id="1798067993">
      <w:bodyDiv w:val="1"/>
      <w:marLeft w:val="0"/>
      <w:marRight w:val="0"/>
      <w:marTop w:val="0"/>
      <w:marBottom w:val="0"/>
      <w:divBdr>
        <w:top w:val="none" w:sz="0" w:space="0" w:color="auto"/>
        <w:left w:val="none" w:sz="0" w:space="0" w:color="auto"/>
        <w:bottom w:val="none" w:sz="0" w:space="0" w:color="auto"/>
        <w:right w:val="none" w:sz="0" w:space="0" w:color="auto"/>
      </w:divBdr>
    </w:div>
    <w:div w:id="1799495257">
      <w:bodyDiv w:val="1"/>
      <w:marLeft w:val="0"/>
      <w:marRight w:val="0"/>
      <w:marTop w:val="0"/>
      <w:marBottom w:val="0"/>
      <w:divBdr>
        <w:top w:val="none" w:sz="0" w:space="0" w:color="auto"/>
        <w:left w:val="none" w:sz="0" w:space="0" w:color="auto"/>
        <w:bottom w:val="none" w:sz="0" w:space="0" w:color="auto"/>
        <w:right w:val="none" w:sz="0" w:space="0" w:color="auto"/>
      </w:divBdr>
    </w:div>
    <w:div w:id="1863594696">
      <w:bodyDiv w:val="1"/>
      <w:marLeft w:val="0"/>
      <w:marRight w:val="0"/>
      <w:marTop w:val="0"/>
      <w:marBottom w:val="0"/>
      <w:divBdr>
        <w:top w:val="none" w:sz="0" w:space="0" w:color="auto"/>
        <w:left w:val="none" w:sz="0" w:space="0" w:color="auto"/>
        <w:bottom w:val="none" w:sz="0" w:space="0" w:color="auto"/>
        <w:right w:val="none" w:sz="0" w:space="0" w:color="auto"/>
      </w:divBdr>
    </w:div>
    <w:div w:id="1962107767">
      <w:bodyDiv w:val="1"/>
      <w:marLeft w:val="0"/>
      <w:marRight w:val="0"/>
      <w:marTop w:val="0"/>
      <w:marBottom w:val="0"/>
      <w:divBdr>
        <w:top w:val="none" w:sz="0" w:space="0" w:color="auto"/>
        <w:left w:val="none" w:sz="0" w:space="0" w:color="auto"/>
        <w:bottom w:val="none" w:sz="0" w:space="0" w:color="auto"/>
        <w:right w:val="none" w:sz="0" w:space="0" w:color="auto"/>
      </w:divBdr>
    </w:div>
    <w:div w:id="1998878041">
      <w:bodyDiv w:val="1"/>
      <w:marLeft w:val="0"/>
      <w:marRight w:val="0"/>
      <w:marTop w:val="0"/>
      <w:marBottom w:val="0"/>
      <w:divBdr>
        <w:top w:val="none" w:sz="0" w:space="0" w:color="auto"/>
        <w:left w:val="none" w:sz="0" w:space="0" w:color="auto"/>
        <w:bottom w:val="none" w:sz="0" w:space="0" w:color="auto"/>
        <w:right w:val="none" w:sz="0" w:space="0" w:color="auto"/>
      </w:divBdr>
    </w:div>
    <w:div w:id="2037845856">
      <w:bodyDiv w:val="1"/>
      <w:marLeft w:val="0"/>
      <w:marRight w:val="0"/>
      <w:marTop w:val="0"/>
      <w:marBottom w:val="0"/>
      <w:divBdr>
        <w:top w:val="none" w:sz="0" w:space="0" w:color="auto"/>
        <w:left w:val="none" w:sz="0" w:space="0" w:color="auto"/>
        <w:bottom w:val="none" w:sz="0" w:space="0" w:color="auto"/>
        <w:right w:val="none" w:sz="0" w:space="0" w:color="auto"/>
      </w:divBdr>
    </w:div>
    <w:div w:id="2128618917">
      <w:bodyDiv w:val="1"/>
      <w:marLeft w:val="0"/>
      <w:marRight w:val="0"/>
      <w:marTop w:val="0"/>
      <w:marBottom w:val="0"/>
      <w:divBdr>
        <w:top w:val="none" w:sz="0" w:space="0" w:color="auto"/>
        <w:left w:val="none" w:sz="0" w:space="0" w:color="auto"/>
        <w:bottom w:val="none" w:sz="0" w:space="0" w:color="auto"/>
        <w:right w:val="none" w:sz="0" w:space="0" w:color="auto"/>
      </w:divBdr>
    </w:div>
    <w:div w:id="21388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_rels/footnotes.xml.rels><?xml version="1.0" encoding="UTF-8" standalone="yes"?>
<Relationships xmlns="http://schemas.openxmlformats.org/package/2006/relationships">
    <Relationship TargetMode="External" Target="http://www.europarl.europa.eu/RegData/etudes/STUD/2014/510981/EPRS_STU%282014%29510981_REV1_EN.pdf"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8A86EE36-7064-42D7-B2CC-51E9F9E4083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13259</Words>
  <Characters>7558</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Strautmane</dc:creator>
  <cp:lastModifiedBy>Olafs Grigus</cp:lastModifiedBy>
  <cp:revision>15</cp:revision>
  <cp:lastPrinted>2016-07-07T04:51:00Z</cp:lastPrinted>
  <dcterms:created xsi:type="dcterms:W3CDTF">2019-04-26T10:16:00Z</dcterms:created>
  <dcterms:modified xsi:type="dcterms:W3CDTF">2019-04-26T10:52:00Z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2018-02-01</vt:lpwstr>
  </property>
  <property fmtid="{D5CDD505-2E9C-101B-9397-08002B2CF9AE}" pid="3" name="DIScgiUrl">
    <vt:lpwstr>https://lim.esvis.gov.lv/cs/idcplg</vt:lpwstr>
  </property>
  <property fmtid="{D5CDD505-2E9C-101B-9397-08002B2CF9AE}" pid="4" name="DISdDocName">
    <vt:lpwstr>L206947</vt:lpwstr>
  </property>
  <property fmtid="{D5CDD505-2E9C-101B-9397-08002B2CF9AE}" pid="5" name="DISCesvisSigner">
    <vt:lpwstr>Ministre Ramona Petraviča</vt:lpwstr>
  </property>
  <property fmtid="{D5CDD505-2E9C-101B-9397-08002B2CF9AE}" pid="6" name="DISTaskPaneUrl">
    <vt:lpwstr>https://lim.esvis.gov.lv/cs/idcplg?ClientControlled=DocMan&amp;coreContentOnly=1&amp;WebdavRequest=1&amp;IdcService=DOC_INFO&amp;dID=263731</vt:lpwstr>
  </property>
  <property fmtid="{D5CDD505-2E9C-101B-9397-08002B2CF9AE}" pid="7" name="DISCesvisSafetyLevel">
    <vt:lpwstr>Vispārpieejams</vt:lpwstr>
  </property>
  <property fmtid="{D5CDD505-2E9C-101B-9397-08002B2CF9AE}" pid="8" name="DISCesvisTitle">
    <vt:lpwstr>INFORMATĪVAIS ZIŅOJUMS
par 2019. gada 02.-03. maija neformālajā Eiropas Savienības konkurētspējas ministru sanāksmē izskatāmajiem jautājumiem
</vt:lpwstr>
  </property>
  <property fmtid="{D5CDD505-2E9C-101B-9397-08002B2CF9AE}" pid="9" name="DISCesvisMinistryOfMinister">
    <vt:lpwstr>Ekonomikas ministra pienākumu izpildītājs - </vt:lpwstr>
  </property>
  <property fmtid="{D5CDD505-2E9C-101B-9397-08002B2CF9AE}" pid="10" name="DISCesvisAuthor">
    <vt:lpwstr>Ekonomikas ministrija</vt:lpwstr>
  </property>
  <property fmtid="{D5CDD505-2E9C-101B-9397-08002B2CF9AE}" pid="11" name="DISidcName">
    <vt:lpwstr>1020404016200</vt:lpwstr>
  </property>
  <property fmtid="{D5CDD505-2E9C-101B-9397-08002B2CF9AE}" pid="12"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3" name="DISdUser">
    <vt:lpwstr>vk_ladlere</vt:lpwstr>
  </property>
  <property fmtid="{D5CDD505-2E9C-101B-9397-08002B2CF9AE}" pid="14" name="DISdID">
    <vt:lpwstr>263731</vt:lpwstr>
  </property>
  <property fmtid="{D5CDD505-2E9C-101B-9397-08002B2CF9AE}" pid="15" name="DISCesvisAdditionalMakers">
    <vt:lpwstr>Vecākais referents Olafs Grigus</vt:lpwstr>
  </property>
  <property fmtid="{D5CDD505-2E9C-101B-9397-08002B2CF9AE}" pid="16" name="DISCesvisAdditionalTutors">
    <vt:lpwstr>Vecākais referents Olafs Grigus</vt:lpwstr>
  </property>
  <property fmtid="{D5CDD505-2E9C-101B-9397-08002B2CF9AE}" pid="17" name="DISCesvisAdditionalMakersPhone">
    <vt:lpwstr>67013114</vt:lpwstr>
  </property>
  <property fmtid="{D5CDD505-2E9C-101B-9397-08002B2CF9AE}" pid="18" name="DISCesvisMainMaker">
    <vt:lpwstr>Vecākais referents Olafs Grigus</vt:lpwstr>
  </property>
  <property fmtid="{D5CDD505-2E9C-101B-9397-08002B2CF9AE}" pid="19" name="DISCesvisAdditionalTutorsMail">
    <vt:lpwstr>Olafs.Grigus@em.gov.lv</vt:lpwstr>
  </property>
  <property fmtid="{D5CDD505-2E9C-101B-9397-08002B2CF9AE}" pid="20" name="DISCesvisAdditionalTutorsPhone">
    <vt:lpwstr>67013114</vt:lpwstr>
  </property>
  <property fmtid="{D5CDD505-2E9C-101B-9397-08002B2CF9AE}" pid="21" name="DISCesvisAdditionalMakersMail">
    <vt:lpwstr>Olafs.Grigus@em.gov.lv</vt:lpwstr>
  </property>
  <property fmtid="{D5CDD505-2E9C-101B-9397-08002B2CF9AE}" pid="22" name="DISCesvisMainMakerOrgUnitTitle">
    <vt:lpwstr>Eiropas Savienības un ārējo ekonomisko attiecību departaments</vt:lpwstr>
  </property>
  <property fmtid="{D5CDD505-2E9C-101B-9397-08002B2CF9AE}" pid="23" name="DISCesvisOrgApprovers">
    <vt:lpwstr>Satiksmes ministrija, Vides aizsardzības un reģionālās attīstības ministrija, Ārlietu ministrija, Izglītības un zinātnes ministrija, Finanšu ministrija</vt:lpwstr>
  </property>
  <property fmtid="{D5CDD505-2E9C-101B-9397-08002B2CF9AE}" pid="24" name="DISCesvisComments">
    <vt:lpwstr>Lūdzam saskaņojumu neformālā COMPET informatīvajam ziņojumam!</vt:lpwstr>
  </property>
  <property fmtid="{D5CDD505-2E9C-101B-9397-08002B2CF9AE}" pid="25" name="DISCesvisDescription">
    <vt:lpwstr>
</vt:lpwstr>
  </property>
  <property fmtid="{D5CDD505-2E9C-101B-9397-08002B2CF9AE}" pid="26" name="DISCesvisDocRegDate">
    <vt:lpwstr>2019-04-29</vt:lpwstr>
  </property>
  <property fmtid="{D5CDD505-2E9C-101B-9397-08002B2CF9AE}" pid="27" name="DISCesvisRegDate">
    <vt:lpwstr>2019-04-29</vt:lpwstr>
  </property>
  <property fmtid="{D5CDD505-2E9C-101B-9397-08002B2CF9AE}" pid="28" name="DISCesvisDocRegNr">
    <vt:lpwstr>3.1-9/2019/IZ-4</vt:lpwstr>
  </property>
</Properties>
</file>