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F4" w:rsidRPr="009C72F3" w:rsidRDefault="00034CF4">
      <w:pPr>
        <w:jc w:val="both"/>
        <w:rPr>
          <w:sz w:val="28"/>
          <w:lang w:val="lv-LV"/>
        </w:rPr>
      </w:pPr>
      <w:bookmarkStart w:id="0" w:name="_GoBack"/>
      <w:bookmarkEnd w:id="0"/>
    </w:p>
    <w:p w:rsidR="00034CF4" w:rsidRPr="009C72F3" w:rsidRDefault="00034CF4">
      <w:pPr>
        <w:jc w:val="both"/>
        <w:rPr>
          <w:sz w:val="28"/>
          <w:lang w:val="lv-LV"/>
        </w:rPr>
      </w:pPr>
    </w:p>
    <w:p w:rsidR="00034CF4" w:rsidRPr="009C72F3" w:rsidRDefault="00034CF4">
      <w:pPr>
        <w:jc w:val="both"/>
        <w:rPr>
          <w:sz w:val="28"/>
          <w:lang w:val="lv-LV"/>
        </w:rPr>
      </w:pPr>
    </w:p>
    <w:p w:rsidR="00034CF4" w:rsidRPr="009C72F3" w:rsidRDefault="00034CF4">
      <w:pPr>
        <w:rPr>
          <w:sz w:val="28"/>
          <w:lang w:val="lv-LV"/>
        </w:rPr>
      </w:pPr>
    </w:p>
    <w:tbl>
      <w:tblPr>
        <w:tblW w:w="9236" w:type="dxa"/>
        <w:tblInd w:w="108" w:type="dxa"/>
        <w:tblLook w:val="04A0" w:firstRow="1" w:lastRow="0" w:firstColumn="1" w:lastColumn="0" w:noHBand="0" w:noVBand="1"/>
      </w:tblPr>
      <w:tblGrid>
        <w:gridCol w:w="4040"/>
        <w:gridCol w:w="898"/>
        <w:gridCol w:w="4298"/>
      </w:tblGrid>
      <w:tr w:rsidR="00034CF4" w:rsidRPr="009C72F3" w:rsidTr="007B3932">
        <w:trPr>
          <w:cantSplit/>
        </w:trPr>
        <w:tc>
          <w:tcPr>
            <w:tcW w:w="4040" w:type="dxa"/>
            <w:hideMark/>
          </w:tcPr>
          <w:p w:rsidR="00034CF4" w:rsidRPr="009C72F3" w:rsidRDefault="00371D37">
            <w:pPr>
              <w:rPr>
                <w:sz w:val="28"/>
                <w:szCs w:val="28"/>
                <w:lang w:val="lv-LV"/>
              </w:rPr>
            </w:pPr>
            <w:r w:rsidRPr="009C72F3">
              <w:rPr>
                <w:sz w:val="28"/>
                <w:szCs w:val="28"/>
                <w:lang w:val="lv-LV"/>
              </w:rPr>
              <w:t>Rīgā</w:t>
            </w:r>
          </w:p>
        </w:tc>
        <w:tc>
          <w:tcPr>
            <w:tcW w:w="898" w:type="dxa"/>
            <w:hideMark/>
          </w:tcPr>
          <w:p w:rsidR="00034CF4" w:rsidRPr="009C72F3" w:rsidRDefault="00371D37" w:rsidP="008F594B">
            <w:pPr>
              <w:rPr>
                <w:sz w:val="28"/>
                <w:szCs w:val="28"/>
                <w:lang w:val="lv-LV"/>
              </w:rPr>
            </w:pPr>
            <w:r w:rsidRPr="009C72F3">
              <w:rPr>
                <w:sz w:val="28"/>
                <w:szCs w:val="28"/>
                <w:lang w:val="lv-LV"/>
              </w:rPr>
              <w:t>Nr.</w:t>
            </w:r>
            <w:r w:rsidR="008F594B" w:rsidRPr="009C72F3">
              <w:rPr>
                <w:sz w:val="28"/>
                <w:szCs w:val="28"/>
                <w:lang w:val="lv-LV"/>
              </w:rPr>
              <w:t> </w:t>
            </w:r>
          </w:p>
        </w:tc>
        <w:tc>
          <w:tcPr>
            <w:tcW w:w="4298" w:type="dxa"/>
            <w:hideMark/>
          </w:tcPr>
          <w:p w:rsidR="00034CF4" w:rsidRPr="009C72F3" w:rsidRDefault="00371D37" w:rsidP="00614BE0">
            <w:pPr>
              <w:jc w:val="right"/>
              <w:rPr>
                <w:sz w:val="28"/>
                <w:szCs w:val="28"/>
                <w:lang w:val="lv-LV"/>
              </w:rPr>
            </w:pPr>
            <w:r w:rsidRPr="009C72F3">
              <w:rPr>
                <w:sz w:val="28"/>
                <w:szCs w:val="28"/>
                <w:lang w:val="lv-LV"/>
              </w:rPr>
              <w:t>201</w:t>
            </w:r>
            <w:r w:rsidR="00614BE0">
              <w:rPr>
                <w:sz w:val="28"/>
                <w:szCs w:val="28"/>
                <w:lang w:val="lv-LV"/>
              </w:rPr>
              <w:t>9</w:t>
            </w:r>
            <w:r w:rsidRPr="009C72F3">
              <w:rPr>
                <w:sz w:val="28"/>
                <w:szCs w:val="28"/>
                <w:lang w:val="lv-LV"/>
              </w:rPr>
              <w:t>.</w:t>
            </w:r>
            <w:r w:rsidR="00DA6BA7" w:rsidRPr="009C72F3">
              <w:rPr>
                <w:sz w:val="28"/>
                <w:szCs w:val="28"/>
                <w:lang w:val="lv-LV"/>
              </w:rPr>
              <w:t> </w:t>
            </w:r>
            <w:r w:rsidRPr="009C72F3">
              <w:rPr>
                <w:sz w:val="28"/>
                <w:szCs w:val="28"/>
                <w:lang w:val="lv-LV"/>
              </w:rPr>
              <w:t xml:space="preserve">gada </w:t>
            </w:r>
            <w:r w:rsidR="00DA6BA7" w:rsidRPr="009C72F3">
              <w:rPr>
                <w:sz w:val="28"/>
                <w:szCs w:val="28"/>
                <w:lang w:val="lv-LV"/>
              </w:rPr>
              <w:t>...</w:t>
            </w:r>
          </w:p>
        </w:tc>
      </w:tr>
    </w:tbl>
    <w:p w:rsidR="00034CF4" w:rsidRPr="009C72F3" w:rsidRDefault="00034CF4">
      <w:pPr>
        <w:jc w:val="both"/>
        <w:rPr>
          <w:sz w:val="28"/>
          <w:lang w:val="lv-LV"/>
        </w:rPr>
      </w:pPr>
    </w:p>
    <w:p w:rsidR="00034CF4" w:rsidRPr="009C72F3" w:rsidRDefault="00034CF4">
      <w:pPr>
        <w:jc w:val="both"/>
        <w:rPr>
          <w:sz w:val="28"/>
          <w:lang w:val="lv-LV"/>
        </w:rPr>
      </w:pPr>
    </w:p>
    <w:p w:rsidR="00034CF4" w:rsidRPr="009C72F3" w:rsidRDefault="00DA6BA7">
      <w:pPr>
        <w:jc w:val="center"/>
        <w:rPr>
          <w:sz w:val="28"/>
          <w:lang w:val="lv-LV"/>
        </w:rPr>
      </w:pPr>
      <w:r w:rsidRPr="009C72F3">
        <w:rPr>
          <w:b/>
          <w:bCs/>
          <w:sz w:val="28"/>
          <w:lang w:val="lv-LV"/>
        </w:rPr>
        <w:t> </w:t>
      </w:r>
      <w:r w:rsidR="00371D37" w:rsidRPr="009C72F3">
        <w:rPr>
          <w:b/>
          <w:bCs/>
          <w:sz w:val="28"/>
          <w:lang w:val="lv-LV"/>
        </w:rPr>
        <w:t>.</w:t>
      </w:r>
      <w:r w:rsidR="001767D4" w:rsidRPr="009C72F3">
        <w:rPr>
          <w:b/>
          <w:bCs/>
          <w:sz w:val="28"/>
          <w:lang w:val="lv-LV"/>
        </w:rPr>
        <w:t> </w:t>
      </w:r>
      <w:r w:rsidR="00371D37" w:rsidRPr="009C72F3">
        <w:rPr>
          <w:b/>
          <w:bCs/>
          <w:sz w:val="28"/>
          <w:lang w:val="lv-LV"/>
        </w:rPr>
        <w:t>§</w:t>
      </w:r>
    </w:p>
    <w:p w:rsidR="00034CF4" w:rsidRPr="009C72F3" w:rsidRDefault="00034CF4">
      <w:pPr>
        <w:rPr>
          <w:sz w:val="28"/>
          <w:lang w:val="lv-LV"/>
        </w:rPr>
      </w:pPr>
    </w:p>
    <w:p w:rsidR="00034CF4" w:rsidRPr="009C72F3" w:rsidRDefault="00614BE0">
      <w:pPr>
        <w:jc w:val="center"/>
        <w:rPr>
          <w:lang w:val="lv-LV"/>
        </w:rPr>
      </w:pPr>
      <w:r>
        <w:rPr>
          <w:b/>
          <w:sz w:val="28"/>
          <w:lang w:val="lv-LV"/>
        </w:rPr>
        <w:t>Noteikumu projekts “</w:t>
      </w:r>
      <w:r w:rsidRPr="00614BE0">
        <w:rPr>
          <w:b/>
          <w:sz w:val="28"/>
          <w:szCs w:val="28"/>
          <w:lang w:val="lv-LV"/>
        </w:rPr>
        <w:t>Noteikumi par valsts vispārējās vidējās izglītības standartu un pamatizglītības programmu paraugiem</w:t>
      </w:r>
      <w:r>
        <w:rPr>
          <w:b/>
          <w:sz w:val="28"/>
          <w:szCs w:val="28"/>
          <w:lang w:val="lv-LV"/>
        </w:rPr>
        <w:t>”</w:t>
      </w:r>
    </w:p>
    <w:p w:rsidR="00034CF4" w:rsidRPr="009C72F3" w:rsidRDefault="00371D37" w:rsidP="004B2A45">
      <w:pPr>
        <w:ind w:firstLine="709"/>
        <w:jc w:val="both"/>
        <w:rPr>
          <w:lang w:val="lv-LV"/>
        </w:rPr>
      </w:pPr>
      <w:r w:rsidRPr="009C72F3">
        <w:rPr>
          <w:b/>
          <w:bCs/>
          <w:lang w:val="lv-LV"/>
        </w:rPr>
        <w:t>TA-</w:t>
      </w:r>
      <w:r w:rsidR="00DA6BA7" w:rsidRPr="009C72F3">
        <w:rPr>
          <w:b/>
          <w:bCs/>
          <w:lang w:val="lv-LV"/>
        </w:rPr>
        <w:t>…</w:t>
      </w:r>
    </w:p>
    <w:p w:rsidR="00034CF4" w:rsidRPr="009C72F3" w:rsidRDefault="00371D37">
      <w:pPr>
        <w:pStyle w:val="BodyText"/>
      </w:pPr>
      <w:r w:rsidRPr="009C72F3">
        <w:t>___________________________________________________________</w:t>
      </w:r>
    </w:p>
    <w:p w:rsidR="00034CF4" w:rsidRPr="009C72F3" w:rsidRDefault="00371D37">
      <w:pPr>
        <w:pStyle w:val="BodyText"/>
        <w:rPr>
          <w:b w:val="0"/>
          <w:sz w:val="24"/>
          <w:szCs w:val="24"/>
        </w:rPr>
      </w:pPr>
      <w:r w:rsidRPr="009C72F3">
        <w:rPr>
          <w:b w:val="0"/>
          <w:sz w:val="24"/>
          <w:szCs w:val="24"/>
        </w:rPr>
        <w:t>(</w:t>
      </w:r>
      <w:r w:rsidR="00DA6BA7" w:rsidRPr="009C72F3">
        <w:rPr>
          <w:b w:val="0"/>
          <w:sz w:val="24"/>
          <w:szCs w:val="24"/>
        </w:rPr>
        <w:t>…</w:t>
      </w:r>
      <w:r w:rsidRPr="009C72F3">
        <w:rPr>
          <w:b w:val="0"/>
          <w:sz w:val="24"/>
          <w:szCs w:val="24"/>
        </w:rPr>
        <w:t>)</w:t>
      </w:r>
    </w:p>
    <w:p w:rsidR="00034CF4" w:rsidRPr="009C72F3" w:rsidRDefault="00034CF4" w:rsidP="00532F95">
      <w:pPr>
        <w:pStyle w:val="BodyText"/>
        <w:ind w:firstLine="709"/>
        <w:jc w:val="left"/>
        <w:rPr>
          <w:b w:val="0"/>
        </w:rPr>
      </w:pPr>
    </w:p>
    <w:p w:rsidR="00034CF4" w:rsidRPr="009C72F3" w:rsidRDefault="00371D37" w:rsidP="00532F95">
      <w:pPr>
        <w:ind w:firstLine="709"/>
        <w:jc w:val="both"/>
        <w:rPr>
          <w:rStyle w:val="spelle"/>
          <w:lang w:val="lv-LV"/>
        </w:rPr>
      </w:pPr>
      <w:r w:rsidRPr="009C72F3">
        <w:rPr>
          <w:rStyle w:val="spelle"/>
          <w:sz w:val="28"/>
          <w:szCs w:val="28"/>
          <w:lang w:val="lv-LV"/>
        </w:rPr>
        <w:t>1.</w:t>
      </w:r>
      <w:r w:rsidR="00DA6BA7" w:rsidRPr="009C72F3">
        <w:rPr>
          <w:rStyle w:val="spelle"/>
          <w:sz w:val="28"/>
          <w:szCs w:val="28"/>
          <w:lang w:val="lv-LV"/>
        </w:rPr>
        <w:t> </w:t>
      </w:r>
      <w:r w:rsidRPr="009C72F3">
        <w:rPr>
          <w:rStyle w:val="spelle"/>
          <w:sz w:val="28"/>
          <w:szCs w:val="28"/>
          <w:lang w:val="lv-LV"/>
        </w:rPr>
        <w:t>Pieņem</w:t>
      </w:r>
      <w:r w:rsidR="00DA6BA7" w:rsidRPr="009C72F3">
        <w:rPr>
          <w:rStyle w:val="spelle"/>
          <w:sz w:val="28"/>
          <w:szCs w:val="28"/>
          <w:lang w:val="lv-LV"/>
        </w:rPr>
        <w:t>t iesniegto noteikumu projektu.</w:t>
      </w:r>
    </w:p>
    <w:p w:rsidR="00034CF4" w:rsidRPr="009C72F3" w:rsidRDefault="00371D37" w:rsidP="00532F95">
      <w:pPr>
        <w:ind w:firstLine="709"/>
        <w:jc w:val="both"/>
        <w:rPr>
          <w:rStyle w:val="spelle"/>
          <w:lang w:val="lv-LV"/>
        </w:rPr>
      </w:pPr>
      <w:r w:rsidRPr="009C72F3">
        <w:rPr>
          <w:rStyle w:val="spelle"/>
          <w:sz w:val="28"/>
          <w:szCs w:val="28"/>
          <w:lang w:val="lv-LV"/>
        </w:rPr>
        <w:t>Valsts kancelejai sagatavot noteikumu projektu parakstīšanai.</w:t>
      </w:r>
    </w:p>
    <w:p w:rsidR="003A03C2" w:rsidRDefault="003A03C2" w:rsidP="0031369B">
      <w:pPr>
        <w:ind w:firstLine="709"/>
        <w:jc w:val="both"/>
        <w:rPr>
          <w:rStyle w:val="spelle"/>
          <w:sz w:val="28"/>
          <w:szCs w:val="28"/>
          <w:lang w:val="lv-LV"/>
        </w:rPr>
      </w:pPr>
    </w:p>
    <w:p w:rsidR="003A03C2" w:rsidRPr="003A03C2" w:rsidRDefault="003A03C2" w:rsidP="00E90CE6">
      <w:pPr>
        <w:ind w:firstLine="709"/>
        <w:jc w:val="both"/>
        <w:rPr>
          <w:lang w:val="lv-LV"/>
        </w:rPr>
      </w:pPr>
      <w:r>
        <w:rPr>
          <w:rStyle w:val="spelle"/>
          <w:sz w:val="28"/>
          <w:szCs w:val="28"/>
          <w:lang w:val="lv-LV"/>
        </w:rPr>
        <w:t xml:space="preserve">2. Izglītības un zinātnes ministrijai līdz </w:t>
      </w:r>
      <w:r w:rsidRPr="001F0729">
        <w:rPr>
          <w:rStyle w:val="spelle"/>
          <w:sz w:val="28"/>
          <w:szCs w:val="28"/>
          <w:lang w:val="lv-LV"/>
        </w:rPr>
        <w:t>2019.gada 1.</w:t>
      </w:r>
      <w:r>
        <w:rPr>
          <w:rStyle w:val="spelle"/>
          <w:sz w:val="28"/>
          <w:szCs w:val="28"/>
          <w:lang w:val="lv-LV"/>
        </w:rPr>
        <w:t xml:space="preserve">oktobrim sagatavot un </w:t>
      </w:r>
      <w:r w:rsidR="00456D05">
        <w:rPr>
          <w:rStyle w:val="spelle"/>
          <w:sz w:val="28"/>
          <w:szCs w:val="28"/>
          <w:lang w:val="lv-LV"/>
        </w:rPr>
        <w:t xml:space="preserve">noteiktā kārtībā </w:t>
      </w:r>
      <w:r>
        <w:rPr>
          <w:rStyle w:val="spelle"/>
          <w:sz w:val="28"/>
          <w:szCs w:val="28"/>
          <w:lang w:val="lv-LV"/>
        </w:rPr>
        <w:t xml:space="preserve">iesniegt </w:t>
      </w:r>
      <w:r w:rsidR="006F3E11">
        <w:rPr>
          <w:rStyle w:val="spelle"/>
          <w:sz w:val="28"/>
          <w:szCs w:val="28"/>
          <w:lang w:val="lv-LV"/>
        </w:rPr>
        <w:t>M</w:t>
      </w:r>
      <w:r>
        <w:rPr>
          <w:rStyle w:val="spelle"/>
          <w:sz w:val="28"/>
          <w:szCs w:val="28"/>
          <w:lang w:val="lv-LV"/>
        </w:rPr>
        <w:t>inistru kabinetā grozījumus 2000.gada 27.jūnija Ministru kabineta noteikumos “</w:t>
      </w:r>
      <w:r w:rsidRPr="003A03C2">
        <w:rPr>
          <w:rStyle w:val="spelle"/>
          <w:sz w:val="28"/>
          <w:szCs w:val="28"/>
          <w:lang w:val="lv-LV"/>
        </w:rPr>
        <w:t>Noteikumi par valsts profesionālās vidējās izglītības standartu un valsts arodizglītības standartu”</w:t>
      </w:r>
      <w:r>
        <w:rPr>
          <w:rStyle w:val="spelle"/>
          <w:sz w:val="28"/>
          <w:szCs w:val="28"/>
          <w:lang w:val="lv-LV"/>
        </w:rPr>
        <w:t>.</w:t>
      </w:r>
    </w:p>
    <w:p w:rsidR="003A03C2" w:rsidRDefault="003A03C2" w:rsidP="0031369B">
      <w:pPr>
        <w:ind w:firstLine="709"/>
        <w:jc w:val="both"/>
        <w:rPr>
          <w:rStyle w:val="spelle"/>
          <w:sz w:val="28"/>
          <w:szCs w:val="28"/>
          <w:lang w:val="lv-LV"/>
        </w:rPr>
      </w:pPr>
    </w:p>
    <w:p w:rsidR="006F3E11" w:rsidRPr="006F3E11" w:rsidRDefault="006F3E11" w:rsidP="006F3E11">
      <w:pPr>
        <w:ind w:firstLine="709"/>
        <w:jc w:val="both"/>
        <w:rPr>
          <w:sz w:val="28"/>
          <w:szCs w:val="28"/>
          <w:lang w:val="lv-LV"/>
        </w:rPr>
      </w:pPr>
      <w:r w:rsidRPr="006F3E11">
        <w:rPr>
          <w:sz w:val="28"/>
          <w:szCs w:val="28"/>
          <w:lang w:val="lv-LV"/>
        </w:rPr>
        <w:t xml:space="preserve">3. Izglītības un zinātnes ministrijai sadarbībā ar Finanšu ministriju, balstoties uz Eiropas Savienības fondu lietderības, efektivitātes un ietekmes izvērtējuma rezultātiem un sagatavojot priekšlikumu par snieguma rezerves finansējuma izmantošanu, rast risinājumu papildu finansējuma 5 530 963 </w:t>
      </w:r>
      <w:proofErr w:type="spellStart"/>
      <w:r w:rsidRPr="006F3E11">
        <w:rPr>
          <w:i/>
          <w:iCs/>
          <w:sz w:val="28"/>
          <w:szCs w:val="28"/>
          <w:lang w:val="lv-LV"/>
        </w:rPr>
        <w:t>euro</w:t>
      </w:r>
      <w:proofErr w:type="spellEnd"/>
      <w:r w:rsidRPr="006F3E11">
        <w:rPr>
          <w:sz w:val="28"/>
          <w:szCs w:val="28"/>
          <w:lang w:val="lv-LV"/>
        </w:rPr>
        <w:t xml:space="preserve"> apjomā pārdalei darbības programmas "Izaugsme un nodarbinātība" 8.3.1. specifiskā atbalsta mērķa "Attīstīt kompetenču pieejā balstītu vispārējās izglītības saturu" 8.3.1.1. pasākuma "Kompetenču pieejā balstīta vispārējās izglītības satura aprobācija un ieviešana" īstenošanai, pagarinot projekta īstenošanas termiņu līdz 2023.gada 31.augustam. </w:t>
      </w:r>
    </w:p>
    <w:p w:rsidR="006F3E11" w:rsidRPr="006F3E11" w:rsidRDefault="006F3E11" w:rsidP="006F3E11">
      <w:pPr>
        <w:jc w:val="both"/>
        <w:rPr>
          <w:sz w:val="28"/>
          <w:szCs w:val="28"/>
          <w:lang w:val="lv-LV"/>
        </w:rPr>
      </w:pPr>
    </w:p>
    <w:p w:rsidR="006F3E11" w:rsidRPr="006F3E11" w:rsidRDefault="006F3E11" w:rsidP="006F3E11">
      <w:pPr>
        <w:ind w:firstLine="709"/>
        <w:jc w:val="both"/>
        <w:rPr>
          <w:sz w:val="28"/>
          <w:szCs w:val="28"/>
          <w:lang w:val="lv-LV"/>
        </w:rPr>
      </w:pPr>
      <w:r w:rsidRPr="006F3E11">
        <w:rPr>
          <w:sz w:val="28"/>
          <w:szCs w:val="28"/>
          <w:lang w:val="lv-LV"/>
        </w:rPr>
        <w:t xml:space="preserve">4. Izglītības un zinātnes ministrijai </w:t>
      </w:r>
      <w:r>
        <w:rPr>
          <w:sz w:val="28"/>
          <w:szCs w:val="28"/>
          <w:lang w:val="lv-LV"/>
        </w:rPr>
        <w:t xml:space="preserve">līdz 2019.gada 1.septembrim </w:t>
      </w:r>
      <w:r w:rsidRPr="006F3E11">
        <w:rPr>
          <w:sz w:val="28"/>
          <w:szCs w:val="28"/>
          <w:lang w:val="lv-LV"/>
        </w:rPr>
        <w:t xml:space="preserve">sagatavot </w:t>
      </w:r>
      <w:r>
        <w:rPr>
          <w:rStyle w:val="spelle"/>
          <w:sz w:val="28"/>
          <w:szCs w:val="28"/>
          <w:lang w:val="lv-LV"/>
        </w:rPr>
        <w:t>un noteiktā kārtībā iesniegt Ministru kabinetā</w:t>
      </w:r>
      <w:r w:rsidRPr="006F3E11">
        <w:rPr>
          <w:sz w:val="28"/>
          <w:szCs w:val="28"/>
          <w:lang w:val="lv-LV"/>
        </w:rPr>
        <w:t xml:space="preserve"> grozījumus 2015.gada 24.novembra Ministru kabineta noteikumos Nr. 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par papildus finansējuma piešķiršanu. </w:t>
      </w:r>
    </w:p>
    <w:p w:rsidR="006F3E11" w:rsidRPr="006F3E11" w:rsidRDefault="006F3E11" w:rsidP="006F3E11">
      <w:pPr>
        <w:jc w:val="both"/>
        <w:rPr>
          <w:sz w:val="28"/>
          <w:szCs w:val="28"/>
          <w:lang w:val="lv-LV"/>
        </w:rPr>
      </w:pPr>
    </w:p>
    <w:p w:rsidR="006F3E11" w:rsidRPr="006F3E11" w:rsidRDefault="006F3E11" w:rsidP="006F3E11">
      <w:pPr>
        <w:ind w:firstLine="709"/>
        <w:jc w:val="both"/>
        <w:rPr>
          <w:color w:val="1F497D"/>
          <w:sz w:val="28"/>
          <w:szCs w:val="28"/>
          <w:lang w:val="lv-LV"/>
        </w:rPr>
      </w:pPr>
      <w:r w:rsidRPr="006F3E11">
        <w:rPr>
          <w:sz w:val="28"/>
          <w:szCs w:val="28"/>
          <w:lang w:val="lv-LV"/>
        </w:rPr>
        <w:t xml:space="preserve">5. Atļaut Centrālajai finanšu un līgumu aģentūrai saskaņā ar Ministru kabineta 2014. gada 16. decembra noteikumu Nr. 784 “Kārtība, kādā Eiropas Savienības struktūrfondu un Kohēzijas fonda vadībā iesaistītās institūcijas </w:t>
      </w:r>
      <w:r w:rsidRPr="006F3E11">
        <w:rPr>
          <w:sz w:val="28"/>
          <w:szCs w:val="28"/>
          <w:lang w:val="lv-LV"/>
        </w:rPr>
        <w:lastRenderedPageBreak/>
        <w:t>nodrošina plānošanas dokumentu sagatavošanu un šo fondu ieviešanu 2014. – 2020. gada plānošanas periodā” 51.</w:t>
      </w:r>
      <w:r w:rsidRPr="006F3E11">
        <w:rPr>
          <w:sz w:val="28"/>
          <w:szCs w:val="28"/>
          <w:vertAlign w:val="superscript"/>
          <w:lang w:val="lv-LV"/>
        </w:rPr>
        <w:t>4</w:t>
      </w:r>
      <w:r w:rsidRPr="006F3E11">
        <w:rPr>
          <w:sz w:val="28"/>
          <w:szCs w:val="28"/>
          <w:lang w:val="lv-LV"/>
        </w:rPr>
        <w:t>7. apakšpunktu pagarināt Valsts izglītības satura centra projekta “Kompetenču pieeja mācību saturā” īstenošanas termiņu līdz 2023.gada 31.augustam.</w:t>
      </w:r>
    </w:p>
    <w:p w:rsidR="00E77F39" w:rsidRDefault="00E77F39" w:rsidP="00E77F39">
      <w:pPr>
        <w:ind w:firstLine="709"/>
        <w:jc w:val="both"/>
        <w:rPr>
          <w:sz w:val="28"/>
          <w:szCs w:val="20"/>
          <w:lang w:val="lv-LV"/>
        </w:rPr>
      </w:pPr>
    </w:p>
    <w:p w:rsidR="00E77F39" w:rsidRDefault="006F3E11" w:rsidP="00E77F39">
      <w:pPr>
        <w:ind w:firstLine="709"/>
        <w:jc w:val="both"/>
        <w:rPr>
          <w:sz w:val="28"/>
          <w:szCs w:val="20"/>
          <w:lang w:val="lv-LV"/>
        </w:rPr>
      </w:pPr>
      <w:r>
        <w:rPr>
          <w:sz w:val="28"/>
          <w:szCs w:val="20"/>
          <w:lang w:val="lv-LV"/>
        </w:rPr>
        <w:t>6</w:t>
      </w:r>
      <w:r w:rsidR="00E77F39">
        <w:rPr>
          <w:sz w:val="28"/>
          <w:szCs w:val="20"/>
          <w:lang w:val="lv-LV"/>
        </w:rPr>
        <w:t xml:space="preserve">. Izglītības un zinātnes ministrijai līdz 2019.gada 30.decembrim sagatavot vidējās izglītības mācību priekšmetu </w:t>
      </w:r>
      <w:proofErr w:type="spellStart"/>
      <w:r w:rsidR="00375EEE">
        <w:rPr>
          <w:sz w:val="28"/>
          <w:szCs w:val="20"/>
          <w:lang w:val="lv-LV"/>
        </w:rPr>
        <w:t>pamat</w:t>
      </w:r>
      <w:r w:rsidR="00E77F39">
        <w:rPr>
          <w:sz w:val="28"/>
          <w:szCs w:val="20"/>
          <w:lang w:val="lv-LV"/>
        </w:rPr>
        <w:t>kursu</w:t>
      </w:r>
      <w:proofErr w:type="spellEnd"/>
      <w:r w:rsidR="00E77F39">
        <w:rPr>
          <w:sz w:val="28"/>
          <w:szCs w:val="20"/>
          <w:lang w:val="lv-LV"/>
        </w:rPr>
        <w:t xml:space="preserve"> programmu paraugus un līdz 2020.gada 31.augustam </w:t>
      </w:r>
      <w:r w:rsidR="00375EEE">
        <w:rPr>
          <w:sz w:val="28"/>
          <w:szCs w:val="20"/>
          <w:lang w:val="lv-LV"/>
        </w:rPr>
        <w:t xml:space="preserve">vidējās izglītības mācību priekšmetu padziļināto kursu programmu paraugus un </w:t>
      </w:r>
      <w:r w:rsidR="00E77F39">
        <w:rPr>
          <w:sz w:val="28"/>
          <w:szCs w:val="20"/>
          <w:lang w:val="lv-LV"/>
        </w:rPr>
        <w:t>nodrošināt to pieejamību.</w:t>
      </w:r>
    </w:p>
    <w:p w:rsidR="00E77F39" w:rsidRPr="0031369B" w:rsidRDefault="00E77F39" w:rsidP="0031369B">
      <w:pPr>
        <w:ind w:firstLine="709"/>
        <w:jc w:val="both"/>
        <w:rPr>
          <w:lang w:val="lv-LV"/>
        </w:rPr>
      </w:pPr>
    </w:p>
    <w:p w:rsidR="0031369B" w:rsidRDefault="0031369B" w:rsidP="00022237">
      <w:pPr>
        <w:tabs>
          <w:tab w:val="left" w:pos="6521"/>
          <w:tab w:val="right" w:pos="8820"/>
        </w:tabs>
        <w:ind w:firstLine="709"/>
        <w:rPr>
          <w:sz w:val="28"/>
          <w:szCs w:val="28"/>
          <w:lang w:val="lv-LV"/>
        </w:rPr>
      </w:pPr>
    </w:p>
    <w:p w:rsidR="0031369B" w:rsidRDefault="0031369B" w:rsidP="00022237">
      <w:pPr>
        <w:tabs>
          <w:tab w:val="left" w:pos="6521"/>
          <w:tab w:val="right" w:pos="8820"/>
        </w:tabs>
        <w:ind w:firstLine="709"/>
        <w:rPr>
          <w:sz w:val="28"/>
          <w:szCs w:val="28"/>
          <w:lang w:val="lv-LV"/>
        </w:rPr>
      </w:pPr>
    </w:p>
    <w:p w:rsidR="00DA6BA7" w:rsidRPr="009C72F3" w:rsidRDefault="00022237" w:rsidP="00022237">
      <w:pPr>
        <w:tabs>
          <w:tab w:val="left" w:pos="6521"/>
          <w:tab w:val="right" w:pos="8820"/>
        </w:tabs>
        <w:ind w:firstLine="709"/>
        <w:rPr>
          <w:sz w:val="28"/>
          <w:szCs w:val="28"/>
          <w:lang w:val="lv-LV"/>
        </w:rPr>
      </w:pPr>
      <w:r w:rsidRPr="009C72F3">
        <w:rPr>
          <w:sz w:val="28"/>
          <w:szCs w:val="28"/>
          <w:lang w:val="lv-LV"/>
        </w:rPr>
        <w:t xml:space="preserve">Ministru prezidents </w:t>
      </w:r>
      <w:r w:rsidRPr="009C72F3">
        <w:rPr>
          <w:sz w:val="28"/>
          <w:szCs w:val="28"/>
          <w:lang w:val="lv-LV"/>
        </w:rPr>
        <w:tab/>
      </w:r>
      <w:proofErr w:type="spellStart"/>
      <w:r w:rsidR="00614BE0">
        <w:rPr>
          <w:sz w:val="28"/>
          <w:szCs w:val="28"/>
          <w:lang w:val="lv-LV"/>
        </w:rPr>
        <w:t>A.K.Kariņš</w:t>
      </w:r>
      <w:proofErr w:type="spellEnd"/>
    </w:p>
    <w:p w:rsidR="00DA6BA7" w:rsidRPr="009C72F3" w:rsidRDefault="00DA6BA7" w:rsidP="00DA6BA7">
      <w:pPr>
        <w:tabs>
          <w:tab w:val="left" w:pos="6521"/>
          <w:tab w:val="right" w:pos="8820"/>
        </w:tabs>
        <w:rPr>
          <w:sz w:val="28"/>
          <w:szCs w:val="28"/>
          <w:lang w:val="lv-LV"/>
        </w:rPr>
      </w:pPr>
    </w:p>
    <w:p w:rsidR="00022237" w:rsidRPr="009C72F3" w:rsidRDefault="00022237" w:rsidP="00DA6BA7">
      <w:pPr>
        <w:tabs>
          <w:tab w:val="left" w:pos="6521"/>
          <w:tab w:val="right" w:pos="8820"/>
        </w:tabs>
        <w:rPr>
          <w:sz w:val="28"/>
          <w:szCs w:val="28"/>
          <w:lang w:val="lv-LV"/>
        </w:rPr>
      </w:pPr>
    </w:p>
    <w:p w:rsidR="009C72F3" w:rsidRPr="009C72F3" w:rsidRDefault="00022237" w:rsidP="0073120C">
      <w:pPr>
        <w:tabs>
          <w:tab w:val="left" w:pos="6521"/>
          <w:tab w:val="right" w:pos="8820"/>
        </w:tabs>
        <w:ind w:firstLine="709"/>
        <w:rPr>
          <w:szCs w:val="28"/>
          <w:lang w:val="lv-LV"/>
        </w:rPr>
      </w:pPr>
      <w:r w:rsidRPr="009C72F3">
        <w:rPr>
          <w:sz w:val="28"/>
          <w:szCs w:val="28"/>
          <w:lang w:val="lv-LV"/>
        </w:rPr>
        <w:t xml:space="preserve">Valsts kancelejas direktors </w:t>
      </w:r>
      <w:r w:rsidRPr="009C72F3">
        <w:rPr>
          <w:sz w:val="28"/>
          <w:szCs w:val="28"/>
          <w:lang w:val="lv-LV"/>
        </w:rPr>
        <w:tab/>
      </w:r>
      <w:proofErr w:type="spellStart"/>
      <w:r w:rsidR="00456D05" w:rsidRPr="00456D05">
        <w:rPr>
          <w:sz w:val="28"/>
          <w:szCs w:val="28"/>
        </w:rPr>
        <w:t>J.Citskovskis</w:t>
      </w:r>
      <w:proofErr w:type="spellEnd"/>
    </w:p>
    <w:sectPr w:rsidR="009C72F3" w:rsidRPr="009C72F3" w:rsidSect="00022237">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B9" w:rsidRDefault="005318B9">
      <w:r>
        <w:separator/>
      </w:r>
    </w:p>
  </w:endnote>
  <w:endnote w:type="continuationSeparator" w:id="0">
    <w:p w:rsidR="005318B9" w:rsidRDefault="0053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00" w:rsidRDefault="006A0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A7" w:rsidRPr="009F3EFB" w:rsidRDefault="00DA6BA7" w:rsidP="00DA6BA7">
    <w:pPr>
      <w:pStyle w:val="Footer"/>
    </w:pPr>
    <w:r>
      <w:t>MK</w:t>
    </w:r>
    <w:r w:rsidR="00AF445E">
      <w:t>p</w:t>
    </w:r>
    <w:r>
      <w:t>rot_</w:t>
    </w:r>
    <w:r w:rsidR="006A0200">
      <w:t>28</w:t>
    </w:r>
    <w:r>
      <w:t>0</w:t>
    </w:r>
    <w:r w:rsidR="003A03C2">
      <w:t>519</w:t>
    </w:r>
    <w:r>
      <w:t>_</w:t>
    </w:r>
    <w:r w:rsidR="003A03C2">
      <w:t>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00" w:rsidRDefault="006A0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B9" w:rsidRDefault="005318B9">
      <w:r>
        <w:separator/>
      </w:r>
    </w:p>
  </w:footnote>
  <w:footnote w:type="continuationSeparator" w:id="0">
    <w:p w:rsidR="005318B9" w:rsidRDefault="0053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00" w:rsidRDefault="006A0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00" w:rsidRDefault="006A0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00" w:rsidRDefault="006A0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4B"/>
    <w:rsid w:val="00022237"/>
    <w:rsid w:val="00034CF4"/>
    <w:rsid w:val="000577DB"/>
    <w:rsid w:val="000F694E"/>
    <w:rsid w:val="001767D4"/>
    <w:rsid w:val="001F0729"/>
    <w:rsid w:val="001F44DE"/>
    <w:rsid w:val="002C4551"/>
    <w:rsid w:val="0031369B"/>
    <w:rsid w:val="00371D37"/>
    <w:rsid w:val="00375EEE"/>
    <w:rsid w:val="003A03C2"/>
    <w:rsid w:val="003D0A5C"/>
    <w:rsid w:val="00456D05"/>
    <w:rsid w:val="004821BF"/>
    <w:rsid w:val="004B2A45"/>
    <w:rsid w:val="005318B9"/>
    <w:rsid w:val="00532F95"/>
    <w:rsid w:val="00554D6C"/>
    <w:rsid w:val="005C17E0"/>
    <w:rsid w:val="00611A4F"/>
    <w:rsid w:val="00614BE0"/>
    <w:rsid w:val="00635DF0"/>
    <w:rsid w:val="006A0200"/>
    <w:rsid w:val="006F3E11"/>
    <w:rsid w:val="00701F84"/>
    <w:rsid w:val="007229CE"/>
    <w:rsid w:val="0073120C"/>
    <w:rsid w:val="007B3932"/>
    <w:rsid w:val="00811E72"/>
    <w:rsid w:val="008F594B"/>
    <w:rsid w:val="009112BC"/>
    <w:rsid w:val="00944B60"/>
    <w:rsid w:val="00967595"/>
    <w:rsid w:val="009C72F3"/>
    <w:rsid w:val="00A574EF"/>
    <w:rsid w:val="00AF445E"/>
    <w:rsid w:val="00B613C7"/>
    <w:rsid w:val="00C3093D"/>
    <w:rsid w:val="00D075AE"/>
    <w:rsid w:val="00D92853"/>
    <w:rsid w:val="00DA6BA7"/>
    <w:rsid w:val="00DF0999"/>
    <w:rsid w:val="00E5188B"/>
    <w:rsid w:val="00E77F39"/>
    <w:rsid w:val="00E90CE6"/>
    <w:rsid w:val="00F06301"/>
    <w:rsid w:val="00F54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9171D7-D852-41B1-A921-2F40BD48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semiHidden/>
    <w:unhideWhenUsed/>
    <w:pPr>
      <w:spacing w:before="100" w:beforeAutospacing="1" w:after="100" w:afterAutospacing="1"/>
    </w:pPr>
    <w:rPr>
      <w:rFonts w:eastAsiaTheme="minorEastAsia"/>
      <w:lang w:val="lv-LV"/>
    </w:rPr>
  </w:style>
  <w:style w:type="character" w:customStyle="1" w:styleId="spelle">
    <w:name w:val="spel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138">
      <w:bodyDiv w:val="1"/>
      <w:marLeft w:val="0"/>
      <w:marRight w:val="0"/>
      <w:marTop w:val="0"/>
      <w:marBottom w:val="0"/>
      <w:divBdr>
        <w:top w:val="none" w:sz="0" w:space="0" w:color="auto"/>
        <w:left w:val="none" w:sz="0" w:space="0" w:color="auto"/>
        <w:bottom w:val="none" w:sz="0" w:space="0" w:color="auto"/>
        <w:right w:val="none" w:sz="0" w:space="0" w:color="auto"/>
      </w:divBdr>
      <w:divsChild>
        <w:div w:id="495263130">
          <w:marLeft w:val="0"/>
          <w:marRight w:val="0"/>
          <w:marTop w:val="0"/>
          <w:marBottom w:val="0"/>
          <w:divBdr>
            <w:top w:val="none" w:sz="0" w:space="0" w:color="auto"/>
            <w:left w:val="none" w:sz="0" w:space="0" w:color="auto"/>
            <w:bottom w:val="none" w:sz="0" w:space="0" w:color="auto"/>
            <w:right w:val="none" w:sz="0" w:space="0" w:color="auto"/>
          </w:divBdr>
        </w:div>
        <w:div w:id="656687002">
          <w:marLeft w:val="0"/>
          <w:marRight w:val="0"/>
          <w:marTop w:val="0"/>
          <w:marBottom w:val="0"/>
          <w:divBdr>
            <w:top w:val="none" w:sz="0" w:space="0" w:color="auto"/>
            <w:left w:val="none" w:sz="0" w:space="0" w:color="auto"/>
            <w:bottom w:val="none" w:sz="0" w:space="0" w:color="auto"/>
            <w:right w:val="none" w:sz="0" w:space="0" w:color="auto"/>
          </w:divBdr>
        </w:div>
      </w:divsChild>
    </w:div>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 w:id="912662007">
      <w:bodyDiv w:val="1"/>
      <w:marLeft w:val="0"/>
      <w:marRight w:val="0"/>
      <w:marTop w:val="0"/>
      <w:marBottom w:val="0"/>
      <w:divBdr>
        <w:top w:val="none" w:sz="0" w:space="0" w:color="auto"/>
        <w:left w:val="none" w:sz="0" w:space="0" w:color="auto"/>
        <w:bottom w:val="none" w:sz="0" w:space="0" w:color="auto"/>
        <w:right w:val="none" w:sz="0" w:space="0" w:color="auto"/>
      </w:divBdr>
    </w:div>
    <w:div w:id="1236353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1656</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Protokollēmuma projekts</dc:subject>
  <dc:creator>Vārds Uzvārds</dc:creator>
  <dc:description>67012345, vards.uzvards@mk.gov.lv</dc:description>
  <cp:lastModifiedBy>Sandra Obodova</cp:lastModifiedBy>
  <cp:revision>2</cp:revision>
  <cp:lastPrinted>2004-05-26T10:07:00Z</cp:lastPrinted>
  <dcterms:created xsi:type="dcterms:W3CDTF">2019-05-28T08:20:00Z</dcterms:created>
  <dcterms:modified xsi:type="dcterms:W3CDTF">2019-05-28T08:20:00Z</dcterms:modified>
</cp:coreProperties>
</file>