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D4" w:rsidRPr="00F76B9E" w:rsidRDefault="00CF7AD4" w:rsidP="00CF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B9E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:rsidR="00CF7AD4" w:rsidRPr="00F76B9E" w:rsidRDefault="00CF7AD4" w:rsidP="00CF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B9E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2005. gada 2. augusta noteikumos Nr. 582</w:t>
      </w:r>
    </w:p>
    <w:p w:rsidR="00CF7AD4" w:rsidRPr="00F76B9E" w:rsidRDefault="00CF7AD4" w:rsidP="00CF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B9E">
        <w:rPr>
          <w:rFonts w:ascii="Times New Roman" w:eastAsia="Times New Roman" w:hAnsi="Times New Roman" w:cs="Times New Roman"/>
          <w:b/>
          <w:bCs/>
          <w:sz w:val="28"/>
          <w:szCs w:val="28"/>
        </w:rPr>
        <w:t>„Mutes un nagu sērgas likvidēšanas un draudu novēršanas kārtība””</w:t>
      </w:r>
    </w:p>
    <w:p w:rsidR="00CF7AD4" w:rsidRPr="00F76B9E" w:rsidRDefault="00CF7AD4" w:rsidP="00CF7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B9E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7AD4" w:rsidRDefault="00CF7AD4" w:rsidP="00B9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CF7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Veterinārmedicīnas likuma 26.</w:t>
            </w:r>
            <w:r w:rsidR="003B1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7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panta pirmā daļa un 27.</w:t>
            </w:r>
            <w:r w:rsidR="003B1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7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panta trešā daļa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CF7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2A36" w:rsidRPr="001D08FA" w:rsidRDefault="000110E4" w:rsidP="00E0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1D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</w:t>
            </w:r>
            <w:r w:rsidR="001D08FA" w:rsidRPr="001D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2019. gada 7. februāra Īstenošanas lēmums (ES) 2019/242, ar ko attiecībā uz pasākumiem, kuri novērš mutes un nagu sērgas vīrusa ievešanu Savienībā no Alžīrijas, Lībijas, Marokas un Tunisijas, groza Īstenošanas lēmumu (ES) 2017/675</w:t>
            </w:r>
            <w:r w:rsidR="001D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(turpmāk – Īstenošanas lēmums 2019/242/ES)</w:t>
            </w:r>
            <w:r w:rsidR="00CF7AD4" w:rsidRPr="001D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BEF" w:rsidTr="00BC586D">
        <w:trPr>
          <w:trHeight w:val="517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37595" w:rsidRDefault="006531BC" w:rsidP="001D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595" w:rsidRPr="00237595" w:rsidRDefault="00237595" w:rsidP="00237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815" w:rsidRPr="00237595" w:rsidRDefault="00D47815" w:rsidP="00E304D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0F37" w:rsidRDefault="001D08FA" w:rsidP="001D0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Mutes un nagu sērgas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uzraudzības, kontroles un apkarošanas kārtība ir noteikta </w:t>
            </w:r>
            <w:r w:rsidRPr="001D08FA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2005. gada 2. augusta noteikumos Nr. 582 „Mutes un nagu sērgas likvidēšana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un draudu novēršanas kārtība” (turpmāk – noteikumi Nr. 582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), kuros ir jāizdara grozījumi, lai ie</w:t>
            </w:r>
            <w:r w:rsidR="003B1B21">
              <w:rPr>
                <w:rFonts w:ascii="Times New Roman" w:hAnsi="Times New Roman" w:cs="Times New Roman"/>
                <w:bCs/>
                <w:sz w:val="24"/>
                <w:szCs w:val="24"/>
              </w:rPr>
              <w:t>viestu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0CA1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lēmuma</w:t>
            </w:r>
            <w:r w:rsidR="00335881" w:rsidRPr="0033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2019/242</w:t>
            </w:r>
            <w:r w:rsidR="00335881" w:rsidRPr="00335881">
              <w:rPr>
                <w:rFonts w:ascii="Times New Roman" w:hAnsi="Times New Roman" w:cs="Times New Roman"/>
                <w:bCs/>
                <w:sz w:val="24"/>
                <w:szCs w:val="24"/>
              </w:rPr>
              <w:t>/ES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normas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21375" w:rsidRPr="00521375" w:rsidRDefault="00521375" w:rsidP="00521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Nr.2019/242/ES</w:t>
            </w:r>
            <w:r w:rsidRPr="00521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noteiktās normas tika pamatotas ar šādiem apsvērumiem: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3"/>
            </w:tblGrid>
            <w:tr w:rsidR="007853AF" w:rsidRPr="007853AF" w:rsidTr="007853AF">
              <w:tc>
                <w:tcPr>
                  <w:tcW w:w="0" w:type="auto"/>
                  <w:shd w:val="clear" w:color="auto" w:fill="auto"/>
                  <w:hideMark/>
                </w:tcPr>
                <w:p w:rsidR="007853AF" w:rsidRPr="007853AF" w:rsidRDefault="007853AF" w:rsidP="007853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Lībijas Valstī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epizootoloģiskā situācija attiecībā uz mutes un nagu sērgu joprojām </w:t>
                  </w:r>
                  <w:r w:rsidR="003B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nav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skaidra. 2018. gada 19. oktobrī veiktās laboratoriskās diagnostikas sākotnējie rezultāti apstiprina SAT </w:t>
                  </w:r>
                  <w:proofErr w:type="spellStart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serotipu</w:t>
                  </w:r>
                  <w:proofErr w:type="spellEnd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taču tas ir bijis aizdomīga gadījuma līmenī. </w:t>
                  </w:r>
                  <w:proofErr w:type="spellStart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Serotipa</w:t>
                  </w:r>
                  <w:proofErr w:type="spellEnd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tipēšana</w:t>
                  </w:r>
                  <w:proofErr w:type="spellEnd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vēl aizvien turpinās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7853AF" w:rsidRDefault="007853AF" w:rsidP="007853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Maroka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Karalistes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kompetentā iestāde ir ziņojusi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 nenoteikta </w:t>
                  </w:r>
                  <w:proofErr w:type="spellStart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serotipa</w:t>
                  </w:r>
                  <w:proofErr w:type="spellEnd"/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mutes un nagu sērgas uzliesmojumu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53AF" w:rsidRDefault="007853AF" w:rsidP="007853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pizootoloģiskā situācija Lībi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jas Valstī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Marok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 Karalistē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var radīt nopietnus draudus 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Eiropas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Savienības 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dalībvalstu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dzīvnieku populācijai, tāpēc tie paši aizsardzības pasākumi, ko piemēro 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Alžīrijas Tautas Demokrātiskajā Republikā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 Tunisijas Republikā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būtu jāpiemēro arī Lībijai un Marokai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53AF" w:rsidRDefault="007853AF" w:rsidP="007853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Alžīrijas Tautas Demokrātiskā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s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Republik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as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 Tunisija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Republikas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kompetentās iestādes ir ziņojušas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par jauniem mutes un nagu sērgas uzliesmojumiem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853AF" w:rsidRPr="007853AF" w:rsidRDefault="007853AF" w:rsidP="00D55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="00BD12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ituācija saistībā ar mutes un nagu sērgu 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Alžīrijas Tautas Demokrātisk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aj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ā R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epublikā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Lībijas Valstī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, Marokas 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Karalistē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un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BC586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Tunisijas Republikā</w:t>
                  </w:r>
                  <w:r w:rsidR="00BC586D" w:rsidRPr="00BC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joprojām </w:t>
                  </w:r>
                  <w:r w:rsidR="003B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nav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skaidra, un uz šīm valstīm no 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iropas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avienības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dalībvalstīm tiek eksportēts ievērojams skaits 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dzīvu liellopu sūtījumu, tāpēc ir lietderīgi ieviesto pasākumu</w:t>
                  </w:r>
                  <w:r w:rsidR="00D55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42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īsteno</w:t>
                  </w:r>
                  <w:r w:rsidR="00D55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šanas laiku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pagarināt līdz 2019. gada 31. decembrim</w:t>
                  </w:r>
                  <w:r w:rsidRPr="007853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D08FA" w:rsidRPr="009002F3" w:rsidRDefault="00D5593D" w:rsidP="001D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Ņemot vērā minēto, ir sagatavots Ministru kabineta noteikumu projekts “Grozījumi Ministru kabineta 2005. </w:t>
            </w:r>
            <w:r w:rsidRPr="001D08FA">
              <w:rPr>
                <w:rFonts w:ascii="Times New Roman" w:hAnsi="Times New Roman" w:cs="Times New Roman"/>
                <w:bCs/>
                <w:sz w:val="24"/>
                <w:szCs w:val="24"/>
              </w:rPr>
              <w:t>gada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augusta noteikumos Nr. </w:t>
            </w:r>
            <w:r w:rsidRPr="001D08FA">
              <w:rPr>
                <w:rFonts w:ascii="Times New Roman" w:hAnsi="Times New Roman" w:cs="Times New Roman"/>
                <w:bCs/>
                <w:sz w:val="24"/>
                <w:szCs w:val="24"/>
              </w:rPr>
              <w:t>582 „Mutes un nagu sērgas likvidēšana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un draudu novēršan</w:t>
            </w:r>
            <w:r w:rsidR="00E22C23">
              <w:rPr>
                <w:rFonts w:ascii="Times New Roman" w:hAnsi="Times New Roman" w:cs="Times New Roman"/>
                <w:bCs/>
                <w:sz w:val="24"/>
                <w:szCs w:val="24"/>
              </w:rPr>
              <w:t>as kārtība” (turpmāk – noteikumu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projekts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7853AF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:rsidR="00060A68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B5BCD" w:rsidRPr="001C2B53" w:rsidRDefault="007853AF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tiesiskais regulējums attiecas uz transportlīdzekļu vadītājiem (operatoriem), kas pārvadā dzīvniekus vai dzīvnieku barību un valstī iebrauc no </w:t>
            </w:r>
            <w:r w:rsidR="00BC586D" w:rsidRP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Alžīrijas Tautas Demokrātiskā</w:t>
            </w:r>
            <w:r w:rsid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BC586D" w:rsidRP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Republik</w:t>
            </w:r>
            <w:r w:rsid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  <w:r w:rsidRPr="007853AF">
              <w:rPr>
                <w:rFonts w:ascii="Times New Roman" w:eastAsia="Times New Roman" w:hAnsi="Times New Roman" w:cs="Times New Roman"/>
                <w:sz w:val="24"/>
                <w:szCs w:val="24"/>
              </w:rPr>
              <w:t>, Tunisijas Republikas</w:t>
            </w:r>
            <w:r w:rsidR="00BC58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86D" w:rsidRP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Lībijas Valst</w:t>
            </w:r>
            <w:r w:rsid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vai</w:t>
            </w:r>
            <w:r w:rsidR="00BC586D" w:rsidRP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Marokas Karalist</w:t>
            </w:r>
            <w:r w:rsid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</w:t>
            </w:r>
            <w:r w:rsidR="00BC586D" w:rsidRPr="00BC5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3AF">
              <w:rPr>
                <w:rFonts w:ascii="Times New Roman" w:eastAsia="Times New Roman" w:hAnsi="Times New Roman" w:cs="Times New Roman"/>
                <w:sz w:val="24"/>
                <w:szCs w:val="24"/>
              </w:rPr>
              <w:t>tieši vai brauc tranzītā caur jebkuru citu trešo valsti. Zemkopības ministrijai nav informācijas par to transportlīdzekļu skaitu, kuri iebrauc no minētajām valstīm dzīvnieku vai dzīvnieku barības pārvadāšanas nolūkā.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  <w:p w:rsidR="00060A68" w:rsidRPr="001C2B53" w:rsidRDefault="00060A68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  <w:p w:rsidR="00E61979" w:rsidRPr="001C2B53" w:rsidRDefault="00E61979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60A68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:rsidTr="00A468CE">
        <w:tc>
          <w:tcPr>
            <w:tcW w:w="9366" w:type="dxa"/>
            <w:vAlign w:val="center"/>
          </w:tcPr>
          <w:p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A5D77" w:rsidRPr="001C2B53" w:rsidRDefault="006531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42A36" w:rsidRPr="00E12717" w:rsidRDefault="00627242" w:rsidP="003B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</w:t>
            </w:r>
            <w:r w:rsidR="003B1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2019/242</w:t>
            </w:r>
            <w:r w:rsidR="003B1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1726"/>
        <w:gridCol w:w="2347"/>
        <w:gridCol w:w="2347"/>
      </w:tblGrid>
      <w:tr w:rsidR="00A62BEF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4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27242" w:rsidP="00AB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2019/242/ES.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  <w:p w:rsidR="009A5D77" w:rsidRPr="001C2B53" w:rsidRDefault="009A5D77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8C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38E3" w:rsidRPr="001C2B53" w:rsidRDefault="00627242" w:rsidP="0062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2019/242/ES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panta</w:t>
            </w:r>
            <w:r w:rsidRPr="0065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B4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50F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AD508C" w:rsidP="00CF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CF3F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4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508C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77127B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7B">
              <w:rPr>
                <w:rFonts w:ascii="Times New Roman" w:eastAsia="Times New Roman" w:hAnsi="Times New Roman" w:cs="Times New Roman"/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508C" w:rsidRPr="001C2B53" w:rsidRDefault="0077127B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27B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F5C95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Default="00627242" w:rsidP="0062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2019/242/ES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1.panta 2., 3. un 5. punkts</w:t>
            </w:r>
          </w:p>
        </w:tc>
        <w:tc>
          <w:tcPr>
            <w:tcW w:w="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AD508C" w:rsidRDefault="00AF5C95" w:rsidP="00CF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CF3F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4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47815" w:rsidRPr="001C2B53" w:rsidRDefault="00627242" w:rsidP="0065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ēmuma</w:t>
            </w:r>
            <w:r w:rsidRP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2019/242/ES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 panta 4.</w:t>
            </w:r>
            <w:r w:rsidR="003B4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punkts</w:t>
            </w:r>
          </w:p>
        </w:tc>
        <w:tc>
          <w:tcPr>
            <w:tcW w:w="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C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projekta </w:t>
            </w:r>
            <w:r w:rsidR="006272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5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4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C61DE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4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E61979" w:rsidRDefault="00E61979" w:rsidP="0062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6272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2019/242</w:t>
            </w:r>
            <w:r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/ES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:rsidTr="0031731C">
        <w:tc>
          <w:tcPr>
            <w:tcW w:w="1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62BEF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829BB" w:rsidRPr="001C2B53" w:rsidRDefault="009D4998" w:rsidP="00CF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 apspriešana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27242" w:rsidP="009D4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242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</w:t>
            </w:r>
            <w:r w:rsidR="009D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ievietots sabiedriskajai apspriešanai Zemkopības ministrijas tīmekļvietnē www.zm.gov.lv</w:t>
            </w:r>
            <w:r w:rsidRPr="0062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595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9D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 </w:t>
            </w:r>
            <w:r w:rsidR="0023759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9D4998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r w:rsidR="0023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  <w:r w:rsidRPr="0062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martā</w:t>
            </w:r>
            <w:r w:rsidRPr="006272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0857E9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tīmekļvietnē www.zm.gov.lv ievietoto noteikumu projektu netika saņemti iebildumi vai priekšlikumi</w:t>
            </w:r>
            <w:r w:rsidR="002375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F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01121B"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46EE9" w:rsidRDefault="00346EE9" w:rsidP="00346E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:rsidR="00D47815" w:rsidRPr="001C2B53" w:rsidRDefault="00346EE9" w:rsidP="00F3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A62BEF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0857E9">
              <w:rPr>
                <w:rFonts w:ascii="Times New Roman" w:eastAsia="Times New Roman" w:hAnsi="Times New Roman" w:cs="Times New Roman"/>
                <w:sz w:val="24"/>
                <w:szCs w:val="24"/>
              </w:rPr>
              <w:t>izpildē</w:t>
            </w: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iesaistītās institūcijas noteikumu projekta īstenošanu nodrošinās par to budžetā esošajiem resursiem.</w:t>
            </w:r>
          </w:p>
        </w:tc>
      </w:tr>
    </w:tbl>
    <w:p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F76B9E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Pr="00F76B9E">
        <w:rPr>
          <w:rFonts w:ascii="Times New Roman" w:hAnsi="Times New Roman" w:cs="Times New Roman"/>
          <w:bCs/>
          <w:sz w:val="28"/>
          <w:szCs w:val="28"/>
        </w:rPr>
        <w:tab/>
      </w:r>
      <w:r w:rsidR="00F76B9E">
        <w:rPr>
          <w:rFonts w:ascii="Times New Roman" w:hAnsi="Times New Roman" w:cs="Times New Roman"/>
          <w:bCs/>
          <w:sz w:val="28"/>
          <w:szCs w:val="28"/>
        </w:rPr>
        <w:t xml:space="preserve">K. </w:t>
      </w:r>
      <w:r w:rsidR="00627242" w:rsidRPr="00F76B9E">
        <w:rPr>
          <w:rFonts w:ascii="Times New Roman" w:hAnsi="Times New Roman" w:cs="Times New Roman"/>
          <w:bCs/>
          <w:sz w:val="28"/>
          <w:szCs w:val="28"/>
        </w:rPr>
        <w:t>Gerhards</w:t>
      </w:r>
    </w:p>
    <w:p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E8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B53" w:rsidRPr="00F76B9E" w:rsidRDefault="006531BC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6B9E">
        <w:rPr>
          <w:rFonts w:ascii="Times New Roman" w:hAnsi="Times New Roman" w:cs="Times New Roman"/>
          <w:sz w:val="24"/>
          <w:szCs w:val="24"/>
        </w:rPr>
        <w:t>Vecuma-Veco 67027551</w:t>
      </w:r>
    </w:p>
    <w:p w:rsidR="001C2B53" w:rsidRPr="00F76B9E" w:rsidRDefault="00F76B9E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1BC" w:rsidRPr="00F76B9E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:rsidR="001C2B53" w:rsidRPr="001C2B53" w:rsidRDefault="001C2B5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B53" w:rsidRPr="001C2B53" w:rsidSect="00F76B9E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69" w:rsidRDefault="00962E69">
      <w:pPr>
        <w:spacing w:after="0" w:line="240" w:lineRule="auto"/>
      </w:pPr>
      <w:r>
        <w:separator/>
      </w:r>
    </w:p>
  </w:endnote>
  <w:endnote w:type="continuationSeparator" w:id="0">
    <w:p w:rsidR="00962E69" w:rsidRDefault="0096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8A" w:rsidRPr="00F76B9E" w:rsidRDefault="00F76B9E" w:rsidP="00F76B9E">
    <w:pPr>
      <w:pStyle w:val="Kjene"/>
    </w:pPr>
    <w:r w:rsidRPr="00F76B9E">
      <w:rPr>
        <w:rFonts w:ascii="Times New Roman" w:hAnsi="Times New Roman" w:cs="Times New Roman"/>
        <w:sz w:val="20"/>
        <w:szCs w:val="20"/>
      </w:rPr>
      <w:t>ZManot_160419_mnserga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8A" w:rsidRPr="00F76B9E" w:rsidRDefault="00F76B9E" w:rsidP="00F76B9E">
    <w:pPr>
      <w:pStyle w:val="Kjene"/>
    </w:pPr>
    <w:r w:rsidRPr="00F76B9E">
      <w:rPr>
        <w:rFonts w:ascii="Times New Roman" w:hAnsi="Times New Roman" w:cs="Times New Roman"/>
        <w:sz w:val="20"/>
        <w:szCs w:val="20"/>
      </w:rPr>
      <w:t>ZManot_160419_mnserga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69" w:rsidRDefault="00962E69">
      <w:pPr>
        <w:spacing w:after="0" w:line="240" w:lineRule="auto"/>
      </w:pPr>
      <w:r>
        <w:separator/>
      </w:r>
    </w:p>
  </w:footnote>
  <w:footnote w:type="continuationSeparator" w:id="0">
    <w:p w:rsidR="00962E69" w:rsidRDefault="0096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B9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1514"/>
    <w:multiLevelType w:val="hybridMultilevel"/>
    <w:tmpl w:val="B81C9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3C20"/>
    <w:rsid w:val="00066DA8"/>
    <w:rsid w:val="00073289"/>
    <w:rsid w:val="00076003"/>
    <w:rsid w:val="000856DB"/>
    <w:rsid w:val="000857E9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6460"/>
    <w:rsid w:val="000F1637"/>
    <w:rsid w:val="000F3927"/>
    <w:rsid w:val="000F399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41AF"/>
    <w:rsid w:val="00164A41"/>
    <w:rsid w:val="0016539A"/>
    <w:rsid w:val="00165CA0"/>
    <w:rsid w:val="00167E9F"/>
    <w:rsid w:val="001702D1"/>
    <w:rsid w:val="00171DE1"/>
    <w:rsid w:val="00173B8A"/>
    <w:rsid w:val="00181154"/>
    <w:rsid w:val="00183E32"/>
    <w:rsid w:val="00183F45"/>
    <w:rsid w:val="00184FFB"/>
    <w:rsid w:val="001900E0"/>
    <w:rsid w:val="00191E09"/>
    <w:rsid w:val="001935B1"/>
    <w:rsid w:val="00193990"/>
    <w:rsid w:val="001939C5"/>
    <w:rsid w:val="00193DAC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08FA"/>
    <w:rsid w:val="001D30F6"/>
    <w:rsid w:val="001D48A3"/>
    <w:rsid w:val="001D6484"/>
    <w:rsid w:val="001E0BCE"/>
    <w:rsid w:val="001E0C67"/>
    <w:rsid w:val="001E287E"/>
    <w:rsid w:val="001E488C"/>
    <w:rsid w:val="001E5408"/>
    <w:rsid w:val="001E7967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37595"/>
    <w:rsid w:val="0024011C"/>
    <w:rsid w:val="002405AE"/>
    <w:rsid w:val="00254531"/>
    <w:rsid w:val="0026780B"/>
    <w:rsid w:val="00272D42"/>
    <w:rsid w:val="002748E2"/>
    <w:rsid w:val="00281449"/>
    <w:rsid w:val="002817BB"/>
    <w:rsid w:val="00286293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171F"/>
    <w:rsid w:val="002D2A7C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30CF3"/>
    <w:rsid w:val="00333E97"/>
    <w:rsid w:val="00335881"/>
    <w:rsid w:val="00336C3F"/>
    <w:rsid w:val="00340865"/>
    <w:rsid w:val="00341A9B"/>
    <w:rsid w:val="00343629"/>
    <w:rsid w:val="00346EE9"/>
    <w:rsid w:val="00347C21"/>
    <w:rsid w:val="00350B49"/>
    <w:rsid w:val="003511D9"/>
    <w:rsid w:val="003530E3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1B21"/>
    <w:rsid w:val="003B411B"/>
    <w:rsid w:val="003B420B"/>
    <w:rsid w:val="003B5FDC"/>
    <w:rsid w:val="003B69E9"/>
    <w:rsid w:val="003B6D0E"/>
    <w:rsid w:val="003B715C"/>
    <w:rsid w:val="003C3632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E97"/>
    <w:rsid w:val="0040098E"/>
    <w:rsid w:val="00403916"/>
    <w:rsid w:val="00405AB8"/>
    <w:rsid w:val="00405AFB"/>
    <w:rsid w:val="00406FAF"/>
    <w:rsid w:val="004105A7"/>
    <w:rsid w:val="004136E3"/>
    <w:rsid w:val="00414EAE"/>
    <w:rsid w:val="00415FE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36A7"/>
    <w:rsid w:val="004443DC"/>
    <w:rsid w:val="00447BC6"/>
    <w:rsid w:val="00447DE3"/>
    <w:rsid w:val="0045100D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4DBB"/>
    <w:rsid w:val="00495E79"/>
    <w:rsid w:val="004A010C"/>
    <w:rsid w:val="004A16E8"/>
    <w:rsid w:val="004A2DA0"/>
    <w:rsid w:val="004A3EF5"/>
    <w:rsid w:val="004B42D3"/>
    <w:rsid w:val="004C0509"/>
    <w:rsid w:val="004C1784"/>
    <w:rsid w:val="004C651A"/>
    <w:rsid w:val="004C686E"/>
    <w:rsid w:val="004D0FB9"/>
    <w:rsid w:val="004D4303"/>
    <w:rsid w:val="004D4C78"/>
    <w:rsid w:val="004E14F8"/>
    <w:rsid w:val="004E39FC"/>
    <w:rsid w:val="004E4C19"/>
    <w:rsid w:val="004E532F"/>
    <w:rsid w:val="004E6FDA"/>
    <w:rsid w:val="004F16AA"/>
    <w:rsid w:val="004F4CA3"/>
    <w:rsid w:val="004F7D62"/>
    <w:rsid w:val="005020FD"/>
    <w:rsid w:val="00502DCF"/>
    <w:rsid w:val="00510F37"/>
    <w:rsid w:val="00515AD4"/>
    <w:rsid w:val="00520238"/>
    <w:rsid w:val="00521375"/>
    <w:rsid w:val="0052493E"/>
    <w:rsid w:val="00526527"/>
    <w:rsid w:val="00526733"/>
    <w:rsid w:val="0052764B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1BC1"/>
    <w:rsid w:val="0059464C"/>
    <w:rsid w:val="00597293"/>
    <w:rsid w:val="005973AB"/>
    <w:rsid w:val="005A5578"/>
    <w:rsid w:val="005B20A2"/>
    <w:rsid w:val="005B4C1A"/>
    <w:rsid w:val="005C3295"/>
    <w:rsid w:val="005C7BA2"/>
    <w:rsid w:val="005C7D5B"/>
    <w:rsid w:val="005D0607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601B2D"/>
    <w:rsid w:val="006020FE"/>
    <w:rsid w:val="00603C06"/>
    <w:rsid w:val="0060569B"/>
    <w:rsid w:val="00605834"/>
    <w:rsid w:val="00605838"/>
    <w:rsid w:val="006211AF"/>
    <w:rsid w:val="00622FD4"/>
    <w:rsid w:val="0062462E"/>
    <w:rsid w:val="0062590D"/>
    <w:rsid w:val="0062635D"/>
    <w:rsid w:val="00626AD6"/>
    <w:rsid w:val="00627242"/>
    <w:rsid w:val="00630008"/>
    <w:rsid w:val="0063136C"/>
    <w:rsid w:val="006332D8"/>
    <w:rsid w:val="00633A3D"/>
    <w:rsid w:val="00635B00"/>
    <w:rsid w:val="0063774E"/>
    <w:rsid w:val="0064398A"/>
    <w:rsid w:val="00644490"/>
    <w:rsid w:val="00650F4A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BA0"/>
    <w:rsid w:val="006F401E"/>
    <w:rsid w:val="006F5301"/>
    <w:rsid w:val="006F678E"/>
    <w:rsid w:val="006F7E99"/>
    <w:rsid w:val="006F7F89"/>
    <w:rsid w:val="0070799E"/>
    <w:rsid w:val="00712B8E"/>
    <w:rsid w:val="00712C4A"/>
    <w:rsid w:val="007139EE"/>
    <w:rsid w:val="00714BD1"/>
    <w:rsid w:val="0071739D"/>
    <w:rsid w:val="00727AC3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3AF"/>
    <w:rsid w:val="0078570F"/>
    <w:rsid w:val="007866BB"/>
    <w:rsid w:val="007874DB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5AC5"/>
    <w:rsid w:val="007F7ED4"/>
    <w:rsid w:val="00800A56"/>
    <w:rsid w:val="00801EC9"/>
    <w:rsid w:val="00801FD0"/>
    <w:rsid w:val="00802719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3013"/>
    <w:rsid w:val="00833A0E"/>
    <w:rsid w:val="008347AC"/>
    <w:rsid w:val="00834CB1"/>
    <w:rsid w:val="00837A68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6E02"/>
    <w:rsid w:val="008C018D"/>
    <w:rsid w:val="008C2AAF"/>
    <w:rsid w:val="008C3E45"/>
    <w:rsid w:val="008C5448"/>
    <w:rsid w:val="008C78C0"/>
    <w:rsid w:val="008D3CC3"/>
    <w:rsid w:val="008D5ABD"/>
    <w:rsid w:val="008E0490"/>
    <w:rsid w:val="008E3CE4"/>
    <w:rsid w:val="008E4323"/>
    <w:rsid w:val="008E71F4"/>
    <w:rsid w:val="008E7CD5"/>
    <w:rsid w:val="008F30A5"/>
    <w:rsid w:val="008F6A13"/>
    <w:rsid w:val="008F7823"/>
    <w:rsid w:val="009002F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2E69"/>
    <w:rsid w:val="00966D8F"/>
    <w:rsid w:val="00970510"/>
    <w:rsid w:val="0097112E"/>
    <w:rsid w:val="009738C2"/>
    <w:rsid w:val="00982740"/>
    <w:rsid w:val="00985520"/>
    <w:rsid w:val="009907F6"/>
    <w:rsid w:val="00993448"/>
    <w:rsid w:val="009949F9"/>
    <w:rsid w:val="009A1647"/>
    <w:rsid w:val="009A5D77"/>
    <w:rsid w:val="009B6A74"/>
    <w:rsid w:val="009C12D1"/>
    <w:rsid w:val="009C7187"/>
    <w:rsid w:val="009C76E3"/>
    <w:rsid w:val="009D1091"/>
    <w:rsid w:val="009D1F9A"/>
    <w:rsid w:val="009D4998"/>
    <w:rsid w:val="009D4F48"/>
    <w:rsid w:val="009D551C"/>
    <w:rsid w:val="009E1ED1"/>
    <w:rsid w:val="009E375A"/>
    <w:rsid w:val="009E4896"/>
    <w:rsid w:val="009E4985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4011E"/>
    <w:rsid w:val="00A4084F"/>
    <w:rsid w:val="00A413F0"/>
    <w:rsid w:val="00A4554C"/>
    <w:rsid w:val="00A45952"/>
    <w:rsid w:val="00A468CE"/>
    <w:rsid w:val="00A50E47"/>
    <w:rsid w:val="00A514F5"/>
    <w:rsid w:val="00A52813"/>
    <w:rsid w:val="00A52F04"/>
    <w:rsid w:val="00A5556F"/>
    <w:rsid w:val="00A56921"/>
    <w:rsid w:val="00A60618"/>
    <w:rsid w:val="00A61989"/>
    <w:rsid w:val="00A62BEF"/>
    <w:rsid w:val="00A638E3"/>
    <w:rsid w:val="00A6472D"/>
    <w:rsid w:val="00A6594B"/>
    <w:rsid w:val="00A673C2"/>
    <w:rsid w:val="00A72E58"/>
    <w:rsid w:val="00A75693"/>
    <w:rsid w:val="00A81610"/>
    <w:rsid w:val="00A81A8A"/>
    <w:rsid w:val="00A820FA"/>
    <w:rsid w:val="00A847E5"/>
    <w:rsid w:val="00A93050"/>
    <w:rsid w:val="00A96228"/>
    <w:rsid w:val="00AA0CA1"/>
    <w:rsid w:val="00AA14E0"/>
    <w:rsid w:val="00AA210C"/>
    <w:rsid w:val="00AA5FD7"/>
    <w:rsid w:val="00AA63E1"/>
    <w:rsid w:val="00AB019B"/>
    <w:rsid w:val="00AB229E"/>
    <w:rsid w:val="00AB232A"/>
    <w:rsid w:val="00AB2D4F"/>
    <w:rsid w:val="00AB3F62"/>
    <w:rsid w:val="00AB41F9"/>
    <w:rsid w:val="00AB43F2"/>
    <w:rsid w:val="00AB5836"/>
    <w:rsid w:val="00AB7DDB"/>
    <w:rsid w:val="00AC1CAF"/>
    <w:rsid w:val="00AC1FC1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61E8"/>
    <w:rsid w:val="00B20AC5"/>
    <w:rsid w:val="00B232D7"/>
    <w:rsid w:val="00B253F6"/>
    <w:rsid w:val="00B25F7E"/>
    <w:rsid w:val="00B30C78"/>
    <w:rsid w:val="00B32DD8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90109"/>
    <w:rsid w:val="00B925DA"/>
    <w:rsid w:val="00B92623"/>
    <w:rsid w:val="00B9305D"/>
    <w:rsid w:val="00B9776C"/>
    <w:rsid w:val="00BA043E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586D"/>
    <w:rsid w:val="00BC63B9"/>
    <w:rsid w:val="00BC7899"/>
    <w:rsid w:val="00BD0F96"/>
    <w:rsid w:val="00BD1253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11187"/>
    <w:rsid w:val="00C118BD"/>
    <w:rsid w:val="00C16EE4"/>
    <w:rsid w:val="00C21992"/>
    <w:rsid w:val="00C23BE0"/>
    <w:rsid w:val="00C23CB0"/>
    <w:rsid w:val="00C264FA"/>
    <w:rsid w:val="00C26B20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21B1"/>
    <w:rsid w:val="00C82D98"/>
    <w:rsid w:val="00C860A8"/>
    <w:rsid w:val="00C87137"/>
    <w:rsid w:val="00C91F3C"/>
    <w:rsid w:val="00C9716E"/>
    <w:rsid w:val="00CA0523"/>
    <w:rsid w:val="00CA2484"/>
    <w:rsid w:val="00CA35BD"/>
    <w:rsid w:val="00CA388B"/>
    <w:rsid w:val="00CA6B3B"/>
    <w:rsid w:val="00CB2415"/>
    <w:rsid w:val="00CC1650"/>
    <w:rsid w:val="00CC1AD3"/>
    <w:rsid w:val="00CC4860"/>
    <w:rsid w:val="00CC5C47"/>
    <w:rsid w:val="00CD0EC5"/>
    <w:rsid w:val="00CD11A0"/>
    <w:rsid w:val="00CD3365"/>
    <w:rsid w:val="00CD3868"/>
    <w:rsid w:val="00CD5872"/>
    <w:rsid w:val="00CD5DD7"/>
    <w:rsid w:val="00CE27C8"/>
    <w:rsid w:val="00CF24F5"/>
    <w:rsid w:val="00CF2EDB"/>
    <w:rsid w:val="00CF354B"/>
    <w:rsid w:val="00CF3F1A"/>
    <w:rsid w:val="00CF72CD"/>
    <w:rsid w:val="00CF7AD4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2344"/>
    <w:rsid w:val="00D5593D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49A6"/>
    <w:rsid w:val="00D958E0"/>
    <w:rsid w:val="00D9640A"/>
    <w:rsid w:val="00D97389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E0024"/>
    <w:rsid w:val="00DE3315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2717"/>
    <w:rsid w:val="00E13340"/>
    <w:rsid w:val="00E13AEC"/>
    <w:rsid w:val="00E164C5"/>
    <w:rsid w:val="00E1768C"/>
    <w:rsid w:val="00E17A2B"/>
    <w:rsid w:val="00E20E08"/>
    <w:rsid w:val="00E22C23"/>
    <w:rsid w:val="00E2448A"/>
    <w:rsid w:val="00E301DB"/>
    <w:rsid w:val="00E304D2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5F89"/>
    <w:rsid w:val="00EA7899"/>
    <w:rsid w:val="00EA7F55"/>
    <w:rsid w:val="00EB49FC"/>
    <w:rsid w:val="00EB4C39"/>
    <w:rsid w:val="00EB4DA7"/>
    <w:rsid w:val="00EB4F15"/>
    <w:rsid w:val="00EC0AE3"/>
    <w:rsid w:val="00EC0FA4"/>
    <w:rsid w:val="00EC1220"/>
    <w:rsid w:val="00EC35B7"/>
    <w:rsid w:val="00EC462F"/>
    <w:rsid w:val="00ED3028"/>
    <w:rsid w:val="00ED57CA"/>
    <w:rsid w:val="00ED7A1C"/>
    <w:rsid w:val="00EE0672"/>
    <w:rsid w:val="00EE2BAB"/>
    <w:rsid w:val="00EE3E79"/>
    <w:rsid w:val="00EF218C"/>
    <w:rsid w:val="00EF4435"/>
    <w:rsid w:val="00EF5635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E19"/>
    <w:rsid w:val="00F356FA"/>
    <w:rsid w:val="00F36808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6B9E"/>
    <w:rsid w:val="00F80E6C"/>
    <w:rsid w:val="00F8362D"/>
    <w:rsid w:val="00F87B17"/>
    <w:rsid w:val="00F90A6B"/>
    <w:rsid w:val="00F90DF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688F"/>
    <w:rsid w:val="00FD5CAC"/>
    <w:rsid w:val="00FE3723"/>
    <w:rsid w:val="00FE636F"/>
    <w:rsid w:val="00FF2321"/>
    <w:rsid w:val="00FF483A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3721-2BC1-42CE-BC0D-9DC6D2BA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  <w:style w:type="paragraph" w:styleId="Bezatstarpm">
    <w:name w:val="No Spacing"/>
    <w:uiPriority w:val="1"/>
    <w:qFormat/>
    <w:rsid w:val="00346EE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5403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Olita Vecuma-Veco</dc:creator>
  <dc:description>Vecuma-Veco 67027551_x000d_
Olita.Vecuma-Veco@zm.gov.lv</dc:description>
  <cp:lastModifiedBy>Kristiāna Sebre</cp:lastModifiedBy>
  <cp:revision>5</cp:revision>
  <dcterms:created xsi:type="dcterms:W3CDTF">2019-03-20T07:07:00Z</dcterms:created>
  <dcterms:modified xsi:type="dcterms:W3CDTF">2019-04-16T06:32:00Z</dcterms:modified>
</cp:coreProperties>
</file>