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0CA3" w:rsidRDefault="00DE0CA3">
      <w:pPr>
        <w:pStyle w:val="naisnod"/>
        <w:spacing w:before="0" w:after="0"/>
        <w:ind w:firstLine="720"/>
      </w:pPr>
      <w:r>
        <w:rPr>
          <w:sz w:val="28"/>
          <w:szCs w:val="28"/>
        </w:rPr>
        <w:t>Izziņa par atzinumos sniegtajiem iebildumiem</w:t>
      </w:r>
    </w:p>
    <w:p w:rsidR="00DE0CA3" w:rsidRDefault="00DE0CA3">
      <w:pPr>
        <w:pStyle w:val="naisnod"/>
        <w:spacing w:before="0" w:after="0"/>
        <w:ind w:firstLine="720"/>
      </w:pPr>
      <w:r>
        <w:rPr>
          <w:sz w:val="28"/>
          <w:szCs w:val="28"/>
        </w:rPr>
        <w:t xml:space="preserve">par </w:t>
      </w:r>
      <w:r w:rsidR="00051897">
        <w:rPr>
          <w:sz w:val="28"/>
          <w:szCs w:val="28"/>
        </w:rPr>
        <w:t>informatīvā ziņojuma</w:t>
      </w:r>
      <w:r>
        <w:rPr>
          <w:sz w:val="28"/>
          <w:szCs w:val="28"/>
        </w:rPr>
        <w:t xml:space="preserve"> </w:t>
      </w:r>
      <w:r w:rsidR="00F11510">
        <w:rPr>
          <w:sz w:val="28"/>
          <w:szCs w:val="28"/>
        </w:rPr>
        <w:t>“</w:t>
      </w:r>
      <w:r w:rsidR="009E2C5F">
        <w:rPr>
          <w:sz w:val="28"/>
          <w:szCs w:val="28"/>
        </w:rPr>
        <w:t>Latvijas kiberdrošības stratēģija 2019.-2022.gadam”</w:t>
      </w:r>
      <w:r w:rsidR="00F11510" w:rsidRPr="00F11510">
        <w:rPr>
          <w:sz w:val="28"/>
          <w:szCs w:val="28"/>
        </w:rPr>
        <w:t xml:space="preserve"> </w:t>
      </w:r>
      <w:r w:rsidR="0012141A">
        <w:rPr>
          <w:sz w:val="28"/>
          <w:szCs w:val="28"/>
        </w:rPr>
        <w:t xml:space="preserve">projektu </w:t>
      </w:r>
      <w:r w:rsidR="009E2C5F">
        <w:rPr>
          <w:sz w:val="28"/>
          <w:szCs w:val="28"/>
        </w:rPr>
        <w:t>(VSS-1</w:t>
      </w:r>
      <w:r w:rsidR="00F11510">
        <w:rPr>
          <w:sz w:val="28"/>
          <w:szCs w:val="28"/>
        </w:rPr>
        <w:t>22</w:t>
      </w:r>
      <w:r w:rsidR="009E2C5F">
        <w:rPr>
          <w:sz w:val="28"/>
          <w:szCs w:val="28"/>
        </w:rPr>
        <w:t>0</w:t>
      </w:r>
      <w:r>
        <w:rPr>
          <w:sz w:val="28"/>
          <w:szCs w:val="28"/>
        </w:rPr>
        <w:t>)</w:t>
      </w:r>
    </w:p>
    <w:p w:rsidR="00DE0CA3" w:rsidRDefault="00DE0CA3">
      <w:pPr>
        <w:pStyle w:val="naisf"/>
        <w:spacing w:before="0" w:after="0"/>
        <w:ind w:firstLine="720"/>
        <w:rPr>
          <w:sz w:val="28"/>
          <w:szCs w:val="28"/>
        </w:rPr>
      </w:pPr>
    </w:p>
    <w:p w:rsidR="00DE0CA3" w:rsidRDefault="00DE0CA3">
      <w:pPr>
        <w:pStyle w:val="naisf"/>
        <w:spacing w:before="0" w:after="0"/>
        <w:ind w:firstLine="0"/>
        <w:jc w:val="center"/>
      </w:pPr>
      <w:r>
        <w:rPr>
          <w:b/>
        </w:rPr>
        <w:t>I. Jautājumi, par kuriem saskaņošanā vienošanās nav panākta</w:t>
      </w:r>
    </w:p>
    <w:p w:rsidR="00DE0CA3" w:rsidRDefault="00DE0CA3">
      <w:pPr>
        <w:pStyle w:val="naisf"/>
        <w:spacing w:before="0" w:after="0"/>
        <w:ind w:firstLine="720"/>
        <w:rPr>
          <w:b/>
        </w:rPr>
      </w:pPr>
    </w:p>
    <w:tbl>
      <w:tblPr>
        <w:tblW w:w="0" w:type="auto"/>
        <w:tblLayout w:type="fixed"/>
        <w:tblLook w:val="0000" w:firstRow="0" w:lastRow="0" w:firstColumn="0" w:lastColumn="0" w:noHBand="0" w:noVBand="0"/>
      </w:tblPr>
      <w:tblGrid>
        <w:gridCol w:w="682"/>
        <w:gridCol w:w="2712"/>
        <w:gridCol w:w="3809"/>
        <w:gridCol w:w="3704"/>
        <w:gridCol w:w="1843"/>
        <w:gridCol w:w="1528"/>
      </w:tblGrid>
      <w:tr w:rsidR="00DE0CA3" w:rsidRPr="00BD01F6" w:rsidTr="00E44AC5">
        <w:tc>
          <w:tcPr>
            <w:tcW w:w="682" w:type="dxa"/>
            <w:tcBorders>
              <w:top w:val="single" w:sz="6" w:space="0" w:color="000000"/>
              <w:left w:val="single" w:sz="6" w:space="0" w:color="000000"/>
              <w:bottom w:val="single" w:sz="6" w:space="0" w:color="000000"/>
            </w:tcBorders>
            <w:shd w:val="clear" w:color="auto" w:fill="auto"/>
            <w:vAlign w:val="center"/>
          </w:tcPr>
          <w:p w:rsidR="00DE0CA3" w:rsidRPr="00BD01F6" w:rsidRDefault="00DE0CA3">
            <w:pPr>
              <w:pStyle w:val="naisc"/>
              <w:spacing w:before="0" w:after="0"/>
            </w:pPr>
            <w:r w:rsidRPr="00BD01F6">
              <w:t>Nr. p.k.</w:t>
            </w:r>
          </w:p>
        </w:tc>
        <w:tc>
          <w:tcPr>
            <w:tcW w:w="2712" w:type="dxa"/>
            <w:tcBorders>
              <w:top w:val="single" w:sz="6" w:space="0" w:color="000000"/>
              <w:left w:val="single" w:sz="6" w:space="0" w:color="000000"/>
              <w:bottom w:val="single" w:sz="6" w:space="0" w:color="000000"/>
            </w:tcBorders>
            <w:shd w:val="clear" w:color="auto" w:fill="auto"/>
            <w:vAlign w:val="center"/>
          </w:tcPr>
          <w:p w:rsidR="00DE0CA3" w:rsidRPr="00BD01F6" w:rsidRDefault="00DE0CA3">
            <w:pPr>
              <w:pStyle w:val="naisc"/>
              <w:spacing w:before="0" w:after="0"/>
              <w:ind w:firstLine="12"/>
            </w:pPr>
            <w:r w:rsidRPr="00BD01F6">
              <w:t>Saskaņošanai nosūtītā projekta redakcija (konkrēta punkta (panta) redakcija)</w:t>
            </w:r>
          </w:p>
        </w:tc>
        <w:tc>
          <w:tcPr>
            <w:tcW w:w="3809" w:type="dxa"/>
            <w:tcBorders>
              <w:top w:val="single" w:sz="6" w:space="0" w:color="000000"/>
              <w:left w:val="single" w:sz="6" w:space="0" w:color="000000"/>
              <w:bottom w:val="single" w:sz="6" w:space="0" w:color="000000"/>
            </w:tcBorders>
            <w:shd w:val="clear" w:color="auto" w:fill="auto"/>
            <w:vAlign w:val="center"/>
          </w:tcPr>
          <w:p w:rsidR="00DE0CA3" w:rsidRPr="00BD01F6" w:rsidRDefault="00DE0CA3">
            <w:pPr>
              <w:pStyle w:val="naisc"/>
              <w:spacing w:before="0" w:after="0"/>
              <w:ind w:right="3"/>
            </w:pPr>
            <w:r w:rsidRPr="00BD01F6">
              <w:t>Atzinumā norādītais ministrijas (citas institūcijas) iebildums, kā arī saskaņošanā papildus izteiktais iebildums par projekta konkrēto punktu (pantu)</w:t>
            </w:r>
          </w:p>
        </w:tc>
        <w:tc>
          <w:tcPr>
            <w:tcW w:w="3704" w:type="dxa"/>
            <w:tcBorders>
              <w:top w:val="single" w:sz="6" w:space="0" w:color="000000"/>
              <w:left w:val="single" w:sz="6" w:space="0" w:color="000000"/>
              <w:bottom w:val="single" w:sz="6" w:space="0" w:color="000000"/>
            </w:tcBorders>
            <w:shd w:val="clear" w:color="auto" w:fill="auto"/>
            <w:vAlign w:val="center"/>
          </w:tcPr>
          <w:p w:rsidR="00DE0CA3" w:rsidRPr="00BD01F6" w:rsidRDefault="00DE0CA3">
            <w:pPr>
              <w:pStyle w:val="naisc"/>
              <w:spacing w:before="0" w:after="0"/>
              <w:ind w:firstLine="21"/>
            </w:pPr>
            <w:r w:rsidRPr="00BD01F6">
              <w:t>Atbildīgās ministrijas pamatojums iebilduma noraidījumam</w:t>
            </w:r>
          </w:p>
        </w:tc>
        <w:tc>
          <w:tcPr>
            <w:tcW w:w="1843" w:type="dxa"/>
            <w:tcBorders>
              <w:top w:val="single" w:sz="4" w:space="0" w:color="000000"/>
              <w:left w:val="single" w:sz="6" w:space="0" w:color="000000"/>
              <w:bottom w:val="single" w:sz="4" w:space="0" w:color="000000"/>
            </w:tcBorders>
            <w:shd w:val="clear" w:color="auto" w:fill="auto"/>
            <w:vAlign w:val="center"/>
          </w:tcPr>
          <w:p w:rsidR="00DE0CA3" w:rsidRPr="00BD01F6" w:rsidRDefault="00DE0CA3">
            <w:pPr>
              <w:jc w:val="center"/>
            </w:pPr>
            <w:r w:rsidRPr="00BD01F6">
              <w:t>Atzinuma sniedzēja uzturētais iebildums, ja tas atšķiras no atzinumā norādītā iebilduma pamatojuma</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CA3" w:rsidRPr="00BD01F6" w:rsidRDefault="00DE0CA3">
            <w:pPr>
              <w:jc w:val="center"/>
            </w:pPr>
            <w:r w:rsidRPr="00BD01F6">
              <w:t>Projekta attiecīgā punkta (panta) galīgā redakcija</w:t>
            </w:r>
          </w:p>
        </w:tc>
      </w:tr>
      <w:tr w:rsidR="00DE0CA3" w:rsidRPr="00BD01F6" w:rsidTr="00E44AC5">
        <w:tc>
          <w:tcPr>
            <w:tcW w:w="682" w:type="dxa"/>
            <w:tcBorders>
              <w:top w:val="single" w:sz="6" w:space="0" w:color="000000"/>
              <w:left w:val="single" w:sz="6" w:space="0" w:color="000000"/>
              <w:bottom w:val="single" w:sz="6" w:space="0" w:color="000000"/>
            </w:tcBorders>
            <w:shd w:val="clear" w:color="auto" w:fill="auto"/>
          </w:tcPr>
          <w:p w:rsidR="00DE0CA3" w:rsidRPr="00BD01F6" w:rsidRDefault="00DE0CA3">
            <w:pPr>
              <w:pStyle w:val="naisc"/>
              <w:spacing w:before="0" w:after="0"/>
            </w:pPr>
            <w:r w:rsidRPr="00BD01F6">
              <w:t>1</w:t>
            </w:r>
          </w:p>
        </w:tc>
        <w:tc>
          <w:tcPr>
            <w:tcW w:w="2712" w:type="dxa"/>
            <w:tcBorders>
              <w:top w:val="single" w:sz="6" w:space="0" w:color="000000"/>
              <w:left w:val="single" w:sz="6" w:space="0" w:color="000000"/>
              <w:bottom w:val="single" w:sz="6" w:space="0" w:color="000000"/>
            </w:tcBorders>
            <w:shd w:val="clear" w:color="auto" w:fill="auto"/>
          </w:tcPr>
          <w:p w:rsidR="00DE0CA3" w:rsidRPr="00BD01F6" w:rsidRDefault="00DE0CA3" w:rsidP="00941BDD">
            <w:pPr>
              <w:pStyle w:val="naisc"/>
              <w:spacing w:before="0" w:after="0"/>
            </w:pPr>
            <w:r w:rsidRPr="00BD01F6">
              <w:t>2</w:t>
            </w:r>
          </w:p>
        </w:tc>
        <w:tc>
          <w:tcPr>
            <w:tcW w:w="3809" w:type="dxa"/>
            <w:tcBorders>
              <w:top w:val="single" w:sz="6" w:space="0" w:color="000000"/>
              <w:left w:val="single" w:sz="6" w:space="0" w:color="000000"/>
              <w:bottom w:val="single" w:sz="6" w:space="0" w:color="000000"/>
            </w:tcBorders>
            <w:shd w:val="clear" w:color="auto" w:fill="auto"/>
          </w:tcPr>
          <w:p w:rsidR="00DE0CA3" w:rsidRPr="00BD01F6" w:rsidRDefault="00DE0CA3" w:rsidP="00941BDD">
            <w:pPr>
              <w:pStyle w:val="naisc"/>
              <w:spacing w:before="0" w:after="0"/>
            </w:pPr>
            <w:r w:rsidRPr="00BD01F6">
              <w:t>3</w:t>
            </w:r>
          </w:p>
        </w:tc>
        <w:tc>
          <w:tcPr>
            <w:tcW w:w="3704" w:type="dxa"/>
            <w:tcBorders>
              <w:top w:val="single" w:sz="6" w:space="0" w:color="000000"/>
              <w:left w:val="single" w:sz="6" w:space="0" w:color="000000"/>
              <w:bottom w:val="single" w:sz="6" w:space="0" w:color="000000"/>
            </w:tcBorders>
            <w:shd w:val="clear" w:color="auto" w:fill="auto"/>
          </w:tcPr>
          <w:p w:rsidR="00DE0CA3" w:rsidRPr="00BD01F6" w:rsidRDefault="00DE0CA3" w:rsidP="00941BDD">
            <w:pPr>
              <w:pStyle w:val="naisc"/>
              <w:spacing w:before="0" w:after="0"/>
            </w:pPr>
            <w:r w:rsidRPr="00BD01F6">
              <w:t>4</w:t>
            </w:r>
          </w:p>
        </w:tc>
        <w:tc>
          <w:tcPr>
            <w:tcW w:w="1843" w:type="dxa"/>
            <w:tcBorders>
              <w:top w:val="single" w:sz="4" w:space="0" w:color="000000"/>
              <w:left w:val="single" w:sz="6" w:space="0" w:color="000000"/>
              <w:bottom w:val="single" w:sz="4" w:space="0" w:color="000000"/>
            </w:tcBorders>
            <w:shd w:val="clear" w:color="auto" w:fill="auto"/>
          </w:tcPr>
          <w:p w:rsidR="00DE0CA3" w:rsidRPr="00BD01F6" w:rsidRDefault="00DE0CA3">
            <w:pPr>
              <w:jc w:val="center"/>
            </w:pPr>
            <w:r w:rsidRPr="00BD01F6">
              <w:t>5</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DE0CA3" w:rsidRPr="00BD01F6" w:rsidRDefault="00DE0CA3">
            <w:pPr>
              <w:jc w:val="center"/>
            </w:pPr>
            <w:r w:rsidRPr="00BD01F6">
              <w:t>6</w:t>
            </w:r>
          </w:p>
        </w:tc>
      </w:tr>
      <w:tr w:rsidR="00A103F3" w:rsidRPr="00BD01F6" w:rsidTr="00E44AC5">
        <w:tc>
          <w:tcPr>
            <w:tcW w:w="682" w:type="dxa"/>
            <w:tcBorders>
              <w:top w:val="single" w:sz="6" w:space="0" w:color="000000"/>
              <w:left w:val="single" w:sz="6" w:space="0" w:color="000000"/>
              <w:bottom w:val="single" w:sz="6" w:space="0" w:color="000000"/>
            </w:tcBorders>
            <w:shd w:val="clear" w:color="auto" w:fill="auto"/>
          </w:tcPr>
          <w:p w:rsidR="00A103F3" w:rsidRPr="00BD01F6" w:rsidRDefault="00137F84">
            <w:pPr>
              <w:pStyle w:val="naisc"/>
              <w:spacing w:before="0" w:after="0"/>
            </w:pPr>
            <w:r>
              <w:t>1.</w:t>
            </w:r>
          </w:p>
        </w:tc>
        <w:tc>
          <w:tcPr>
            <w:tcW w:w="2712" w:type="dxa"/>
            <w:tcBorders>
              <w:top w:val="single" w:sz="6" w:space="0" w:color="000000"/>
              <w:left w:val="single" w:sz="6" w:space="0" w:color="000000"/>
              <w:bottom w:val="single" w:sz="6" w:space="0" w:color="000000"/>
            </w:tcBorders>
            <w:shd w:val="clear" w:color="auto" w:fill="auto"/>
          </w:tcPr>
          <w:p w:rsidR="00A103F3" w:rsidRPr="00E44AC5" w:rsidRDefault="00E44AC5" w:rsidP="00E44AC5">
            <w:pPr>
              <w:pStyle w:val="naisc"/>
              <w:spacing w:before="0" w:after="0"/>
              <w:jc w:val="both"/>
              <w:rPr>
                <w:sz w:val="22"/>
                <w:szCs w:val="22"/>
              </w:rPr>
            </w:pPr>
            <w:r w:rsidRPr="00E44AC5">
              <w:rPr>
                <w:sz w:val="22"/>
                <w:szCs w:val="22"/>
              </w:rPr>
              <w:t xml:space="preserve">Ir vitāli svarīgi, lai sabiedrība apgūtu iekārtu un programmatūras izmantošanas pamatprasmes, kā arī ievērotu drošības pamatprincipus darbībai interneta vidē – tas veidotu pamatu nākamajiem zināšanu līmeņiem (3.2., 3.3. un 3.4. uzdevums). Ņemot vērā situāciju, būtiska loma ir izglītībai un datorikas mācīšanai Latvijas skolās, kā arī IKT speciālistu sagatavošanai profesionālajās vidējās izglītības un augstākās izglītības iestādēs. Lai veicinātu jauniešu interesi </w:t>
            </w:r>
            <w:r w:rsidRPr="00E44AC5">
              <w:rPr>
                <w:sz w:val="22"/>
                <w:szCs w:val="22"/>
              </w:rPr>
              <w:lastRenderedPageBreak/>
              <w:t>par IT, nepieciešams atbalstīt Latvijas dalību bērnu un jauniešu interešu izglītības pasākumos un sacensībās (3.5. uzdevums). Atbalsts pētniecībai vajadzīgs, lai attīstītu gan eksperimentālās izstrādnes, gan īstenotu valsts pasūtījumu. Lai veicinātu pētniecības attīstību kiberdrošības jomā par aktuāliem kiberdrošības jautājumiem, jāizmanto visi pieejamie atbalsta veidi: gan grantu projektu programmas, gan iepirkumi, gan atbalstot starptautiskās sadarbības projektus, gan, ja nepieciešams, veidojot valsts pētījumu programmu (3.1. uzdevums).</w:t>
            </w:r>
          </w:p>
        </w:tc>
        <w:tc>
          <w:tcPr>
            <w:tcW w:w="3809" w:type="dxa"/>
            <w:tcBorders>
              <w:top w:val="single" w:sz="6" w:space="0" w:color="000000"/>
              <w:left w:val="single" w:sz="6" w:space="0" w:color="000000"/>
              <w:bottom w:val="single" w:sz="6" w:space="0" w:color="000000"/>
            </w:tcBorders>
            <w:shd w:val="clear" w:color="auto" w:fill="auto"/>
          </w:tcPr>
          <w:p w:rsidR="00FF5D7E" w:rsidRPr="00FF5D7E" w:rsidRDefault="00FF5D7E" w:rsidP="00FF5D7E">
            <w:pPr>
              <w:widowControl w:val="0"/>
              <w:suppressAutoHyphens w:val="0"/>
              <w:jc w:val="center"/>
              <w:rPr>
                <w:b/>
                <w:sz w:val="22"/>
                <w:szCs w:val="22"/>
                <w:lang w:eastAsia="lv-LV"/>
              </w:rPr>
            </w:pPr>
            <w:r w:rsidRPr="00FF5D7E">
              <w:rPr>
                <w:b/>
                <w:sz w:val="22"/>
                <w:szCs w:val="22"/>
                <w:lang w:eastAsia="lv-LV"/>
              </w:rPr>
              <w:lastRenderedPageBreak/>
              <w:t>Izglītības un zinātnes ministrija</w:t>
            </w:r>
          </w:p>
          <w:p w:rsidR="008463B8" w:rsidRPr="008463B8" w:rsidRDefault="008463B8" w:rsidP="008463B8">
            <w:pPr>
              <w:widowControl w:val="0"/>
              <w:suppressAutoHyphens w:val="0"/>
              <w:jc w:val="both"/>
              <w:rPr>
                <w:rFonts w:eastAsia="Calibri"/>
                <w:sz w:val="22"/>
                <w:szCs w:val="22"/>
                <w:lang w:eastAsia="en-US"/>
              </w:rPr>
            </w:pPr>
            <w:r w:rsidRPr="008463B8">
              <w:rPr>
                <w:sz w:val="22"/>
                <w:szCs w:val="22"/>
                <w:lang w:eastAsia="lv-LV"/>
              </w:rPr>
              <w:t>Latvijas kiberdrošības stratēģija 2019. – 2022.gadam"</w:t>
            </w:r>
            <w:r w:rsidRPr="008463B8">
              <w:rPr>
                <w:rFonts w:eastAsia="Calibri"/>
                <w:sz w:val="22"/>
                <w:szCs w:val="22"/>
                <w:lang w:eastAsia="en-US"/>
              </w:rPr>
              <w:t xml:space="preserve"> projekta redakcijā ir pozitīvi vērtējams un atbalstāms definētais kiberdrošības politikas mērķis – </w:t>
            </w:r>
            <w:r w:rsidRPr="008463B8">
              <w:rPr>
                <w:rFonts w:eastAsia="Calibri"/>
                <w:i/>
                <w:iCs/>
                <w:sz w:val="22"/>
                <w:szCs w:val="22"/>
                <w:lang w:eastAsia="en-US"/>
              </w:rPr>
              <w:t>stiprināt un attīstīt kiberaizsar</w:t>
            </w:r>
            <w:r w:rsidRPr="008463B8">
              <w:rPr>
                <w:rFonts w:eastAsia="Calibri"/>
                <w:i/>
                <w:iCs/>
                <w:sz w:val="22"/>
                <w:szCs w:val="22"/>
                <w:lang w:eastAsia="en-US"/>
              </w:rPr>
              <w:softHyphen/>
              <w:t xml:space="preserve">dzības spējas, paaugstinot noturību pret kiberuzbrukumiem un veicinot sabiedrības izpratni par draudiem kibertelpā, </w:t>
            </w:r>
            <w:r w:rsidRPr="008463B8">
              <w:rPr>
                <w:rFonts w:eastAsia="Calibri"/>
                <w:sz w:val="22"/>
                <w:szCs w:val="22"/>
                <w:lang w:eastAsia="en-US"/>
              </w:rPr>
              <w:t>tai skaitā, nosakot </w:t>
            </w:r>
            <w:r w:rsidRPr="008463B8">
              <w:rPr>
                <w:rFonts w:eastAsia="Calibri"/>
                <w:i/>
                <w:sz w:val="22"/>
                <w:szCs w:val="22"/>
                <w:lang w:eastAsia="en-US"/>
              </w:rPr>
              <w:t>attīstību</w:t>
            </w:r>
            <w:r w:rsidRPr="008463B8">
              <w:rPr>
                <w:rFonts w:eastAsia="Calibri"/>
                <w:sz w:val="22"/>
                <w:szCs w:val="22"/>
                <w:lang w:eastAsia="en-US"/>
              </w:rPr>
              <w:t xml:space="preserve"> kā vienu no stratēģijas prioritātēm, tāpēc, </w:t>
            </w:r>
            <w:r w:rsidRPr="008463B8">
              <w:rPr>
                <w:rFonts w:eastAsia="Calibri"/>
                <w:sz w:val="22"/>
                <w:szCs w:val="22"/>
                <w:u w:val="single"/>
                <w:lang w:eastAsia="en-US"/>
              </w:rPr>
              <w:t>lai nodrošinātu stratēģijā izvirzītā mērķa sasniegšanu</w:t>
            </w:r>
            <w:r w:rsidRPr="008463B8">
              <w:rPr>
                <w:rFonts w:eastAsia="Calibri"/>
                <w:sz w:val="22"/>
                <w:szCs w:val="22"/>
                <w:lang w:eastAsia="en-US"/>
              </w:rPr>
              <w:t xml:space="preserve">, ministrija aicina </w:t>
            </w:r>
            <w:r w:rsidRPr="008463B8">
              <w:rPr>
                <w:rFonts w:eastAsia="Calibri"/>
                <w:sz w:val="22"/>
                <w:szCs w:val="22"/>
                <w:u w:val="single"/>
                <w:lang w:eastAsia="en-US"/>
              </w:rPr>
              <w:t>definēt precīzus</w:t>
            </w:r>
            <w:r w:rsidRPr="008463B8">
              <w:rPr>
                <w:rFonts w:eastAsia="Calibri"/>
                <w:sz w:val="22"/>
                <w:szCs w:val="22"/>
                <w:lang w:eastAsia="en-US"/>
              </w:rPr>
              <w:t xml:space="preserve"> uzdevumus/pasākumus, tai skaitā arī rezultatīvos rādītājus. Stratēģijas projektā ilgtspējīgai nozares attīstībai nepieciešamo zināšanu attīstīšanai ir definēta tikai ļoti neskaidra rīcība. Ministrijas ieskatā, nav saprotama nozares attīstības stratēģija, kura ietver </w:t>
            </w:r>
            <w:r w:rsidRPr="008463B8">
              <w:rPr>
                <w:rFonts w:eastAsia="Calibri"/>
                <w:sz w:val="22"/>
                <w:szCs w:val="22"/>
                <w:lang w:eastAsia="en-US"/>
              </w:rPr>
              <w:lastRenderedPageBreak/>
              <w:t>rīcības redakciju: "ja nepieciešams, veidojot valsts pētījuma programmu", rīcības uzdevuma definīciju "Sniegt atbalstu pētniecības attīstībai kiberdrošības jomā par aktuāliem kiberdrošības jautājumiem, izmantojot visus pieejamos atbalsta veidus", kā arī rezultatīvo rādītāju "Sniegts atbalsts pētniekiem, atbilstoši pieejamiem atbalsta veidiem un veicināta pētniecība par aktuāliem kiberdrošības jautājumiem.</w:t>
            </w:r>
          </w:p>
          <w:p w:rsidR="008463B8" w:rsidRPr="008463B8" w:rsidRDefault="008463B8" w:rsidP="008463B8">
            <w:pPr>
              <w:widowControl w:val="0"/>
              <w:suppressAutoHyphens w:val="0"/>
              <w:jc w:val="both"/>
              <w:rPr>
                <w:sz w:val="22"/>
                <w:szCs w:val="22"/>
                <w:lang w:eastAsia="en-US"/>
              </w:rPr>
            </w:pPr>
            <w:r w:rsidRPr="008463B8">
              <w:rPr>
                <w:sz w:val="22"/>
                <w:szCs w:val="22"/>
                <w:lang w:eastAsia="en-US"/>
              </w:rPr>
              <w:t>Piedāvājam sekojošu redakciju:</w:t>
            </w:r>
            <w:r w:rsidRPr="008463B8">
              <w:rPr>
                <w:b/>
                <w:sz w:val="22"/>
                <w:szCs w:val="22"/>
                <w:lang w:eastAsia="en-US"/>
              </w:rPr>
              <w:t xml:space="preserve"> </w:t>
            </w:r>
            <w:r w:rsidRPr="008463B8">
              <w:rPr>
                <w:sz w:val="22"/>
                <w:szCs w:val="22"/>
                <w:lang w:eastAsia="en-US"/>
              </w:rPr>
              <w:t>[...] Atbalsts pētniecībai ir nepieciešams, lai attīstītu, gan eksperimentālās izstrādnes, gan, lai īstenotu valsts pasūtījumu. Lai veicinātu pētniecības attīstību kiberdrošības jomā par aktuāliem kiberdrošības jautājumiem, ir nepieciešams izmantot visus pieejamos atbalsta veidus: gan grantu projektu programmas, gan iepirkumus, gan atbalstot starptautiskās sadarbības projektus gan, </w:t>
            </w:r>
            <w:r w:rsidRPr="008463B8">
              <w:rPr>
                <w:i/>
                <w:sz w:val="22"/>
                <w:szCs w:val="22"/>
                <w:lang w:eastAsia="en-US"/>
              </w:rPr>
              <w:t xml:space="preserve">izveidojot </w:t>
            </w:r>
            <w:r w:rsidRPr="008463B8">
              <w:rPr>
                <w:sz w:val="22"/>
                <w:szCs w:val="22"/>
                <w:lang w:eastAsia="en-US"/>
              </w:rPr>
              <w:t>valsts pētījumu programmu [...]</w:t>
            </w:r>
          </w:p>
          <w:p w:rsidR="008463B8" w:rsidRPr="008463B8" w:rsidRDefault="008463B8" w:rsidP="008463B8">
            <w:pPr>
              <w:widowControl w:val="0"/>
              <w:suppressAutoHyphens w:val="0"/>
              <w:jc w:val="both"/>
              <w:rPr>
                <w:sz w:val="22"/>
                <w:szCs w:val="22"/>
                <w:lang w:eastAsia="en-US"/>
              </w:rPr>
            </w:pPr>
            <w:r w:rsidRPr="008463B8">
              <w:rPr>
                <w:sz w:val="22"/>
                <w:szCs w:val="22"/>
                <w:lang w:eastAsia="en-US"/>
              </w:rPr>
              <w:t>3.1.</w:t>
            </w:r>
            <w:r w:rsidRPr="008463B8">
              <w:rPr>
                <w:sz w:val="22"/>
                <w:szCs w:val="22"/>
                <w:lang w:eastAsia="en-US"/>
              </w:rPr>
              <w:tab/>
              <w:t>Attīstīt</w:t>
            </w:r>
            <w:r>
              <w:rPr>
                <w:sz w:val="22"/>
                <w:szCs w:val="22"/>
                <w:lang w:eastAsia="en-US"/>
              </w:rPr>
              <w:t xml:space="preserve"> pētniecību kiberdrošības jomā, </w:t>
            </w:r>
            <w:r w:rsidRPr="008463B8">
              <w:rPr>
                <w:sz w:val="22"/>
                <w:szCs w:val="22"/>
                <w:lang w:eastAsia="en-US"/>
              </w:rPr>
              <w:t>izmantojot visus pieejamos valsts un starptaut</w:t>
            </w:r>
            <w:r>
              <w:rPr>
                <w:sz w:val="22"/>
                <w:szCs w:val="22"/>
                <w:lang w:eastAsia="en-US"/>
              </w:rPr>
              <w:t>iskos finansējuma instrumentus;</w:t>
            </w:r>
            <w:r w:rsidRPr="008463B8">
              <w:rPr>
                <w:sz w:val="22"/>
                <w:szCs w:val="22"/>
                <w:lang w:eastAsia="en-US"/>
              </w:rPr>
              <w:t xml:space="preserve"> </w:t>
            </w:r>
            <w:r>
              <w:rPr>
                <w:sz w:val="22"/>
                <w:szCs w:val="22"/>
                <w:lang w:eastAsia="en-US"/>
              </w:rPr>
              <w:t xml:space="preserve">Pastāvīgi; AIM; IZM; </w:t>
            </w:r>
            <w:r w:rsidRPr="008463B8">
              <w:rPr>
                <w:sz w:val="22"/>
                <w:szCs w:val="22"/>
                <w:lang w:eastAsia="en-US"/>
              </w:rPr>
              <w:t>Likumā par valsts budžetu kārtējam ga</w:t>
            </w:r>
            <w:r>
              <w:rPr>
                <w:sz w:val="22"/>
                <w:szCs w:val="22"/>
                <w:lang w:eastAsia="en-US"/>
              </w:rPr>
              <w:t xml:space="preserve">dam paredzētie finanšu līdzekļi; </w:t>
            </w:r>
            <w:r w:rsidRPr="008463B8">
              <w:rPr>
                <w:sz w:val="22"/>
                <w:szCs w:val="22"/>
                <w:lang w:eastAsia="en-US"/>
              </w:rPr>
              <w:t>Īstenoti vismaz 90 pētījumi valsts un starptautisko P&amp;A programmu ietvaros.</w:t>
            </w:r>
          </w:p>
          <w:p w:rsidR="008463B8" w:rsidRPr="008463B8" w:rsidRDefault="008463B8" w:rsidP="008463B8">
            <w:pPr>
              <w:widowControl w:val="0"/>
              <w:suppressAutoHyphens w:val="0"/>
              <w:jc w:val="both"/>
              <w:rPr>
                <w:sz w:val="22"/>
                <w:szCs w:val="22"/>
                <w:lang w:eastAsia="en-US"/>
              </w:rPr>
            </w:pPr>
            <w:r w:rsidRPr="008463B8">
              <w:rPr>
                <w:sz w:val="22"/>
                <w:szCs w:val="22"/>
                <w:lang w:eastAsia="en-US"/>
              </w:rPr>
              <w:t>3.1.1.</w:t>
            </w:r>
            <w:r w:rsidRPr="008463B8">
              <w:rPr>
                <w:sz w:val="22"/>
                <w:szCs w:val="22"/>
                <w:lang w:eastAsia="en-US"/>
              </w:rPr>
              <w:tab/>
              <w:t xml:space="preserve"> Nodrošinā</w:t>
            </w:r>
            <w:r>
              <w:rPr>
                <w:sz w:val="22"/>
                <w:szCs w:val="22"/>
                <w:lang w:eastAsia="en-US"/>
              </w:rPr>
              <w:t xml:space="preserve">t valsts pasūtījumu pētniecībai </w:t>
            </w:r>
            <w:r w:rsidRPr="008463B8">
              <w:rPr>
                <w:sz w:val="22"/>
                <w:szCs w:val="22"/>
                <w:lang w:eastAsia="en-US"/>
              </w:rPr>
              <w:t>kiberdrošības jomā, izveidojot un īstenojot valsts pē</w:t>
            </w:r>
            <w:r>
              <w:rPr>
                <w:sz w:val="22"/>
                <w:szCs w:val="22"/>
                <w:lang w:eastAsia="en-US"/>
              </w:rPr>
              <w:t>tījumu programmu “Kiberdrošība”;</w:t>
            </w:r>
            <w:r w:rsidR="00E44AC5">
              <w:rPr>
                <w:sz w:val="22"/>
                <w:szCs w:val="22"/>
                <w:lang w:eastAsia="en-US"/>
              </w:rPr>
              <w:t xml:space="preserve"> </w:t>
            </w:r>
            <w:r w:rsidRPr="008463B8">
              <w:rPr>
                <w:sz w:val="22"/>
                <w:szCs w:val="22"/>
                <w:lang w:eastAsia="en-US"/>
              </w:rPr>
              <w:t>Pastāvīgi</w:t>
            </w:r>
            <w:r>
              <w:rPr>
                <w:sz w:val="22"/>
                <w:szCs w:val="22"/>
                <w:lang w:eastAsia="en-US"/>
              </w:rPr>
              <w:t xml:space="preserve">; </w:t>
            </w:r>
            <w:r w:rsidRPr="008463B8">
              <w:rPr>
                <w:sz w:val="22"/>
                <w:szCs w:val="22"/>
                <w:lang w:eastAsia="en-US"/>
              </w:rPr>
              <w:lastRenderedPageBreak/>
              <w:t>AIM</w:t>
            </w:r>
            <w:r>
              <w:rPr>
                <w:sz w:val="22"/>
                <w:szCs w:val="22"/>
                <w:lang w:eastAsia="en-US"/>
              </w:rPr>
              <w:t>;</w:t>
            </w:r>
            <w:r w:rsidRPr="008463B8">
              <w:rPr>
                <w:sz w:val="22"/>
                <w:szCs w:val="22"/>
                <w:lang w:eastAsia="en-US"/>
              </w:rPr>
              <w:t xml:space="preserve"> IZM</w:t>
            </w:r>
            <w:r>
              <w:rPr>
                <w:sz w:val="22"/>
                <w:szCs w:val="22"/>
                <w:lang w:eastAsia="en-US"/>
              </w:rPr>
              <w:t>;</w:t>
            </w:r>
            <w:r w:rsidRPr="008463B8">
              <w:rPr>
                <w:sz w:val="22"/>
                <w:szCs w:val="22"/>
                <w:lang w:eastAsia="en-US"/>
              </w:rPr>
              <w:t xml:space="preserve"> Likumā par valsts budžetu kārtējam gadam paredzētie finanšu līdzekļi</w:t>
            </w:r>
            <w:r>
              <w:rPr>
                <w:sz w:val="22"/>
                <w:szCs w:val="22"/>
                <w:lang w:eastAsia="en-US"/>
              </w:rPr>
              <w:t xml:space="preserve">; </w:t>
            </w:r>
            <w:r w:rsidRPr="008463B8">
              <w:rPr>
                <w:sz w:val="22"/>
                <w:szCs w:val="22"/>
                <w:lang w:eastAsia="en-US"/>
              </w:rPr>
              <w:t>Uzsākta valsts pētījumu programmas “Kiberdrošība” īstenošana.</w:t>
            </w:r>
          </w:p>
        </w:tc>
        <w:tc>
          <w:tcPr>
            <w:tcW w:w="3704" w:type="dxa"/>
            <w:tcBorders>
              <w:top w:val="single" w:sz="6" w:space="0" w:color="000000"/>
              <w:left w:val="single" w:sz="6" w:space="0" w:color="000000"/>
              <w:bottom w:val="single" w:sz="6" w:space="0" w:color="000000"/>
            </w:tcBorders>
            <w:shd w:val="clear" w:color="auto" w:fill="auto"/>
          </w:tcPr>
          <w:p w:rsidR="00A103F3" w:rsidRDefault="00FF5D7E" w:rsidP="00FF5D7E">
            <w:pPr>
              <w:pStyle w:val="naisc"/>
              <w:spacing w:before="0" w:after="0"/>
              <w:rPr>
                <w:b/>
              </w:rPr>
            </w:pPr>
            <w:r w:rsidRPr="00FF5D7E">
              <w:rPr>
                <w:b/>
              </w:rPr>
              <w:lastRenderedPageBreak/>
              <w:t>Iebildums nav ņemts vērā</w:t>
            </w:r>
          </w:p>
          <w:p w:rsidR="00181EE4" w:rsidRPr="00181EE4" w:rsidRDefault="00181EE4" w:rsidP="00181EE4">
            <w:pPr>
              <w:jc w:val="both"/>
              <w:rPr>
                <w:rFonts w:ascii="Calibri" w:hAnsi="Calibri"/>
                <w:sz w:val="22"/>
                <w:szCs w:val="22"/>
                <w:lang w:eastAsia="en-US"/>
              </w:rPr>
            </w:pPr>
            <w:r w:rsidRPr="00181EE4">
              <w:rPr>
                <w:sz w:val="22"/>
                <w:szCs w:val="22"/>
              </w:rPr>
              <w:t>Pētniecības atbalstam šobrīd tiek pielietoti citi mehānismi – grantu projektu konkursi, finansējums praktiskiem un uz operacionālām vajadzībām balstītiem pētījumiem u.c. Tāpat arī pakāpeniski tiek attīstīts Latvijas Nacionālās aizsardzības akadēmijas Drošības un stratēģiskās pētniecības centrs. Aizsardzības ministrijas ieskatā valsts pētījumu programmas izveide ir jāsaglabā tikai kā viena no iespējām zinātnes un pētniecības atbalstam, kā to paredz Zinātniskās darbības likuma 35. pants, kur noteikts, ka ˝</w:t>
            </w:r>
            <w:r w:rsidRPr="00181EE4">
              <w:rPr>
                <w:i/>
                <w:iCs/>
                <w:sz w:val="22"/>
                <w:szCs w:val="22"/>
              </w:rPr>
              <w:t xml:space="preserve">(...) Izglītības un zinātnes ministrija </w:t>
            </w:r>
            <w:r w:rsidRPr="00181EE4">
              <w:rPr>
                <w:i/>
                <w:iCs/>
                <w:sz w:val="22"/>
                <w:szCs w:val="22"/>
                <w:lang w:eastAsia="en-US"/>
              </w:rPr>
              <w:t xml:space="preserve">vai citas nozaru ministrijas valsts pētījumu programmu projektu konkursa kārtībā </w:t>
            </w:r>
            <w:r w:rsidRPr="00181EE4">
              <w:rPr>
                <w:i/>
                <w:iCs/>
                <w:sz w:val="22"/>
                <w:szCs w:val="22"/>
                <w:u w:val="single"/>
                <w:lang w:eastAsia="en-US"/>
              </w:rPr>
              <w:t>var piešķirt</w:t>
            </w:r>
            <w:r w:rsidRPr="00181EE4">
              <w:rPr>
                <w:i/>
                <w:iCs/>
                <w:sz w:val="22"/>
                <w:szCs w:val="22"/>
                <w:lang w:eastAsia="en-US"/>
              </w:rPr>
              <w:t xml:space="preserve"> valsts pētījumu programmu projektiem </w:t>
            </w:r>
            <w:r w:rsidRPr="00181EE4">
              <w:rPr>
                <w:i/>
                <w:iCs/>
                <w:sz w:val="22"/>
                <w:szCs w:val="22"/>
                <w:lang w:eastAsia="en-US"/>
              </w:rPr>
              <w:lastRenderedPageBreak/>
              <w:t>finansējumu no zinātnes finansēšanai</w:t>
            </w:r>
            <w:r w:rsidRPr="00181EE4">
              <w:rPr>
                <w:rFonts w:ascii="Calibri" w:hAnsi="Calibri"/>
                <w:b/>
                <w:bCs/>
                <w:i/>
                <w:iCs/>
                <w:sz w:val="22"/>
                <w:szCs w:val="22"/>
                <w:lang w:eastAsia="en-US"/>
              </w:rPr>
              <w:t xml:space="preserve"> </w:t>
            </w:r>
            <w:r w:rsidRPr="00181EE4">
              <w:rPr>
                <w:i/>
                <w:iCs/>
                <w:sz w:val="22"/>
                <w:szCs w:val="22"/>
                <w:lang w:eastAsia="en-US"/>
              </w:rPr>
              <w:t>piešķirtajiem valsts budžeta līdzekļiem.(...)</w:t>
            </w:r>
            <w:r w:rsidRPr="00181EE4">
              <w:rPr>
                <w:sz w:val="22"/>
                <w:szCs w:val="22"/>
                <w:lang w:eastAsia="en-US"/>
              </w:rPr>
              <w:t xml:space="preserve">˝. </w:t>
            </w:r>
          </w:p>
          <w:p w:rsidR="00FF5D7E" w:rsidRPr="00FF5D7E" w:rsidRDefault="00FF5D7E" w:rsidP="00FF5D7E">
            <w:pPr>
              <w:pStyle w:val="naisc"/>
              <w:spacing w:before="0" w:after="0"/>
              <w:jc w:val="both"/>
            </w:pPr>
          </w:p>
        </w:tc>
        <w:tc>
          <w:tcPr>
            <w:tcW w:w="1843" w:type="dxa"/>
            <w:tcBorders>
              <w:top w:val="single" w:sz="4" w:space="0" w:color="000000"/>
              <w:left w:val="single" w:sz="6" w:space="0" w:color="000000"/>
              <w:bottom w:val="single" w:sz="4" w:space="0" w:color="000000"/>
            </w:tcBorders>
            <w:shd w:val="clear" w:color="auto" w:fill="auto"/>
          </w:tcPr>
          <w:p w:rsidR="00A103F3" w:rsidRPr="00BD01F6" w:rsidRDefault="00A103F3">
            <w:pPr>
              <w:jc w:val="cente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103F3" w:rsidRPr="00BD01F6" w:rsidRDefault="00A103F3">
            <w:pPr>
              <w:jc w:val="center"/>
            </w:pPr>
          </w:p>
        </w:tc>
      </w:tr>
    </w:tbl>
    <w:p w:rsidR="00B05664" w:rsidRDefault="00B05664">
      <w:pPr>
        <w:pStyle w:val="naisf"/>
        <w:spacing w:before="0" w:after="0"/>
        <w:ind w:firstLine="0"/>
      </w:pPr>
    </w:p>
    <w:p w:rsidR="00DE0CA3" w:rsidRDefault="00DE0CA3">
      <w:pPr>
        <w:pStyle w:val="naisf"/>
        <w:spacing w:before="0" w:after="0"/>
        <w:ind w:firstLine="0"/>
      </w:pPr>
      <w:r>
        <w:rPr>
          <w:b/>
        </w:rPr>
        <w:t>Informācija par starpministriju (starpinstitūciju) sanāksmi vai elektronisko saskaņošanu</w:t>
      </w:r>
    </w:p>
    <w:p w:rsidR="00DE0CA3" w:rsidRDefault="00DE0CA3">
      <w:pPr>
        <w:pStyle w:val="naisf"/>
        <w:spacing w:before="0" w:after="0"/>
        <w:ind w:firstLine="0"/>
        <w:rPr>
          <w:b/>
        </w:rPr>
      </w:pPr>
    </w:p>
    <w:tbl>
      <w:tblPr>
        <w:tblpPr w:leftFromText="180" w:rightFromText="180" w:vertAnchor="text" w:tblpY="1"/>
        <w:tblOverlap w:val="never"/>
        <w:tblW w:w="0" w:type="auto"/>
        <w:tblLayout w:type="fixed"/>
        <w:tblLook w:val="0000" w:firstRow="0" w:lastRow="0" w:firstColumn="0" w:lastColumn="0" w:noHBand="0" w:noVBand="0"/>
      </w:tblPr>
      <w:tblGrid>
        <w:gridCol w:w="6658"/>
        <w:gridCol w:w="7654"/>
      </w:tblGrid>
      <w:tr w:rsidR="00DE0CA3" w:rsidTr="00363173">
        <w:tc>
          <w:tcPr>
            <w:tcW w:w="6658" w:type="dxa"/>
            <w:shd w:val="clear" w:color="auto" w:fill="auto"/>
          </w:tcPr>
          <w:p w:rsidR="00DE0CA3" w:rsidRDefault="00DE0CA3" w:rsidP="00577AFD">
            <w:pPr>
              <w:pStyle w:val="naisf"/>
              <w:spacing w:before="0" w:after="0"/>
              <w:ind w:firstLine="0"/>
            </w:pPr>
            <w:r>
              <w:t>Datums</w:t>
            </w:r>
            <w:r w:rsidR="007253AC">
              <w:t>:</w:t>
            </w:r>
          </w:p>
        </w:tc>
        <w:tc>
          <w:tcPr>
            <w:tcW w:w="7654" w:type="dxa"/>
            <w:shd w:val="clear" w:color="auto" w:fill="auto"/>
          </w:tcPr>
          <w:p w:rsidR="00DE0CA3" w:rsidRPr="00BD6C60" w:rsidRDefault="00051897" w:rsidP="00051897">
            <w:pPr>
              <w:pStyle w:val="NormalWeb"/>
              <w:snapToGrid w:val="0"/>
              <w:spacing w:before="0" w:after="0"/>
              <w:jc w:val="both"/>
            </w:pPr>
            <w:r w:rsidRPr="00BD6C60">
              <w:t>2019.gada 31.janvār</w:t>
            </w:r>
            <w:r>
              <w:t>is,</w:t>
            </w:r>
            <w:r w:rsidRPr="00BD6C60">
              <w:t xml:space="preserve"> </w:t>
            </w:r>
            <w:r>
              <w:t>s</w:t>
            </w:r>
            <w:r w:rsidR="00BD6C60" w:rsidRPr="00BD6C60">
              <w:t>tarpministri</w:t>
            </w:r>
            <w:r w:rsidR="007253AC">
              <w:t>ju (s</w:t>
            </w:r>
            <w:r w:rsidR="00363173">
              <w:t>tarpinstitūciju) sanāksme</w:t>
            </w:r>
            <w:r w:rsidR="007253AC">
              <w:t>.</w:t>
            </w:r>
          </w:p>
        </w:tc>
      </w:tr>
      <w:tr w:rsidR="00363173" w:rsidTr="00363173">
        <w:trPr>
          <w:trHeight w:val="1552"/>
        </w:trPr>
        <w:tc>
          <w:tcPr>
            <w:tcW w:w="6658" w:type="dxa"/>
            <w:shd w:val="clear" w:color="auto" w:fill="auto"/>
          </w:tcPr>
          <w:p w:rsidR="00363173" w:rsidRDefault="00363173" w:rsidP="00577AFD">
            <w:pPr>
              <w:pStyle w:val="naiskr"/>
              <w:spacing w:before="0" w:after="0"/>
            </w:pPr>
          </w:p>
          <w:p w:rsidR="00363173" w:rsidRDefault="00363173" w:rsidP="00577AFD">
            <w:pPr>
              <w:pStyle w:val="naiskr"/>
              <w:spacing w:before="0" w:after="0"/>
            </w:pPr>
            <w:r>
              <w:t>Saskaņošanas dalībnieki:</w:t>
            </w:r>
          </w:p>
          <w:p w:rsidR="00363173" w:rsidRDefault="00363173" w:rsidP="00577AFD">
            <w:pPr>
              <w:pStyle w:val="naiskr"/>
              <w:spacing w:before="0" w:after="0"/>
              <w:ind w:firstLine="720"/>
            </w:pPr>
            <w:r>
              <w:t>  </w:t>
            </w:r>
          </w:p>
        </w:tc>
        <w:tc>
          <w:tcPr>
            <w:tcW w:w="7654" w:type="dxa"/>
            <w:shd w:val="clear" w:color="auto" w:fill="auto"/>
          </w:tcPr>
          <w:p w:rsidR="00363173" w:rsidRDefault="00363173" w:rsidP="00820F17">
            <w:pPr>
              <w:pStyle w:val="ListParagraph"/>
              <w:tabs>
                <w:tab w:val="left" w:pos="3261"/>
              </w:tabs>
              <w:suppressAutoHyphens w:val="0"/>
              <w:spacing w:after="0" w:line="240" w:lineRule="auto"/>
              <w:ind w:left="426"/>
              <w:jc w:val="both"/>
              <w:rPr>
                <w:rFonts w:ascii="Times New Roman" w:hAnsi="Times New Roman"/>
                <w:szCs w:val="24"/>
              </w:rPr>
            </w:pPr>
          </w:p>
          <w:p w:rsidR="00363173" w:rsidRPr="00363173" w:rsidRDefault="00051897" w:rsidP="00051897">
            <w:pPr>
              <w:pStyle w:val="ListParagraph"/>
              <w:tabs>
                <w:tab w:val="left" w:pos="3261"/>
              </w:tabs>
              <w:suppressAutoHyphens w:val="0"/>
              <w:spacing w:after="0" w:line="240" w:lineRule="auto"/>
              <w:ind w:left="0"/>
              <w:jc w:val="both"/>
              <w:rPr>
                <w:rFonts w:ascii="Times New Roman" w:hAnsi="Times New Roman"/>
                <w:szCs w:val="24"/>
              </w:rPr>
            </w:pPr>
            <w:r>
              <w:rPr>
                <w:rFonts w:ascii="Times New Roman" w:hAnsi="Times New Roman"/>
                <w:szCs w:val="24"/>
              </w:rPr>
              <w:t>Tieslietu ministrija, Finanšu ministrija, Ārlietu ministrija</w:t>
            </w:r>
            <w:r w:rsidRPr="00051897">
              <w:rPr>
                <w:rFonts w:ascii="Times New Roman" w:hAnsi="Times New Roman"/>
                <w:szCs w:val="24"/>
              </w:rPr>
              <w:t>, Eko</w:t>
            </w:r>
            <w:r>
              <w:rPr>
                <w:rFonts w:ascii="Times New Roman" w:hAnsi="Times New Roman"/>
                <w:szCs w:val="24"/>
              </w:rPr>
              <w:t>nomikas ministrija, Iekšlietu ministrija</w:t>
            </w:r>
            <w:r w:rsidRPr="00051897">
              <w:rPr>
                <w:rFonts w:ascii="Times New Roman" w:hAnsi="Times New Roman"/>
                <w:szCs w:val="24"/>
              </w:rPr>
              <w:t xml:space="preserve">, </w:t>
            </w:r>
            <w:r>
              <w:rPr>
                <w:rFonts w:ascii="Times New Roman" w:hAnsi="Times New Roman"/>
                <w:szCs w:val="24"/>
              </w:rPr>
              <w:t xml:space="preserve"> Valsts policija,</w:t>
            </w:r>
            <w:r w:rsidRPr="0018787C">
              <w:rPr>
                <w:rFonts w:ascii="Times New Roman" w:hAnsi="Times New Roman"/>
              </w:rPr>
              <w:t xml:space="preserve"> Pilsonības un migrācijas lietu pārvalde</w:t>
            </w:r>
            <w:r>
              <w:rPr>
                <w:rFonts w:ascii="Times New Roman" w:hAnsi="Times New Roman"/>
              </w:rPr>
              <w:t>,</w:t>
            </w:r>
            <w:r w:rsidRPr="00051897">
              <w:rPr>
                <w:rFonts w:ascii="Times New Roman" w:hAnsi="Times New Roman"/>
                <w:szCs w:val="24"/>
              </w:rPr>
              <w:t xml:space="preserve"> I</w:t>
            </w:r>
            <w:r>
              <w:rPr>
                <w:rFonts w:ascii="Times New Roman" w:hAnsi="Times New Roman"/>
                <w:szCs w:val="24"/>
              </w:rPr>
              <w:t>zglītības un zinātnes ministrija, Kultūras ministrija, Labklājības ministrija, Satiksmes ministrija</w:t>
            </w:r>
            <w:r w:rsidRPr="00051897">
              <w:rPr>
                <w:rFonts w:ascii="Times New Roman" w:hAnsi="Times New Roman"/>
                <w:szCs w:val="24"/>
              </w:rPr>
              <w:t xml:space="preserve">, </w:t>
            </w:r>
            <w:r>
              <w:rPr>
                <w:rFonts w:ascii="Times New Roman" w:hAnsi="Times New Roman"/>
              </w:rPr>
              <w:t xml:space="preserve"> VAS “Latvijas Valsts radio un televīzijas centrs”, </w:t>
            </w:r>
            <w:r w:rsidRPr="00051897">
              <w:rPr>
                <w:rFonts w:ascii="Times New Roman" w:hAnsi="Times New Roman"/>
                <w:szCs w:val="24"/>
              </w:rPr>
              <w:t xml:space="preserve">Vides aizsardzības un </w:t>
            </w:r>
            <w:r>
              <w:rPr>
                <w:rFonts w:ascii="Times New Roman" w:hAnsi="Times New Roman"/>
                <w:szCs w:val="24"/>
              </w:rPr>
              <w:t xml:space="preserve">reģionālās attīstības ministrija, </w:t>
            </w:r>
            <w:r w:rsidRPr="00E67EA2">
              <w:rPr>
                <w:rFonts w:ascii="Times New Roman" w:hAnsi="Times New Roman"/>
                <w:szCs w:val="24"/>
              </w:rPr>
              <w:t xml:space="preserve"> Valsts reģionālās </w:t>
            </w:r>
            <w:r>
              <w:rPr>
                <w:rFonts w:ascii="Times New Roman" w:hAnsi="Times New Roman"/>
                <w:szCs w:val="24"/>
              </w:rPr>
              <w:t>attīstības aģentūra, Zemkopības ministrija</w:t>
            </w:r>
            <w:r w:rsidRPr="00051897">
              <w:rPr>
                <w:rFonts w:ascii="Times New Roman" w:hAnsi="Times New Roman"/>
                <w:szCs w:val="24"/>
              </w:rPr>
              <w:t>, Pārresoru koordinācijas centru, V</w:t>
            </w:r>
            <w:r>
              <w:rPr>
                <w:rFonts w:ascii="Times New Roman" w:hAnsi="Times New Roman"/>
                <w:szCs w:val="24"/>
              </w:rPr>
              <w:t xml:space="preserve">alsts kanceleja, Latvijas Pašvaldību savienība, </w:t>
            </w:r>
            <w:r w:rsidRPr="00051897">
              <w:rPr>
                <w:rFonts w:ascii="Times New Roman" w:hAnsi="Times New Roman"/>
                <w:szCs w:val="24"/>
              </w:rPr>
              <w:t>Latvijas Tirdzniecības un rūpniecības kamera</w:t>
            </w:r>
            <w:r>
              <w:rPr>
                <w:rFonts w:ascii="Times New Roman" w:hAnsi="Times New Roman"/>
                <w:szCs w:val="24"/>
              </w:rPr>
              <w:t xml:space="preserve">, </w:t>
            </w:r>
            <w:r w:rsidR="00363173">
              <w:rPr>
                <w:rFonts w:ascii="Times New Roman" w:hAnsi="Times New Roman"/>
                <w:szCs w:val="24"/>
              </w:rPr>
              <w:t>Satversmes aizsa</w:t>
            </w:r>
            <w:r w:rsidR="00CC4A99">
              <w:rPr>
                <w:rFonts w:ascii="Times New Roman" w:hAnsi="Times New Roman"/>
                <w:szCs w:val="24"/>
              </w:rPr>
              <w:t xml:space="preserve">rdzības birojs, </w:t>
            </w:r>
            <w:r>
              <w:rPr>
                <w:rFonts w:ascii="Times New Roman" w:hAnsi="Times New Roman"/>
                <w:szCs w:val="24"/>
              </w:rPr>
              <w:t xml:space="preserve">Valsts drošības dienests, </w:t>
            </w:r>
            <w:r w:rsidR="00CC4A99">
              <w:rPr>
                <w:rFonts w:ascii="Times New Roman" w:hAnsi="Times New Roman"/>
                <w:szCs w:val="24"/>
              </w:rPr>
              <w:t>MilCERT.</w:t>
            </w:r>
          </w:p>
        </w:tc>
      </w:tr>
    </w:tbl>
    <w:p w:rsidR="00DE0CA3" w:rsidRDefault="00DE0CA3" w:rsidP="00577AFD">
      <w:pPr>
        <w:ind w:firstLine="720"/>
      </w:pPr>
    </w:p>
    <w:tbl>
      <w:tblPr>
        <w:tblW w:w="0" w:type="auto"/>
        <w:tblLayout w:type="fixed"/>
        <w:tblLook w:val="0000" w:firstRow="0" w:lastRow="0" w:firstColumn="0" w:lastColumn="0" w:noHBand="0" w:noVBand="0"/>
      </w:tblPr>
      <w:tblGrid>
        <w:gridCol w:w="6708"/>
        <w:gridCol w:w="7604"/>
      </w:tblGrid>
      <w:tr w:rsidR="00363173" w:rsidRPr="00FF5D7E" w:rsidTr="00363173">
        <w:trPr>
          <w:trHeight w:val="285"/>
        </w:trPr>
        <w:tc>
          <w:tcPr>
            <w:tcW w:w="6708" w:type="dxa"/>
            <w:shd w:val="clear" w:color="auto" w:fill="auto"/>
          </w:tcPr>
          <w:p w:rsidR="00363173" w:rsidRPr="00FF5D7E" w:rsidRDefault="00363173">
            <w:pPr>
              <w:pStyle w:val="naiskr"/>
              <w:spacing w:before="0" w:after="0"/>
              <w:rPr>
                <w:sz w:val="22"/>
                <w:szCs w:val="22"/>
              </w:rPr>
            </w:pPr>
            <w:r w:rsidRPr="00FF5D7E">
              <w:rPr>
                <w:sz w:val="22"/>
                <w:szCs w:val="22"/>
              </w:rPr>
              <w:t>Saskaņošanas dalībnieki izskatīja šādu ministriju (citu institūciju) iebildumus:</w:t>
            </w:r>
          </w:p>
          <w:p w:rsidR="00363173" w:rsidRPr="00FF5D7E" w:rsidRDefault="00363173" w:rsidP="00577AFD">
            <w:pPr>
              <w:tabs>
                <w:tab w:val="left" w:pos="2625"/>
              </w:tabs>
              <w:rPr>
                <w:sz w:val="22"/>
                <w:szCs w:val="22"/>
              </w:rPr>
            </w:pPr>
            <w:r w:rsidRPr="00FF5D7E">
              <w:rPr>
                <w:sz w:val="22"/>
                <w:szCs w:val="22"/>
              </w:rPr>
              <w:tab/>
            </w:r>
          </w:p>
        </w:tc>
        <w:tc>
          <w:tcPr>
            <w:tcW w:w="7604" w:type="dxa"/>
            <w:shd w:val="clear" w:color="auto" w:fill="auto"/>
          </w:tcPr>
          <w:p w:rsidR="00363173" w:rsidRPr="00FF5D7E" w:rsidRDefault="00363173" w:rsidP="00363173">
            <w:pPr>
              <w:pStyle w:val="ListParagraph"/>
              <w:tabs>
                <w:tab w:val="left" w:pos="3261"/>
              </w:tabs>
              <w:suppressAutoHyphens w:val="0"/>
              <w:spacing w:after="0" w:line="240" w:lineRule="auto"/>
              <w:ind w:left="0"/>
              <w:jc w:val="both"/>
              <w:rPr>
                <w:rFonts w:ascii="Times New Roman" w:hAnsi="Times New Roman"/>
              </w:rPr>
            </w:pPr>
            <w:r w:rsidRPr="00FF5D7E">
              <w:rPr>
                <w:rFonts w:ascii="Times New Roman" w:hAnsi="Times New Roman"/>
              </w:rPr>
              <w:t xml:space="preserve">Pārresoru koordinācijas centrs, Vides aizsardzības un reģionālās attīstības ministrija, Tieslietu ministrija, Finanšu ministrija, </w:t>
            </w:r>
            <w:r w:rsidR="0092306D">
              <w:rPr>
                <w:rFonts w:ascii="Times New Roman" w:hAnsi="Times New Roman"/>
              </w:rPr>
              <w:t xml:space="preserve">Iekšlietu ministrija, Latvijas </w:t>
            </w:r>
            <w:r w:rsidR="00D15A6D">
              <w:rPr>
                <w:rFonts w:ascii="Times New Roman" w:hAnsi="Times New Roman"/>
              </w:rPr>
              <w:t>L</w:t>
            </w:r>
            <w:r w:rsidRPr="00FF5D7E">
              <w:rPr>
                <w:rFonts w:ascii="Times New Roman" w:hAnsi="Times New Roman"/>
              </w:rPr>
              <w:t>ielo pilsētu asociācija, Apvienotā kiberaizsardzības līga.</w:t>
            </w:r>
          </w:p>
          <w:p w:rsidR="00363173" w:rsidRPr="00FF5D7E" w:rsidRDefault="00363173">
            <w:pPr>
              <w:pStyle w:val="naiskr"/>
              <w:snapToGrid w:val="0"/>
              <w:spacing w:before="0" w:after="0"/>
              <w:rPr>
                <w:sz w:val="22"/>
                <w:szCs w:val="22"/>
              </w:rPr>
            </w:pPr>
          </w:p>
        </w:tc>
      </w:tr>
      <w:tr w:rsidR="00DE0CA3" w:rsidRPr="00FF5D7E" w:rsidTr="00363173">
        <w:tc>
          <w:tcPr>
            <w:tcW w:w="6708" w:type="dxa"/>
            <w:shd w:val="clear" w:color="auto" w:fill="auto"/>
          </w:tcPr>
          <w:p w:rsidR="00DE0CA3" w:rsidRPr="00FF5D7E" w:rsidRDefault="00DE0CA3">
            <w:pPr>
              <w:pStyle w:val="naiskr"/>
              <w:spacing w:before="0" w:after="0"/>
              <w:rPr>
                <w:sz w:val="22"/>
                <w:szCs w:val="22"/>
              </w:rPr>
            </w:pPr>
            <w:r w:rsidRPr="00FF5D7E">
              <w:rPr>
                <w:sz w:val="22"/>
                <w:szCs w:val="22"/>
              </w:rPr>
              <w:t>Ministrijas (citas institūcijas), kuras nav ieradušās uz sanāksmi vai kuras nav atbildējušas uz uzaicinājumu piedalīties elektroniskajā saskaņošanā</w:t>
            </w:r>
            <w:r w:rsidR="00363173" w:rsidRPr="00FF5D7E">
              <w:rPr>
                <w:sz w:val="22"/>
                <w:szCs w:val="22"/>
              </w:rPr>
              <w:t>:</w:t>
            </w:r>
          </w:p>
          <w:p w:rsidR="00DE0CA3" w:rsidRPr="00FF5D7E" w:rsidRDefault="00DE0CA3">
            <w:pPr>
              <w:pStyle w:val="naiskr"/>
              <w:spacing w:before="0" w:after="0"/>
              <w:rPr>
                <w:sz w:val="22"/>
                <w:szCs w:val="22"/>
              </w:rPr>
            </w:pPr>
          </w:p>
        </w:tc>
        <w:tc>
          <w:tcPr>
            <w:tcW w:w="7604" w:type="dxa"/>
            <w:shd w:val="clear" w:color="auto" w:fill="auto"/>
          </w:tcPr>
          <w:p w:rsidR="00DE0CA3" w:rsidRPr="00FF5D7E" w:rsidRDefault="00593CB0" w:rsidP="001A1292">
            <w:pPr>
              <w:pStyle w:val="naiskr"/>
              <w:spacing w:before="0" w:after="0"/>
              <w:jc w:val="both"/>
              <w:rPr>
                <w:sz w:val="22"/>
                <w:szCs w:val="22"/>
              </w:rPr>
            </w:pPr>
            <w:r w:rsidRPr="00FF5D7E">
              <w:rPr>
                <w:sz w:val="22"/>
                <w:szCs w:val="22"/>
              </w:rPr>
              <w:t>Ekonomikas ministrija, Kultūras ministrija, Latvijas Tirdzniecības un rūpniecības kamera, Militārās izlūkošanas un drošība</w:t>
            </w:r>
            <w:r w:rsidR="00CC4A99" w:rsidRPr="00FF5D7E">
              <w:rPr>
                <w:sz w:val="22"/>
                <w:szCs w:val="22"/>
              </w:rPr>
              <w:t>s</w:t>
            </w:r>
            <w:r w:rsidRPr="00FF5D7E">
              <w:rPr>
                <w:sz w:val="22"/>
                <w:szCs w:val="22"/>
              </w:rPr>
              <w:t xml:space="preserve"> dienests, Valsts drošības dienests, Veselības ministrija, Zemkopības ministrija,</w:t>
            </w:r>
            <w:r w:rsidR="00FF5D7E" w:rsidRPr="00FF5D7E">
              <w:rPr>
                <w:sz w:val="22"/>
                <w:szCs w:val="22"/>
              </w:rPr>
              <w:t xml:space="preserve"> Latvijas Pašvaldību savienība, </w:t>
            </w:r>
            <w:r w:rsidRPr="00FF5D7E">
              <w:rPr>
                <w:sz w:val="22"/>
                <w:szCs w:val="22"/>
              </w:rPr>
              <w:t>Latvijas Lielo pilsētu asociācija, Apvienotā kiberaizsardzības līga.</w:t>
            </w:r>
          </w:p>
        </w:tc>
      </w:tr>
    </w:tbl>
    <w:p w:rsidR="00DE0CA3" w:rsidRPr="00FF5D7E" w:rsidRDefault="00DE0CA3" w:rsidP="00A103F3">
      <w:pPr>
        <w:pStyle w:val="naisf"/>
        <w:spacing w:before="0" w:after="0"/>
        <w:ind w:firstLine="0"/>
        <w:rPr>
          <w:b/>
          <w:sz w:val="22"/>
          <w:szCs w:val="22"/>
        </w:rPr>
      </w:pPr>
    </w:p>
    <w:p w:rsidR="00051897" w:rsidRPr="00FF5D7E" w:rsidRDefault="00051897" w:rsidP="00051897">
      <w:pPr>
        <w:pStyle w:val="naisf"/>
        <w:spacing w:before="0" w:after="0"/>
        <w:ind w:firstLine="0"/>
        <w:rPr>
          <w:b/>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6658"/>
        <w:gridCol w:w="7654"/>
      </w:tblGrid>
      <w:tr w:rsidR="00051897" w:rsidRPr="00FF5D7E" w:rsidTr="00615BF6">
        <w:tc>
          <w:tcPr>
            <w:tcW w:w="6658" w:type="dxa"/>
            <w:shd w:val="clear" w:color="auto" w:fill="auto"/>
          </w:tcPr>
          <w:p w:rsidR="00051897" w:rsidRPr="00FF5D7E" w:rsidRDefault="00051897" w:rsidP="000B03F7">
            <w:pPr>
              <w:pStyle w:val="naisf"/>
              <w:spacing w:before="0" w:after="0"/>
              <w:ind w:firstLine="0"/>
              <w:rPr>
                <w:sz w:val="22"/>
                <w:szCs w:val="22"/>
              </w:rPr>
            </w:pPr>
            <w:r w:rsidRPr="00FF5D7E">
              <w:rPr>
                <w:sz w:val="22"/>
                <w:szCs w:val="22"/>
              </w:rPr>
              <w:t>Datums:</w:t>
            </w:r>
          </w:p>
        </w:tc>
        <w:tc>
          <w:tcPr>
            <w:tcW w:w="7654" w:type="dxa"/>
            <w:shd w:val="clear" w:color="auto" w:fill="auto"/>
          </w:tcPr>
          <w:p w:rsidR="00051897" w:rsidRPr="00FF5D7E" w:rsidRDefault="00051897" w:rsidP="00051897">
            <w:pPr>
              <w:pStyle w:val="NormalWeb"/>
              <w:snapToGrid w:val="0"/>
              <w:spacing w:before="0" w:after="0"/>
              <w:jc w:val="both"/>
              <w:rPr>
                <w:sz w:val="22"/>
                <w:szCs w:val="22"/>
              </w:rPr>
            </w:pPr>
            <w:r w:rsidRPr="00FF5D7E">
              <w:rPr>
                <w:sz w:val="22"/>
                <w:szCs w:val="22"/>
              </w:rPr>
              <w:t>2019.gada 7.februāris, elektroniskā saskaņošana.</w:t>
            </w:r>
          </w:p>
        </w:tc>
      </w:tr>
      <w:tr w:rsidR="00051897" w:rsidTr="00615BF6">
        <w:trPr>
          <w:trHeight w:val="574"/>
        </w:trPr>
        <w:tc>
          <w:tcPr>
            <w:tcW w:w="6658" w:type="dxa"/>
            <w:shd w:val="clear" w:color="auto" w:fill="auto"/>
          </w:tcPr>
          <w:p w:rsidR="00051897" w:rsidRDefault="00051897" w:rsidP="000B03F7">
            <w:pPr>
              <w:pStyle w:val="naiskr"/>
              <w:spacing w:before="0" w:after="0"/>
            </w:pPr>
          </w:p>
          <w:p w:rsidR="00051897" w:rsidRDefault="00051897" w:rsidP="00615BF6">
            <w:pPr>
              <w:pStyle w:val="naiskr"/>
              <w:spacing w:before="0" w:after="0"/>
            </w:pPr>
            <w:r>
              <w:t>Saskaņošanas dalībnieki:</w:t>
            </w:r>
          </w:p>
        </w:tc>
        <w:tc>
          <w:tcPr>
            <w:tcW w:w="7654" w:type="dxa"/>
            <w:shd w:val="clear" w:color="auto" w:fill="auto"/>
          </w:tcPr>
          <w:p w:rsidR="00051897" w:rsidRDefault="00051897" w:rsidP="000B03F7">
            <w:pPr>
              <w:pStyle w:val="ListParagraph"/>
              <w:tabs>
                <w:tab w:val="left" w:pos="3261"/>
              </w:tabs>
              <w:suppressAutoHyphens w:val="0"/>
              <w:spacing w:after="0" w:line="240" w:lineRule="auto"/>
              <w:ind w:left="426"/>
              <w:jc w:val="both"/>
              <w:rPr>
                <w:rFonts w:ascii="Times New Roman" w:hAnsi="Times New Roman"/>
                <w:szCs w:val="24"/>
              </w:rPr>
            </w:pPr>
          </w:p>
          <w:p w:rsidR="00051897" w:rsidRPr="00363173" w:rsidRDefault="00051897" w:rsidP="00051897">
            <w:pPr>
              <w:pStyle w:val="ListParagraph"/>
              <w:tabs>
                <w:tab w:val="left" w:pos="3261"/>
              </w:tabs>
              <w:suppressAutoHyphens w:val="0"/>
              <w:spacing w:after="0" w:line="240" w:lineRule="auto"/>
              <w:ind w:left="0"/>
              <w:jc w:val="both"/>
              <w:rPr>
                <w:rFonts w:ascii="Times New Roman" w:hAnsi="Times New Roman"/>
                <w:szCs w:val="24"/>
              </w:rPr>
            </w:pPr>
            <w:r w:rsidRPr="00051897">
              <w:rPr>
                <w:rFonts w:ascii="Times New Roman" w:hAnsi="Times New Roman"/>
                <w:szCs w:val="24"/>
              </w:rPr>
              <w:t>Tieslietu ministrija, Finanšu ministrija, Ārlietu ministrija, Ekonomikas ministrija, Iekšlietu ministrija,  Izglītības un zinātnes ministrija, Kultūras ministrija, Labklājības ministrija, Satiksmes ministrija,  Vides aizsardzības un reģionālās attīstības ministrija,  Zemkopības ministrija, Pārresoru koordinācijas centru, Valsts kanceleja, Latvijas Pašvaldību savienība, Latvijas Tirdzniecības un rūpniecības kamera, Satversmes aizsardzības birojs, V</w:t>
            </w:r>
            <w:r>
              <w:rPr>
                <w:rFonts w:ascii="Times New Roman" w:hAnsi="Times New Roman"/>
                <w:szCs w:val="24"/>
              </w:rPr>
              <w:t>alsts drošības dienests, Militārās izlūkošanas un drošības dien</w:t>
            </w:r>
            <w:r w:rsidR="0092306D">
              <w:rPr>
                <w:rFonts w:ascii="Times New Roman" w:hAnsi="Times New Roman"/>
                <w:szCs w:val="24"/>
              </w:rPr>
              <w:t>e</w:t>
            </w:r>
            <w:r>
              <w:rPr>
                <w:rFonts w:ascii="Times New Roman" w:hAnsi="Times New Roman"/>
                <w:szCs w:val="24"/>
              </w:rPr>
              <w:t>sts</w:t>
            </w:r>
            <w:r w:rsidRPr="00051897">
              <w:rPr>
                <w:rFonts w:ascii="Times New Roman" w:hAnsi="Times New Roman"/>
                <w:szCs w:val="24"/>
              </w:rPr>
              <w:t>.</w:t>
            </w:r>
          </w:p>
        </w:tc>
      </w:tr>
    </w:tbl>
    <w:p w:rsidR="00051897" w:rsidRDefault="00051897" w:rsidP="00615BF6"/>
    <w:tbl>
      <w:tblPr>
        <w:tblW w:w="0" w:type="auto"/>
        <w:tblLayout w:type="fixed"/>
        <w:tblLook w:val="0000" w:firstRow="0" w:lastRow="0" w:firstColumn="0" w:lastColumn="0" w:noHBand="0" w:noVBand="0"/>
      </w:tblPr>
      <w:tblGrid>
        <w:gridCol w:w="6708"/>
        <w:gridCol w:w="7604"/>
      </w:tblGrid>
      <w:tr w:rsidR="00051897" w:rsidTr="000B03F7">
        <w:trPr>
          <w:trHeight w:val="285"/>
        </w:trPr>
        <w:tc>
          <w:tcPr>
            <w:tcW w:w="6708" w:type="dxa"/>
            <w:shd w:val="clear" w:color="auto" w:fill="auto"/>
          </w:tcPr>
          <w:p w:rsidR="00051897" w:rsidRDefault="00051897" w:rsidP="000B03F7">
            <w:pPr>
              <w:pStyle w:val="naiskr"/>
              <w:spacing w:before="0" w:after="0"/>
            </w:pPr>
            <w:r>
              <w:t>Saskaņošanas dalībnieki izskatīja šādu ministriju (citu institūciju) iebildumus:</w:t>
            </w:r>
          </w:p>
          <w:p w:rsidR="00051897" w:rsidRPr="00577AFD" w:rsidRDefault="00051897" w:rsidP="000B03F7">
            <w:pPr>
              <w:tabs>
                <w:tab w:val="left" w:pos="2625"/>
              </w:tabs>
            </w:pPr>
            <w:r>
              <w:tab/>
            </w:r>
          </w:p>
        </w:tc>
        <w:tc>
          <w:tcPr>
            <w:tcW w:w="7604" w:type="dxa"/>
            <w:shd w:val="clear" w:color="auto" w:fill="auto"/>
          </w:tcPr>
          <w:p w:rsidR="00051897" w:rsidRPr="00363173" w:rsidRDefault="00FF5D7E" w:rsidP="000B03F7">
            <w:pPr>
              <w:pStyle w:val="ListParagraph"/>
              <w:tabs>
                <w:tab w:val="left" w:pos="3261"/>
              </w:tabs>
              <w:suppressAutoHyphens w:val="0"/>
              <w:spacing w:after="0" w:line="240" w:lineRule="auto"/>
              <w:ind w:left="0"/>
              <w:jc w:val="both"/>
              <w:rPr>
                <w:rFonts w:ascii="Times New Roman" w:hAnsi="Times New Roman"/>
                <w:szCs w:val="24"/>
              </w:rPr>
            </w:pPr>
            <w:r w:rsidRPr="00FF5D7E">
              <w:rPr>
                <w:rFonts w:ascii="Times New Roman" w:hAnsi="Times New Roman"/>
              </w:rPr>
              <w:t>Pārresoru koordinācijas centrs, Vides aizsardzības un reģionālās attīstības ministrija, Tieslietu ministrija, Finanšu ministrija, Iekšlietu ministrija, Latvijas lielo pilsētu asociācija, Apvienotā kiberaizsardzības līga.</w:t>
            </w:r>
          </w:p>
          <w:p w:rsidR="00051897" w:rsidRDefault="00051897" w:rsidP="000B03F7">
            <w:pPr>
              <w:pStyle w:val="naiskr"/>
              <w:snapToGrid w:val="0"/>
              <w:spacing w:before="0" w:after="0"/>
            </w:pPr>
          </w:p>
        </w:tc>
      </w:tr>
      <w:tr w:rsidR="00051897" w:rsidTr="000B03F7">
        <w:tc>
          <w:tcPr>
            <w:tcW w:w="6708" w:type="dxa"/>
            <w:shd w:val="clear" w:color="auto" w:fill="auto"/>
          </w:tcPr>
          <w:p w:rsidR="00051897" w:rsidRDefault="00051897" w:rsidP="000B03F7">
            <w:pPr>
              <w:pStyle w:val="naiskr"/>
              <w:spacing w:before="0" w:after="0"/>
            </w:pPr>
            <w:r>
              <w:t>Ministrijas (citas institūcijas), kuras nav ieradušās uz sanāksmi vai kuras nav atbildējušas uz uzaicinājumu piedalīties elektroniskajā saskaņošanā:</w:t>
            </w:r>
          </w:p>
          <w:p w:rsidR="00051897" w:rsidRDefault="00051897" w:rsidP="000B03F7">
            <w:pPr>
              <w:pStyle w:val="naiskr"/>
              <w:spacing w:before="0" w:after="0"/>
            </w:pPr>
          </w:p>
        </w:tc>
        <w:tc>
          <w:tcPr>
            <w:tcW w:w="7604" w:type="dxa"/>
            <w:shd w:val="clear" w:color="auto" w:fill="auto"/>
          </w:tcPr>
          <w:p w:rsidR="00051897" w:rsidRDefault="00D15A6D" w:rsidP="000B03F7">
            <w:pPr>
              <w:pStyle w:val="naiskr"/>
              <w:spacing w:before="0" w:after="0"/>
              <w:jc w:val="both"/>
            </w:pPr>
            <w:r w:rsidRPr="00231186">
              <w:t>Tieslietu ministrija, Kultūras ministrija, Labklājības ministrija, Zemkopības ministrija, Latvijas Tirdzniecības un rūpniecības kamera, Satversmes aizsardzības birojs, Valsts droš</w:t>
            </w:r>
            <w:r w:rsidR="00231186" w:rsidRPr="00231186">
              <w:t>ības dienests.</w:t>
            </w:r>
          </w:p>
        </w:tc>
      </w:tr>
    </w:tbl>
    <w:p w:rsidR="00051897" w:rsidRDefault="00051897" w:rsidP="00A103F3">
      <w:pPr>
        <w:pStyle w:val="naisf"/>
        <w:spacing w:before="0" w:after="0"/>
        <w:ind w:firstLine="0"/>
        <w:rPr>
          <w:b/>
        </w:rPr>
      </w:pPr>
    </w:p>
    <w:p w:rsidR="00051897" w:rsidRDefault="00051897" w:rsidP="00A103F3">
      <w:pPr>
        <w:pStyle w:val="naisf"/>
        <w:spacing w:before="0" w:after="0"/>
        <w:ind w:firstLine="0"/>
        <w:rPr>
          <w:b/>
        </w:rPr>
      </w:pPr>
    </w:p>
    <w:p w:rsidR="00DE0CA3" w:rsidRDefault="00DE0CA3">
      <w:pPr>
        <w:pStyle w:val="naisf"/>
        <w:spacing w:before="0" w:after="0"/>
        <w:ind w:firstLine="0"/>
        <w:jc w:val="center"/>
      </w:pPr>
      <w:r>
        <w:rPr>
          <w:b/>
        </w:rPr>
        <w:t>II. Jautājumi, par kuriem saskaņošanā vienošanās ir panākta</w:t>
      </w:r>
    </w:p>
    <w:p w:rsidR="00DE0CA3" w:rsidRDefault="00DE0CA3">
      <w:pPr>
        <w:pStyle w:val="naisf"/>
        <w:spacing w:before="0" w:after="0"/>
        <w:ind w:firstLine="720"/>
        <w:rPr>
          <w:b/>
        </w:rPr>
      </w:pPr>
    </w:p>
    <w:tbl>
      <w:tblPr>
        <w:tblW w:w="15002" w:type="dxa"/>
        <w:tblInd w:w="-7" w:type="dxa"/>
        <w:tblLayout w:type="fixed"/>
        <w:tblLook w:val="0000" w:firstRow="0" w:lastRow="0" w:firstColumn="0" w:lastColumn="0" w:noHBand="0" w:noVBand="0"/>
      </w:tblPr>
      <w:tblGrid>
        <w:gridCol w:w="708"/>
        <w:gridCol w:w="3086"/>
        <w:gridCol w:w="4394"/>
        <w:gridCol w:w="4111"/>
        <w:gridCol w:w="2703"/>
      </w:tblGrid>
      <w:tr w:rsidR="00DE0CA3" w:rsidRPr="00BD01F6" w:rsidTr="008D6D61">
        <w:trPr>
          <w:tblHeader/>
        </w:trPr>
        <w:tc>
          <w:tcPr>
            <w:tcW w:w="708" w:type="dxa"/>
            <w:tcBorders>
              <w:top w:val="single" w:sz="6" w:space="0" w:color="000000"/>
              <w:left w:val="single" w:sz="6" w:space="0" w:color="000000"/>
              <w:bottom w:val="single" w:sz="6" w:space="0" w:color="000000"/>
            </w:tcBorders>
            <w:shd w:val="clear" w:color="auto" w:fill="auto"/>
            <w:vAlign w:val="center"/>
          </w:tcPr>
          <w:p w:rsidR="00DE0CA3" w:rsidRPr="00BD01F6" w:rsidRDefault="00DE0CA3">
            <w:pPr>
              <w:pStyle w:val="naisc"/>
              <w:spacing w:before="0" w:after="0"/>
            </w:pPr>
            <w:r w:rsidRPr="00BD01F6">
              <w:t>Nr. p.k.</w:t>
            </w:r>
          </w:p>
        </w:tc>
        <w:tc>
          <w:tcPr>
            <w:tcW w:w="3086" w:type="dxa"/>
            <w:tcBorders>
              <w:top w:val="single" w:sz="6" w:space="0" w:color="000000"/>
              <w:left w:val="single" w:sz="6" w:space="0" w:color="000000"/>
              <w:bottom w:val="single" w:sz="6" w:space="0" w:color="000000"/>
            </w:tcBorders>
            <w:shd w:val="clear" w:color="auto" w:fill="auto"/>
            <w:vAlign w:val="center"/>
          </w:tcPr>
          <w:p w:rsidR="00DE0CA3" w:rsidRPr="00BD01F6" w:rsidRDefault="00DE0CA3">
            <w:pPr>
              <w:pStyle w:val="naisc"/>
              <w:spacing w:before="0" w:after="0"/>
              <w:ind w:firstLine="12"/>
            </w:pPr>
            <w:r w:rsidRPr="00BD01F6">
              <w:t>Saskaņošanai nosūtītā projekta redakcija (konkrēta punkta (panta) redakcija)</w:t>
            </w:r>
          </w:p>
        </w:tc>
        <w:tc>
          <w:tcPr>
            <w:tcW w:w="4394" w:type="dxa"/>
            <w:tcBorders>
              <w:top w:val="single" w:sz="6" w:space="0" w:color="000000"/>
              <w:left w:val="single" w:sz="6" w:space="0" w:color="000000"/>
              <w:bottom w:val="single" w:sz="6" w:space="0" w:color="000000"/>
            </w:tcBorders>
            <w:shd w:val="clear" w:color="auto" w:fill="auto"/>
            <w:vAlign w:val="center"/>
          </w:tcPr>
          <w:p w:rsidR="00DE0CA3" w:rsidRPr="00BD01F6" w:rsidRDefault="00DE0CA3">
            <w:pPr>
              <w:pStyle w:val="naisc"/>
              <w:spacing w:before="0" w:after="0"/>
              <w:ind w:right="3"/>
            </w:pPr>
            <w:r w:rsidRPr="00BD01F6">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tcBorders>
            <w:shd w:val="clear" w:color="auto" w:fill="auto"/>
            <w:vAlign w:val="center"/>
          </w:tcPr>
          <w:p w:rsidR="00DE0CA3" w:rsidRPr="00BD01F6" w:rsidRDefault="00DE0CA3">
            <w:pPr>
              <w:pStyle w:val="naisc"/>
              <w:spacing w:before="0" w:after="0"/>
              <w:ind w:firstLine="21"/>
            </w:pPr>
            <w:r w:rsidRPr="00BD01F6">
              <w:t>Atbildīgās ministrijas norāde par to, ka iebildums ir ņemts vērā, vai informācija par saskaņošanā panākto alternatīvo risinājumu</w:t>
            </w:r>
          </w:p>
        </w:tc>
        <w:tc>
          <w:tcPr>
            <w:tcW w:w="2703" w:type="dxa"/>
            <w:tcBorders>
              <w:top w:val="single" w:sz="4" w:space="0" w:color="000000"/>
              <w:left w:val="single" w:sz="6" w:space="0" w:color="000000"/>
              <w:bottom w:val="single" w:sz="4" w:space="0" w:color="000000"/>
              <w:right w:val="single" w:sz="4" w:space="0" w:color="000000"/>
            </w:tcBorders>
            <w:shd w:val="clear" w:color="auto" w:fill="auto"/>
            <w:vAlign w:val="center"/>
          </w:tcPr>
          <w:p w:rsidR="00DE0CA3" w:rsidRPr="00BD01F6" w:rsidRDefault="00DE0CA3">
            <w:pPr>
              <w:jc w:val="center"/>
            </w:pPr>
            <w:r w:rsidRPr="00BD01F6">
              <w:t>Projekta attiecīgā punkta (panta) galīgā redakcija</w:t>
            </w:r>
          </w:p>
        </w:tc>
      </w:tr>
      <w:tr w:rsidR="00DE0CA3" w:rsidRPr="00BD01F6" w:rsidTr="008D6D61">
        <w:trPr>
          <w:tblHeader/>
        </w:trPr>
        <w:tc>
          <w:tcPr>
            <w:tcW w:w="708" w:type="dxa"/>
            <w:tcBorders>
              <w:top w:val="single" w:sz="6" w:space="0" w:color="000000"/>
              <w:left w:val="single" w:sz="6" w:space="0" w:color="000000"/>
              <w:bottom w:val="single" w:sz="6" w:space="0" w:color="000000"/>
            </w:tcBorders>
            <w:shd w:val="clear" w:color="auto" w:fill="auto"/>
          </w:tcPr>
          <w:p w:rsidR="00DE0CA3" w:rsidRPr="00BD01F6" w:rsidRDefault="00DE0CA3">
            <w:pPr>
              <w:pStyle w:val="naisc"/>
              <w:spacing w:before="0" w:after="0"/>
            </w:pPr>
            <w:r w:rsidRPr="00BD01F6">
              <w:t>1</w:t>
            </w:r>
          </w:p>
        </w:tc>
        <w:tc>
          <w:tcPr>
            <w:tcW w:w="3086" w:type="dxa"/>
            <w:tcBorders>
              <w:top w:val="single" w:sz="6" w:space="0" w:color="000000"/>
              <w:left w:val="single" w:sz="6" w:space="0" w:color="000000"/>
              <w:bottom w:val="single" w:sz="6" w:space="0" w:color="000000"/>
            </w:tcBorders>
            <w:shd w:val="clear" w:color="auto" w:fill="auto"/>
          </w:tcPr>
          <w:p w:rsidR="00DE0CA3" w:rsidRPr="00BD01F6" w:rsidRDefault="00DE0CA3">
            <w:pPr>
              <w:pStyle w:val="naisc"/>
              <w:spacing w:before="0" w:after="0"/>
              <w:ind w:firstLine="720"/>
            </w:pPr>
            <w:r w:rsidRPr="00BD01F6">
              <w:t>2</w:t>
            </w:r>
          </w:p>
        </w:tc>
        <w:tc>
          <w:tcPr>
            <w:tcW w:w="4394" w:type="dxa"/>
            <w:tcBorders>
              <w:top w:val="single" w:sz="6" w:space="0" w:color="000000"/>
              <w:left w:val="single" w:sz="6" w:space="0" w:color="000000"/>
              <w:bottom w:val="single" w:sz="6" w:space="0" w:color="000000"/>
            </w:tcBorders>
            <w:shd w:val="clear" w:color="auto" w:fill="auto"/>
          </w:tcPr>
          <w:p w:rsidR="00DE0CA3" w:rsidRPr="00BD01F6" w:rsidRDefault="00DE0CA3">
            <w:pPr>
              <w:pStyle w:val="naisc"/>
              <w:spacing w:before="0" w:after="0"/>
              <w:ind w:firstLine="720"/>
            </w:pPr>
            <w:r w:rsidRPr="00BD01F6">
              <w:t>3</w:t>
            </w:r>
          </w:p>
        </w:tc>
        <w:tc>
          <w:tcPr>
            <w:tcW w:w="4111" w:type="dxa"/>
            <w:tcBorders>
              <w:top w:val="single" w:sz="6" w:space="0" w:color="000000"/>
              <w:left w:val="single" w:sz="6" w:space="0" w:color="000000"/>
              <w:bottom w:val="single" w:sz="6" w:space="0" w:color="000000"/>
            </w:tcBorders>
            <w:shd w:val="clear" w:color="auto" w:fill="auto"/>
          </w:tcPr>
          <w:p w:rsidR="00DE0CA3" w:rsidRPr="00BD01F6" w:rsidRDefault="00DE0CA3">
            <w:pPr>
              <w:pStyle w:val="naisc"/>
              <w:spacing w:before="0" w:after="0"/>
              <w:ind w:firstLine="720"/>
            </w:pPr>
            <w:r w:rsidRPr="00BD01F6">
              <w:t>4</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DE0CA3" w:rsidRPr="00BD01F6" w:rsidRDefault="00DE0CA3">
            <w:pPr>
              <w:jc w:val="center"/>
            </w:pPr>
            <w:r w:rsidRPr="00BD01F6">
              <w:t>5</w:t>
            </w:r>
          </w:p>
        </w:tc>
      </w:tr>
      <w:tr w:rsidR="008D6D61" w:rsidRPr="00BD01F6" w:rsidTr="008D6D61">
        <w:tc>
          <w:tcPr>
            <w:tcW w:w="708" w:type="dxa"/>
            <w:tcBorders>
              <w:left w:val="single" w:sz="6" w:space="0" w:color="000000"/>
              <w:bottom w:val="single" w:sz="4" w:space="0" w:color="000000"/>
            </w:tcBorders>
            <w:shd w:val="clear" w:color="auto" w:fill="auto"/>
          </w:tcPr>
          <w:p w:rsidR="008D6D61" w:rsidRPr="00BD01F6" w:rsidRDefault="0051423F" w:rsidP="008D6D61">
            <w:pPr>
              <w:pStyle w:val="naisc"/>
              <w:spacing w:before="0" w:after="0"/>
            </w:pPr>
            <w:r>
              <w:t>1</w:t>
            </w:r>
            <w:r w:rsidR="008D6D61" w:rsidRPr="00BD01F6">
              <w:t>.</w:t>
            </w:r>
          </w:p>
        </w:tc>
        <w:tc>
          <w:tcPr>
            <w:tcW w:w="3086" w:type="dxa"/>
            <w:tcBorders>
              <w:left w:val="single" w:sz="6" w:space="0" w:color="000000"/>
              <w:bottom w:val="single" w:sz="4" w:space="0" w:color="000000"/>
            </w:tcBorders>
            <w:shd w:val="clear" w:color="auto" w:fill="auto"/>
          </w:tcPr>
          <w:p w:rsidR="008D6D61" w:rsidRPr="00BD01F6" w:rsidRDefault="000C28AA" w:rsidP="008D6D61">
            <w:pPr>
              <w:pStyle w:val="ListParagraph"/>
              <w:tabs>
                <w:tab w:val="left" w:pos="0"/>
                <w:tab w:val="left" w:pos="1134"/>
              </w:tabs>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Stratēģijas</w:t>
            </w:r>
            <w:r w:rsidR="008D6D61" w:rsidRPr="00BD01F6">
              <w:rPr>
                <w:rFonts w:ascii="Times New Roman" w:hAnsi="Times New Roman" w:cs="Times New Roman"/>
                <w:sz w:val="24"/>
                <w:szCs w:val="24"/>
              </w:rPr>
              <w:t xml:space="preserve"> projekts</w:t>
            </w:r>
          </w:p>
        </w:tc>
        <w:tc>
          <w:tcPr>
            <w:tcW w:w="4394" w:type="dxa"/>
            <w:tcBorders>
              <w:left w:val="single" w:sz="6" w:space="0" w:color="000000"/>
              <w:bottom w:val="single" w:sz="4" w:space="0" w:color="000000"/>
            </w:tcBorders>
            <w:shd w:val="clear" w:color="auto" w:fill="auto"/>
          </w:tcPr>
          <w:p w:rsidR="008D6D61" w:rsidRPr="00BD01F6" w:rsidRDefault="008D6D61" w:rsidP="008D6D61">
            <w:pPr>
              <w:autoSpaceDE w:val="0"/>
              <w:jc w:val="center"/>
              <w:rPr>
                <w:b/>
                <w:color w:val="000000"/>
              </w:rPr>
            </w:pPr>
            <w:r w:rsidRPr="00BD01F6">
              <w:rPr>
                <w:b/>
                <w:color w:val="000000"/>
              </w:rPr>
              <w:t>Vides aizsardzības un reģionālās attīstības ministrija</w:t>
            </w:r>
          </w:p>
          <w:p w:rsidR="008D6D61" w:rsidRPr="00BD01F6" w:rsidRDefault="008D6D61" w:rsidP="008D6D61">
            <w:pPr>
              <w:pStyle w:val="ListParagraph"/>
              <w:suppressAutoHyphens w:val="0"/>
              <w:spacing w:after="0"/>
              <w:ind w:left="0"/>
              <w:jc w:val="both"/>
              <w:rPr>
                <w:rFonts w:ascii="Times New Roman" w:hAnsi="Times New Roman" w:cs="Times New Roman"/>
                <w:sz w:val="24"/>
                <w:szCs w:val="24"/>
              </w:rPr>
            </w:pPr>
            <w:r w:rsidRPr="00BD01F6">
              <w:rPr>
                <w:rFonts w:ascii="Times New Roman" w:hAnsi="Times New Roman" w:cs="Times New Roman"/>
                <w:sz w:val="24"/>
                <w:szCs w:val="24"/>
              </w:rPr>
              <w:t>VARAM vērš uzmanību, ka kiberdrošības stratēģiju nepieciešams papildināt ar izvērtējumu par veiktajām aktivitātēm iepriekšējā periodā un iepriekšējā perioda kiberdrošības stratēģijas uzdevumu izpildi.</w:t>
            </w:r>
          </w:p>
        </w:tc>
        <w:tc>
          <w:tcPr>
            <w:tcW w:w="4111" w:type="dxa"/>
            <w:tcBorders>
              <w:left w:val="single" w:sz="6" w:space="0" w:color="000000"/>
              <w:bottom w:val="single" w:sz="4" w:space="0" w:color="000000"/>
            </w:tcBorders>
            <w:shd w:val="clear" w:color="auto" w:fill="auto"/>
          </w:tcPr>
          <w:p w:rsidR="00D5719C" w:rsidRDefault="00D5719C" w:rsidP="00D5719C">
            <w:pPr>
              <w:autoSpaceDE w:val="0"/>
              <w:jc w:val="center"/>
              <w:rPr>
                <w:b/>
              </w:rPr>
            </w:pPr>
            <w:r w:rsidRPr="00D5719C">
              <w:rPr>
                <w:b/>
              </w:rPr>
              <w:t>Panākta vienošanās starpministriju (starpinstitūciju) sanāksmes laikā.</w:t>
            </w:r>
          </w:p>
          <w:p w:rsidR="008D6D61" w:rsidRPr="00BD01F6" w:rsidRDefault="008D6D61" w:rsidP="00225113">
            <w:pPr>
              <w:autoSpaceDE w:val="0"/>
              <w:jc w:val="both"/>
            </w:pPr>
            <w:r w:rsidRPr="00BD01F6">
              <w:t>Pamatnostādņu “Latvijas kiberdrošības stratēģija 2014.-2018.gadam” (MK 2014.gada 9.jūlija rīkojums Nr.347 “Grozījumi pamatnostādnēs “Latvijas kiberdrošības stratēģija 2014.-2018.gadam””) 2.pielikums, paredz, ka “</w:t>
            </w:r>
            <w:r w:rsidRPr="00BD01F6">
              <w:rPr>
                <w:u w:val="single"/>
              </w:rPr>
              <w:t>Aizsardzības ministrijai sadarbībā ar visām iesaistītajām ministrijām un Nacionālo informācijas tehnoloģiju drošības padomi</w:t>
            </w:r>
            <w:r w:rsidRPr="00BD01F6">
              <w:t xml:space="preserve"> līdz 2016. gada 1. februārim jāiesniedz Ministru kabinetā informatīvais ziņojums par pamatnostādņu rīcības plānā noteikto uzdevumu izpildes gaitu, bet </w:t>
            </w:r>
            <w:r w:rsidRPr="00BD01F6">
              <w:rPr>
                <w:u w:val="single"/>
              </w:rPr>
              <w:t>līdz 2019. gada 1. jūnijam - informatīvais ziņojums par pamatnostādņu rīcības plāna īstenošanas gala novērtējumu, iekļaujot priekšlikumus kiberdrošības politikas jomā turpmākajiem gadiem.</w:t>
            </w:r>
            <w:r w:rsidRPr="00BD01F6">
              <w:t xml:space="preserve">” </w:t>
            </w:r>
            <w:r w:rsidR="00225113">
              <w:t>Informatīvā ziņojuma</w:t>
            </w:r>
            <w:r w:rsidRPr="00BD01F6">
              <w:t xml:space="preserve"> projekts papildināts ar iepriekšminēto informāciju.</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8D6D61" w:rsidRPr="00BD01F6" w:rsidRDefault="006B64F1" w:rsidP="006B64F1">
            <w:pPr>
              <w:jc w:val="both"/>
            </w:pPr>
            <w:r w:rsidRPr="006B64F1">
              <w:t>MK 2016. gada 29. martā skatīja informatīvo ziņojumu “Par pamatnostādņu “Latvijas kiberdrošības stratēģija 2014.-2018. gadam” rīcības plānojumā noteikto uzdevumu izpildes gaitu” (prot. 15 34. §). Saskaņā ar pamatnostādnēm “Par pamatnostādņu “Latvijas kiberdrošības stratēģija 2014.-2018. gadam” AIM sadarbībā ar visām iesaistītajām ministrijām un NITDP līdz 2019. gada 1. jūnijam iesniedz informatīvo ziņojumu par pamatnostādņu rīcības plāna īstenošanas gala novērtējumu</w:t>
            </w:r>
            <w:r>
              <w:t>.</w:t>
            </w:r>
          </w:p>
        </w:tc>
      </w:tr>
      <w:tr w:rsidR="008D6D61" w:rsidRPr="00BD01F6" w:rsidTr="008D6D61">
        <w:tc>
          <w:tcPr>
            <w:tcW w:w="708" w:type="dxa"/>
            <w:tcBorders>
              <w:left w:val="single" w:sz="6" w:space="0" w:color="000000"/>
              <w:bottom w:val="single" w:sz="4" w:space="0" w:color="000000"/>
            </w:tcBorders>
            <w:shd w:val="clear" w:color="auto" w:fill="auto"/>
          </w:tcPr>
          <w:p w:rsidR="008D6D61" w:rsidRPr="00BD01F6" w:rsidRDefault="0051423F" w:rsidP="008D6D61">
            <w:pPr>
              <w:pStyle w:val="naisc"/>
              <w:spacing w:before="0" w:after="0"/>
            </w:pPr>
            <w:r>
              <w:t>2</w:t>
            </w:r>
            <w:r w:rsidR="008D6D61" w:rsidRPr="00BD01F6">
              <w:t>.</w:t>
            </w:r>
          </w:p>
        </w:tc>
        <w:tc>
          <w:tcPr>
            <w:tcW w:w="3086" w:type="dxa"/>
            <w:tcBorders>
              <w:left w:val="single" w:sz="6" w:space="0" w:color="000000"/>
              <w:bottom w:val="single" w:sz="4" w:space="0" w:color="000000"/>
            </w:tcBorders>
            <w:shd w:val="clear" w:color="auto" w:fill="auto"/>
          </w:tcPr>
          <w:p w:rsidR="008D6D61" w:rsidRPr="00BD01F6" w:rsidRDefault="000C28AA" w:rsidP="008D6D61">
            <w:pPr>
              <w:pStyle w:val="NoSpacing"/>
              <w:jc w:val="both"/>
              <w:rPr>
                <w:rFonts w:ascii="Times New Roman" w:hAnsi="Times New Roman" w:cs="Times New Roman"/>
                <w:b/>
                <w:bCs/>
                <w:sz w:val="24"/>
                <w:szCs w:val="24"/>
              </w:rPr>
            </w:pPr>
            <w:r>
              <w:rPr>
                <w:rFonts w:ascii="Times New Roman" w:hAnsi="Times New Roman" w:cs="Times New Roman"/>
                <w:sz w:val="24"/>
                <w:szCs w:val="24"/>
              </w:rPr>
              <w:t>Stratēģijas</w:t>
            </w:r>
            <w:r w:rsidR="008D6D61" w:rsidRPr="00BD01F6">
              <w:rPr>
                <w:rFonts w:ascii="Times New Roman" w:hAnsi="Times New Roman" w:cs="Times New Roman"/>
                <w:sz w:val="24"/>
                <w:szCs w:val="24"/>
              </w:rPr>
              <w:t xml:space="preserve"> projekts</w:t>
            </w:r>
          </w:p>
        </w:tc>
        <w:tc>
          <w:tcPr>
            <w:tcW w:w="4394" w:type="dxa"/>
            <w:tcBorders>
              <w:left w:val="single" w:sz="6" w:space="0" w:color="000000"/>
              <w:bottom w:val="single" w:sz="4" w:space="0" w:color="000000"/>
            </w:tcBorders>
            <w:shd w:val="clear" w:color="auto" w:fill="auto"/>
          </w:tcPr>
          <w:p w:rsidR="008D6D61" w:rsidRPr="00BD01F6" w:rsidRDefault="008D6D61" w:rsidP="008D6D61">
            <w:pPr>
              <w:autoSpaceDE w:val="0"/>
              <w:jc w:val="center"/>
              <w:rPr>
                <w:b/>
                <w:color w:val="000000"/>
              </w:rPr>
            </w:pPr>
            <w:r w:rsidRPr="00BD01F6">
              <w:rPr>
                <w:b/>
                <w:color w:val="000000"/>
              </w:rPr>
              <w:t>Vides aizsardzības un reģionālās attīstības ministrija</w:t>
            </w:r>
          </w:p>
          <w:p w:rsidR="008D6D61" w:rsidRPr="00BD01F6" w:rsidRDefault="008D6D61" w:rsidP="008D6D61">
            <w:pPr>
              <w:widowControl w:val="0"/>
              <w:suppressAutoHyphens w:val="0"/>
              <w:jc w:val="both"/>
              <w:rPr>
                <w:rFonts w:eastAsia="Calibri"/>
                <w:lang w:eastAsia="en-US"/>
              </w:rPr>
            </w:pPr>
            <w:r w:rsidRPr="00BD01F6">
              <w:rPr>
                <w:rFonts w:eastAsia="Calibri"/>
                <w:lang w:eastAsia="en-US"/>
              </w:rPr>
              <w:t>VARAM vērš uzmanību, ka ir nepieciešams pilnveidot un papildināt kiberdrošības stratēģiju, lai atspoguļotu sasaisti starp dokumentu pamattekstu (izaicinājumi un attīstības virzieni) un rīcības plānu. Pretējā gadījumā nav saprotams, kāds ir konkrēto uzdevumu mērķis un kā uzdevumi sasniegs savu mērķi, proti, veidos drošu kibertelpu. Tāpat nav saprotams, kādēļ ir izcelti konkrēti elementi – datu glabāšana mākonī, mobilo tālruņu un viedierīču lietošana, un kādēļ šie jautājumi kļuvuši aktuāli šobrīd, jo iestādes jau pašreiz izmanto gan viedierīces, gan glabā datus mākonī.</w:t>
            </w:r>
          </w:p>
        </w:tc>
        <w:tc>
          <w:tcPr>
            <w:tcW w:w="4111" w:type="dxa"/>
            <w:tcBorders>
              <w:left w:val="single" w:sz="6" w:space="0" w:color="000000"/>
              <w:bottom w:val="single" w:sz="4" w:space="0" w:color="000000"/>
            </w:tcBorders>
            <w:shd w:val="clear" w:color="auto" w:fill="auto"/>
          </w:tcPr>
          <w:p w:rsidR="008D6D61" w:rsidRPr="00BD01F6" w:rsidRDefault="008D6D61" w:rsidP="008D6D61">
            <w:pPr>
              <w:pStyle w:val="naisc"/>
              <w:spacing w:before="0" w:after="0"/>
              <w:ind w:firstLine="720"/>
              <w:jc w:val="left"/>
              <w:rPr>
                <w:b/>
              </w:rPr>
            </w:pPr>
            <w:r w:rsidRPr="00BD01F6">
              <w:rPr>
                <w:b/>
              </w:rPr>
              <w:t>Iebildums ņemts vērā</w:t>
            </w:r>
          </w:p>
          <w:p w:rsidR="008D6D61" w:rsidRPr="00BD01F6" w:rsidRDefault="008D6D61" w:rsidP="008D6D61">
            <w:pPr>
              <w:pStyle w:val="naisc"/>
              <w:spacing w:before="0" w:after="0"/>
              <w:jc w:val="both"/>
              <w:rPr>
                <w:b/>
              </w:rPr>
            </w:pPr>
            <w:r w:rsidRPr="00BD01F6">
              <w:rPr>
                <w:rFonts w:eastAsia="Calibri"/>
                <w:lang w:eastAsia="en-US"/>
              </w:rPr>
              <w:t xml:space="preserve">Pilnveidots un papildināts stratēģijas projekts, rīcības plāna uzdevumi pārcelti stratēģijas pamattekstā, kā uzdevumi pie katra rīcības </w:t>
            </w:r>
            <w:r w:rsidR="00C472EA">
              <w:rPr>
                <w:rFonts w:eastAsia="Calibri"/>
                <w:lang w:eastAsia="en-US"/>
              </w:rPr>
              <w:t>virziena, vienlaikus atsakoties no rīcības plāna, kā stratēģijas pielikuma.</w:t>
            </w:r>
            <w:r w:rsidR="00335D39">
              <w:rPr>
                <w:rFonts w:eastAsia="Calibri"/>
                <w:lang w:eastAsia="en-US"/>
              </w:rPr>
              <w:t xml:space="preserve"> Norādīta stratēģijas projekta teksta sasaiste ar rīcības virzienu uzdevumiem</w:t>
            </w:r>
            <w:r w:rsidR="00C472EA">
              <w:rPr>
                <w:rFonts w:eastAsia="Calibri"/>
                <w:lang w:eastAsia="en-US"/>
              </w:rPr>
              <w:t xml:space="preserve"> un pasākumiem</w:t>
            </w:r>
            <w:r w:rsidR="00335D39">
              <w:rPr>
                <w:rFonts w:eastAsia="Calibri"/>
                <w:lang w:eastAsia="en-US"/>
              </w:rPr>
              <w:t>.</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8D6D61" w:rsidRPr="00BD01F6" w:rsidRDefault="008D6D61" w:rsidP="008D6D61">
            <w:pPr>
              <w:jc w:val="both"/>
            </w:pPr>
            <w:r w:rsidRPr="00BD01F6">
              <w:t>Stratēģijas projekts</w:t>
            </w:r>
          </w:p>
        </w:tc>
      </w:tr>
      <w:tr w:rsidR="008D6D61" w:rsidRPr="00BD01F6" w:rsidTr="008D6D61">
        <w:tc>
          <w:tcPr>
            <w:tcW w:w="708" w:type="dxa"/>
            <w:tcBorders>
              <w:left w:val="single" w:sz="6" w:space="0" w:color="000000"/>
              <w:bottom w:val="single" w:sz="4" w:space="0" w:color="000000"/>
            </w:tcBorders>
            <w:shd w:val="clear" w:color="auto" w:fill="auto"/>
          </w:tcPr>
          <w:p w:rsidR="008D6D61" w:rsidRPr="00BD01F6" w:rsidRDefault="0051423F" w:rsidP="008D6D61">
            <w:pPr>
              <w:pStyle w:val="naisc"/>
              <w:spacing w:before="0" w:after="0"/>
            </w:pPr>
            <w:r>
              <w:t>3</w:t>
            </w:r>
            <w:r w:rsidR="008D6D61" w:rsidRPr="00BD01F6">
              <w:t>.</w:t>
            </w:r>
          </w:p>
        </w:tc>
        <w:tc>
          <w:tcPr>
            <w:tcW w:w="3086" w:type="dxa"/>
            <w:tcBorders>
              <w:left w:val="single" w:sz="6" w:space="0" w:color="000000"/>
              <w:bottom w:val="single" w:sz="4" w:space="0" w:color="000000"/>
            </w:tcBorders>
            <w:shd w:val="clear" w:color="auto" w:fill="auto"/>
          </w:tcPr>
          <w:p w:rsidR="008D6D61" w:rsidRPr="00BD01F6" w:rsidRDefault="000C28AA" w:rsidP="008D6D61">
            <w:pPr>
              <w:pStyle w:val="NoSpacing"/>
              <w:jc w:val="both"/>
              <w:rPr>
                <w:rFonts w:ascii="Times New Roman" w:eastAsia="Times New Roman" w:hAnsi="Times New Roman" w:cs="Times New Roman"/>
                <w:b/>
                <w:sz w:val="24"/>
                <w:szCs w:val="24"/>
              </w:rPr>
            </w:pPr>
            <w:proofErr w:type="spellStart"/>
            <w:r>
              <w:rPr>
                <w:rFonts w:ascii="Times New Roman" w:hAnsi="Times New Roman" w:cs="Times New Roman"/>
                <w:sz w:val="24"/>
                <w:szCs w:val="24"/>
              </w:rPr>
              <w:t>Startēģijas</w:t>
            </w:r>
            <w:proofErr w:type="spellEnd"/>
            <w:r w:rsidR="003D369D">
              <w:rPr>
                <w:rFonts w:ascii="Times New Roman" w:hAnsi="Times New Roman" w:cs="Times New Roman"/>
                <w:sz w:val="24"/>
                <w:szCs w:val="24"/>
              </w:rPr>
              <w:t xml:space="preserve"> projekta 1.shēma</w:t>
            </w:r>
          </w:p>
        </w:tc>
        <w:tc>
          <w:tcPr>
            <w:tcW w:w="4394" w:type="dxa"/>
            <w:tcBorders>
              <w:left w:val="single" w:sz="6" w:space="0" w:color="000000"/>
              <w:bottom w:val="single" w:sz="4" w:space="0" w:color="000000"/>
            </w:tcBorders>
            <w:shd w:val="clear" w:color="auto" w:fill="auto"/>
          </w:tcPr>
          <w:p w:rsidR="008D6D61" w:rsidRPr="00BD01F6" w:rsidRDefault="008D6D61" w:rsidP="008D6D61">
            <w:pPr>
              <w:autoSpaceDE w:val="0"/>
              <w:jc w:val="center"/>
              <w:rPr>
                <w:b/>
                <w:color w:val="000000"/>
              </w:rPr>
            </w:pPr>
            <w:r w:rsidRPr="00BD01F6">
              <w:rPr>
                <w:b/>
                <w:color w:val="000000"/>
              </w:rPr>
              <w:t>Vides aizsardzības un reģionālās attīstības ministrija</w:t>
            </w:r>
          </w:p>
          <w:p w:rsidR="008D6D61" w:rsidRPr="00BD01F6" w:rsidRDefault="008D6D61" w:rsidP="008D6D61">
            <w:pPr>
              <w:widowControl w:val="0"/>
              <w:suppressAutoHyphens w:val="0"/>
              <w:jc w:val="both"/>
              <w:rPr>
                <w:b/>
              </w:rPr>
            </w:pPr>
            <w:r w:rsidRPr="00BD01F6">
              <w:rPr>
                <w:rFonts w:eastAsia="Calibri"/>
                <w:lang w:eastAsia="en-US"/>
              </w:rPr>
              <w:t>VARAM vērš uzmanību, ka kiberdrošības stratēģijas 1.shēmā “Kiberdrošības pārvaldība” nav pietiekami saprotama paustā ideja, jo attiecībā uz valsts sektoru ir minēts - valsts IKT infrastruktūra, E-pakalpojumi, valsts informācijas sistēmas, bet attiecībā uz privāto sektoru – elektronisko pakalpojumu komersanti, komersanti. VARAM ieteikums pielietot vienādu pieeju nosaukumos, piemēram, minot vai nu iestādes un komersanti vai tikai infrastruktūras elementi. Tāpat vēršam uzmanību, ka daļa no Valsts informācijas sistēmām ir arī kritiskās infrastruktūras elementi un šāds sadalījums (Valsts informācijas sistēmas, kritiskā infrastruktūra) shēmā var radīt pārpratumu.</w:t>
            </w:r>
          </w:p>
        </w:tc>
        <w:tc>
          <w:tcPr>
            <w:tcW w:w="4111" w:type="dxa"/>
            <w:tcBorders>
              <w:left w:val="single" w:sz="6" w:space="0" w:color="000000"/>
              <w:bottom w:val="single" w:sz="4" w:space="0" w:color="000000"/>
            </w:tcBorders>
            <w:shd w:val="clear" w:color="auto" w:fill="auto"/>
          </w:tcPr>
          <w:p w:rsidR="008D6D61" w:rsidRPr="00BD01F6" w:rsidRDefault="008D6D61" w:rsidP="008D6D61">
            <w:pPr>
              <w:pStyle w:val="naisc"/>
              <w:spacing w:before="0" w:after="0"/>
              <w:ind w:firstLine="720"/>
              <w:jc w:val="left"/>
              <w:rPr>
                <w:b/>
              </w:rPr>
            </w:pPr>
            <w:r w:rsidRPr="00BD01F6">
              <w:rPr>
                <w:b/>
              </w:rPr>
              <w:t>Iebildums ņemts vērā</w:t>
            </w:r>
          </w:p>
          <w:p w:rsidR="008D6D61" w:rsidRPr="00BD01F6" w:rsidRDefault="008246AC" w:rsidP="008D6D61">
            <w:pPr>
              <w:pStyle w:val="naisc"/>
              <w:spacing w:before="0" w:after="0"/>
              <w:jc w:val="both"/>
            </w:pPr>
            <w:r>
              <w:t>Precizēta 2</w:t>
            </w:r>
            <w:r w:rsidR="008D6D61" w:rsidRPr="00BD01F6">
              <w:t>.shēma</w:t>
            </w:r>
            <w:r w:rsidR="00524055">
              <w:t xml:space="preserve"> (pēc iepriekšējās numerācijas</w:t>
            </w:r>
            <w:r>
              <w:t xml:space="preserve"> 1.</w:t>
            </w:r>
            <w:r w:rsidR="00793BBD">
              <w:t>shēma</w:t>
            </w:r>
            <w:r>
              <w:t>)</w:t>
            </w:r>
            <w:r w:rsidR="008D6D61" w:rsidRPr="00BD01F6">
              <w:t>.</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8D6D61" w:rsidRPr="00BD01F6" w:rsidRDefault="008246AC" w:rsidP="008D6D61">
            <w:pPr>
              <w:jc w:val="both"/>
              <w:rPr>
                <w:b/>
                <w:bCs/>
              </w:rPr>
            </w:pPr>
            <w:r>
              <w:t>2.shēma “Kiberdrošības pārvaldības modelis”</w:t>
            </w:r>
          </w:p>
        </w:tc>
      </w:tr>
      <w:tr w:rsidR="008D6D61" w:rsidRPr="00BD01F6" w:rsidTr="008D6D61">
        <w:tc>
          <w:tcPr>
            <w:tcW w:w="708" w:type="dxa"/>
            <w:tcBorders>
              <w:left w:val="single" w:sz="6" w:space="0" w:color="000000"/>
              <w:bottom w:val="single" w:sz="4" w:space="0" w:color="000000"/>
            </w:tcBorders>
            <w:shd w:val="clear" w:color="auto" w:fill="auto"/>
          </w:tcPr>
          <w:p w:rsidR="008D6D61" w:rsidRPr="00BD01F6" w:rsidRDefault="0051423F" w:rsidP="008D6D61">
            <w:pPr>
              <w:pStyle w:val="naisc"/>
              <w:spacing w:before="0" w:after="0"/>
            </w:pPr>
            <w:r>
              <w:t>4</w:t>
            </w:r>
            <w:r w:rsidR="008D6D61" w:rsidRPr="00BD01F6">
              <w:t>.</w:t>
            </w:r>
          </w:p>
        </w:tc>
        <w:tc>
          <w:tcPr>
            <w:tcW w:w="3086" w:type="dxa"/>
            <w:tcBorders>
              <w:left w:val="single" w:sz="6" w:space="0" w:color="000000"/>
              <w:bottom w:val="single" w:sz="4" w:space="0" w:color="000000"/>
            </w:tcBorders>
            <w:shd w:val="clear" w:color="auto" w:fill="auto"/>
          </w:tcPr>
          <w:p w:rsidR="008D6D61" w:rsidRPr="00BD01F6" w:rsidRDefault="008D6D61" w:rsidP="008D6D61">
            <w:pPr>
              <w:pStyle w:val="NoSpacing"/>
              <w:jc w:val="both"/>
              <w:rPr>
                <w:rFonts w:ascii="Times New Roman" w:eastAsia="Times New Roman" w:hAnsi="Times New Roman" w:cs="Times New Roman"/>
                <w:sz w:val="24"/>
                <w:szCs w:val="24"/>
              </w:rPr>
            </w:pPr>
            <w:r w:rsidRPr="00BD01F6">
              <w:rPr>
                <w:rFonts w:ascii="Times New Roman" w:eastAsia="Times New Roman" w:hAnsi="Times New Roman" w:cs="Times New Roman"/>
                <w:sz w:val="24"/>
                <w:szCs w:val="24"/>
              </w:rPr>
              <w:t>Valsts sociālās apdrošināšanas aģentūra (VSAA) nodrošina dažādu valsts noteikto pabalstu, pensiju un atlīdzību izmaksu iedzīvotājiem.</w:t>
            </w:r>
          </w:p>
        </w:tc>
        <w:tc>
          <w:tcPr>
            <w:tcW w:w="4394" w:type="dxa"/>
            <w:tcBorders>
              <w:left w:val="single" w:sz="6" w:space="0" w:color="000000"/>
              <w:bottom w:val="single" w:sz="4" w:space="0" w:color="000000"/>
            </w:tcBorders>
            <w:shd w:val="clear" w:color="auto" w:fill="auto"/>
          </w:tcPr>
          <w:p w:rsidR="008D6D61" w:rsidRPr="00BD01F6" w:rsidRDefault="008D6D61" w:rsidP="008D6D61">
            <w:pPr>
              <w:autoSpaceDE w:val="0"/>
              <w:jc w:val="center"/>
              <w:rPr>
                <w:b/>
                <w:color w:val="000000"/>
              </w:rPr>
            </w:pPr>
            <w:r w:rsidRPr="00BD01F6">
              <w:rPr>
                <w:b/>
                <w:color w:val="000000"/>
              </w:rPr>
              <w:t>Vides aizsardzības un reģionālās attīstības ministrija</w:t>
            </w:r>
          </w:p>
          <w:p w:rsidR="008D6D61" w:rsidRPr="00BD01F6" w:rsidRDefault="008D6D61" w:rsidP="008D6D61">
            <w:pPr>
              <w:pStyle w:val="naisc"/>
              <w:spacing w:before="0" w:after="0"/>
              <w:jc w:val="both"/>
            </w:pPr>
            <w:r w:rsidRPr="00BD01F6">
              <w:t>VARAM vērš uzmanību, ka kiberdrošības stratēģijas 2.punkta “Pārvaldības sistēma, funkcijas un pienākumi kiberdrošības pārvaldībā” rindkopā “Kiberdrošības pārvaldības sistēmā iesaistīto valsts pārvaldes institūciju un citu iesaistīto dalībnieku funkcijas un pienākumi ir:…” ir norādīts, ka Valsts sociālās apdrošināšanas aģentūra (VSAA) nodrošina dažādu valsts noteikto pabalstu, pensiju un atlīdzību izmaksu iedzīvotājiem, taču tas neraksturo kiberdrošības pārvaldības sistēmas elementu, bet šīs iestādes veicamās funkcijas. Līdz ar to VARAM neuzskata par lietderīgu aprakstīt minētās iestādes veicamās funkcijas.</w:t>
            </w:r>
          </w:p>
        </w:tc>
        <w:tc>
          <w:tcPr>
            <w:tcW w:w="4111" w:type="dxa"/>
            <w:tcBorders>
              <w:left w:val="single" w:sz="6" w:space="0" w:color="000000"/>
              <w:bottom w:val="single" w:sz="4" w:space="0" w:color="000000"/>
            </w:tcBorders>
            <w:shd w:val="clear" w:color="auto" w:fill="auto"/>
          </w:tcPr>
          <w:p w:rsidR="008D6D61" w:rsidRPr="00BD01F6" w:rsidRDefault="008D6D61" w:rsidP="008D6D61">
            <w:pPr>
              <w:pStyle w:val="naisc"/>
              <w:spacing w:before="0" w:after="0"/>
              <w:ind w:firstLine="720"/>
              <w:jc w:val="left"/>
              <w:rPr>
                <w:b/>
              </w:rPr>
            </w:pPr>
            <w:r w:rsidRPr="00BD01F6">
              <w:rPr>
                <w:b/>
              </w:rPr>
              <w:t>Iebildums ņemts vērā</w:t>
            </w:r>
          </w:p>
          <w:p w:rsidR="008D6D61" w:rsidRPr="00BD01F6" w:rsidRDefault="008D6D61" w:rsidP="008D6D61">
            <w:pPr>
              <w:jc w:val="both"/>
              <w:rPr>
                <w:rFonts w:eastAsia="Calibri"/>
                <w:lang w:eastAsia="en-US"/>
              </w:rPr>
            </w:pPr>
            <w:r w:rsidRPr="00BD01F6">
              <w:t>Valsts sociālās apdrošināšanas aģentūras funkcija</w:t>
            </w:r>
            <w:r w:rsidR="00A422CF">
              <w:t xml:space="preserve"> no stratēģijas teksta svītrota, jo neraksturo kiberdrošības pārvaldības sistēmas elementu.</w:t>
            </w:r>
            <w:r w:rsidRPr="00BD01F6">
              <w:t xml:space="preserve"> Vienlaikus stratēģijas 2.nodaļa ir papildināta ar jaunu rindkopu šādā redakcijā: “Visas valsts un pašvaldību institūcijas savā darbībā ievēro </w:t>
            </w:r>
            <w:r w:rsidRPr="00BD01F6">
              <w:rPr>
                <w:rFonts w:eastAsia="Calibri"/>
                <w:lang w:eastAsia="en-US"/>
              </w:rPr>
              <w:t>Ministru kabineta 2015. gada 28. jūlija noteikumu Nr. 442 “Kārtība, kādā tiek nodrošināta informācijas un komunikācijas tehnoloģiju sistēmu atbilstība minimālajām drošības prasībām”</w:t>
            </w:r>
            <w:r w:rsidRPr="00BD01F6">
              <w:t xml:space="preserve"> prasības.“</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8D6D61" w:rsidRPr="00BD01F6" w:rsidRDefault="008D6D61" w:rsidP="008D6D61">
            <w:pPr>
              <w:suppressAutoHyphens w:val="0"/>
              <w:jc w:val="both"/>
              <w:rPr>
                <w:rFonts w:eastAsia="Calibri"/>
                <w:lang w:eastAsia="en-US"/>
              </w:rPr>
            </w:pPr>
            <w:r w:rsidRPr="00BD01F6">
              <w:t>Visas va</w:t>
            </w:r>
            <w:r w:rsidR="00ED5C24">
              <w:t>lsts un pašvaldību institūcijas, kā arī IT</w:t>
            </w:r>
            <w:r w:rsidR="00ED5C24" w:rsidRPr="00B33D59">
              <w:t xml:space="preserve"> kritiskās infrastruktūras</w:t>
            </w:r>
            <w:r w:rsidR="00ED5C24">
              <w:t xml:space="preserve"> (KI)</w:t>
            </w:r>
            <w:r w:rsidR="00ED5C24" w:rsidRPr="00B33D59">
              <w:t xml:space="preserve"> īpašnieki vai tiesiskie valdītāji</w:t>
            </w:r>
            <w:r w:rsidR="00ED5C24" w:rsidRPr="00BD01F6">
              <w:t xml:space="preserve"> </w:t>
            </w:r>
            <w:r w:rsidRPr="00BD01F6">
              <w:t xml:space="preserve">savā darbībā ievēro </w:t>
            </w:r>
            <w:r w:rsidRPr="00BD01F6">
              <w:rPr>
                <w:rFonts w:eastAsia="Calibri"/>
                <w:lang w:eastAsia="en-US"/>
              </w:rPr>
              <w:t>Ministru kabineta 2015. gada 28. jūlija noteikumu Nr. 442 “Kārtība, kādā tiek nodrošināta informācijas un komunikācijas tehnoloģiju sistēmu atbilstība minimālajām drošības prasībām”</w:t>
            </w:r>
            <w:r w:rsidRPr="00BD01F6">
              <w:t xml:space="preserve"> prasības.</w:t>
            </w:r>
          </w:p>
        </w:tc>
      </w:tr>
      <w:tr w:rsidR="00E708EF" w:rsidRPr="00BD01F6" w:rsidTr="00841965">
        <w:tc>
          <w:tcPr>
            <w:tcW w:w="708" w:type="dxa"/>
            <w:tcBorders>
              <w:left w:val="single" w:sz="6" w:space="0" w:color="000000"/>
              <w:bottom w:val="single" w:sz="4" w:space="0" w:color="000000"/>
            </w:tcBorders>
            <w:shd w:val="clear" w:color="auto" w:fill="auto"/>
          </w:tcPr>
          <w:p w:rsidR="00E708EF" w:rsidRDefault="00DC6716" w:rsidP="00E708EF">
            <w:pPr>
              <w:pStyle w:val="naisc"/>
              <w:spacing w:before="0" w:after="0"/>
            </w:pPr>
            <w:r>
              <w:t>5.</w:t>
            </w:r>
          </w:p>
        </w:tc>
        <w:tc>
          <w:tcPr>
            <w:tcW w:w="3086" w:type="dxa"/>
            <w:tcBorders>
              <w:top w:val="single" w:sz="6" w:space="0" w:color="000000"/>
              <w:left w:val="single" w:sz="6" w:space="0" w:color="000000"/>
              <w:bottom w:val="single" w:sz="6" w:space="0" w:color="000000"/>
            </w:tcBorders>
            <w:shd w:val="clear" w:color="auto" w:fill="auto"/>
          </w:tcPr>
          <w:p w:rsidR="00E708EF" w:rsidRPr="00BD01F6" w:rsidRDefault="00E708EF" w:rsidP="00E708EF">
            <w:pPr>
              <w:suppressAutoHyphens w:val="0"/>
              <w:jc w:val="both"/>
            </w:pPr>
            <w:r w:rsidRPr="00BD01F6">
              <w:t>1.2. Aktualizēt un realizēt valsts mākoņdatošanas stratēģiju</w:t>
            </w:r>
          </w:p>
        </w:tc>
        <w:tc>
          <w:tcPr>
            <w:tcW w:w="4394" w:type="dxa"/>
            <w:tcBorders>
              <w:top w:val="single" w:sz="6" w:space="0" w:color="000000"/>
              <w:left w:val="single" w:sz="6" w:space="0" w:color="000000"/>
              <w:bottom w:val="single" w:sz="6" w:space="0" w:color="000000"/>
            </w:tcBorders>
            <w:shd w:val="clear" w:color="auto" w:fill="auto"/>
          </w:tcPr>
          <w:p w:rsidR="00E708EF" w:rsidRPr="00BD01F6" w:rsidRDefault="00E708EF" w:rsidP="00E708EF">
            <w:pPr>
              <w:autoSpaceDE w:val="0"/>
              <w:jc w:val="center"/>
              <w:rPr>
                <w:b/>
                <w:color w:val="000000"/>
              </w:rPr>
            </w:pPr>
            <w:r w:rsidRPr="00BD01F6">
              <w:rPr>
                <w:b/>
                <w:color w:val="000000"/>
              </w:rPr>
              <w:t>Vides aizsardzības un reģionālās attīstības ministrija</w:t>
            </w:r>
          </w:p>
          <w:p w:rsidR="00E708EF" w:rsidRPr="00BD01F6" w:rsidRDefault="00E708EF" w:rsidP="00E708EF">
            <w:pPr>
              <w:jc w:val="both"/>
            </w:pPr>
            <w:r w:rsidRPr="00BD01F6">
              <w:t xml:space="preserve">Attiecībā uz kiberdrošības stratēģijas 1. pielikuma B “Rīcības plāns pamatnostādņu īstenošanai” 1.Rīcības virzienu “Kiberdrošības veicināšana, digitālās drošības risku mazināšana” VARAM lūdz precizēt kiberdrošības stratēģijas 1.2.apakšpunktā definēto uzdevumu “Aktualizēt un realizēt valsts mākoņdatošanas stratēģiju”, jo pirmkārt, nav saprotams - kādas darbības ietilpst aktivitātē, tās mērķis un kā aktivitāte ietekmē kiberdrošību, otrkārt, ir neprecīzi norādīts dokumenta nosaukums “mākoņdatošanas stratēģija”, jo “VARAM ir izstrādājusi informatīvo ziņojumu “Mākoņdatošanas pakalpojumu izmantošana valsts pārvaldē” un treškārt, interpretējot, ka šāds uzdevums varētu ietilpt Valsts elektronisko sakaru pakalpojumu centra funkcijās, kuru pārvalda Satiksmes ministrija, VARAM nevar uzņemties atbildību par šādas aktivitātes veikšanu. </w:t>
            </w:r>
          </w:p>
          <w:p w:rsidR="00E708EF" w:rsidRPr="00BD01F6" w:rsidRDefault="00E708EF" w:rsidP="00E708EF">
            <w:pPr>
              <w:jc w:val="both"/>
            </w:pPr>
          </w:p>
        </w:tc>
        <w:tc>
          <w:tcPr>
            <w:tcW w:w="4111" w:type="dxa"/>
            <w:tcBorders>
              <w:top w:val="single" w:sz="6" w:space="0" w:color="000000"/>
              <w:left w:val="single" w:sz="6" w:space="0" w:color="000000"/>
              <w:bottom w:val="single" w:sz="6" w:space="0" w:color="000000"/>
            </w:tcBorders>
            <w:shd w:val="clear" w:color="auto" w:fill="auto"/>
          </w:tcPr>
          <w:p w:rsidR="00E708EF" w:rsidRPr="00BD01F6" w:rsidRDefault="00E708EF" w:rsidP="00E708EF">
            <w:pPr>
              <w:pStyle w:val="naisc"/>
              <w:spacing w:before="0" w:after="0"/>
              <w:rPr>
                <w:b/>
              </w:rPr>
            </w:pPr>
            <w:r>
              <w:rPr>
                <w:b/>
              </w:rPr>
              <w:t xml:space="preserve">Iebildums </w:t>
            </w:r>
            <w:r w:rsidRPr="00BD01F6">
              <w:rPr>
                <w:b/>
              </w:rPr>
              <w:t>ņemts vērā</w:t>
            </w:r>
          </w:p>
          <w:p w:rsidR="00E708EF" w:rsidRPr="00BD01F6" w:rsidRDefault="00E708EF" w:rsidP="00524055">
            <w:pPr>
              <w:pStyle w:val="naisc"/>
              <w:spacing w:before="0" w:after="0"/>
              <w:jc w:val="both"/>
            </w:pPr>
            <w:r>
              <w:t>1.2. uzdevums bija</w:t>
            </w:r>
            <w:r w:rsidRPr="00BD01F6">
              <w:t xml:space="preserve"> Satiksmes ministrijas ierosinājums. </w:t>
            </w:r>
            <w:r>
              <w:t>Pēc iesaistīto institūciju</w:t>
            </w:r>
            <w:r w:rsidR="00524055">
              <w:t>,</w:t>
            </w:r>
            <w:r>
              <w:t xml:space="preserve"> SM un VARAM</w:t>
            </w:r>
            <w:r w:rsidR="00524055">
              <w:t>,</w:t>
            </w:r>
            <w:r>
              <w:t xml:space="preserve"> tikšanās</w:t>
            </w:r>
            <w:r w:rsidR="00524055">
              <w:t xml:space="preserve"> </w:t>
            </w:r>
            <w:r>
              <w:t>panākta vienošanās uzdevumu svītrot.</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708EF" w:rsidP="00E708EF">
            <w:pPr>
              <w:suppressAutoHyphens w:val="0"/>
              <w:jc w:val="both"/>
            </w:pPr>
            <w:r>
              <w:t>Uzdevums svītrots</w:t>
            </w:r>
          </w:p>
        </w:tc>
      </w:tr>
      <w:tr w:rsidR="00E708EF" w:rsidRPr="00BD01F6" w:rsidTr="00841965">
        <w:tc>
          <w:tcPr>
            <w:tcW w:w="708" w:type="dxa"/>
            <w:tcBorders>
              <w:left w:val="single" w:sz="6" w:space="0" w:color="000000"/>
              <w:bottom w:val="single" w:sz="4" w:space="0" w:color="000000"/>
            </w:tcBorders>
            <w:shd w:val="clear" w:color="auto" w:fill="auto"/>
          </w:tcPr>
          <w:p w:rsidR="00E708EF" w:rsidRDefault="00DC6716" w:rsidP="00E708EF">
            <w:pPr>
              <w:pStyle w:val="naisc"/>
              <w:spacing w:before="0" w:after="0"/>
            </w:pPr>
            <w:r>
              <w:t>6.</w:t>
            </w:r>
          </w:p>
        </w:tc>
        <w:tc>
          <w:tcPr>
            <w:tcW w:w="3086" w:type="dxa"/>
            <w:tcBorders>
              <w:top w:val="single" w:sz="6" w:space="0" w:color="000000"/>
              <w:left w:val="single" w:sz="6" w:space="0" w:color="000000"/>
              <w:bottom w:val="single" w:sz="6" w:space="0" w:color="000000"/>
            </w:tcBorders>
            <w:shd w:val="clear" w:color="auto" w:fill="auto"/>
          </w:tcPr>
          <w:p w:rsidR="00E708EF" w:rsidRPr="00BD01F6" w:rsidRDefault="00E708EF" w:rsidP="00E708EF">
            <w:pPr>
              <w:pStyle w:val="NoSpacing"/>
              <w:jc w:val="both"/>
              <w:rPr>
                <w:rFonts w:ascii="Times New Roman" w:eastAsia="Times New Roman" w:hAnsi="Times New Roman" w:cs="Times New Roman"/>
                <w:b/>
                <w:sz w:val="24"/>
                <w:szCs w:val="24"/>
              </w:rPr>
            </w:pPr>
            <w:r w:rsidRPr="00BD01F6">
              <w:rPr>
                <w:rFonts w:ascii="Times New Roman" w:hAnsi="Times New Roman" w:cs="Times New Roman"/>
                <w:sz w:val="24"/>
                <w:szCs w:val="24"/>
              </w:rPr>
              <w:t>1.3. Izstrādāt valsts informācijas sistēmu izstrādes vadlīnijas</w:t>
            </w:r>
          </w:p>
        </w:tc>
        <w:tc>
          <w:tcPr>
            <w:tcW w:w="4394" w:type="dxa"/>
            <w:tcBorders>
              <w:top w:val="single" w:sz="6" w:space="0" w:color="000000"/>
              <w:left w:val="single" w:sz="6" w:space="0" w:color="000000"/>
              <w:bottom w:val="single" w:sz="6" w:space="0" w:color="000000"/>
            </w:tcBorders>
            <w:shd w:val="clear" w:color="auto" w:fill="auto"/>
          </w:tcPr>
          <w:p w:rsidR="00E708EF" w:rsidRPr="00BD01F6" w:rsidRDefault="00E708EF" w:rsidP="00E708EF">
            <w:pPr>
              <w:autoSpaceDE w:val="0"/>
              <w:jc w:val="center"/>
              <w:rPr>
                <w:b/>
                <w:color w:val="000000"/>
              </w:rPr>
            </w:pPr>
            <w:r w:rsidRPr="00BD01F6">
              <w:rPr>
                <w:b/>
                <w:color w:val="000000"/>
              </w:rPr>
              <w:t>Vides aizsardzības un reģionālās attīstības ministrija</w:t>
            </w:r>
          </w:p>
          <w:p w:rsidR="00E708EF" w:rsidRPr="00BD01F6" w:rsidRDefault="00E708EF" w:rsidP="00E708EF">
            <w:pPr>
              <w:pStyle w:val="naisc"/>
              <w:spacing w:before="0" w:after="0"/>
              <w:jc w:val="both"/>
              <w:rPr>
                <w:b/>
              </w:rPr>
            </w:pPr>
            <w:r w:rsidRPr="00BD01F6">
              <w:t>VARAM lūdz precizēt kiberdrošības stratēģijas 1.3.apakšpunktā definēto uzdevumu “Izstrādāt valsts informācijas sistēmu izstrādes vadlīnijas”, jo no teksta nav iespējams gūt priekšstatu par dokumenta mērķi un saturu. Informējam, ka VARAM ir izstrādājusi IKT arhitektūras vadlīnijas, kurās ir 12 dokumenti, kuros arī tiek risināti jautājumi par informācijas sistēmu izstrādi (http://www.varam.gov.lv/lat/darbibas_veidi/e_parv/valsts_ikt_arhitektura/?doc=25467). Pašlaik VARAM neplāno veikt grozījumus šajos dokumentos. Tāpat nav skaidrs, kā informācijas sistēmu izstrādes vadlīnijas, kas ir vispārīgs IKT pārvaldības jautājums, attiecas uz specifisku jautājumu kā kiberdrošība un, vai izstrādājamās vadlīnijas ir paredzētas visām informācijas sistēmām vai tikai specifiskām. Līdz ar to VARAM iebilst pret šāda uzdevuma iekļaušanu pašreizējā redakcijā vai lūdz pārformulēt uzdevumu un arī atbildīgos par to.</w:t>
            </w:r>
          </w:p>
        </w:tc>
        <w:tc>
          <w:tcPr>
            <w:tcW w:w="4111" w:type="dxa"/>
            <w:tcBorders>
              <w:top w:val="single" w:sz="6" w:space="0" w:color="000000"/>
              <w:left w:val="single" w:sz="6" w:space="0" w:color="000000"/>
              <w:bottom w:val="single" w:sz="6" w:space="0" w:color="000000"/>
            </w:tcBorders>
            <w:shd w:val="clear" w:color="auto" w:fill="auto"/>
          </w:tcPr>
          <w:p w:rsidR="00E708EF" w:rsidRPr="00BD01F6" w:rsidRDefault="00E708EF" w:rsidP="00E708EF">
            <w:pPr>
              <w:pStyle w:val="naisc"/>
              <w:spacing w:before="0" w:after="0"/>
              <w:rPr>
                <w:b/>
              </w:rPr>
            </w:pPr>
            <w:r>
              <w:rPr>
                <w:b/>
              </w:rPr>
              <w:t xml:space="preserve">Iebildums </w:t>
            </w:r>
            <w:r w:rsidRPr="00BD01F6">
              <w:rPr>
                <w:b/>
              </w:rPr>
              <w:t>ņemts vērā</w:t>
            </w:r>
          </w:p>
          <w:p w:rsidR="00E708EF" w:rsidRPr="00BD01F6" w:rsidRDefault="00E708EF" w:rsidP="00A27C9A">
            <w:pPr>
              <w:pStyle w:val="naisc"/>
              <w:spacing w:before="0" w:after="0"/>
              <w:jc w:val="both"/>
            </w:pPr>
            <w:r>
              <w:t>1.3. uzdevums bija</w:t>
            </w:r>
            <w:r w:rsidRPr="00BD01F6">
              <w:t xml:space="preserve"> Satiksmes ministrijas ierosinājums. </w:t>
            </w:r>
            <w:r>
              <w:t>Pēc iesaistīto institūciju</w:t>
            </w:r>
            <w:r w:rsidR="00A27C9A">
              <w:t>,</w:t>
            </w:r>
            <w:r>
              <w:t xml:space="preserve"> SM un VARAM</w:t>
            </w:r>
            <w:r w:rsidR="00A27C9A">
              <w:t>, tikšanās</w:t>
            </w:r>
            <w:r>
              <w:t xml:space="preserve"> panākta vienošanās uzdevumu svītrot.</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708EF" w:rsidP="00E708EF">
            <w:pPr>
              <w:suppressAutoHyphens w:val="0"/>
              <w:jc w:val="both"/>
            </w:pPr>
            <w:r>
              <w:t>Uzdevums svītrots</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DC6716" w:rsidP="00E708EF">
            <w:pPr>
              <w:pStyle w:val="naisc"/>
              <w:spacing w:before="0" w:after="0"/>
            </w:pPr>
            <w:r>
              <w:t>7</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E708EF" w:rsidP="00E708EF">
            <w:pPr>
              <w:pStyle w:val="NoSpacing"/>
              <w:jc w:val="both"/>
              <w:rPr>
                <w:rFonts w:ascii="Times New Roman" w:eastAsia="Times New Roman" w:hAnsi="Times New Roman" w:cs="Times New Roman"/>
                <w:b/>
                <w:sz w:val="24"/>
                <w:szCs w:val="24"/>
              </w:rPr>
            </w:pPr>
            <w:r w:rsidRPr="00BD01F6">
              <w:rPr>
                <w:rFonts w:ascii="Times New Roman" w:hAnsi="Times New Roman" w:cs="Times New Roman"/>
                <w:sz w:val="24"/>
                <w:szCs w:val="24"/>
              </w:rPr>
              <w:t>1.7. Latvijas centralizētās IKT drošības un profilakses platformas izveide</w:t>
            </w:r>
          </w:p>
        </w:tc>
        <w:tc>
          <w:tcPr>
            <w:tcW w:w="4394" w:type="dxa"/>
            <w:tcBorders>
              <w:left w:val="single" w:sz="6" w:space="0" w:color="000000"/>
              <w:bottom w:val="single" w:sz="4" w:space="0" w:color="000000"/>
            </w:tcBorders>
            <w:shd w:val="clear" w:color="auto" w:fill="auto"/>
          </w:tcPr>
          <w:p w:rsidR="00E708EF" w:rsidRPr="00BD01F6" w:rsidRDefault="00E708EF" w:rsidP="00E708EF">
            <w:pPr>
              <w:autoSpaceDE w:val="0"/>
              <w:jc w:val="center"/>
              <w:rPr>
                <w:b/>
                <w:color w:val="000000"/>
              </w:rPr>
            </w:pPr>
            <w:r w:rsidRPr="00BD01F6">
              <w:rPr>
                <w:b/>
                <w:color w:val="000000"/>
              </w:rPr>
              <w:t>Vides aizsardzības un reģionālās attīstības ministrija</w:t>
            </w:r>
          </w:p>
          <w:p w:rsidR="00E708EF" w:rsidRPr="00BD01F6" w:rsidRDefault="00E708EF" w:rsidP="00E708EF">
            <w:pPr>
              <w:pStyle w:val="naisc"/>
              <w:spacing w:before="0" w:after="0"/>
              <w:jc w:val="both"/>
            </w:pPr>
            <w:r w:rsidRPr="00BD01F6">
              <w:t xml:space="preserve">VARAM lūdz precizēt kiberdrošības stratēģijas 1.7.apakšpunktā definēto uzdevumu “Latvijas centralizētās IKT drošības un profilakses platformas izveide”. VARAM informē, ka nevar piekrist uzdevumu izpildes termiņiem, jo 2014.-2020. gada Eiropas Savienības (turpmāk – ES) fondu investīciju periodā nav ieplānotas šādas aktivitātes. Tāpēc, ja risinājumu ir paredzēts finansēt no ES struktūrfondiem, tad to var plānot tikai nākamajā plānošanas periodā. Līdz ar to VARAM iebilst pret šāda uzdevuma iekļaušanu pašreizējā redakcijā vai, ja tas tiek iekļauts, tad uzdevumu ietiecams formulēt šādi: “Sagatavot Latvijas centralizētās IKT drošības un profilakses platformas izstrādes projekta ideju iekļaušanai nākošajā plānošanas periodā prioritāri īstenojamo IKT attīstības aktivitāšu sarakstā”, par kuru atbildīgās iestādes būtu </w:t>
            </w:r>
            <w:proofErr w:type="spellStart"/>
            <w:r w:rsidRPr="00BD01F6">
              <w:t>AiM</w:t>
            </w:r>
            <w:proofErr w:type="spellEnd"/>
            <w:r w:rsidRPr="00BD01F6">
              <w:t xml:space="preserve"> un VARAM.</w:t>
            </w:r>
          </w:p>
        </w:tc>
        <w:tc>
          <w:tcPr>
            <w:tcW w:w="4111"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ind w:firstLine="720"/>
              <w:jc w:val="left"/>
              <w:rPr>
                <w:b/>
              </w:rPr>
            </w:pPr>
            <w:r w:rsidRPr="00BD01F6">
              <w:rPr>
                <w:b/>
              </w:rPr>
              <w:t>Iebildums ņemts vērā</w:t>
            </w:r>
          </w:p>
          <w:p w:rsidR="00E708EF" w:rsidRPr="00BD01F6" w:rsidRDefault="00E708EF" w:rsidP="00E708EF">
            <w:pPr>
              <w:pStyle w:val="naisc"/>
              <w:spacing w:before="0" w:after="0"/>
              <w:jc w:val="both"/>
            </w:pPr>
            <w:r w:rsidRPr="00BD01F6">
              <w:t xml:space="preserve">Uzdevums svītrots, jo </w:t>
            </w:r>
            <w:r>
              <w:t xml:space="preserve">no VARAM </w:t>
            </w:r>
            <w:r w:rsidRPr="00BD01F6">
              <w:t>saņemta informācija par tā izpildi.</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708EF" w:rsidP="00E708EF">
            <w:pPr>
              <w:jc w:val="both"/>
              <w:rPr>
                <w:bCs/>
              </w:rPr>
            </w:pPr>
            <w:r w:rsidRPr="00BD01F6">
              <w:rPr>
                <w:bCs/>
              </w:rPr>
              <w:t>Uzdevums svītrots</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DC6716" w:rsidP="00E708EF">
            <w:pPr>
              <w:pStyle w:val="naisc"/>
              <w:spacing w:before="0" w:after="0"/>
            </w:pPr>
            <w:r>
              <w:t>8</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0C28AA" w:rsidP="00E708EF">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Stratēģijas</w:t>
            </w:r>
            <w:r w:rsidR="00E708EF" w:rsidRPr="00BD01F6">
              <w:rPr>
                <w:rFonts w:ascii="Times New Roman" w:eastAsia="Times New Roman" w:hAnsi="Times New Roman" w:cs="Times New Roman"/>
                <w:sz w:val="24"/>
                <w:szCs w:val="24"/>
              </w:rPr>
              <w:t xml:space="preserve"> projekts</w:t>
            </w:r>
          </w:p>
        </w:tc>
        <w:tc>
          <w:tcPr>
            <w:tcW w:w="4394" w:type="dxa"/>
            <w:tcBorders>
              <w:left w:val="single" w:sz="6" w:space="0" w:color="000000"/>
              <w:bottom w:val="single" w:sz="4" w:space="0" w:color="000000"/>
            </w:tcBorders>
            <w:shd w:val="clear" w:color="auto" w:fill="auto"/>
          </w:tcPr>
          <w:p w:rsidR="00E708EF" w:rsidRPr="00BD01F6" w:rsidRDefault="00E708EF" w:rsidP="00E708EF">
            <w:pPr>
              <w:autoSpaceDE w:val="0"/>
              <w:jc w:val="center"/>
              <w:rPr>
                <w:b/>
                <w:color w:val="000000"/>
              </w:rPr>
            </w:pPr>
            <w:r w:rsidRPr="00BD01F6">
              <w:rPr>
                <w:b/>
                <w:color w:val="000000"/>
              </w:rPr>
              <w:t>Vides aizsardzības un reģionālās attīstības ministrija</w:t>
            </w:r>
          </w:p>
          <w:p w:rsidR="00E708EF" w:rsidRPr="00BD01F6" w:rsidRDefault="00E708EF" w:rsidP="00E708EF">
            <w:pPr>
              <w:pStyle w:val="naisc"/>
              <w:jc w:val="both"/>
            </w:pPr>
            <w:r w:rsidRPr="00BD01F6">
              <w:t xml:space="preserve">VARAM vērš uzmanību, ka, izstrādājot kiberdrošības stratēģiju, nav ņemti vērā Ekonomiskās Sadarbības un Attīstības organizācijas (turpmāk - ESAO) rekomendācijās par kiberdrošības aspektiem ietvertie pasākumi, kurus ESAO aicina ietvert dalībvalstu nacionālajās kiberdrošības stratēģijās.  Līdz ar to aicinām </w:t>
            </w:r>
            <w:proofErr w:type="spellStart"/>
            <w:r w:rsidRPr="00BD01F6">
              <w:t>AiM</w:t>
            </w:r>
            <w:proofErr w:type="spellEnd"/>
            <w:r w:rsidRPr="00BD01F6">
              <w:t xml:space="preserve"> papildināt kiberdrošības stratēģiju ar pasākumiem, kurus Latvija ir apņēmusies veikt, pievienojoties ESAO un apņemoties ieviest šādas rekomendācijas, kurās ietverti jautājumi kiberdrošības jomā: 1) </w:t>
            </w:r>
            <w:proofErr w:type="spellStart"/>
            <w:r w:rsidRPr="00BD01F6">
              <w:t>Recommendation</w:t>
            </w:r>
            <w:proofErr w:type="spellEnd"/>
            <w:r w:rsidRPr="00BD01F6">
              <w:t xml:space="preserve"> </w:t>
            </w:r>
            <w:proofErr w:type="spellStart"/>
            <w:r w:rsidRPr="00BD01F6">
              <w:t>of</w:t>
            </w:r>
            <w:proofErr w:type="spellEnd"/>
            <w:r w:rsidRPr="00BD01F6">
              <w:t xml:space="preserve"> </w:t>
            </w:r>
            <w:proofErr w:type="spellStart"/>
            <w:r w:rsidRPr="00BD01F6">
              <w:t>the</w:t>
            </w:r>
            <w:proofErr w:type="spellEnd"/>
            <w:r w:rsidRPr="00BD01F6">
              <w:t xml:space="preserve"> </w:t>
            </w:r>
            <w:proofErr w:type="spellStart"/>
            <w:r w:rsidRPr="00BD01F6">
              <w:t>Council</w:t>
            </w:r>
            <w:proofErr w:type="spellEnd"/>
            <w:r w:rsidRPr="00BD01F6">
              <w:t xml:space="preserve"> </w:t>
            </w:r>
            <w:proofErr w:type="spellStart"/>
            <w:r w:rsidRPr="00BD01F6">
              <w:t>on</w:t>
            </w:r>
            <w:proofErr w:type="spellEnd"/>
            <w:r w:rsidRPr="00BD01F6">
              <w:t xml:space="preserve"> </w:t>
            </w:r>
            <w:proofErr w:type="spellStart"/>
            <w:r w:rsidRPr="00BD01F6">
              <w:t>Digital</w:t>
            </w:r>
            <w:proofErr w:type="spellEnd"/>
            <w:r w:rsidRPr="00BD01F6">
              <w:t xml:space="preserve"> </w:t>
            </w:r>
            <w:proofErr w:type="spellStart"/>
            <w:r w:rsidRPr="00BD01F6">
              <w:t>Security</w:t>
            </w:r>
            <w:proofErr w:type="spellEnd"/>
            <w:r w:rsidRPr="00BD01F6">
              <w:t xml:space="preserve"> </w:t>
            </w:r>
            <w:proofErr w:type="spellStart"/>
            <w:r w:rsidRPr="00BD01F6">
              <w:t>Risk</w:t>
            </w:r>
            <w:proofErr w:type="spellEnd"/>
            <w:r w:rsidRPr="00BD01F6">
              <w:t xml:space="preserve"> </w:t>
            </w:r>
            <w:proofErr w:type="spellStart"/>
            <w:r w:rsidRPr="00BD01F6">
              <w:t>Management</w:t>
            </w:r>
            <w:proofErr w:type="spellEnd"/>
            <w:r w:rsidRPr="00BD01F6">
              <w:t xml:space="preserve"> </w:t>
            </w:r>
            <w:proofErr w:type="spellStart"/>
            <w:r w:rsidRPr="00BD01F6">
              <w:t>for</w:t>
            </w:r>
            <w:proofErr w:type="spellEnd"/>
            <w:r w:rsidRPr="00BD01F6">
              <w:t xml:space="preserve"> </w:t>
            </w:r>
            <w:proofErr w:type="spellStart"/>
            <w:r w:rsidRPr="00BD01F6">
              <w:t>Economic</w:t>
            </w:r>
            <w:proofErr w:type="spellEnd"/>
            <w:r w:rsidRPr="00BD01F6">
              <w:t xml:space="preserve"> </w:t>
            </w:r>
            <w:proofErr w:type="spellStart"/>
            <w:r w:rsidRPr="00BD01F6">
              <w:t>and</w:t>
            </w:r>
            <w:proofErr w:type="spellEnd"/>
            <w:r w:rsidRPr="00BD01F6">
              <w:t xml:space="preserve"> </w:t>
            </w:r>
            <w:proofErr w:type="spellStart"/>
            <w:r w:rsidRPr="00BD01F6">
              <w:t>Social</w:t>
            </w:r>
            <w:proofErr w:type="spellEnd"/>
            <w:r w:rsidRPr="00BD01F6">
              <w:t xml:space="preserve"> </w:t>
            </w:r>
            <w:proofErr w:type="spellStart"/>
            <w:r w:rsidRPr="00BD01F6">
              <w:t>Prosperity</w:t>
            </w:r>
            <w:proofErr w:type="spellEnd"/>
            <w:r w:rsidRPr="00BD01F6">
              <w:t xml:space="preserve"> - C(2015) 115;</w:t>
            </w:r>
          </w:p>
          <w:p w:rsidR="00E708EF" w:rsidRPr="00BD01F6" w:rsidRDefault="00E708EF" w:rsidP="00E708EF">
            <w:pPr>
              <w:pStyle w:val="naisc"/>
              <w:jc w:val="both"/>
            </w:pPr>
            <w:r w:rsidRPr="00BD01F6">
              <w:t xml:space="preserve">2) </w:t>
            </w:r>
            <w:proofErr w:type="spellStart"/>
            <w:r w:rsidRPr="00BD01F6">
              <w:t>Recommendation</w:t>
            </w:r>
            <w:proofErr w:type="spellEnd"/>
            <w:r w:rsidRPr="00BD01F6">
              <w:t xml:space="preserve"> </w:t>
            </w:r>
            <w:proofErr w:type="spellStart"/>
            <w:r w:rsidRPr="00BD01F6">
              <w:t>of</w:t>
            </w:r>
            <w:proofErr w:type="spellEnd"/>
            <w:r w:rsidRPr="00BD01F6">
              <w:t xml:space="preserve"> </w:t>
            </w:r>
            <w:proofErr w:type="spellStart"/>
            <w:r w:rsidRPr="00BD01F6">
              <w:t>the</w:t>
            </w:r>
            <w:proofErr w:type="spellEnd"/>
            <w:r w:rsidRPr="00BD01F6">
              <w:t xml:space="preserve"> </w:t>
            </w:r>
            <w:proofErr w:type="spellStart"/>
            <w:r w:rsidRPr="00BD01F6">
              <w:t>Council</w:t>
            </w:r>
            <w:proofErr w:type="spellEnd"/>
            <w:r w:rsidRPr="00BD01F6">
              <w:t xml:space="preserve"> </w:t>
            </w:r>
            <w:proofErr w:type="spellStart"/>
            <w:r w:rsidRPr="00BD01F6">
              <w:t>on</w:t>
            </w:r>
            <w:proofErr w:type="spellEnd"/>
            <w:r w:rsidRPr="00BD01F6">
              <w:t xml:space="preserve"> </w:t>
            </w:r>
            <w:proofErr w:type="spellStart"/>
            <w:r w:rsidRPr="00BD01F6">
              <w:t>Cross-border</w:t>
            </w:r>
            <w:proofErr w:type="spellEnd"/>
            <w:r w:rsidRPr="00BD01F6">
              <w:t xml:space="preserve"> Co-</w:t>
            </w:r>
            <w:proofErr w:type="spellStart"/>
            <w:r w:rsidRPr="00BD01F6">
              <w:t>operation</w:t>
            </w:r>
            <w:proofErr w:type="spellEnd"/>
            <w:r w:rsidRPr="00BD01F6">
              <w:t xml:space="preserve"> </w:t>
            </w:r>
            <w:proofErr w:type="spellStart"/>
            <w:r w:rsidRPr="00BD01F6">
              <w:t>in</w:t>
            </w:r>
            <w:proofErr w:type="spellEnd"/>
            <w:r w:rsidRPr="00BD01F6">
              <w:t xml:space="preserve"> </w:t>
            </w:r>
            <w:proofErr w:type="spellStart"/>
            <w:r w:rsidRPr="00BD01F6">
              <w:t>the</w:t>
            </w:r>
            <w:proofErr w:type="spellEnd"/>
            <w:r w:rsidRPr="00BD01F6">
              <w:t xml:space="preserve"> </w:t>
            </w:r>
            <w:proofErr w:type="spellStart"/>
            <w:r w:rsidRPr="00BD01F6">
              <w:t>Enforcement</w:t>
            </w:r>
            <w:proofErr w:type="spellEnd"/>
            <w:r w:rsidRPr="00BD01F6">
              <w:t xml:space="preserve"> </w:t>
            </w:r>
            <w:proofErr w:type="spellStart"/>
            <w:r w:rsidRPr="00BD01F6">
              <w:t>of</w:t>
            </w:r>
            <w:proofErr w:type="spellEnd"/>
            <w:r w:rsidRPr="00BD01F6">
              <w:t xml:space="preserve"> </w:t>
            </w:r>
            <w:proofErr w:type="spellStart"/>
            <w:r w:rsidRPr="00BD01F6">
              <w:t>Laws</w:t>
            </w:r>
            <w:proofErr w:type="spellEnd"/>
            <w:r w:rsidRPr="00BD01F6">
              <w:t xml:space="preserve"> </w:t>
            </w:r>
            <w:proofErr w:type="spellStart"/>
            <w:r w:rsidRPr="00BD01F6">
              <w:t>Protecting</w:t>
            </w:r>
            <w:proofErr w:type="spellEnd"/>
            <w:r w:rsidRPr="00BD01F6">
              <w:t xml:space="preserve"> </w:t>
            </w:r>
            <w:proofErr w:type="spellStart"/>
            <w:r w:rsidRPr="00BD01F6">
              <w:t>Privacy</w:t>
            </w:r>
            <w:proofErr w:type="spellEnd"/>
            <w:r w:rsidRPr="00BD01F6">
              <w:t xml:space="preserve"> (pieņemta 2007. gada 12.jūnijā);</w:t>
            </w:r>
          </w:p>
          <w:p w:rsidR="00E708EF" w:rsidRPr="00BD01F6" w:rsidRDefault="00E708EF" w:rsidP="00E708EF">
            <w:pPr>
              <w:pStyle w:val="naisc"/>
              <w:jc w:val="both"/>
            </w:pPr>
            <w:r w:rsidRPr="00BD01F6">
              <w:t xml:space="preserve">3) </w:t>
            </w:r>
            <w:proofErr w:type="spellStart"/>
            <w:r w:rsidRPr="00BD01F6">
              <w:t>Recommendation</w:t>
            </w:r>
            <w:proofErr w:type="spellEnd"/>
            <w:r w:rsidRPr="00BD01F6">
              <w:t xml:space="preserve"> </w:t>
            </w:r>
            <w:proofErr w:type="spellStart"/>
            <w:r w:rsidRPr="00BD01F6">
              <w:t>of</w:t>
            </w:r>
            <w:proofErr w:type="spellEnd"/>
            <w:r w:rsidRPr="00BD01F6">
              <w:t xml:space="preserve"> </w:t>
            </w:r>
            <w:proofErr w:type="spellStart"/>
            <w:r w:rsidRPr="00BD01F6">
              <w:t>the</w:t>
            </w:r>
            <w:proofErr w:type="spellEnd"/>
            <w:r w:rsidRPr="00BD01F6">
              <w:t xml:space="preserve"> </w:t>
            </w:r>
            <w:proofErr w:type="spellStart"/>
            <w:r w:rsidRPr="00BD01F6">
              <w:t>Council</w:t>
            </w:r>
            <w:proofErr w:type="spellEnd"/>
            <w:r w:rsidRPr="00BD01F6">
              <w:t xml:space="preserve"> </w:t>
            </w:r>
            <w:proofErr w:type="spellStart"/>
            <w:r w:rsidRPr="00BD01F6">
              <w:t>on</w:t>
            </w:r>
            <w:proofErr w:type="spellEnd"/>
            <w:r w:rsidRPr="00BD01F6">
              <w:t xml:space="preserve"> </w:t>
            </w:r>
            <w:proofErr w:type="spellStart"/>
            <w:r w:rsidRPr="00BD01F6">
              <w:t>principles</w:t>
            </w:r>
            <w:proofErr w:type="spellEnd"/>
            <w:r w:rsidRPr="00BD01F6">
              <w:t xml:space="preserve"> </w:t>
            </w:r>
            <w:proofErr w:type="spellStart"/>
            <w:r w:rsidRPr="00BD01F6">
              <w:t>for</w:t>
            </w:r>
            <w:proofErr w:type="spellEnd"/>
            <w:r w:rsidRPr="00BD01F6">
              <w:t xml:space="preserve"> internet </w:t>
            </w:r>
            <w:proofErr w:type="spellStart"/>
            <w:r w:rsidRPr="00BD01F6">
              <w:t>policy</w:t>
            </w:r>
            <w:proofErr w:type="spellEnd"/>
            <w:r w:rsidRPr="00BD01F6">
              <w:t xml:space="preserve"> </w:t>
            </w:r>
            <w:proofErr w:type="spellStart"/>
            <w:r w:rsidRPr="00BD01F6">
              <w:t>making</w:t>
            </w:r>
            <w:proofErr w:type="spellEnd"/>
            <w:r w:rsidRPr="00BD01F6">
              <w:t xml:space="preserve"> - C(2011) 154;</w:t>
            </w:r>
          </w:p>
          <w:p w:rsidR="00E708EF" w:rsidRPr="00BD01F6" w:rsidRDefault="00E708EF" w:rsidP="00E708EF">
            <w:pPr>
              <w:pStyle w:val="naisc"/>
              <w:jc w:val="both"/>
            </w:pPr>
            <w:r w:rsidRPr="00BD01F6">
              <w:t xml:space="preserve">4) </w:t>
            </w:r>
            <w:proofErr w:type="spellStart"/>
            <w:r w:rsidRPr="00BD01F6">
              <w:t>Recommendation</w:t>
            </w:r>
            <w:proofErr w:type="spellEnd"/>
            <w:r w:rsidRPr="00BD01F6">
              <w:t xml:space="preserve"> </w:t>
            </w:r>
            <w:proofErr w:type="spellStart"/>
            <w:r w:rsidRPr="00BD01F6">
              <w:t>of</w:t>
            </w:r>
            <w:proofErr w:type="spellEnd"/>
            <w:r w:rsidRPr="00BD01F6">
              <w:t xml:space="preserve"> </w:t>
            </w:r>
            <w:proofErr w:type="spellStart"/>
            <w:r w:rsidRPr="00BD01F6">
              <w:t>the</w:t>
            </w:r>
            <w:proofErr w:type="spellEnd"/>
            <w:r w:rsidRPr="00BD01F6">
              <w:t xml:space="preserve"> </w:t>
            </w:r>
            <w:proofErr w:type="spellStart"/>
            <w:r w:rsidRPr="00BD01F6">
              <w:t>Council</w:t>
            </w:r>
            <w:proofErr w:type="spellEnd"/>
            <w:r w:rsidRPr="00BD01F6">
              <w:t xml:space="preserve"> </w:t>
            </w:r>
            <w:proofErr w:type="spellStart"/>
            <w:r w:rsidRPr="00BD01F6">
              <w:t>on</w:t>
            </w:r>
            <w:proofErr w:type="spellEnd"/>
            <w:r w:rsidRPr="00BD01F6">
              <w:t xml:space="preserve"> </w:t>
            </w:r>
            <w:proofErr w:type="spellStart"/>
            <w:r w:rsidRPr="00BD01F6">
              <w:t>Digital</w:t>
            </w:r>
            <w:proofErr w:type="spellEnd"/>
            <w:r w:rsidRPr="00BD01F6">
              <w:t xml:space="preserve"> </w:t>
            </w:r>
            <w:proofErr w:type="spellStart"/>
            <w:r w:rsidRPr="00BD01F6">
              <w:t>Government</w:t>
            </w:r>
            <w:proofErr w:type="spellEnd"/>
            <w:r w:rsidRPr="00BD01F6">
              <w:t xml:space="preserve"> </w:t>
            </w:r>
            <w:proofErr w:type="spellStart"/>
            <w:r w:rsidRPr="00BD01F6">
              <w:t>Strategies</w:t>
            </w:r>
            <w:proofErr w:type="spellEnd"/>
            <w:r w:rsidRPr="00BD01F6">
              <w:t xml:space="preserve"> - C(2014) 88.</w:t>
            </w:r>
          </w:p>
          <w:p w:rsidR="00E708EF" w:rsidRPr="00BD01F6" w:rsidRDefault="00E708EF" w:rsidP="00E708EF">
            <w:pPr>
              <w:pStyle w:val="naisc"/>
              <w:spacing w:before="0" w:after="0"/>
              <w:jc w:val="both"/>
            </w:pPr>
            <w:r w:rsidRPr="00BD01F6">
              <w:t>Papildus minētajam vēršam uzmanību, ka dalībvalstīm ir regulāri jāziņo ESAO par rekomendāciju ieviešanu, līdz ar to minētajās rekomendācijās ietverto pasākumu ietveršana nākamajā kiberdrošības stratēģijā nodrošinātu iespēju Latvijai konstruktīvi un aptveroši sniegt informāciju ESAO par rekomendāciju ieviešanu, kas skar kiberdrošības jautājumus.</w:t>
            </w:r>
          </w:p>
        </w:tc>
        <w:tc>
          <w:tcPr>
            <w:tcW w:w="4111" w:type="dxa"/>
            <w:tcBorders>
              <w:left w:val="single" w:sz="6" w:space="0" w:color="000000"/>
              <w:bottom w:val="single" w:sz="4" w:space="0" w:color="000000"/>
            </w:tcBorders>
            <w:shd w:val="clear" w:color="auto" w:fill="auto"/>
          </w:tcPr>
          <w:p w:rsidR="00E708EF" w:rsidRDefault="00E708EF" w:rsidP="00E708EF">
            <w:pPr>
              <w:pStyle w:val="naisc"/>
              <w:spacing w:before="0" w:after="0"/>
              <w:rPr>
                <w:b/>
              </w:rPr>
            </w:pPr>
            <w:r w:rsidRPr="00C24CA7">
              <w:rPr>
                <w:b/>
              </w:rPr>
              <w:t>Iebildums ņemts vērā</w:t>
            </w:r>
          </w:p>
          <w:p w:rsidR="00E708EF" w:rsidRPr="00C24CA7" w:rsidRDefault="0033706D" w:rsidP="00654421">
            <w:pPr>
              <w:pStyle w:val="naisc"/>
              <w:spacing w:before="0" w:after="0"/>
              <w:jc w:val="both"/>
            </w:pPr>
            <w:r>
              <w:rPr>
                <w:bCs/>
              </w:rPr>
              <w:t xml:space="preserve">Stratēģijā iekļauta jauna </w:t>
            </w:r>
            <w:r w:rsidR="00D30E21" w:rsidRPr="00C24CA7">
              <w:rPr>
                <w:bCs/>
              </w:rPr>
              <w:t xml:space="preserve">2.1. </w:t>
            </w:r>
            <w:r w:rsidR="00654421">
              <w:rPr>
                <w:bCs/>
              </w:rPr>
              <w:t>no</w:t>
            </w:r>
            <w:r w:rsidR="00654421" w:rsidRPr="00C24CA7">
              <w:rPr>
                <w:bCs/>
              </w:rPr>
              <w:t xml:space="preserve">daļa </w:t>
            </w:r>
            <w:r w:rsidR="00D30E21" w:rsidRPr="00C24CA7">
              <w:rPr>
                <w:bCs/>
              </w:rPr>
              <w:t>“Risku pārvaldība”, kā arī precizēts u</w:t>
            </w:r>
            <w:r w:rsidR="00D30E21">
              <w:rPr>
                <w:bCs/>
              </w:rPr>
              <w:t>n papildināts stratēģijas projekts</w:t>
            </w:r>
            <w:r w:rsidR="00D30E21" w:rsidRPr="00C24CA7">
              <w:rPr>
                <w:bCs/>
              </w:rPr>
              <w:t>, iekļaujot ESAO rekomendācijas nacionālajām kiberdrošības stratēģijām</w:t>
            </w:r>
            <w:r w:rsidR="00D30E21">
              <w:rPr>
                <w:bCs/>
              </w:rPr>
              <w:t>.</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C24CA7" w:rsidRDefault="00654421" w:rsidP="00654421">
            <w:pPr>
              <w:jc w:val="both"/>
              <w:rPr>
                <w:bCs/>
              </w:rPr>
            </w:pPr>
            <w:r>
              <w:rPr>
                <w:bCs/>
              </w:rPr>
              <w:t>Informatīvā ziņojuma</w:t>
            </w:r>
            <w:r w:rsidRPr="00654421">
              <w:rPr>
                <w:bCs/>
              </w:rPr>
              <w:t xml:space="preserve"> “Latvijas kiberdrošības stratēģija 2019.-2022.gadam” </w:t>
            </w:r>
            <w:r w:rsidR="00D30E21">
              <w:rPr>
                <w:bCs/>
              </w:rPr>
              <w:t>2.1</w:t>
            </w:r>
            <w:r>
              <w:rPr>
                <w:bCs/>
              </w:rPr>
              <w:t>. nodaļa</w:t>
            </w:r>
            <w:r w:rsidR="00D30E21">
              <w:rPr>
                <w:bCs/>
              </w:rPr>
              <w:t xml:space="preserve"> “Risku pārvaldība”</w:t>
            </w:r>
            <w:r>
              <w:rPr>
                <w:bCs/>
              </w:rPr>
              <w:t>.</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DC6716" w:rsidP="00E708EF">
            <w:pPr>
              <w:pStyle w:val="naisc"/>
              <w:spacing w:before="0" w:after="0"/>
            </w:pPr>
            <w:r>
              <w:t>9</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E708EF" w:rsidP="00E708EF">
            <w:pPr>
              <w:pStyle w:val="NoSpacing"/>
              <w:jc w:val="both"/>
              <w:rPr>
                <w:rFonts w:ascii="Times New Roman" w:eastAsia="Times New Roman" w:hAnsi="Times New Roman" w:cs="Times New Roman"/>
                <w:sz w:val="24"/>
                <w:szCs w:val="24"/>
              </w:rPr>
            </w:pPr>
            <w:r w:rsidRPr="00BD01F6">
              <w:rPr>
                <w:rFonts w:ascii="Times New Roman" w:hAnsi="Times New Roman" w:cs="Times New Roman"/>
                <w:sz w:val="24"/>
                <w:szCs w:val="24"/>
              </w:rPr>
              <w:t>Tieslietu ministrija (TM) un Datu valsts inspekcija (DVI) izstrādā, organizē un koordinē tiesību politiku personas datu aizsardzības, informācijas atklātības un elektronisko dokumentu uzraudzības jomā</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Tieslietu ministrija</w:t>
            </w:r>
          </w:p>
          <w:p w:rsidR="00E708EF" w:rsidRPr="00BD01F6" w:rsidRDefault="00E708EF" w:rsidP="00E708EF">
            <w:pPr>
              <w:pStyle w:val="naisc"/>
              <w:spacing w:before="0" w:after="0"/>
              <w:jc w:val="both"/>
            </w:pPr>
            <w:r w:rsidRPr="00BD01F6">
              <w:t>Projekta 2. sadaļā (8.lpp) “Pārvaldības sistēma, funkcijas un pienākumi” norādīts, ka: “Tieslietu ministrija (TM) un Datu valsts inspekcija (DVI) izstrādā, organizē un koordinē tiesību politiku personas datu aizsardzības, informācijas atklātības un elektronisko dokumentu uzraudzības jomā”. Vēlamies paskaidrot, ka saskaņā ar Fizisko personu datu apstrādes likuma (turpmāk – Datu likums) 3. panta pirmo daļu Datu valsts inspekcija ir Ministru kabineta pārraudzībā esoša tiešās pārvaldes iestāde, kas ir datu uzraudzības iestāde Eiropas Parlamenta un Padomes Regulas (ES) 2016/679 (2016. gada 27. aprīlis) Par fizisku personu datu aizsardzību attiecībā uz personas datu apstrādi un šādu datu brīvu apriti un ar ko atceļ Direktīvu 95/46/EK (Vispārīgā datu aizsardzības regula) (turpmāk – Datu regula) izpratnē un pilda Datu regulā un Datu likumā noteiktos uzdevumus datu apstrādes jomā. Datu likuma 4. panta pirmās daļas 4. punktā noteikts, ka Datu valsts inspekcija atbilstoši savai kompetencei sniedz Saeimai, Ministru kabinetam, pašvaldībām un citām iestādēm ieteikumus attiecībā uz tiesību aktu izdošanu vai grozīšanu, kā arī piedalās normatīvo aktu un attīstības plānošanas dokumentu projektu izstrādē un sniedz viedokli par citu institūciju sagatavotajiem normatīvo aktu un attīstības plānošanas dokumentu projektiem. Ņemot vērā minēto, projekta 2. sadaļā norādītā informācija būtu precizējama atbilstoši Tieslietu ministrijas un Datu valsts inspekcijas kompetencē esošajiem jautājumiem.</w:t>
            </w:r>
          </w:p>
        </w:tc>
        <w:tc>
          <w:tcPr>
            <w:tcW w:w="4111"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ind w:firstLine="720"/>
              <w:jc w:val="left"/>
              <w:rPr>
                <w:b/>
              </w:rPr>
            </w:pPr>
            <w:r w:rsidRPr="00BD01F6">
              <w:rPr>
                <w:b/>
              </w:rPr>
              <w:t>Iebildums ņemts vērā</w:t>
            </w:r>
          </w:p>
          <w:p w:rsidR="00E708EF" w:rsidRPr="00BD01F6" w:rsidRDefault="00E708EF" w:rsidP="00E708EF">
            <w:pPr>
              <w:pStyle w:val="naisc"/>
              <w:spacing w:before="0" w:after="0"/>
              <w:jc w:val="both"/>
            </w:pP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0C7626" w:rsidRDefault="00E708EF" w:rsidP="00E708EF">
            <w:pPr>
              <w:jc w:val="both"/>
            </w:pPr>
            <w:r w:rsidRPr="00A21EDE">
              <w:t xml:space="preserve">Tieslietu ministrija (TM) izstrādā, organizē un koordinē politiku personas datu aizsardzības jomā, savukārt Datu valsts inspekcija (DVI) pilda ES Regulas 2016/679 (2016. gada 27. aprīlis) Par fizisku personu datu aizsardzību attiecībā uz personas datu apstrādi un šādu datu brīvu apriti un ar ko atceļ Direktīvu 95/46/EK un Fizisko personu datu apstrādes likumā noteiktos uzdevumus datu apstrādes jomā. </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DC6716" w:rsidP="00E708EF">
            <w:pPr>
              <w:pStyle w:val="naisc"/>
              <w:spacing w:before="0" w:after="0"/>
            </w:pPr>
            <w:r>
              <w:t>10</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E708EF" w:rsidP="00E708EF">
            <w:pPr>
              <w:pStyle w:val="NoSpacing"/>
              <w:jc w:val="both"/>
              <w:rPr>
                <w:rFonts w:ascii="Times New Roman" w:eastAsia="Times New Roman" w:hAnsi="Times New Roman" w:cs="Times New Roman"/>
                <w:b/>
                <w:sz w:val="24"/>
                <w:szCs w:val="24"/>
              </w:rPr>
            </w:pPr>
            <w:r w:rsidRPr="00BD01F6">
              <w:rPr>
                <w:rFonts w:ascii="Times New Roman" w:hAnsi="Times New Roman" w:cs="Times New Roman"/>
                <w:sz w:val="24"/>
                <w:szCs w:val="24"/>
              </w:rPr>
              <w:t>1.7. Latvijas centralizētās IKT drošības un profilakses platformas izveide</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Tieslietu ministrija</w:t>
            </w:r>
          </w:p>
          <w:p w:rsidR="00E708EF" w:rsidRPr="00BD01F6" w:rsidRDefault="00E708EF" w:rsidP="00E708EF">
            <w:pPr>
              <w:pStyle w:val="naisc"/>
              <w:spacing w:before="0" w:after="0"/>
              <w:jc w:val="both"/>
            </w:pPr>
            <w:r w:rsidRPr="00BD01F6">
              <w:t>Projekta 1. pielikumā esošā rīcības plāna 1.7. uzdevums paredz izveidot Latvijas centralizētās IKT drošības un profilakses platformu, iesaistot šā pasākuma īstenošanā tikai Vides aizsardzības un reģionālās attīstības ministriju, Informācijas tehnoloģiju drošības incidentu novēršanas institūciju un Aizsardzības ministriju. No minētā uzdevuma nav skaidrs, kas notiks ar esošajām IKT sistēmām, kurās jau ir ieviestas ISO standartiem atbilstošas drošības prasības, piemēram, VSIA "Latvijas Vēstnesis" IKT sistēmas (skat. detalizētāk: https://lv.lv/?menu=par_mums&amp;sid=51). Tieslietu ministrija uzskata, ka minētā uzdevuma izpildē būtu jāiesaista arī visi šādu IKT sistēmu turētāji, lai turpmākā rīcība IKT drošības jomā būtu koordinēta.</w:t>
            </w:r>
          </w:p>
        </w:tc>
        <w:tc>
          <w:tcPr>
            <w:tcW w:w="4111" w:type="dxa"/>
            <w:tcBorders>
              <w:top w:val="single" w:sz="4" w:space="0" w:color="000000"/>
              <w:left w:val="single" w:sz="6" w:space="0" w:color="000000"/>
              <w:bottom w:val="single" w:sz="4" w:space="0" w:color="auto"/>
            </w:tcBorders>
            <w:shd w:val="clear" w:color="auto" w:fill="auto"/>
          </w:tcPr>
          <w:p w:rsidR="00E708EF" w:rsidRPr="00BD01F6" w:rsidRDefault="00E708EF" w:rsidP="00E708EF">
            <w:pPr>
              <w:pStyle w:val="naisc"/>
              <w:spacing w:before="0" w:after="0"/>
              <w:rPr>
                <w:b/>
              </w:rPr>
            </w:pPr>
            <w:r w:rsidRPr="004C47EB">
              <w:rPr>
                <w:b/>
              </w:rPr>
              <w:t>Iebildums ņemts vērā</w:t>
            </w:r>
          </w:p>
          <w:p w:rsidR="00C80838" w:rsidRDefault="00E708EF" w:rsidP="00C80838">
            <w:pPr>
              <w:jc w:val="both"/>
            </w:pPr>
            <w:r w:rsidRPr="00BD01F6">
              <w:t xml:space="preserve">Saistīts ar VARAM </w:t>
            </w:r>
            <w:r w:rsidR="00C80838">
              <w:t>iebildumu (izziņas sadaļas</w:t>
            </w:r>
            <w:r w:rsidRPr="00BD01F6">
              <w:t xml:space="preserve"> </w:t>
            </w:r>
            <w:r w:rsidR="00C80838">
              <w:t>“</w:t>
            </w:r>
            <w:r w:rsidR="00C80838" w:rsidRPr="00C80838">
              <w:t>II. Jautājumi, par kuriem saskaņošanā vienošanās ir panākta”</w:t>
            </w:r>
          </w:p>
          <w:p w:rsidR="00E708EF" w:rsidRPr="00BD01F6" w:rsidRDefault="00E708EF" w:rsidP="00E708EF">
            <w:pPr>
              <w:jc w:val="both"/>
            </w:pPr>
            <w:r w:rsidRPr="00BD01F6">
              <w:t>Nr.</w:t>
            </w:r>
            <w:r w:rsidR="00CC5E3A">
              <w:t>p.k. 7</w:t>
            </w:r>
            <w:r w:rsidRPr="00BD01F6">
              <w:t xml:space="preserve">.). Pamatnostādņu “Latvijas kiberdrošības stratēģija 2014.-2018.gadam” (MK 2014.gada 9.jūlija rīkojums Nr.347 “Grozījumi pamatnostādnēs “Latvijas kiberdrošības stratēģija 2014.-2018.gadam””) 1.tabula, punkts 1.12. paredz uzdevumu “Latvijas centralizētās IKT drošības un profilakses platformas izveide” veikt līdz 2020.g. 4.cet. Tikšanās laikā ar VARAM saņemta informācija, ka uzdevums ir izpildīts. Ņemot vērā, ka izpildītus </w:t>
            </w:r>
            <w:r w:rsidR="00CC5E3A">
              <w:t>uzdevumus stratēģijā neiekļauj</w:t>
            </w:r>
            <w:r w:rsidR="00D33807">
              <w:t>am</w:t>
            </w:r>
            <w:r w:rsidRPr="00BD01F6">
              <w:t>, uzdevums svītrots no dokumenta projekta. IKT drošības un profilakses platforma turpina darboties.</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708EF" w:rsidP="00E708EF">
            <w:pPr>
              <w:jc w:val="both"/>
              <w:rPr>
                <w:bCs/>
              </w:rPr>
            </w:pPr>
            <w:r w:rsidRPr="00BD01F6">
              <w:rPr>
                <w:bCs/>
              </w:rPr>
              <w:t>Uzdevums svītrots</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DC6716" w:rsidP="00E708EF">
            <w:pPr>
              <w:pStyle w:val="naisc"/>
              <w:spacing w:before="0" w:after="0"/>
            </w:pPr>
            <w:r>
              <w:t>11</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0C28AA" w:rsidP="000C28AA">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Stratēģijas projekta </w:t>
            </w:r>
            <w:r w:rsidR="00E708EF" w:rsidRPr="00BD01F6">
              <w:rPr>
                <w:rFonts w:ascii="Times New Roman" w:eastAsia="Times New Roman" w:hAnsi="Times New Roman" w:cs="Times New Roman"/>
                <w:sz w:val="24"/>
                <w:szCs w:val="24"/>
              </w:rPr>
              <w:t>pielikums</w:t>
            </w:r>
            <w:r>
              <w:rPr>
                <w:rFonts w:ascii="Times New Roman" w:eastAsia="Times New Roman" w:hAnsi="Times New Roman" w:cs="Times New Roman"/>
                <w:sz w:val="24"/>
                <w:szCs w:val="24"/>
              </w:rPr>
              <w:t xml:space="preserve"> </w:t>
            </w:r>
            <w:r w:rsidRPr="000C28AA">
              <w:rPr>
                <w:rFonts w:ascii="Times New Roman" w:eastAsia="Times New Roman" w:hAnsi="Times New Roman" w:cs="Times New Roman"/>
                <w:sz w:val="24"/>
                <w:szCs w:val="24"/>
              </w:rPr>
              <w:t>(pēc iepriekšējās numerācijas 2.pie</w:t>
            </w:r>
            <w:r>
              <w:rPr>
                <w:rFonts w:ascii="Times New Roman" w:eastAsia="Times New Roman" w:hAnsi="Times New Roman" w:cs="Times New Roman"/>
                <w:sz w:val="24"/>
                <w:szCs w:val="24"/>
              </w:rPr>
              <w:t>likums)</w:t>
            </w:r>
          </w:p>
        </w:tc>
        <w:tc>
          <w:tcPr>
            <w:tcW w:w="4394" w:type="dxa"/>
            <w:tcBorders>
              <w:left w:val="single" w:sz="6" w:space="0" w:color="000000"/>
              <w:bottom w:val="single" w:sz="4" w:space="0" w:color="000000"/>
              <w:right w:val="single" w:sz="4" w:space="0" w:color="auto"/>
            </w:tcBorders>
            <w:shd w:val="clear" w:color="auto" w:fill="auto"/>
          </w:tcPr>
          <w:p w:rsidR="00E708EF" w:rsidRPr="00BD01F6" w:rsidRDefault="00E708EF" w:rsidP="00E708EF">
            <w:pPr>
              <w:pStyle w:val="naisc"/>
              <w:spacing w:before="0" w:after="0"/>
              <w:rPr>
                <w:b/>
              </w:rPr>
            </w:pPr>
            <w:r w:rsidRPr="00BD01F6">
              <w:rPr>
                <w:b/>
              </w:rPr>
              <w:t>Tieslietu ministrija</w:t>
            </w:r>
          </w:p>
          <w:p w:rsidR="00E708EF" w:rsidRPr="00BD01F6" w:rsidRDefault="00E708EF" w:rsidP="00E708EF">
            <w:pPr>
              <w:pStyle w:val="naisc"/>
              <w:spacing w:before="0" w:after="0"/>
              <w:jc w:val="both"/>
            </w:pPr>
            <w:r w:rsidRPr="00BD01F6">
              <w:t>Tieslietu ministrija izsaka iebildumu arī par projekta 2. pielikumā esošo rīcības plānu, par kuru atzinums ir sagatavots atbilstoši iesniegtā dokumenta “dienesta vajadzībām” noformēšanas prasībām.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708EF" w:rsidRPr="00BD01F6" w:rsidRDefault="001A1292" w:rsidP="00524055">
            <w:pPr>
              <w:pStyle w:val="naisc"/>
              <w:spacing w:before="0" w:after="0"/>
              <w:jc w:val="both"/>
            </w:pPr>
            <w:r>
              <w:t xml:space="preserve">Stratēģijas projekta </w:t>
            </w:r>
            <w:r w:rsidR="00524055" w:rsidRPr="00524055">
              <w:t>pielikums (pēc iepriekšējās numerācijas 2.pielikums) satur informāciju dienesta vajadzībām.</w:t>
            </w:r>
          </w:p>
        </w:tc>
        <w:tc>
          <w:tcPr>
            <w:tcW w:w="2703" w:type="dxa"/>
            <w:tcBorders>
              <w:top w:val="single" w:sz="4" w:space="0" w:color="000000"/>
              <w:left w:val="single" w:sz="4" w:space="0" w:color="auto"/>
              <w:bottom w:val="single" w:sz="4" w:space="0" w:color="000000"/>
              <w:right w:val="single" w:sz="4" w:space="0" w:color="000000"/>
            </w:tcBorders>
            <w:shd w:val="clear" w:color="auto" w:fill="auto"/>
          </w:tcPr>
          <w:p w:rsidR="00E708EF" w:rsidRPr="00BD01F6" w:rsidRDefault="00524055" w:rsidP="0033706D">
            <w:pPr>
              <w:jc w:val="both"/>
              <w:rPr>
                <w:bCs/>
              </w:rPr>
            </w:pPr>
            <w:r>
              <w:t>Informācija dienesta vajadzībām</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DC6716" w:rsidP="00E708EF">
            <w:pPr>
              <w:pStyle w:val="naisc"/>
              <w:spacing w:before="0" w:after="0"/>
            </w:pPr>
            <w:r>
              <w:t>12</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0C28AA" w:rsidP="00E708EF">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Protokollēmuma</w:t>
            </w:r>
            <w:r w:rsidR="00E708EF" w:rsidRPr="00BD01F6">
              <w:rPr>
                <w:rFonts w:ascii="Times New Roman" w:eastAsia="Times New Roman" w:hAnsi="Times New Roman" w:cs="Times New Roman"/>
                <w:sz w:val="24"/>
                <w:szCs w:val="24"/>
              </w:rPr>
              <w:t xml:space="preserve"> projekts</w:t>
            </w:r>
          </w:p>
        </w:tc>
        <w:tc>
          <w:tcPr>
            <w:tcW w:w="4394" w:type="dxa"/>
            <w:tcBorders>
              <w:left w:val="single" w:sz="6" w:space="0" w:color="000000"/>
              <w:bottom w:val="single" w:sz="4" w:space="0" w:color="000000"/>
              <w:right w:val="single" w:sz="4" w:space="0" w:color="auto"/>
            </w:tcBorders>
            <w:shd w:val="clear" w:color="auto" w:fill="auto"/>
          </w:tcPr>
          <w:p w:rsidR="00E708EF" w:rsidRPr="00BD01F6" w:rsidRDefault="00E708EF" w:rsidP="00E708EF">
            <w:pPr>
              <w:pStyle w:val="naisc"/>
              <w:spacing w:before="0" w:after="0"/>
              <w:rPr>
                <w:b/>
              </w:rPr>
            </w:pPr>
            <w:r w:rsidRPr="00BD01F6">
              <w:rPr>
                <w:b/>
              </w:rPr>
              <w:t>Finanšu ministrija</w:t>
            </w:r>
          </w:p>
          <w:p w:rsidR="00E708EF" w:rsidRPr="00BD01F6" w:rsidRDefault="00E708EF" w:rsidP="00E708EF">
            <w:pPr>
              <w:pStyle w:val="naisc"/>
              <w:spacing w:before="0" w:after="0"/>
              <w:jc w:val="both"/>
            </w:pPr>
            <w:r w:rsidRPr="00BD01F6">
              <w:t>Lūdzam papildināt rīkojuma projektu ar jaunu punktu, norādot, ka atbildīgās institūcijas pamatnostādnēs un plānā paredzētos pasākumus 2019.gadā īstenos piešķirto valsts budžeta līdzekļu ietvaros, savukārt jautājums par papildu valsts budžeta līdzekļu piešķiršanu 2020.-2022.gadam skatāms gadskārtējā valsts budžeta likumprojekta un vidēja termiņa budžeta ietvara likumprojekta sagatavošanas procesā kopā ar visu ministriju un citu centrālo valsts iestāžu prioritāro pasākumu pieteikumiem.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708EF" w:rsidRPr="00BD01F6" w:rsidRDefault="00E708EF" w:rsidP="00E708EF">
            <w:pPr>
              <w:pStyle w:val="naisc"/>
              <w:spacing w:before="0" w:after="0"/>
              <w:rPr>
                <w:b/>
              </w:rPr>
            </w:pPr>
            <w:r w:rsidRPr="00BD01F6">
              <w:rPr>
                <w:b/>
              </w:rPr>
              <w:t>Iebildums ņemts vērā</w:t>
            </w:r>
          </w:p>
          <w:p w:rsidR="00E708EF" w:rsidRPr="00BD01F6" w:rsidRDefault="001A1292" w:rsidP="00E708EF">
            <w:pPr>
              <w:pStyle w:val="naisc"/>
              <w:spacing w:before="0" w:after="0"/>
              <w:jc w:val="both"/>
            </w:pPr>
            <w:r>
              <w:t>P</w:t>
            </w:r>
            <w:r w:rsidR="00E708EF" w:rsidRPr="00BD01F6">
              <w:t>rojekts papildināts ar jaunu 4.punktu.</w:t>
            </w:r>
          </w:p>
        </w:tc>
        <w:tc>
          <w:tcPr>
            <w:tcW w:w="2703" w:type="dxa"/>
            <w:tcBorders>
              <w:top w:val="single" w:sz="4" w:space="0" w:color="000000"/>
              <w:left w:val="single" w:sz="4" w:space="0" w:color="auto"/>
              <w:bottom w:val="single" w:sz="4" w:space="0" w:color="000000"/>
              <w:right w:val="single" w:sz="4" w:space="0" w:color="000000"/>
            </w:tcBorders>
            <w:shd w:val="clear" w:color="auto" w:fill="auto"/>
          </w:tcPr>
          <w:p w:rsidR="00E708EF" w:rsidRPr="00BD01F6" w:rsidRDefault="00E708EF" w:rsidP="00E708EF">
            <w:pPr>
              <w:jc w:val="both"/>
              <w:rPr>
                <w:snapToGrid w:val="0"/>
                <w:lang w:eastAsia="en-US"/>
              </w:rPr>
            </w:pPr>
            <w:r w:rsidRPr="00BD01F6">
              <w:rPr>
                <w:bCs/>
              </w:rPr>
              <w:t>4.</w:t>
            </w:r>
            <w:r w:rsidRPr="00BD01F6">
              <w:rPr>
                <w:snapToGrid w:val="0"/>
                <w:lang w:eastAsia="en-US"/>
              </w:rPr>
              <w:t>Atbildīgās institūcijas stratēģijā paredzētos uzdevumus un pasākumus 2019.gadā īstenos piešķirto valsts budžeta līdzekļu ietvaros, savukārt jautājums par papildu valsts budžeta līdzekļu piešķiršanu 2020.-2022.gadam skatāms gadskārtējā valsts budžeta likumprojekta un vidēja termiņa budžeta ietvara likumprojekta sagatavošanas procesā kopā ar visu ministriju un citu centrālo valsts iestāžu prioritāro pasākumu pieteikumiem.</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DC6716" w:rsidP="00E708EF">
            <w:pPr>
              <w:pStyle w:val="naisc"/>
              <w:spacing w:before="0" w:after="0"/>
            </w:pPr>
            <w:r>
              <w:t>13</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162BE4" w:rsidP="00E708EF">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Stratēģijas</w:t>
            </w:r>
            <w:r w:rsidR="00E708EF" w:rsidRPr="00BD01F6">
              <w:rPr>
                <w:rFonts w:ascii="Times New Roman" w:eastAsia="Times New Roman" w:hAnsi="Times New Roman" w:cs="Times New Roman"/>
                <w:sz w:val="24"/>
                <w:szCs w:val="24"/>
              </w:rPr>
              <w:t xml:space="preserve"> projekts </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Finanšu ministrija</w:t>
            </w:r>
          </w:p>
          <w:p w:rsidR="00E708EF" w:rsidRPr="00BD01F6" w:rsidRDefault="00E708EF" w:rsidP="00E708EF">
            <w:pPr>
              <w:pStyle w:val="naisc"/>
              <w:spacing w:before="0" w:after="0"/>
              <w:jc w:val="both"/>
            </w:pPr>
            <w:r w:rsidRPr="00BD01F6">
              <w:t>Atbilstoši Ministru kabineta 2014.gada 2.decembra noteikumu Nr.737 “Attīstības plānošanas dokumentu izstrādes un ietekmes izvērtēšanas noteikumi” (turpmāk – MK noteikumi Nr.737)  1.pielikumam “Pamatnostādnes” VI sadaļai pamatnostādņu projektā ir jāiekļauj kopsavilkums par pamatnostādnēs iekļauto uzdevumu īstenošanai nepieciešamo finansējumu, kā arī jāprecizē pamatnostādņu projekta 6.sadaļas “Ietekmes novērtējums uz valsts budžetu un pašvaldību budžetu” 1.tabula “Politikas plānošanas dokumenta ietekme uz valsts un pašvaldību budžetiem”, neplānojot papildu finansējumu 2019.gadā un svītrojot pēdējo teikumu pie norādes “Detalizēts ieņēmumu un izdevumu aprēķins”. Vienlaikus lūdzam precizēt arī pamatnostādņu projekta 6.sadaļas “Ietekmes novērtējums uz valsts budžetu un pašvaldību budžetu” pēdējo rindkopu, norādot, kā tiks nodrošināta pamatnostādņu pasākumu īstenošana, jo šobrīd tiek norādīts, ka vienlaikus pasākumu īstenošana tiks nodrošināta esošo valsts budžeta līdzekļu ietvaros un tiks pieprasīts papildus valsts budžeta finansējums, tādējādi sniedzot pretrunīgu informāciju.</w:t>
            </w:r>
          </w:p>
        </w:tc>
        <w:tc>
          <w:tcPr>
            <w:tcW w:w="4111" w:type="dxa"/>
            <w:tcBorders>
              <w:top w:val="single" w:sz="4" w:space="0" w:color="auto"/>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Iebildums ņemts vērā</w:t>
            </w:r>
          </w:p>
          <w:p w:rsidR="00E708EF" w:rsidRPr="00BD01F6" w:rsidRDefault="00E708EF" w:rsidP="00E843C0">
            <w:pPr>
              <w:pStyle w:val="naisc"/>
              <w:spacing w:before="0" w:after="0"/>
              <w:jc w:val="both"/>
            </w:pPr>
            <w:r w:rsidRPr="00BD01F6">
              <w:t>Iekļauts kopsavilkums</w:t>
            </w:r>
            <w:r w:rsidR="00CC5E3A">
              <w:t xml:space="preserve"> par </w:t>
            </w:r>
            <w:r w:rsidR="00502710">
              <w:t>rīcības virzienu</w:t>
            </w:r>
            <w:r w:rsidR="00CC5E3A" w:rsidRPr="00BD01F6">
              <w:t xml:space="preserve"> īstenošanai nepieciešamo </w:t>
            </w:r>
            <w:r w:rsidR="00502710">
              <w:t xml:space="preserve">indikatīvo </w:t>
            </w:r>
            <w:r w:rsidR="00CC5E3A" w:rsidRPr="00BD01F6">
              <w:t>finansējumu</w:t>
            </w:r>
            <w:r w:rsidR="00502710">
              <w:t xml:space="preserve"> pa gadiem</w:t>
            </w:r>
            <w:r w:rsidR="00C616EB">
              <w:t xml:space="preserve"> – 6.tabula</w:t>
            </w:r>
            <w:r w:rsidRPr="00BD01F6">
              <w:t>. Pre</w:t>
            </w:r>
            <w:r w:rsidR="00E843C0">
              <w:t>cizēts stratēģijas projekta 5</w:t>
            </w:r>
            <w:r w:rsidR="0033706D">
              <w:t>.no</w:t>
            </w:r>
            <w:r w:rsidRPr="00BD01F6">
              <w:t>daļas “</w:t>
            </w:r>
            <w:r w:rsidR="00E843C0">
              <w:t>Finansiālās i</w:t>
            </w:r>
            <w:r w:rsidRPr="00BD01F6">
              <w:t>etekmes novērtējums</w:t>
            </w:r>
            <w:r w:rsidR="00C616EB">
              <w:t>” 7</w:t>
            </w:r>
            <w:r w:rsidRPr="00BD01F6">
              <w:t>.tabula</w:t>
            </w:r>
            <w:r w:rsidR="00BF0250">
              <w:t xml:space="preserve"> (pēc iepriekšējās numerācijas</w:t>
            </w:r>
            <w:r w:rsidRPr="00BD01F6">
              <w:t xml:space="preserve"> 1.tabula) “Politikas plānošanas dokumenta ietekme uz valsts un pašvaldību budžetiem”, neplānojot papildu finansējumu 2019.gadā un svītrojot pēdējo teikumu pie norādes “Detalizēts ieņēmumu un izdevumu aprēķins”. Vienlaikus </w:t>
            </w:r>
            <w:r w:rsidR="00C616EB">
              <w:t>precizēta stratēģijas projekta 5</w:t>
            </w:r>
            <w:r w:rsidRPr="00BD01F6">
              <w:t>.</w:t>
            </w:r>
            <w:r w:rsidR="00C616EB">
              <w:t>no</w:t>
            </w:r>
            <w:r w:rsidRPr="00BD01F6">
              <w:t>daļas</w:t>
            </w:r>
            <w:r w:rsidR="00C616EB">
              <w:t xml:space="preserve"> </w:t>
            </w:r>
            <w:r w:rsidR="00C616EB">
              <w:rPr>
                <w:bCs/>
              </w:rPr>
              <w:t>(pēc iepriekšējās numerācijas 6.nodaļa)</w:t>
            </w:r>
            <w:r w:rsidR="00C616EB">
              <w:t xml:space="preserve"> </w:t>
            </w:r>
            <w:r w:rsidRPr="00BD01F6">
              <w:t>“</w:t>
            </w:r>
            <w:r w:rsidR="00E843C0">
              <w:t>Finansiālās i</w:t>
            </w:r>
            <w:r w:rsidRPr="00BD01F6">
              <w:t>etekmes novērtējums” pēdējā rindkopa.</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D5C24" w:rsidP="00C616EB">
            <w:pPr>
              <w:jc w:val="both"/>
              <w:rPr>
                <w:bCs/>
              </w:rPr>
            </w:pPr>
            <w:r w:rsidRPr="00ED5C24">
              <w:rPr>
                <w:bCs/>
              </w:rPr>
              <w:t>Informatīvā ziņojuma “Latvijas kiberdrošīb</w:t>
            </w:r>
            <w:r>
              <w:rPr>
                <w:bCs/>
              </w:rPr>
              <w:t>as stratēģija 2019.-2022.gadam”</w:t>
            </w:r>
            <w:r w:rsidR="00C616EB">
              <w:rPr>
                <w:bCs/>
              </w:rPr>
              <w:t xml:space="preserve"> projekta 6.tabula un 7.tabula, un stratēģijas projekta 5.nodaļas (pēc iepriekšējās numerācijas 6.nodaļa) pēdējā rindkopa – “Strat</w:t>
            </w:r>
            <w:r w:rsidR="00E708EF" w:rsidRPr="00BD01F6">
              <w:rPr>
                <w:bCs/>
              </w:rPr>
              <w:t>ēģijā paredzēto uzdevumu un pasākumu īstenošana 2019.gadā tiks nodrošināta stratēģijā minētajām atbildīgām institūcijām piešķirto valsts budžeta līdzekļu ietvaros, savukārt jautājums par papildu valsts budžeta līdzekļu piešķiršanu 2020.-2022.gadam skatāms gadskārtējā valsts budžeta likumprojekta un vidēja termiņa budžeta ietvara likumprojekta sagatavošanas procesā kopā ar visu ministriju un citu centrālo valsts iestāžu prioritāro pasākumu pieteikumiem.</w:t>
            </w:r>
            <w:r w:rsidR="00C616EB">
              <w:rPr>
                <w:bCs/>
              </w:rPr>
              <w:t>”.</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DC6716" w:rsidP="00E708EF">
            <w:pPr>
              <w:pStyle w:val="naisc"/>
              <w:spacing w:before="0" w:after="0"/>
            </w:pPr>
            <w:r>
              <w:t>14</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162BE4" w:rsidP="00E708EF">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Stratēģijas</w:t>
            </w:r>
            <w:r w:rsidR="00E708EF" w:rsidRPr="00BD01F6">
              <w:rPr>
                <w:rFonts w:ascii="Times New Roman" w:eastAsia="Times New Roman" w:hAnsi="Times New Roman" w:cs="Times New Roman"/>
                <w:sz w:val="24"/>
                <w:szCs w:val="24"/>
              </w:rPr>
              <w:t xml:space="preserve"> projekts</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Finanšu ministrija</w:t>
            </w:r>
          </w:p>
          <w:p w:rsidR="00E708EF" w:rsidRPr="00BD01F6" w:rsidRDefault="00E708EF" w:rsidP="00E708EF">
            <w:pPr>
              <w:pStyle w:val="naisc"/>
              <w:spacing w:before="0" w:after="0"/>
              <w:jc w:val="both"/>
            </w:pPr>
            <w:r w:rsidRPr="00BD01F6">
              <w:t>Ņemot vērā, ka Aizsardzības ministrija Ministru kabinetā kā pamatnostādņu projekta sastāvdaļu iesniedz arī pamatnostādņu īstenošanas rīcības plāna projektu (turpmāk – pielikums), atbilstoši MK noteikumu Nr.737 2.pielikuma “Plāns” IV sadaļai ir jāiekļauj kopsavilkums par plānā iekļauto uzdevumu īstenošanai nepieciešamo valsts un pašvaldību budžeta finansējumu. Papildus, saskaņā ar minēto noteikumu 25.6.apakšpunktu, pamatnostādņu projekta pielikumiem ir pievienojami detalizēti aprēķini par papildu nepieciešamo valsts budžeta finansējumu.</w:t>
            </w:r>
          </w:p>
        </w:tc>
        <w:tc>
          <w:tcPr>
            <w:tcW w:w="4111" w:type="dxa"/>
            <w:tcBorders>
              <w:top w:val="single" w:sz="4" w:space="0" w:color="auto"/>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Iebildums ņemts vērā</w:t>
            </w:r>
          </w:p>
          <w:p w:rsidR="00E708EF" w:rsidRPr="00BD01F6" w:rsidRDefault="00E708EF" w:rsidP="00C80838">
            <w:pPr>
              <w:pStyle w:val="naisc"/>
              <w:spacing w:before="0" w:after="0"/>
              <w:jc w:val="both"/>
            </w:pPr>
            <w:r w:rsidRPr="00BD01F6">
              <w:t>Ņemot vērā VARAM iebildumu (</w:t>
            </w:r>
            <w:r w:rsidR="00C80838" w:rsidRPr="00C80838">
              <w:t>izziņas sadaļas “II. Jautājumi, par kuriem saskaņošanā vienošanās ir panākta”</w:t>
            </w:r>
            <w:r w:rsidR="00C80838">
              <w:t xml:space="preserve"> Nr.p.k. 2</w:t>
            </w:r>
            <w:r w:rsidRPr="00BD01F6">
              <w:t xml:space="preserve">.) </w:t>
            </w:r>
            <w:r w:rsidRPr="00BD01F6">
              <w:rPr>
                <w:rFonts w:eastAsia="Calibri"/>
                <w:lang w:eastAsia="en-US"/>
              </w:rPr>
              <w:t xml:space="preserve">pilnveidots un papildināts stratēģijas projekts, rīcības plāna uzdevumi pārcelti stratēģijas pamattekstā, kā uzdevumi </w:t>
            </w:r>
            <w:r>
              <w:rPr>
                <w:rFonts w:eastAsia="Calibri"/>
                <w:lang w:eastAsia="en-US"/>
              </w:rPr>
              <w:t xml:space="preserve">vai pasākumi </w:t>
            </w:r>
            <w:r w:rsidRPr="00BD01F6">
              <w:rPr>
                <w:rFonts w:eastAsia="Calibri"/>
                <w:lang w:eastAsia="en-US"/>
              </w:rPr>
              <w:t xml:space="preserve">pie katra rīcības virziena, atsakoties no rīcības plāna, kā stratēģijas pielikuma. </w:t>
            </w:r>
            <w:r w:rsidRPr="00BD01F6">
              <w:t xml:space="preserve">Kopsavilkums par </w:t>
            </w:r>
            <w:r w:rsidR="00C80838">
              <w:t>stratēģijas rīcības virzienos</w:t>
            </w:r>
            <w:r w:rsidRPr="00BD01F6">
              <w:t xml:space="preserve"> iekļauto uzdevumu īstenošanai nepieciešamo valsts un pašvaldību budžeta finansējumu un ietekmes novērtējums uz valsts budžetu un pašvaldību budžetu atspoguļots stratēģijas 5. </w:t>
            </w:r>
            <w:r w:rsidR="00C80838">
              <w:t>no</w:t>
            </w:r>
            <w:r w:rsidRPr="00BD01F6">
              <w:t>daļā.</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D5C24" w:rsidP="00E708EF">
            <w:pPr>
              <w:jc w:val="both"/>
              <w:rPr>
                <w:bCs/>
              </w:rPr>
            </w:pPr>
            <w:r w:rsidRPr="00ED5C24">
              <w:rPr>
                <w:bCs/>
              </w:rPr>
              <w:t>Informatīvā ziņojuma “Latvijas kiberdrošīb</w:t>
            </w:r>
            <w:r>
              <w:rPr>
                <w:bCs/>
              </w:rPr>
              <w:t>as stratēģija 2019.-2022.gadam”</w:t>
            </w:r>
            <w:r w:rsidR="00C80838">
              <w:rPr>
                <w:bCs/>
              </w:rPr>
              <w:t xml:space="preserve"> projekta 5.nodaļa</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DC6716" w:rsidP="00E708EF">
            <w:pPr>
              <w:pStyle w:val="naisc"/>
              <w:spacing w:before="0" w:after="0"/>
            </w:pPr>
            <w:r>
              <w:t>15</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E708EF" w:rsidP="00E708EF">
            <w:pPr>
              <w:pStyle w:val="NoSpacing"/>
              <w:jc w:val="both"/>
              <w:rPr>
                <w:rFonts w:ascii="Times New Roman" w:eastAsia="Times New Roman" w:hAnsi="Times New Roman" w:cs="Times New Roman"/>
                <w:sz w:val="24"/>
                <w:szCs w:val="24"/>
              </w:rPr>
            </w:pPr>
            <w:r w:rsidRPr="00704195">
              <w:rPr>
                <w:rFonts w:ascii="Times New Roman" w:eastAsia="Times New Roman" w:hAnsi="Times New Roman" w:cs="Times New Roman"/>
                <w:sz w:val="24"/>
                <w:szCs w:val="24"/>
              </w:rPr>
              <w:t>Aptuveni 20 000 EUR nepieciešams vadlīniju izstrādei. Nepieciešams valsts budžeta finansējums</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Finanšu ministrija</w:t>
            </w:r>
          </w:p>
          <w:p w:rsidR="00E708EF" w:rsidRPr="00BD01F6" w:rsidRDefault="00E708EF" w:rsidP="00E708EF">
            <w:pPr>
              <w:pStyle w:val="naisc"/>
              <w:spacing w:before="0" w:after="0"/>
              <w:jc w:val="both"/>
            </w:pPr>
            <w:r w:rsidRPr="00BD01F6">
              <w:t>Uzskatām, ka pamatnostādņu projekta 1.pielikuma 1.rīcības virziena “Kiberdrošības veicināšana, digitālās drošības risku mazināšana</w:t>
            </w:r>
            <w:r w:rsidRPr="00A27C9A">
              <w:t>” 1.3.</w:t>
            </w:r>
            <w:r w:rsidRPr="00BD01F6">
              <w:t>uzdevumā “Izstrādāt valsts informācijas sistēmu izstrādes vadlīnijas” paredzētā vadlīniju izstrāde būtu nodrošināma Vides aizsardzības un reģionālās attīstības ministrijai esošo funkciju un finansējuma ietvaros, tāpēc papildu finansējuma nepieciešamība pēc būtības nebūtu atbalstāma un ir svītrojama.</w:t>
            </w:r>
          </w:p>
        </w:tc>
        <w:tc>
          <w:tcPr>
            <w:tcW w:w="4111" w:type="dxa"/>
            <w:tcBorders>
              <w:top w:val="single" w:sz="4" w:space="0" w:color="auto"/>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Iebildums ņemts vērā</w:t>
            </w:r>
          </w:p>
          <w:p w:rsidR="00E708EF" w:rsidRPr="00BD01F6" w:rsidRDefault="00A27C9A" w:rsidP="00A27C9A">
            <w:pPr>
              <w:pStyle w:val="naisc"/>
              <w:spacing w:before="0" w:after="0"/>
              <w:jc w:val="both"/>
            </w:pPr>
            <w:r w:rsidRPr="00A27C9A">
              <w:t>1.3. uzdevums bija Satiksmes minist</w:t>
            </w:r>
            <w:r>
              <w:t>rijas ierosinājums, par kuru tika saņemts VARAM iebildums (</w:t>
            </w:r>
            <w:r w:rsidRPr="00C80838">
              <w:t>izziņas sadaļas “II. Jautājumi, par kuriem saskaņošanā vienošanās ir panākta”</w:t>
            </w:r>
            <w:r>
              <w:t xml:space="preserve"> Nr.p.k. 6).</w:t>
            </w:r>
            <w:r w:rsidRPr="00A27C9A">
              <w:t xml:space="preserve"> Pēc iesaistīto inst</w:t>
            </w:r>
            <w:r>
              <w:t>itūciju, SM un VARAM, tikšanās</w:t>
            </w:r>
            <w:r w:rsidRPr="00A27C9A">
              <w:t xml:space="preserve"> panākta vienošanās uzdevumu svītrot.</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A27C9A" w:rsidP="00E708EF">
            <w:pPr>
              <w:jc w:val="both"/>
              <w:rPr>
                <w:bCs/>
              </w:rPr>
            </w:pPr>
            <w:r>
              <w:t>Uzdevums svītrots</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DC6716" w:rsidP="00E708EF">
            <w:pPr>
              <w:pStyle w:val="naisc"/>
              <w:spacing w:before="0" w:after="0"/>
            </w:pPr>
            <w:r>
              <w:t>16</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E708EF" w:rsidP="00E708EF">
            <w:pPr>
              <w:pStyle w:val="NoSpacing"/>
              <w:jc w:val="both"/>
              <w:rPr>
                <w:rFonts w:ascii="Times New Roman" w:eastAsia="Times New Roman" w:hAnsi="Times New Roman" w:cs="Times New Roman"/>
                <w:sz w:val="24"/>
                <w:szCs w:val="24"/>
              </w:rPr>
            </w:pPr>
            <w:r w:rsidRPr="00BD01F6">
              <w:rPr>
                <w:rFonts w:ascii="Times New Roman" w:eastAsia="Times New Roman" w:hAnsi="Times New Roman" w:cs="Times New Roman"/>
                <w:sz w:val="24"/>
                <w:szCs w:val="24"/>
              </w:rPr>
              <w:t>1.7. Latvijas centralizētās IKT drošības un profilakses platformas izveide</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Finanšu ministrija</w:t>
            </w:r>
          </w:p>
          <w:p w:rsidR="00E708EF" w:rsidRPr="00BD01F6" w:rsidRDefault="00E708EF" w:rsidP="00E708EF">
            <w:pPr>
              <w:pStyle w:val="naisc"/>
              <w:spacing w:before="0" w:after="0"/>
              <w:jc w:val="both"/>
              <w:rPr>
                <w:b/>
              </w:rPr>
            </w:pPr>
            <w:r w:rsidRPr="00BD01F6">
              <w:t>Lūdzam</w:t>
            </w:r>
            <w:r w:rsidR="00C04535">
              <w:t xml:space="preserve"> precizēt pamatnostādņu projekta</w:t>
            </w:r>
            <w:r w:rsidRPr="00BD01F6">
              <w:t xml:space="preserve"> 1.pielikuma 1.rīcības virziena “Kiberdrošības veicināšana, digitālās drošības risku mazināšana” 1.7.uzdevuma “Latvijas centralizētās IKT drošības un profilakses platformas izveide” īstenošanai norādīto finansējuma avotu “Tiks īstenots saskaņā ar ES fondu līdzekļu sadali”, norādot konkrētāku finansējuma avotu, no kādiem Eiropas Savienības struktūrfondiem vai citiem finanšu instrumentiem plānots īstenot šo uzdevumu, ņemot vērā, ka Eiropas Savienības struktūrfondu un Kohēzijas fonda (turpmāk – ES fondi) 2014.–2020.gada plānošanas perioda darbības programmas “Izaugsme un nodarbinātība” 2.2.1.specifiskā atbalsta mērķa “Nodrošināt publisko datu atkalizmantošanas pieaugumu un efektīvu publiskās pārvaldes un privātā sektora </w:t>
            </w:r>
            <w:proofErr w:type="spellStart"/>
            <w:r w:rsidRPr="00BD01F6">
              <w:t>mijiedarību</w:t>
            </w:r>
            <w:proofErr w:type="spellEnd"/>
            <w:r w:rsidRPr="00BD01F6">
              <w:t>” 2.2.1.1.pasākuma “Centralizētu publiskās pārvaldes IKT platformu izveide, publiskās pārvaldes procesu optimizēšana un attīstība” ietvaros nav plānota šādas platformas izveide.</w:t>
            </w:r>
          </w:p>
        </w:tc>
        <w:tc>
          <w:tcPr>
            <w:tcW w:w="4111" w:type="dxa"/>
            <w:tcBorders>
              <w:top w:val="single" w:sz="4" w:space="0" w:color="auto"/>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A2727A">
              <w:rPr>
                <w:b/>
              </w:rPr>
              <w:t>Iebildums ņemts vērā</w:t>
            </w:r>
          </w:p>
          <w:p w:rsidR="00E708EF" w:rsidRPr="00BD01F6" w:rsidRDefault="00E708EF" w:rsidP="00C04535">
            <w:pPr>
              <w:pStyle w:val="naisc"/>
              <w:spacing w:before="0" w:after="0"/>
              <w:jc w:val="both"/>
              <w:rPr>
                <w:highlight w:val="yellow"/>
              </w:rPr>
            </w:pPr>
            <w:r w:rsidRPr="00BD01F6">
              <w:t>Saistīts ar VARAM iebildumu (</w:t>
            </w:r>
            <w:r w:rsidR="00C04535" w:rsidRPr="00C80838">
              <w:t>izziņas sadaļas “II. Jautājumi, par kuriem saskaņošanā vienošanās ir panākta”</w:t>
            </w:r>
            <w:r w:rsidR="00C04535">
              <w:t xml:space="preserve"> Nr.p.k. 7</w:t>
            </w:r>
            <w:r w:rsidRPr="00BD01F6">
              <w:t>.). Pamatnostādņu “Latvijas kiberdrošības stratēģija 2014.-2018.gadam” (MK 2014.gada 9.jūlija rīkojums Nr.347 “Grozījumi pamatnostādnēs “Latvijas kiberdrošības stratēģija 2014.-2018.gadam””) 1.tabula, punkts 1.12. paredz uzdevumu “Latvijas centralizētās IKT drošības un profilakses platformas izveide” veikt līdz 2020.g. 4.cet. No VARAM saņemta informācija, ka uzdevums ir izpildīts. Ņemot vērā, ka izpildītus uzdevumus stratēģijā neiekļaujam, uzdevums svītrots no dokumenta projekta. IKT drošības un profilakses platforma turpina darboties.</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708EF" w:rsidP="00E708EF">
            <w:pPr>
              <w:jc w:val="both"/>
              <w:rPr>
                <w:bCs/>
              </w:rPr>
            </w:pPr>
            <w:r>
              <w:rPr>
                <w:bCs/>
              </w:rPr>
              <w:t>Uzdevums svītrots</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90195D" w:rsidP="00E708EF">
            <w:pPr>
              <w:pStyle w:val="naisc"/>
              <w:spacing w:before="0" w:after="0"/>
            </w:pPr>
            <w:r>
              <w:t>17</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162BE4" w:rsidP="00162BE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Stratēģijas projekta </w:t>
            </w:r>
            <w:r w:rsidR="00E708EF" w:rsidRPr="00BD01F6">
              <w:rPr>
                <w:rFonts w:ascii="Times New Roman" w:eastAsia="Times New Roman" w:hAnsi="Times New Roman" w:cs="Times New Roman"/>
                <w:sz w:val="24"/>
                <w:szCs w:val="24"/>
              </w:rPr>
              <w:t>pielikums</w:t>
            </w:r>
            <w:r w:rsidR="00FC031F">
              <w:rPr>
                <w:rFonts w:ascii="Times New Roman" w:eastAsia="Times New Roman" w:hAnsi="Times New Roman" w:cs="Times New Roman"/>
                <w:sz w:val="24"/>
                <w:szCs w:val="24"/>
              </w:rPr>
              <w:t xml:space="preserve"> </w:t>
            </w:r>
            <w:r w:rsidRPr="007923F9">
              <w:rPr>
                <w:rFonts w:ascii="Times New Roman" w:hAnsi="Times New Roman" w:cs="Times New Roman"/>
                <w:sz w:val="24"/>
                <w:szCs w:val="24"/>
              </w:rPr>
              <w:t>(pēc iepriekšējās numerācijas 2.pielikums)</w:t>
            </w:r>
            <w:r>
              <w:t xml:space="preserve"> </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Finanšu ministrija</w:t>
            </w:r>
          </w:p>
          <w:p w:rsidR="00E708EF" w:rsidRPr="00BD01F6" w:rsidRDefault="00E708EF" w:rsidP="00E708EF">
            <w:pPr>
              <w:pStyle w:val="naisc"/>
              <w:spacing w:before="0" w:after="0"/>
              <w:jc w:val="both"/>
            </w:pPr>
            <w:r w:rsidRPr="00BD01F6">
              <w:t>Ņemot vērā, ka Latvijas kiberdrošības stratēģija ir 2019.-2022.gadam, pamatnostādņu projekta 2.pielikumā jāprecizē pasākumi Nr.4.9., 4.10. un 4.11., svītrojot 2017. un 2018.gadam plānoto finansējumu un norādot Ārlietu ministrijas budžetā 2019.gadam un turpmāk pasākumu īstenošanai paredzēto finansējumu. Papildus informējam, ka pasākumam Nr.4.7 jānorāda tā īstenošanai nepieciešamais finansējums un tā avoti.</w:t>
            </w:r>
          </w:p>
        </w:tc>
        <w:tc>
          <w:tcPr>
            <w:tcW w:w="4111" w:type="dxa"/>
            <w:tcBorders>
              <w:top w:val="single" w:sz="4" w:space="0" w:color="auto"/>
              <w:left w:val="single" w:sz="6" w:space="0" w:color="000000"/>
              <w:bottom w:val="single" w:sz="4" w:space="0" w:color="000000"/>
            </w:tcBorders>
            <w:shd w:val="clear" w:color="auto" w:fill="auto"/>
          </w:tcPr>
          <w:p w:rsidR="00E708EF" w:rsidRPr="0027448C" w:rsidRDefault="00FC031F" w:rsidP="00524055">
            <w:pPr>
              <w:pStyle w:val="naisc"/>
              <w:spacing w:before="0" w:after="0"/>
              <w:jc w:val="both"/>
            </w:pPr>
            <w:r>
              <w:t xml:space="preserve">Stratēģijas projekta </w:t>
            </w:r>
            <w:r w:rsidR="00524055">
              <w:t>pielikums (pēc iepriekšējās numerācijas 2.pielikums) satur informāciju</w:t>
            </w:r>
            <w:r w:rsidR="00E708EF">
              <w:t xml:space="preserve"> dienesta vajadzībām.</w:t>
            </w:r>
            <w:r w:rsidR="00E708EF" w:rsidRPr="0027448C">
              <w:tab/>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27448C" w:rsidRDefault="00E708EF" w:rsidP="00524055">
            <w:pPr>
              <w:jc w:val="both"/>
            </w:pPr>
            <w:r>
              <w:t>Informācija dienesta vajadzībām</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90195D" w:rsidP="00E708EF">
            <w:pPr>
              <w:pStyle w:val="naisc"/>
              <w:spacing w:before="0" w:after="0"/>
            </w:pPr>
            <w:r>
              <w:t>18</w:t>
            </w:r>
            <w:r w:rsidR="00E708EF" w:rsidRPr="00BD01F6">
              <w:t>.</w:t>
            </w:r>
          </w:p>
        </w:tc>
        <w:tc>
          <w:tcPr>
            <w:tcW w:w="3086" w:type="dxa"/>
            <w:tcBorders>
              <w:left w:val="single" w:sz="6" w:space="0" w:color="000000"/>
              <w:bottom w:val="single" w:sz="4" w:space="0" w:color="000000"/>
            </w:tcBorders>
            <w:shd w:val="clear" w:color="auto" w:fill="auto"/>
          </w:tcPr>
          <w:p w:rsidR="00E708EF" w:rsidRPr="00BD01F6" w:rsidRDefault="007923F9" w:rsidP="007923F9">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Stratēģijas projekta</w:t>
            </w:r>
            <w:r w:rsidR="00E708EF" w:rsidRPr="00BD01F6">
              <w:rPr>
                <w:rFonts w:ascii="Times New Roman" w:eastAsia="Times New Roman" w:hAnsi="Times New Roman" w:cs="Times New Roman"/>
                <w:sz w:val="24"/>
                <w:szCs w:val="24"/>
              </w:rPr>
              <w:t xml:space="preserve"> rīcības virziena “IKT izturētspēja, sabiedrībai kritiski svarīgu IKT un pakalpojumu nodrošināšana</w:t>
            </w:r>
            <w:r w:rsidR="007A6853">
              <w:rPr>
                <w:rFonts w:ascii="Times New Roman" w:eastAsia="Times New Roman" w:hAnsi="Times New Roman" w:cs="Times New Roman"/>
                <w:sz w:val="24"/>
                <w:szCs w:val="24"/>
              </w:rPr>
              <w:t>s stiprināšana” 2.1. uzdevums, iesaistītās institūcijas “[...] IEM (VP, VDD) [...]”</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Iekšlietu ministrija</w:t>
            </w:r>
          </w:p>
          <w:p w:rsidR="00E708EF" w:rsidRPr="00BD01F6" w:rsidRDefault="00E708EF" w:rsidP="00E708EF">
            <w:pPr>
              <w:pStyle w:val="naisc"/>
              <w:spacing w:before="0" w:after="0"/>
              <w:jc w:val="both"/>
              <w:rPr>
                <w:b/>
              </w:rPr>
            </w:pPr>
            <w:r w:rsidRPr="00BD01F6">
              <w:t>Aizstāt 1.pielikuma “Rīcības plāns pamatnostādņu īstenošanai” rīcības virziena “IKT izturētspēja, sabiedrībai kritiski svarīgu IKT un pakalpojumu nodrošināšanas stiprināšana” 2.1. apakšpunktā vārdus “IEM (VP, VDD)” ar vārdiem “IEM (VP), VDD”</w:t>
            </w:r>
          </w:p>
        </w:tc>
        <w:tc>
          <w:tcPr>
            <w:tcW w:w="4111" w:type="dxa"/>
            <w:tcBorders>
              <w:top w:val="single" w:sz="4" w:space="0" w:color="auto"/>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Iebildums ņemts vērā</w:t>
            </w:r>
          </w:p>
          <w:p w:rsidR="00E708EF" w:rsidRPr="00BD01F6" w:rsidRDefault="007A6853" w:rsidP="00E708EF">
            <w:pPr>
              <w:pStyle w:val="naisc"/>
              <w:spacing w:before="0" w:after="0"/>
              <w:jc w:val="both"/>
              <w:rPr>
                <w:b/>
              </w:rPr>
            </w:pPr>
            <w:r>
              <w:t>2.1. uzdevumā</w:t>
            </w:r>
            <w:r w:rsidR="00E708EF" w:rsidRPr="00BD01F6">
              <w:t xml:space="preserve"> vārdi “IEM (VP, VDD)” aizstāti ar vārdiem “IEM (VP), VDD”</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D5C24" w:rsidP="00E708EF">
            <w:pPr>
              <w:jc w:val="both"/>
            </w:pPr>
            <w:r w:rsidRPr="00ED5C24">
              <w:t>Informatīvā ziņojuma “Latvijas kiberdrošīb</w:t>
            </w:r>
            <w:r>
              <w:t>as stratēģija 2019.-2022.gadam”</w:t>
            </w:r>
            <w:r w:rsidR="00E708EF" w:rsidRPr="00BD01F6">
              <w:t xml:space="preserve"> rīcības virziena “IKT izturētspēja, sabiedrībai kritiski svarīgu IKT un pakalpojumu nodrošināšana</w:t>
            </w:r>
            <w:r w:rsidR="007A6853">
              <w:t>s stiprināšana” 2.1. uzdevums, iesaistītās institūcijas “[...] IEM (VP), VDD, [...]”</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90195D" w:rsidP="00E708EF">
            <w:pPr>
              <w:pStyle w:val="naisc"/>
              <w:spacing w:before="0" w:after="0"/>
            </w:pPr>
            <w:r>
              <w:t>19</w:t>
            </w:r>
            <w:r w:rsidR="00E708EF">
              <w:t>.</w:t>
            </w:r>
          </w:p>
        </w:tc>
        <w:tc>
          <w:tcPr>
            <w:tcW w:w="3086" w:type="dxa"/>
            <w:tcBorders>
              <w:left w:val="single" w:sz="6" w:space="0" w:color="000000"/>
              <w:bottom w:val="single" w:sz="4" w:space="0" w:color="000000"/>
            </w:tcBorders>
            <w:shd w:val="clear" w:color="auto" w:fill="auto"/>
          </w:tcPr>
          <w:p w:rsidR="00E708EF" w:rsidRPr="00BD01F6" w:rsidRDefault="007923F9" w:rsidP="007923F9">
            <w:pPr>
              <w:jc w:val="both"/>
            </w:pPr>
            <w:r>
              <w:t>Stratēģijas projekta</w:t>
            </w:r>
            <w:r w:rsidR="00E708EF" w:rsidRPr="00BD01F6">
              <w:t xml:space="preserve"> </w:t>
            </w:r>
            <w:r w:rsidR="00E708EF" w:rsidRPr="0076336E">
              <w:t xml:space="preserve">rīcības virziena </w:t>
            </w:r>
            <w:r w:rsidR="0076336E" w:rsidRPr="0076336E">
              <w:t>“Kiberdrošības veicināšana, digitālās drošības risku mazināšana</w:t>
            </w:r>
            <w:r w:rsidR="00E708EF" w:rsidRPr="0076336E">
              <w:t>” 1.4.</w:t>
            </w:r>
            <w:r w:rsidR="0076336E">
              <w:t xml:space="preserve"> uzdevums</w:t>
            </w:r>
            <w:r w:rsidR="00E708EF" w:rsidRPr="00614EF1">
              <w:t xml:space="preserve"> </w:t>
            </w:r>
            <w:r w:rsidR="0076336E">
              <w:t>“</w:t>
            </w:r>
            <w:r w:rsidR="00E708EF" w:rsidRPr="00614EF1">
              <w:t>Veikt analīzi un, ja nepieciešams, noteikt mobilo tālruņu un viedierīču lietošanas un tīklu piekļuves tiesību ierobežojumus, atrodoties iestādes telpās un izmantojot iestādes pārziņā esošus informācijas resursus</w:t>
            </w:r>
            <w:r w:rsidR="0076336E">
              <w:t>”</w:t>
            </w:r>
            <w:r w:rsidR="00612855">
              <w:t xml:space="preserve">, </w:t>
            </w:r>
            <w:r w:rsidR="00612855" w:rsidRPr="00612855">
              <w:t>aile “Nepieciešamais finansējums (indikatīvi) un tā avoti”</w:t>
            </w:r>
            <w:r w:rsidR="00612855">
              <w:t>: “</w:t>
            </w:r>
            <w:r w:rsidR="00612855" w:rsidRPr="00805689">
              <w:t>Likumā par valsts budžetu kārtējam gadam paredzētie finanšu līdzekļi.</w:t>
            </w:r>
            <w:r w:rsidR="00612855">
              <w:t>”</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Latvijas Lielo pilsētu asociācija</w:t>
            </w:r>
          </w:p>
          <w:p w:rsidR="00E708EF" w:rsidRPr="00BD01F6" w:rsidRDefault="00E708EF" w:rsidP="00E708EF">
            <w:pPr>
              <w:pStyle w:val="naisc"/>
              <w:spacing w:before="0" w:after="0"/>
              <w:jc w:val="both"/>
            </w:pPr>
            <w:r w:rsidRPr="00614EF1">
              <w:t>Prognozējam, ka, ieviešot aktivitāti 1.4., iespējams radīsies nepieciešamība papildus finansējumā, kuru veidos minētās aktivitātes realizēšanai nepieciešamā tehnoloģiskā risinājuma ieviešana ģeogrāfiski dažādās vietās</w:t>
            </w:r>
          </w:p>
        </w:tc>
        <w:tc>
          <w:tcPr>
            <w:tcW w:w="4111" w:type="dxa"/>
            <w:tcBorders>
              <w:top w:val="single" w:sz="4" w:space="0" w:color="auto"/>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Iebildums ņemts vērā</w:t>
            </w:r>
          </w:p>
          <w:p w:rsidR="00E708EF" w:rsidRPr="00253B5F" w:rsidRDefault="00B14C16" w:rsidP="00B14C16">
            <w:pPr>
              <w:pStyle w:val="naisc"/>
              <w:spacing w:before="0" w:after="0"/>
              <w:jc w:val="both"/>
            </w:pPr>
            <w:r>
              <w:t>Papildināta a</w:t>
            </w:r>
            <w:r w:rsidR="00E708EF">
              <w:t>ile “Nepieciešamais finans</w:t>
            </w:r>
            <w:r>
              <w:t>ējums (indikatīvi) un tā avoti”</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708EF" w:rsidP="00E708EF">
            <w:pPr>
              <w:jc w:val="both"/>
            </w:pPr>
            <w:r>
              <w:t>Aile “Nepieciešamais finansējums (indikatīvi) un tā avoti” papildināta ar tekstu šādā redakcijā “Pašvaldības un pašvaldību iestādes uzdevumu realizē, ja iespējams, plānojot uzdevuma realizācijai nepieciešamos finanšu līdzekļus pašvaldību un pašvaldību iestāžu budžetu izstrādes laikā.”</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90195D" w:rsidP="00E708EF">
            <w:pPr>
              <w:pStyle w:val="naisc"/>
              <w:spacing w:before="0" w:after="0"/>
            </w:pPr>
            <w:r>
              <w:t>20</w:t>
            </w:r>
            <w:r w:rsidR="00E708EF">
              <w:t>.</w:t>
            </w:r>
          </w:p>
        </w:tc>
        <w:tc>
          <w:tcPr>
            <w:tcW w:w="3086" w:type="dxa"/>
            <w:tcBorders>
              <w:left w:val="single" w:sz="6" w:space="0" w:color="000000"/>
              <w:bottom w:val="single" w:sz="4" w:space="0" w:color="000000"/>
            </w:tcBorders>
            <w:shd w:val="clear" w:color="auto" w:fill="auto"/>
          </w:tcPr>
          <w:p w:rsidR="00E708EF" w:rsidRPr="00BA322B" w:rsidRDefault="007923F9" w:rsidP="00E708EF">
            <w:pPr>
              <w:spacing w:before="120"/>
              <w:jc w:val="both"/>
            </w:pPr>
            <w:r>
              <w:t>Stratēģijas projekta</w:t>
            </w:r>
            <w:r w:rsidRPr="00BD01F6">
              <w:t xml:space="preserve"> </w:t>
            </w:r>
            <w:r w:rsidR="00E708EF" w:rsidRPr="00BD01F6">
              <w:t>rīcības virziena</w:t>
            </w:r>
            <w:r w:rsidR="00E708EF" w:rsidRPr="00BA322B">
              <w:t xml:space="preserve"> </w:t>
            </w:r>
            <w:r w:rsidR="0076336E" w:rsidRPr="0076336E">
              <w:t>“Kiberdrošības veicināšana, digit</w:t>
            </w:r>
            <w:r w:rsidR="0076336E">
              <w:t>ālās drošības risku mazināšana”</w:t>
            </w:r>
            <w:r w:rsidR="00E708EF" w:rsidRPr="00614EF1">
              <w:t xml:space="preserve"> </w:t>
            </w:r>
            <w:r w:rsidR="00E708EF" w:rsidRPr="00BA322B">
              <w:t>1.5.</w:t>
            </w:r>
            <w:r w:rsidR="0076336E">
              <w:t xml:space="preserve"> uzdevums</w:t>
            </w:r>
            <w:r w:rsidR="00E708EF" w:rsidRPr="00BA322B">
              <w:t xml:space="preserve"> </w:t>
            </w:r>
            <w:r w:rsidR="0076336E">
              <w:t>“</w:t>
            </w:r>
            <w:r w:rsidR="00E708EF" w:rsidRPr="00BA322B">
              <w:t>Izstrādāt ieteikumus un kritērijus ar kādu autentifikācijas metodi (</w:t>
            </w:r>
            <w:proofErr w:type="spellStart"/>
            <w:r w:rsidR="00E708EF" w:rsidRPr="00BA322B">
              <w:t>eID</w:t>
            </w:r>
            <w:proofErr w:type="spellEnd"/>
            <w:r w:rsidR="00E708EF" w:rsidRPr="00BA322B">
              <w:t>, i-bankas autorizācija) ir iespējams piekļūt konkrētam resursam.</w:t>
            </w:r>
            <w:r w:rsidR="0076336E">
              <w:t>”</w:t>
            </w:r>
            <w:r w:rsidR="00612855">
              <w:t xml:space="preserve">, </w:t>
            </w:r>
            <w:r w:rsidR="00612855" w:rsidRPr="00612855">
              <w:t>aile “Nepieciešamais finansējums (indikatīvi) un tā avoti”</w:t>
            </w:r>
            <w:r w:rsidR="00612855">
              <w:t>: “</w:t>
            </w:r>
            <w:r w:rsidR="00612855" w:rsidRPr="00805689">
              <w:t>Likumā par valsts budžetu kārtējam gadam paredzētie finanšu līdzekļi.</w:t>
            </w:r>
            <w:r w:rsidR="00612855">
              <w:t>”</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Latvijas Lielo pilsētu asociācija</w:t>
            </w:r>
          </w:p>
          <w:p w:rsidR="00E708EF" w:rsidRPr="00614EF1" w:rsidRDefault="00E708EF" w:rsidP="00E708EF">
            <w:pPr>
              <w:pStyle w:val="naisc"/>
              <w:spacing w:before="0" w:after="0"/>
              <w:jc w:val="both"/>
            </w:pPr>
            <w:r w:rsidRPr="00614EF1">
              <w:t>Prognozējām, ka, ieviešot aktivitāti 1.5., iespējams radīsies nepieciešamība papildus finansējumā, kuru veidos esošo informācijas sistēmu un tehnoloģisko risinājumu apzināšana un pilnveidošana tā, lai tie atbalstītu piedāvātos autentifikācijas veidus.</w:t>
            </w:r>
          </w:p>
        </w:tc>
        <w:tc>
          <w:tcPr>
            <w:tcW w:w="4111" w:type="dxa"/>
            <w:tcBorders>
              <w:top w:val="single" w:sz="4" w:space="0" w:color="auto"/>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Iebildums ņemts vērā</w:t>
            </w:r>
          </w:p>
          <w:p w:rsidR="00E708EF" w:rsidRPr="00253B5F" w:rsidRDefault="00B14C16" w:rsidP="00E708EF">
            <w:pPr>
              <w:pStyle w:val="naisc"/>
              <w:spacing w:before="0" w:after="0"/>
              <w:jc w:val="both"/>
            </w:pPr>
            <w:r w:rsidRPr="00B14C16">
              <w:t>Papildināta aile “Nepieciešamais finansējums (indikatīvi) un tā avoti”</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708EF" w:rsidP="00E708EF">
            <w:pPr>
              <w:jc w:val="both"/>
            </w:pPr>
            <w:r>
              <w:t xml:space="preserve">Aile “Nepieciešamais finansējums (indikatīvi) un tā avoti” papildināta ar tekstu šādā redakcijā “Pašvaldības un pašvaldību iestādes uzdevumu realizē, ja iespējams, plānojot uzdevuma realizācijai nepieciešamos finanšu līdzekļus pašvaldību un pašvaldību iestāžu budžetu izstrādes laikā, vienlaikus ievērojot </w:t>
            </w:r>
            <w:r w:rsidRPr="00BD01F6">
              <w:rPr>
                <w:rFonts w:eastAsia="Calibri"/>
                <w:lang w:eastAsia="en-US"/>
              </w:rPr>
              <w:t>Ministru kabineta 2015. gada 28. jūlija noteikumu Nr. 442 “Kārtība, kādā tiek nodrošināta informācijas un komunikācijas tehnoloģiju sistēmu atbilstība minimālajām drošības prasībām”</w:t>
            </w:r>
            <w:r w:rsidRPr="00BD01F6">
              <w:t xml:space="preserve"> prasības.</w:t>
            </w:r>
            <w:r>
              <w:t>”</w:t>
            </w:r>
          </w:p>
        </w:tc>
      </w:tr>
      <w:tr w:rsidR="00E708EF" w:rsidRPr="00BD01F6" w:rsidTr="00771F61">
        <w:tc>
          <w:tcPr>
            <w:tcW w:w="708" w:type="dxa"/>
            <w:tcBorders>
              <w:left w:val="single" w:sz="6" w:space="0" w:color="000000"/>
              <w:bottom w:val="single" w:sz="4" w:space="0" w:color="000000"/>
            </w:tcBorders>
            <w:shd w:val="clear" w:color="auto" w:fill="auto"/>
          </w:tcPr>
          <w:p w:rsidR="00E708EF" w:rsidRPr="00BD01F6" w:rsidRDefault="0090195D" w:rsidP="00E708EF">
            <w:pPr>
              <w:pStyle w:val="naisc"/>
              <w:spacing w:before="0" w:after="0"/>
            </w:pPr>
            <w:r>
              <w:t>21</w:t>
            </w:r>
            <w:r w:rsidR="00E708EF">
              <w:t>.</w:t>
            </w:r>
          </w:p>
        </w:tc>
        <w:tc>
          <w:tcPr>
            <w:tcW w:w="3086" w:type="dxa"/>
            <w:tcBorders>
              <w:top w:val="single" w:sz="4" w:space="0" w:color="auto"/>
              <w:left w:val="single" w:sz="4" w:space="0" w:color="auto"/>
              <w:bottom w:val="single" w:sz="4" w:space="0" w:color="auto"/>
              <w:right w:val="single" w:sz="4" w:space="0" w:color="auto"/>
            </w:tcBorders>
          </w:tcPr>
          <w:p w:rsidR="00E708EF" w:rsidRPr="00BA322B" w:rsidRDefault="007923F9" w:rsidP="00E708EF">
            <w:pPr>
              <w:spacing w:before="60" w:after="60"/>
              <w:jc w:val="both"/>
            </w:pPr>
            <w:r>
              <w:t>Stratēģijas projekta</w:t>
            </w:r>
            <w:r w:rsidR="00E708EF" w:rsidRPr="00BD01F6">
              <w:t xml:space="preserve"> rīcības virziena</w:t>
            </w:r>
            <w:r w:rsidR="00E708EF" w:rsidRPr="00BA322B">
              <w:t xml:space="preserve"> </w:t>
            </w:r>
            <w:r w:rsidR="0076336E">
              <w:t>“</w:t>
            </w:r>
            <w:r w:rsidR="0076336E" w:rsidRPr="0076336E">
              <w:t>Sabiedrības izpratne, izglītība un pētniecība</w:t>
            </w:r>
            <w:r w:rsidR="0076336E">
              <w:t>”</w:t>
            </w:r>
            <w:r w:rsidR="00E708EF" w:rsidRPr="00614EF1">
              <w:t xml:space="preserve"> </w:t>
            </w:r>
            <w:r w:rsidR="00E708EF" w:rsidRPr="00BA322B">
              <w:t>3.2.</w:t>
            </w:r>
            <w:r w:rsidR="0076336E">
              <w:t xml:space="preserve"> uzdevums</w:t>
            </w:r>
            <w:r w:rsidR="00E708EF" w:rsidRPr="00BA322B">
              <w:t xml:space="preserve"> </w:t>
            </w:r>
            <w:r w:rsidR="0076336E">
              <w:t>“</w:t>
            </w:r>
            <w:r w:rsidR="00E708EF" w:rsidRPr="00BA322B">
              <w:t>Izglītojamo un pedagogu izpratnes veicināšana par informācijas drošību, privātuma aizsardzību un u</w:t>
            </w:r>
            <w:r w:rsidR="0076336E">
              <w:t>zticamu e-pakalpojumu lietošanu”</w:t>
            </w:r>
            <w:r w:rsidR="00612855">
              <w:t xml:space="preserve">, </w:t>
            </w:r>
            <w:r w:rsidR="00612855" w:rsidRPr="00612855">
              <w:t>aile “Nepieciešamais finansējums (indikatīvi) un tā avoti”</w:t>
            </w:r>
            <w:r w:rsidR="00612855">
              <w:t>: “</w:t>
            </w:r>
            <w:r w:rsidR="00612855" w:rsidRPr="00805689">
              <w:t>Likumā par valsts budžetu kārtējam gadam paredzētie finanšu līdzekļi.</w:t>
            </w:r>
            <w:r w:rsidR="00612855">
              <w:t>”</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Latvijas Lielo pilsētu asociācija</w:t>
            </w:r>
          </w:p>
          <w:p w:rsidR="00E708EF" w:rsidRPr="00614EF1" w:rsidRDefault="00E708EF" w:rsidP="00E708EF">
            <w:pPr>
              <w:pStyle w:val="naisc"/>
              <w:spacing w:before="0" w:after="0"/>
              <w:jc w:val="both"/>
            </w:pPr>
            <w:r w:rsidRPr="00614EF1">
              <w:t>Ieviešot aktivitāti 3.2., iespējams radīsies nepieciešamība papildus finansējumā, kuru veidos treneru sagatavošana, izmantojamo e-pakalpojumu apzināšana, mācību programmas izveide/pilnveidošana.</w:t>
            </w:r>
          </w:p>
        </w:tc>
        <w:tc>
          <w:tcPr>
            <w:tcW w:w="4111" w:type="dxa"/>
            <w:tcBorders>
              <w:top w:val="single" w:sz="4" w:space="0" w:color="auto"/>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Iebildums ņemts vērā</w:t>
            </w:r>
          </w:p>
          <w:p w:rsidR="00E708EF" w:rsidRPr="00253B5F" w:rsidRDefault="00B14C16" w:rsidP="00E708EF">
            <w:pPr>
              <w:pStyle w:val="naisc"/>
              <w:spacing w:before="0" w:after="0"/>
              <w:jc w:val="both"/>
            </w:pPr>
            <w:r w:rsidRPr="00B14C16">
              <w:t>Papildināta aile “Nepieciešamais finansējums (indikatīvi) un tā avoti”</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708EF" w:rsidP="00E708EF">
            <w:pPr>
              <w:jc w:val="both"/>
            </w:pPr>
            <w:r>
              <w:t>Aile “Nepieciešamais finansējums (indikatīvi) un tā avoti” papildināta ar tekstu šādā redakcijā “Pašvaldības un pašvaldību iestādes uzdevumu realizē, ja iespējams, plānojot uzdevuma realizācijai nepieciešamos finanšu līdzekļus pašvaldību un pašvaldību iestāžu budžetu izstrādes laikā.”</w:t>
            </w:r>
          </w:p>
        </w:tc>
      </w:tr>
      <w:tr w:rsidR="00E708EF" w:rsidRPr="00BD01F6" w:rsidTr="00771F61">
        <w:tc>
          <w:tcPr>
            <w:tcW w:w="708" w:type="dxa"/>
            <w:tcBorders>
              <w:left w:val="single" w:sz="6" w:space="0" w:color="000000"/>
              <w:bottom w:val="single" w:sz="4" w:space="0" w:color="000000"/>
            </w:tcBorders>
            <w:shd w:val="clear" w:color="auto" w:fill="auto"/>
          </w:tcPr>
          <w:p w:rsidR="00E708EF" w:rsidRPr="00BD01F6" w:rsidRDefault="0090195D" w:rsidP="00E708EF">
            <w:pPr>
              <w:pStyle w:val="naisc"/>
              <w:spacing w:before="0" w:after="0"/>
            </w:pPr>
            <w:r>
              <w:t>22</w:t>
            </w:r>
            <w:r w:rsidR="00E708EF">
              <w:t>.</w:t>
            </w:r>
          </w:p>
        </w:tc>
        <w:tc>
          <w:tcPr>
            <w:tcW w:w="3086" w:type="dxa"/>
            <w:tcBorders>
              <w:top w:val="single" w:sz="4" w:space="0" w:color="auto"/>
              <w:left w:val="single" w:sz="4" w:space="0" w:color="auto"/>
              <w:bottom w:val="single" w:sz="4" w:space="0" w:color="auto"/>
              <w:right w:val="single" w:sz="4" w:space="0" w:color="auto"/>
            </w:tcBorders>
          </w:tcPr>
          <w:p w:rsidR="00E708EF" w:rsidRPr="00BA322B" w:rsidRDefault="007923F9" w:rsidP="00E708EF">
            <w:pPr>
              <w:spacing w:before="120"/>
              <w:jc w:val="both"/>
            </w:pPr>
            <w:r>
              <w:t>Stratēģijas projekta</w:t>
            </w:r>
            <w:r w:rsidR="00E708EF" w:rsidRPr="00BD01F6">
              <w:t xml:space="preserve"> rīcības virziena</w:t>
            </w:r>
            <w:r w:rsidR="00E708EF" w:rsidRPr="00BA322B">
              <w:t xml:space="preserve"> </w:t>
            </w:r>
            <w:r w:rsidR="0076336E" w:rsidRPr="0076336E">
              <w:t>“Sabiedrības izpratne, izglītība un pētniecība”</w:t>
            </w:r>
            <w:r w:rsidR="00E708EF" w:rsidRPr="00614EF1">
              <w:t xml:space="preserve"> </w:t>
            </w:r>
            <w:r w:rsidR="00E708EF" w:rsidRPr="00BA322B">
              <w:t>3.4.</w:t>
            </w:r>
            <w:r w:rsidR="0076336E">
              <w:t xml:space="preserve"> uzdevums</w:t>
            </w:r>
            <w:r w:rsidR="00E708EF" w:rsidRPr="00BA322B">
              <w:t xml:space="preserve"> </w:t>
            </w:r>
            <w:r w:rsidR="00612855">
              <w:t>“</w:t>
            </w:r>
            <w:r w:rsidR="00E708EF" w:rsidRPr="00BA322B">
              <w:t>Veicināt valsts un pašvaldību iestāžu darbinieku i</w:t>
            </w:r>
            <w:r w:rsidR="00612855">
              <w:t xml:space="preserve">zpratni par drošu IKT lietošanu”, </w:t>
            </w:r>
            <w:r w:rsidR="00612855" w:rsidRPr="00612855">
              <w:t>aile “Nepieciešamais finansējums (indikatīvi) un tā avoti”</w:t>
            </w:r>
            <w:r w:rsidR="00612855">
              <w:t>: “</w:t>
            </w:r>
            <w:r w:rsidR="00612855" w:rsidRPr="00805689">
              <w:t>Likumā par valsts budžetu kārtējam gadam paredzētie finanšu līdzekļi.</w:t>
            </w:r>
            <w:r w:rsidR="00612855">
              <w:t>”</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Latvijas Lielo pilsētu asociācija</w:t>
            </w:r>
          </w:p>
          <w:p w:rsidR="00E708EF" w:rsidRPr="00614EF1" w:rsidRDefault="00E708EF" w:rsidP="00E708EF">
            <w:pPr>
              <w:pStyle w:val="naisc"/>
              <w:spacing w:before="0" w:after="0"/>
              <w:jc w:val="both"/>
            </w:pPr>
            <w:r w:rsidRPr="00614EF1">
              <w:t>Ieviešot aktivitāti 3.4., iespējams radīsies nepieciešamība papildus finansējumā, kuru veidos mācību programmu izveide/pilnveidošana, mācību kursu nodrošināšana.</w:t>
            </w:r>
          </w:p>
        </w:tc>
        <w:tc>
          <w:tcPr>
            <w:tcW w:w="4111" w:type="dxa"/>
            <w:tcBorders>
              <w:top w:val="single" w:sz="4" w:space="0" w:color="auto"/>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Iebildums ņemts vērā</w:t>
            </w:r>
          </w:p>
          <w:p w:rsidR="00E708EF" w:rsidRPr="00253B5F" w:rsidRDefault="00B14C16" w:rsidP="00E708EF">
            <w:pPr>
              <w:pStyle w:val="naisc"/>
              <w:spacing w:before="0" w:after="0"/>
              <w:jc w:val="both"/>
            </w:pPr>
            <w:r w:rsidRPr="00B14C16">
              <w:t>Papildināta aile “Nepieciešamais finansējums (indikatīvi) un tā avoti”</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708EF" w:rsidP="00E708EF">
            <w:pPr>
              <w:jc w:val="both"/>
            </w:pPr>
            <w:r>
              <w:t>Aile “Nepieciešamais finansējums (indikatīvi) un tā avoti” papildināta ar tekstu šādā redakcijā “Pašvaldības un pašvaldību iestādes uzdevumu realizē, ja iespējams, plānojot uzdevuma realizācijai nepieciešamos finanšu līdzekļus pašvaldību un pašvaldību iestāžu budžetu izstrādes laikā.”</w:t>
            </w:r>
          </w:p>
        </w:tc>
      </w:tr>
      <w:tr w:rsidR="00E708EF" w:rsidRPr="00BD01F6" w:rsidTr="00771F61">
        <w:tc>
          <w:tcPr>
            <w:tcW w:w="708" w:type="dxa"/>
            <w:tcBorders>
              <w:left w:val="single" w:sz="6" w:space="0" w:color="000000"/>
              <w:bottom w:val="single" w:sz="4" w:space="0" w:color="000000"/>
            </w:tcBorders>
            <w:shd w:val="clear" w:color="auto" w:fill="auto"/>
          </w:tcPr>
          <w:p w:rsidR="00E708EF" w:rsidRPr="00BD01F6" w:rsidRDefault="0090195D" w:rsidP="00E708EF">
            <w:pPr>
              <w:pStyle w:val="naisc"/>
              <w:spacing w:before="0" w:after="0"/>
            </w:pPr>
            <w:r>
              <w:t>23</w:t>
            </w:r>
            <w:r w:rsidR="00E708EF">
              <w:t>.</w:t>
            </w:r>
          </w:p>
        </w:tc>
        <w:tc>
          <w:tcPr>
            <w:tcW w:w="3086" w:type="dxa"/>
            <w:tcBorders>
              <w:top w:val="single" w:sz="4" w:space="0" w:color="auto"/>
              <w:left w:val="single" w:sz="4" w:space="0" w:color="auto"/>
              <w:bottom w:val="single" w:sz="4" w:space="0" w:color="auto"/>
              <w:right w:val="single" w:sz="4" w:space="0" w:color="auto"/>
            </w:tcBorders>
          </w:tcPr>
          <w:p w:rsidR="00E708EF" w:rsidRPr="00BA322B" w:rsidRDefault="007923F9" w:rsidP="00E708EF">
            <w:pPr>
              <w:spacing w:before="60"/>
              <w:jc w:val="both"/>
            </w:pPr>
            <w:r>
              <w:t>Stratēģijas projekta</w:t>
            </w:r>
            <w:r w:rsidR="00E708EF" w:rsidRPr="00BD01F6">
              <w:t xml:space="preserve"> rīcības virziena</w:t>
            </w:r>
            <w:r w:rsidR="00E708EF" w:rsidRPr="00BA322B">
              <w:t xml:space="preserve"> </w:t>
            </w:r>
            <w:r w:rsidR="0076336E">
              <w:t>“</w:t>
            </w:r>
            <w:r w:rsidR="0076336E" w:rsidRPr="0076336E">
              <w:t>Starptautiskā sadarbība</w:t>
            </w:r>
            <w:r w:rsidR="0076336E">
              <w:t>”</w:t>
            </w:r>
            <w:r w:rsidR="00E708EF" w:rsidRPr="00614EF1">
              <w:t xml:space="preserve"> </w:t>
            </w:r>
            <w:r w:rsidR="00E708EF" w:rsidRPr="00BA322B">
              <w:t>5.3.</w:t>
            </w:r>
            <w:r w:rsidR="0076336E">
              <w:t xml:space="preserve"> uzdevums</w:t>
            </w:r>
            <w:r w:rsidR="00E708EF" w:rsidRPr="00BA322B">
              <w:t xml:space="preserve"> </w:t>
            </w:r>
            <w:r w:rsidR="00612855">
              <w:t>“</w:t>
            </w:r>
            <w:r w:rsidR="00E708EF" w:rsidRPr="00BA322B">
              <w:t>Palielināt interneta lietotāju identificēšanu, veicinot pāreju uz IPv6 valsts pārvaldē, tādējādi motivējot to darīt privātajam sektoram</w:t>
            </w:r>
            <w:r w:rsidR="00612855">
              <w:t xml:space="preserve">”, </w:t>
            </w:r>
            <w:r w:rsidR="00612855" w:rsidRPr="00612855">
              <w:t>aile “Nepieciešamais finansējums (indikatīvi) un tā avoti”</w:t>
            </w:r>
            <w:r w:rsidR="00612855">
              <w:t>: “</w:t>
            </w:r>
            <w:r w:rsidR="00612855" w:rsidRPr="00805689">
              <w:t>Likumā par valsts budžetu kārtējam gadam paredzētie finanšu līdzekļi.</w:t>
            </w:r>
            <w:r w:rsidR="00612855">
              <w:t>”</w:t>
            </w:r>
          </w:p>
        </w:tc>
        <w:tc>
          <w:tcPr>
            <w:tcW w:w="4394" w:type="dxa"/>
            <w:tcBorders>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Latvijas Lielo pilsētu asociācija</w:t>
            </w:r>
          </w:p>
          <w:p w:rsidR="00E708EF" w:rsidRPr="00614EF1" w:rsidRDefault="00E708EF" w:rsidP="00E708EF">
            <w:pPr>
              <w:pStyle w:val="naisc"/>
              <w:spacing w:before="0" w:after="0"/>
              <w:jc w:val="both"/>
            </w:pPr>
            <w:r w:rsidRPr="00614EF1">
              <w:t>Ieviešot aktivitāti 5.3., iespējams radīsies nepieciešamība papildus finansējumā, kuru veidos minētās aktivitātes realizēšanai nepieciešamie tehniskie rīki un iekārtas.</w:t>
            </w:r>
          </w:p>
        </w:tc>
        <w:tc>
          <w:tcPr>
            <w:tcW w:w="4111" w:type="dxa"/>
            <w:tcBorders>
              <w:top w:val="single" w:sz="4" w:space="0" w:color="auto"/>
              <w:left w:val="single" w:sz="6" w:space="0" w:color="000000"/>
              <w:bottom w:val="single" w:sz="4" w:space="0" w:color="000000"/>
            </w:tcBorders>
            <w:shd w:val="clear" w:color="auto" w:fill="auto"/>
          </w:tcPr>
          <w:p w:rsidR="00E708EF" w:rsidRPr="00BD01F6" w:rsidRDefault="00E708EF" w:rsidP="00E708EF">
            <w:pPr>
              <w:pStyle w:val="naisc"/>
              <w:spacing w:before="0" w:after="0"/>
              <w:rPr>
                <w:b/>
              </w:rPr>
            </w:pPr>
            <w:r w:rsidRPr="00BD01F6">
              <w:rPr>
                <w:b/>
              </w:rPr>
              <w:t>Iebildums ņemts vērā</w:t>
            </w:r>
          </w:p>
          <w:p w:rsidR="00E708EF" w:rsidRPr="00253B5F" w:rsidRDefault="00B14C16" w:rsidP="00E708EF">
            <w:pPr>
              <w:pStyle w:val="naisc"/>
              <w:spacing w:before="0" w:after="0"/>
              <w:jc w:val="both"/>
            </w:pPr>
            <w:r w:rsidRPr="00B14C16">
              <w:t>Papildināta aile “Nepieciešamais finansējums (indikatīvi) un tā avoti”</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708EF" w:rsidP="00E708EF">
            <w:pPr>
              <w:jc w:val="both"/>
            </w:pPr>
            <w:r>
              <w:t xml:space="preserve">Aile “Nepieciešamais finansējums (indikatīvi) un tā avoti” papildināta ar tekstu šādā redakcijā “Pašvaldības un pašvaldību iestādes uzdevumu realizē, ja iespējams, plānojot uzdevuma realizācijai nepieciešamos finanšu līdzekļus pašvaldību un pašvaldību iestāžu budžetu izstrādes laikā, vienlaikus ievērojot </w:t>
            </w:r>
            <w:r w:rsidRPr="00BD01F6">
              <w:rPr>
                <w:rFonts w:eastAsia="Calibri"/>
                <w:lang w:eastAsia="en-US"/>
              </w:rPr>
              <w:t>Ministru kabineta 2015. gada 28. jūlija noteikumu Nr. 442 “Kārtība, kādā tiek nodrošināta informācijas un komunikācijas tehnoloģiju sistēmu atbilstība minimālajām drošības prasībām”</w:t>
            </w:r>
            <w:r w:rsidRPr="00BD01F6">
              <w:t xml:space="preserve"> prasības.</w:t>
            </w:r>
            <w:r>
              <w:t>”</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90195D" w:rsidP="00E708EF">
            <w:pPr>
              <w:pStyle w:val="naisc"/>
              <w:spacing w:before="0" w:after="0"/>
            </w:pPr>
            <w:r>
              <w:t>24</w:t>
            </w:r>
            <w:r w:rsidR="00E708EF">
              <w:t>.</w:t>
            </w:r>
          </w:p>
        </w:tc>
        <w:tc>
          <w:tcPr>
            <w:tcW w:w="3086" w:type="dxa"/>
            <w:tcBorders>
              <w:left w:val="single" w:sz="6" w:space="0" w:color="000000"/>
              <w:bottom w:val="single" w:sz="4" w:space="0" w:color="000000"/>
            </w:tcBorders>
            <w:shd w:val="clear" w:color="auto" w:fill="auto"/>
          </w:tcPr>
          <w:p w:rsidR="00E708EF" w:rsidRPr="00BD01F6" w:rsidRDefault="0033706D" w:rsidP="00A3314D">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Stratēģijas projekta </w:t>
            </w:r>
            <w:r w:rsidR="00A3314D">
              <w:rPr>
                <w:rFonts w:ascii="Times New Roman" w:eastAsia="Times New Roman" w:hAnsi="Times New Roman" w:cs="Times New Roman"/>
                <w:sz w:val="24"/>
                <w:szCs w:val="24"/>
              </w:rPr>
              <w:t>4.1.</w:t>
            </w:r>
            <w:r>
              <w:rPr>
                <w:rFonts w:ascii="Times New Roman" w:eastAsia="Times New Roman" w:hAnsi="Times New Roman" w:cs="Times New Roman"/>
                <w:sz w:val="24"/>
                <w:szCs w:val="24"/>
              </w:rPr>
              <w:t>no</w:t>
            </w:r>
            <w:r w:rsidR="00E708EF">
              <w:rPr>
                <w:rFonts w:ascii="Times New Roman" w:eastAsia="Times New Roman" w:hAnsi="Times New Roman" w:cs="Times New Roman"/>
                <w:sz w:val="24"/>
                <w:szCs w:val="24"/>
              </w:rPr>
              <w:t xml:space="preserve">daļa </w:t>
            </w:r>
          </w:p>
        </w:tc>
        <w:tc>
          <w:tcPr>
            <w:tcW w:w="4394" w:type="dxa"/>
            <w:tcBorders>
              <w:left w:val="single" w:sz="6" w:space="0" w:color="000000"/>
              <w:bottom w:val="single" w:sz="4" w:space="0" w:color="000000"/>
            </w:tcBorders>
            <w:shd w:val="clear" w:color="auto" w:fill="auto"/>
          </w:tcPr>
          <w:p w:rsidR="00E708EF" w:rsidRDefault="00E708EF" w:rsidP="00E708EF">
            <w:pPr>
              <w:pStyle w:val="naisc"/>
              <w:spacing w:before="0" w:after="0"/>
              <w:rPr>
                <w:b/>
              </w:rPr>
            </w:pPr>
            <w:r w:rsidRPr="00771F61">
              <w:rPr>
                <w:b/>
              </w:rPr>
              <w:t xml:space="preserve">Apvienotā </w:t>
            </w:r>
            <w:proofErr w:type="spellStart"/>
            <w:r w:rsidRPr="00771F61">
              <w:rPr>
                <w:b/>
              </w:rPr>
              <w:t>kiberaizsardzības</w:t>
            </w:r>
            <w:proofErr w:type="spellEnd"/>
            <w:r w:rsidRPr="00771F61">
              <w:rPr>
                <w:b/>
              </w:rPr>
              <w:t xml:space="preserve"> līga</w:t>
            </w:r>
          </w:p>
          <w:p w:rsidR="00E708EF" w:rsidRPr="004C47EB" w:rsidRDefault="00E708EF" w:rsidP="00E708EF">
            <w:pPr>
              <w:suppressAutoHyphens w:val="0"/>
              <w:autoSpaceDE w:val="0"/>
              <w:autoSpaceDN w:val="0"/>
              <w:adjustRightInd w:val="0"/>
              <w:jc w:val="both"/>
              <w:rPr>
                <w:rFonts w:ascii="LiberationSerif" w:hAnsi="LiberationSerif" w:cs="LiberationSerif"/>
                <w:color w:val="00000A"/>
                <w:lang w:eastAsia="lv-LV"/>
              </w:rPr>
            </w:pPr>
            <w:r>
              <w:rPr>
                <w:rFonts w:ascii="LiberationSerif" w:hAnsi="LiberationSerif" w:cs="LiberationSerif"/>
                <w:color w:val="00000A"/>
                <w:lang w:eastAsia="lv-LV"/>
              </w:rPr>
              <w:t>Stratēģijas projekta 4.1. punktu “Kiberdrošības veicināšana, digitālās drošības risku mazināšana” jāpapildina ar uzdevumu “</w:t>
            </w:r>
            <w:r>
              <w:rPr>
                <w:rFonts w:ascii="LiberationSerif-Italic" w:hAnsi="LiberationSerif-Italic" w:cs="LiberationSerif-Italic"/>
                <w:i/>
                <w:iCs/>
                <w:color w:val="00000A"/>
                <w:lang w:eastAsia="lv-LV"/>
              </w:rPr>
              <w:t>Organizēt nacionāla līmeņa mācības, tajās iesaistot arī komersantus (gan kritiskās infrastruktūras turētājus, gan citus nozarē strādājošos), lai tādējādi attīstītu savstarpējo sapratni un koordinētu darbību krīzes situāciju pārvarēšanā.</w:t>
            </w:r>
            <w:r>
              <w:rPr>
                <w:rFonts w:ascii="LiberationSerif" w:hAnsi="LiberationSerif" w:cs="LiberationSerif"/>
                <w:color w:val="00000A"/>
                <w:lang w:eastAsia="lv-LV"/>
              </w:rPr>
              <w:t>”</w:t>
            </w:r>
          </w:p>
        </w:tc>
        <w:tc>
          <w:tcPr>
            <w:tcW w:w="4111" w:type="dxa"/>
            <w:tcBorders>
              <w:top w:val="single" w:sz="4" w:space="0" w:color="auto"/>
              <w:left w:val="single" w:sz="6" w:space="0" w:color="000000"/>
              <w:bottom w:val="single" w:sz="4" w:space="0" w:color="000000"/>
            </w:tcBorders>
            <w:shd w:val="clear" w:color="auto" w:fill="auto"/>
          </w:tcPr>
          <w:p w:rsidR="00456D55" w:rsidRDefault="00456D55" w:rsidP="00E708EF">
            <w:pPr>
              <w:pStyle w:val="naisc"/>
              <w:spacing w:before="0" w:after="0"/>
              <w:jc w:val="both"/>
              <w:rPr>
                <w:b/>
              </w:rPr>
            </w:pPr>
            <w:r w:rsidRPr="00456D55">
              <w:rPr>
                <w:b/>
              </w:rPr>
              <w:t>Iebildums atsaukts, jo iebilduma iesniedzējs neieradās uz starpministriju (starpinstitūciju) sanāksmi.</w:t>
            </w:r>
          </w:p>
          <w:p w:rsidR="00E708EF" w:rsidRPr="00215218" w:rsidRDefault="0033706D" w:rsidP="00A3314D">
            <w:pPr>
              <w:pStyle w:val="naisc"/>
              <w:spacing w:before="0" w:after="0"/>
              <w:jc w:val="both"/>
            </w:pPr>
            <w:r>
              <w:t xml:space="preserve">Stratēģijas projekta </w:t>
            </w:r>
            <w:r w:rsidR="00A3314D">
              <w:t xml:space="preserve">4.1. </w:t>
            </w:r>
            <w:r>
              <w:t>no</w:t>
            </w:r>
            <w:r w:rsidR="00E708EF">
              <w:t xml:space="preserve">daļa </w:t>
            </w:r>
            <w:r w:rsidR="00E50210">
              <w:t>papildināta ar uzdevumu “1.5</w:t>
            </w:r>
            <w:r w:rsidR="00E708EF">
              <w:t xml:space="preserve">. Reizi divos gados organizēt kiberdrošības krīzes vadības mācības, </w:t>
            </w:r>
            <w:r w:rsidR="00E708EF" w:rsidRPr="00D90F4D">
              <w:t>lai attīstītu savstarpējo sapratni un koordinētu darbību krīzes situāciju pārvarēšanā.</w:t>
            </w:r>
            <w:r w:rsidR="00E708EF">
              <w:t>”</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D5C24" w:rsidP="00A3314D">
            <w:pPr>
              <w:jc w:val="both"/>
            </w:pPr>
            <w:r w:rsidRPr="00ED5C24">
              <w:t xml:space="preserve">Informatīvā ziņojuma “Latvijas kiberdrošības stratēģija 2019.-2022.gadam” </w:t>
            </w:r>
            <w:r w:rsidR="00A3314D">
              <w:t xml:space="preserve">4.1. </w:t>
            </w:r>
            <w:r w:rsidR="0033706D">
              <w:t>nodaļa papildināta ar uzdevumu “</w:t>
            </w:r>
            <w:r w:rsidR="00E50210">
              <w:t>1.5</w:t>
            </w:r>
            <w:r w:rsidR="00E708EF">
              <w:t xml:space="preserve">. Reizi divos gados organizēt kiberdrošības krīzes vadības mācības, </w:t>
            </w:r>
            <w:r w:rsidR="00E708EF" w:rsidRPr="00D90F4D">
              <w:t>lai attīstītu savstarpējo sapratni un koordinētu darbību krīzes situāciju pārvarēšanā.</w:t>
            </w:r>
            <w:r w:rsidR="0033706D">
              <w:t>”</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90195D" w:rsidP="00E708EF">
            <w:pPr>
              <w:pStyle w:val="naisc"/>
              <w:spacing w:before="0" w:after="0"/>
            </w:pPr>
            <w:r>
              <w:t>25</w:t>
            </w:r>
            <w:r w:rsidR="00E708EF">
              <w:t>.</w:t>
            </w:r>
          </w:p>
        </w:tc>
        <w:tc>
          <w:tcPr>
            <w:tcW w:w="3086" w:type="dxa"/>
            <w:tcBorders>
              <w:left w:val="single" w:sz="6" w:space="0" w:color="000000"/>
              <w:bottom w:val="single" w:sz="4" w:space="0" w:color="000000"/>
            </w:tcBorders>
            <w:shd w:val="clear" w:color="auto" w:fill="auto"/>
          </w:tcPr>
          <w:p w:rsidR="00E708EF" w:rsidRPr="00BD01F6" w:rsidRDefault="0033706D" w:rsidP="00A3314D">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Stratēģijas projekta </w:t>
            </w:r>
            <w:r w:rsidR="00A3314D">
              <w:rPr>
                <w:rFonts w:ascii="Times New Roman" w:eastAsia="Times New Roman" w:hAnsi="Times New Roman" w:cs="Times New Roman"/>
                <w:sz w:val="24"/>
                <w:szCs w:val="24"/>
              </w:rPr>
              <w:t>4.3.</w:t>
            </w:r>
            <w:r>
              <w:rPr>
                <w:rFonts w:ascii="Times New Roman" w:eastAsia="Times New Roman" w:hAnsi="Times New Roman" w:cs="Times New Roman"/>
                <w:sz w:val="24"/>
                <w:szCs w:val="24"/>
              </w:rPr>
              <w:t>no</w:t>
            </w:r>
            <w:r w:rsidR="004B7F25">
              <w:rPr>
                <w:rFonts w:ascii="Times New Roman" w:eastAsia="Times New Roman" w:hAnsi="Times New Roman" w:cs="Times New Roman"/>
                <w:sz w:val="24"/>
                <w:szCs w:val="24"/>
              </w:rPr>
              <w:t xml:space="preserve">daļa </w:t>
            </w:r>
          </w:p>
        </w:tc>
        <w:tc>
          <w:tcPr>
            <w:tcW w:w="4394" w:type="dxa"/>
            <w:tcBorders>
              <w:left w:val="single" w:sz="6" w:space="0" w:color="000000"/>
              <w:bottom w:val="single" w:sz="4" w:space="0" w:color="000000"/>
            </w:tcBorders>
            <w:shd w:val="clear" w:color="auto" w:fill="auto"/>
          </w:tcPr>
          <w:p w:rsidR="00E708EF" w:rsidRDefault="00E708EF" w:rsidP="00E708EF">
            <w:pPr>
              <w:pStyle w:val="naisc"/>
              <w:spacing w:before="0" w:after="0"/>
              <w:rPr>
                <w:b/>
              </w:rPr>
            </w:pPr>
            <w:r w:rsidRPr="00771F61">
              <w:rPr>
                <w:b/>
              </w:rPr>
              <w:t>Apvienotā kiberaizsardzības līga</w:t>
            </w:r>
          </w:p>
          <w:p w:rsidR="00E708EF" w:rsidRPr="004C47EB" w:rsidRDefault="00E708EF" w:rsidP="00E708EF">
            <w:pPr>
              <w:suppressAutoHyphens w:val="0"/>
              <w:autoSpaceDE w:val="0"/>
              <w:autoSpaceDN w:val="0"/>
              <w:adjustRightInd w:val="0"/>
              <w:jc w:val="both"/>
              <w:rPr>
                <w:rFonts w:ascii="LiberationSerif" w:hAnsi="LiberationSerif" w:cs="LiberationSerif"/>
                <w:color w:val="00000A"/>
                <w:lang w:eastAsia="lv-LV"/>
              </w:rPr>
            </w:pPr>
            <w:r>
              <w:rPr>
                <w:rFonts w:ascii="LiberationSerif" w:hAnsi="LiberationSerif" w:cs="LiberationSerif"/>
                <w:color w:val="00000A"/>
                <w:lang w:eastAsia="lv-LV"/>
              </w:rPr>
              <w:t>Stratēģijas projekta 4.3. punktu “Sabiedrības izpratne, izglītība un pētniecība” nepieciešams papildināt, dodot signālu, ka dalība olimpiādēs ir valstij nozīmīgs mehānisms jaunās paaudzes IT drošības speciālistu izglītošanā, kā arī uzsverot, ka pētniecība veicama iesaistot arī nozares komersantus (tādējādi veicinot komersantu un zinātnieku sinerģiju), turklāt izveidojama kvalitatīva pētnieciskā bāze, kas ļautu labāk sasniegt augstu zinātnes kvalitāti. Pievienojama rindkopa “</w:t>
            </w:r>
            <w:r>
              <w:rPr>
                <w:rFonts w:ascii="LiberationSerif-Italic" w:hAnsi="LiberationSerif-Italic" w:cs="LiberationSerif-Italic"/>
                <w:i/>
                <w:iCs/>
                <w:color w:val="00000A"/>
                <w:lang w:eastAsia="lv-LV"/>
              </w:rPr>
              <w:t xml:space="preserve">Veidot ikgadēju valsts līmeņa urķu olimpiādi (kā daļu no ENISA </w:t>
            </w:r>
            <w:proofErr w:type="spellStart"/>
            <w:r>
              <w:rPr>
                <w:rFonts w:ascii="LiberationSerif-Italic" w:hAnsi="LiberationSerif-Italic" w:cs="LiberationSerif-Italic"/>
                <w:i/>
                <w:iCs/>
                <w:color w:val="00000A"/>
                <w:lang w:eastAsia="lv-LV"/>
              </w:rPr>
              <w:t>Cyber</w:t>
            </w:r>
            <w:proofErr w:type="spellEnd"/>
            <w:r>
              <w:rPr>
                <w:rFonts w:ascii="LiberationSerif-Italic" w:hAnsi="LiberationSerif-Italic" w:cs="LiberationSerif-Italic"/>
                <w:i/>
                <w:iCs/>
                <w:color w:val="00000A"/>
                <w:lang w:eastAsia="lv-LV"/>
              </w:rPr>
              <w:t xml:space="preserve"> Challenge</w:t>
            </w:r>
            <w:r>
              <w:rPr>
                <w:rFonts w:ascii="LiberationSerif-Italic" w:hAnsi="LiberationSerif-Italic" w:cs="LiberationSerif-Italic"/>
                <w:i/>
                <w:iCs/>
                <w:color w:val="00000A"/>
                <w:sz w:val="14"/>
                <w:szCs w:val="14"/>
                <w:lang w:eastAsia="lv-LV"/>
              </w:rPr>
              <w:t>1</w:t>
            </w:r>
            <w:r>
              <w:rPr>
                <w:rFonts w:ascii="LiberationSerif-Italic" w:hAnsi="LiberationSerif-Italic" w:cs="LiberationSerif-Italic"/>
                <w:i/>
                <w:iCs/>
                <w:color w:val="00000A"/>
                <w:lang w:eastAsia="lv-LV"/>
              </w:rPr>
              <w:t>)</w:t>
            </w:r>
            <w:r>
              <w:rPr>
                <w:rFonts w:ascii="LiberationSerif" w:hAnsi="LiberationSerif" w:cs="LiberationSerif"/>
                <w:color w:val="00000A"/>
                <w:lang w:eastAsia="lv-LV"/>
              </w:rPr>
              <w:t>” un rindkopa “</w:t>
            </w:r>
            <w:r>
              <w:rPr>
                <w:rFonts w:ascii="LiberationSerif-Italic" w:hAnsi="LiberationSerif-Italic" w:cs="LiberationSerif-Italic"/>
                <w:i/>
                <w:iCs/>
                <w:color w:val="00000A"/>
                <w:lang w:eastAsia="lv-LV"/>
              </w:rPr>
              <w:t>Sadarbojoties CERT.LV, zinātniskajiem institūtiem, augstskolām un nozares</w:t>
            </w:r>
            <w:r>
              <w:rPr>
                <w:rFonts w:ascii="LiberationSerif" w:hAnsi="LiberationSerif" w:cs="LiberationSerif"/>
                <w:color w:val="00000A"/>
                <w:lang w:eastAsia="lv-LV"/>
              </w:rPr>
              <w:t xml:space="preserve"> </w:t>
            </w:r>
            <w:r>
              <w:rPr>
                <w:rFonts w:ascii="LiberationSerif-Italic" w:hAnsi="LiberationSerif-Italic" w:cs="LiberationSerif-Italic"/>
                <w:i/>
                <w:iCs/>
                <w:color w:val="00000A"/>
                <w:lang w:eastAsia="lv-LV"/>
              </w:rPr>
              <w:t>komersantiem, izveidot pētniecisko bāzi, lai varētu uzsākt kiberdrošības pētniecību pasaules līmenī;</w:t>
            </w:r>
          </w:p>
          <w:p w:rsidR="00E708EF" w:rsidRPr="004C47EB" w:rsidRDefault="00E708EF" w:rsidP="00E708EF">
            <w:pPr>
              <w:suppressAutoHyphens w:val="0"/>
              <w:autoSpaceDE w:val="0"/>
              <w:autoSpaceDN w:val="0"/>
              <w:adjustRightInd w:val="0"/>
              <w:jc w:val="both"/>
              <w:rPr>
                <w:rFonts w:ascii="LiberationSerif" w:hAnsi="LiberationSerif" w:cs="LiberationSerif"/>
                <w:color w:val="00000A"/>
                <w:lang w:eastAsia="lv-LV"/>
              </w:rPr>
            </w:pPr>
            <w:r>
              <w:rPr>
                <w:rFonts w:ascii="LiberationSerif-Italic" w:hAnsi="LiberationSerif-Italic" w:cs="LiberationSerif-Italic"/>
                <w:i/>
                <w:iCs/>
                <w:color w:val="00000A"/>
                <w:lang w:eastAsia="lv-LV"/>
              </w:rPr>
              <w:t>nodrošināt tam atbilstošu finansējumu.</w:t>
            </w:r>
            <w:r>
              <w:rPr>
                <w:rFonts w:ascii="LiberationSerif" w:hAnsi="LiberationSerif" w:cs="LiberationSerif"/>
                <w:color w:val="00000A"/>
                <w:lang w:eastAsia="lv-LV"/>
              </w:rPr>
              <w:t>” Papildināt finansējuma tabulu (ietekmi uz budžetu), kurā iekļauts finansējums pētnieciskās bāzes izveidei un dalībai olimpiādē.</w:t>
            </w:r>
          </w:p>
        </w:tc>
        <w:tc>
          <w:tcPr>
            <w:tcW w:w="4111" w:type="dxa"/>
            <w:tcBorders>
              <w:top w:val="single" w:sz="4" w:space="0" w:color="auto"/>
              <w:left w:val="single" w:sz="6" w:space="0" w:color="000000"/>
              <w:bottom w:val="single" w:sz="4" w:space="0" w:color="000000"/>
            </w:tcBorders>
            <w:shd w:val="clear" w:color="auto" w:fill="auto"/>
          </w:tcPr>
          <w:p w:rsidR="00456D55" w:rsidRDefault="00456D55" w:rsidP="00E708EF">
            <w:pPr>
              <w:pStyle w:val="naisc"/>
              <w:spacing w:before="0" w:after="0"/>
              <w:jc w:val="both"/>
              <w:rPr>
                <w:b/>
              </w:rPr>
            </w:pPr>
            <w:r w:rsidRPr="00456D55">
              <w:rPr>
                <w:b/>
              </w:rPr>
              <w:t>Iebildums atsaukts, jo iebilduma iesniedzējs neieradās uz starpministriju (starpinstitūciju) sanāksmi.</w:t>
            </w:r>
          </w:p>
          <w:p w:rsidR="00E708EF" w:rsidRPr="003855A8" w:rsidRDefault="0033706D" w:rsidP="00E708EF">
            <w:pPr>
              <w:pStyle w:val="naisc"/>
              <w:spacing w:before="0" w:after="0"/>
              <w:jc w:val="both"/>
            </w:pPr>
            <w:r>
              <w:t xml:space="preserve">Stratēģijas projekta </w:t>
            </w:r>
            <w:r w:rsidR="00A3314D">
              <w:t xml:space="preserve">4.3. </w:t>
            </w:r>
            <w:r>
              <w:t>no</w:t>
            </w:r>
            <w:r w:rsidR="00E708EF">
              <w:t>daļa papildināta ar tekstu šādā redakcijā: “</w:t>
            </w:r>
            <w:r w:rsidR="009A3078">
              <w:t>Vienlaikus centieniem paaugstināt sabiedrības vispārējās zināšanas ir jāveicina jauno IT speciālistu izglītošana un izaugsm</w:t>
            </w:r>
            <w:r w:rsidR="006D4A4A">
              <w:t>e, kur būtiska nozīme ir iespējām</w:t>
            </w:r>
            <w:r w:rsidR="009A3078">
              <w:t xml:space="preserve"> piedalīties interešu izglītības pasākumos un sacensībās kiberdrošības jomā (uzdevums 3.5.)</w:t>
            </w:r>
            <w:r w:rsidR="00E708EF">
              <w:t>”, savuk</w:t>
            </w:r>
            <w:r w:rsidR="00E54EC6">
              <w:t>ārt iebildumā minēto pētnieciskās bāzes attīstību</w:t>
            </w:r>
            <w:r w:rsidR="00E708EF">
              <w:t xml:space="preserve"> un dalību olimpiādē</w:t>
            </w:r>
            <w:r w:rsidR="00E54EC6">
              <w:t>s iet</w:t>
            </w:r>
            <w:r w:rsidR="00E708EF">
              <w:t>ver stratēģijas projekta uzdevums 3.1. “</w:t>
            </w:r>
            <w:r w:rsidR="00E708EF" w:rsidRPr="00805689">
              <w:t>Veicināt pētniecīb</w:t>
            </w:r>
            <w:r w:rsidR="00E708EF">
              <w:t>as attīstību kiberdrošības jomā” un 3.5. “</w:t>
            </w:r>
            <w:r w:rsidR="00E708EF" w:rsidRPr="00805689">
              <w:t>Veicināt atbalstu Latvijas dalībai bērnu un jauniešu interešu izglītības pasākumos un sacensībās kiberdrošības jomā</w:t>
            </w:r>
            <w:r w:rsidR="00E708EF">
              <w:t>”.</w:t>
            </w:r>
          </w:p>
          <w:p w:rsidR="00E708EF" w:rsidRPr="00BD01F6" w:rsidRDefault="00E708EF" w:rsidP="00E708EF">
            <w:pPr>
              <w:pStyle w:val="naisc"/>
              <w:spacing w:before="0" w:after="0"/>
              <w:rPr>
                <w:b/>
              </w:rPr>
            </w:pP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708EF" w:rsidRPr="00BD01F6" w:rsidRDefault="00ED5C24" w:rsidP="00A3314D">
            <w:pPr>
              <w:jc w:val="both"/>
            </w:pPr>
            <w:r w:rsidRPr="00ED5C24">
              <w:t xml:space="preserve">Informatīvā ziņojuma “Latvijas kiberdrošības stratēģija 2019.-2022.gadam” </w:t>
            </w:r>
            <w:r w:rsidR="00A3314D">
              <w:t xml:space="preserve">4.3. </w:t>
            </w:r>
            <w:r w:rsidR="0033706D">
              <w:t>no</w:t>
            </w:r>
            <w:r w:rsidR="004B7F25">
              <w:t xml:space="preserve">daļa </w:t>
            </w:r>
            <w:r w:rsidR="00F774CD">
              <w:t>papildināta ar tekstu šādā redakcijā: “Vienlaikus centieniem paaugstināt sabiedrības vispārējās zināšanas ir jāveicina jauno IT speciālistu izglītošana un izaugsme, kur būtiska nozīme ir iespējām piedalīties interešu izglītības pasākumos un sacensībās kiberdrošības jomā (uzdevums 3.5.)”</w:t>
            </w:r>
          </w:p>
        </w:tc>
      </w:tr>
      <w:tr w:rsidR="00E708EF" w:rsidRPr="00BD01F6" w:rsidTr="008D6D61">
        <w:tc>
          <w:tcPr>
            <w:tcW w:w="708" w:type="dxa"/>
            <w:tcBorders>
              <w:left w:val="single" w:sz="6" w:space="0" w:color="000000"/>
              <w:bottom w:val="single" w:sz="4" w:space="0" w:color="000000"/>
            </w:tcBorders>
            <w:shd w:val="clear" w:color="auto" w:fill="auto"/>
          </w:tcPr>
          <w:p w:rsidR="00E708EF" w:rsidRPr="00BD01F6" w:rsidRDefault="0090195D" w:rsidP="00E708EF">
            <w:pPr>
              <w:pStyle w:val="naisc"/>
              <w:spacing w:before="0" w:after="0"/>
            </w:pPr>
            <w:r>
              <w:t>26</w:t>
            </w:r>
            <w:r w:rsidR="00E708EF">
              <w:t>.</w:t>
            </w:r>
          </w:p>
        </w:tc>
        <w:tc>
          <w:tcPr>
            <w:tcW w:w="3086" w:type="dxa"/>
            <w:tcBorders>
              <w:left w:val="single" w:sz="6" w:space="0" w:color="000000"/>
              <w:bottom w:val="single" w:sz="4" w:space="0" w:color="000000"/>
            </w:tcBorders>
            <w:shd w:val="clear" w:color="auto" w:fill="auto"/>
          </w:tcPr>
          <w:p w:rsidR="00F535D5" w:rsidRDefault="007923F9" w:rsidP="00F535D5">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Stratēģijas projekta </w:t>
            </w:r>
            <w:r w:rsidR="00A3314D">
              <w:rPr>
                <w:rFonts w:ascii="Times New Roman" w:eastAsia="Times New Roman" w:hAnsi="Times New Roman" w:cs="Times New Roman"/>
                <w:sz w:val="24"/>
                <w:szCs w:val="24"/>
              </w:rPr>
              <w:t xml:space="preserve">4.4. </w:t>
            </w:r>
            <w:r>
              <w:rPr>
                <w:rFonts w:ascii="Times New Roman" w:eastAsia="Times New Roman" w:hAnsi="Times New Roman" w:cs="Times New Roman"/>
                <w:sz w:val="24"/>
                <w:szCs w:val="24"/>
              </w:rPr>
              <w:t>n</w:t>
            </w:r>
            <w:r w:rsidR="0033706D">
              <w:rPr>
                <w:rFonts w:ascii="Times New Roman" w:eastAsia="Times New Roman" w:hAnsi="Times New Roman" w:cs="Times New Roman"/>
                <w:sz w:val="24"/>
                <w:szCs w:val="24"/>
              </w:rPr>
              <w:t>o</w:t>
            </w:r>
            <w:r w:rsidR="00F535D5">
              <w:rPr>
                <w:rFonts w:ascii="Times New Roman" w:eastAsia="Times New Roman" w:hAnsi="Times New Roman" w:cs="Times New Roman"/>
                <w:sz w:val="24"/>
                <w:szCs w:val="24"/>
              </w:rPr>
              <w:t xml:space="preserve">daļa </w:t>
            </w:r>
          </w:p>
          <w:p w:rsidR="00E708EF" w:rsidRPr="00BD01F6" w:rsidRDefault="00F535D5" w:rsidP="00F535D5">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35D5">
              <w:rPr>
                <w:rFonts w:ascii="Times New Roman" w:eastAsia="Times New Roman" w:hAnsi="Times New Roman" w:cs="Times New Roman"/>
                <w:sz w:val="24"/>
                <w:szCs w:val="24"/>
              </w:rPr>
              <w:t>turpinās atbalstīt starptautiskos centienus</w:t>
            </w:r>
            <w:r>
              <w:rPr>
                <w:rFonts w:ascii="Times New Roman" w:eastAsia="Times New Roman" w:hAnsi="Times New Roman" w:cs="Times New Roman"/>
                <w:sz w:val="24"/>
                <w:szCs w:val="24"/>
              </w:rPr>
              <w:t xml:space="preserve"> savstarpējas uzticēša</w:t>
            </w:r>
            <w:r w:rsidRPr="00F535D5">
              <w:rPr>
                <w:rFonts w:ascii="Times New Roman" w:eastAsia="Times New Roman" w:hAnsi="Times New Roman" w:cs="Times New Roman"/>
                <w:sz w:val="24"/>
                <w:szCs w:val="24"/>
              </w:rPr>
              <w:t>nās un sadarbības veicināšanai, uzsverot, ka spēkā esošajām starptautiskajām tiesību normām jābūt vienlīdz piemērojamām kā fiziskajā, tā virtuālajā vidē</w:t>
            </w:r>
          </w:p>
        </w:tc>
        <w:tc>
          <w:tcPr>
            <w:tcW w:w="4394" w:type="dxa"/>
            <w:tcBorders>
              <w:left w:val="single" w:sz="6" w:space="0" w:color="000000"/>
              <w:bottom w:val="single" w:sz="4" w:space="0" w:color="000000"/>
            </w:tcBorders>
            <w:shd w:val="clear" w:color="auto" w:fill="auto"/>
          </w:tcPr>
          <w:p w:rsidR="00E708EF" w:rsidRDefault="00E708EF" w:rsidP="00E708EF">
            <w:pPr>
              <w:pStyle w:val="naisc"/>
              <w:spacing w:before="0" w:after="0"/>
              <w:rPr>
                <w:b/>
              </w:rPr>
            </w:pPr>
            <w:r w:rsidRPr="00771F61">
              <w:rPr>
                <w:b/>
              </w:rPr>
              <w:t>Apvienotā kiberaizsardzības līga</w:t>
            </w:r>
          </w:p>
          <w:p w:rsidR="00E708EF" w:rsidRPr="004C47EB" w:rsidRDefault="00E708EF" w:rsidP="00E708EF">
            <w:pPr>
              <w:suppressAutoHyphens w:val="0"/>
              <w:autoSpaceDE w:val="0"/>
              <w:autoSpaceDN w:val="0"/>
              <w:adjustRightInd w:val="0"/>
              <w:jc w:val="both"/>
              <w:rPr>
                <w:rFonts w:ascii="LiberationSerif-Italic" w:hAnsi="LiberationSerif-Italic" w:cs="LiberationSerif-Italic"/>
                <w:i/>
                <w:iCs/>
                <w:color w:val="00000A"/>
                <w:lang w:eastAsia="lv-LV"/>
              </w:rPr>
            </w:pPr>
            <w:r>
              <w:rPr>
                <w:rFonts w:ascii="LiberationSerif" w:hAnsi="LiberationSerif" w:cs="LiberationSerif"/>
                <w:color w:val="00000A"/>
                <w:lang w:eastAsia="lv-LV"/>
              </w:rPr>
              <w:t>Stratēģijas projekta 4.4. punktā “Starptautiskā sadarbība” teksts “</w:t>
            </w:r>
            <w:r>
              <w:rPr>
                <w:rFonts w:ascii="LiberationSerif-Italic" w:hAnsi="LiberationSerif-Italic" w:cs="LiberationSerif-Italic"/>
                <w:i/>
                <w:iCs/>
                <w:color w:val="00000A"/>
                <w:lang w:eastAsia="lv-LV"/>
              </w:rPr>
              <w:t>turpinās atbalstīt starptautiskos centienus savstarpējas uzticēšanās un sadarbības veicināšanai, uzsverot, ka spēkā esošajām starptautiskajām tiesību normām jābūt vienlīdz piemērojamām kā fiziskajā, tā virtuālajā vidē;</w:t>
            </w:r>
            <w:r>
              <w:rPr>
                <w:rFonts w:ascii="LiberationSerif" w:hAnsi="LiberationSerif" w:cs="LiberationSerif"/>
                <w:color w:val="00000A"/>
                <w:lang w:eastAsia="lv-LV"/>
              </w:rPr>
              <w:t>” precizējams, to aizvietojot ar “</w:t>
            </w:r>
            <w:r>
              <w:rPr>
                <w:rFonts w:ascii="LiberationSerif-Italic" w:hAnsi="LiberationSerif-Italic" w:cs="LiberationSerif-Italic"/>
                <w:i/>
                <w:iCs/>
                <w:color w:val="00000A"/>
                <w:lang w:eastAsia="lv-LV"/>
              </w:rPr>
              <w:t>turpinās atbalstīt valsts iestāžu un komersantu starptautiskos centienus savstarpējas uzticēšanās un sadarbības veicināšanai, uzsverot, ka spēkā esošajām starptautiskajām tiesību normām jābūt vienlīdz piemērojamām kā fiziskajā, tā virtuālajā vidē;</w:t>
            </w:r>
            <w:r>
              <w:rPr>
                <w:rFonts w:ascii="LiberationSerif" w:hAnsi="LiberationSerif" w:cs="LiberationSerif"/>
                <w:color w:val="00000A"/>
                <w:lang w:eastAsia="lv-LV"/>
              </w:rPr>
              <w:t>”</w:t>
            </w:r>
          </w:p>
        </w:tc>
        <w:tc>
          <w:tcPr>
            <w:tcW w:w="4111" w:type="dxa"/>
            <w:tcBorders>
              <w:top w:val="single" w:sz="4" w:space="0" w:color="auto"/>
              <w:left w:val="single" w:sz="6" w:space="0" w:color="000000"/>
              <w:bottom w:val="single" w:sz="4" w:space="0" w:color="000000"/>
            </w:tcBorders>
            <w:shd w:val="clear" w:color="auto" w:fill="auto"/>
          </w:tcPr>
          <w:p w:rsidR="00E2228A" w:rsidRDefault="00E2228A" w:rsidP="004A1166">
            <w:pPr>
              <w:pStyle w:val="naisc"/>
              <w:spacing w:before="0" w:after="0"/>
              <w:jc w:val="both"/>
              <w:rPr>
                <w:b/>
              </w:rPr>
            </w:pPr>
            <w:r w:rsidRPr="00E2228A">
              <w:rPr>
                <w:b/>
              </w:rPr>
              <w:t>Iebildums atsaukts, jo iebilduma iesniedzējs neieradās uz starpministriju (starpinstitūciju) sanāksmi.</w:t>
            </w:r>
          </w:p>
          <w:p w:rsidR="004A1166" w:rsidRPr="004A1166" w:rsidRDefault="004A1166" w:rsidP="004A1166">
            <w:pPr>
              <w:pStyle w:val="naisc"/>
              <w:spacing w:before="0" w:after="0"/>
              <w:jc w:val="both"/>
            </w:pPr>
            <w:r>
              <w:t>Lai iebildums nesašaurinātu sākotnējo redakciju, taču vienlaikus tiktu uzsvērts arī privātais sektors, Apvienotās kiberaizsardzības līgas piedāvājums ir modificēts,</w:t>
            </w:r>
            <w:r w:rsidR="00A103F3">
              <w:t xml:space="preserve"> vienlaikus saglabājot tā domu.</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F774CD" w:rsidRDefault="00A3314D" w:rsidP="00E708EF">
            <w:pPr>
              <w:jc w:val="both"/>
            </w:pPr>
            <w:r>
              <w:t xml:space="preserve">4.4. </w:t>
            </w:r>
            <w:r>
              <w:t>n</w:t>
            </w:r>
            <w:bookmarkStart w:id="0" w:name="_GoBack"/>
            <w:bookmarkEnd w:id="0"/>
            <w:r w:rsidR="0033706D">
              <w:t>o</w:t>
            </w:r>
            <w:r w:rsidR="00F774CD">
              <w:t>daļā papildināts punkts:</w:t>
            </w:r>
          </w:p>
          <w:p w:rsidR="00E708EF" w:rsidRPr="00BD01F6" w:rsidRDefault="004A1166" w:rsidP="00E708EF">
            <w:pPr>
              <w:jc w:val="both"/>
            </w:pPr>
            <w:r w:rsidRPr="004A1166">
              <w:t>-</w:t>
            </w:r>
            <w:r w:rsidRPr="004A1166">
              <w:tab/>
              <w:t xml:space="preserve">turpinās atbalstīt starptautiskos centienus, </w:t>
            </w:r>
            <w:r w:rsidRPr="004A1166">
              <w:rPr>
                <w:u w:val="single"/>
              </w:rPr>
              <w:t>tostarp privātā sektora</w:t>
            </w:r>
            <w:r>
              <w:t>, savstarpējas uzticēša</w:t>
            </w:r>
            <w:r w:rsidRPr="004A1166">
              <w:t>nās un sadarbības veicināšanai, uzsverot, ka spēkā esošajām starptautiskajām tiesību normām jābūt vienlīdz piemērojamām kā fiziskajā, tā virtuālajā vidē</w:t>
            </w:r>
          </w:p>
        </w:tc>
      </w:tr>
      <w:tr w:rsidR="00BD6C60" w:rsidRPr="00BD01F6" w:rsidTr="00437761">
        <w:tc>
          <w:tcPr>
            <w:tcW w:w="708" w:type="dxa"/>
            <w:tcBorders>
              <w:left w:val="single" w:sz="6" w:space="0" w:color="000000"/>
              <w:bottom w:val="single" w:sz="4" w:space="0" w:color="000000"/>
            </w:tcBorders>
            <w:shd w:val="clear" w:color="auto" w:fill="auto"/>
          </w:tcPr>
          <w:p w:rsidR="00BD6C60" w:rsidRDefault="00D56718" w:rsidP="00BD6C60">
            <w:pPr>
              <w:pStyle w:val="naisc"/>
              <w:spacing w:before="0" w:after="0"/>
            </w:pPr>
            <w:r>
              <w:t>27.</w:t>
            </w:r>
          </w:p>
        </w:tc>
        <w:tc>
          <w:tcPr>
            <w:tcW w:w="3086" w:type="dxa"/>
            <w:tcBorders>
              <w:left w:val="single" w:sz="6" w:space="0" w:color="000000"/>
              <w:bottom w:val="single" w:sz="4" w:space="0" w:color="000000"/>
            </w:tcBorders>
            <w:shd w:val="clear" w:color="auto" w:fill="auto"/>
          </w:tcPr>
          <w:p w:rsidR="00BD6C60" w:rsidRPr="00BD01F6" w:rsidRDefault="007923F9" w:rsidP="00BD6C60">
            <w:pPr>
              <w:pStyle w:val="ListParagraph"/>
              <w:tabs>
                <w:tab w:val="left" w:pos="0"/>
                <w:tab w:val="left" w:pos="1134"/>
              </w:tabs>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Stratēģijas</w:t>
            </w:r>
            <w:r w:rsidR="00BD6C60" w:rsidRPr="00BD01F6">
              <w:rPr>
                <w:rFonts w:ascii="Times New Roman" w:hAnsi="Times New Roman" w:cs="Times New Roman"/>
                <w:sz w:val="24"/>
                <w:szCs w:val="24"/>
              </w:rPr>
              <w:t xml:space="preserve"> projekts</w:t>
            </w:r>
          </w:p>
        </w:tc>
        <w:tc>
          <w:tcPr>
            <w:tcW w:w="4394" w:type="dxa"/>
            <w:tcBorders>
              <w:left w:val="single" w:sz="6" w:space="0" w:color="000000"/>
              <w:bottom w:val="single" w:sz="4" w:space="0" w:color="000000"/>
            </w:tcBorders>
            <w:shd w:val="clear" w:color="auto" w:fill="auto"/>
          </w:tcPr>
          <w:p w:rsidR="00BD6C60" w:rsidRPr="00BD01F6" w:rsidRDefault="00BD6C60" w:rsidP="00BD6C60">
            <w:pPr>
              <w:autoSpaceDE w:val="0"/>
              <w:jc w:val="center"/>
              <w:rPr>
                <w:b/>
                <w:color w:val="000000"/>
              </w:rPr>
            </w:pPr>
            <w:r w:rsidRPr="00BD01F6">
              <w:rPr>
                <w:b/>
                <w:color w:val="000000"/>
              </w:rPr>
              <w:t>Pārresoru koordinācijas centrs</w:t>
            </w:r>
          </w:p>
          <w:p w:rsidR="00BD6C60" w:rsidRDefault="00BD6C60" w:rsidP="00BD6C60">
            <w:pPr>
              <w:autoSpaceDE w:val="0"/>
              <w:jc w:val="both"/>
              <w:rPr>
                <w:color w:val="000000"/>
              </w:rPr>
            </w:pPr>
            <w:r w:rsidRPr="00BD01F6">
              <w:rPr>
                <w:color w:val="000000"/>
              </w:rPr>
              <w:t>Ministru kabineta 2014.gada 2.decembra noteikumu Nr. 737 “Attīstības plānošanas dokumentu izstrādes un ietekmes izvērtēšanas noteikumi” (turpmāk – MK noteikumi Nr.737) 12.punkts nosaka, ka pamatnostādnes izstrādā, lai noteiktu jaunus vidējā termiņa attīstības virzienus nozaru politikā, līdz ar to pamatnostādnes politikas jomā izstrādā, lai ieviestu pārmaiņas vai jaunus risinājumus kādā politikā, nevis apstiprinātu un turpinātu jau uzsāktus politikas virzienus. MK noteikumi Nr.737 arī nosaka politikas plānošanas dokumentu izstrādes prasības un kritērijus, kuri visi ir jāņem vērā, izstrādājot jaunu politikas plānošanas dokumentu (piemēram, izstrādājot pamatnostādnes, ir jāievēro tām noteiktā struktūra atbilstoši MK noteikumu Nr.737 1.pielikumam). Papildus tam vidēja termiņa politikas plānošanas dokumentu, kuru darbība attiecināma uz 2014.–2020.gada plānošanas periodu, darbības termiņš nevar pārsniegt 2020.gada 31.decembri (MK noteikumu Nr.737 59.punkts).</w:t>
            </w:r>
          </w:p>
          <w:p w:rsidR="00BD6C60" w:rsidRPr="00BD6C60" w:rsidRDefault="00BD6C60" w:rsidP="00BD6C60">
            <w:pPr>
              <w:ind w:firstLine="720"/>
              <w:jc w:val="both"/>
            </w:pPr>
            <w:r>
              <w:t>Ņemot vērā iepriekš  minētos apsvērumus,</w:t>
            </w:r>
            <w:r w:rsidRPr="0046038C">
              <w:t xml:space="preserve"> lūdzam Aizsardzības ministriju, ievērojot arī Pārr</w:t>
            </w:r>
            <w:r>
              <w:t>esoru</w:t>
            </w:r>
            <w:r w:rsidRPr="0046038C">
              <w:t xml:space="preserve"> koordinācijas centra 2018.gada </w:t>
            </w:r>
            <w:r>
              <w:t>5.</w:t>
            </w:r>
            <w:r w:rsidRPr="0046038C">
              <w:t>novembra atzinumā Nr.1.2-7/</w:t>
            </w:r>
            <w:r>
              <w:t xml:space="preserve">167 </w:t>
            </w:r>
            <w:r w:rsidRPr="0046038C">
              <w:t xml:space="preserve">“Par redakcionāliem labojumiem Latvijas kiberdrošības stratēģijas 2019.-2022.gadam projektam” minēto, mainīt dokumenta veidu un virzīt to </w:t>
            </w:r>
            <w:r>
              <w:t xml:space="preserve">izskatīšanai Ministru kabineta sēdē </w:t>
            </w:r>
            <w:r w:rsidRPr="0046038C">
              <w:t>kā informatīvo ziņojumu.</w:t>
            </w:r>
          </w:p>
        </w:tc>
        <w:tc>
          <w:tcPr>
            <w:tcW w:w="4111" w:type="dxa"/>
            <w:tcBorders>
              <w:left w:val="single" w:sz="6" w:space="0" w:color="000000"/>
              <w:bottom w:val="single" w:sz="4" w:space="0" w:color="000000"/>
            </w:tcBorders>
            <w:shd w:val="clear" w:color="auto" w:fill="auto"/>
          </w:tcPr>
          <w:p w:rsidR="00BD6C60" w:rsidRPr="00BD01F6" w:rsidRDefault="00D5719C" w:rsidP="00D5719C">
            <w:pPr>
              <w:autoSpaceDE w:val="0"/>
              <w:jc w:val="center"/>
            </w:pPr>
            <w:r w:rsidRPr="00D5719C">
              <w:rPr>
                <w:b/>
              </w:rPr>
              <w:t>Panākta vienošanās starpministriju (starpinstitūciju) sanāksmes laikā.</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BD6C60" w:rsidRDefault="00BD6C60" w:rsidP="00D56718">
            <w:pPr>
              <w:jc w:val="both"/>
            </w:pPr>
            <w:r>
              <w:t xml:space="preserve">Dokumenta projekts sagatavots kā informatīvais ziņojums “Latvijas kiberdrošības stratēģija 2019.-2022.gadam”, taču, ņemot vērā, ka Informācijas tehnoloģiju drošības likuma </w:t>
            </w:r>
            <w:r w:rsidRPr="00BD6C60">
              <w:t>11.panta otrā daļa nosaka</w:t>
            </w:r>
            <w:r>
              <w:t xml:space="preserve"> šād</w:t>
            </w:r>
            <w:r w:rsidR="00D56718">
              <w:t>a</w:t>
            </w:r>
            <w:r>
              <w:t xml:space="preserve"> dokument</w:t>
            </w:r>
            <w:r w:rsidR="00D56718">
              <w:t>a</w:t>
            </w:r>
            <w:r>
              <w:t xml:space="preserve"> izstrād</w:t>
            </w:r>
            <w:r w:rsidR="00D56718">
              <w:t>i veikt</w:t>
            </w:r>
            <w:r>
              <w:t xml:space="preserve"> reizi četros gados, dokumenta darbības termiņš ir saglabāts no 2019.-2022.gadam.</w:t>
            </w:r>
          </w:p>
        </w:tc>
      </w:tr>
      <w:tr w:rsidR="00E371FF" w:rsidRPr="00BD01F6" w:rsidTr="00415D53">
        <w:tc>
          <w:tcPr>
            <w:tcW w:w="708" w:type="dxa"/>
            <w:tcBorders>
              <w:left w:val="single" w:sz="6" w:space="0" w:color="000000"/>
              <w:bottom w:val="single" w:sz="4" w:space="0" w:color="000000"/>
            </w:tcBorders>
            <w:shd w:val="clear" w:color="auto" w:fill="auto"/>
          </w:tcPr>
          <w:p w:rsidR="00E371FF" w:rsidRDefault="00E371FF" w:rsidP="00E371FF">
            <w:pPr>
              <w:pStyle w:val="naisc"/>
              <w:spacing w:before="0" w:after="0"/>
            </w:pPr>
            <w:r>
              <w:t>28.</w:t>
            </w:r>
          </w:p>
        </w:tc>
        <w:tc>
          <w:tcPr>
            <w:tcW w:w="3086" w:type="dxa"/>
            <w:tcBorders>
              <w:top w:val="single" w:sz="6" w:space="0" w:color="000000"/>
              <w:left w:val="single" w:sz="6" w:space="0" w:color="000000"/>
              <w:bottom w:val="single" w:sz="6" w:space="0" w:color="000000"/>
            </w:tcBorders>
            <w:shd w:val="clear" w:color="auto" w:fill="auto"/>
          </w:tcPr>
          <w:p w:rsidR="00E371FF" w:rsidRPr="00BD01F6" w:rsidRDefault="007923F9" w:rsidP="00E371FF">
            <w:pPr>
              <w:pStyle w:val="ListParagraph"/>
              <w:tabs>
                <w:tab w:val="left" w:pos="0"/>
                <w:tab w:val="left" w:pos="1134"/>
              </w:tabs>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Stratēģijas</w:t>
            </w:r>
            <w:r w:rsidR="00E371FF" w:rsidRPr="00BD01F6">
              <w:rPr>
                <w:rFonts w:ascii="Times New Roman" w:hAnsi="Times New Roman" w:cs="Times New Roman"/>
                <w:sz w:val="24"/>
                <w:szCs w:val="24"/>
              </w:rPr>
              <w:t xml:space="preserve"> projekts</w:t>
            </w:r>
          </w:p>
        </w:tc>
        <w:tc>
          <w:tcPr>
            <w:tcW w:w="4394" w:type="dxa"/>
            <w:tcBorders>
              <w:top w:val="single" w:sz="6" w:space="0" w:color="000000"/>
              <w:left w:val="single" w:sz="6" w:space="0" w:color="000000"/>
              <w:bottom w:val="single" w:sz="6" w:space="0" w:color="000000"/>
            </w:tcBorders>
            <w:shd w:val="clear" w:color="auto" w:fill="auto"/>
          </w:tcPr>
          <w:p w:rsidR="00E371FF" w:rsidRPr="00BD01F6" w:rsidRDefault="00E371FF" w:rsidP="00E371FF">
            <w:pPr>
              <w:autoSpaceDE w:val="0"/>
              <w:jc w:val="center"/>
              <w:rPr>
                <w:b/>
                <w:color w:val="000000"/>
              </w:rPr>
            </w:pPr>
            <w:r w:rsidRPr="00BD01F6">
              <w:rPr>
                <w:b/>
                <w:color w:val="000000"/>
              </w:rPr>
              <w:t>Vides aizsardzības un reģionālās attīstības ministrija</w:t>
            </w:r>
          </w:p>
          <w:p w:rsidR="00E371FF" w:rsidRPr="00BD01F6" w:rsidRDefault="00E371FF" w:rsidP="00E371FF">
            <w:pPr>
              <w:autoSpaceDE w:val="0"/>
              <w:jc w:val="both"/>
              <w:rPr>
                <w:color w:val="000000"/>
              </w:rPr>
            </w:pPr>
            <w:r w:rsidRPr="00BD01F6">
              <w:rPr>
                <w:color w:val="000000"/>
              </w:rPr>
              <w:t>VARAM vērš uzmanību, ka, izstrādājot kiberdrošības stratēģiju, nav ņemta vērā Eiropas parlamenta un padomes regula, ar ko izveido Eiropas Industriālo, tehnoloģisko un pētniecisko kiberdrošības kompetenču centru un Nacionālo koordinācijas centru tīklu, kura uzliek par pienākumu izveidot Latvijā Nacionālo koordinācijas centru.</w:t>
            </w:r>
          </w:p>
        </w:tc>
        <w:tc>
          <w:tcPr>
            <w:tcW w:w="4111" w:type="dxa"/>
            <w:tcBorders>
              <w:top w:val="single" w:sz="6" w:space="0" w:color="000000"/>
              <w:left w:val="single" w:sz="6" w:space="0" w:color="000000"/>
              <w:bottom w:val="single" w:sz="6" w:space="0" w:color="000000"/>
            </w:tcBorders>
            <w:shd w:val="clear" w:color="auto" w:fill="auto"/>
          </w:tcPr>
          <w:p w:rsidR="00E371FF" w:rsidRPr="00D5719C" w:rsidRDefault="00E371FF" w:rsidP="00D5719C">
            <w:pPr>
              <w:pStyle w:val="naisc"/>
              <w:spacing w:before="0" w:after="0"/>
              <w:rPr>
                <w:b/>
              </w:rPr>
            </w:pPr>
            <w:r w:rsidRPr="00D5719C">
              <w:rPr>
                <w:b/>
              </w:rPr>
              <w:t>Panākta vienošanās starpministriju (starpinstitūciju) sanāksmes laikā</w:t>
            </w:r>
            <w:r w:rsidR="00A103F3" w:rsidRPr="00D5719C">
              <w:rPr>
                <w:b/>
              </w:rPr>
              <w:t>.</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371FF" w:rsidRDefault="00E371FF" w:rsidP="00E371FF">
            <w:pPr>
              <w:jc w:val="both"/>
            </w:pPr>
            <w:r>
              <w:t>Informatīvais ziņojums “Latvijas kiberdrošības stratēģija 2019.-2022.gadam”</w:t>
            </w:r>
          </w:p>
        </w:tc>
      </w:tr>
      <w:tr w:rsidR="00E371FF" w:rsidRPr="00BD01F6" w:rsidTr="00415D53">
        <w:tc>
          <w:tcPr>
            <w:tcW w:w="708" w:type="dxa"/>
            <w:tcBorders>
              <w:left w:val="single" w:sz="6" w:space="0" w:color="000000"/>
              <w:bottom w:val="single" w:sz="4" w:space="0" w:color="000000"/>
            </w:tcBorders>
            <w:shd w:val="clear" w:color="auto" w:fill="auto"/>
          </w:tcPr>
          <w:p w:rsidR="00E371FF" w:rsidRDefault="00E371FF" w:rsidP="00E371FF">
            <w:pPr>
              <w:pStyle w:val="naisc"/>
              <w:spacing w:before="0" w:after="0"/>
            </w:pPr>
            <w:r>
              <w:t>29.</w:t>
            </w:r>
          </w:p>
        </w:tc>
        <w:tc>
          <w:tcPr>
            <w:tcW w:w="3086" w:type="dxa"/>
            <w:tcBorders>
              <w:top w:val="single" w:sz="6" w:space="0" w:color="000000"/>
              <w:left w:val="single" w:sz="6" w:space="0" w:color="000000"/>
              <w:bottom w:val="single" w:sz="6" w:space="0" w:color="000000"/>
            </w:tcBorders>
            <w:shd w:val="clear" w:color="auto" w:fill="auto"/>
          </w:tcPr>
          <w:p w:rsidR="00E371FF" w:rsidRPr="00BD01F6" w:rsidRDefault="007923F9" w:rsidP="00A3314D">
            <w:pPr>
              <w:suppressAutoHyphens w:val="0"/>
              <w:jc w:val="both"/>
            </w:pPr>
            <w:r>
              <w:t>Stratēģijas</w:t>
            </w:r>
            <w:r w:rsidR="00E371FF">
              <w:t xml:space="preserve"> projekta </w:t>
            </w:r>
            <w:r w:rsidR="00A3314D">
              <w:t>4.5.</w:t>
            </w:r>
            <w:r w:rsidR="00E371FF">
              <w:t xml:space="preserve">nodaļa </w:t>
            </w:r>
          </w:p>
        </w:tc>
        <w:tc>
          <w:tcPr>
            <w:tcW w:w="4394" w:type="dxa"/>
            <w:tcBorders>
              <w:top w:val="single" w:sz="6" w:space="0" w:color="000000"/>
              <w:left w:val="single" w:sz="6" w:space="0" w:color="000000"/>
              <w:bottom w:val="single" w:sz="6" w:space="0" w:color="000000"/>
            </w:tcBorders>
            <w:shd w:val="clear" w:color="auto" w:fill="auto"/>
          </w:tcPr>
          <w:p w:rsidR="00E371FF" w:rsidRDefault="00E371FF" w:rsidP="00E371FF">
            <w:pPr>
              <w:jc w:val="center"/>
              <w:rPr>
                <w:b/>
              </w:rPr>
            </w:pPr>
            <w:r w:rsidRPr="004C47EB">
              <w:rPr>
                <w:b/>
              </w:rPr>
              <w:t>Apvienotā kiberaizsardzības līga</w:t>
            </w:r>
          </w:p>
          <w:p w:rsidR="00E371FF" w:rsidRDefault="00E371FF" w:rsidP="00E371FF">
            <w:pPr>
              <w:suppressAutoHyphens w:val="0"/>
              <w:autoSpaceDE w:val="0"/>
              <w:autoSpaceDN w:val="0"/>
              <w:adjustRightInd w:val="0"/>
              <w:jc w:val="both"/>
              <w:rPr>
                <w:rFonts w:ascii="LiberationSerif" w:hAnsi="LiberationSerif" w:cs="LiberationSerif"/>
                <w:color w:val="00000A"/>
                <w:lang w:eastAsia="lv-LV"/>
              </w:rPr>
            </w:pPr>
            <w:r>
              <w:rPr>
                <w:rFonts w:ascii="LiberationSerif" w:hAnsi="LiberationSerif" w:cs="LiberationSerif"/>
                <w:color w:val="000000"/>
                <w:lang w:eastAsia="lv-LV"/>
              </w:rPr>
              <w:t>Stratēģijas projekta 4.5. punktu “</w:t>
            </w:r>
            <w:r>
              <w:rPr>
                <w:rFonts w:ascii="LiberationSerif" w:hAnsi="LiberationSerif" w:cs="LiberationSerif"/>
                <w:color w:val="00000A"/>
                <w:lang w:eastAsia="lv-LV"/>
              </w:rPr>
              <w:t>Tiesiskums kibertelpā un kibernoziedzības mazināšana”</w:t>
            </w:r>
            <w:r w:rsidR="00A103F3">
              <w:rPr>
                <w:rFonts w:ascii="LiberationSerif" w:hAnsi="LiberationSerif" w:cs="LiberationSerif"/>
                <w:color w:val="00000A"/>
                <w:lang w:eastAsia="lv-LV"/>
              </w:rPr>
              <w:t xml:space="preserve"> </w:t>
            </w:r>
            <w:r>
              <w:rPr>
                <w:rFonts w:ascii="LiberationSerif" w:hAnsi="LiberationSerif" w:cs="LiberationSerif"/>
                <w:color w:val="00000A"/>
                <w:lang w:eastAsia="lv-LV"/>
              </w:rPr>
              <w:t>nepieciešams pārsaukt “Tiesiskums kibertelpā, normatīvās bāzes sakārtošana un kibernoziedzības mazināšana”. Šobrīd šis stratēģijas punkts runā par vienu vienīgu problēmu – IP adrešu nepārskatāmību. Līgas ieskatā, kā norādīts š.g. augusta vēstulē, šajā jomā ir vairāki citi jautājumi, kas risināmi jau tuvākajā laikā, lai veicinātu IT drošības attīstību un sabiedrības izglītošanu par IT drošību. Pievienojama rindkopa “</w:t>
            </w:r>
            <w:proofErr w:type="spellStart"/>
            <w:r>
              <w:rPr>
                <w:rFonts w:ascii="LiberationSerif-Italic" w:hAnsi="LiberationSerif-Italic" w:cs="LiberationSerif-Italic"/>
                <w:i/>
                <w:iCs/>
                <w:color w:val="00000A"/>
                <w:lang w:eastAsia="lv-LV"/>
              </w:rPr>
              <w:t>Dekriminalizēt</w:t>
            </w:r>
            <w:proofErr w:type="spellEnd"/>
            <w:r>
              <w:rPr>
                <w:rFonts w:ascii="LiberationSerif-Italic" w:hAnsi="LiberationSerif-Italic" w:cs="LiberationSerif-Italic"/>
                <w:i/>
                <w:iCs/>
                <w:color w:val="00000A"/>
                <w:lang w:eastAsia="lv-LV"/>
              </w:rPr>
              <w:t xml:space="preserve"> darbības ar informācijas sistēmām, kurām nav tieša kaitējuma. Pārskatīt duālo preču sarakstu, mazinot tā tvērumu atbilstoši citu Eiropas valstu praksei, tādējādi veicinot uzņēmējdarbību un hobija aktivitātes drošības jomā un harmonizētus noteikumus Eiropas līmenī.</w:t>
            </w:r>
            <w:r>
              <w:rPr>
                <w:rFonts w:ascii="LiberationSerif" w:hAnsi="LiberationSerif" w:cs="LiberationSerif"/>
                <w:color w:val="00000A"/>
                <w:lang w:eastAsia="lv-LV"/>
              </w:rPr>
              <w:t>”</w:t>
            </w:r>
          </w:p>
          <w:p w:rsidR="00E371FF" w:rsidRPr="000B73FC" w:rsidRDefault="00E371FF" w:rsidP="00E371FF">
            <w:pPr>
              <w:suppressAutoHyphens w:val="0"/>
              <w:autoSpaceDE w:val="0"/>
              <w:autoSpaceDN w:val="0"/>
              <w:adjustRightInd w:val="0"/>
              <w:jc w:val="both"/>
              <w:rPr>
                <w:rFonts w:ascii="LiberationSerif" w:hAnsi="LiberationSerif" w:cs="LiberationSerif"/>
                <w:color w:val="00000A"/>
                <w:lang w:eastAsia="lv-LV"/>
              </w:rPr>
            </w:pPr>
            <w:r w:rsidRPr="000B73FC">
              <w:rPr>
                <w:rFonts w:ascii="LiberationSerif" w:hAnsi="LiberationSerif" w:cs="LiberationSerif"/>
                <w:color w:val="00000A"/>
                <w:lang w:eastAsia="lv-LV"/>
              </w:rPr>
              <w:t>Lūdzam atbilstoši papildināt arī stratēģijas 1. pielikum</w:t>
            </w:r>
            <w:r>
              <w:rPr>
                <w:rFonts w:ascii="LiberationSerif" w:hAnsi="LiberationSerif" w:cs="LiberationSerif"/>
                <w:color w:val="00000A"/>
                <w:lang w:eastAsia="lv-LV"/>
              </w:rPr>
              <w:t xml:space="preserve">u, nosakot šo darbu termiņus un </w:t>
            </w:r>
            <w:r w:rsidRPr="000B73FC">
              <w:rPr>
                <w:rFonts w:ascii="LiberationSerif" w:hAnsi="LiberationSerif" w:cs="LiberationSerif"/>
                <w:color w:val="00000A"/>
                <w:lang w:eastAsia="lv-LV"/>
              </w:rPr>
              <w:t>atbildīgos.</w:t>
            </w:r>
          </w:p>
          <w:p w:rsidR="00E371FF" w:rsidRPr="000B73FC" w:rsidRDefault="00E371FF" w:rsidP="00E371FF">
            <w:pPr>
              <w:suppressAutoHyphens w:val="0"/>
              <w:autoSpaceDE w:val="0"/>
              <w:autoSpaceDN w:val="0"/>
              <w:adjustRightInd w:val="0"/>
              <w:jc w:val="both"/>
              <w:rPr>
                <w:rFonts w:ascii="LiberationSerif" w:hAnsi="LiberationSerif" w:cs="LiberationSerif"/>
                <w:color w:val="00000A"/>
                <w:lang w:eastAsia="lv-LV"/>
              </w:rPr>
            </w:pPr>
            <w:r w:rsidRPr="000B73FC">
              <w:rPr>
                <w:rFonts w:ascii="LiberationSerif" w:hAnsi="LiberationSerif" w:cs="LiberationSerif"/>
                <w:color w:val="00000A"/>
                <w:lang w:eastAsia="lv-LV"/>
              </w:rPr>
              <w:t>Turklāt lūdzam pārcelt uzdevuma 2.1. “Izstrādāt normatīvo</w:t>
            </w:r>
            <w:r>
              <w:rPr>
                <w:rFonts w:ascii="LiberationSerif" w:hAnsi="LiberationSerif" w:cs="LiberationSerif"/>
                <w:color w:val="00000A"/>
                <w:lang w:eastAsia="lv-LV"/>
              </w:rPr>
              <w:t xml:space="preserve"> aktu bāzi, ar kuru ieviestu </w:t>
            </w:r>
            <w:r w:rsidRPr="000B73FC">
              <w:rPr>
                <w:rFonts w:ascii="LiberationSerif" w:hAnsi="LiberationSerif" w:cs="LiberationSerif"/>
                <w:color w:val="00000A"/>
                <w:lang w:eastAsia="lv-LV"/>
              </w:rPr>
              <w:t>atbildīgas ievainojamību atklāšanas politiku” termiņu par 2 gadiem</w:t>
            </w:r>
            <w:r>
              <w:rPr>
                <w:rFonts w:ascii="LiberationSerif" w:hAnsi="LiberationSerif" w:cs="LiberationSerif"/>
                <w:color w:val="00000A"/>
                <w:lang w:eastAsia="lv-LV"/>
              </w:rPr>
              <w:t xml:space="preserve"> atpakaļ, nodrošinot tā izpildi </w:t>
            </w:r>
            <w:r w:rsidRPr="000B73FC">
              <w:rPr>
                <w:rFonts w:ascii="LiberationSerif" w:hAnsi="LiberationSerif" w:cs="LiberationSerif"/>
                <w:color w:val="00000A"/>
                <w:lang w:eastAsia="lv-LV"/>
              </w:rPr>
              <w:t>līdz 2019. gada 4. ceturksnim, ņemot vērā to, ka Aizsardzības minis</w:t>
            </w:r>
            <w:r>
              <w:rPr>
                <w:rFonts w:ascii="LiberationSerif" w:hAnsi="LiberationSerif" w:cs="LiberationSerif"/>
                <w:color w:val="00000A"/>
                <w:lang w:eastAsia="lv-LV"/>
              </w:rPr>
              <w:t xml:space="preserve">trija jau iepriekš bija veikusi </w:t>
            </w:r>
            <w:r w:rsidRPr="000B73FC">
              <w:rPr>
                <w:rFonts w:ascii="LiberationSerif" w:hAnsi="LiberationSerif" w:cs="LiberationSerif"/>
                <w:color w:val="00000A"/>
                <w:lang w:eastAsia="lv-LV"/>
              </w:rPr>
              <w:t>visus nepieciešamos priekšdarbus, t.sk. sagatavojusi normatīvo aktu bāzi</w:t>
            </w:r>
            <w:r>
              <w:rPr>
                <w:rFonts w:ascii="LiberationSerif" w:hAnsi="LiberationSerif" w:cs="LiberationSerif"/>
                <w:color w:val="00000A"/>
                <w:lang w:eastAsia="lv-LV"/>
              </w:rPr>
              <w:t>.</w:t>
            </w:r>
          </w:p>
        </w:tc>
        <w:tc>
          <w:tcPr>
            <w:tcW w:w="4111" w:type="dxa"/>
            <w:tcBorders>
              <w:top w:val="single" w:sz="6" w:space="0" w:color="000000"/>
              <w:left w:val="single" w:sz="6" w:space="0" w:color="000000"/>
              <w:bottom w:val="single" w:sz="6" w:space="0" w:color="000000"/>
            </w:tcBorders>
            <w:shd w:val="clear" w:color="auto" w:fill="auto"/>
          </w:tcPr>
          <w:p w:rsidR="00E371FF" w:rsidRPr="00E2228A" w:rsidRDefault="00E371FF" w:rsidP="00E371FF">
            <w:pPr>
              <w:pStyle w:val="naisc"/>
              <w:spacing w:before="0" w:after="0"/>
              <w:jc w:val="both"/>
              <w:rPr>
                <w:b/>
              </w:rPr>
            </w:pPr>
            <w:r w:rsidRPr="00E2228A">
              <w:rPr>
                <w:b/>
              </w:rPr>
              <w:t>Iebildums atsaukts, jo iebilduma iesniedzējs neieradās uz starpministriju (starpinstitūciju) sanāksmi</w:t>
            </w:r>
            <w:r w:rsidR="00A103F3" w:rsidRPr="00E2228A">
              <w:rPr>
                <w:b/>
              </w:rPr>
              <w:t>.</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371FF" w:rsidRDefault="008A56A6" w:rsidP="008A56A6">
            <w:pPr>
              <w:jc w:val="both"/>
            </w:pPr>
            <w:r>
              <w:t>Informatīvā ziņojuma “Latvijas kiberdrošības stratēģija 2019.-2022.gadam” 4.5. nodaļa</w:t>
            </w:r>
          </w:p>
        </w:tc>
      </w:tr>
      <w:tr w:rsidR="00E0650D" w:rsidRPr="00BD01F6" w:rsidTr="00415D53">
        <w:tc>
          <w:tcPr>
            <w:tcW w:w="708" w:type="dxa"/>
            <w:tcBorders>
              <w:left w:val="single" w:sz="6" w:space="0" w:color="000000"/>
              <w:bottom w:val="single" w:sz="4" w:space="0" w:color="000000"/>
            </w:tcBorders>
            <w:shd w:val="clear" w:color="auto" w:fill="auto"/>
          </w:tcPr>
          <w:p w:rsidR="00E0650D" w:rsidRDefault="00E0650D" w:rsidP="00E371FF">
            <w:pPr>
              <w:pStyle w:val="naisc"/>
              <w:spacing w:before="0" w:after="0"/>
            </w:pPr>
            <w:r>
              <w:t>30.</w:t>
            </w:r>
          </w:p>
        </w:tc>
        <w:tc>
          <w:tcPr>
            <w:tcW w:w="3086" w:type="dxa"/>
            <w:tcBorders>
              <w:top w:val="single" w:sz="6" w:space="0" w:color="000000"/>
              <w:left w:val="single" w:sz="6" w:space="0" w:color="000000"/>
              <w:bottom w:val="single" w:sz="6" w:space="0" w:color="000000"/>
            </w:tcBorders>
            <w:shd w:val="clear" w:color="auto" w:fill="auto"/>
          </w:tcPr>
          <w:p w:rsidR="00E0650D" w:rsidRDefault="00EB4FDD" w:rsidP="00E371FF">
            <w:pPr>
              <w:suppressAutoHyphens w:val="0"/>
              <w:jc w:val="both"/>
            </w:pPr>
            <w:r>
              <w:t>Stratēģijas 5.nodaļa un pielikums (Informācija dienesta vajadzībām).</w:t>
            </w:r>
          </w:p>
        </w:tc>
        <w:tc>
          <w:tcPr>
            <w:tcW w:w="4394" w:type="dxa"/>
            <w:tcBorders>
              <w:top w:val="single" w:sz="6" w:space="0" w:color="000000"/>
              <w:left w:val="single" w:sz="6" w:space="0" w:color="000000"/>
              <w:bottom w:val="single" w:sz="6" w:space="0" w:color="000000"/>
            </w:tcBorders>
            <w:shd w:val="clear" w:color="auto" w:fill="auto"/>
          </w:tcPr>
          <w:p w:rsidR="00E0650D" w:rsidRPr="00E0650D" w:rsidRDefault="00E0650D" w:rsidP="00E0650D">
            <w:pPr>
              <w:jc w:val="center"/>
              <w:rPr>
                <w:b/>
              </w:rPr>
            </w:pPr>
            <w:r w:rsidRPr="00E0650D">
              <w:rPr>
                <w:b/>
              </w:rPr>
              <w:t>Finanšu ministrija</w:t>
            </w:r>
          </w:p>
          <w:p w:rsidR="00E0650D" w:rsidRPr="00E0650D" w:rsidRDefault="00E0650D" w:rsidP="00E0650D">
            <w:pPr>
              <w:jc w:val="both"/>
              <w:rPr>
                <w:lang w:eastAsia="en-US"/>
              </w:rPr>
            </w:pPr>
            <w:r>
              <w:t>Lai varētu izvērtēt papildu pieprasītā finansējuma apmēru, uzskatām, ka informatīvais ziņojums papildināms ar detalizētiem aprēķiniem par papildu nepiecieš</w:t>
            </w:r>
            <w:r w:rsidR="00AE266B">
              <w:t>amo valsts budžeta finansējumu.</w:t>
            </w:r>
          </w:p>
        </w:tc>
        <w:tc>
          <w:tcPr>
            <w:tcW w:w="4111" w:type="dxa"/>
            <w:tcBorders>
              <w:top w:val="single" w:sz="6" w:space="0" w:color="000000"/>
              <w:left w:val="single" w:sz="6" w:space="0" w:color="000000"/>
              <w:bottom w:val="single" w:sz="6" w:space="0" w:color="000000"/>
            </w:tcBorders>
            <w:shd w:val="clear" w:color="auto" w:fill="auto"/>
          </w:tcPr>
          <w:p w:rsidR="00E0650D" w:rsidRDefault="00EB4FDD" w:rsidP="00EB4FDD">
            <w:pPr>
              <w:pStyle w:val="naisc"/>
              <w:spacing w:before="0" w:after="0"/>
              <w:rPr>
                <w:b/>
              </w:rPr>
            </w:pPr>
            <w:r w:rsidRPr="00E0650D">
              <w:rPr>
                <w:b/>
              </w:rPr>
              <w:t>Iebildums ņemts vērā</w:t>
            </w:r>
          </w:p>
          <w:p w:rsidR="001524C7" w:rsidRPr="001524C7" w:rsidRDefault="001524C7" w:rsidP="001524C7">
            <w:pPr>
              <w:pStyle w:val="naisc"/>
              <w:spacing w:before="0" w:after="0"/>
              <w:jc w:val="both"/>
            </w:pPr>
            <w:r w:rsidRPr="001524C7">
              <w:t>Precizēti skaitļi Stratēģijas 5.nodaļā</w:t>
            </w:r>
            <w:r>
              <w:t xml:space="preserve"> un papildināts Stratēģijas </w:t>
            </w:r>
            <w:r w:rsidR="00FC031F">
              <w:t xml:space="preserve">projekta </w:t>
            </w:r>
            <w:r w:rsidR="007923F9">
              <w:t>pielikums (i</w:t>
            </w:r>
            <w:r>
              <w:t>nformācija dienesta vajadzībām)</w:t>
            </w:r>
            <w:r w:rsidRPr="001524C7">
              <w:t>.</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0650D" w:rsidRDefault="001524C7" w:rsidP="008A56A6">
            <w:pPr>
              <w:jc w:val="both"/>
            </w:pPr>
            <w:r>
              <w:t xml:space="preserve">Stratēģijas </w:t>
            </w:r>
            <w:r w:rsidR="00FC031F">
              <w:t xml:space="preserve">projekta </w:t>
            </w:r>
            <w:r w:rsidR="007923F9">
              <w:t>5.nodaļa un pielikums (i</w:t>
            </w:r>
            <w:r>
              <w:t>nformācija dienesta vajadzībām).</w:t>
            </w:r>
          </w:p>
        </w:tc>
      </w:tr>
      <w:tr w:rsidR="00E0650D" w:rsidRPr="00BD01F6" w:rsidTr="00415D53">
        <w:tc>
          <w:tcPr>
            <w:tcW w:w="708" w:type="dxa"/>
            <w:tcBorders>
              <w:left w:val="single" w:sz="6" w:space="0" w:color="000000"/>
              <w:bottom w:val="single" w:sz="4" w:space="0" w:color="000000"/>
            </w:tcBorders>
            <w:shd w:val="clear" w:color="auto" w:fill="auto"/>
          </w:tcPr>
          <w:p w:rsidR="00E0650D" w:rsidRDefault="00E0650D" w:rsidP="00E371FF">
            <w:pPr>
              <w:pStyle w:val="naisc"/>
              <w:spacing w:before="0" w:after="0"/>
            </w:pPr>
            <w:r>
              <w:t>31.</w:t>
            </w:r>
          </w:p>
        </w:tc>
        <w:tc>
          <w:tcPr>
            <w:tcW w:w="3086" w:type="dxa"/>
            <w:tcBorders>
              <w:top w:val="single" w:sz="6" w:space="0" w:color="000000"/>
              <w:left w:val="single" w:sz="6" w:space="0" w:color="000000"/>
              <w:bottom w:val="single" w:sz="6" w:space="0" w:color="000000"/>
            </w:tcBorders>
            <w:shd w:val="clear" w:color="auto" w:fill="auto"/>
          </w:tcPr>
          <w:p w:rsidR="00E0650D" w:rsidRPr="00E0650D" w:rsidRDefault="00E0650D" w:rsidP="00E0650D">
            <w:pPr>
              <w:suppressAutoHyphens w:val="0"/>
              <w:jc w:val="both"/>
            </w:pPr>
            <w:r w:rsidRPr="00E0650D">
              <w:t xml:space="preserve">Tabulā ietverts tikai to Stratēģijas rīcības virzienu uzdevumu un pasākumu īstenošanai nepieciešamais valsts budžeta finansējums, kuriem ir zināms nepieciešamā finansējuma apjoms. </w:t>
            </w:r>
          </w:p>
          <w:p w:rsidR="00E0650D" w:rsidRDefault="00E0650D" w:rsidP="00E371FF">
            <w:pPr>
              <w:suppressAutoHyphens w:val="0"/>
              <w:jc w:val="both"/>
            </w:pPr>
          </w:p>
        </w:tc>
        <w:tc>
          <w:tcPr>
            <w:tcW w:w="4394" w:type="dxa"/>
            <w:tcBorders>
              <w:top w:val="single" w:sz="6" w:space="0" w:color="000000"/>
              <w:left w:val="single" w:sz="6" w:space="0" w:color="000000"/>
              <w:bottom w:val="single" w:sz="6" w:space="0" w:color="000000"/>
            </w:tcBorders>
            <w:shd w:val="clear" w:color="auto" w:fill="auto"/>
          </w:tcPr>
          <w:p w:rsidR="00E0650D" w:rsidRPr="00E0650D" w:rsidRDefault="00E0650D" w:rsidP="00E0650D">
            <w:pPr>
              <w:jc w:val="center"/>
              <w:rPr>
                <w:b/>
              </w:rPr>
            </w:pPr>
            <w:r w:rsidRPr="00E0650D">
              <w:rPr>
                <w:b/>
              </w:rPr>
              <w:t>Finanšu ministrija</w:t>
            </w:r>
          </w:p>
          <w:p w:rsidR="00E0650D" w:rsidRPr="004C47EB" w:rsidRDefault="00E0650D" w:rsidP="00E0650D">
            <w:pPr>
              <w:jc w:val="both"/>
              <w:rPr>
                <w:b/>
              </w:rPr>
            </w:pPr>
            <w:r>
              <w:t xml:space="preserve">Nav saprotams informatīvā ziņojuma </w:t>
            </w:r>
            <w:bookmarkStart w:id="1" w:name="_Toc339671"/>
            <w:r>
              <w:t>5.sadaļas “Finansiālās ietekmes novērtējums</w:t>
            </w:r>
            <w:bookmarkEnd w:id="1"/>
            <w:r>
              <w:t>” 7.tabulā “Politikas plānošanas dokumenta ietekme uz valsts un pašvaldību budžetiem” minētais, ka tabulā ietverts tikai to stratēģijas rīcības virzienu uzdevumu un pasākumu īstenošanai nepieciešamais valsts budžeta finansējums, kuriem ir zināms nepieciešamā finansējuma apjoms, jo informatīvajā ziņojumā norādīts, ka uzdevumi/pasākumi tiks īstenoti piešķirto valsts budžeta līdzekļu ietvaros un tiem uzdevumiem/pasākumiem, kuriem nepieciešams papildu finansējums, jau šobrīd tiek norādīts papildu nepieciešamā finansējuma apmērs.</w:t>
            </w:r>
          </w:p>
        </w:tc>
        <w:tc>
          <w:tcPr>
            <w:tcW w:w="4111" w:type="dxa"/>
            <w:tcBorders>
              <w:top w:val="single" w:sz="6" w:space="0" w:color="000000"/>
              <w:left w:val="single" w:sz="6" w:space="0" w:color="000000"/>
              <w:bottom w:val="single" w:sz="6" w:space="0" w:color="000000"/>
            </w:tcBorders>
            <w:shd w:val="clear" w:color="auto" w:fill="auto"/>
          </w:tcPr>
          <w:p w:rsidR="00E0650D" w:rsidRPr="00E0650D" w:rsidRDefault="00E0650D" w:rsidP="00E0650D">
            <w:pPr>
              <w:pStyle w:val="naisc"/>
              <w:spacing w:before="0" w:after="0"/>
              <w:rPr>
                <w:b/>
              </w:rPr>
            </w:pPr>
            <w:r w:rsidRPr="00E0650D">
              <w:rPr>
                <w:b/>
              </w:rPr>
              <w:t>Iebildums ņemts vērā</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E0650D" w:rsidRDefault="00E0650D" w:rsidP="008A56A6">
            <w:pPr>
              <w:jc w:val="both"/>
            </w:pPr>
            <w:r>
              <w:t>Rindkopa svītrota</w:t>
            </w:r>
          </w:p>
        </w:tc>
      </w:tr>
      <w:tr w:rsidR="006640DE" w:rsidRPr="00BD01F6" w:rsidTr="00415D53">
        <w:tc>
          <w:tcPr>
            <w:tcW w:w="708" w:type="dxa"/>
            <w:tcBorders>
              <w:left w:val="single" w:sz="6" w:space="0" w:color="000000"/>
              <w:bottom w:val="single" w:sz="4" w:space="0" w:color="000000"/>
            </w:tcBorders>
            <w:shd w:val="clear" w:color="auto" w:fill="auto"/>
          </w:tcPr>
          <w:p w:rsidR="006640DE" w:rsidRDefault="00342572" w:rsidP="006640DE">
            <w:pPr>
              <w:pStyle w:val="naisc"/>
              <w:spacing w:before="0" w:after="0"/>
            </w:pPr>
            <w:r>
              <w:t>32</w:t>
            </w:r>
            <w:r w:rsidR="006640DE">
              <w:t>.</w:t>
            </w:r>
          </w:p>
        </w:tc>
        <w:tc>
          <w:tcPr>
            <w:tcW w:w="3086" w:type="dxa"/>
            <w:tcBorders>
              <w:top w:val="single" w:sz="6" w:space="0" w:color="000000"/>
              <w:left w:val="single" w:sz="6" w:space="0" w:color="000000"/>
              <w:bottom w:val="single" w:sz="6" w:space="0" w:color="000000"/>
            </w:tcBorders>
            <w:shd w:val="clear" w:color="auto" w:fill="auto"/>
          </w:tcPr>
          <w:p w:rsidR="006640DE" w:rsidRDefault="007923F9" w:rsidP="006640DE">
            <w:pPr>
              <w:suppressAutoHyphens w:val="0"/>
              <w:jc w:val="both"/>
            </w:pPr>
            <w:r>
              <w:t xml:space="preserve">Stratēģijas projekta </w:t>
            </w:r>
            <w:r w:rsidR="006640DE" w:rsidRPr="00F97C40">
              <w:t xml:space="preserve">5. nodaļas 7. tabulā ailēs “Izmaiņas pašvaldību budžeta izdevumos” un “Finansiālā ietekme uz pašvaldību budžetu” </w:t>
            </w:r>
            <w:r w:rsidR="006640DE">
              <w:t>norādīts skaitlis</w:t>
            </w:r>
            <w:r w:rsidR="006640DE" w:rsidRPr="00F97C40">
              <w:t xml:space="preserve"> “0”</w:t>
            </w:r>
            <w:r w:rsidR="006640DE">
              <w:t>.</w:t>
            </w:r>
          </w:p>
        </w:tc>
        <w:tc>
          <w:tcPr>
            <w:tcW w:w="4394" w:type="dxa"/>
            <w:tcBorders>
              <w:top w:val="single" w:sz="6" w:space="0" w:color="000000"/>
              <w:left w:val="single" w:sz="6" w:space="0" w:color="000000"/>
              <w:bottom w:val="single" w:sz="6" w:space="0" w:color="000000"/>
            </w:tcBorders>
            <w:shd w:val="clear" w:color="auto" w:fill="auto"/>
          </w:tcPr>
          <w:p w:rsidR="006640DE" w:rsidRDefault="006640DE" w:rsidP="006640DE">
            <w:pPr>
              <w:jc w:val="center"/>
              <w:rPr>
                <w:b/>
              </w:rPr>
            </w:pPr>
            <w:r>
              <w:rPr>
                <w:b/>
              </w:rPr>
              <w:t>Latvijas Lielo pilsētu asociācija</w:t>
            </w:r>
          </w:p>
          <w:p w:rsidR="006640DE" w:rsidRPr="00823FFD" w:rsidRDefault="006640DE" w:rsidP="006640DE">
            <w:pPr>
              <w:jc w:val="both"/>
            </w:pPr>
            <w:r>
              <w:t>LLPA atkārtoti vērš uzmanību uz iepriekš sniegto iebildumu, ka, ieviešot vairākas no Informatīvā ziņojuma projektā iekļautajām aktivitātēm, pašvaldībām radīsies nepieciešamība pēc papildus finansējuma, taču precizētajā Informatīvā ziņojuma projektā papildus finansējums pašvaldībām pie finansiālās ietekmes netiek paredzēts.</w:t>
            </w:r>
          </w:p>
        </w:tc>
        <w:tc>
          <w:tcPr>
            <w:tcW w:w="4111" w:type="dxa"/>
            <w:tcBorders>
              <w:top w:val="single" w:sz="6" w:space="0" w:color="000000"/>
              <w:left w:val="single" w:sz="6" w:space="0" w:color="000000"/>
              <w:bottom w:val="single" w:sz="6" w:space="0" w:color="000000"/>
            </w:tcBorders>
            <w:shd w:val="clear" w:color="auto" w:fill="auto"/>
          </w:tcPr>
          <w:p w:rsidR="006640DE" w:rsidRPr="006A4851" w:rsidRDefault="006640DE" w:rsidP="006640DE">
            <w:pPr>
              <w:pStyle w:val="naisc"/>
              <w:spacing w:before="0" w:after="0"/>
              <w:rPr>
                <w:b/>
              </w:rPr>
            </w:pPr>
            <w:r w:rsidRPr="006A4851">
              <w:rPr>
                <w:b/>
              </w:rPr>
              <w:t>Iebildums ņemts vērā</w:t>
            </w:r>
          </w:p>
        </w:tc>
        <w:tc>
          <w:tcPr>
            <w:tcW w:w="2703" w:type="dxa"/>
            <w:tcBorders>
              <w:top w:val="single" w:sz="4" w:space="0" w:color="000000"/>
              <w:left w:val="single" w:sz="6" w:space="0" w:color="000000"/>
              <w:bottom w:val="single" w:sz="4" w:space="0" w:color="000000"/>
              <w:right w:val="single" w:sz="4" w:space="0" w:color="000000"/>
            </w:tcBorders>
            <w:shd w:val="clear" w:color="auto" w:fill="auto"/>
          </w:tcPr>
          <w:p w:rsidR="006640DE" w:rsidRDefault="006640DE" w:rsidP="006640DE">
            <w:pPr>
              <w:jc w:val="both"/>
            </w:pPr>
            <w:r>
              <w:t>5. nodaļas 7. tabulā ailēs “</w:t>
            </w:r>
            <w:r w:rsidRPr="006A4851">
              <w:t>Izmaiņas pašvaldību budžeta izdevumos</w:t>
            </w:r>
            <w:r>
              <w:t xml:space="preserve">” un “Finansiālā ietekme </w:t>
            </w:r>
            <w:r w:rsidRPr="006A4851">
              <w:t>uz pašvaldību budžetu</w:t>
            </w:r>
            <w:r>
              <w:t>” skaitļi “0” aizstāti ar simbolu “*”, zem tabulas paskaidrojot, ka “*</w:t>
            </w:r>
            <w:r w:rsidR="00AE266B" w:rsidRPr="00AE266B">
              <w:t>Atsevišķu Stratēģijā paredzēto uzdevumu un pasākumu īstenošana ietekmēs pašvaldību budžetu. Izmaiņas pašvaldību budžeta izdevumos un finansiālo ietekmi uz pašvaldību budžetu šobrīd nav iespējams aprēķināt dēļ kiberdrošības vides un ietekmēto pašvaldību skaita mainības, kā arī finansiālā ietekme būs atkarīga no veida, kādā atbildīgās institūcijas realizēs tām uzdotos uzdevumus un pasākumus. Atbildīgās institūcijās, plānojot un realizējot Stratēģijā paredzētos uzdevumus un pasākumus, izvērtē</w:t>
            </w:r>
            <w:r w:rsidR="007923F9">
              <w:t>s</w:t>
            </w:r>
            <w:r w:rsidR="00AE266B" w:rsidRPr="00AE266B">
              <w:t xml:space="preserve"> to ietekmi un sagatavo</w:t>
            </w:r>
            <w:r w:rsidR="007923F9">
              <w:t>s</w:t>
            </w:r>
            <w:r w:rsidR="00AE266B" w:rsidRPr="00AE266B">
              <w:t xml:space="preserve"> aprēķinu</w:t>
            </w:r>
            <w:r w:rsidR="007923F9">
              <w:t>s</w:t>
            </w:r>
            <w:r w:rsidR="00AE266B" w:rsidRPr="00AE266B">
              <w:t xml:space="preserve"> par finansiālo ietekmi uz pašvaldību budžetu.</w:t>
            </w:r>
            <w:r>
              <w:t>”</w:t>
            </w:r>
          </w:p>
        </w:tc>
      </w:tr>
    </w:tbl>
    <w:p w:rsidR="00823FFD" w:rsidRDefault="00823FFD"/>
    <w:tbl>
      <w:tblPr>
        <w:tblW w:w="15002" w:type="dxa"/>
        <w:tblInd w:w="1" w:type="dxa"/>
        <w:tblLayout w:type="fixed"/>
        <w:tblCellMar>
          <w:left w:w="0" w:type="dxa"/>
          <w:right w:w="0" w:type="dxa"/>
        </w:tblCellMar>
        <w:tblLook w:val="0000" w:firstRow="0" w:lastRow="0" w:firstColumn="0" w:lastColumn="0" w:noHBand="0" w:noVBand="0"/>
      </w:tblPr>
      <w:tblGrid>
        <w:gridCol w:w="3108"/>
        <w:gridCol w:w="6179"/>
        <w:gridCol w:w="5715"/>
      </w:tblGrid>
      <w:tr w:rsidR="00E371FF" w:rsidRPr="00BD01F6" w:rsidTr="00823FFD">
        <w:tc>
          <w:tcPr>
            <w:tcW w:w="15002" w:type="dxa"/>
            <w:gridSpan w:val="3"/>
            <w:tcBorders>
              <w:top w:val="single" w:sz="4" w:space="0" w:color="auto"/>
            </w:tcBorders>
            <w:shd w:val="clear" w:color="auto" w:fill="auto"/>
          </w:tcPr>
          <w:p w:rsidR="00E371FF" w:rsidRPr="00BD01F6" w:rsidRDefault="00E371FF" w:rsidP="00E371FF">
            <w:pPr>
              <w:pStyle w:val="naiskr"/>
              <w:snapToGrid w:val="0"/>
              <w:spacing w:before="0" w:after="0"/>
            </w:pPr>
          </w:p>
          <w:p w:rsidR="00E371FF" w:rsidRPr="00BD01F6" w:rsidRDefault="00E371FF" w:rsidP="00E371FF">
            <w:pPr>
              <w:pStyle w:val="naiskr"/>
              <w:spacing w:before="0" w:after="0"/>
            </w:pPr>
            <w:r w:rsidRPr="00BD01F6">
              <w:t>Atbildīgā amatpersona</w:t>
            </w:r>
          </w:p>
          <w:p w:rsidR="00E371FF" w:rsidRPr="00BD01F6" w:rsidRDefault="00E371FF" w:rsidP="00E371FF">
            <w:pPr>
              <w:snapToGrid w:val="0"/>
            </w:pPr>
            <w:r w:rsidRPr="00BD01F6">
              <w:t>  </w:t>
            </w:r>
            <w:r>
              <w:t>Aizsardzības ministrijas Krīzes vadības departamenta Nacionālās kiberdrošības politikas koordinācijas nodaļas vadītāja vietnieks Gatis Mezītis</w:t>
            </w:r>
          </w:p>
        </w:tc>
      </w:tr>
      <w:tr w:rsidR="00E371FF" w:rsidRPr="00BD01F6" w:rsidTr="00823FFD">
        <w:tc>
          <w:tcPr>
            <w:tcW w:w="15002" w:type="dxa"/>
            <w:gridSpan w:val="3"/>
            <w:tcBorders>
              <w:top w:val="single" w:sz="4" w:space="0" w:color="auto"/>
            </w:tcBorders>
            <w:shd w:val="clear" w:color="auto" w:fill="auto"/>
          </w:tcPr>
          <w:p w:rsidR="00E371FF" w:rsidRPr="00BD01F6" w:rsidRDefault="00E371FF" w:rsidP="00E371FF">
            <w:pPr>
              <w:pStyle w:val="naiskr"/>
              <w:snapToGrid w:val="0"/>
              <w:spacing w:before="0" w:after="0"/>
            </w:pPr>
          </w:p>
        </w:tc>
      </w:tr>
      <w:tr w:rsidR="00E371FF" w:rsidRPr="00BD01F6" w:rsidTr="00823FFD">
        <w:tc>
          <w:tcPr>
            <w:tcW w:w="3108" w:type="dxa"/>
            <w:shd w:val="clear" w:color="auto" w:fill="auto"/>
          </w:tcPr>
          <w:p w:rsidR="00E371FF" w:rsidRPr="00BD01F6" w:rsidRDefault="00E371FF" w:rsidP="00E371FF">
            <w:pPr>
              <w:pStyle w:val="naiskr"/>
              <w:snapToGrid w:val="0"/>
              <w:spacing w:before="0" w:after="0"/>
              <w:ind w:firstLine="720"/>
            </w:pPr>
          </w:p>
        </w:tc>
        <w:tc>
          <w:tcPr>
            <w:tcW w:w="6179" w:type="dxa"/>
            <w:tcBorders>
              <w:bottom w:val="single" w:sz="6" w:space="0" w:color="000000"/>
            </w:tcBorders>
            <w:shd w:val="clear" w:color="auto" w:fill="auto"/>
          </w:tcPr>
          <w:p w:rsidR="00E371FF" w:rsidRPr="00BD01F6" w:rsidRDefault="00E371FF" w:rsidP="00E371FF">
            <w:pPr>
              <w:pStyle w:val="naisc"/>
              <w:spacing w:before="0" w:after="0"/>
              <w:ind w:firstLine="720"/>
            </w:pPr>
            <w:r w:rsidRPr="00BD01F6">
              <w:t>(paraksts)*</w:t>
            </w:r>
          </w:p>
        </w:tc>
        <w:tc>
          <w:tcPr>
            <w:tcW w:w="5715" w:type="dxa"/>
            <w:shd w:val="clear" w:color="auto" w:fill="auto"/>
          </w:tcPr>
          <w:p w:rsidR="00E371FF" w:rsidRPr="00BD01F6" w:rsidRDefault="00E371FF" w:rsidP="00E371FF">
            <w:pPr>
              <w:snapToGrid w:val="0"/>
            </w:pPr>
          </w:p>
        </w:tc>
      </w:tr>
      <w:tr w:rsidR="00E371FF" w:rsidRPr="00BD01F6" w:rsidTr="00823FFD">
        <w:tc>
          <w:tcPr>
            <w:tcW w:w="3108" w:type="dxa"/>
            <w:shd w:val="clear" w:color="auto" w:fill="auto"/>
          </w:tcPr>
          <w:p w:rsidR="00E371FF" w:rsidRPr="00BD01F6" w:rsidRDefault="00E371FF" w:rsidP="00E371FF">
            <w:pPr>
              <w:pStyle w:val="naiskr"/>
              <w:snapToGrid w:val="0"/>
              <w:spacing w:before="0" w:after="0"/>
              <w:ind w:firstLine="720"/>
            </w:pPr>
          </w:p>
        </w:tc>
        <w:tc>
          <w:tcPr>
            <w:tcW w:w="6179" w:type="dxa"/>
            <w:tcBorders>
              <w:top w:val="single" w:sz="6" w:space="0" w:color="000000"/>
            </w:tcBorders>
            <w:shd w:val="clear" w:color="auto" w:fill="auto"/>
          </w:tcPr>
          <w:p w:rsidR="00E371FF" w:rsidRPr="00BD01F6" w:rsidRDefault="00E371FF" w:rsidP="00E371FF">
            <w:pPr>
              <w:pStyle w:val="naisc"/>
              <w:spacing w:before="0" w:after="0"/>
              <w:ind w:firstLine="720"/>
            </w:pPr>
          </w:p>
        </w:tc>
        <w:tc>
          <w:tcPr>
            <w:tcW w:w="5715" w:type="dxa"/>
            <w:shd w:val="clear" w:color="auto" w:fill="auto"/>
          </w:tcPr>
          <w:p w:rsidR="00E371FF" w:rsidRPr="00BD01F6" w:rsidRDefault="00E371FF" w:rsidP="00E371FF">
            <w:pPr>
              <w:snapToGrid w:val="0"/>
            </w:pPr>
          </w:p>
        </w:tc>
      </w:tr>
    </w:tbl>
    <w:p w:rsidR="00DE0CA3" w:rsidRDefault="00DE0CA3" w:rsidP="004470EF">
      <w:pPr>
        <w:pStyle w:val="naisf"/>
        <w:spacing w:before="0" w:after="0"/>
        <w:ind w:firstLine="0"/>
      </w:pPr>
    </w:p>
    <w:p w:rsidR="00DE0CA3" w:rsidRDefault="00DE0CA3" w:rsidP="004470EF">
      <w:pPr>
        <w:pStyle w:val="naisf"/>
        <w:spacing w:before="0" w:after="0"/>
        <w:ind w:firstLine="0"/>
      </w:pPr>
      <w:r>
        <w:t>Piezīme. * Dokumenta rekvizītu "paraksts" neaizpilda, ja elektroniskais dokuments ir sagatavots atbilstoši normatīvajiem aktiem par elektronisko dokumentu noformēšanu.</w:t>
      </w:r>
    </w:p>
    <w:p w:rsidR="00DE0CA3" w:rsidRDefault="00DE0CA3">
      <w:pPr>
        <w:pStyle w:val="naisf"/>
        <w:spacing w:before="0" w:after="0"/>
        <w:ind w:firstLine="720"/>
      </w:pPr>
    </w:p>
    <w:p w:rsidR="00DE0CA3" w:rsidRDefault="00765D3A" w:rsidP="00765D3A">
      <w:pPr>
        <w:pStyle w:val="naisf"/>
        <w:spacing w:before="0" w:after="0"/>
        <w:ind w:firstLine="0"/>
      </w:pPr>
      <w:r>
        <w:t>Gatis Mezītis</w:t>
      </w:r>
    </w:p>
    <w:tbl>
      <w:tblPr>
        <w:tblW w:w="0" w:type="auto"/>
        <w:tblLayout w:type="fixed"/>
        <w:tblLook w:val="0000" w:firstRow="0" w:lastRow="0" w:firstColumn="0" w:lastColumn="0" w:noHBand="0" w:noVBand="0"/>
      </w:tblPr>
      <w:tblGrid>
        <w:gridCol w:w="8268"/>
      </w:tblGrid>
      <w:tr w:rsidR="00DE0CA3">
        <w:tc>
          <w:tcPr>
            <w:tcW w:w="8268" w:type="dxa"/>
            <w:tcBorders>
              <w:top w:val="single" w:sz="4" w:space="0" w:color="000000"/>
            </w:tcBorders>
            <w:shd w:val="clear" w:color="auto" w:fill="auto"/>
          </w:tcPr>
          <w:p w:rsidR="00DE0CA3" w:rsidRDefault="00DE0CA3">
            <w:pPr>
              <w:jc w:val="center"/>
            </w:pPr>
            <w:r>
              <w:t>(par projektu atbildīgās amatpersonas vārds un uzvārds)</w:t>
            </w:r>
          </w:p>
        </w:tc>
      </w:tr>
      <w:tr w:rsidR="00DE0CA3">
        <w:tc>
          <w:tcPr>
            <w:tcW w:w="8268" w:type="dxa"/>
            <w:tcBorders>
              <w:bottom w:val="single" w:sz="4" w:space="0" w:color="000000"/>
            </w:tcBorders>
            <w:shd w:val="clear" w:color="auto" w:fill="auto"/>
          </w:tcPr>
          <w:p w:rsidR="00DE0CA3" w:rsidRDefault="004470EF">
            <w:r>
              <w:t xml:space="preserve">Nacionālās kiberdrošības politikas koordinācijas nodaļas </w:t>
            </w:r>
            <w:r w:rsidR="00765D3A">
              <w:t>vadītāja vietnieks</w:t>
            </w:r>
            <w:r w:rsidR="00DE0CA3">
              <w:t xml:space="preserve"> </w:t>
            </w:r>
          </w:p>
        </w:tc>
      </w:tr>
      <w:tr w:rsidR="00DE0CA3">
        <w:tc>
          <w:tcPr>
            <w:tcW w:w="8268" w:type="dxa"/>
            <w:tcBorders>
              <w:top w:val="single" w:sz="4" w:space="0" w:color="000000"/>
            </w:tcBorders>
            <w:shd w:val="clear" w:color="auto" w:fill="auto"/>
          </w:tcPr>
          <w:p w:rsidR="00DE0CA3" w:rsidRDefault="00DE0CA3">
            <w:pPr>
              <w:jc w:val="center"/>
            </w:pPr>
            <w:r>
              <w:t>(amats)</w:t>
            </w:r>
          </w:p>
        </w:tc>
      </w:tr>
      <w:tr w:rsidR="00DE0CA3">
        <w:tc>
          <w:tcPr>
            <w:tcW w:w="8268" w:type="dxa"/>
            <w:tcBorders>
              <w:bottom w:val="single" w:sz="4" w:space="0" w:color="000000"/>
            </w:tcBorders>
            <w:shd w:val="clear" w:color="auto" w:fill="auto"/>
          </w:tcPr>
          <w:p w:rsidR="00DE0CA3" w:rsidRDefault="00765D3A">
            <w:r>
              <w:t>tālr.:67335350</w:t>
            </w:r>
            <w:r w:rsidR="00DE0CA3">
              <w:t>; fakss: 67335130</w:t>
            </w:r>
          </w:p>
        </w:tc>
      </w:tr>
      <w:tr w:rsidR="00DE0CA3">
        <w:tc>
          <w:tcPr>
            <w:tcW w:w="8268" w:type="dxa"/>
            <w:tcBorders>
              <w:top w:val="single" w:sz="4" w:space="0" w:color="000000"/>
            </w:tcBorders>
            <w:shd w:val="clear" w:color="auto" w:fill="auto"/>
          </w:tcPr>
          <w:p w:rsidR="00DE0CA3" w:rsidRDefault="00DE0CA3">
            <w:pPr>
              <w:jc w:val="center"/>
            </w:pPr>
            <w:r>
              <w:t>(tālruņa un faksa numurs)</w:t>
            </w:r>
          </w:p>
        </w:tc>
      </w:tr>
      <w:tr w:rsidR="00DE0CA3">
        <w:tc>
          <w:tcPr>
            <w:tcW w:w="8268" w:type="dxa"/>
            <w:tcBorders>
              <w:bottom w:val="single" w:sz="4" w:space="0" w:color="000000"/>
            </w:tcBorders>
            <w:shd w:val="clear" w:color="auto" w:fill="auto"/>
          </w:tcPr>
          <w:p w:rsidR="00DE0CA3" w:rsidRDefault="00765D3A">
            <w:r>
              <w:t>gatis.mezitis</w:t>
            </w:r>
            <w:r w:rsidR="00DE0CA3">
              <w:t>@mod.gov.lv</w:t>
            </w:r>
          </w:p>
        </w:tc>
      </w:tr>
      <w:tr w:rsidR="00DE0CA3">
        <w:tc>
          <w:tcPr>
            <w:tcW w:w="8268" w:type="dxa"/>
            <w:tcBorders>
              <w:top w:val="single" w:sz="4" w:space="0" w:color="000000"/>
            </w:tcBorders>
            <w:shd w:val="clear" w:color="auto" w:fill="auto"/>
          </w:tcPr>
          <w:p w:rsidR="00DE0CA3" w:rsidRDefault="00DE0CA3">
            <w:pPr>
              <w:jc w:val="center"/>
            </w:pPr>
            <w:r>
              <w:t>(e-pasta adrese)</w:t>
            </w:r>
          </w:p>
        </w:tc>
      </w:tr>
    </w:tbl>
    <w:p w:rsidR="00DE0CA3" w:rsidRDefault="00DE0CA3">
      <w:pPr>
        <w:pStyle w:val="naisf"/>
        <w:spacing w:before="0" w:after="0"/>
        <w:ind w:firstLine="0"/>
        <w:jc w:val="left"/>
      </w:pPr>
    </w:p>
    <w:sectPr w:rsidR="00DE0CA3">
      <w:headerReference w:type="default" r:id="rId7"/>
      <w:footerReference w:type="default" r:id="rId8"/>
      <w:footerReference w:type="first" r:id="rId9"/>
      <w:pgSz w:w="16838" w:h="11906" w:orient="landscape"/>
      <w:pgMar w:top="1134" w:right="1134" w:bottom="1134" w:left="993"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18" w:rsidRDefault="008E0418">
      <w:r>
        <w:separator/>
      </w:r>
    </w:p>
  </w:endnote>
  <w:endnote w:type="continuationSeparator" w:id="0">
    <w:p w:rsidR="008E0418" w:rsidRDefault="008E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Liberation Sans">
    <w:altName w:val="Arial"/>
    <w:charset w:val="BA"/>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LiberationSerif-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61" w:rsidRPr="00577AFD" w:rsidRDefault="00771F61">
    <w:pPr>
      <w:pStyle w:val="Footer"/>
      <w:rPr>
        <w:sz w:val="20"/>
        <w:szCs w:val="20"/>
      </w:rPr>
    </w:pPr>
    <w:r w:rsidRPr="00577AFD">
      <w:rPr>
        <w:sz w:val="20"/>
        <w:szCs w:val="20"/>
      </w:rPr>
      <w:fldChar w:fldCharType="begin"/>
    </w:r>
    <w:r w:rsidRPr="00577AFD">
      <w:rPr>
        <w:sz w:val="20"/>
        <w:szCs w:val="20"/>
      </w:rPr>
      <w:instrText xml:space="preserve"> FILENAME   \* MERGEFORMAT </w:instrText>
    </w:r>
    <w:r w:rsidRPr="00577AFD">
      <w:rPr>
        <w:sz w:val="20"/>
        <w:szCs w:val="20"/>
      </w:rPr>
      <w:fldChar w:fldCharType="separate"/>
    </w:r>
    <w:r w:rsidR="000C28AA">
      <w:rPr>
        <w:noProof/>
        <w:sz w:val="20"/>
        <w:szCs w:val="20"/>
      </w:rPr>
      <w:t>AIMIzz_100419_VSS-1220</w:t>
    </w:r>
    <w:r w:rsidRPr="00577AFD">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61" w:rsidRPr="00577AFD" w:rsidRDefault="00771F61">
    <w:pPr>
      <w:pStyle w:val="Footer"/>
      <w:rPr>
        <w:sz w:val="20"/>
        <w:szCs w:val="20"/>
      </w:rPr>
    </w:pPr>
    <w:r w:rsidRPr="00577AFD">
      <w:rPr>
        <w:sz w:val="20"/>
        <w:szCs w:val="20"/>
      </w:rPr>
      <w:fldChar w:fldCharType="begin"/>
    </w:r>
    <w:r w:rsidRPr="00577AFD">
      <w:rPr>
        <w:sz w:val="20"/>
        <w:szCs w:val="20"/>
      </w:rPr>
      <w:instrText xml:space="preserve"> FILENAME   \* MERGEFORMAT </w:instrText>
    </w:r>
    <w:r w:rsidRPr="00577AFD">
      <w:rPr>
        <w:sz w:val="20"/>
        <w:szCs w:val="20"/>
      </w:rPr>
      <w:fldChar w:fldCharType="separate"/>
    </w:r>
    <w:r w:rsidR="000C28AA">
      <w:rPr>
        <w:noProof/>
        <w:sz w:val="20"/>
        <w:szCs w:val="20"/>
      </w:rPr>
      <w:t>AIMIzz_100419_VSS-1220</w:t>
    </w:r>
    <w:r w:rsidRPr="00577AF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18" w:rsidRDefault="008E0418">
      <w:r>
        <w:separator/>
      </w:r>
    </w:p>
  </w:footnote>
  <w:footnote w:type="continuationSeparator" w:id="0">
    <w:p w:rsidR="008E0418" w:rsidRDefault="008E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61" w:rsidRDefault="001F4B6A">
    <w:pPr>
      <w:pStyle w:val="Header"/>
    </w:pPr>
    <w:r>
      <w:rPr>
        <w:noProof/>
        <w:lang w:eastAsia="lv-LV"/>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859155" cy="174625"/>
              <wp:effectExtent l="1905" t="635" r="571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F61" w:rsidRDefault="00771F61">
                          <w:pPr>
                            <w:pStyle w:val="Header"/>
                          </w:pPr>
                          <w:r>
                            <w:rPr>
                              <w:rStyle w:val="PageNumber"/>
                            </w:rPr>
                            <w:fldChar w:fldCharType="begin"/>
                          </w:r>
                          <w:r>
                            <w:rPr>
                              <w:rStyle w:val="PageNumber"/>
                            </w:rPr>
                            <w:instrText xml:space="preserve"> PAGE </w:instrText>
                          </w:r>
                          <w:r>
                            <w:rPr>
                              <w:rStyle w:val="PageNumber"/>
                            </w:rPr>
                            <w:fldChar w:fldCharType="separate"/>
                          </w:r>
                          <w:r w:rsidR="00A3314D">
                            <w:rPr>
                              <w:rStyle w:val="PageNumber"/>
                              <w:noProof/>
                            </w:rPr>
                            <w:t>28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7.65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" stroked="f">
              <v:fill opacity="0"/>
              <v:textbox inset="0,0,0,0">
                <w:txbxContent>
                  <w:p w:rsidR="00771F61" w:rsidRDefault="00771F61">
                    <w:pPr>
                      <w:pStyle w:val="Header"/>
                    </w:pPr>
                    <w:r>
                      <w:rPr>
                        <w:rStyle w:val="PageNumber"/>
                      </w:rPr>
                      <w:fldChar w:fldCharType="begin"/>
                    </w:r>
                    <w:r>
                      <w:rPr>
                        <w:rStyle w:val="PageNumber"/>
                      </w:rPr>
                      <w:instrText xml:space="preserve"> PAGE </w:instrText>
                    </w:r>
                    <w:r>
                      <w:rPr>
                        <w:rStyle w:val="PageNumber"/>
                      </w:rPr>
                      <w:fldChar w:fldCharType="separate"/>
                    </w:r>
                    <w:r w:rsidR="00A3314D">
                      <w:rPr>
                        <w:rStyle w:val="PageNumber"/>
                        <w:noProof/>
                      </w:rPr>
                      <w:t>28</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55394667"/>
    <w:multiLevelType w:val="hybridMultilevel"/>
    <w:tmpl w:val="3656EE80"/>
    <w:lvl w:ilvl="0" w:tplc="BA0CEEAC">
      <w:start w:val="1"/>
      <w:numFmt w:val="decimal"/>
      <w:lvlText w:val="%1."/>
      <w:lvlJc w:val="left"/>
      <w:pPr>
        <w:ind w:left="643" w:hanging="360"/>
      </w:pPr>
      <w:rPr>
        <w:rFonts w:hint="default"/>
      </w:rPr>
    </w:lvl>
    <w:lvl w:ilvl="1" w:tplc="D6E00EB4" w:tentative="1">
      <w:start w:val="1"/>
      <w:numFmt w:val="lowerLetter"/>
      <w:lvlText w:val="%2."/>
      <w:lvlJc w:val="left"/>
      <w:pPr>
        <w:ind w:left="1440" w:hanging="360"/>
      </w:pPr>
    </w:lvl>
    <w:lvl w:ilvl="2" w:tplc="96023614" w:tentative="1">
      <w:start w:val="1"/>
      <w:numFmt w:val="lowerRoman"/>
      <w:lvlText w:val="%3."/>
      <w:lvlJc w:val="right"/>
      <w:pPr>
        <w:ind w:left="2160" w:hanging="180"/>
      </w:pPr>
    </w:lvl>
    <w:lvl w:ilvl="3" w:tplc="114AC3B0" w:tentative="1">
      <w:start w:val="1"/>
      <w:numFmt w:val="decimal"/>
      <w:lvlText w:val="%4."/>
      <w:lvlJc w:val="left"/>
      <w:pPr>
        <w:ind w:left="2880" w:hanging="360"/>
      </w:pPr>
    </w:lvl>
    <w:lvl w:ilvl="4" w:tplc="B7245218" w:tentative="1">
      <w:start w:val="1"/>
      <w:numFmt w:val="lowerLetter"/>
      <w:lvlText w:val="%5."/>
      <w:lvlJc w:val="left"/>
      <w:pPr>
        <w:ind w:left="3600" w:hanging="360"/>
      </w:pPr>
    </w:lvl>
    <w:lvl w:ilvl="5" w:tplc="F4D412F4" w:tentative="1">
      <w:start w:val="1"/>
      <w:numFmt w:val="lowerRoman"/>
      <w:lvlText w:val="%6."/>
      <w:lvlJc w:val="right"/>
      <w:pPr>
        <w:ind w:left="4320" w:hanging="180"/>
      </w:pPr>
    </w:lvl>
    <w:lvl w:ilvl="6" w:tplc="87381322" w:tentative="1">
      <w:start w:val="1"/>
      <w:numFmt w:val="decimal"/>
      <w:lvlText w:val="%7."/>
      <w:lvlJc w:val="left"/>
      <w:pPr>
        <w:ind w:left="5040" w:hanging="360"/>
      </w:pPr>
    </w:lvl>
    <w:lvl w:ilvl="7" w:tplc="4AEE24CA" w:tentative="1">
      <w:start w:val="1"/>
      <w:numFmt w:val="lowerLetter"/>
      <w:lvlText w:val="%8."/>
      <w:lvlJc w:val="left"/>
      <w:pPr>
        <w:ind w:left="5760" w:hanging="360"/>
      </w:pPr>
    </w:lvl>
    <w:lvl w:ilvl="8" w:tplc="D3EA3B8A" w:tentative="1">
      <w:start w:val="1"/>
      <w:numFmt w:val="lowerRoman"/>
      <w:lvlText w:val="%9."/>
      <w:lvlJc w:val="right"/>
      <w:pPr>
        <w:ind w:left="6480" w:hanging="180"/>
      </w:pPr>
    </w:lvl>
  </w:abstractNum>
  <w:abstractNum w:abstractNumId="2" w15:restartNumberingAfterBreak="0">
    <w:nsid w:val="5CCE2204"/>
    <w:multiLevelType w:val="hybridMultilevel"/>
    <w:tmpl w:val="5BE4C292"/>
    <w:lvl w:ilvl="0" w:tplc="3D009720">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7DE6392F"/>
    <w:multiLevelType w:val="hybridMultilevel"/>
    <w:tmpl w:val="300A4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13"/>
    <w:rsid w:val="000063CB"/>
    <w:rsid w:val="00015E60"/>
    <w:rsid w:val="000175D8"/>
    <w:rsid w:val="00020CFD"/>
    <w:rsid w:val="00044531"/>
    <w:rsid w:val="000450BE"/>
    <w:rsid w:val="00051897"/>
    <w:rsid w:val="0005481B"/>
    <w:rsid w:val="0006658A"/>
    <w:rsid w:val="000903DE"/>
    <w:rsid w:val="0009108A"/>
    <w:rsid w:val="000B73FC"/>
    <w:rsid w:val="000C28AA"/>
    <w:rsid w:val="000C7626"/>
    <w:rsid w:val="000D235C"/>
    <w:rsid w:val="000F59F5"/>
    <w:rsid w:val="0012141A"/>
    <w:rsid w:val="00133A96"/>
    <w:rsid w:val="00137F84"/>
    <w:rsid w:val="00140A4E"/>
    <w:rsid w:val="001514DD"/>
    <w:rsid w:val="001520C4"/>
    <w:rsid w:val="001524C7"/>
    <w:rsid w:val="00162BE4"/>
    <w:rsid w:val="00170BE2"/>
    <w:rsid w:val="00181EE4"/>
    <w:rsid w:val="001839FB"/>
    <w:rsid w:val="0019436B"/>
    <w:rsid w:val="001A07DF"/>
    <w:rsid w:val="001A1292"/>
    <w:rsid w:val="001A3B56"/>
    <w:rsid w:val="001B10DD"/>
    <w:rsid w:val="001B6165"/>
    <w:rsid w:val="001C1891"/>
    <w:rsid w:val="001C2A0A"/>
    <w:rsid w:val="001C4742"/>
    <w:rsid w:val="001C4FFC"/>
    <w:rsid w:val="001E296E"/>
    <w:rsid w:val="001F4B6A"/>
    <w:rsid w:val="001F6E6F"/>
    <w:rsid w:val="00201526"/>
    <w:rsid w:val="00210C33"/>
    <w:rsid w:val="00215218"/>
    <w:rsid w:val="00225113"/>
    <w:rsid w:val="00231186"/>
    <w:rsid w:val="00241B92"/>
    <w:rsid w:val="00253B5F"/>
    <w:rsid w:val="0027448C"/>
    <w:rsid w:val="002913D8"/>
    <w:rsid w:val="002941A1"/>
    <w:rsid w:val="002B3AEF"/>
    <w:rsid w:val="002C42B7"/>
    <w:rsid w:val="002C4AA0"/>
    <w:rsid w:val="002C68E8"/>
    <w:rsid w:val="002C6D99"/>
    <w:rsid w:val="002D3747"/>
    <w:rsid w:val="00301F71"/>
    <w:rsid w:val="00316198"/>
    <w:rsid w:val="003266BA"/>
    <w:rsid w:val="00331BE7"/>
    <w:rsid w:val="00335D39"/>
    <w:rsid w:val="0033706D"/>
    <w:rsid w:val="00342572"/>
    <w:rsid w:val="00363173"/>
    <w:rsid w:val="003855A8"/>
    <w:rsid w:val="003D369D"/>
    <w:rsid w:val="003E410B"/>
    <w:rsid w:val="003F0A64"/>
    <w:rsid w:val="00415424"/>
    <w:rsid w:val="004470EF"/>
    <w:rsid w:val="00450542"/>
    <w:rsid w:val="00456D55"/>
    <w:rsid w:val="00457125"/>
    <w:rsid w:val="00464513"/>
    <w:rsid w:val="00472BB8"/>
    <w:rsid w:val="004856FA"/>
    <w:rsid w:val="00495AF8"/>
    <w:rsid w:val="004A07B7"/>
    <w:rsid w:val="004A1166"/>
    <w:rsid w:val="004A6795"/>
    <w:rsid w:val="004B311E"/>
    <w:rsid w:val="004B7F25"/>
    <w:rsid w:val="004C1BA5"/>
    <w:rsid w:val="004C47EB"/>
    <w:rsid w:val="004D2EC2"/>
    <w:rsid w:val="004D5F6B"/>
    <w:rsid w:val="004E626C"/>
    <w:rsid w:val="004E7B46"/>
    <w:rsid w:val="00502710"/>
    <w:rsid w:val="00512ECC"/>
    <w:rsid w:val="0051423F"/>
    <w:rsid w:val="00516D99"/>
    <w:rsid w:val="00524055"/>
    <w:rsid w:val="0052779D"/>
    <w:rsid w:val="00543E88"/>
    <w:rsid w:val="00554475"/>
    <w:rsid w:val="00576825"/>
    <w:rsid w:val="00577AFD"/>
    <w:rsid w:val="00577DD1"/>
    <w:rsid w:val="00593CB0"/>
    <w:rsid w:val="005E6F72"/>
    <w:rsid w:val="005F2836"/>
    <w:rsid w:val="00612855"/>
    <w:rsid w:val="00614EF1"/>
    <w:rsid w:val="00615BF6"/>
    <w:rsid w:val="00621D2E"/>
    <w:rsid w:val="00640723"/>
    <w:rsid w:val="00641E77"/>
    <w:rsid w:val="00652FDA"/>
    <w:rsid w:val="0065315D"/>
    <w:rsid w:val="00654421"/>
    <w:rsid w:val="006551C3"/>
    <w:rsid w:val="00656F3B"/>
    <w:rsid w:val="00657FE8"/>
    <w:rsid w:val="00661DE1"/>
    <w:rsid w:val="006640DE"/>
    <w:rsid w:val="0067478E"/>
    <w:rsid w:val="006A4851"/>
    <w:rsid w:val="006B64F1"/>
    <w:rsid w:val="006D33FF"/>
    <w:rsid w:val="006D4A4A"/>
    <w:rsid w:val="006E4147"/>
    <w:rsid w:val="006E6285"/>
    <w:rsid w:val="00701F53"/>
    <w:rsid w:val="00704195"/>
    <w:rsid w:val="00705F9A"/>
    <w:rsid w:val="007069F0"/>
    <w:rsid w:val="007121AC"/>
    <w:rsid w:val="007210C9"/>
    <w:rsid w:val="007253AC"/>
    <w:rsid w:val="0073599D"/>
    <w:rsid w:val="007465E7"/>
    <w:rsid w:val="0076336E"/>
    <w:rsid w:val="00763DE2"/>
    <w:rsid w:val="00765D3A"/>
    <w:rsid w:val="00767E59"/>
    <w:rsid w:val="0077129B"/>
    <w:rsid w:val="00771F61"/>
    <w:rsid w:val="007820DE"/>
    <w:rsid w:val="007923F9"/>
    <w:rsid w:val="00793BBD"/>
    <w:rsid w:val="007A46AE"/>
    <w:rsid w:val="007A6853"/>
    <w:rsid w:val="007B47B2"/>
    <w:rsid w:val="007C0588"/>
    <w:rsid w:val="007F32A6"/>
    <w:rsid w:val="00800E77"/>
    <w:rsid w:val="008025E1"/>
    <w:rsid w:val="008035EA"/>
    <w:rsid w:val="00813D74"/>
    <w:rsid w:val="008160F0"/>
    <w:rsid w:val="00820F17"/>
    <w:rsid w:val="00823FFD"/>
    <w:rsid w:val="008246AC"/>
    <w:rsid w:val="00835535"/>
    <w:rsid w:val="00843D94"/>
    <w:rsid w:val="008446AB"/>
    <w:rsid w:val="008463B8"/>
    <w:rsid w:val="00864711"/>
    <w:rsid w:val="0086555A"/>
    <w:rsid w:val="00872333"/>
    <w:rsid w:val="00873F51"/>
    <w:rsid w:val="008A56A6"/>
    <w:rsid w:val="008B7500"/>
    <w:rsid w:val="008D4CC5"/>
    <w:rsid w:val="008D6D61"/>
    <w:rsid w:val="008E0418"/>
    <w:rsid w:val="008E7AA4"/>
    <w:rsid w:val="008F1FCA"/>
    <w:rsid w:val="0090195D"/>
    <w:rsid w:val="00901B69"/>
    <w:rsid w:val="00920004"/>
    <w:rsid w:val="0092306D"/>
    <w:rsid w:val="00935BB1"/>
    <w:rsid w:val="00941BDD"/>
    <w:rsid w:val="00960641"/>
    <w:rsid w:val="00970BE4"/>
    <w:rsid w:val="0097620F"/>
    <w:rsid w:val="00977C22"/>
    <w:rsid w:val="009A3078"/>
    <w:rsid w:val="009A685A"/>
    <w:rsid w:val="009B62EE"/>
    <w:rsid w:val="009B66AE"/>
    <w:rsid w:val="009E2C5F"/>
    <w:rsid w:val="009F0073"/>
    <w:rsid w:val="00A0125A"/>
    <w:rsid w:val="00A103F3"/>
    <w:rsid w:val="00A2258A"/>
    <w:rsid w:val="00A241D3"/>
    <w:rsid w:val="00A2727A"/>
    <w:rsid w:val="00A27C9A"/>
    <w:rsid w:val="00A3314D"/>
    <w:rsid w:val="00A422CF"/>
    <w:rsid w:val="00A63C57"/>
    <w:rsid w:val="00A6671F"/>
    <w:rsid w:val="00A67906"/>
    <w:rsid w:val="00A91EF0"/>
    <w:rsid w:val="00A92134"/>
    <w:rsid w:val="00A93645"/>
    <w:rsid w:val="00A939B3"/>
    <w:rsid w:val="00A9415C"/>
    <w:rsid w:val="00A94808"/>
    <w:rsid w:val="00A95083"/>
    <w:rsid w:val="00AC294E"/>
    <w:rsid w:val="00AE2160"/>
    <w:rsid w:val="00AE266B"/>
    <w:rsid w:val="00B05664"/>
    <w:rsid w:val="00B14C16"/>
    <w:rsid w:val="00B72755"/>
    <w:rsid w:val="00B82992"/>
    <w:rsid w:val="00B8616C"/>
    <w:rsid w:val="00B93669"/>
    <w:rsid w:val="00B93897"/>
    <w:rsid w:val="00B95517"/>
    <w:rsid w:val="00BA7307"/>
    <w:rsid w:val="00BD01F6"/>
    <w:rsid w:val="00BD6C60"/>
    <w:rsid w:val="00BE520A"/>
    <w:rsid w:val="00BF0250"/>
    <w:rsid w:val="00BF6BA8"/>
    <w:rsid w:val="00C04535"/>
    <w:rsid w:val="00C1039F"/>
    <w:rsid w:val="00C132F5"/>
    <w:rsid w:val="00C2065F"/>
    <w:rsid w:val="00C23A59"/>
    <w:rsid w:val="00C24CA7"/>
    <w:rsid w:val="00C30AD4"/>
    <w:rsid w:val="00C348A3"/>
    <w:rsid w:val="00C35A72"/>
    <w:rsid w:val="00C472EA"/>
    <w:rsid w:val="00C616EB"/>
    <w:rsid w:val="00C63C17"/>
    <w:rsid w:val="00C75A74"/>
    <w:rsid w:val="00C80838"/>
    <w:rsid w:val="00C901A6"/>
    <w:rsid w:val="00CA12EF"/>
    <w:rsid w:val="00CA30A8"/>
    <w:rsid w:val="00CA4C85"/>
    <w:rsid w:val="00CA4C94"/>
    <w:rsid w:val="00CC4A99"/>
    <w:rsid w:val="00CC5E3A"/>
    <w:rsid w:val="00CD297A"/>
    <w:rsid w:val="00CE2072"/>
    <w:rsid w:val="00D15A6D"/>
    <w:rsid w:val="00D2177C"/>
    <w:rsid w:val="00D24676"/>
    <w:rsid w:val="00D250CA"/>
    <w:rsid w:val="00D30E21"/>
    <w:rsid w:val="00D33807"/>
    <w:rsid w:val="00D35CAB"/>
    <w:rsid w:val="00D37B2D"/>
    <w:rsid w:val="00D56718"/>
    <w:rsid w:val="00D5719C"/>
    <w:rsid w:val="00D63AAC"/>
    <w:rsid w:val="00D65918"/>
    <w:rsid w:val="00D80385"/>
    <w:rsid w:val="00D84557"/>
    <w:rsid w:val="00D90F4D"/>
    <w:rsid w:val="00DA1118"/>
    <w:rsid w:val="00DC6716"/>
    <w:rsid w:val="00DD37AF"/>
    <w:rsid w:val="00DE0CA3"/>
    <w:rsid w:val="00DF42F4"/>
    <w:rsid w:val="00E0650D"/>
    <w:rsid w:val="00E10CB8"/>
    <w:rsid w:val="00E13AD9"/>
    <w:rsid w:val="00E17E1F"/>
    <w:rsid w:val="00E2184C"/>
    <w:rsid w:val="00E2228A"/>
    <w:rsid w:val="00E245F2"/>
    <w:rsid w:val="00E26DF9"/>
    <w:rsid w:val="00E34C73"/>
    <w:rsid w:val="00E371FF"/>
    <w:rsid w:val="00E437C3"/>
    <w:rsid w:val="00E44AC5"/>
    <w:rsid w:val="00E50210"/>
    <w:rsid w:val="00E54EC6"/>
    <w:rsid w:val="00E55115"/>
    <w:rsid w:val="00E618B3"/>
    <w:rsid w:val="00E708EF"/>
    <w:rsid w:val="00E843C0"/>
    <w:rsid w:val="00E86B92"/>
    <w:rsid w:val="00E96A9C"/>
    <w:rsid w:val="00EB4FDD"/>
    <w:rsid w:val="00EC4291"/>
    <w:rsid w:val="00EC6021"/>
    <w:rsid w:val="00ED0047"/>
    <w:rsid w:val="00ED3255"/>
    <w:rsid w:val="00ED5C24"/>
    <w:rsid w:val="00EE71CB"/>
    <w:rsid w:val="00EF59EF"/>
    <w:rsid w:val="00F02CFD"/>
    <w:rsid w:val="00F11510"/>
    <w:rsid w:val="00F15E6F"/>
    <w:rsid w:val="00F2070F"/>
    <w:rsid w:val="00F220E2"/>
    <w:rsid w:val="00F251FC"/>
    <w:rsid w:val="00F25504"/>
    <w:rsid w:val="00F270F4"/>
    <w:rsid w:val="00F31647"/>
    <w:rsid w:val="00F432F5"/>
    <w:rsid w:val="00F535D5"/>
    <w:rsid w:val="00F774CD"/>
    <w:rsid w:val="00F832BB"/>
    <w:rsid w:val="00F83DF8"/>
    <w:rsid w:val="00F86CB8"/>
    <w:rsid w:val="00F9110C"/>
    <w:rsid w:val="00F91F80"/>
    <w:rsid w:val="00F97BED"/>
    <w:rsid w:val="00F97C40"/>
    <w:rsid w:val="00FA18F3"/>
    <w:rsid w:val="00FC031F"/>
    <w:rsid w:val="00FF1FF3"/>
    <w:rsid w:val="00FF39E4"/>
    <w:rsid w:val="00FF5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4:docId w14:val="4031265C"/>
  <w15:chartTrackingRefBased/>
  <w15:docId w15:val="{396E47B5-1AB0-45F8-A782-9E6F08FC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numPr>
        <w:numId w:val="1"/>
      </w:numPr>
      <w:spacing w:before="280" w:after="280"/>
      <w:outlineLvl w:val="0"/>
    </w:pPr>
    <w:rPr>
      <w:b/>
      <w:bCs/>
      <w:kern w:val="1"/>
      <w:sz w:val="48"/>
      <w:szCs w:val="48"/>
    </w:rPr>
  </w:style>
  <w:style w:type="paragraph" w:styleId="Heading2">
    <w:name w:val="heading 2"/>
    <w:basedOn w:val="Normal"/>
    <w:next w:val="Normal"/>
    <w:link w:val="Heading2Char"/>
    <w:uiPriority w:val="9"/>
    <w:semiHidden/>
    <w:unhideWhenUsed/>
    <w:qFormat/>
    <w:rsid w:val="000D23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hint="default"/>
    </w:rPr>
  </w:style>
  <w:style w:type="character" w:customStyle="1" w:styleId="WW8Num3z0">
    <w:name w:val="WW8Num3z0"/>
    <w:rPr>
      <w:rFonts w:hint="default"/>
    </w:rPr>
  </w:style>
  <w:style w:type="character" w:customStyle="1" w:styleId="WW8Num4z0">
    <w:name w:val="WW8Num4z0"/>
    <w:rPr>
      <w:rFonts w:ascii="Symbol" w:eastAsia="Times New Roman"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Heading1Char">
    <w:name w:val="Heading 1 Char"/>
    <w:rPr>
      <w:rFonts w:ascii="Cambria" w:hAnsi="Cambria" w:cs="Times New Roman"/>
      <w:b/>
      <w:bCs/>
      <w:color w:val="365F91"/>
      <w:sz w:val="28"/>
      <w:szCs w:val="28"/>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character" w:customStyle="1" w:styleId="z-TopofFormChar">
    <w:name w:val="z-Top of Form Char"/>
    <w:rPr>
      <w:rFonts w:ascii="Arial" w:hAnsi="Arial" w:cs="Arial"/>
      <w:vanish/>
      <w:sz w:val="16"/>
      <w:szCs w:val="16"/>
    </w:rPr>
  </w:style>
  <w:style w:type="character" w:customStyle="1" w:styleId="z-BottomofFormChar">
    <w:name w:val="z-Bottom of Form Char"/>
    <w:rPr>
      <w:rFonts w:ascii="Arial" w:hAnsi="Arial" w:cs="Arial"/>
      <w:vanish/>
      <w:sz w:val="16"/>
      <w:szCs w:val="16"/>
    </w:rPr>
  </w:style>
  <w:style w:type="character" w:styleId="Strong">
    <w:name w:val="Strong"/>
    <w:qFormat/>
    <w:rPr>
      <w:rFonts w:cs="Times New Roman"/>
      <w:b/>
      <w:bCs/>
    </w:rPr>
  </w:style>
  <w:style w:type="character" w:customStyle="1" w:styleId="th1">
    <w:name w:val="th1"/>
    <w:rPr>
      <w:rFonts w:cs="Times New Roman"/>
      <w:b/>
      <w:bCs/>
      <w:color w:val="333333"/>
    </w:rPr>
  </w:style>
  <w:style w:type="character" w:styleId="Emphasis">
    <w:name w:val="Emphasis"/>
    <w:qFormat/>
    <w:rPr>
      <w:rFonts w:cs="Times New Roman"/>
      <w:i/>
      <w:iCs/>
    </w:rPr>
  </w:style>
  <w:style w:type="character" w:customStyle="1" w:styleId="BalloonTextChar">
    <w:name w:val="Balloon Text Char"/>
    <w:rPr>
      <w:rFonts w:ascii="Tahoma" w:hAnsi="Tahoma" w:cs="Tahoma"/>
      <w:sz w:val="16"/>
      <w:szCs w:val="16"/>
    </w:rPr>
  </w:style>
  <w:style w:type="character" w:customStyle="1" w:styleId="BodyTextIndent3Char">
    <w:name w:val="Body Text Indent 3 Char"/>
    <w:rPr>
      <w:rFonts w:cs="Times New Roman"/>
      <w:sz w:val="28"/>
      <w:szCs w:val="28"/>
      <w:lang w:val="lv-LV"/>
    </w:rPr>
  </w:style>
  <w:style w:type="character" w:customStyle="1" w:styleId="HeaderChar">
    <w:name w:val="Header Char"/>
    <w:rPr>
      <w:rFonts w:cs="Times New Roman"/>
      <w:sz w:val="24"/>
      <w:szCs w:val="24"/>
      <w:lang w:val="lv-LV"/>
    </w:rPr>
  </w:style>
  <w:style w:type="character" w:styleId="PageNumber">
    <w:name w:val="page number"/>
    <w:rPr>
      <w:rFonts w:cs="Times New Roman"/>
    </w:rPr>
  </w:style>
  <w:style w:type="character" w:customStyle="1" w:styleId="FooterChar">
    <w:name w:val="Footer Char"/>
    <w:rPr>
      <w:rFonts w:cs="Times New Roman"/>
      <w:sz w:val="24"/>
      <w:szCs w:val="24"/>
      <w:lang w:val="lv-LV"/>
    </w:rPr>
  </w:style>
  <w:style w:type="character" w:styleId="CommentReference">
    <w:name w:val="annotation reference"/>
    <w:uiPriority w:val="99"/>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FootnoteTextChar">
    <w:name w:val="Footnote Text Char"/>
    <w:rPr>
      <w:rFonts w:ascii="Cambria" w:eastAsia="MS Mincho" w:hAnsi="Cambria" w:cs="Cambria"/>
      <w:sz w:val="24"/>
      <w:szCs w:val="24"/>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h1">
    <w:name w:val="h1"/>
    <w:basedOn w:val="Normal"/>
    <w:pPr>
      <w:spacing w:after="150"/>
    </w:pPr>
    <w:rPr>
      <w:color w:val="306060"/>
      <w:sz w:val="31"/>
      <w:szCs w:val="31"/>
    </w:rPr>
  </w:style>
  <w:style w:type="paragraph" w:customStyle="1" w:styleId="h2">
    <w:name w:val="h2"/>
    <w:basedOn w:val="Normal"/>
    <w:pPr>
      <w:spacing w:before="280" w:after="280"/>
    </w:pPr>
    <w:rPr>
      <w:color w:val="306060"/>
    </w:rPr>
  </w:style>
  <w:style w:type="paragraph" w:customStyle="1" w:styleId="a">
    <w:name w:val="a"/>
    <w:basedOn w:val="Normal"/>
    <w:pPr>
      <w:spacing w:before="280" w:after="280"/>
    </w:pPr>
    <w:rPr>
      <w:color w:val="306060"/>
    </w:rPr>
  </w:style>
  <w:style w:type="paragraph" w:customStyle="1" w:styleId="b">
    <w:name w:val="b"/>
    <w:basedOn w:val="Normal"/>
    <w:pPr>
      <w:spacing w:before="280" w:after="280"/>
    </w:pPr>
    <w:rPr>
      <w:color w:val="306060"/>
    </w:rPr>
  </w:style>
  <w:style w:type="paragraph" w:customStyle="1" w:styleId="body">
    <w:name w:val="body"/>
    <w:basedOn w:val="Normal"/>
    <w:pPr>
      <w:shd w:val="clear" w:color="auto" w:fill="C9E1DF"/>
      <w:spacing w:before="280" w:after="280"/>
    </w:pPr>
    <w:rPr>
      <w:rFonts w:ascii="Arial" w:hAnsi="Arial" w:cs="Arial"/>
      <w:color w:val="333333"/>
    </w:rPr>
  </w:style>
  <w:style w:type="paragraph" w:customStyle="1" w:styleId="button">
    <w:name w:val="button"/>
    <w:basedOn w:val="Normal"/>
    <w:pPr>
      <w:spacing w:before="280" w:after="280"/>
    </w:pPr>
    <w:rPr>
      <w:color w:val="F0F8F8"/>
    </w:rPr>
  </w:style>
  <w:style w:type="paragraph" w:customStyle="1" w:styleId="radio">
    <w:name w:val="radio"/>
    <w:basedOn w:val="Normal"/>
    <w:pPr>
      <w:spacing w:before="280" w:after="280"/>
    </w:pPr>
  </w:style>
  <w:style w:type="paragraph" w:customStyle="1" w:styleId="headcol">
    <w:name w:val="headcol"/>
    <w:basedOn w:val="Normal"/>
    <w:pPr>
      <w:spacing w:before="280" w:after="280"/>
    </w:pPr>
    <w:rPr>
      <w:color w:val="F0F8F8"/>
    </w:rPr>
  </w:style>
  <w:style w:type="paragraph" w:customStyle="1" w:styleId="titlecol">
    <w:name w:val="titlecol"/>
    <w:basedOn w:val="Normal"/>
    <w:pPr>
      <w:spacing w:before="280" w:after="280"/>
      <w:jc w:val="right"/>
    </w:pPr>
    <w:rPr>
      <w:b/>
      <w:bCs/>
    </w:rPr>
  </w:style>
  <w:style w:type="paragraph" w:customStyle="1" w:styleId="th">
    <w:name w:val="th"/>
    <w:basedOn w:val="Normal"/>
    <w:pPr>
      <w:spacing w:before="280" w:after="280"/>
    </w:pPr>
    <w:rPr>
      <w:b/>
      <w:bCs/>
      <w:color w:val="333333"/>
    </w:rPr>
  </w:style>
  <w:style w:type="paragraph" w:customStyle="1" w:styleId="thr">
    <w:name w:val="thr"/>
    <w:basedOn w:val="Normal"/>
    <w:pPr>
      <w:spacing w:before="280" w:after="280"/>
      <w:jc w:val="right"/>
    </w:pPr>
  </w:style>
  <w:style w:type="paragraph" w:customStyle="1" w:styleId="bdc">
    <w:name w:val="bdc"/>
    <w:basedOn w:val="Normal"/>
    <w:pPr>
      <w:spacing w:before="280" w:after="280"/>
    </w:pPr>
    <w:rPr>
      <w:b/>
      <w:bCs/>
    </w:rPr>
  </w:style>
  <w:style w:type="paragraph" w:customStyle="1" w:styleId="input">
    <w:name w:val="input"/>
    <w:basedOn w:val="Normal"/>
    <w:pPr>
      <w:shd w:val="clear" w:color="auto" w:fill="F0F8F8"/>
      <w:spacing w:before="280" w:after="280"/>
    </w:pPr>
    <w:rPr>
      <w:rFonts w:ascii="Arial" w:hAnsi="Arial" w:cs="Arial"/>
      <w:color w:val="333333"/>
    </w:rPr>
  </w:style>
  <w:style w:type="paragraph" w:customStyle="1" w:styleId="myinput">
    <w:name w:val="myinput"/>
    <w:basedOn w:val="Normal"/>
    <w:pPr>
      <w:shd w:val="clear" w:color="auto" w:fill="F0F8F8"/>
      <w:spacing w:before="280" w:after="280"/>
    </w:pPr>
    <w:rPr>
      <w:rFonts w:ascii="Arial" w:hAnsi="Arial" w:cs="Arial"/>
      <w:color w:val="333333"/>
    </w:rPr>
  </w:style>
  <w:style w:type="paragraph" w:customStyle="1" w:styleId="select">
    <w:name w:val="select"/>
    <w:basedOn w:val="Normal"/>
    <w:pPr>
      <w:shd w:val="clear" w:color="auto" w:fill="F0F8F8"/>
      <w:spacing w:before="280" w:after="280"/>
    </w:pPr>
    <w:rPr>
      <w:color w:val="333333"/>
    </w:rPr>
  </w:style>
  <w:style w:type="paragraph" w:customStyle="1" w:styleId="top1">
    <w:name w:val="top1"/>
    <w:basedOn w:val="Normal"/>
    <w:pPr>
      <w:spacing w:before="280" w:after="280"/>
    </w:pPr>
  </w:style>
  <w:style w:type="paragraph" w:customStyle="1" w:styleId="logo">
    <w:name w:val="logo"/>
    <w:basedOn w:val="Normal"/>
    <w:pPr>
      <w:spacing w:before="280" w:after="280"/>
    </w:pPr>
  </w:style>
  <w:style w:type="paragraph" w:customStyle="1" w:styleId="top2">
    <w:name w:val="top2"/>
    <w:basedOn w:val="Normal"/>
    <w:pPr>
      <w:spacing w:before="280" w:after="280"/>
    </w:pPr>
  </w:style>
  <w:style w:type="paragraph" w:customStyle="1" w:styleId="hline">
    <w:name w:val="hline"/>
    <w:basedOn w:val="Normal"/>
    <w:pPr>
      <w:spacing w:before="280" w:after="280"/>
    </w:pPr>
  </w:style>
  <w:style w:type="paragraph" w:customStyle="1" w:styleId="vline">
    <w:name w:val="vline"/>
    <w:basedOn w:val="Normal"/>
    <w:pPr>
      <w:spacing w:before="280" w:after="280"/>
    </w:pPr>
  </w:style>
  <w:style w:type="paragraph" w:customStyle="1" w:styleId="zvabri">
    <w:name w:val="zvabri"/>
    <w:basedOn w:val="Normal"/>
    <w:pPr>
      <w:spacing w:before="280" w:after="280"/>
    </w:pPr>
    <w:rPr>
      <w:color w:val="FF0000"/>
    </w:rPr>
  </w:style>
  <w:style w:type="paragraph" w:styleId="z-TopofForm">
    <w:name w:val="HTML Top of Form"/>
    <w:basedOn w:val="Normal"/>
    <w:next w:val="Normal"/>
    <w:pPr>
      <w:pBdr>
        <w:top w:val="none" w:sz="0" w:space="0" w:color="000000"/>
        <w:left w:val="none" w:sz="0" w:space="0" w:color="000000"/>
        <w:bottom w:val="single" w:sz="6" w:space="1" w:color="000000"/>
        <w:right w:val="none" w:sz="0" w:space="0" w:color="000000"/>
      </w:pBdr>
      <w:jc w:val="center"/>
    </w:pPr>
    <w:rPr>
      <w:rFonts w:ascii="Arial" w:hAnsi="Arial" w:cs="Arial"/>
      <w:vanish/>
      <w:sz w:val="16"/>
      <w:szCs w:val="16"/>
    </w:rPr>
  </w:style>
  <w:style w:type="paragraph" w:styleId="z-BottomofForm">
    <w:name w:val="HTML Bottom of Form"/>
    <w:basedOn w:val="Normal"/>
    <w:next w:val="Normal"/>
    <w:pPr>
      <w:pBdr>
        <w:top w:val="single" w:sz="6" w:space="1" w:color="000000"/>
        <w:left w:val="none" w:sz="0" w:space="0" w:color="000000"/>
        <w:bottom w:val="none" w:sz="0" w:space="0" w:color="000000"/>
        <w:right w:val="none" w:sz="0" w:space="0" w:color="000000"/>
      </w:pBdr>
      <w:jc w:val="center"/>
    </w:pPr>
    <w:rPr>
      <w:rFonts w:ascii="Arial" w:hAnsi="Arial" w:cs="Arial"/>
      <w:vanish/>
      <w:sz w:val="16"/>
      <w:szCs w:val="16"/>
    </w:rPr>
  </w:style>
  <w:style w:type="paragraph" w:styleId="NormalWeb">
    <w:name w:val="Normal (Web)"/>
    <w:basedOn w:val="Normal"/>
    <w:pPr>
      <w:spacing w:before="280" w:after="280"/>
    </w:pPr>
  </w:style>
  <w:style w:type="paragraph" w:customStyle="1" w:styleId="naisf">
    <w:name w:val="naisf"/>
    <w:basedOn w:val="Normal"/>
    <w:pPr>
      <w:spacing w:before="75" w:after="75"/>
      <w:ind w:firstLine="375"/>
      <w:jc w:val="both"/>
    </w:pPr>
  </w:style>
  <w:style w:type="paragraph" w:customStyle="1" w:styleId="nais1">
    <w:name w:val="nais1"/>
    <w:basedOn w:val="Normal"/>
    <w:pPr>
      <w:spacing w:before="75" w:after="75"/>
      <w:ind w:left="450" w:firstLine="375"/>
      <w:jc w:val="both"/>
    </w:pPr>
  </w:style>
  <w:style w:type="paragraph" w:customStyle="1" w:styleId="nais2">
    <w:name w:val="nais2"/>
    <w:basedOn w:val="Normal"/>
    <w:pPr>
      <w:spacing w:before="75" w:after="75"/>
      <w:ind w:left="900" w:firstLine="375"/>
      <w:jc w:val="both"/>
    </w:pPr>
  </w:style>
  <w:style w:type="paragraph" w:customStyle="1" w:styleId="naispant">
    <w:name w:val="naispant"/>
    <w:basedOn w:val="Normal"/>
    <w:pPr>
      <w:spacing w:before="75" w:after="75"/>
      <w:ind w:left="375" w:firstLine="375"/>
      <w:jc w:val="both"/>
    </w:pPr>
    <w:rPr>
      <w:b/>
      <w:bCs/>
    </w:rPr>
  </w:style>
  <w:style w:type="paragraph" w:customStyle="1" w:styleId="naisvisr">
    <w:name w:val="naisvisr"/>
    <w:basedOn w:val="Normal"/>
    <w:pPr>
      <w:spacing w:before="150" w:after="150"/>
      <w:jc w:val="center"/>
    </w:pPr>
    <w:rPr>
      <w:b/>
      <w:bCs/>
      <w:sz w:val="28"/>
      <w:szCs w:val="28"/>
    </w:r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paragraph" w:styleId="BalloonText">
    <w:name w:val="Balloon Text"/>
    <w:basedOn w:val="Normal"/>
    <w:rPr>
      <w:rFonts w:ascii="Tahoma" w:hAnsi="Tahoma" w:cs="Tahoma"/>
      <w:sz w:val="16"/>
      <w:szCs w:val="16"/>
    </w:rPr>
  </w:style>
  <w:style w:type="paragraph" w:styleId="BodyTextIndent3">
    <w:name w:val="Body Text Indent 3"/>
    <w:basedOn w:val="Normal"/>
    <w:pPr>
      <w:ind w:firstLine="709"/>
      <w:jc w:val="both"/>
    </w:pPr>
    <w:rPr>
      <w:sz w:val="28"/>
      <w:szCs w:val="28"/>
    </w:rPr>
  </w:style>
  <w:style w:type="paragraph" w:styleId="Header">
    <w:name w:val="header"/>
    <w:basedOn w:val="Normal"/>
  </w:style>
  <w:style w:type="paragraph" w:styleId="Footer">
    <w:name w:val="footer"/>
    <w:basedOn w:val="Normal"/>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
    <w:basedOn w:val="Normal"/>
    <w:link w:val="ListParagraphChar"/>
    <w:uiPriority w:val="34"/>
    <w:qFormat/>
    <w:pPr>
      <w:spacing w:after="200" w:line="276" w:lineRule="auto"/>
      <w:ind w:left="720"/>
      <w:contextualSpacing/>
    </w:pPr>
    <w:rPr>
      <w:rFonts w:ascii="Calibri" w:hAnsi="Calibri" w:cs="Calibri"/>
      <w:sz w:val="22"/>
      <w:szCs w:val="22"/>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Spacing">
    <w:name w:val="No Spacing"/>
    <w:qFormat/>
    <w:pPr>
      <w:suppressAutoHyphens/>
    </w:pPr>
    <w:rPr>
      <w:rFonts w:ascii="Calibri" w:eastAsia="Calibri" w:hAnsi="Calibri" w:cs="Calibri"/>
      <w:sz w:val="22"/>
      <w:szCs w:val="22"/>
      <w:lang w:eastAsia="zh-CN"/>
    </w:rPr>
  </w:style>
  <w:style w:type="paragraph" w:styleId="FootnoteText">
    <w:name w:val="footnote text"/>
    <w:basedOn w:val="Normal"/>
    <w:rPr>
      <w:rFonts w:ascii="Cambria" w:eastAsia="MS Mincho" w:hAnsi="Cambri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link w:val="ListParagraph"/>
    <w:uiPriority w:val="99"/>
    <w:qFormat/>
    <w:locked/>
    <w:rsid w:val="008025E1"/>
    <w:rPr>
      <w:rFonts w:ascii="Calibri" w:hAnsi="Calibri" w:cs="Calibri"/>
      <w:sz w:val="22"/>
      <w:szCs w:val="22"/>
      <w:lang w:eastAsia="zh-CN"/>
    </w:rPr>
  </w:style>
  <w:style w:type="character" w:customStyle="1" w:styleId="Heading2Char">
    <w:name w:val="Heading 2 Char"/>
    <w:basedOn w:val="DefaultParagraphFont"/>
    <w:link w:val="Heading2"/>
    <w:uiPriority w:val="9"/>
    <w:semiHidden/>
    <w:rsid w:val="000D235C"/>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4280">
      <w:bodyDiv w:val="1"/>
      <w:marLeft w:val="0"/>
      <w:marRight w:val="0"/>
      <w:marTop w:val="0"/>
      <w:marBottom w:val="0"/>
      <w:divBdr>
        <w:top w:val="none" w:sz="0" w:space="0" w:color="auto"/>
        <w:left w:val="none" w:sz="0" w:space="0" w:color="auto"/>
        <w:bottom w:val="none" w:sz="0" w:space="0" w:color="auto"/>
        <w:right w:val="none" w:sz="0" w:space="0" w:color="auto"/>
      </w:divBdr>
    </w:div>
    <w:div w:id="486094594">
      <w:bodyDiv w:val="1"/>
      <w:marLeft w:val="0"/>
      <w:marRight w:val="0"/>
      <w:marTop w:val="0"/>
      <w:marBottom w:val="0"/>
      <w:divBdr>
        <w:top w:val="none" w:sz="0" w:space="0" w:color="auto"/>
        <w:left w:val="none" w:sz="0" w:space="0" w:color="auto"/>
        <w:bottom w:val="none" w:sz="0" w:space="0" w:color="auto"/>
        <w:right w:val="none" w:sz="0" w:space="0" w:color="auto"/>
      </w:divBdr>
    </w:div>
    <w:div w:id="19923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28</Pages>
  <Words>5244</Words>
  <Characters>42905</Characters>
  <Application>Microsoft Office Word</Application>
  <DocSecurity>0</DocSecurity>
  <Lines>1532</Lines>
  <Paragraphs>830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Aizsardzības ministrija</Company>
  <LinksUpToDate>false</LinksUpToDate>
  <CharactersWithSpaces>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Gatis.Mezitis@mod.gov.lv</dc:creator>
  <cp:keywords/>
  <dc:description>gatis.mezitis@mod.gov.lv,
673335350</dc:description>
  <cp:lastModifiedBy>Aizsardzības ministrija</cp:lastModifiedBy>
  <cp:revision>129</cp:revision>
  <cp:lastPrinted>2019-01-21T07:16:00Z</cp:lastPrinted>
  <dcterms:created xsi:type="dcterms:W3CDTF">2019-01-11T14:25:00Z</dcterms:created>
  <dcterms:modified xsi:type="dcterms:W3CDTF">2019-04-10T09:32:00Z</dcterms:modified>
</cp:coreProperties>
</file>