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D626" w14:textId="7AD23C21" w:rsidR="00B527F7" w:rsidRDefault="00B527F7" w:rsidP="009E4BE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E59B8B8" w14:textId="77777777" w:rsidR="00C12E4B" w:rsidRPr="00C12E4B" w:rsidRDefault="00C12E4B" w:rsidP="009E4BE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0E52E86" w14:textId="48A82400" w:rsidR="00441194" w:rsidRPr="00C12E4B" w:rsidRDefault="00441194" w:rsidP="009E4BE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E4B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5276F4">
        <w:rPr>
          <w:rFonts w:ascii="Times New Roman" w:hAnsi="Times New Roman" w:cs="Times New Roman"/>
          <w:sz w:val="28"/>
          <w:szCs w:val="28"/>
        </w:rPr>
        <w:t>18. jūnijā</w:t>
      </w:r>
      <w:r w:rsidRPr="00C12E4B">
        <w:rPr>
          <w:rFonts w:ascii="Times New Roman" w:hAnsi="Times New Roman" w:cs="Times New Roman"/>
          <w:sz w:val="28"/>
          <w:szCs w:val="28"/>
        </w:rPr>
        <w:tab/>
        <w:t>Noteikumi Nr.</w:t>
      </w:r>
      <w:r w:rsidR="005276F4">
        <w:rPr>
          <w:rFonts w:ascii="Times New Roman" w:hAnsi="Times New Roman" w:cs="Times New Roman"/>
          <w:sz w:val="28"/>
          <w:szCs w:val="28"/>
        </w:rPr>
        <w:t> 264</w:t>
      </w:r>
    </w:p>
    <w:p w14:paraId="5336C4F6" w14:textId="094AF02C" w:rsidR="00441194" w:rsidRPr="00C12E4B" w:rsidRDefault="00441194" w:rsidP="009E4BE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E4B">
        <w:rPr>
          <w:rFonts w:ascii="Times New Roman" w:hAnsi="Times New Roman" w:cs="Times New Roman"/>
          <w:sz w:val="28"/>
          <w:szCs w:val="28"/>
        </w:rPr>
        <w:t>Rīgā</w:t>
      </w:r>
      <w:r w:rsidRPr="00C12E4B">
        <w:rPr>
          <w:rFonts w:ascii="Times New Roman" w:hAnsi="Times New Roman" w:cs="Times New Roman"/>
          <w:sz w:val="28"/>
          <w:szCs w:val="28"/>
        </w:rPr>
        <w:tab/>
        <w:t>(prot. Nr.</w:t>
      </w:r>
      <w:r w:rsidR="005276F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276F4">
        <w:rPr>
          <w:rFonts w:ascii="Times New Roman" w:hAnsi="Times New Roman" w:cs="Times New Roman"/>
          <w:sz w:val="28"/>
          <w:szCs w:val="28"/>
        </w:rPr>
        <w:t>29</w:t>
      </w:r>
      <w:r w:rsidRPr="00C12E4B">
        <w:rPr>
          <w:rFonts w:ascii="Times New Roman" w:hAnsi="Times New Roman" w:cs="Times New Roman"/>
          <w:sz w:val="28"/>
          <w:szCs w:val="28"/>
        </w:rPr>
        <w:t> </w:t>
      </w:r>
      <w:r w:rsidR="005276F4">
        <w:rPr>
          <w:rFonts w:ascii="Times New Roman" w:hAnsi="Times New Roman" w:cs="Times New Roman"/>
          <w:sz w:val="28"/>
          <w:szCs w:val="28"/>
        </w:rPr>
        <w:t>23</w:t>
      </w:r>
      <w:r w:rsidRPr="00C12E4B">
        <w:rPr>
          <w:rFonts w:ascii="Times New Roman" w:hAnsi="Times New Roman" w:cs="Times New Roman"/>
          <w:sz w:val="28"/>
          <w:szCs w:val="28"/>
        </w:rPr>
        <w:t>. §)</w:t>
      </w:r>
    </w:p>
    <w:p w14:paraId="37029851" w14:textId="36BF3872" w:rsidR="00B527F7" w:rsidRPr="00C12E4B" w:rsidRDefault="00B527F7" w:rsidP="009E4BE3">
      <w:pPr>
        <w:tabs>
          <w:tab w:val="left" w:pos="630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C97C94" w14:textId="77777777" w:rsidR="00393DE0" w:rsidRPr="00C12E4B" w:rsidRDefault="00AD0C55" w:rsidP="009E4BE3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Publiska dokumenta</w:t>
      </w:r>
      <w:r w:rsidR="00393DE0" w:rsidRPr="00C12E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legalizācijas noteikumi</w:t>
      </w:r>
    </w:p>
    <w:p w14:paraId="6BBD036B" w14:textId="77777777" w:rsidR="00894F10" w:rsidRPr="00C12E4B" w:rsidRDefault="00894F10" w:rsidP="009E4BE3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D390EEA" w14:textId="77777777" w:rsidR="00894F10" w:rsidRPr="00C12E4B" w:rsidRDefault="00393DE0" w:rsidP="009E4BE3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57349C"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20FE0858" w14:textId="77777777" w:rsidR="00894F10" w:rsidRPr="00C12E4B" w:rsidRDefault="0057349C" w:rsidP="009E4BE3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Dokumentu legalizācijas likuma</w:t>
      </w:r>
      <w:r w:rsidR="00393DE0"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C92C992" w14:textId="57844C09" w:rsidR="0057349C" w:rsidRPr="00C12E4B" w:rsidRDefault="003478D8" w:rsidP="009E4BE3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C12E4B"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p</w:t>
      </w:r>
      <w:r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anta otro daļu, </w:t>
      </w:r>
      <w:r w:rsidR="0057349C" w:rsidRPr="00C12E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6. un 12. pantu </w:t>
      </w:r>
      <w:bookmarkStart w:id="1" w:name="n-426198"/>
      <w:bookmarkStart w:id="2" w:name="n1"/>
      <w:bookmarkEnd w:id="1"/>
      <w:bookmarkEnd w:id="2"/>
    </w:p>
    <w:p w14:paraId="364BC952" w14:textId="77777777" w:rsidR="0057349C" w:rsidRPr="00C12E4B" w:rsidRDefault="0057349C" w:rsidP="009E4BE3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87E6FC2" w14:textId="3BF131C6" w:rsidR="00E6062F" w:rsidRPr="009E4BE3" w:rsidRDefault="009E4BE3" w:rsidP="009E4BE3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 </w:t>
      </w:r>
      <w:r w:rsidR="00393DE0" w:rsidRPr="009E4B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jautājumi</w:t>
      </w:r>
      <w:bookmarkStart w:id="3" w:name="p-426199"/>
      <w:bookmarkStart w:id="4" w:name="p1"/>
      <w:bookmarkEnd w:id="3"/>
      <w:bookmarkEnd w:id="4"/>
    </w:p>
    <w:p w14:paraId="1BC6C70D" w14:textId="77777777" w:rsidR="00FC2C1C" w:rsidRPr="00C12E4B" w:rsidRDefault="00FC2C1C" w:rsidP="009E4BE3">
      <w:pPr>
        <w:pStyle w:val="ListParagraph"/>
        <w:tabs>
          <w:tab w:val="left" w:pos="63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5168AB" w14:textId="509D0E6F" w:rsidR="00F1587B" w:rsidRPr="009E4BE3" w:rsidRDefault="009E4BE3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000A5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F3645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8E735D6" w14:textId="5F462083" w:rsidR="00F1587B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A27FA4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</w:t>
      </w:r>
      <w:r w:rsidR="004973D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</w:t>
      </w:r>
      <w:r w:rsidR="00F664FB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legalizē</w:t>
      </w:r>
      <w:r w:rsidR="00B8249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A0AF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Latvijā</w:t>
      </w:r>
      <w:r w:rsidR="004973D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</w:t>
      </w:r>
      <w:r w:rsidR="00F664F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publisk</w:t>
      </w:r>
      <w:r w:rsidR="00F664F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F664F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, kuru paredzēts izmantot valstī, k</w:t>
      </w:r>
      <w:r w:rsidR="002A0AF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1961. gada 5. oktobra Hāgas konvencijas par ārvalstu publisko dokumentu legalizācijas prasības atcelšanu dalībvalsts</w:t>
      </w:r>
      <w:r w:rsidR="005E52A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</w:t>
      </w:r>
      <w:r w:rsidR="00F664F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7D2EC2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ārvalsts)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DDA722" w14:textId="4F8AE2D5" w:rsidR="00FE2F58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A27FA4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legalizē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D2EC2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rv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alstī izsniegt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publisk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042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="002A0AF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izmantošanai Latvijā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A163B4D" w14:textId="75FF1A13" w:rsidR="00FE2F58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1.3. 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</w:t>
      </w:r>
      <w:r w:rsidR="00FE2F58" w:rsidRPr="009E4BE3">
        <w:rPr>
          <w:rFonts w:ascii="Times New Roman" w:hAnsi="Times New Roman" w:cs="Times New Roman"/>
          <w:sz w:val="28"/>
          <w:szCs w:val="28"/>
        </w:rPr>
        <w:t>pieņem lēmum</w:t>
      </w:r>
      <w:r w:rsidR="00B72084">
        <w:rPr>
          <w:rFonts w:ascii="Times New Roman" w:hAnsi="Times New Roman" w:cs="Times New Roman"/>
          <w:sz w:val="28"/>
          <w:szCs w:val="28"/>
        </w:rPr>
        <w:t>u</w:t>
      </w:r>
      <w:r w:rsidR="00FE2F58" w:rsidRPr="009E4BE3">
        <w:rPr>
          <w:rFonts w:ascii="Times New Roman" w:hAnsi="Times New Roman" w:cs="Times New Roman"/>
          <w:sz w:val="28"/>
          <w:szCs w:val="28"/>
        </w:rPr>
        <w:t xml:space="preserve"> atteikt legalizāciju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E03F162" w14:textId="0404256F" w:rsidR="00FE2F58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1.4. 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nodevas apmēru</w:t>
      </w:r>
      <w:r w:rsidR="00B96B7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publiska dokumenta legalizāciju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96B7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samaksas kārtību un atbrīvojumus no valsts nodevas;</w:t>
      </w:r>
    </w:p>
    <w:p w14:paraId="1C01B02D" w14:textId="35200433" w:rsidR="00BE2E3C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1.5. </w:t>
      </w:r>
      <w:r w:rsidR="00FE2F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iesnieguma veidlapas paraugu</w:t>
      </w:r>
      <w:r w:rsidR="00B4156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E40BAD0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A53B61F" w14:textId="2C5A581E" w:rsidR="00FC2C1C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484B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Latvijā un ārvalstī izsniegt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84B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042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4042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249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8249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52A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484B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dokuments</w:t>
      </w:r>
      <w:r w:rsidR="0004042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E2E3C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legalizāciju </w:t>
      </w:r>
      <w:r w:rsidR="00D07EB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 w:rsidR="00E4038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D07EB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9683002" w14:textId="4CB7EE72" w:rsidR="00881446" w:rsidRPr="009E4BE3" w:rsidRDefault="009E4BE3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2.1. 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Ārlietu ministrijas </w:t>
      </w:r>
      <w:r w:rsidR="00E4038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Konsulārais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departament</w:t>
      </w:r>
      <w:r w:rsidR="00E4038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departaments);</w:t>
      </w:r>
    </w:p>
    <w:p w14:paraId="0D069B4A" w14:textId="11F016E5" w:rsidR="00881446" w:rsidRPr="009E4BE3" w:rsidRDefault="009E4BE3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2.2. 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diplomātiskā un konsulārā pārstāvniecīb</w:t>
      </w:r>
      <w:r w:rsidR="00E4038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pārstāvniecība), kuras konsulārajā apgabalā dokuments tiks izmantots.</w:t>
      </w:r>
    </w:p>
    <w:p w14:paraId="6EDEBB0E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FC4110" w14:textId="39735D47" w:rsidR="00F1587B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0D518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Ārvalstī izsniegtu dokumentu Latvijā legalizē pēc tam, kad dokumenta izdevējvalsts 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kompetentā iestāde </w:t>
      </w:r>
      <w:r w:rsidR="000D518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ir apliecinājusi</w:t>
      </w:r>
      <w:r w:rsidR="00F1587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053B958" w14:textId="051D3F2C" w:rsidR="00F1587B" w:rsidRPr="00C12E4B" w:rsidRDefault="00F1587B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3.1.</w:t>
      </w:r>
      <w:r w:rsidR="000D518E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parakstījušās amatpersonas paraksta īstumu un </w:t>
      </w:r>
      <w:r w:rsidR="00EE3A84">
        <w:rPr>
          <w:rFonts w:ascii="Times New Roman" w:eastAsia="Times New Roman" w:hAnsi="Times New Roman" w:cs="Times New Roman"/>
          <w:sz w:val="28"/>
          <w:szCs w:val="28"/>
          <w:lang w:eastAsia="lv-LV"/>
        </w:rPr>
        <w:t>statusu (</w:t>
      </w:r>
      <w:r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amatu</w:t>
      </w:r>
      <w:r w:rsidR="00EE3A8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F54452A" w14:textId="3AB34320" w:rsidR="00FC2C1C" w:rsidRPr="00C12E4B" w:rsidRDefault="00F1587B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 </w:t>
      </w:r>
      <w:r w:rsidR="00B72084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uz dokumenta</w:t>
      </w:r>
      <w:r w:rsidR="00B720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esošā</w:t>
      </w:r>
      <w:r w:rsidR="000D518E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zīmoga vai spiedoga nospieduma īstumu.</w:t>
      </w:r>
    </w:p>
    <w:p w14:paraId="67010D6D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B831E" w14:textId="082CD53B" w:rsidR="00FC2C1C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6D410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C935A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D410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legaliz</w:t>
      </w:r>
      <w:r w:rsidR="00C935AC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6D410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, apliecinot dokumentu parakstījušās amatpersonas paraksta parauga un</w:t>
      </w:r>
      <w:r w:rsidR="00D07EB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</w:t>
      </w:r>
      <w:r w:rsidR="00D954E5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dokumenta </w:t>
      </w:r>
      <w:r w:rsidR="00D07EB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esošā</w:t>
      </w:r>
      <w:r w:rsidR="006D410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zīmoga vai spiedoga nospieduma </w:t>
      </w:r>
      <w:r w:rsidR="006D410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(turpmāk</w:t>
      </w:r>
      <w:r w:rsidR="00C935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D410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paraksta paraugs) atbilstību Ārlietu ministrijas rīcībā esošajam </w:t>
      </w:r>
      <w:r w:rsidR="00C935AC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attiecīgās</w:t>
      </w:r>
      <w:r w:rsidR="006D410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amatpersonas paraksta paraugam.</w:t>
      </w:r>
    </w:p>
    <w:p w14:paraId="6B09F718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F9CE97" w14:textId="4833D12C" w:rsidR="00584F35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584F35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Legalizācijai nepieciešamo amatpersonas paraksta paraugu Ārlietu ministrija pieprasa un saņem no Latvijas un ārvalsts valsts iestādēm. Amatpersonu parakst</w:t>
      </w:r>
      <w:r w:rsidR="00C935A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84F35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paraugi pastāvīgi tiek glabāti Ārlietu ministrijā.</w:t>
      </w:r>
    </w:p>
    <w:p w14:paraId="05669F00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n-426204"/>
      <w:bookmarkStart w:id="6" w:name="n2"/>
      <w:bookmarkEnd w:id="5"/>
      <w:bookmarkEnd w:id="6"/>
    </w:p>
    <w:p w14:paraId="793A2C4F" w14:textId="0FA00672" w:rsidR="00FC2C1C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6F427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Ārlietu ministrija un Latvijas Zvērinātu notāru padome </w:t>
      </w:r>
      <w:r w:rsidR="00C935AC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 legalizācijas likumā noteikto funkciju veikšanai </w:t>
      </w:r>
      <w:r w:rsidR="006F427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savstarpēji apmainās ar </w:t>
      </w:r>
      <w:r w:rsidR="00E371A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</w:t>
      </w:r>
      <w:r w:rsidR="0097739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amatpersonu </w:t>
      </w:r>
      <w:r w:rsidR="00E371A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</w:t>
      </w:r>
      <w:r w:rsidR="00C935A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371A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paraug</w:t>
      </w:r>
      <w:r w:rsidR="006F427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3303C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6824AF19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F95B36" w14:textId="12EFFCBC" w:rsidR="00B43B9E" w:rsidRPr="009E4BE3" w:rsidRDefault="009E4BE3" w:rsidP="009E4BE3">
      <w:pPr>
        <w:tabs>
          <w:tab w:val="left" w:pos="360"/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 </w:t>
      </w:r>
      <w:r w:rsidR="00B43B9E" w:rsidRPr="009E4B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Dokumentu legalizācijas kārtība</w:t>
      </w:r>
    </w:p>
    <w:p w14:paraId="10D41E46" w14:textId="77777777" w:rsidR="00FC2C1C" w:rsidRPr="00C12E4B" w:rsidRDefault="00FC2C1C" w:rsidP="009E4BE3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8FDF555" w14:textId="27D8397B" w:rsidR="00C856F1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legalizācijai p</w:t>
      </w:r>
      <w:r w:rsidR="00C856F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ersona, uzrādot personu apliecinošu dokumentu</w:t>
      </w:r>
      <w:r w:rsidR="00A27FA4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1D4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personīgi 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departamentā vai pārstāvniecībā 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B4042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legalizācijas pieteikum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E4038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iesniegum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4038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publiska dokumenta legalizācija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4038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(pielikums)</w:t>
      </w:r>
      <w:r w:rsidR="00C11D4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C11D4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1D4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legalizējam</w:t>
      </w:r>
      <w:r w:rsidR="0051553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C11D4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51553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8144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0BFAA89" w14:textId="20379543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-426205"/>
      <w:bookmarkStart w:id="8" w:name="p6"/>
      <w:bookmarkStart w:id="9" w:name="p-611796"/>
      <w:bookmarkStart w:id="10" w:name="p7"/>
      <w:bookmarkEnd w:id="7"/>
      <w:bookmarkEnd w:id="8"/>
      <w:bookmarkEnd w:id="9"/>
      <w:bookmarkEnd w:id="10"/>
    </w:p>
    <w:p w14:paraId="04EFD051" w14:textId="32744C54" w:rsidR="00DE55D1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9606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onsulārā amatpersona veic šādas darbības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76B87D8" w14:textId="201E04C5" w:rsidR="00DE55D1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8.1. </w:t>
      </w:r>
      <w:r w:rsidR="00C14DF5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legalizē dokumentu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C1AA89F" w14:textId="7D0EFF3A" w:rsidR="00DE55D1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8.2. </w:t>
      </w:r>
      <w:r w:rsidR="00A9606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 </w:t>
      </w:r>
      <w:r w:rsidR="00115C0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pagarināt legalizācijas pieteikuma izskatīšanas termiņu</w:t>
      </w:r>
      <w:r w:rsidR="00DE55D1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062092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680A9C6" w14:textId="58659EBF" w:rsidR="00FC2C1C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8.3. </w:t>
      </w:r>
      <w:r w:rsidR="00A9606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 </w:t>
      </w:r>
      <w:r w:rsidR="00062092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atteikt dokumenta legalizāciju</w:t>
      </w:r>
      <w:r w:rsidR="00C14DF5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389F528E" w14:textId="77777777" w:rsidR="00DE55D1" w:rsidRPr="00C12E4B" w:rsidRDefault="00DE55D1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ED4F09" w14:textId="7A89845F" w:rsidR="00FC2C1C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0F18A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izskata un legalizē divu darbdienu vai divu stundu laikā pēc visu š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>ajos</w:t>
      </w:r>
      <w:r w:rsidR="000F18A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>os minēto</w:t>
      </w:r>
      <w:r w:rsidR="000F18A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prasību izpildes, </w:t>
      </w:r>
      <w:r w:rsidR="00185F92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gadījumus, 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185F92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4BB9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konsulārā amatpersona konstatē šo noteikumu</w:t>
      </w:r>
      <w:r w:rsidR="00AC2A6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BE0B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AC2A6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., 1</w:t>
      </w:r>
      <w:r w:rsidR="00BE0B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BE0B58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12</w:t>
      </w:r>
      <w:r w:rsidR="00AC2A6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74BB9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apstākļus</w:t>
      </w:r>
      <w:r w:rsidR="000F18A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455295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91A813" w14:textId="0C3AB313" w:rsidR="00FC2C1C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10. </w:t>
      </w:r>
      <w:r w:rsidR="00115C0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Legalizācijas pieteikuma izskatīšanas termiņš var tikt pagarināts, ja konsulār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115C0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ai amatpersonai nepieciešams:</w:t>
      </w:r>
    </w:p>
    <w:p w14:paraId="41BCBE98" w14:textId="299F28D1" w:rsidR="00115C00" w:rsidRPr="009E4BE3" w:rsidRDefault="009E4BE3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10.1. </w:t>
      </w:r>
      <w:r w:rsidR="00115C0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izprasīt </w:t>
      </w:r>
      <w:r w:rsidR="00B40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115C0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amatpersonas paraksta paraugu</w:t>
      </w:r>
      <w:r w:rsidR="001F059B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 dokumentu ir parakstījusi, apliecinājusi vai legalizējusi</w:t>
      </w:r>
      <w:r w:rsidR="00115C0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FB0CEE" w14:textId="4B6917BF" w:rsidR="00FC2C1C" w:rsidRPr="009E4BE3" w:rsidRDefault="009E4BE3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10.2. </w:t>
      </w:r>
      <w:r w:rsidR="00185F92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izvērtēt</w:t>
      </w:r>
      <w:r w:rsidR="00115C00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, vai legalizācijai iesniegtais dokuments atbilst Dokument</w:t>
      </w:r>
      <w:r w:rsidR="006729B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u legalizācijas likum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minētajām</w:t>
      </w:r>
      <w:r w:rsidR="006729B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prasībām;</w:t>
      </w:r>
    </w:p>
    <w:p w14:paraId="3C5F884F" w14:textId="7AFED143" w:rsidR="006729B6" w:rsidRPr="009E4BE3" w:rsidRDefault="009E4BE3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10.3. </w:t>
      </w:r>
      <w:r w:rsidR="006729B6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veikt papildu pārbaudes saskaņā ar šo noteikumu 11. punktu.</w:t>
      </w:r>
    </w:p>
    <w:p w14:paraId="763A9090" w14:textId="77777777" w:rsidR="00B20E0D" w:rsidRPr="00C12E4B" w:rsidRDefault="00B20E0D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C8DFDF" w14:textId="7AD9F726" w:rsidR="00B20E0D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="00B20E0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Konsulārā amatpersona veic </w:t>
      </w:r>
      <w:r w:rsidR="00DE46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nepieciešamās </w:t>
      </w:r>
      <w:r w:rsidR="00B20E0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pārbaudes, ja:</w:t>
      </w:r>
    </w:p>
    <w:p w14:paraId="674EF6E7" w14:textId="60F3F319" w:rsidR="005E149E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11.1. </w:t>
      </w:r>
      <w:r w:rsidR="00B20E0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rodas pamatotas šaubas par </w:t>
      </w:r>
      <w:r w:rsidR="00975D5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legalizācijai iesniegtā </w:t>
      </w:r>
      <w:r w:rsidR="00B20E0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īstumu;</w:t>
      </w:r>
    </w:p>
    <w:p w14:paraId="05E311FA" w14:textId="5A7451FC" w:rsidR="005E149E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11.2. </w:t>
      </w:r>
      <w:r w:rsidR="00975D53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rodas pamatotas šaubas par </w:t>
      </w:r>
      <w:r w:rsidR="00D954E5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parakstījušās amatpersonas paraksta</w:t>
      </w:r>
      <w:r w:rsidR="00A83BC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parauga</w:t>
      </w:r>
      <w:r w:rsidR="00B20E0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īstumu</w:t>
      </w:r>
      <w:r w:rsidR="005E149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F2EF176" w14:textId="7426419B" w:rsidR="00DE46AA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11.3.</w:t>
      </w:r>
      <w:r>
        <w:t> </w:t>
      </w:r>
      <w:r w:rsidR="00DE46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pastāv apstākļi, kas </w:t>
      </w:r>
      <w:r w:rsidR="0051553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 attiecīgu </w:t>
      </w:r>
      <w:r w:rsidR="00DE46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51553E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a veidu</w:t>
      </w:r>
      <w:r w:rsidR="00DE46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izvērtēt padziļināti, lai novērstu ar dokumentu aprites drošību saistītus riskus;</w:t>
      </w:r>
    </w:p>
    <w:p w14:paraId="4C5DC642" w14:textId="738D71C8" w:rsidR="00DE46AA" w:rsidRPr="009E4BE3" w:rsidRDefault="009E4BE3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11.4. </w:t>
      </w:r>
      <w:r w:rsidR="004D7AD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4D7ADF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lūgušas</w:t>
      </w:r>
      <w:r w:rsidR="00DE46AA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dokumenta izdevējvalsts kompetentās iestādes</w:t>
      </w:r>
      <w:r w:rsidR="00B20E0D" w:rsidRPr="009E4BE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ADC110" w14:textId="77777777" w:rsidR="00FC2C1C" w:rsidRPr="00C12E4B" w:rsidRDefault="00FC2C1C" w:rsidP="009E4BE3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0CB2DE" w14:textId="6A1E2F5B" w:rsidR="00040428" w:rsidRPr="00184607" w:rsidRDefault="00184607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12. </w:t>
      </w:r>
      <w:r w:rsidR="00975D53" w:rsidRPr="00184607">
        <w:rPr>
          <w:rFonts w:ascii="Times New Roman" w:eastAsia="Times New Roman" w:hAnsi="Times New Roman" w:cs="Times New Roman"/>
          <w:sz w:val="28"/>
          <w:szCs w:val="28"/>
          <w:lang w:eastAsia="lv-LV"/>
        </w:rPr>
        <w:t>Konsulārā amatpersona pieņem lēmumu atteikt dokumenta legalizāciju, ja</w:t>
      </w:r>
      <w:r w:rsidR="00040428" w:rsidRPr="001846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14:paraId="3A59A762" w14:textId="00C5CCF5" w:rsidR="00FC2C1C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184607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6729B6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dokuments nav legalizējams saskaņā ar Dokumentu legalizācijas likum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729B6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B36F0CC" w14:textId="6AF263F6" w:rsidR="00040428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12.2.</w:t>
      </w:r>
      <w:r>
        <w:t> 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Ārlietu ministrijas rīcībā 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B946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E06217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vai ārvalsts amatpersonas paraksta parauga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06217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4623">
        <w:rPr>
          <w:rFonts w:ascii="Times New Roman" w:eastAsia="Times New Roman" w:hAnsi="Times New Roman" w:cs="Times New Roman"/>
          <w:sz w:val="28"/>
          <w:szCs w:val="28"/>
          <w:lang w:eastAsia="lv-LV"/>
        </w:rPr>
        <w:t>kura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5D53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parakstīju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>si</w:t>
      </w:r>
      <w:r w:rsidR="00975D53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, apliecināju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>si</w:t>
      </w:r>
      <w:r w:rsidR="00975D53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legalizēju</w:t>
      </w:r>
      <w:r w:rsidR="00E062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si, 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pēc Ārlietu ministrijas pieprasījuma attiecīgā Latvijas iestāde minēto paraugu nav iesniegusi 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>triju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mēnešu laikā, bet ārvalsts iestāde –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laikā; </w:t>
      </w:r>
    </w:p>
    <w:p w14:paraId="154A0AA2" w14:textId="66AED2E5" w:rsidR="00FC2C1C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12.3. </w:t>
      </w:r>
      <w:r w:rsidR="006729B6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atvijas vai ārvalsts amatpersonas paraksta paraugs uz legalizācijai iesniegtā dokumenta neatbilst Ārlietu ministrijas rīcībā esošajam 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attiecīgās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amatpersonas paraksta paraugam;</w:t>
      </w:r>
    </w:p>
    <w:p w14:paraId="7E1BA19B" w14:textId="11DAA8BD" w:rsidR="00FC2C1C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12.4.</w:t>
      </w:r>
      <w:r>
        <w:t> </w:t>
      </w:r>
      <w:r w:rsidR="006729B6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veicot papildu pārbaudes, no kompetentās iestādes tiek saņemta atbilde, kas liedz dokumentu legalizēt</w:t>
      </w:r>
      <w:r w:rsidR="00E821F6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729B6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4D7ADF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laikā 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atbilde </w:t>
      </w:r>
      <w:r w:rsidR="006729B6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netiek saņemta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FA2CBF" w14:textId="77777777" w:rsidR="00FC2C1C" w:rsidRPr="00C12E4B" w:rsidRDefault="00FC2C1C" w:rsidP="009E4BE3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B84A3A" w14:textId="73896D60" w:rsidR="00040428" w:rsidRPr="009C409D" w:rsidRDefault="009C409D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13. 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DE55D1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ēmums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dokumenta 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atteikumu </w:t>
      </w:r>
      <w:r w:rsidR="00943775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un legalizācijas pieteikuma izskatīšanas termiņ</w:t>
      </w:r>
      <w:r w:rsidR="004D7ADF">
        <w:rPr>
          <w:rFonts w:ascii="Times New Roman" w:eastAsia="Times New Roman" w:hAnsi="Times New Roman" w:cs="Times New Roman"/>
          <w:sz w:val="28"/>
          <w:szCs w:val="28"/>
          <w:lang w:eastAsia="lv-LV"/>
        </w:rPr>
        <w:t>a pagarināšanu</w:t>
      </w:r>
      <w:r w:rsidR="00943775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55D1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ir administratīvs akts</w:t>
      </w:r>
      <w:r w:rsidR="00943775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E55D1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to 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var apstrīdēt</w:t>
      </w:r>
      <w:r w:rsidR="00FF03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iesniedzot 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departamenta direktoram</w:t>
      </w:r>
      <w:r w:rsidR="00FF03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attiecīgu iesniegumu</w:t>
      </w:r>
      <w:r w:rsidR="00040428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. Departamenta direktora pieņemto lēmumu var pārsūdzēt Administratīvajā rajona tiesā.</w:t>
      </w:r>
    </w:p>
    <w:p w14:paraId="1A32B890" w14:textId="77777777" w:rsidR="00FC2C1C" w:rsidRPr="00C12E4B" w:rsidRDefault="00FC2C1C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36FC8D" w14:textId="77F02EAD" w:rsidR="00FC2C1C" w:rsidRPr="009C409D" w:rsidRDefault="009C409D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14. </w:t>
      </w:r>
      <w:r w:rsidR="00943775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Legalizācijas uzrakstu izvieto uz dokumenta</w:t>
      </w:r>
      <w:r w:rsidR="006B233C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</w:t>
      </w:r>
      <w:r w:rsidR="00FF03F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B233C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veido:</w:t>
      </w:r>
    </w:p>
    <w:p w14:paraId="2038BA7F" w14:textId="7573C6A5" w:rsidR="001F1F12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14.1. </w:t>
      </w:r>
      <w:r w:rsidR="00FF03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nosaukums, kas legalizējusi dokumentu;</w:t>
      </w:r>
    </w:p>
    <w:p w14:paraId="5D157252" w14:textId="55CE0E36" w:rsidR="00FC2C1C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14.2. 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legalizācijas reģistrācijas numurs; </w:t>
      </w:r>
    </w:p>
    <w:p w14:paraId="69AB44D2" w14:textId="070456B6" w:rsidR="00254621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14.3. 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datums, kad dokuments legalizēts;</w:t>
      </w:r>
    </w:p>
    <w:p w14:paraId="4666E772" w14:textId="1FF00966" w:rsidR="00FC2C1C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14.4. </w:t>
      </w:r>
      <w:r w:rsidR="00FF03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amatpersonas vārds, uzvārds un amats</w:t>
      </w:r>
      <w:r w:rsidR="00FF03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F03F4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kura legalizējusi dokumentu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00EB84E" w14:textId="7485A2BA" w:rsidR="00FC2C1C" w:rsidRPr="009C409D" w:rsidRDefault="009C409D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14.5.</w:t>
      </w:r>
      <w:r w:rsidR="00A37B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03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amatpersonas</w:t>
      </w:r>
      <w:r w:rsidR="00186E67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paraksts</w:t>
      </w:r>
      <w:r w:rsidR="001F1F12" w:rsidRPr="009C409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 legalizējusi dokumentu;</w:t>
      </w:r>
    </w:p>
    <w:p w14:paraId="0DBC7A77" w14:textId="65E96F81" w:rsidR="00FC2C1C" w:rsidRPr="007928BF" w:rsidRDefault="007928BF" w:rsidP="009E4BE3">
      <w:pPr>
        <w:tabs>
          <w:tab w:val="left" w:pos="360"/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14.6. </w:t>
      </w:r>
      <w:r w:rsidR="00E821F6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ģ</w:t>
      </w:r>
      <w:r w:rsidR="00D954E5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E821F6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rboņzīmogs </w:t>
      </w:r>
      <w:r w:rsidR="001F1F12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E219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1F1F12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nosaukumu, kas dokumentu legalizējusi.</w:t>
      </w:r>
      <w:bookmarkStart w:id="11" w:name="p-426202"/>
      <w:bookmarkStart w:id="12" w:name="p4"/>
      <w:bookmarkStart w:id="13" w:name="p-426203"/>
      <w:bookmarkStart w:id="14" w:name="p5"/>
      <w:bookmarkEnd w:id="11"/>
      <w:bookmarkEnd w:id="12"/>
      <w:bookmarkEnd w:id="13"/>
      <w:bookmarkEnd w:id="14"/>
    </w:p>
    <w:p w14:paraId="4E801164" w14:textId="77777777" w:rsidR="00FC2C1C" w:rsidRPr="00C12E4B" w:rsidRDefault="00FC2C1C" w:rsidP="009E4BE3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E60D22" w14:textId="5DC0E559" w:rsidR="00674BB9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15. </w:t>
      </w:r>
      <w:r w:rsidR="001F1F12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uz dokumenta nav pietiekami daudz vietas, legalizācijas uzrakstu noformē uz atsevišķas lapas un pievieno dokumentam ar tehniski noturīgiem līdzekļiem (piem</w:t>
      </w:r>
      <w:r w:rsidR="00E21945">
        <w:rPr>
          <w:rFonts w:ascii="Times New Roman" w:eastAsia="Times New Roman" w:hAnsi="Times New Roman" w:cs="Times New Roman"/>
          <w:sz w:val="28"/>
          <w:szCs w:val="28"/>
          <w:lang w:eastAsia="lv-LV"/>
        </w:rPr>
        <w:t>ēram</w:t>
      </w:r>
      <w:r w:rsidR="001F1F12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, caurauklo).</w:t>
      </w:r>
    </w:p>
    <w:p w14:paraId="74182EE3" w14:textId="77777777" w:rsidR="00FA05D0" w:rsidRPr="00C12E4B" w:rsidRDefault="00FA05D0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4292B3" w14:textId="051975CF" w:rsidR="00FA05D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16. </w:t>
      </w:r>
      <w:r w:rsidR="00674BB9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 reģistrē elektroniskajā Dokumentu legalizācijas sistēmā. Dokumentu legalizācijas sistēmu uztur Ārlietu ministrija. </w:t>
      </w:r>
    </w:p>
    <w:p w14:paraId="115A4BB5" w14:textId="77777777" w:rsidR="00FA05D0" w:rsidRPr="00C12E4B" w:rsidRDefault="00FA05D0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FED036" w14:textId="24AE85E6" w:rsidR="00FA05D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17. </w:t>
      </w:r>
      <w:r w:rsidR="00186E67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Iesniegto dokumentu</w:t>
      </w:r>
      <w:r w:rsidR="00412C9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6E67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vai lēmumu par atteikumu</w:t>
      </w:r>
      <w:r w:rsidR="00E219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legalizēt</w:t>
      </w:r>
      <w:r w:rsidR="00186E67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pievienot</w:t>
      </w:r>
      <w:r w:rsidR="00E821F6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186E67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dokumentus </w:t>
      </w:r>
      <w:r w:rsidR="00412C9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izsniedz </w:t>
      </w:r>
      <w:r w:rsidR="00E21945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</w:t>
      </w:r>
      <w:r w:rsidR="00412C9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iesniedzējam</w:t>
      </w:r>
      <w:r w:rsidR="00CD58EC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personīgi</w:t>
      </w:r>
      <w:r w:rsidR="00186E67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arī iesniegumā norādītajai personai</w:t>
      </w:r>
      <w:r w:rsidR="00412C9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11FC1DAA" w14:textId="77777777" w:rsidR="00412C9E" w:rsidRPr="00C12E4B" w:rsidRDefault="00412C9E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69EE63B" w14:textId="302D47F0" w:rsidR="00412C9E" w:rsidRPr="009E4BE3" w:rsidRDefault="00A37BD1" w:rsidP="009E4BE3">
      <w:pPr>
        <w:tabs>
          <w:tab w:val="left" w:pos="360"/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</w:t>
      </w:r>
      <w:r w:rsidR="009E4B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0A3AF9" w:rsidRPr="009E4B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nodeva par dokumenta legalizāciju</w:t>
      </w:r>
    </w:p>
    <w:p w14:paraId="16D28BA4" w14:textId="77777777" w:rsidR="00FA05D0" w:rsidRPr="00C12E4B" w:rsidRDefault="00FA05D0" w:rsidP="009E4BE3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06649FE" w14:textId="4BFC1FF3" w:rsidR="00943775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18. </w:t>
      </w:r>
      <w:r w:rsidR="000A3AF9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nodeva par </w:t>
      </w:r>
      <w:r w:rsidR="00246D0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dokumenta legalizāciju </w:t>
      </w:r>
      <w:r w:rsidR="00943775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ir:</w:t>
      </w:r>
    </w:p>
    <w:p w14:paraId="59EF2356" w14:textId="77777777" w:rsidR="009E4735" w:rsidRDefault="009E4735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702EC1D1" w14:textId="0CA2BB11" w:rsidR="00943775" w:rsidRPr="00C12E4B" w:rsidRDefault="00246D0E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18</w:t>
      </w:r>
      <w:r w:rsidR="00943775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0A3AF9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divu darbdienu laikā</w:t>
      </w:r>
      <w:r w:rsidR="00EA2632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194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943775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3AF9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15,00 </w:t>
      </w:r>
      <w:proofErr w:type="spellStart"/>
      <w:r w:rsidR="000A3AF9" w:rsidRPr="00C12E4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943775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E73621" w14:textId="2DACE941" w:rsidR="00894F10" w:rsidRPr="00C12E4B" w:rsidRDefault="00246D0E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FE2F58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E219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21995" w:rsidRPr="00C12E4B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 xml:space="preserve"> </w:t>
      </w:r>
      <w:r w:rsidR="000A3AF9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divu stundu laikā – 30,00 </w:t>
      </w:r>
      <w:proofErr w:type="spellStart"/>
      <w:r w:rsidR="00DA5DBF" w:rsidRPr="00C12E4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0A3AF9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3095B" w:rsidRPr="00C1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80411AA" w14:textId="77777777" w:rsidR="00FA05D0" w:rsidRPr="00C12E4B" w:rsidRDefault="00FA05D0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84282D" w14:textId="5E9E9DDA" w:rsidR="00FA05D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19. </w:t>
      </w:r>
      <w:r w:rsidR="000A3AF9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nodevu </w:t>
      </w:r>
      <w:r w:rsidR="00F86583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budžetā ie</w:t>
      </w:r>
      <w:r w:rsidR="000A3AF9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 </w:t>
      </w:r>
      <w:r w:rsidR="006469F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</w:t>
      </w:r>
      <w:r w:rsidR="00B96B71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iesniegšanas legalizācijai</w:t>
      </w:r>
      <w:r w:rsidR="000A3AF9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52F6CC8" w14:textId="77777777" w:rsidR="00FA05D0" w:rsidRPr="00C12E4B" w:rsidRDefault="00FA05D0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140DF5" w14:textId="42920200" w:rsidR="00FA05D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20. </w:t>
      </w:r>
      <w:r w:rsidR="00A02E42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</w:t>
      </w:r>
      <w:r w:rsidR="00B96B71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6B71" w:rsidRPr="007928BF">
        <w:rPr>
          <w:rFonts w:ascii="Times New Roman" w:hAnsi="Times New Roman" w:cs="Times New Roman"/>
          <w:sz w:val="28"/>
          <w:szCs w:val="28"/>
        </w:rPr>
        <w:t>nodevu persona maksā, izmantojot normatīvajos aktos par Ārlietu ministrijas konsulārās atlīdzības cenrādi un kārtību, kādā tiek iekasēta konsulārā atlīdzība un valsts nodevas, noteiktos maksājumu pakalpojumu veidus</w:t>
      </w:r>
      <w:r w:rsidR="000A3AF9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F5EEF3" w14:textId="77777777" w:rsidR="00FA05D0" w:rsidRPr="00C12E4B" w:rsidRDefault="00FA05D0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B1771E" w14:textId="7E818328" w:rsidR="00FA05D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21. 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Ja pieņemts lēmums par l</w:t>
      </w:r>
      <w:r w:rsidR="002B5994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egalizācijas atteikum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B5994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25C4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B96B71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legalizācijas</w:t>
      </w:r>
      <w:r w:rsidR="00DB5606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termiņ</w:t>
      </w:r>
      <w:r w:rsidR="00DC25C4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a pagarinājum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u,</w:t>
      </w:r>
      <w:r w:rsidR="00DC25C4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5994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nodevu neatmaksā.</w:t>
      </w:r>
    </w:p>
    <w:p w14:paraId="58F7DD2B" w14:textId="77777777" w:rsidR="00FA05D0" w:rsidRPr="00C12E4B" w:rsidRDefault="00FA05D0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689689" w14:textId="35305C61" w:rsidR="00894F1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22. </w:t>
      </w:r>
      <w:r w:rsidR="005E52A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No valsts nodevas samaksas atbrīvo saskaņā ar Latvijas Republikai saistoš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5E52A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iem starptautisk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5E52A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iem līgumiem, valsts interesēs vai humānu apsvērumu dēļ uz personas argumentēta iesnieguma pamata.</w:t>
      </w:r>
      <w:r w:rsidR="005E52AE" w:rsidRPr="007928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E52AE" w:rsidRPr="007928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Lēmumu par atbrīvošanu no valsts nodevas samaksas pieņem d</w:t>
      </w:r>
      <w:r w:rsidR="000A3AF9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epartamenta direktors vai viņa pilnvarota amatpersona.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A53B294" w14:textId="4E3EFB9E" w:rsidR="00FA05D0" w:rsidRPr="00C12E4B" w:rsidRDefault="00FA05D0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AC1631" w14:textId="12F19826" w:rsidR="00894F10" w:rsidRPr="00C12E4B" w:rsidRDefault="00A37BD1" w:rsidP="009E4BE3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9E4B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V. </w:t>
      </w:r>
      <w:r w:rsidR="00894F10" w:rsidRPr="00C12E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Noslēguma jautājumi</w:t>
      </w:r>
      <w:bookmarkStart w:id="15" w:name="p-426215"/>
      <w:bookmarkStart w:id="16" w:name="p14"/>
      <w:bookmarkEnd w:id="15"/>
      <w:bookmarkEnd w:id="16"/>
    </w:p>
    <w:p w14:paraId="50FD0730" w14:textId="77777777" w:rsidR="00FA05D0" w:rsidRPr="00C12E4B" w:rsidRDefault="00FA05D0" w:rsidP="009E4BE3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BDC3A22" w14:textId="289E65FE" w:rsidR="00894F1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23. 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zaudējušiem:</w:t>
      </w:r>
    </w:p>
    <w:p w14:paraId="1AAEE626" w14:textId="652977CE" w:rsidR="000A3AF9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23.1. 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2012.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20.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noteikumus Nr.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186 </w:t>
      </w:r>
      <w:r w:rsidR="00C12E4B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Publisku dokumentu legalizācijas noteikumi</w:t>
      </w:r>
      <w:r w:rsidR="00C12E4B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2012, 47.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2017, </w:t>
      </w:r>
      <w:r w:rsidR="00C2036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7BA80592" w14:textId="00827661" w:rsidR="00FA05D0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23.2. 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2012.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20.</w:t>
      </w:r>
      <w:r w:rsidR="002431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noteikumus Nr.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187 </w:t>
      </w:r>
      <w:r w:rsidR="00C12E4B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valsts nodevu par publiska dokumenta legalizāciju</w:t>
      </w:r>
      <w:r w:rsidR="00C12E4B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2012, 47.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37BD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 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188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37BD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2017, 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5194E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3249D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DD271E9" w14:textId="77777777" w:rsidR="00FA05D0" w:rsidRPr="00C12E4B" w:rsidRDefault="00FA05D0" w:rsidP="009E4BE3">
      <w:pPr>
        <w:pStyle w:val="ListParagraph"/>
        <w:tabs>
          <w:tab w:val="left" w:pos="360"/>
          <w:tab w:val="left" w:pos="63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B7F740" w14:textId="6DF1319D" w:rsidR="00B527F7" w:rsidRPr="007928BF" w:rsidRDefault="007928BF" w:rsidP="009E4BE3">
      <w:pPr>
        <w:tabs>
          <w:tab w:val="left" w:pos="360"/>
          <w:tab w:val="left" w:pos="63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24. </w:t>
      </w:r>
      <w:r w:rsidR="00894F10" w:rsidRPr="007928B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2019. gada 1. jūlijā.</w:t>
      </w:r>
    </w:p>
    <w:p w14:paraId="7493DA0E" w14:textId="77777777" w:rsidR="00C12E4B" w:rsidRPr="00C12E4B" w:rsidRDefault="00C12E4B" w:rsidP="009E4B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213E8C" w14:textId="77777777" w:rsidR="00C12E4B" w:rsidRPr="00C12E4B" w:rsidRDefault="00C12E4B" w:rsidP="009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97D9E" w14:textId="77777777" w:rsidR="00C12E4B" w:rsidRPr="00C12E4B" w:rsidRDefault="00C12E4B" w:rsidP="009E4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4DA6F" w14:textId="7B338D23" w:rsidR="00C12E4B" w:rsidRPr="00C12E4B" w:rsidRDefault="00C12E4B" w:rsidP="00482A9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2E4B">
        <w:rPr>
          <w:sz w:val="28"/>
          <w:szCs w:val="28"/>
        </w:rPr>
        <w:t>Ministru prezidents</w:t>
      </w:r>
      <w:r w:rsidRPr="00C12E4B">
        <w:rPr>
          <w:sz w:val="28"/>
          <w:szCs w:val="28"/>
        </w:rPr>
        <w:tab/>
        <w:t>A. K. Kariņš</w:t>
      </w:r>
    </w:p>
    <w:p w14:paraId="203CAB78" w14:textId="77777777" w:rsidR="00C12E4B" w:rsidRPr="00C12E4B" w:rsidRDefault="00C12E4B" w:rsidP="009E4BE3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28AE30C" w14:textId="77777777" w:rsidR="00C12E4B" w:rsidRPr="00C12E4B" w:rsidRDefault="00C12E4B" w:rsidP="009E4BE3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35353600" w14:textId="77777777" w:rsidR="00C12E4B" w:rsidRPr="00C12E4B" w:rsidRDefault="00C12E4B" w:rsidP="009E4BE3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DEE4697" w14:textId="77777777" w:rsidR="00482A98" w:rsidRDefault="00C12E4B" w:rsidP="009E4BE3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 w:rsidRPr="00C12E4B">
        <w:rPr>
          <w:sz w:val="28"/>
          <w:szCs w:val="28"/>
        </w:rPr>
        <w:t>Ārlietu ministr</w:t>
      </w:r>
      <w:r w:rsidR="00482A98">
        <w:rPr>
          <w:sz w:val="28"/>
          <w:szCs w:val="28"/>
        </w:rPr>
        <w:t>a vietā –</w:t>
      </w:r>
    </w:p>
    <w:p w14:paraId="500B4F51" w14:textId="1C5F9A47" w:rsidR="00482A98" w:rsidRDefault="00482A98" w:rsidP="00482A9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482A98" w:rsidSect="004411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8AF1" w14:textId="77777777" w:rsidR="00BB2098" w:rsidRDefault="00BB2098" w:rsidP="00412C9E">
      <w:pPr>
        <w:spacing w:after="0" w:line="240" w:lineRule="auto"/>
      </w:pPr>
      <w:r>
        <w:separator/>
      </w:r>
    </w:p>
  </w:endnote>
  <w:endnote w:type="continuationSeparator" w:id="0">
    <w:p w14:paraId="14EB932B" w14:textId="77777777" w:rsidR="00BB2098" w:rsidRDefault="00BB2098" w:rsidP="0041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2003270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637BB" w14:textId="276DD6C6" w:rsidR="00412C9E" w:rsidRPr="00441194" w:rsidRDefault="00441194" w:rsidP="00844704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441194">
          <w:rPr>
            <w:rFonts w:ascii="Times New Roman" w:hAnsi="Times New Roman" w:cs="Times New Roman"/>
            <w:sz w:val="16"/>
            <w:szCs w:val="16"/>
          </w:rPr>
          <w:t>N1094_9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396744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13690" w14:textId="77777777" w:rsidR="00441194" w:rsidRPr="00441194" w:rsidRDefault="00441194" w:rsidP="00441194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441194">
          <w:rPr>
            <w:rFonts w:ascii="Times New Roman" w:hAnsi="Times New Roman" w:cs="Times New Roman"/>
            <w:sz w:val="16"/>
            <w:szCs w:val="16"/>
          </w:rPr>
          <w:t>N1094_9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8962" w14:textId="77777777" w:rsidR="00BB2098" w:rsidRDefault="00BB2098" w:rsidP="00412C9E">
      <w:pPr>
        <w:spacing w:after="0" w:line="240" w:lineRule="auto"/>
      </w:pPr>
      <w:r>
        <w:separator/>
      </w:r>
    </w:p>
  </w:footnote>
  <w:footnote w:type="continuationSeparator" w:id="0">
    <w:p w14:paraId="21CC55E4" w14:textId="77777777" w:rsidR="00BB2098" w:rsidRDefault="00BB2098" w:rsidP="0041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495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715636F" w14:textId="139ABEAE" w:rsidR="00B527F7" w:rsidRPr="00844704" w:rsidRDefault="00B527F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44704">
          <w:rPr>
            <w:rFonts w:ascii="Times New Roman" w:hAnsi="Times New Roman" w:cs="Times New Roman"/>
            <w:sz w:val="24"/>
          </w:rPr>
          <w:fldChar w:fldCharType="begin"/>
        </w:r>
        <w:r w:rsidRPr="008447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4704">
          <w:rPr>
            <w:rFonts w:ascii="Times New Roman" w:hAnsi="Times New Roman" w:cs="Times New Roman"/>
            <w:sz w:val="24"/>
          </w:rPr>
          <w:fldChar w:fldCharType="separate"/>
        </w:r>
        <w:r w:rsidR="00482A98">
          <w:rPr>
            <w:rFonts w:ascii="Times New Roman" w:hAnsi="Times New Roman" w:cs="Times New Roman"/>
            <w:noProof/>
            <w:sz w:val="24"/>
          </w:rPr>
          <w:t>4</w:t>
        </w:r>
        <w:r w:rsidRPr="0084470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ECCD" w14:textId="55AC9A17" w:rsidR="00441194" w:rsidRPr="00A142D0" w:rsidRDefault="00441194" w:rsidP="00501350">
    <w:pPr>
      <w:pStyle w:val="Header"/>
    </w:pPr>
    <w:r>
      <w:rPr>
        <w:noProof/>
      </w:rPr>
      <w:drawing>
        <wp:inline distT="0" distB="0" distL="0" distR="0" wp14:anchorId="2C8BFCBF" wp14:editId="130F86A1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72A"/>
    <w:multiLevelType w:val="hybridMultilevel"/>
    <w:tmpl w:val="94AC0E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C7A"/>
    <w:multiLevelType w:val="multilevel"/>
    <w:tmpl w:val="6C883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4F70ED"/>
    <w:multiLevelType w:val="hybridMultilevel"/>
    <w:tmpl w:val="0F0A4E3C"/>
    <w:lvl w:ilvl="0" w:tplc="04260013">
      <w:start w:val="1"/>
      <w:numFmt w:val="upperRoman"/>
      <w:lvlText w:val="%1."/>
      <w:lvlJc w:val="righ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13022A8"/>
    <w:multiLevelType w:val="hybridMultilevel"/>
    <w:tmpl w:val="E4BA5A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A44"/>
    <w:multiLevelType w:val="hybridMultilevel"/>
    <w:tmpl w:val="8B50F30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4707"/>
    <w:multiLevelType w:val="hybridMultilevel"/>
    <w:tmpl w:val="6BEA8C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5B95"/>
    <w:multiLevelType w:val="hybridMultilevel"/>
    <w:tmpl w:val="4ECC5E8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592C"/>
    <w:multiLevelType w:val="hybridMultilevel"/>
    <w:tmpl w:val="63B46530"/>
    <w:lvl w:ilvl="0" w:tplc="47A01D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DC3"/>
    <w:multiLevelType w:val="hybridMultilevel"/>
    <w:tmpl w:val="FB1036E6"/>
    <w:lvl w:ilvl="0" w:tplc="73D095CA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21E74127"/>
    <w:multiLevelType w:val="hybridMultilevel"/>
    <w:tmpl w:val="79FC3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5EB0"/>
    <w:multiLevelType w:val="hybridMultilevel"/>
    <w:tmpl w:val="7FFECB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04F83"/>
    <w:multiLevelType w:val="hybridMultilevel"/>
    <w:tmpl w:val="538A422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158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15A7B"/>
    <w:multiLevelType w:val="multilevel"/>
    <w:tmpl w:val="BA8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50D98"/>
    <w:multiLevelType w:val="hybridMultilevel"/>
    <w:tmpl w:val="36FCB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0AB7"/>
    <w:multiLevelType w:val="hybridMultilevel"/>
    <w:tmpl w:val="B7AA6896"/>
    <w:lvl w:ilvl="0" w:tplc="9F3C5D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9554B6F"/>
    <w:multiLevelType w:val="hybridMultilevel"/>
    <w:tmpl w:val="0E369D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A4F"/>
    <w:multiLevelType w:val="hybridMultilevel"/>
    <w:tmpl w:val="524A3A1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31B25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DC38E0"/>
    <w:multiLevelType w:val="hybridMultilevel"/>
    <w:tmpl w:val="56B0F3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26980"/>
    <w:multiLevelType w:val="multilevel"/>
    <w:tmpl w:val="42A4071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50520"/>
    <w:multiLevelType w:val="hybridMultilevel"/>
    <w:tmpl w:val="95D22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19B4"/>
    <w:multiLevelType w:val="multilevel"/>
    <w:tmpl w:val="6C883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40049A"/>
    <w:multiLevelType w:val="hybridMultilevel"/>
    <w:tmpl w:val="DAA47C3E"/>
    <w:lvl w:ilvl="0" w:tplc="8D80F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F312C"/>
    <w:multiLevelType w:val="hybridMultilevel"/>
    <w:tmpl w:val="571425FC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8"/>
  </w:num>
  <w:num w:numId="9">
    <w:abstractNumId w:val="21"/>
  </w:num>
  <w:num w:numId="10">
    <w:abstractNumId w:val="20"/>
  </w:num>
  <w:num w:numId="11">
    <w:abstractNumId w:val="8"/>
  </w:num>
  <w:num w:numId="12">
    <w:abstractNumId w:val="16"/>
  </w:num>
  <w:num w:numId="13">
    <w:abstractNumId w:val="23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7"/>
  </w:num>
  <w:num w:numId="21">
    <w:abstractNumId w:val="2"/>
  </w:num>
  <w:num w:numId="22">
    <w:abstractNumId w:val="24"/>
  </w:num>
  <w:num w:numId="23">
    <w:abstractNumId w:val="6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E0"/>
    <w:rsid w:val="00000A5F"/>
    <w:rsid w:val="000179B0"/>
    <w:rsid w:val="00021B16"/>
    <w:rsid w:val="00032F3D"/>
    <w:rsid w:val="00040428"/>
    <w:rsid w:val="00044746"/>
    <w:rsid w:val="00050027"/>
    <w:rsid w:val="0005194E"/>
    <w:rsid w:val="0005299D"/>
    <w:rsid w:val="00062092"/>
    <w:rsid w:val="000679DD"/>
    <w:rsid w:val="000A3AF9"/>
    <w:rsid w:val="000B058B"/>
    <w:rsid w:val="000B763D"/>
    <w:rsid w:val="000D518E"/>
    <w:rsid w:val="000E0614"/>
    <w:rsid w:val="000E2BEC"/>
    <w:rsid w:val="000E599E"/>
    <w:rsid w:val="000F18A6"/>
    <w:rsid w:val="000F4FAB"/>
    <w:rsid w:val="000F6CCC"/>
    <w:rsid w:val="00115C00"/>
    <w:rsid w:val="00120B6D"/>
    <w:rsid w:val="0012534B"/>
    <w:rsid w:val="00134043"/>
    <w:rsid w:val="00147AB2"/>
    <w:rsid w:val="00160544"/>
    <w:rsid w:val="00167BB5"/>
    <w:rsid w:val="00184607"/>
    <w:rsid w:val="00185F92"/>
    <w:rsid w:val="001862BF"/>
    <w:rsid w:val="00186E67"/>
    <w:rsid w:val="001A29C4"/>
    <w:rsid w:val="001C0078"/>
    <w:rsid w:val="001C0FC2"/>
    <w:rsid w:val="001C104E"/>
    <w:rsid w:val="001C5A89"/>
    <w:rsid w:val="001C6B4F"/>
    <w:rsid w:val="001D2509"/>
    <w:rsid w:val="001D62D5"/>
    <w:rsid w:val="001E4E67"/>
    <w:rsid w:val="001E7C60"/>
    <w:rsid w:val="001F059B"/>
    <w:rsid w:val="001F1F12"/>
    <w:rsid w:val="00225CD0"/>
    <w:rsid w:val="00235DA8"/>
    <w:rsid w:val="002431A2"/>
    <w:rsid w:val="00246A79"/>
    <w:rsid w:val="00246D0E"/>
    <w:rsid w:val="00247EAA"/>
    <w:rsid w:val="00250269"/>
    <w:rsid w:val="00254621"/>
    <w:rsid w:val="00254DF6"/>
    <w:rsid w:val="00261703"/>
    <w:rsid w:val="00264E71"/>
    <w:rsid w:val="00275F1D"/>
    <w:rsid w:val="002933A1"/>
    <w:rsid w:val="002A0AFB"/>
    <w:rsid w:val="002A112C"/>
    <w:rsid w:val="002A41AF"/>
    <w:rsid w:val="002A61FD"/>
    <w:rsid w:val="002A73ED"/>
    <w:rsid w:val="002B5994"/>
    <w:rsid w:val="002B773C"/>
    <w:rsid w:val="002C54EB"/>
    <w:rsid w:val="002D1252"/>
    <w:rsid w:val="002D3B1E"/>
    <w:rsid w:val="00325407"/>
    <w:rsid w:val="0033095B"/>
    <w:rsid w:val="0033170F"/>
    <w:rsid w:val="00332BBD"/>
    <w:rsid w:val="00336AB9"/>
    <w:rsid w:val="00347068"/>
    <w:rsid w:val="003478D8"/>
    <w:rsid w:val="003567E4"/>
    <w:rsid w:val="00356F45"/>
    <w:rsid w:val="00360098"/>
    <w:rsid w:val="00366F5F"/>
    <w:rsid w:val="0037197A"/>
    <w:rsid w:val="003771FC"/>
    <w:rsid w:val="00377D7E"/>
    <w:rsid w:val="0039213E"/>
    <w:rsid w:val="00393DE0"/>
    <w:rsid w:val="0039608A"/>
    <w:rsid w:val="003C4886"/>
    <w:rsid w:val="003D0B19"/>
    <w:rsid w:val="003D58FC"/>
    <w:rsid w:val="003E2A3D"/>
    <w:rsid w:val="003E70CB"/>
    <w:rsid w:val="003F3FB5"/>
    <w:rsid w:val="003F4F0B"/>
    <w:rsid w:val="00412C9E"/>
    <w:rsid w:val="00414747"/>
    <w:rsid w:val="00421B2B"/>
    <w:rsid w:val="00431E7B"/>
    <w:rsid w:val="00433D51"/>
    <w:rsid w:val="00434EEE"/>
    <w:rsid w:val="00441194"/>
    <w:rsid w:val="00444467"/>
    <w:rsid w:val="0045242D"/>
    <w:rsid w:val="00461D84"/>
    <w:rsid w:val="00470C80"/>
    <w:rsid w:val="00482997"/>
    <w:rsid w:val="00482A98"/>
    <w:rsid w:val="00484BAA"/>
    <w:rsid w:val="004973DD"/>
    <w:rsid w:val="00497C1E"/>
    <w:rsid w:val="004A0864"/>
    <w:rsid w:val="004A4733"/>
    <w:rsid w:val="004D7ADF"/>
    <w:rsid w:val="004F098D"/>
    <w:rsid w:val="00502E03"/>
    <w:rsid w:val="0051553E"/>
    <w:rsid w:val="005203C1"/>
    <w:rsid w:val="00521995"/>
    <w:rsid w:val="005276F4"/>
    <w:rsid w:val="00532720"/>
    <w:rsid w:val="0053436E"/>
    <w:rsid w:val="005365FA"/>
    <w:rsid w:val="00540271"/>
    <w:rsid w:val="00544C29"/>
    <w:rsid w:val="00546D31"/>
    <w:rsid w:val="00557232"/>
    <w:rsid w:val="005645B3"/>
    <w:rsid w:val="00571904"/>
    <w:rsid w:val="0057349C"/>
    <w:rsid w:val="00583BF8"/>
    <w:rsid w:val="00584F35"/>
    <w:rsid w:val="005A083B"/>
    <w:rsid w:val="005A0DB4"/>
    <w:rsid w:val="005A71F7"/>
    <w:rsid w:val="005D7A02"/>
    <w:rsid w:val="005E149E"/>
    <w:rsid w:val="005E38B0"/>
    <w:rsid w:val="005E52AE"/>
    <w:rsid w:val="005F2AA8"/>
    <w:rsid w:val="005F41E6"/>
    <w:rsid w:val="00605C38"/>
    <w:rsid w:val="00617029"/>
    <w:rsid w:val="006267B6"/>
    <w:rsid w:val="00630CEC"/>
    <w:rsid w:val="00634CBD"/>
    <w:rsid w:val="00635BB1"/>
    <w:rsid w:val="006448F0"/>
    <w:rsid w:val="006469FE"/>
    <w:rsid w:val="00657059"/>
    <w:rsid w:val="006704D3"/>
    <w:rsid w:val="00670ED1"/>
    <w:rsid w:val="006729B6"/>
    <w:rsid w:val="00674BB9"/>
    <w:rsid w:val="006823DE"/>
    <w:rsid w:val="00696D7B"/>
    <w:rsid w:val="006B233C"/>
    <w:rsid w:val="006B4785"/>
    <w:rsid w:val="006C1FD8"/>
    <w:rsid w:val="006D410E"/>
    <w:rsid w:val="006F4276"/>
    <w:rsid w:val="0071100A"/>
    <w:rsid w:val="0071168E"/>
    <w:rsid w:val="00716B36"/>
    <w:rsid w:val="00730F5E"/>
    <w:rsid w:val="00732163"/>
    <w:rsid w:val="00735284"/>
    <w:rsid w:val="0074411F"/>
    <w:rsid w:val="00744E68"/>
    <w:rsid w:val="00753F14"/>
    <w:rsid w:val="0077462F"/>
    <w:rsid w:val="00791930"/>
    <w:rsid w:val="007928BF"/>
    <w:rsid w:val="007A2772"/>
    <w:rsid w:val="007A67E3"/>
    <w:rsid w:val="007B5AE7"/>
    <w:rsid w:val="007D2EC2"/>
    <w:rsid w:val="007E4813"/>
    <w:rsid w:val="007F154B"/>
    <w:rsid w:val="00827192"/>
    <w:rsid w:val="00844704"/>
    <w:rsid w:val="00881446"/>
    <w:rsid w:val="00882E7E"/>
    <w:rsid w:val="00884755"/>
    <w:rsid w:val="00894F10"/>
    <w:rsid w:val="008955E5"/>
    <w:rsid w:val="00896ECA"/>
    <w:rsid w:val="00897A24"/>
    <w:rsid w:val="008A13E9"/>
    <w:rsid w:val="008A36F9"/>
    <w:rsid w:val="009154FA"/>
    <w:rsid w:val="00927953"/>
    <w:rsid w:val="0093303C"/>
    <w:rsid w:val="009345D2"/>
    <w:rsid w:val="00937B04"/>
    <w:rsid w:val="00943775"/>
    <w:rsid w:val="00947F34"/>
    <w:rsid w:val="00951394"/>
    <w:rsid w:val="00953871"/>
    <w:rsid w:val="00954B9D"/>
    <w:rsid w:val="00971C5D"/>
    <w:rsid w:val="00975D53"/>
    <w:rsid w:val="00977398"/>
    <w:rsid w:val="009945AD"/>
    <w:rsid w:val="009B578D"/>
    <w:rsid w:val="009C1DF1"/>
    <w:rsid w:val="009C409D"/>
    <w:rsid w:val="009C4981"/>
    <w:rsid w:val="009E2797"/>
    <w:rsid w:val="009E4735"/>
    <w:rsid w:val="009E4BE3"/>
    <w:rsid w:val="00A02E42"/>
    <w:rsid w:val="00A0616E"/>
    <w:rsid w:val="00A07580"/>
    <w:rsid w:val="00A07BAD"/>
    <w:rsid w:val="00A27FA4"/>
    <w:rsid w:val="00A319F5"/>
    <w:rsid w:val="00A3249D"/>
    <w:rsid w:val="00A37BD1"/>
    <w:rsid w:val="00A451CA"/>
    <w:rsid w:val="00A50A70"/>
    <w:rsid w:val="00A71212"/>
    <w:rsid w:val="00A76E86"/>
    <w:rsid w:val="00A82A65"/>
    <w:rsid w:val="00A82B6D"/>
    <w:rsid w:val="00A83BCD"/>
    <w:rsid w:val="00A91330"/>
    <w:rsid w:val="00A93CD1"/>
    <w:rsid w:val="00A96063"/>
    <w:rsid w:val="00AA2A0F"/>
    <w:rsid w:val="00AA2E53"/>
    <w:rsid w:val="00AB1114"/>
    <w:rsid w:val="00AC2A63"/>
    <w:rsid w:val="00AD0864"/>
    <w:rsid w:val="00AD0C55"/>
    <w:rsid w:val="00AD2282"/>
    <w:rsid w:val="00AD6667"/>
    <w:rsid w:val="00AE2918"/>
    <w:rsid w:val="00AF55C6"/>
    <w:rsid w:val="00B07B2E"/>
    <w:rsid w:val="00B1235F"/>
    <w:rsid w:val="00B14479"/>
    <w:rsid w:val="00B15ACF"/>
    <w:rsid w:val="00B20E0D"/>
    <w:rsid w:val="00B22274"/>
    <w:rsid w:val="00B303AC"/>
    <w:rsid w:val="00B4029E"/>
    <w:rsid w:val="00B4042F"/>
    <w:rsid w:val="00B414F0"/>
    <w:rsid w:val="00B41561"/>
    <w:rsid w:val="00B41BB4"/>
    <w:rsid w:val="00B43B9E"/>
    <w:rsid w:val="00B527F7"/>
    <w:rsid w:val="00B53620"/>
    <w:rsid w:val="00B54D21"/>
    <w:rsid w:val="00B72084"/>
    <w:rsid w:val="00B8249A"/>
    <w:rsid w:val="00B94623"/>
    <w:rsid w:val="00B96294"/>
    <w:rsid w:val="00B96B71"/>
    <w:rsid w:val="00BA729A"/>
    <w:rsid w:val="00BB2098"/>
    <w:rsid w:val="00BB5984"/>
    <w:rsid w:val="00BC07EA"/>
    <w:rsid w:val="00BE0B58"/>
    <w:rsid w:val="00BE2E3C"/>
    <w:rsid w:val="00BF3F52"/>
    <w:rsid w:val="00BF74D4"/>
    <w:rsid w:val="00C02DBA"/>
    <w:rsid w:val="00C038BA"/>
    <w:rsid w:val="00C07F3B"/>
    <w:rsid w:val="00C11D4F"/>
    <w:rsid w:val="00C12E4B"/>
    <w:rsid w:val="00C14DF5"/>
    <w:rsid w:val="00C20360"/>
    <w:rsid w:val="00C5117A"/>
    <w:rsid w:val="00C56DCB"/>
    <w:rsid w:val="00C619D3"/>
    <w:rsid w:val="00C65935"/>
    <w:rsid w:val="00C73B93"/>
    <w:rsid w:val="00C74925"/>
    <w:rsid w:val="00C84A82"/>
    <w:rsid w:val="00C856F1"/>
    <w:rsid w:val="00C869E7"/>
    <w:rsid w:val="00C90D40"/>
    <w:rsid w:val="00C935AC"/>
    <w:rsid w:val="00C943D7"/>
    <w:rsid w:val="00CA1B9C"/>
    <w:rsid w:val="00CA4F9B"/>
    <w:rsid w:val="00CA5A26"/>
    <w:rsid w:val="00CA6E1D"/>
    <w:rsid w:val="00CB3D1A"/>
    <w:rsid w:val="00CC4900"/>
    <w:rsid w:val="00CD58EC"/>
    <w:rsid w:val="00CE2151"/>
    <w:rsid w:val="00CE308D"/>
    <w:rsid w:val="00CF5A1C"/>
    <w:rsid w:val="00CF7671"/>
    <w:rsid w:val="00D00925"/>
    <w:rsid w:val="00D034D7"/>
    <w:rsid w:val="00D044D3"/>
    <w:rsid w:val="00D058BA"/>
    <w:rsid w:val="00D07EB0"/>
    <w:rsid w:val="00D1115E"/>
    <w:rsid w:val="00D11973"/>
    <w:rsid w:val="00D13802"/>
    <w:rsid w:val="00D142A0"/>
    <w:rsid w:val="00D157B8"/>
    <w:rsid w:val="00D42789"/>
    <w:rsid w:val="00D443ED"/>
    <w:rsid w:val="00D556E6"/>
    <w:rsid w:val="00D61157"/>
    <w:rsid w:val="00D61D59"/>
    <w:rsid w:val="00D87698"/>
    <w:rsid w:val="00D93DC3"/>
    <w:rsid w:val="00D954E5"/>
    <w:rsid w:val="00DA04CD"/>
    <w:rsid w:val="00DA1F1E"/>
    <w:rsid w:val="00DA431C"/>
    <w:rsid w:val="00DA5DBF"/>
    <w:rsid w:val="00DB5606"/>
    <w:rsid w:val="00DC024A"/>
    <w:rsid w:val="00DC25C4"/>
    <w:rsid w:val="00DD7456"/>
    <w:rsid w:val="00DE46AA"/>
    <w:rsid w:val="00DE55D1"/>
    <w:rsid w:val="00DF6708"/>
    <w:rsid w:val="00E04351"/>
    <w:rsid w:val="00E06217"/>
    <w:rsid w:val="00E21945"/>
    <w:rsid w:val="00E22B8C"/>
    <w:rsid w:val="00E25422"/>
    <w:rsid w:val="00E371AD"/>
    <w:rsid w:val="00E4038A"/>
    <w:rsid w:val="00E426DF"/>
    <w:rsid w:val="00E47581"/>
    <w:rsid w:val="00E47847"/>
    <w:rsid w:val="00E511CF"/>
    <w:rsid w:val="00E5649A"/>
    <w:rsid w:val="00E6062F"/>
    <w:rsid w:val="00E6581E"/>
    <w:rsid w:val="00E821F6"/>
    <w:rsid w:val="00E945D6"/>
    <w:rsid w:val="00EA2632"/>
    <w:rsid w:val="00EA5704"/>
    <w:rsid w:val="00EB654B"/>
    <w:rsid w:val="00ED4BA5"/>
    <w:rsid w:val="00EE3A84"/>
    <w:rsid w:val="00EE5A3F"/>
    <w:rsid w:val="00EE7824"/>
    <w:rsid w:val="00F1587B"/>
    <w:rsid w:val="00F22A7D"/>
    <w:rsid w:val="00F3645B"/>
    <w:rsid w:val="00F6298F"/>
    <w:rsid w:val="00F664FB"/>
    <w:rsid w:val="00F75261"/>
    <w:rsid w:val="00F76326"/>
    <w:rsid w:val="00F86583"/>
    <w:rsid w:val="00F90E64"/>
    <w:rsid w:val="00F91F66"/>
    <w:rsid w:val="00FA05D0"/>
    <w:rsid w:val="00FB352F"/>
    <w:rsid w:val="00FC2C1C"/>
    <w:rsid w:val="00FC65BD"/>
    <w:rsid w:val="00FE2F58"/>
    <w:rsid w:val="00FF03F4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88F960"/>
  <w15:chartTrackingRefBased/>
  <w15:docId w15:val="{201D5679-4C1B-46E2-A4AF-723D090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393DE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393DE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000A5F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6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6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62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7C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71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E"/>
  </w:style>
  <w:style w:type="paragraph" w:styleId="Footer">
    <w:name w:val="footer"/>
    <w:basedOn w:val="Normal"/>
    <w:link w:val="FooterChar"/>
    <w:uiPriority w:val="99"/>
    <w:unhideWhenUsed/>
    <w:rsid w:val="00412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E"/>
  </w:style>
  <w:style w:type="paragraph" w:customStyle="1" w:styleId="naisf">
    <w:name w:val="naisf"/>
    <w:basedOn w:val="Normal"/>
    <w:rsid w:val="00C12E4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8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4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85598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897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1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9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14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5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71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1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5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2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05917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4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7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8CF0-26CB-4536-84F4-4CE6FC65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4512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"Publiska dokumenta legalizācijas noteikumi"</vt:lpstr>
    </vt:vector>
  </TitlesOfParts>
  <Company>Ārlietu ministrija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"Publiska dokumenta legalizācijas noteikumi"</dc:title>
  <dc:subject>Noteikumu projekts</dc:subject>
  <dc:creator>Sintija Stipre</dc:creator>
  <cp:keywords/>
  <dc:description>67016229, sintija.stipre@mfa.gov.lv</dc:description>
  <cp:lastModifiedBy>Leontine Babkina</cp:lastModifiedBy>
  <cp:revision>18</cp:revision>
  <cp:lastPrinted>2019-06-18T06:53:00Z</cp:lastPrinted>
  <dcterms:created xsi:type="dcterms:W3CDTF">2019-05-29T12:41:00Z</dcterms:created>
  <dcterms:modified xsi:type="dcterms:W3CDTF">2019-06-19T13:07:00Z</dcterms:modified>
</cp:coreProperties>
</file>