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BA31A" w14:textId="77777777" w:rsidR="003D6ECA" w:rsidRPr="00E81FE9" w:rsidRDefault="003D6ECA" w:rsidP="001154C6">
      <w:pPr>
        <w:jc w:val="center"/>
        <w:rPr>
          <w:b/>
        </w:rPr>
      </w:pPr>
    </w:p>
    <w:p w14:paraId="1D6BD26E" w14:textId="344139D6" w:rsidR="00EA5DC3" w:rsidRPr="006D03CA" w:rsidRDefault="00430A36" w:rsidP="00C324FA">
      <w:pPr>
        <w:jc w:val="center"/>
        <w:rPr>
          <w:b/>
        </w:rPr>
      </w:pPr>
      <w:r w:rsidRPr="006D03CA">
        <w:rPr>
          <w:b/>
        </w:rPr>
        <w:t>Ministru kabineta noteikumu projekta „Grozījumi Ministru kabineta 2009.gada 15.septembra noteikumos Nr.1065 „Noteikumi par aizdevumiem sīko (mikro), mazo un vidējo saimnieciskās darbības veicēju un lauksaimniecības pakalpojumu kooperatīvo sabiedrību attīstības veicināšanai”” sākotnējās ietekmes novērtējuma ziņojums (anotācija)</w:t>
      </w:r>
    </w:p>
    <w:p w14:paraId="5991101D" w14:textId="00118ACE" w:rsidR="00430A36" w:rsidRPr="006D03CA" w:rsidRDefault="00430A36" w:rsidP="006D03CA">
      <w:pPr>
        <w:jc w:val="center"/>
        <w:rPr>
          <w:b/>
        </w:rPr>
      </w:pPr>
    </w:p>
    <w:tbl>
      <w:tblPr>
        <w:tblStyle w:val="TableGrid"/>
        <w:tblW w:w="0" w:type="auto"/>
        <w:tblLook w:val="04A0" w:firstRow="1" w:lastRow="0" w:firstColumn="1" w:lastColumn="0" w:noHBand="0" w:noVBand="1"/>
      </w:tblPr>
      <w:tblGrid>
        <w:gridCol w:w="3114"/>
        <w:gridCol w:w="5947"/>
      </w:tblGrid>
      <w:tr w:rsidR="00430A36" w:rsidRPr="00E81FE9" w14:paraId="470F2414" w14:textId="77777777" w:rsidTr="006D03CA">
        <w:tc>
          <w:tcPr>
            <w:tcW w:w="9061" w:type="dxa"/>
            <w:gridSpan w:val="2"/>
          </w:tcPr>
          <w:p w14:paraId="78ED6A2C" w14:textId="2F37C470" w:rsidR="00430A36" w:rsidRPr="006D03CA" w:rsidRDefault="00430A36" w:rsidP="006D03CA">
            <w:pPr>
              <w:jc w:val="center"/>
              <w:rPr>
                <w:b/>
              </w:rPr>
            </w:pPr>
            <w:r w:rsidRPr="006D03CA">
              <w:rPr>
                <w:b/>
              </w:rPr>
              <w:t>Tiesību akta projekta anotācijas kopsavilkums</w:t>
            </w:r>
          </w:p>
        </w:tc>
      </w:tr>
      <w:tr w:rsidR="00430A36" w:rsidRPr="00E81FE9" w14:paraId="7D1E0331" w14:textId="77777777" w:rsidTr="006D03CA">
        <w:tc>
          <w:tcPr>
            <w:tcW w:w="3114" w:type="dxa"/>
          </w:tcPr>
          <w:p w14:paraId="2AE7E41D" w14:textId="70068114" w:rsidR="00430A36" w:rsidRPr="006D03CA" w:rsidRDefault="00430A36" w:rsidP="006D03CA">
            <w:pPr>
              <w:jc w:val="both"/>
              <w:rPr>
                <w:b/>
              </w:rPr>
            </w:pPr>
            <w:r w:rsidRPr="006D03CA">
              <w:rPr>
                <w:b/>
              </w:rPr>
              <w:t>Mērķis, risinājums un projekta spēkā stāšanās laiks (500 zīmes bez atstarpēm)</w:t>
            </w:r>
          </w:p>
        </w:tc>
        <w:tc>
          <w:tcPr>
            <w:tcW w:w="5947" w:type="dxa"/>
          </w:tcPr>
          <w:p w14:paraId="1D270601" w14:textId="36CACDB5" w:rsidR="00430A36" w:rsidRPr="006D03CA" w:rsidRDefault="00430A36" w:rsidP="006D03CA">
            <w:pPr>
              <w:jc w:val="both"/>
            </w:pPr>
            <w:r w:rsidRPr="006D03CA">
              <w:t xml:space="preserve">Tiesību akta projekts paredz </w:t>
            </w:r>
            <w:r w:rsidR="00516EF2">
              <w:t>Ministru</w:t>
            </w:r>
            <w:r w:rsidRPr="006D03CA">
              <w:t xml:space="preserve"> kabineta 2009.gada 15.septembra noteikumos Nr.1065 „Noteikumi par aizdevumiem sīko (mikro), mazo un vidējo saimnieciskās darbības veicēju un lauksaimniecības pakalpojumu kooperatīvo sabiedrību attīstības veicināšanai”</w:t>
            </w:r>
            <w:r w:rsidR="00845B25">
              <w:t xml:space="preserve"> (turpmāk – MK noteikumi Nr.1065)</w:t>
            </w:r>
            <w:r w:rsidRPr="006D03CA">
              <w:t xml:space="preserve"> </w:t>
            </w:r>
            <w:r w:rsidR="00B8336D" w:rsidRPr="006D03CA">
              <w:t>precizē</w:t>
            </w:r>
            <w:r w:rsidR="00B8336D">
              <w:t xml:space="preserve">t </w:t>
            </w:r>
            <w:r w:rsidRPr="006D03CA">
              <w:t xml:space="preserve">atbalsta saņēmēju loku, atbalstāmās nozares, investīciju aizdevumu nosacījumus, atbalsta stimulējošās ietekmes nosacījumus, aizdevuma nodrošinājuma prasības, kā arī garantijas apjomu. </w:t>
            </w:r>
          </w:p>
        </w:tc>
      </w:tr>
    </w:tbl>
    <w:p w14:paraId="3C06B97B" w14:textId="162CB085" w:rsidR="00430A36" w:rsidRPr="006D03CA" w:rsidRDefault="00430A36" w:rsidP="006D03CA">
      <w:pPr>
        <w:jc w:val="center"/>
        <w:rPr>
          <w:b/>
        </w:rPr>
      </w:pPr>
    </w:p>
    <w:p w14:paraId="4B7CA2E0" w14:textId="58CD989B" w:rsidR="00430A36" w:rsidRPr="006D03CA" w:rsidRDefault="00430A36" w:rsidP="006D03CA">
      <w:pPr>
        <w:jc w:val="center"/>
        <w:rPr>
          <w:b/>
        </w:rPr>
      </w:pPr>
    </w:p>
    <w:tbl>
      <w:tblPr>
        <w:tblStyle w:val="TableGrid"/>
        <w:tblW w:w="9067" w:type="dxa"/>
        <w:tblLayout w:type="fixed"/>
        <w:tblLook w:val="04A0" w:firstRow="1" w:lastRow="0" w:firstColumn="1" w:lastColumn="0" w:noHBand="0" w:noVBand="1"/>
      </w:tblPr>
      <w:tblGrid>
        <w:gridCol w:w="411"/>
        <w:gridCol w:w="2703"/>
        <w:gridCol w:w="5953"/>
      </w:tblGrid>
      <w:tr w:rsidR="00C61A59" w:rsidRPr="00E81FE9" w14:paraId="2C29E670" w14:textId="77777777" w:rsidTr="006D03CA">
        <w:tc>
          <w:tcPr>
            <w:tcW w:w="9067" w:type="dxa"/>
            <w:gridSpan w:val="3"/>
            <w:hideMark/>
          </w:tcPr>
          <w:p w14:paraId="4C747E9B" w14:textId="73195621" w:rsidR="00C61A59" w:rsidRPr="006D03CA" w:rsidRDefault="00C61A59" w:rsidP="006D03CA">
            <w:pPr>
              <w:pStyle w:val="ListParagraph"/>
              <w:tabs>
                <w:tab w:val="left" w:pos="2268"/>
                <w:tab w:val="left" w:pos="2410"/>
              </w:tabs>
              <w:ind w:left="1080"/>
              <w:jc w:val="center"/>
              <w:rPr>
                <w:b/>
                <w:sz w:val="24"/>
              </w:rPr>
            </w:pPr>
            <w:r w:rsidRPr="006D03CA">
              <w:rPr>
                <w:b/>
                <w:sz w:val="24"/>
              </w:rPr>
              <w:t>I.</w:t>
            </w:r>
            <w:r w:rsidRPr="00E81FE9">
              <w:rPr>
                <w:b/>
                <w:bCs/>
                <w:sz w:val="24"/>
                <w:szCs w:val="24"/>
              </w:rPr>
              <w:t xml:space="preserve"> </w:t>
            </w:r>
            <w:r w:rsidRPr="006D03CA">
              <w:rPr>
                <w:b/>
                <w:sz w:val="24"/>
              </w:rPr>
              <w:t>Tiesību akta projekta izstrādes nepieciešamība</w:t>
            </w:r>
          </w:p>
        </w:tc>
      </w:tr>
      <w:tr w:rsidR="00C61A59" w:rsidRPr="00E81FE9" w14:paraId="2C0EAA3D" w14:textId="77777777" w:rsidTr="0034162F">
        <w:tc>
          <w:tcPr>
            <w:tcW w:w="411" w:type="dxa"/>
            <w:hideMark/>
          </w:tcPr>
          <w:p w14:paraId="5E7A2044" w14:textId="77777777" w:rsidR="00C61A59" w:rsidRPr="00E81FE9" w:rsidRDefault="00C61A59" w:rsidP="001154C6">
            <w:pPr>
              <w:jc w:val="center"/>
              <w:rPr>
                <w:lang w:eastAsia="en-US"/>
              </w:rPr>
            </w:pPr>
            <w:r w:rsidRPr="00E81FE9">
              <w:t>1.</w:t>
            </w:r>
          </w:p>
        </w:tc>
        <w:tc>
          <w:tcPr>
            <w:tcW w:w="2703" w:type="dxa"/>
            <w:hideMark/>
          </w:tcPr>
          <w:p w14:paraId="0E34B8C8" w14:textId="47052571" w:rsidR="00C61A59" w:rsidRPr="006D03CA" w:rsidRDefault="00C61A59" w:rsidP="006D03CA">
            <w:r w:rsidRPr="006D03CA">
              <w:t>Pamatojums</w:t>
            </w:r>
          </w:p>
        </w:tc>
        <w:tc>
          <w:tcPr>
            <w:tcW w:w="5953" w:type="dxa"/>
          </w:tcPr>
          <w:p w14:paraId="17A18F99" w14:textId="32B67A2E" w:rsidR="003D6ECA" w:rsidRPr="006D03CA" w:rsidRDefault="00430A36" w:rsidP="006D03CA">
            <w:pPr>
              <w:pStyle w:val="ListParagraph"/>
              <w:tabs>
                <w:tab w:val="left" w:pos="317"/>
              </w:tabs>
              <w:ind w:left="34"/>
              <w:jc w:val="both"/>
              <w:rPr>
                <w:sz w:val="24"/>
                <w:shd w:val="clear" w:color="auto" w:fill="FFFFFF"/>
              </w:rPr>
            </w:pPr>
            <w:r w:rsidRPr="006D03CA">
              <w:rPr>
                <w:sz w:val="24"/>
                <w:shd w:val="clear" w:color="auto" w:fill="FFFFFF"/>
              </w:rPr>
              <w:t xml:space="preserve">Ministru kabineta noteikumu projekts „Grozījumi Ministru kabineta 2009.gada 15.septembra noteikumos Nr.1065 „Noteikumi par aizdevumiem sīko (mikro), mazo un vidējo saimnieciskās darbības veicēju un lauksaimniecības pakalpojumu kooperatīvo sabiedrību attīstības veicināšanai”” (turpmāk - </w:t>
            </w:r>
            <w:r w:rsidR="00B8336D">
              <w:rPr>
                <w:sz w:val="24"/>
                <w:shd w:val="clear" w:color="auto" w:fill="FFFFFF"/>
              </w:rPr>
              <w:t>n</w:t>
            </w:r>
            <w:r w:rsidR="00B8336D" w:rsidRPr="006D03CA">
              <w:rPr>
                <w:sz w:val="24"/>
                <w:shd w:val="clear" w:color="auto" w:fill="FFFFFF"/>
              </w:rPr>
              <w:t xml:space="preserve">oteikumu </w:t>
            </w:r>
            <w:r w:rsidRPr="006D03CA">
              <w:rPr>
                <w:sz w:val="24"/>
                <w:shd w:val="clear" w:color="auto" w:fill="FFFFFF"/>
              </w:rPr>
              <w:t>projekts) sagatavots pamatojoties uz Attīstības finanšu institūcijas likuma 12.pant</w:t>
            </w:r>
            <w:r w:rsidR="00CA353B">
              <w:rPr>
                <w:sz w:val="24"/>
                <w:shd w:val="clear" w:color="auto" w:fill="FFFFFF"/>
              </w:rPr>
              <w:t>u.</w:t>
            </w:r>
          </w:p>
        </w:tc>
      </w:tr>
      <w:tr w:rsidR="00B259E6" w:rsidRPr="00E81FE9" w14:paraId="0A4CB6A6" w14:textId="77777777" w:rsidTr="0034162F">
        <w:tc>
          <w:tcPr>
            <w:tcW w:w="411" w:type="dxa"/>
            <w:hideMark/>
          </w:tcPr>
          <w:p w14:paraId="49A5AED7" w14:textId="77777777" w:rsidR="00B259E6" w:rsidRPr="00E81FE9" w:rsidRDefault="00B259E6" w:rsidP="00B259E6">
            <w:pPr>
              <w:jc w:val="center"/>
              <w:rPr>
                <w:lang w:eastAsia="en-US"/>
              </w:rPr>
            </w:pPr>
            <w:bookmarkStart w:id="0" w:name="_Hlk508179895"/>
            <w:r w:rsidRPr="00E81FE9">
              <w:t>2.</w:t>
            </w:r>
          </w:p>
        </w:tc>
        <w:tc>
          <w:tcPr>
            <w:tcW w:w="2703" w:type="dxa"/>
            <w:hideMark/>
          </w:tcPr>
          <w:p w14:paraId="74314F49" w14:textId="1972400C" w:rsidR="00B259E6" w:rsidRPr="006D03CA" w:rsidRDefault="00B259E6" w:rsidP="006D03CA">
            <w:pPr>
              <w:jc w:val="both"/>
            </w:pPr>
            <w:r w:rsidRPr="006D03CA">
              <w:t>Pašreizējā situācija un problēmas, kuru risināšanai tiesību akta projekts izstrādāts, tiesiskā regulējuma mērķis un būtība</w:t>
            </w:r>
          </w:p>
          <w:p w14:paraId="22BB93EA" w14:textId="77777777" w:rsidR="00B259E6" w:rsidRPr="00E81FE9" w:rsidRDefault="00B259E6" w:rsidP="00B259E6">
            <w:pPr>
              <w:rPr>
                <w:lang w:eastAsia="en-US"/>
              </w:rPr>
            </w:pPr>
          </w:p>
          <w:p w14:paraId="11263D2B" w14:textId="77777777" w:rsidR="00B259E6" w:rsidRPr="00E81FE9" w:rsidRDefault="00B259E6" w:rsidP="00B259E6">
            <w:pPr>
              <w:rPr>
                <w:lang w:eastAsia="en-US"/>
              </w:rPr>
            </w:pPr>
          </w:p>
          <w:p w14:paraId="03056734" w14:textId="77777777" w:rsidR="00B259E6" w:rsidRPr="00E81FE9" w:rsidRDefault="00B259E6" w:rsidP="00B259E6">
            <w:pPr>
              <w:rPr>
                <w:lang w:eastAsia="en-US"/>
              </w:rPr>
            </w:pPr>
          </w:p>
          <w:p w14:paraId="0154DB6F" w14:textId="77777777" w:rsidR="00B259E6" w:rsidRPr="00E81FE9" w:rsidRDefault="00B259E6" w:rsidP="00B259E6">
            <w:pPr>
              <w:rPr>
                <w:lang w:eastAsia="en-US"/>
              </w:rPr>
            </w:pPr>
          </w:p>
          <w:p w14:paraId="2F72E4E1" w14:textId="77777777" w:rsidR="00B259E6" w:rsidRPr="00E81FE9" w:rsidRDefault="00B259E6" w:rsidP="00B259E6">
            <w:pPr>
              <w:rPr>
                <w:lang w:eastAsia="en-US"/>
              </w:rPr>
            </w:pPr>
          </w:p>
          <w:p w14:paraId="65C35503" w14:textId="77777777" w:rsidR="00B259E6" w:rsidRPr="00E81FE9" w:rsidRDefault="00B259E6" w:rsidP="00B259E6">
            <w:pPr>
              <w:rPr>
                <w:lang w:eastAsia="en-US"/>
              </w:rPr>
            </w:pPr>
          </w:p>
          <w:p w14:paraId="11A13384" w14:textId="77777777" w:rsidR="00B259E6" w:rsidRPr="00E81FE9" w:rsidRDefault="00B259E6" w:rsidP="00B259E6">
            <w:pPr>
              <w:rPr>
                <w:lang w:eastAsia="en-US"/>
              </w:rPr>
            </w:pPr>
          </w:p>
          <w:p w14:paraId="7041FB75" w14:textId="77777777" w:rsidR="00B259E6" w:rsidRPr="00E81FE9" w:rsidRDefault="00B259E6" w:rsidP="00B259E6">
            <w:pPr>
              <w:rPr>
                <w:lang w:eastAsia="en-US"/>
              </w:rPr>
            </w:pPr>
          </w:p>
          <w:p w14:paraId="2E58B3A9" w14:textId="77777777" w:rsidR="00B259E6" w:rsidRPr="00E81FE9" w:rsidRDefault="00B259E6" w:rsidP="00B259E6">
            <w:pPr>
              <w:rPr>
                <w:lang w:eastAsia="en-US"/>
              </w:rPr>
            </w:pPr>
          </w:p>
          <w:p w14:paraId="1BF1337D" w14:textId="77777777" w:rsidR="00B259E6" w:rsidRPr="00E81FE9" w:rsidRDefault="00B259E6" w:rsidP="00B259E6">
            <w:pPr>
              <w:rPr>
                <w:lang w:eastAsia="en-US"/>
              </w:rPr>
            </w:pPr>
          </w:p>
          <w:p w14:paraId="0F50F4C4" w14:textId="77777777" w:rsidR="00B259E6" w:rsidRPr="00E81FE9" w:rsidRDefault="00B259E6" w:rsidP="00B259E6">
            <w:pPr>
              <w:rPr>
                <w:lang w:eastAsia="en-US"/>
              </w:rPr>
            </w:pPr>
          </w:p>
          <w:p w14:paraId="2FCAB914" w14:textId="77777777" w:rsidR="00B259E6" w:rsidRPr="00E81FE9" w:rsidRDefault="00B259E6" w:rsidP="00B259E6">
            <w:pPr>
              <w:rPr>
                <w:lang w:eastAsia="en-US"/>
              </w:rPr>
            </w:pPr>
          </w:p>
          <w:p w14:paraId="0F2AFEBF" w14:textId="77777777" w:rsidR="00B259E6" w:rsidRPr="00E81FE9" w:rsidRDefault="00B259E6" w:rsidP="00B259E6">
            <w:pPr>
              <w:rPr>
                <w:lang w:eastAsia="en-US"/>
              </w:rPr>
            </w:pPr>
          </w:p>
          <w:p w14:paraId="7F7BADFD" w14:textId="77777777" w:rsidR="00B259E6" w:rsidRPr="00E81FE9" w:rsidRDefault="00B259E6" w:rsidP="00B259E6">
            <w:pPr>
              <w:rPr>
                <w:lang w:eastAsia="en-US"/>
              </w:rPr>
            </w:pPr>
          </w:p>
          <w:p w14:paraId="46CEC37D" w14:textId="77777777" w:rsidR="00B259E6" w:rsidRPr="00E81FE9" w:rsidRDefault="00B259E6" w:rsidP="00B259E6">
            <w:pPr>
              <w:rPr>
                <w:lang w:eastAsia="en-US"/>
              </w:rPr>
            </w:pPr>
          </w:p>
          <w:p w14:paraId="052E6090" w14:textId="77777777" w:rsidR="00B259E6" w:rsidRPr="00E81FE9" w:rsidRDefault="00B259E6" w:rsidP="00B259E6">
            <w:pPr>
              <w:rPr>
                <w:lang w:eastAsia="en-US"/>
              </w:rPr>
            </w:pPr>
          </w:p>
          <w:p w14:paraId="5F3B3918" w14:textId="77777777" w:rsidR="00B259E6" w:rsidRPr="00E81FE9" w:rsidRDefault="00B259E6" w:rsidP="00B259E6">
            <w:pPr>
              <w:rPr>
                <w:lang w:eastAsia="en-US"/>
              </w:rPr>
            </w:pPr>
          </w:p>
          <w:p w14:paraId="7E0A442D" w14:textId="77777777" w:rsidR="00B259E6" w:rsidRPr="006D03CA" w:rsidRDefault="00B259E6" w:rsidP="00B259E6"/>
          <w:p w14:paraId="6AE67937" w14:textId="77777777" w:rsidR="00B259E6" w:rsidRPr="006D03CA" w:rsidRDefault="00B259E6" w:rsidP="00B259E6"/>
          <w:p w14:paraId="26C53163" w14:textId="77777777" w:rsidR="00B259E6" w:rsidRPr="006D03CA" w:rsidRDefault="00B259E6" w:rsidP="00B259E6"/>
          <w:p w14:paraId="760466EC" w14:textId="77777777" w:rsidR="00B259E6" w:rsidRPr="006D03CA" w:rsidRDefault="00B259E6" w:rsidP="006D03CA">
            <w:pPr>
              <w:ind w:firstLine="720"/>
            </w:pPr>
          </w:p>
          <w:p w14:paraId="21ED6246" w14:textId="77777777" w:rsidR="00B259E6" w:rsidRPr="006D03CA" w:rsidRDefault="00B259E6" w:rsidP="00B259E6"/>
          <w:p w14:paraId="2ADFD8B2" w14:textId="4995E38B" w:rsidR="00B259E6" w:rsidRPr="006D03CA" w:rsidRDefault="00B259E6" w:rsidP="006D03CA">
            <w:pPr>
              <w:ind w:firstLine="720"/>
            </w:pPr>
          </w:p>
          <w:p w14:paraId="249D07A5" w14:textId="77777777" w:rsidR="00B259E6" w:rsidRPr="006D03CA" w:rsidRDefault="00B259E6" w:rsidP="00B259E6"/>
          <w:p w14:paraId="16471CF2" w14:textId="412E3466" w:rsidR="00B259E6" w:rsidRPr="006D03CA" w:rsidRDefault="00B259E6" w:rsidP="00B259E6"/>
          <w:p w14:paraId="70518862" w14:textId="77777777" w:rsidR="00B259E6" w:rsidRPr="006D03CA" w:rsidRDefault="00B259E6" w:rsidP="00B259E6"/>
          <w:p w14:paraId="4F59956F" w14:textId="3AC69BBE" w:rsidR="00B259E6" w:rsidRPr="006D03CA" w:rsidRDefault="00B259E6" w:rsidP="006D03CA"/>
        </w:tc>
        <w:tc>
          <w:tcPr>
            <w:tcW w:w="5953" w:type="dxa"/>
          </w:tcPr>
          <w:p w14:paraId="52DB77CA" w14:textId="308186E9" w:rsidR="00B259E6" w:rsidRPr="006D03CA" w:rsidRDefault="00B259E6" w:rsidP="00B8336D">
            <w:pPr>
              <w:ind w:left="37"/>
              <w:jc w:val="both"/>
            </w:pPr>
            <w:r w:rsidRPr="006D03CA">
              <w:lastRenderedPageBreak/>
              <w:t>Noteikumu projekts paredz šādas izmaiņas MK noteikum</w:t>
            </w:r>
            <w:r w:rsidR="00B8336D">
              <w:t>os</w:t>
            </w:r>
            <w:r w:rsidRPr="006D03CA">
              <w:t xml:space="preserve"> Nr. 1065:</w:t>
            </w:r>
          </w:p>
          <w:p w14:paraId="488F63F6" w14:textId="77777777" w:rsidR="00B259E6" w:rsidRPr="006D03CA" w:rsidRDefault="00B259E6" w:rsidP="006D03CA">
            <w:pPr>
              <w:ind w:left="81" w:right="168" w:firstLine="284"/>
              <w:jc w:val="both"/>
            </w:pPr>
          </w:p>
          <w:p w14:paraId="275E3061" w14:textId="062BB584" w:rsidR="00234304" w:rsidRPr="00D6305C" w:rsidRDefault="00234304" w:rsidP="00501DEA">
            <w:pPr>
              <w:pStyle w:val="ListParagraph"/>
              <w:numPr>
                <w:ilvl w:val="0"/>
                <w:numId w:val="50"/>
              </w:numPr>
              <w:ind w:left="37" w:firstLine="0"/>
              <w:jc w:val="both"/>
              <w:rPr>
                <w:b/>
                <w:i/>
                <w:sz w:val="24"/>
                <w:u w:val="single"/>
              </w:rPr>
            </w:pPr>
            <w:r w:rsidRPr="00501DEA">
              <w:rPr>
                <w:b/>
                <w:i/>
                <w:sz w:val="24"/>
                <w:u w:val="single"/>
              </w:rPr>
              <w:t>Noteikt papildu finansējumu MK noteikumu Nr.</w:t>
            </w:r>
            <w:r w:rsidR="00501DEA" w:rsidRPr="00501DEA">
              <w:rPr>
                <w:b/>
                <w:i/>
                <w:sz w:val="24"/>
                <w:u w:val="single"/>
              </w:rPr>
              <w:t xml:space="preserve"> </w:t>
            </w:r>
            <w:r w:rsidRPr="00501DEA">
              <w:rPr>
                <w:b/>
                <w:i/>
                <w:sz w:val="24"/>
                <w:u w:val="single"/>
              </w:rPr>
              <w:t>1065 III.</w:t>
            </w:r>
            <w:r w:rsidRPr="00501DEA">
              <w:rPr>
                <w:b/>
                <w:i/>
                <w:sz w:val="24"/>
                <w:u w:val="single"/>
                <w:vertAlign w:val="superscript"/>
              </w:rPr>
              <w:t>1</w:t>
            </w:r>
            <w:r w:rsidRPr="00501DEA">
              <w:rPr>
                <w:b/>
                <w:i/>
                <w:sz w:val="24"/>
                <w:u w:val="single"/>
              </w:rPr>
              <w:t xml:space="preserve"> nodaļā noteikto aizdevumu sākotnējo sabiedrības "</w:t>
            </w:r>
            <w:proofErr w:type="spellStart"/>
            <w:r w:rsidRPr="00501DEA">
              <w:rPr>
                <w:b/>
                <w:i/>
                <w:sz w:val="24"/>
                <w:u w:val="single"/>
              </w:rPr>
              <w:t>Altum</w:t>
            </w:r>
            <w:proofErr w:type="spellEnd"/>
            <w:r w:rsidRPr="00501DEA">
              <w:rPr>
                <w:b/>
                <w:i/>
                <w:sz w:val="24"/>
                <w:u w:val="single"/>
              </w:rPr>
              <w:t xml:space="preserve">" zaudējumu segšanai </w:t>
            </w:r>
          </w:p>
          <w:p w14:paraId="28A55E58" w14:textId="6B2129BC" w:rsidR="00274C7A" w:rsidRPr="002F6865" w:rsidRDefault="00274C7A" w:rsidP="00501DEA">
            <w:pPr>
              <w:pStyle w:val="ListParagraph"/>
              <w:ind w:left="37"/>
              <w:jc w:val="both"/>
              <w:rPr>
                <w:b/>
                <w:i/>
                <w:sz w:val="24"/>
                <w:u w:val="single"/>
              </w:rPr>
            </w:pPr>
          </w:p>
          <w:p w14:paraId="359E84EE" w14:textId="68DB923E" w:rsidR="00015B52" w:rsidRPr="00D6305C" w:rsidRDefault="00501DEA" w:rsidP="00501DEA">
            <w:pPr>
              <w:pStyle w:val="ListParagraph"/>
              <w:ind w:left="37"/>
              <w:jc w:val="both"/>
              <w:rPr>
                <w:sz w:val="24"/>
                <w:shd w:val="clear" w:color="auto" w:fill="FFFFFF"/>
              </w:rPr>
            </w:pPr>
            <w:bookmarkStart w:id="1" w:name="_Hlk5697800"/>
            <w:r w:rsidRPr="00501DEA">
              <w:rPr>
                <w:sz w:val="24"/>
                <w:shd w:val="clear" w:color="auto" w:fill="FFFFFF"/>
              </w:rPr>
              <w:t xml:space="preserve">“Attīstības finanšu institūcija </w:t>
            </w:r>
            <w:proofErr w:type="spellStart"/>
            <w:r w:rsidRPr="00501DEA">
              <w:rPr>
                <w:sz w:val="24"/>
                <w:shd w:val="clear" w:color="auto" w:fill="FFFFFF"/>
              </w:rPr>
              <w:t>Altum</w:t>
            </w:r>
            <w:proofErr w:type="spellEnd"/>
            <w:r w:rsidRPr="00501DEA">
              <w:rPr>
                <w:sz w:val="24"/>
                <w:shd w:val="clear" w:color="auto" w:fill="FFFFFF"/>
              </w:rPr>
              <w:t>” (</w:t>
            </w:r>
            <w:r w:rsidRPr="00472AB6">
              <w:rPr>
                <w:sz w:val="24"/>
                <w:shd w:val="clear" w:color="auto" w:fill="FFFFFF"/>
              </w:rPr>
              <w:t xml:space="preserve">turpmāk – </w:t>
            </w:r>
            <w:proofErr w:type="spellStart"/>
            <w:r w:rsidRPr="00472AB6">
              <w:rPr>
                <w:sz w:val="24"/>
                <w:shd w:val="clear" w:color="auto" w:fill="FFFFFF"/>
              </w:rPr>
              <w:t>Altum</w:t>
            </w:r>
            <w:proofErr w:type="spellEnd"/>
            <w:r w:rsidRPr="00472AB6">
              <w:rPr>
                <w:sz w:val="24"/>
                <w:shd w:val="clear" w:color="auto" w:fill="FFFFFF"/>
              </w:rPr>
              <w:t xml:space="preserve"> </w:t>
            </w:r>
            <w:r w:rsidR="00015B52" w:rsidRPr="00472AB6">
              <w:rPr>
                <w:sz w:val="24"/>
                <w:shd w:val="clear" w:color="auto" w:fill="FFFFFF"/>
              </w:rPr>
              <w:t>k</w:t>
            </w:r>
            <w:r w:rsidR="00274C7A" w:rsidRPr="00472AB6">
              <w:rPr>
                <w:sz w:val="24"/>
                <w:shd w:val="clear" w:color="auto" w:fill="FFFFFF"/>
              </w:rPr>
              <w:t>opš</w:t>
            </w:r>
            <w:r w:rsidR="00015B52" w:rsidRPr="00472AB6">
              <w:rPr>
                <w:sz w:val="24"/>
                <w:shd w:val="clear" w:color="auto" w:fill="FFFFFF"/>
              </w:rPr>
              <w:t xml:space="preserve"> 2017.gada septembr</w:t>
            </w:r>
            <w:r w:rsidRPr="00472AB6">
              <w:rPr>
                <w:sz w:val="24"/>
                <w:shd w:val="clear" w:color="auto" w:fill="FFFFFF"/>
              </w:rPr>
              <w:t>a</w:t>
            </w:r>
            <w:r w:rsidR="00015B52" w:rsidRPr="00472AB6">
              <w:rPr>
                <w:sz w:val="24"/>
                <w:shd w:val="clear" w:color="auto" w:fill="FFFFFF"/>
              </w:rPr>
              <w:t xml:space="preserve"> ir apstiprinājusi </w:t>
            </w:r>
            <w:r w:rsidR="009E06E1" w:rsidRPr="00472AB6">
              <w:rPr>
                <w:sz w:val="24"/>
                <w:shd w:val="clear" w:color="auto" w:fill="FFFFFF"/>
              </w:rPr>
              <w:t>21</w:t>
            </w:r>
            <w:r w:rsidR="00015B52" w:rsidRPr="00472AB6">
              <w:rPr>
                <w:sz w:val="24"/>
                <w:shd w:val="clear" w:color="auto" w:fill="FFFFFF"/>
              </w:rPr>
              <w:t xml:space="preserve"> aizdevumu</w:t>
            </w:r>
            <w:r w:rsidRPr="00472AB6">
              <w:rPr>
                <w:sz w:val="24"/>
                <w:shd w:val="clear" w:color="auto" w:fill="FFFFFF"/>
              </w:rPr>
              <w:t xml:space="preserve"> </w:t>
            </w:r>
            <w:r w:rsidR="00015B52" w:rsidRPr="00472AB6">
              <w:rPr>
                <w:sz w:val="24"/>
                <w:shd w:val="clear" w:color="auto" w:fill="FFFFFF"/>
              </w:rPr>
              <w:t xml:space="preserve"> </w:t>
            </w:r>
            <w:r w:rsidRPr="00472AB6">
              <w:rPr>
                <w:sz w:val="24"/>
                <w:shd w:val="clear" w:color="auto" w:fill="FFFFFF"/>
              </w:rPr>
              <w:t xml:space="preserve">energoefektivitātes pasākumu īstenošanai </w:t>
            </w:r>
            <w:r w:rsidR="009E06E1" w:rsidRPr="00472AB6">
              <w:rPr>
                <w:sz w:val="24"/>
                <w:shd w:val="clear" w:color="auto" w:fill="FFFFFF"/>
              </w:rPr>
              <w:t>10.32 milj.</w:t>
            </w:r>
            <w:r w:rsidR="00015B52" w:rsidRPr="00472AB6">
              <w:rPr>
                <w:sz w:val="24"/>
                <w:shd w:val="clear" w:color="auto" w:fill="FFFFFF"/>
              </w:rPr>
              <w:t xml:space="preserve"> </w:t>
            </w:r>
            <w:r w:rsidR="00015B52" w:rsidRPr="00501DEA">
              <w:rPr>
                <w:sz w:val="24"/>
                <w:shd w:val="clear" w:color="auto" w:fill="FFFFFF"/>
              </w:rPr>
              <w:t xml:space="preserve">EUR apmērā. </w:t>
            </w:r>
            <w:r w:rsidR="00274C7A" w:rsidRPr="00501DEA">
              <w:rPr>
                <w:sz w:val="24"/>
                <w:shd w:val="clear" w:color="auto" w:fill="FFFFFF"/>
              </w:rPr>
              <w:t xml:space="preserve">Pašreizējos salīdzinoši mazos apjomus ietekmē </w:t>
            </w:r>
            <w:r>
              <w:rPr>
                <w:sz w:val="24"/>
                <w:shd w:val="clear" w:color="auto" w:fill="FFFFFF"/>
              </w:rPr>
              <w:t xml:space="preserve">šo </w:t>
            </w:r>
            <w:r w:rsidR="00015B52" w:rsidRPr="00501DEA">
              <w:rPr>
                <w:sz w:val="24"/>
                <w:shd w:val="clear" w:color="auto" w:fill="FFFFFF"/>
              </w:rPr>
              <w:t>aizdevumu</w:t>
            </w:r>
            <w:r w:rsidR="00274C7A" w:rsidRPr="00501DEA">
              <w:rPr>
                <w:sz w:val="24"/>
                <w:shd w:val="clear" w:color="auto" w:fill="FFFFFF"/>
              </w:rPr>
              <w:t xml:space="preserve"> specifika – uzņēmējiem joprojām galvenā prioritāte ir uzņēmuma darbības nodrošināšana un jaunu produktu</w:t>
            </w:r>
            <w:r w:rsidR="00215235">
              <w:rPr>
                <w:sz w:val="24"/>
                <w:shd w:val="clear" w:color="auto" w:fill="FFFFFF"/>
              </w:rPr>
              <w:t xml:space="preserve"> attīstīšana un </w:t>
            </w:r>
            <w:r w:rsidR="00274C7A" w:rsidRPr="00501DEA">
              <w:rPr>
                <w:sz w:val="24"/>
                <w:shd w:val="clear" w:color="auto" w:fill="FFFFFF"/>
              </w:rPr>
              <w:t>/tirgu apgūšana. Līdz ar to iespēja</w:t>
            </w:r>
            <w:r w:rsidR="00D6305C">
              <w:rPr>
                <w:sz w:val="24"/>
                <w:shd w:val="clear" w:color="auto" w:fill="FFFFFF"/>
              </w:rPr>
              <w:t>s</w:t>
            </w:r>
            <w:r w:rsidR="00274C7A" w:rsidRPr="00501DEA">
              <w:rPr>
                <w:sz w:val="24"/>
                <w:shd w:val="clear" w:color="auto" w:fill="FFFFFF"/>
              </w:rPr>
              <w:t xml:space="preserve"> </w:t>
            </w:r>
            <w:r w:rsidR="00D6305C">
              <w:rPr>
                <w:sz w:val="24"/>
                <w:shd w:val="clear" w:color="auto" w:fill="FFFFFF"/>
              </w:rPr>
              <w:t>veikt darbības</w:t>
            </w:r>
            <w:r w:rsidR="00274C7A" w:rsidRPr="00501DEA">
              <w:rPr>
                <w:sz w:val="24"/>
                <w:shd w:val="clear" w:color="auto" w:fill="FFFFFF"/>
              </w:rPr>
              <w:t xml:space="preserve"> </w:t>
            </w:r>
            <w:r w:rsidR="00D6305C">
              <w:rPr>
                <w:sz w:val="24"/>
                <w:shd w:val="clear" w:color="auto" w:fill="FFFFFF"/>
              </w:rPr>
              <w:t xml:space="preserve">uzņēmuma </w:t>
            </w:r>
            <w:r w:rsidR="00274C7A" w:rsidRPr="00501DEA">
              <w:rPr>
                <w:sz w:val="24"/>
                <w:shd w:val="clear" w:color="auto" w:fill="FFFFFF"/>
              </w:rPr>
              <w:t xml:space="preserve">enerģijas </w:t>
            </w:r>
            <w:r w:rsidR="00D6305C">
              <w:rPr>
                <w:sz w:val="24"/>
                <w:shd w:val="clear" w:color="auto" w:fill="FFFFFF"/>
              </w:rPr>
              <w:t>patēriņa samazināšanai</w:t>
            </w:r>
            <w:r w:rsidR="00274C7A" w:rsidRPr="00501DEA">
              <w:rPr>
                <w:sz w:val="24"/>
                <w:shd w:val="clear" w:color="auto" w:fill="FFFFFF"/>
              </w:rPr>
              <w:t xml:space="preserve"> tiek atstāta</w:t>
            </w:r>
            <w:r w:rsidR="00D6305C">
              <w:rPr>
                <w:sz w:val="24"/>
                <w:shd w:val="clear" w:color="auto" w:fill="FFFFFF"/>
              </w:rPr>
              <w:t>s</w:t>
            </w:r>
            <w:r w:rsidR="00274C7A" w:rsidRPr="00501DEA">
              <w:rPr>
                <w:sz w:val="24"/>
                <w:shd w:val="clear" w:color="auto" w:fill="FFFFFF"/>
              </w:rPr>
              <w:t xml:space="preserve"> novārtā. A</w:t>
            </w:r>
            <w:r w:rsidR="00015B52" w:rsidRPr="00215235">
              <w:rPr>
                <w:sz w:val="24"/>
                <w:shd w:val="clear" w:color="auto" w:fill="FFFFFF"/>
              </w:rPr>
              <w:t xml:space="preserve">ttiecīgo aizdevumu </w:t>
            </w:r>
            <w:r w:rsidR="00274C7A" w:rsidRPr="00215235">
              <w:rPr>
                <w:sz w:val="24"/>
                <w:shd w:val="clear" w:color="auto" w:fill="FFFFFF"/>
              </w:rPr>
              <w:t>popularizēšanai ir nepieciešams ilgstošs laika periods, papildu</w:t>
            </w:r>
            <w:r w:rsidR="00274C7A" w:rsidRPr="00D6305C">
              <w:rPr>
                <w:sz w:val="24"/>
                <w:shd w:val="clear" w:color="auto" w:fill="FFFFFF"/>
              </w:rPr>
              <w:t xml:space="preserve"> izglītošana</w:t>
            </w:r>
            <w:r w:rsidR="002A4C53">
              <w:rPr>
                <w:sz w:val="24"/>
                <w:shd w:val="clear" w:color="auto" w:fill="FFFFFF"/>
              </w:rPr>
              <w:t xml:space="preserve">, kā arī </w:t>
            </w:r>
            <w:r w:rsidR="00015B52" w:rsidRPr="00D6305C">
              <w:rPr>
                <w:sz w:val="24"/>
                <w:shd w:val="clear" w:color="auto" w:fill="FFFFFF"/>
              </w:rPr>
              <w:t>finansiālas</w:t>
            </w:r>
            <w:r w:rsidR="00274C7A" w:rsidRPr="00D6305C">
              <w:rPr>
                <w:sz w:val="24"/>
                <w:shd w:val="clear" w:color="auto" w:fill="FFFFFF"/>
              </w:rPr>
              <w:t xml:space="preserve"> iniciatīvas. </w:t>
            </w:r>
          </w:p>
          <w:p w14:paraId="724B1458" w14:textId="70E0A53C" w:rsidR="00274C7A" w:rsidRPr="00501DEA" w:rsidRDefault="00274C7A" w:rsidP="00501DEA">
            <w:pPr>
              <w:pStyle w:val="ListParagraph"/>
              <w:ind w:left="37"/>
              <w:jc w:val="both"/>
              <w:rPr>
                <w:sz w:val="24"/>
                <w:shd w:val="clear" w:color="auto" w:fill="FFFFFF"/>
              </w:rPr>
            </w:pPr>
            <w:r w:rsidRPr="001C64FC">
              <w:rPr>
                <w:sz w:val="24"/>
                <w:shd w:val="clear" w:color="auto" w:fill="FFFFFF"/>
              </w:rPr>
              <w:t>Eiropas Komisija 2018.</w:t>
            </w:r>
            <w:r w:rsidR="00501DEA">
              <w:rPr>
                <w:sz w:val="24"/>
                <w:shd w:val="clear" w:color="auto" w:fill="FFFFFF"/>
              </w:rPr>
              <w:t xml:space="preserve"> </w:t>
            </w:r>
            <w:r w:rsidRPr="00501DEA">
              <w:rPr>
                <w:sz w:val="24"/>
                <w:shd w:val="clear" w:color="auto" w:fill="FFFFFF"/>
              </w:rPr>
              <w:t xml:space="preserve">gada oktobrī ir apstiprinājusi </w:t>
            </w:r>
            <w:proofErr w:type="spellStart"/>
            <w:r w:rsidRPr="00501DEA">
              <w:rPr>
                <w:sz w:val="24"/>
                <w:shd w:val="clear" w:color="auto" w:fill="FFFFFF"/>
              </w:rPr>
              <w:t>Altum</w:t>
            </w:r>
            <w:proofErr w:type="spellEnd"/>
            <w:r w:rsidRPr="00501DEA">
              <w:rPr>
                <w:sz w:val="24"/>
                <w:shd w:val="clear" w:color="auto" w:fill="FFFFFF"/>
              </w:rPr>
              <w:t xml:space="preserve"> projektu tehniskās palīdzības sniegšanai </w:t>
            </w:r>
            <w:r w:rsidR="003D7C33">
              <w:rPr>
                <w:sz w:val="24"/>
                <w:shd w:val="clear" w:color="auto" w:fill="FFFFFF"/>
              </w:rPr>
              <w:t xml:space="preserve">uzņēmumiem </w:t>
            </w:r>
            <w:r w:rsidRPr="00501DEA">
              <w:rPr>
                <w:sz w:val="24"/>
                <w:shd w:val="clear" w:color="auto" w:fill="FFFFFF"/>
              </w:rPr>
              <w:t>energoefektivitātes projektu sagatavošanai</w:t>
            </w:r>
            <w:r w:rsidR="00015B52" w:rsidRPr="00501DEA">
              <w:rPr>
                <w:sz w:val="24"/>
                <w:shd w:val="clear" w:color="auto" w:fill="FFFFFF"/>
              </w:rPr>
              <w:t xml:space="preserve">. Tomēr papildus ir nepieciešams </w:t>
            </w:r>
            <w:r w:rsidR="00501DEA">
              <w:rPr>
                <w:sz w:val="24"/>
                <w:shd w:val="clear" w:color="auto" w:fill="FFFFFF"/>
              </w:rPr>
              <w:t>īstenot</w:t>
            </w:r>
            <w:r w:rsidR="00015B52" w:rsidRPr="00501DEA">
              <w:rPr>
                <w:sz w:val="24"/>
                <w:shd w:val="clear" w:color="auto" w:fill="FFFFFF"/>
              </w:rPr>
              <w:t xml:space="preserve"> finansiālas iniciatīvas</w:t>
            </w:r>
            <w:r w:rsidRPr="00501DEA">
              <w:rPr>
                <w:sz w:val="24"/>
                <w:shd w:val="clear" w:color="auto" w:fill="FFFFFF"/>
              </w:rPr>
              <w:t>, kas do</w:t>
            </w:r>
            <w:r w:rsidR="00015B52" w:rsidRPr="00501DEA">
              <w:rPr>
                <w:sz w:val="24"/>
                <w:shd w:val="clear" w:color="auto" w:fill="FFFFFF"/>
              </w:rPr>
              <w:t>tu</w:t>
            </w:r>
            <w:r w:rsidRPr="00501DEA">
              <w:rPr>
                <w:sz w:val="24"/>
                <w:shd w:val="clear" w:color="auto" w:fill="FFFFFF"/>
              </w:rPr>
              <w:t xml:space="preserve"> iespēju samazināt aizdevum</w:t>
            </w:r>
            <w:r w:rsidR="00015B52" w:rsidRPr="00501DEA">
              <w:rPr>
                <w:sz w:val="24"/>
                <w:shd w:val="clear" w:color="auto" w:fill="FFFFFF"/>
              </w:rPr>
              <w:t>u</w:t>
            </w:r>
            <w:r w:rsidRPr="00501DEA">
              <w:rPr>
                <w:sz w:val="24"/>
                <w:shd w:val="clear" w:color="auto" w:fill="FFFFFF"/>
              </w:rPr>
              <w:t xml:space="preserve"> </w:t>
            </w:r>
            <w:r w:rsidR="003D7C33">
              <w:rPr>
                <w:sz w:val="24"/>
                <w:shd w:val="clear" w:color="auto" w:fill="FFFFFF"/>
              </w:rPr>
              <w:t>procentu</w:t>
            </w:r>
            <w:r w:rsidRPr="00501DEA">
              <w:rPr>
                <w:sz w:val="24"/>
                <w:shd w:val="clear" w:color="auto" w:fill="FFFFFF"/>
              </w:rPr>
              <w:t xml:space="preserve"> likmes</w:t>
            </w:r>
            <w:r w:rsidR="001C64FC">
              <w:rPr>
                <w:sz w:val="24"/>
                <w:shd w:val="clear" w:color="auto" w:fill="FFFFFF"/>
              </w:rPr>
              <w:t xml:space="preserve"> </w:t>
            </w:r>
            <w:r w:rsidR="00015B52" w:rsidRPr="00501DEA">
              <w:rPr>
                <w:sz w:val="24"/>
                <w:shd w:val="clear" w:color="auto" w:fill="FFFFFF"/>
              </w:rPr>
              <w:t>komercbanku aizdevumu līmen</w:t>
            </w:r>
            <w:r w:rsidR="001C64FC">
              <w:rPr>
                <w:sz w:val="24"/>
                <w:shd w:val="clear" w:color="auto" w:fill="FFFFFF"/>
              </w:rPr>
              <w:t>ī</w:t>
            </w:r>
            <w:r w:rsidR="00015B52" w:rsidRPr="00501DEA">
              <w:rPr>
                <w:sz w:val="24"/>
                <w:shd w:val="clear" w:color="auto" w:fill="FFFFFF"/>
              </w:rPr>
              <w:t xml:space="preserve">, </w:t>
            </w:r>
            <w:r w:rsidRPr="00D6305C">
              <w:rPr>
                <w:sz w:val="24"/>
                <w:shd w:val="clear" w:color="auto" w:fill="FFFFFF"/>
              </w:rPr>
              <w:t xml:space="preserve">kā rezultātā būtu </w:t>
            </w:r>
            <w:r w:rsidRPr="00D6305C">
              <w:rPr>
                <w:sz w:val="24"/>
                <w:shd w:val="clear" w:color="auto" w:fill="FFFFFF"/>
              </w:rPr>
              <w:lastRenderedPageBreak/>
              <w:t xml:space="preserve">iespējams palielināt </w:t>
            </w:r>
            <w:r w:rsidR="00015B52" w:rsidRPr="003D7C33">
              <w:rPr>
                <w:sz w:val="24"/>
                <w:shd w:val="clear" w:color="auto" w:fill="FFFFFF"/>
              </w:rPr>
              <w:t xml:space="preserve">finansējuma apjomus un izmantot visu pašreiz pieejamo finansējumu, kuru </w:t>
            </w:r>
            <w:proofErr w:type="spellStart"/>
            <w:r w:rsidR="00015B52" w:rsidRPr="003D7C33">
              <w:rPr>
                <w:sz w:val="24"/>
                <w:shd w:val="clear" w:color="auto" w:fill="FFFFFF"/>
              </w:rPr>
              <w:t>Altum</w:t>
            </w:r>
            <w:proofErr w:type="spellEnd"/>
            <w:r w:rsidR="00015B52" w:rsidRPr="003D7C33">
              <w:rPr>
                <w:sz w:val="24"/>
                <w:shd w:val="clear" w:color="auto" w:fill="FFFFFF"/>
              </w:rPr>
              <w:t xml:space="preserve"> piesaistījis </w:t>
            </w:r>
            <w:r w:rsidR="00015B52" w:rsidRPr="001C64FC">
              <w:rPr>
                <w:sz w:val="24"/>
                <w:shd w:val="clear" w:color="auto" w:fill="FFFFFF"/>
              </w:rPr>
              <w:t>attiecīgo aizdevumu sniegšanai</w:t>
            </w:r>
            <w:r w:rsidRPr="001C64FC">
              <w:rPr>
                <w:sz w:val="24"/>
                <w:shd w:val="clear" w:color="auto" w:fill="FFFFFF"/>
              </w:rPr>
              <w:t>.</w:t>
            </w:r>
            <w:r w:rsidR="007A6D97">
              <w:rPr>
                <w:sz w:val="24"/>
                <w:shd w:val="clear" w:color="auto" w:fill="FFFFFF"/>
              </w:rPr>
              <w:t xml:space="preserve"> </w:t>
            </w:r>
            <w:r w:rsidR="0075225E">
              <w:rPr>
                <w:sz w:val="24"/>
                <w:shd w:val="clear" w:color="auto" w:fill="FFFFFF"/>
              </w:rPr>
              <w:t xml:space="preserve">Ievērojot </w:t>
            </w:r>
            <w:r w:rsidR="00F207D1">
              <w:rPr>
                <w:sz w:val="24"/>
                <w:shd w:val="clear" w:color="auto" w:fill="FFFFFF"/>
              </w:rPr>
              <w:t xml:space="preserve">Ministru kabineta </w:t>
            </w:r>
            <w:r w:rsidR="00D461B4">
              <w:rPr>
                <w:sz w:val="24"/>
                <w:shd w:val="clear" w:color="auto" w:fill="FFFFFF"/>
              </w:rPr>
              <w:t xml:space="preserve">2013.gada 28.maija sēdes </w:t>
            </w:r>
            <w:proofErr w:type="spellStart"/>
            <w:r w:rsidR="00D461B4">
              <w:rPr>
                <w:sz w:val="24"/>
                <w:shd w:val="clear" w:color="auto" w:fill="FFFFFF"/>
              </w:rPr>
              <w:t>protokollēmum</w:t>
            </w:r>
            <w:r w:rsidR="000C09A9">
              <w:rPr>
                <w:sz w:val="24"/>
                <w:shd w:val="clear" w:color="auto" w:fill="FFFFFF"/>
              </w:rPr>
              <w:t>a</w:t>
            </w:r>
            <w:proofErr w:type="spellEnd"/>
            <w:r w:rsidR="00D461B4">
              <w:rPr>
                <w:sz w:val="24"/>
                <w:shd w:val="clear" w:color="auto" w:fill="FFFFFF"/>
              </w:rPr>
              <w:t xml:space="preserve"> Nr.32 47.§ 5.punktu “</w:t>
            </w:r>
            <w:r w:rsidR="00D461B4" w:rsidRPr="00D461B4">
              <w:rPr>
                <w:sz w:val="24"/>
                <w:shd w:val="clear" w:color="auto" w:fill="FFFFFF"/>
              </w:rPr>
              <w:t xml:space="preserve">Ņemot vērā Ministru kabineta 2013.gada 5.marta sēdes </w:t>
            </w:r>
            <w:proofErr w:type="spellStart"/>
            <w:r w:rsidR="00D461B4" w:rsidRPr="00D461B4">
              <w:rPr>
                <w:sz w:val="24"/>
                <w:shd w:val="clear" w:color="auto" w:fill="FFFFFF"/>
              </w:rPr>
              <w:t>protokollēmumu</w:t>
            </w:r>
            <w:proofErr w:type="spellEnd"/>
            <w:r w:rsidR="00D461B4" w:rsidRPr="00D461B4">
              <w:rPr>
                <w:sz w:val="24"/>
                <w:shd w:val="clear" w:color="auto" w:fill="FFFFFF"/>
              </w:rPr>
              <w:t xml:space="preserve"> (prot. Nr.13 38.§) par Eiropas Komisijas audita ziņojumos noteiktajām finanšu korekcijām un to, ka projekta "Aizdevumi komersantu konkurētspējas uzlabošanai" īstenotājas valsts akciju sabiedrības "Latvijas Hipotēku un zemes banka" darbībā nav konstatēti pārkāpumi, uzskatīt par atgūtiem projekta ietvaros konstatētos neatbilstošos izdevumus 1 934 260,30 latu (2 752 204,46 eiro) apmērā. Ekonomikas ministrijai nodrošināt, ka valsts akciju sabiedrība "Latvijas Hipotēku un zemes banka" par šo apjomu izsniedz aizdevumus tās pašas valsts atbalsta programmas ietvaros</w:t>
            </w:r>
            <w:r w:rsidR="0049331D">
              <w:rPr>
                <w:sz w:val="24"/>
                <w:shd w:val="clear" w:color="auto" w:fill="FFFFFF"/>
              </w:rPr>
              <w:t>.”</w:t>
            </w:r>
            <w:r w:rsidR="00F207D1">
              <w:rPr>
                <w:sz w:val="24"/>
                <w:shd w:val="clear" w:color="auto" w:fill="FFFFFF"/>
              </w:rPr>
              <w:t xml:space="preserve"> </w:t>
            </w:r>
            <w:r w:rsidR="00910D8B">
              <w:rPr>
                <w:sz w:val="24"/>
                <w:shd w:val="clear" w:color="auto" w:fill="FFFFFF"/>
              </w:rPr>
              <w:t>Ievērojot</w:t>
            </w:r>
            <w:r w:rsidR="00F207D1">
              <w:rPr>
                <w:sz w:val="24"/>
                <w:shd w:val="clear" w:color="auto" w:fill="FFFFFF"/>
              </w:rPr>
              <w:t xml:space="preserve"> iepriekš minēto</w:t>
            </w:r>
            <w:r w:rsidR="00910D8B">
              <w:rPr>
                <w:sz w:val="24"/>
                <w:shd w:val="clear" w:color="auto" w:fill="FFFFFF"/>
              </w:rPr>
              <w:t>,</w:t>
            </w:r>
            <w:r w:rsidR="00F207D1">
              <w:rPr>
                <w:sz w:val="24"/>
                <w:shd w:val="clear" w:color="auto" w:fill="FFFFFF"/>
              </w:rPr>
              <w:t xml:space="preserve"> </w:t>
            </w:r>
            <w:r w:rsidR="00910D8B">
              <w:rPr>
                <w:sz w:val="24"/>
                <w:shd w:val="clear" w:color="auto" w:fill="FFFFFF"/>
              </w:rPr>
              <w:t xml:space="preserve">MK noteikumu Nr. </w:t>
            </w:r>
            <w:r w:rsidR="00F207D1">
              <w:rPr>
                <w:sz w:val="24"/>
                <w:shd w:val="clear" w:color="auto" w:fill="FFFFFF"/>
              </w:rPr>
              <w:t>1065</w:t>
            </w:r>
            <w:r w:rsidR="00910D8B">
              <w:rPr>
                <w:sz w:val="24"/>
                <w:shd w:val="clear" w:color="auto" w:fill="FFFFFF"/>
              </w:rPr>
              <w:t xml:space="preserve">, </w:t>
            </w:r>
            <w:r w:rsidR="00910D8B" w:rsidRPr="00973558">
              <w:rPr>
                <w:color w:val="000000"/>
                <w:sz w:val="24"/>
                <w:szCs w:val="24"/>
                <w:shd w:val="clear" w:color="auto" w:fill="FFFFFF"/>
              </w:rPr>
              <w:t xml:space="preserve">kas ir tā pati valsts atbalsta programma, kas norādīta Ministru kabineta 2013.gada 28.maija sēdes </w:t>
            </w:r>
            <w:proofErr w:type="spellStart"/>
            <w:r w:rsidR="00910D8B" w:rsidRPr="00973558">
              <w:rPr>
                <w:color w:val="000000"/>
                <w:sz w:val="24"/>
                <w:szCs w:val="24"/>
                <w:shd w:val="clear" w:color="auto" w:fill="FFFFFF"/>
              </w:rPr>
              <w:t>protokollēmuma</w:t>
            </w:r>
            <w:proofErr w:type="spellEnd"/>
            <w:r w:rsidR="00910D8B" w:rsidRPr="00973558">
              <w:rPr>
                <w:color w:val="000000"/>
                <w:sz w:val="24"/>
                <w:szCs w:val="24"/>
                <w:shd w:val="clear" w:color="auto" w:fill="FFFFFF"/>
              </w:rPr>
              <w:t xml:space="preserve"> Nr.32 47.§ 5.punkta otrajā teikumā, paredzēts izmantot Eiropas Savienības fondu 2007.-2013.gada plānošanas periodā </w:t>
            </w:r>
            <w:proofErr w:type="spellStart"/>
            <w:r w:rsidR="00910D8B" w:rsidRPr="00973558">
              <w:rPr>
                <w:color w:val="000000"/>
                <w:sz w:val="24"/>
                <w:szCs w:val="24"/>
                <w:shd w:val="clear" w:color="auto" w:fill="FFFFFF"/>
              </w:rPr>
              <w:t>Altum</w:t>
            </w:r>
            <w:proofErr w:type="spellEnd"/>
            <w:r w:rsidR="00910D8B" w:rsidRPr="00973558">
              <w:rPr>
                <w:color w:val="000000"/>
                <w:sz w:val="24"/>
                <w:szCs w:val="24"/>
                <w:shd w:val="clear" w:color="auto" w:fill="FFFFFF"/>
              </w:rPr>
              <w:t xml:space="preserve"> ieskaitīto valsts budžeta f</w:t>
            </w:r>
            <w:r w:rsidR="00910D8B">
              <w:rPr>
                <w:color w:val="000000"/>
                <w:sz w:val="24"/>
                <w:szCs w:val="24"/>
                <w:shd w:val="clear" w:color="auto" w:fill="FFFFFF"/>
              </w:rPr>
              <w:t>inansējumu, sedzot no pieejamajiem līdzekļiem sākotnējos zaudējumus Programmu rādītāju novērtējumā, kas veikts atbilstoši Attīstības finanšu institūcijas likuma 12.panta 3.daļai, paredzētajā apmērā.</w:t>
            </w:r>
            <w:r w:rsidR="00F207D1">
              <w:rPr>
                <w:sz w:val="24"/>
                <w:shd w:val="clear" w:color="auto" w:fill="FFFFFF"/>
              </w:rPr>
              <w:t xml:space="preserve"> </w:t>
            </w:r>
            <w:r w:rsidR="00015B52" w:rsidRPr="001C64FC">
              <w:rPr>
                <w:sz w:val="24"/>
                <w:shd w:val="clear" w:color="auto" w:fill="FFFFFF"/>
              </w:rPr>
              <w:t xml:space="preserve"> </w:t>
            </w:r>
          </w:p>
          <w:bookmarkEnd w:id="1"/>
          <w:p w14:paraId="26F83E94" w14:textId="77777777" w:rsidR="00234304" w:rsidRPr="00234304" w:rsidRDefault="00234304" w:rsidP="00234304">
            <w:pPr>
              <w:jc w:val="both"/>
              <w:rPr>
                <w:b/>
                <w:i/>
                <w:u w:val="single"/>
              </w:rPr>
            </w:pPr>
          </w:p>
          <w:p w14:paraId="61E77B94" w14:textId="64B05AB4" w:rsidR="00C20972" w:rsidRDefault="00C20972" w:rsidP="00FE00E8">
            <w:pPr>
              <w:pStyle w:val="ListParagraph"/>
              <w:numPr>
                <w:ilvl w:val="0"/>
                <w:numId w:val="50"/>
              </w:numPr>
              <w:ind w:left="37" w:firstLine="0"/>
              <w:jc w:val="both"/>
              <w:rPr>
                <w:b/>
                <w:i/>
                <w:sz w:val="24"/>
                <w:u w:val="single"/>
              </w:rPr>
            </w:pPr>
            <w:r>
              <w:rPr>
                <w:b/>
                <w:i/>
                <w:sz w:val="24"/>
                <w:u w:val="single"/>
              </w:rPr>
              <w:t>Palielināt MK noteikumu Nr.1065 5.</w:t>
            </w:r>
            <w:r w:rsidRPr="00C20972">
              <w:rPr>
                <w:b/>
                <w:i/>
                <w:sz w:val="24"/>
                <w:u w:val="single"/>
                <w:vertAlign w:val="superscript"/>
              </w:rPr>
              <w:t>3</w:t>
            </w:r>
            <w:r>
              <w:rPr>
                <w:b/>
                <w:i/>
                <w:sz w:val="24"/>
                <w:u w:val="single"/>
              </w:rPr>
              <w:t xml:space="preserve"> punktā noteikto valsts aizdevuma apmēru:</w:t>
            </w:r>
          </w:p>
          <w:p w14:paraId="64D665DE" w14:textId="69E46F09" w:rsidR="00784BAF" w:rsidRDefault="00C51554" w:rsidP="00432E99">
            <w:pPr>
              <w:pStyle w:val="ListParagraph"/>
              <w:ind w:left="37"/>
              <w:jc w:val="both"/>
              <w:rPr>
                <w:sz w:val="24"/>
              </w:rPr>
            </w:pPr>
            <w:proofErr w:type="spellStart"/>
            <w:r w:rsidRPr="000433F1">
              <w:rPr>
                <w:sz w:val="24"/>
              </w:rPr>
              <w:t>Altum</w:t>
            </w:r>
            <w:proofErr w:type="spellEnd"/>
            <w:r w:rsidRPr="000433F1">
              <w:rPr>
                <w:sz w:val="24"/>
              </w:rPr>
              <w:t xml:space="preserve"> </w:t>
            </w:r>
            <w:r>
              <w:rPr>
                <w:sz w:val="24"/>
              </w:rPr>
              <w:t xml:space="preserve">izsniedz </w:t>
            </w:r>
            <w:r w:rsidR="001724A9" w:rsidRPr="001724A9">
              <w:rPr>
                <w:sz w:val="24"/>
              </w:rPr>
              <w:t>aizdevum</w:t>
            </w:r>
            <w:r w:rsidR="001724A9">
              <w:rPr>
                <w:sz w:val="24"/>
              </w:rPr>
              <w:t>us</w:t>
            </w:r>
            <w:r w:rsidR="001724A9" w:rsidRPr="001724A9">
              <w:rPr>
                <w:sz w:val="24"/>
              </w:rPr>
              <w:t xml:space="preserve"> sīko (mikro), mazo un vidējo saimnieciskās darbības veicēju un lauksaimniecības un mežsaimniecības pakalpojumu kooperatīvo sabiedrību attīstības veicināšanai</w:t>
            </w:r>
            <w:r w:rsidR="001724A9">
              <w:rPr>
                <w:sz w:val="24"/>
              </w:rPr>
              <w:t xml:space="preserve"> (turpmāk – MVU </w:t>
            </w:r>
            <w:r>
              <w:rPr>
                <w:sz w:val="24"/>
              </w:rPr>
              <w:t xml:space="preserve">izaugsmes </w:t>
            </w:r>
            <w:r w:rsidR="001724A9">
              <w:rPr>
                <w:sz w:val="24"/>
              </w:rPr>
              <w:t>aizdevumi)</w:t>
            </w:r>
            <w:r>
              <w:rPr>
                <w:sz w:val="24"/>
              </w:rPr>
              <w:t xml:space="preserve"> izmantojot Eiropas Investīciju Bankas (turpmāk - EIB) un Valsts kases aizdevuma resursus.</w:t>
            </w:r>
            <w:r w:rsidR="001543CA">
              <w:rPr>
                <w:sz w:val="24"/>
              </w:rPr>
              <w:t xml:space="preserve"> EIB resursi tiek izmantoti </w:t>
            </w:r>
            <w:r w:rsidR="00D27442">
              <w:rPr>
                <w:sz w:val="24"/>
              </w:rPr>
              <w:t>a</w:t>
            </w:r>
            <w:r w:rsidR="00D27442" w:rsidRPr="00D27442">
              <w:rPr>
                <w:sz w:val="24"/>
              </w:rPr>
              <w:t>pgrozāmo līdzekļu aizdevumi</w:t>
            </w:r>
            <w:r w:rsidR="00D27442">
              <w:rPr>
                <w:sz w:val="24"/>
              </w:rPr>
              <w:t>em, kā arī investīciju aizdevumiem. Savukārt Valsts kases resursi līdz šim tikuši izmantoti tikai investīciju aizdevumu finansēšanai.</w:t>
            </w:r>
          </w:p>
          <w:p w14:paraId="7061F1D9" w14:textId="28792663" w:rsidR="00291294" w:rsidRDefault="005C00A1" w:rsidP="00432E99">
            <w:pPr>
              <w:pStyle w:val="ListParagraph"/>
              <w:ind w:left="37"/>
              <w:jc w:val="both"/>
              <w:rPr>
                <w:sz w:val="24"/>
              </w:rPr>
            </w:pPr>
            <w:r>
              <w:rPr>
                <w:sz w:val="24"/>
              </w:rPr>
              <w:t>No 2015. gada</w:t>
            </w:r>
            <w:r w:rsidR="00216843" w:rsidRPr="000433F1">
              <w:rPr>
                <w:sz w:val="24"/>
              </w:rPr>
              <w:t xml:space="preserve"> līdz 2018.gada vidum </w:t>
            </w:r>
            <w:r w:rsidR="004D34A9" w:rsidRPr="000433F1">
              <w:rPr>
                <w:sz w:val="24"/>
              </w:rPr>
              <w:t xml:space="preserve">no valsts aizdevuma resursiem </w:t>
            </w:r>
            <w:r w:rsidR="00216843" w:rsidRPr="000433F1">
              <w:rPr>
                <w:sz w:val="24"/>
              </w:rPr>
              <w:t xml:space="preserve">izsniegto </w:t>
            </w:r>
            <w:r w:rsidR="000C7997" w:rsidRPr="000433F1">
              <w:rPr>
                <w:sz w:val="24"/>
              </w:rPr>
              <w:t xml:space="preserve">investīciju </w:t>
            </w:r>
            <w:r w:rsidR="00216843" w:rsidRPr="000433F1">
              <w:rPr>
                <w:sz w:val="24"/>
              </w:rPr>
              <w:t xml:space="preserve">aizdevumu portfelis ir sasniedzis 17 milj. </w:t>
            </w:r>
            <w:proofErr w:type="spellStart"/>
            <w:r w:rsidR="00216843" w:rsidRPr="000433F1">
              <w:rPr>
                <w:i/>
                <w:sz w:val="24"/>
              </w:rPr>
              <w:t>euro</w:t>
            </w:r>
            <w:proofErr w:type="spellEnd"/>
            <w:r w:rsidR="00784BAF">
              <w:rPr>
                <w:sz w:val="24"/>
              </w:rPr>
              <w:t xml:space="preserve">, tuvojoties </w:t>
            </w:r>
            <w:r w:rsidR="00784BAF" w:rsidRPr="000433F1">
              <w:rPr>
                <w:sz w:val="24"/>
              </w:rPr>
              <w:t>MK noteikumu Nr.</w:t>
            </w:r>
            <w:r w:rsidR="00547343">
              <w:rPr>
                <w:sz w:val="24"/>
              </w:rPr>
              <w:t xml:space="preserve"> </w:t>
            </w:r>
            <w:r w:rsidR="00784BAF" w:rsidRPr="000433F1">
              <w:rPr>
                <w:sz w:val="24"/>
              </w:rPr>
              <w:t>1065 5.</w:t>
            </w:r>
            <w:r w:rsidR="00784BAF" w:rsidRPr="000433F1">
              <w:rPr>
                <w:sz w:val="24"/>
                <w:vertAlign w:val="superscript"/>
              </w:rPr>
              <w:t>3</w:t>
            </w:r>
            <w:r w:rsidR="00784BAF" w:rsidRPr="000433F1">
              <w:rPr>
                <w:sz w:val="24"/>
              </w:rPr>
              <w:t xml:space="preserve"> punktā</w:t>
            </w:r>
            <w:r w:rsidR="00784BAF">
              <w:rPr>
                <w:sz w:val="24"/>
              </w:rPr>
              <w:t xml:space="preserve"> noteiktajam Valsts kases aizdevuma apmēra limitam  - 20 milj. </w:t>
            </w:r>
            <w:proofErr w:type="spellStart"/>
            <w:r w:rsidR="00784BAF" w:rsidRPr="00573F27">
              <w:rPr>
                <w:i/>
                <w:sz w:val="24"/>
              </w:rPr>
              <w:t>euro</w:t>
            </w:r>
            <w:proofErr w:type="spellEnd"/>
            <w:r w:rsidR="00784BAF">
              <w:rPr>
                <w:sz w:val="24"/>
              </w:rPr>
              <w:t>.</w:t>
            </w:r>
          </w:p>
          <w:p w14:paraId="1630E093" w14:textId="2B62F76F" w:rsidR="009B139C" w:rsidRPr="007E3229" w:rsidRDefault="005B4C03" w:rsidP="005B4C03">
            <w:pPr>
              <w:jc w:val="both"/>
            </w:pPr>
            <w:r w:rsidRPr="007E3229">
              <w:t>N</w:t>
            </w:r>
            <w:r w:rsidR="0092725D" w:rsidRPr="007E3229">
              <w:t xml:space="preserve">o EIB resursiem </w:t>
            </w:r>
            <w:r w:rsidRPr="007E3229">
              <w:t xml:space="preserve">finansēto </w:t>
            </w:r>
            <w:r w:rsidR="0092725D" w:rsidRPr="007E3229">
              <w:t>MVU izaugsmes aizdevum</w:t>
            </w:r>
            <w:r w:rsidRPr="007E3229">
              <w:t>u</w:t>
            </w:r>
            <w:r w:rsidR="0092725D" w:rsidRPr="007E3229">
              <w:t xml:space="preserve"> atmaksas termiņš nedrīkst pārsniegt 2024.</w:t>
            </w:r>
            <w:r w:rsidRPr="007E3229">
              <w:t xml:space="preserve"> </w:t>
            </w:r>
            <w:r w:rsidR="0092725D" w:rsidRPr="007E3229">
              <w:t>gada 1.</w:t>
            </w:r>
            <w:r w:rsidRPr="007E3229">
              <w:t xml:space="preserve"> </w:t>
            </w:r>
            <w:r w:rsidR="0092725D" w:rsidRPr="007E3229">
              <w:t>augustu</w:t>
            </w:r>
            <w:r w:rsidRPr="007E3229">
              <w:t>, tāpēc līdz šim</w:t>
            </w:r>
            <w:r w:rsidR="0092725D" w:rsidRPr="007E3229">
              <w:t xml:space="preserve"> lielāk</w:t>
            </w:r>
            <w:r w:rsidRPr="007E3229">
              <w:t>ai</w:t>
            </w:r>
            <w:r w:rsidR="0092725D" w:rsidRPr="007E3229">
              <w:t xml:space="preserve">s apjoms </w:t>
            </w:r>
            <w:r w:rsidR="00E3164B" w:rsidRPr="007E3229">
              <w:t xml:space="preserve">MVU izaugsmes </w:t>
            </w:r>
            <w:r w:rsidR="0092725D" w:rsidRPr="007E3229">
              <w:t>aizdevu</w:t>
            </w:r>
            <w:r w:rsidRPr="007E3229">
              <w:t>mu tika izsniegti no</w:t>
            </w:r>
            <w:r w:rsidR="0092725D" w:rsidRPr="007E3229">
              <w:t xml:space="preserve"> </w:t>
            </w:r>
            <w:r w:rsidRPr="007E3229">
              <w:t xml:space="preserve">EIB </w:t>
            </w:r>
            <w:r w:rsidR="0092725D" w:rsidRPr="007E3229">
              <w:t>resursiem</w:t>
            </w:r>
            <w:r w:rsidRPr="007E3229">
              <w:t>.</w:t>
            </w:r>
            <w:r w:rsidR="0092725D" w:rsidRPr="007E3229">
              <w:t xml:space="preserve"> </w:t>
            </w:r>
            <w:r w:rsidR="005042FB" w:rsidRPr="007E3229">
              <w:t>I</w:t>
            </w:r>
            <w:r w:rsidR="00D276CE" w:rsidRPr="007E3229">
              <w:t>k gadu</w:t>
            </w:r>
            <w:r w:rsidR="0092725D" w:rsidRPr="007E3229">
              <w:t xml:space="preserve"> </w:t>
            </w:r>
            <w:r w:rsidR="00D276CE" w:rsidRPr="007E3229">
              <w:t xml:space="preserve">no EIB resursiem finansēto </w:t>
            </w:r>
            <w:r w:rsidR="00E3164B" w:rsidRPr="007E3229">
              <w:t xml:space="preserve">MVU izaugsmes </w:t>
            </w:r>
            <w:r w:rsidR="0092725D" w:rsidRPr="007E3229">
              <w:t>aizdevum</w:t>
            </w:r>
            <w:r w:rsidR="00D276CE" w:rsidRPr="007E3229">
              <w:t>u</w:t>
            </w:r>
            <w:r w:rsidR="0092725D" w:rsidRPr="007E3229">
              <w:t xml:space="preserve"> </w:t>
            </w:r>
            <w:r w:rsidR="00D276CE" w:rsidRPr="007E3229">
              <w:t xml:space="preserve">skaits samazinās, jo, </w:t>
            </w:r>
            <w:r w:rsidR="002915E8" w:rsidRPr="007E3229">
              <w:t>v</w:t>
            </w:r>
            <w:r w:rsidR="0092725D" w:rsidRPr="007E3229">
              <w:t xml:space="preserve">airumā gadījumu, kad </w:t>
            </w:r>
            <w:r w:rsidR="002915E8" w:rsidRPr="007E3229">
              <w:t xml:space="preserve">tiek izsniegti MVU izaugsmes </w:t>
            </w:r>
            <w:r w:rsidR="0092725D" w:rsidRPr="007E3229">
              <w:t>aizdevumi investīcijām, kas saistīt</w:t>
            </w:r>
            <w:r w:rsidR="005042FB" w:rsidRPr="007E3229">
              <w:t>i</w:t>
            </w:r>
            <w:r w:rsidR="0092725D" w:rsidRPr="007E3229">
              <w:t xml:space="preserve"> ar lielu ražošanas iekārtu iegādi un būvniecību, </w:t>
            </w:r>
            <w:r w:rsidR="005042FB" w:rsidRPr="007E3229">
              <w:t xml:space="preserve">nepieciešamais </w:t>
            </w:r>
            <w:r w:rsidR="002915E8" w:rsidRPr="007E3229">
              <w:t>atmaksas</w:t>
            </w:r>
            <w:r w:rsidR="0092725D" w:rsidRPr="007E3229">
              <w:t xml:space="preserve"> termiņš ir </w:t>
            </w:r>
            <w:r w:rsidR="0092725D" w:rsidRPr="007E3229">
              <w:lastRenderedPageBreak/>
              <w:t>ievērojami garāks</w:t>
            </w:r>
            <w:r w:rsidR="005042FB" w:rsidRPr="007E3229">
              <w:t xml:space="preserve"> par EIB resurs</w:t>
            </w:r>
            <w:r w:rsidR="009B139C" w:rsidRPr="007E3229">
              <w:t>iem noteikto</w:t>
            </w:r>
            <w:r w:rsidR="002915E8" w:rsidRPr="007E3229">
              <w:t>.</w:t>
            </w:r>
            <w:r w:rsidR="0092725D" w:rsidRPr="007E3229">
              <w:t xml:space="preserve"> </w:t>
            </w:r>
            <w:r w:rsidR="005042FB" w:rsidRPr="007E3229">
              <w:t xml:space="preserve">Ņemot vērā iepriekš minēto, no Valsts kases resursiem finansēto MVU izaugsmes aizdevumu </w:t>
            </w:r>
            <w:r w:rsidR="0092725D" w:rsidRPr="007E3229">
              <w:t>īpatsvars</w:t>
            </w:r>
            <w:r w:rsidR="009B139C" w:rsidRPr="007E3229">
              <w:t xml:space="preserve"> katru gadu</w:t>
            </w:r>
            <w:r w:rsidR="0092725D" w:rsidRPr="007E3229">
              <w:t xml:space="preserve"> pieaug.</w:t>
            </w:r>
          </w:p>
          <w:p w14:paraId="243D64EB" w14:textId="01D2EA26" w:rsidR="00245E8E" w:rsidRPr="007E3229" w:rsidRDefault="009B139C" w:rsidP="00CE7E04">
            <w:pPr>
              <w:jc w:val="both"/>
            </w:pPr>
            <w:r w:rsidRPr="007E3229">
              <w:t>N</w:t>
            </w:r>
            <w:r w:rsidR="0092725D" w:rsidRPr="007E3229">
              <w:t xml:space="preserve">ākamajos 3 gados </w:t>
            </w:r>
            <w:proofErr w:type="spellStart"/>
            <w:r w:rsidRPr="007E3229">
              <w:t>Altum</w:t>
            </w:r>
            <w:proofErr w:type="spellEnd"/>
            <w:r w:rsidRPr="007E3229">
              <w:t xml:space="preserve"> </w:t>
            </w:r>
            <w:r w:rsidR="0092725D" w:rsidRPr="007E3229">
              <w:t xml:space="preserve">plāno izsniegt </w:t>
            </w:r>
            <w:r w:rsidRPr="007E3229">
              <w:t xml:space="preserve">MVU izaugsmes aizdevumus </w:t>
            </w:r>
            <w:r w:rsidR="00DF414C" w:rsidRPr="007E3229">
              <w:t xml:space="preserve">par </w:t>
            </w:r>
            <w:r w:rsidR="00DF414C" w:rsidRPr="004A7255">
              <w:t xml:space="preserve">kopēju </w:t>
            </w:r>
            <w:r w:rsidR="00CD184E" w:rsidRPr="004A7255">
              <w:t xml:space="preserve">finansējumu </w:t>
            </w:r>
            <w:r w:rsidRPr="004A7255">
              <w:t xml:space="preserve">49,5 milj. </w:t>
            </w:r>
            <w:proofErr w:type="spellStart"/>
            <w:r w:rsidRPr="004A7255">
              <w:rPr>
                <w:i/>
              </w:rPr>
              <w:t>euro</w:t>
            </w:r>
            <w:proofErr w:type="spellEnd"/>
            <w:r w:rsidRPr="004A7255">
              <w:t xml:space="preserve"> apmērā</w:t>
            </w:r>
            <w:r w:rsidR="00F1237C" w:rsidRPr="004A7255">
              <w:t xml:space="preserve"> (tas ir 16.5 milj. </w:t>
            </w:r>
            <w:proofErr w:type="spellStart"/>
            <w:r w:rsidR="00F1237C" w:rsidRPr="004A7255">
              <w:rPr>
                <w:i/>
              </w:rPr>
              <w:t>euro</w:t>
            </w:r>
            <w:proofErr w:type="spellEnd"/>
            <w:r w:rsidR="00F1237C" w:rsidRPr="004A7255">
              <w:t xml:space="preserve"> gadā)</w:t>
            </w:r>
            <w:r w:rsidR="00CD184E" w:rsidRPr="004A7255">
              <w:t xml:space="preserve">, </w:t>
            </w:r>
            <w:r w:rsidR="0092725D" w:rsidRPr="004A7255">
              <w:t>no V</w:t>
            </w:r>
            <w:r w:rsidR="00CD184E" w:rsidRPr="004A7255">
              <w:t>alsts kases</w:t>
            </w:r>
            <w:r w:rsidR="0092725D" w:rsidRPr="004A7255">
              <w:t xml:space="preserve"> resursiem finansē</w:t>
            </w:r>
            <w:r w:rsidR="00CD184E" w:rsidRPr="004A7255">
              <w:t>jot</w:t>
            </w:r>
            <w:r w:rsidR="0092725D" w:rsidRPr="004A7255">
              <w:t xml:space="preserve"> </w:t>
            </w:r>
            <w:r w:rsidR="005043A9" w:rsidRPr="004A7255">
              <w:t xml:space="preserve">gan apgrozāmo līdzekļu, gan investīciju </w:t>
            </w:r>
            <w:r w:rsidR="00CD184E" w:rsidRPr="004A7255">
              <w:t xml:space="preserve">aizdevumus </w:t>
            </w:r>
            <w:r w:rsidR="0092725D" w:rsidRPr="004A7255">
              <w:t xml:space="preserve">vismaz 33 milj. </w:t>
            </w:r>
            <w:proofErr w:type="spellStart"/>
            <w:r w:rsidR="00CD184E" w:rsidRPr="004A7255">
              <w:rPr>
                <w:i/>
              </w:rPr>
              <w:t>euro</w:t>
            </w:r>
            <w:proofErr w:type="spellEnd"/>
            <w:r w:rsidR="00CD184E" w:rsidRPr="004A7255">
              <w:t xml:space="preserve"> apmērā</w:t>
            </w:r>
            <w:r w:rsidR="0092725D" w:rsidRPr="004A7255">
              <w:t>.</w:t>
            </w:r>
            <w:r w:rsidR="006508CC" w:rsidRPr="004A7255">
              <w:t xml:space="preserve"> Ņemot vērā turpmāko gadu aplēses par izsniegto</w:t>
            </w:r>
            <w:r w:rsidR="006508CC" w:rsidRPr="007E3229">
              <w:t xml:space="preserve"> MVU izaugsmes aizdevumu apmēru, kā arī jau līdz šim izsniegto aizdevumu apmēru, noteikts, ka Valsts kases resursi nepieciešami vismaz </w:t>
            </w:r>
            <w:r w:rsidR="0092725D" w:rsidRPr="007E3229">
              <w:t xml:space="preserve">50 milj. </w:t>
            </w:r>
            <w:proofErr w:type="spellStart"/>
            <w:r w:rsidR="006508CC" w:rsidRPr="007E3229">
              <w:rPr>
                <w:i/>
              </w:rPr>
              <w:t>euro</w:t>
            </w:r>
            <w:proofErr w:type="spellEnd"/>
            <w:r w:rsidR="006508CC" w:rsidRPr="007E3229">
              <w:t xml:space="preserve"> apmērā</w:t>
            </w:r>
            <w:r w:rsidR="0092725D" w:rsidRPr="007E3229">
              <w:t xml:space="preserve">. </w:t>
            </w:r>
          </w:p>
          <w:p w14:paraId="0F2A1C4B" w14:textId="73D93638" w:rsidR="00522071" w:rsidRPr="000433F1" w:rsidRDefault="009C0CD2" w:rsidP="00522071">
            <w:pPr>
              <w:pStyle w:val="ListParagraph"/>
              <w:ind w:left="37"/>
              <w:jc w:val="both"/>
              <w:rPr>
                <w:sz w:val="24"/>
              </w:rPr>
            </w:pPr>
            <w:r>
              <w:rPr>
                <w:sz w:val="24"/>
              </w:rPr>
              <w:t xml:space="preserve">Ņemot vērā augstāk minēto </w:t>
            </w:r>
            <w:r w:rsidR="00522071" w:rsidRPr="000433F1">
              <w:rPr>
                <w:sz w:val="24"/>
              </w:rPr>
              <w:t xml:space="preserve">MK noteikumos Nr. 1065 nepieciešams noteikt Valsts kases piesaistāmā finansējuma apmēru 55 milj. </w:t>
            </w:r>
            <w:proofErr w:type="spellStart"/>
            <w:r w:rsidR="00522071" w:rsidRPr="000433F1">
              <w:rPr>
                <w:i/>
                <w:sz w:val="24"/>
              </w:rPr>
              <w:t>euro</w:t>
            </w:r>
            <w:proofErr w:type="spellEnd"/>
            <w:r w:rsidR="00685A93">
              <w:rPr>
                <w:sz w:val="24"/>
              </w:rPr>
              <w:t xml:space="preserve"> apmērā.</w:t>
            </w:r>
          </w:p>
          <w:p w14:paraId="2C25F459" w14:textId="77777777" w:rsidR="00BA57D9" w:rsidRPr="00432E99" w:rsidRDefault="00BA57D9" w:rsidP="0092725D">
            <w:pPr>
              <w:pStyle w:val="ListParagraph"/>
              <w:ind w:left="37"/>
              <w:jc w:val="both"/>
              <w:rPr>
                <w:sz w:val="24"/>
                <w:u w:val="single"/>
              </w:rPr>
            </w:pPr>
          </w:p>
          <w:p w14:paraId="3FFABD91" w14:textId="2093D1E1" w:rsidR="00B259E6" w:rsidRPr="006D03CA" w:rsidRDefault="00B8336D" w:rsidP="004D1042">
            <w:pPr>
              <w:pStyle w:val="ListParagraph"/>
              <w:numPr>
                <w:ilvl w:val="0"/>
                <w:numId w:val="50"/>
              </w:numPr>
              <w:ind w:right="168"/>
              <w:jc w:val="both"/>
              <w:rPr>
                <w:b/>
                <w:i/>
                <w:sz w:val="24"/>
                <w:u w:val="single"/>
              </w:rPr>
            </w:pPr>
            <w:r>
              <w:rPr>
                <w:b/>
                <w:i/>
                <w:sz w:val="24"/>
                <w:u w:val="single"/>
              </w:rPr>
              <w:t>Paplašināt a</w:t>
            </w:r>
            <w:r w:rsidR="00B259E6" w:rsidRPr="006D03CA">
              <w:rPr>
                <w:b/>
                <w:i/>
                <w:sz w:val="24"/>
                <w:u w:val="single"/>
              </w:rPr>
              <w:t xml:space="preserve">izdevumu saņēmēju </w:t>
            </w:r>
            <w:r w:rsidRPr="006D03CA">
              <w:rPr>
                <w:b/>
                <w:i/>
                <w:sz w:val="24"/>
                <w:u w:val="single"/>
              </w:rPr>
              <w:t>lok</w:t>
            </w:r>
            <w:r>
              <w:rPr>
                <w:b/>
                <w:i/>
                <w:sz w:val="24"/>
                <w:u w:val="single"/>
              </w:rPr>
              <w:t>u:</w:t>
            </w:r>
          </w:p>
          <w:p w14:paraId="2741A3E8" w14:textId="358D4B02" w:rsidR="00875545" w:rsidRPr="00AA1D0B" w:rsidRDefault="00B259E6" w:rsidP="004D1042">
            <w:pPr>
              <w:pStyle w:val="ListParagraph"/>
              <w:numPr>
                <w:ilvl w:val="0"/>
                <w:numId w:val="55"/>
              </w:numPr>
              <w:ind w:left="320"/>
              <w:jc w:val="both"/>
              <w:rPr>
                <w:sz w:val="24"/>
                <w:szCs w:val="24"/>
              </w:rPr>
            </w:pPr>
            <w:r w:rsidRPr="00396CCF">
              <w:rPr>
                <w:sz w:val="24"/>
                <w:szCs w:val="24"/>
              </w:rPr>
              <w:t>MK noteikum</w:t>
            </w:r>
            <w:r w:rsidR="00B86431" w:rsidRPr="00396CCF">
              <w:rPr>
                <w:sz w:val="24"/>
                <w:szCs w:val="24"/>
              </w:rPr>
              <w:t>u</w:t>
            </w:r>
            <w:r w:rsidRPr="00396CCF">
              <w:rPr>
                <w:sz w:val="24"/>
                <w:szCs w:val="24"/>
              </w:rPr>
              <w:t xml:space="preserve"> Nr.1065 </w:t>
            </w:r>
            <w:r w:rsidR="00B86431" w:rsidRPr="00396CCF">
              <w:rPr>
                <w:sz w:val="24"/>
                <w:szCs w:val="24"/>
              </w:rPr>
              <w:t>7.3. un 7.4.apakšpunkts ierobežo aizdevumu saņēmēju loku atbilstoši to uzņēmējdarbības formai</w:t>
            </w:r>
            <w:r w:rsidR="00ED197E" w:rsidRPr="00396CCF">
              <w:rPr>
                <w:sz w:val="24"/>
                <w:szCs w:val="24"/>
              </w:rPr>
              <w:t>, nosakot ka atbalstāmi ir tikai saimnieciskās darbības veicēji, kas ir</w:t>
            </w:r>
            <w:r w:rsidR="00B86431" w:rsidRPr="00396CCF">
              <w:rPr>
                <w:sz w:val="24"/>
                <w:szCs w:val="24"/>
              </w:rPr>
              <w:t xml:space="preserve"> </w:t>
            </w:r>
            <w:r w:rsidR="002A7B81" w:rsidRPr="00396CCF">
              <w:rPr>
                <w:sz w:val="24"/>
                <w:szCs w:val="24"/>
              </w:rPr>
              <w:t xml:space="preserve">komersanti, zemnieku vai zvejnieku saimniecības, </w:t>
            </w:r>
            <w:r w:rsidR="00ED197E" w:rsidRPr="00396CCF">
              <w:rPr>
                <w:sz w:val="24"/>
                <w:szCs w:val="24"/>
              </w:rPr>
              <w:t xml:space="preserve">vai </w:t>
            </w:r>
            <w:r w:rsidR="002A7B81" w:rsidRPr="00396CCF">
              <w:rPr>
                <w:sz w:val="24"/>
                <w:szCs w:val="24"/>
              </w:rPr>
              <w:t>individuālie uzņēmumi</w:t>
            </w:r>
            <w:r w:rsidR="00B86431" w:rsidRPr="00396CCF">
              <w:rPr>
                <w:sz w:val="24"/>
                <w:szCs w:val="24"/>
              </w:rPr>
              <w:t>.</w:t>
            </w:r>
            <w:r w:rsidR="002448C3" w:rsidRPr="00396CCF">
              <w:rPr>
                <w:sz w:val="24"/>
                <w:szCs w:val="24"/>
              </w:rPr>
              <w:t xml:space="preserve"> Savukārt Komisijas regul</w:t>
            </w:r>
            <w:r w:rsidR="00FB4928" w:rsidRPr="00396CCF">
              <w:rPr>
                <w:sz w:val="24"/>
                <w:szCs w:val="24"/>
              </w:rPr>
              <w:t>ā</w:t>
            </w:r>
            <w:r w:rsidR="002448C3" w:rsidRPr="00396CCF">
              <w:rPr>
                <w:sz w:val="24"/>
                <w:szCs w:val="24"/>
              </w:rPr>
              <w:t xml:space="preserve"> Nr.702/2017 (2014. gada 25. jūnijs), ar kuru konkrētas atbalsta kategorijas lauksaimniecības un mežsaimniecības nozarē un lauku apvidos atzīst par saderīgām ar iekšējo tirgu, piemērojot Līguma par Eiropas Savienības darbību 107. un 108. pantu (turpmāk - Komisijas regulas Nr.702/2017) un Eiropas Parlamenta un Padomes regul</w:t>
            </w:r>
            <w:r w:rsidR="00FB4928" w:rsidRPr="00396CCF">
              <w:rPr>
                <w:sz w:val="24"/>
                <w:szCs w:val="24"/>
              </w:rPr>
              <w:t>ā</w:t>
            </w:r>
            <w:r w:rsidR="002448C3" w:rsidRPr="00396CCF">
              <w:rPr>
                <w:sz w:val="24"/>
                <w:szCs w:val="24"/>
              </w:rPr>
              <w:t xml:space="preserve"> Nr.1379/2013 (2013. gada 11. decembris) par zvejas un akvakultūras produktu tirgu kopīgo organizāciju un ar ko groza Padom</w:t>
            </w:r>
            <w:r w:rsidR="002448C3" w:rsidRPr="00875545">
              <w:rPr>
                <w:sz w:val="24"/>
                <w:szCs w:val="24"/>
              </w:rPr>
              <w:t>es Regulas (EK) Nr. 1184/2006 un (EK) Nr.1224/2009 un atceļ Padomes Regulu (EK) Nr. 104/2000</w:t>
            </w:r>
            <w:r w:rsidR="00A70453" w:rsidRPr="002C12FA">
              <w:rPr>
                <w:sz w:val="24"/>
                <w:szCs w:val="24"/>
              </w:rPr>
              <w:t xml:space="preserve"> (turpmāk - Padomes regula Nr.1379/2013)</w:t>
            </w:r>
            <w:r w:rsidR="002448C3" w:rsidRPr="002C12FA">
              <w:rPr>
                <w:sz w:val="24"/>
                <w:szCs w:val="24"/>
              </w:rPr>
              <w:t>,</w:t>
            </w:r>
            <w:r w:rsidR="00FB4928" w:rsidRPr="002C12FA">
              <w:rPr>
                <w:sz w:val="24"/>
                <w:szCs w:val="24"/>
              </w:rPr>
              <w:t xml:space="preserve"> saskaņā ar kuru atbalsts tiek sniegts, šādus saimnieciskās darbības veicēju ierobežojumus neparedz.</w:t>
            </w:r>
          </w:p>
          <w:p w14:paraId="1C78E458" w14:textId="083AA7A6" w:rsidR="00ED197E" w:rsidRPr="00875545" w:rsidRDefault="00535718" w:rsidP="004D1042">
            <w:pPr>
              <w:pStyle w:val="ListParagraph"/>
              <w:numPr>
                <w:ilvl w:val="0"/>
                <w:numId w:val="55"/>
              </w:numPr>
              <w:ind w:left="320"/>
              <w:jc w:val="both"/>
              <w:rPr>
                <w:sz w:val="24"/>
                <w:szCs w:val="24"/>
              </w:rPr>
            </w:pPr>
            <w:r w:rsidRPr="00875545">
              <w:rPr>
                <w:sz w:val="24"/>
                <w:szCs w:val="24"/>
              </w:rPr>
              <w:t xml:space="preserve">Ekonomikas ministrijas ieskatā, esošā MK noteikumu </w:t>
            </w:r>
            <w:r w:rsidR="000B5CCE" w:rsidRPr="00875545">
              <w:rPr>
                <w:sz w:val="24"/>
                <w:szCs w:val="24"/>
              </w:rPr>
              <w:t>N</w:t>
            </w:r>
            <w:r w:rsidRPr="00875545">
              <w:rPr>
                <w:sz w:val="24"/>
                <w:szCs w:val="24"/>
              </w:rPr>
              <w:t xml:space="preserve">r.1065 redakcija nepamatoti </w:t>
            </w:r>
            <w:r w:rsidR="00B259E6" w:rsidRPr="00875545">
              <w:rPr>
                <w:sz w:val="24"/>
                <w:szCs w:val="24"/>
              </w:rPr>
              <w:t>ierobežo aizdevumu pretendentu loku</w:t>
            </w:r>
            <w:r w:rsidR="00FB4928" w:rsidRPr="00875545">
              <w:rPr>
                <w:sz w:val="24"/>
                <w:szCs w:val="24"/>
              </w:rPr>
              <w:t>, tāpēc, l</w:t>
            </w:r>
            <w:r w:rsidR="00ED197E" w:rsidRPr="00875545">
              <w:rPr>
                <w:sz w:val="24"/>
                <w:szCs w:val="24"/>
              </w:rPr>
              <w:t xml:space="preserve">ai nodrošinātu iespēju saņemt aizdevumu plašākam saimnieciskās darbības veicēju lokam, </w:t>
            </w:r>
            <w:r w:rsidR="00FB4928" w:rsidRPr="00875545">
              <w:rPr>
                <w:sz w:val="24"/>
                <w:szCs w:val="24"/>
              </w:rPr>
              <w:t>nepieciešams</w:t>
            </w:r>
            <w:r w:rsidR="00CC3CD7" w:rsidRPr="00875545">
              <w:rPr>
                <w:sz w:val="24"/>
                <w:szCs w:val="24"/>
              </w:rPr>
              <w:t xml:space="preserve"> </w:t>
            </w:r>
            <w:r w:rsidR="00C35AE7" w:rsidRPr="00875545">
              <w:rPr>
                <w:sz w:val="24"/>
                <w:szCs w:val="24"/>
              </w:rPr>
              <w:t xml:space="preserve">no </w:t>
            </w:r>
            <w:r w:rsidR="00CC3CD7" w:rsidRPr="00875545">
              <w:rPr>
                <w:sz w:val="24"/>
                <w:szCs w:val="24"/>
              </w:rPr>
              <w:t xml:space="preserve">MK noteikumu Nr.1065 7.3. un 7.4.apakšpunkta svītrot tajos </w:t>
            </w:r>
            <w:r w:rsidR="0061329F" w:rsidRPr="00875545">
              <w:rPr>
                <w:sz w:val="24"/>
                <w:szCs w:val="24"/>
              </w:rPr>
              <w:t xml:space="preserve">ietverto </w:t>
            </w:r>
            <w:r w:rsidR="00CC3CD7" w:rsidRPr="00875545">
              <w:rPr>
                <w:sz w:val="24"/>
                <w:szCs w:val="24"/>
              </w:rPr>
              <w:t>saimnieciskās darbības veicēju uzskaitījumu</w:t>
            </w:r>
            <w:r w:rsidR="0061329F" w:rsidRPr="00875545">
              <w:rPr>
                <w:sz w:val="24"/>
                <w:szCs w:val="24"/>
              </w:rPr>
              <w:t>.</w:t>
            </w:r>
          </w:p>
          <w:p w14:paraId="68C088BE" w14:textId="0FF4D6E2" w:rsidR="00B94809" w:rsidRPr="00396CCF" w:rsidRDefault="0088203E" w:rsidP="004D1042">
            <w:pPr>
              <w:pStyle w:val="ListParagraph"/>
              <w:numPr>
                <w:ilvl w:val="0"/>
                <w:numId w:val="55"/>
              </w:numPr>
              <w:ind w:left="320"/>
              <w:jc w:val="both"/>
              <w:rPr>
                <w:sz w:val="24"/>
                <w:szCs w:val="24"/>
              </w:rPr>
            </w:pPr>
            <w:r w:rsidRPr="00396CCF">
              <w:rPr>
                <w:sz w:val="24"/>
                <w:szCs w:val="24"/>
              </w:rPr>
              <w:t xml:space="preserve">Saskaņā ar spēkā esošo regulējumu aizdevumu energoefektivitātes paaugstināšanai var saņemt tikai MK noteikumu Nr.1065 7.2. un 7.5. apakšpunktā noteiktie saimnieciskās darbības veicēji. </w:t>
            </w:r>
            <w:r w:rsidR="00396CCF">
              <w:rPr>
                <w:sz w:val="24"/>
                <w:szCs w:val="24"/>
              </w:rPr>
              <w:t>Ņemot vērā, ka interesi par šiem aizdevumiem izrāda</w:t>
            </w:r>
            <w:r w:rsidR="00924148">
              <w:rPr>
                <w:sz w:val="24"/>
                <w:szCs w:val="24"/>
              </w:rPr>
              <w:t xml:space="preserve"> arī</w:t>
            </w:r>
            <w:r w:rsidR="00396CCF">
              <w:rPr>
                <w:sz w:val="24"/>
                <w:szCs w:val="24"/>
              </w:rPr>
              <w:t xml:space="preserve"> </w:t>
            </w:r>
            <w:r w:rsidR="00924148">
              <w:rPr>
                <w:sz w:val="24"/>
                <w:szCs w:val="24"/>
              </w:rPr>
              <w:t>MK noteikumu Nr. 1065 7.1., 7.3. un 7.4. apakšpunktā noteiktie</w:t>
            </w:r>
            <w:r w:rsidR="00396CCF">
              <w:rPr>
                <w:sz w:val="24"/>
                <w:szCs w:val="24"/>
              </w:rPr>
              <w:t xml:space="preserve"> </w:t>
            </w:r>
            <w:r w:rsidR="00924148">
              <w:rPr>
                <w:sz w:val="24"/>
                <w:szCs w:val="24"/>
              </w:rPr>
              <w:t>saimnieciskās darbības veicēji un nav pamatojuma ierobežot to iespējas saņemt atbalstu energoefektivitātes paaugstināšanai, Ekonomikas ministrijas ieskatā</w:t>
            </w:r>
            <w:r w:rsidR="00396CCF" w:rsidRPr="00396CCF">
              <w:rPr>
                <w:sz w:val="24"/>
                <w:szCs w:val="24"/>
              </w:rPr>
              <w:t xml:space="preserve"> </w:t>
            </w:r>
            <w:r w:rsidR="00C50BD0">
              <w:rPr>
                <w:sz w:val="24"/>
                <w:szCs w:val="24"/>
              </w:rPr>
              <w:lastRenderedPageBreak/>
              <w:t>nepieciešams paplašināt arī energoefektivitātes aizdevumu saņēmēju loku.</w:t>
            </w:r>
            <w:r w:rsidR="00924148">
              <w:rPr>
                <w:sz w:val="24"/>
                <w:szCs w:val="24"/>
              </w:rPr>
              <w:t xml:space="preserve"> </w:t>
            </w:r>
          </w:p>
          <w:p w14:paraId="75324112" w14:textId="77777777" w:rsidR="00B259E6" w:rsidRPr="006D03CA" w:rsidRDefault="00B259E6" w:rsidP="006D03CA">
            <w:pPr>
              <w:ind w:right="168"/>
              <w:jc w:val="both"/>
              <w:rPr>
                <w:b/>
                <w:i/>
              </w:rPr>
            </w:pPr>
          </w:p>
          <w:p w14:paraId="23F74434" w14:textId="2C82207F" w:rsidR="00B259E6" w:rsidRPr="00FE00E8" w:rsidRDefault="002C70B9" w:rsidP="00FE00E8">
            <w:pPr>
              <w:pStyle w:val="ListParagraph"/>
              <w:numPr>
                <w:ilvl w:val="0"/>
                <w:numId w:val="52"/>
              </w:numPr>
              <w:ind w:left="37" w:right="40" w:firstLine="0"/>
              <w:jc w:val="both"/>
              <w:rPr>
                <w:b/>
                <w:i/>
                <w:sz w:val="24"/>
                <w:szCs w:val="24"/>
              </w:rPr>
            </w:pPr>
            <w:r w:rsidRPr="00FE00E8">
              <w:rPr>
                <w:b/>
                <w:i/>
                <w:sz w:val="24"/>
                <w:szCs w:val="24"/>
                <w:u w:val="single"/>
              </w:rPr>
              <w:t xml:space="preserve">Precizēt </w:t>
            </w:r>
            <w:r w:rsidR="00865990" w:rsidRPr="00FE00E8">
              <w:rPr>
                <w:b/>
                <w:i/>
                <w:sz w:val="24"/>
                <w:szCs w:val="24"/>
                <w:u w:val="single"/>
              </w:rPr>
              <w:t>MK noteikumu Nr.1065 nosacījumu</w:t>
            </w:r>
            <w:r w:rsidRPr="00FE00E8">
              <w:rPr>
                <w:b/>
                <w:i/>
                <w:sz w:val="24"/>
                <w:szCs w:val="24"/>
                <w:u w:val="single"/>
              </w:rPr>
              <w:t>s</w:t>
            </w:r>
            <w:r w:rsidR="00865990" w:rsidRPr="00FE00E8">
              <w:rPr>
                <w:b/>
                <w:i/>
                <w:sz w:val="24"/>
                <w:szCs w:val="24"/>
                <w:u w:val="single"/>
              </w:rPr>
              <w:t xml:space="preserve"> aizdevumu nepiešķiršanai</w:t>
            </w:r>
            <w:r w:rsidR="00011529" w:rsidRPr="00FE00E8">
              <w:rPr>
                <w:b/>
                <w:i/>
                <w:sz w:val="24"/>
                <w:szCs w:val="24"/>
                <w:u w:val="single"/>
              </w:rPr>
              <w:t>:</w:t>
            </w:r>
          </w:p>
          <w:p w14:paraId="3A271677" w14:textId="109A9D0E" w:rsidR="00B130F7" w:rsidRDefault="00B130F7" w:rsidP="00B130F7">
            <w:pPr>
              <w:ind w:right="40"/>
              <w:jc w:val="both"/>
            </w:pPr>
            <w:r>
              <w:t>Lai nodrošinātu skaidrus nosacījumus</w:t>
            </w:r>
            <w:r w:rsidR="005630EA">
              <w:t xml:space="preserve"> saimnieciskās darbības veicēju izvērtēšanai, pieņemot lēmumu par</w:t>
            </w:r>
            <w:r>
              <w:t xml:space="preserve"> </w:t>
            </w:r>
            <w:r w:rsidRPr="00B130F7">
              <w:t xml:space="preserve">MK noteikumu Nr.1065 30.² punktā </w:t>
            </w:r>
            <w:r w:rsidR="005630EA">
              <w:t>noteiktā</w:t>
            </w:r>
            <w:r w:rsidRPr="00B130F7">
              <w:t xml:space="preserve"> aizdevumu piešķiršanu</w:t>
            </w:r>
            <w:r w:rsidR="00875545">
              <w:t xml:space="preserve"> noteikumu projektā noteikts, ka</w:t>
            </w:r>
            <w:r>
              <w:t>:</w:t>
            </w:r>
          </w:p>
          <w:p w14:paraId="5563E595" w14:textId="45A4850E" w:rsidR="00B130F7" w:rsidRPr="005630EA" w:rsidRDefault="00865990" w:rsidP="00FE00E8">
            <w:pPr>
              <w:pStyle w:val="ListParagraph"/>
              <w:numPr>
                <w:ilvl w:val="0"/>
                <w:numId w:val="51"/>
              </w:numPr>
              <w:ind w:left="745" w:right="40"/>
              <w:jc w:val="both"/>
              <w:rPr>
                <w:sz w:val="24"/>
                <w:szCs w:val="24"/>
              </w:rPr>
            </w:pPr>
            <w:r w:rsidRPr="005630EA">
              <w:rPr>
                <w:sz w:val="24"/>
                <w:szCs w:val="24"/>
              </w:rPr>
              <w:t>MK noteikumu Nr.1065 10.2.apakšpunkts</w:t>
            </w:r>
            <w:r w:rsidR="000324F3">
              <w:rPr>
                <w:sz w:val="24"/>
                <w:szCs w:val="24"/>
              </w:rPr>
              <w:t xml:space="preserve"> ir piemērojams saimnieciskās darbības veicējiem</w:t>
            </w:r>
            <w:r w:rsidR="002C12FA">
              <w:rPr>
                <w:sz w:val="24"/>
                <w:szCs w:val="24"/>
              </w:rPr>
              <w:t>, kas pretendē uz energoefektivitātes paaugstināšanas aizdevuma saņemšanas</w:t>
            </w:r>
            <w:r w:rsidR="005630EA">
              <w:rPr>
                <w:sz w:val="24"/>
                <w:szCs w:val="24"/>
              </w:rPr>
              <w:t>;</w:t>
            </w:r>
          </w:p>
          <w:p w14:paraId="2316C8D2" w14:textId="68757077" w:rsidR="003B0640" w:rsidRPr="005630EA" w:rsidRDefault="00331189" w:rsidP="00FE00E8">
            <w:pPr>
              <w:pStyle w:val="ListParagraph"/>
              <w:numPr>
                <w:ilvl w:val="0"/>
                <w:numId w:val="51"/>
              </w:numPr>
              <w:ind w:left="745" w:right="40"/>
              <w:jc w:val="both"/>
              <w:rPr>
                <w:sz w:val="24"/>
                <w:szCs w:val="24"/>
              </w:rPr>
            </w:pPr>
            <w:r w:rsidRPr="005630EA">
              <w:rPr>
                <w:sz w:val="24"/>
                <w:szCs w:val="24"/>
              </w:rPr>
              <w:t xml:space="preserve">ierosināts </w:t>
            </w:r>
            <w:r w:rsidR="000D1EA1" w:rsidRPr="005630EA">
              <w:rPr>
                <w:sz w:val="24"/>
                <w:szCs w:val="24"/>
              </w:rPr>
              <w:t>MK noteikumus Nr.1065 papildināt ar 10.5.apakšpunktu</w:t>
            </w:r>
            <w:r w:rsidR="00F968BD" w:rsidRPr="005630EA">
              <w:rPr>
                <w:sz w:val="24"/>
                <w:szCs w:val="24"/>
              </w:rPr>
              <w:t xml:space="preserve">, </w:t>
            </w:r>
            <w:r w:rsidR="00B259E6" w:rsidRPr="005630EA">
              <w:rPr>
                <w:sz w:val="24"/>
                <w:szCs w:val="24"/>
              </w:rPr>
              <w:t xml:space="preserve">lai nodrošinātu </w:t>
            </w:r>
            <w:r w:rsidR="00782C94" w:rsidRPr="005630EA">
              <w:rPr>
                <w:sz w:val="24"/>
                <w:szCs w:val="24"/>
              </w:rPr>
              <w:t xml:space="preserve">Komisijas regulas (ES) Nr. 1407/2013 (2013. gada 18. decembris) par Līguma par Eiropas Savienības darbību 107. un 108. panta piemērošanu </w:t>
            </w:r>
            <w:proofErr w:type="spellStart"/>
            <w:r w:rsidR="00782C94" w:rsidRPr="005630EA">
              <w:rPr>
                <w:i/>
                <w:sz w:val="24"/>
                <w:szCs w:val="24"/>
              </w:rPr>
              <w:t>de</w:t>
            </w:r>
            <w:proofErr w:type="spellEnd"/>
            <w:r w:rsidR="00782C94" w:rsidRPr="005630EA">
              <w:rPr>
                <w:i/>
                <w:sz w:val="24"/>
                <w:szCs w:val="24"/>
              </w:rPr>
              <w:t xml:space="preserve"> </w:t>
            </w:r>
            <w:proofErr w:type="spellStart"/>
            <w:r w:rsidR="00782C94" w:rsidRPr="005630EA">
              <w:rPr>
                <w:i/>
                <w:sz w:val="24"/>
                <w:szCs w:val="24"/>
              </w:rPr>
              <w:t>minimis</w:t>
            </w:r>
            <w:proofErr w:type="spellEnd"/>
            <w:r w:rsidR="00782C94" w:rsidRPr="005630EA">
              <w:rPr>
                <w:sz w:val="24"/>
                <w:szCs w:val="24"/>
              </w:rPr>
              <w:t xml:space="preserve"> atbalstam (turpmāk - </w:t>
            </w:r>
            <w:r w:rsidR="00B259E6" w:rsidRPr="005630EA">
              <w:rPr>
                <w:sz w:val="24"/>
                <w:szCs w:val="24"/>
              </w:rPr>
              <w:t>Komisijas regula Nr.1407/2013</w:t>
            </w:r>
            <w:r w:rsidR="00782C94" w:rsidRPr="005630EA">
              <w:rPr>
                <w:sz w:val="24"/>
                <w:szCs w:val="24"/>
              </w:rPr>
              <w:t>)</w:t>
            </w:r>
            <w:r w:rsidR="00B259E6" w:rsidRPr="005630EA">
              <w:rPr>
                <w:sz w:val="24"/>
                <w:szCs w:val="24"/>
              </w:rPr>
              <w:t xml:space="preserve"> 4.panta 3.punkta a) apakšpunkta ievērošanu</w:t>
            </w:r>
            <w:r w:rsidR="00B130F7" w:rsidRPr="005630EA">
              <w:rPr>
                <w:sz w:val="24"/>
                <w:szCs w:val="24"/>
              </w:rPr>
              <w:t>.</w:t>
            </w:r>
            <w:r w:rsidR="00B259E6" w:rsidRPr="005630EA">
              <w:rPr>
                <w:sz w:val="24"/>
                <w:szCs w:val="24"/>
              </w:rPr>
              <w:t xml:space="preserve"> </w:t>
            </w:r>
          </w:p>
          <w:p w14:paraId="0897FBBE" w14:textId="61328C00" w:rsidR="006A6297" w:rsidRPr="005630EA" w:rsidRDefault="00566D17" w:rsidP="00B130F7">
            <w:pPr>
              <w:ind w:right="40"/>
              <w:jc w:val="both"/>
            </w:pPr>
            <w:r>
              <w:t xml:space="preserve">MK noteikumu Nr.1065 </w:t>
            </w:r>
            <w:r w:rsidR="00B259E6" w:rsidRPr="006D03CA">
              <w:t>10.3.apakšpunkts</w:t>
            </w:r>
            <w:r>
              <w:t xml:space="preserve"> precizēts</w:t>
            </w:r>
            <w:r w:rsidR="00B259E6" w:rsidRPr="006D03CA">
              <w:t>, nosakot</w:t>
            </w:r>
            <w:r>
              <w:t>, ka MK noteikumu Nr.1065 22.punktā</w:t>
            </w:r>
            <w:r w:rsidR="00D041F1">
              <w:t xml:space="preserve"> noteikto </w:t>
            </w:r>
            <w:r>
              <w:t xml:space="preserve"> saimnieciskās darbības veicēj</w:t>
            </w:r>
            <w:r w:rsidR="00D041F1">
              <w:t xml:space="preserve">u atbilstība grūtībās nonākuša saimnieciskās darbības veicēja statusam ir jānosaka </w:t>
            </w:r>
            <w:r w:rsidR="00B259E6" w:rsidRPr="006D03CA">
              <w:t xml:space="preserve"> saskaņā ar Komisijas regul</w:t>
            </w:r>
            <w:r w:rsidR="00D041F1">
              <w:t>as</w:t>
            </w:r>
            <w:r w:rsidR="00B259E6" w:rsidRPr="006D03CA">
              <w:t xml:space="preserve"> </w:t>
            </w:r>
            <w:r w:rsidR="00670718">
              <w:t>N</w:t>
            </w:r>
            <w:r w:rsidR="00B259E6" w:rsidRPr="006D03CA">
              <w:t>r.702/2014</w:t>
            </w:r>
            <w:r w:rsidR="00D041F1">
              <w:t xml:space="preserve"> 2.panta 14) punkta “a”, “b” un “d” apakšpunktu</w:t>
            </w:r>
            <w:r w:rsidR="00B259E6" w:rsidRPr="006D03CA">
              <w:t>.</w:t>
            </w:r>
          </w:p>
          <w:p w14:paraId="074A9BC4" w14:textId="77777777" w:rsidR="00B259E6" w:rsidRPr="006D03CA" w:rsidRDefault="00B259E6" w:rsidP="002C70B9">
            <w:pPr>
              <w:ind w:left="37" w:right="168"/>
              <w:jc w:val="both"/>
            </w:pPr>
          </w:p>
          <w:p w14:paraId="544664FA" w14:textId="788939CF" w:rsidR="00B259E6" w:rsidRPr="00FE00E8" w:rsidRDefault="002C70B9" w:rsidP="00FE00E8">
            <w:pPr>
              <w:pStyle w:val="ListParagraph"/>
              <w:numPr>
                <w:ilvl w:val="0"/>
                <w:numId w:val="52"/>
              </w:numPr>
              <w:ind w:left="37" w:right="168" w:firstLine="0"/>
              <w:jc w:val="both"/>
              <w:rPr>
                <w:b/>
                <w:i/>
                <w:sz w:val="24"/>
                <w:szCs w:val="24"/>
                <w:u w:val="single"/>
              </w:rPr>
            </w:pPr>
            <w:r w:rsidRPr="00FE00E8">
              <w:rPr>
                <w:b/>
                <w:i/>
                <w:sz w:val="24"/>
                <w:szCs w:val="24"/>
                <w:u w:val="single"/>
              </w:rPr>
              <w:t>Precizēt a</w:t>
            </w:r>
            <w:r w:rsidR="00B259E6" w:rsidRPr="00FE00E8">
              <w:rPr>
                <w:b/>
                <w:i/>
                <w:sz w:val="24"/>
                <w:szCs w:val="24"/>
                <w:u w:val="single"/>
              </w:rPr>
              <w:t>tbalstāmās nozares</w:t>
            </w:r>
            <w:r w:rsidRPr="00FE00E8">
              <w:rPr>
                <w:b/>
                <w:i/>
                <w:sz w:val="24"/>
                <w:szCs w:val="24"/>
                <w:u w:val="single"/>
              </w:rPr>
              <w:t>:</w:t>
            </w:r>
          </w:p>
          <w:p w14:paraId="2E5979BF" w14:textId="3448ECE6" w:rsidR="002C70B9" w:rsidRPr="002620C6" w:rsidRDefault="00B259E6" w:rsidP="00FE00E8">
            <w:pPr>
              <w:pStyle w:val="ListParagraph"/>
              <w:numPr>
                <w:ilvl w:val="0"/>
                <w:numId w:val="53"/>
              </w:numPr>
              <w:ind w:left="178" w:right="40" w:firstLine="0"/>
              <w:jc w:val="both"/>
              <w:rPr>
                <w:sz w:val="24"/>
                <w:szCs w:val="24"/>
              </w:rPr>
            </w:pPr>
            <w:r w:rsidRPr="002620C6">
              <w:rPr>
                <w:sz w:val="24"/>
                <w:szCs w:val="24"/>
              </w:rPr>
              <w:t>Noteikumu projekt</w:t>
            </w:r>
            <w:r w:rsidR="00BA73CD">
              <w:rPr>
                <w:sz w:val="24"/>
                <w:szCs w:val="24"/>
              </w:rPr>
              <w:t xml:space="preserve">s </w:t>
            </w:r>
            <w:r w:rsidRPr="002620C6">
              <w:rPr>
                <w:sz w:val="24"/>
                <w:szCs w:val="24"/>
              </w:rPr>
              <w:t xml:space="preserve">paredz </w:t>
            </w:r>
            <w:r w:rsidR="00E27297">
              <w:rPr>
                <w:sz w:val="24"/>
                <w:szCs w:val="24"/>
              </w:rPr>
              <w:t>svītrot</w:t>
            </w:r>
            <w:r w:rsidR="00E27297" w:rsidRPr="002620C6">
              <w:rPr>
                <w:sz w:val="24"/>
                <w:szCs w:val="24"/>
              </w:rPr>
              <w:t xml:space="preserve"> </w:t>
            </w:r>
            <w:r w:rsidRPr="002620C6">
              <w:rPr>
                <w:sz w:val="24"/>
                <w:szCs w:val="24"/>
              </w:rPr>
              <w:t>MK noteikumu Nr.1065 11.6.-11.15.apakšpunkt</w:t>
            </w:r>
            <w:r w:rsidR="002C70B9">
              <w:rPr>
                <w:sz w:val="24"/>
                <w:szCs w:val="24"/>
              </w:rPr>
              <w:t>us</w:t>
            </w:r>
            <w:r w:rsidRPr="002620C6">
              <w:rPr>
                <w:sz w:val="24"/>
                <w:szCs w:val="24"/>
              </w:rPr>
              <w:t xml:space="preserve">, kas MK noteikumos Nr.1065 </w:t>
            </w:r>
            <w:r w:rsidR="00011529" w:rsidRPr="002620C6">
              <w:rPr>
                <w:sz w:val="24"/>
                <w:szCs w:val="24"/>
              </w:rPr>
              <w:t xml:space="preserve">tika </w:t>
            </w:r>
            <w:r w:rsidRPr="002620C6">
              <w:rPr>
                <w:sz w:val="24"/>
                <w:szCs w:val="24"/>
              </w:rPr>
              <w:t xml:space="preserve">iekļauti 2009.gadā, kad valstī bija cita ekonomiskā situācija un aizdevumu sniegšanu minētajās nozarēs Ekonomikas ministrija ierobežoja kreditēšanas augsto risku dēļ.  </w:t>
            </w:r>
            <w:r w:rsidR="00F9080F" w:rsidRPr="002620C6">
              <w:rPr>
                <w:sz w:val="24"/>
                <w:szCs w:val="24"/>
              </w:rPr>
              <w:t xml:space="preserve">Ekonomikas ministrijas ieskatā </w:t>
            </w:r>
            <w:r w:rsidR="00072623" w:rsidRPr="002620C6">
              <w:rPr>
                <w:sz w:val="24"/>
                <w:szCs w:val="24"/>
              </w:rPr>
              <w:t xml:space="preserve">šobrīd šādi ierobežojumi nav </w:t>
            </w:r>
            <w:r w:rsidRPr="002620C6">
              <w:rPr>
                <w:sz w:val="24"/>
                <w:szCs w:val="24"/>
              </w:rPr>
              <w:t>nepieciešam</w:t>
            </w:r>
            <w:r w:rsidR="00072623" w:rsidRPr="002620C6">
              <w:rPr>
                <w:sz w:val="24"/>
                <w:szCs w:val="24"/>
              </w:rPr>
              <w:t xml:space="preserve">i un, lai nodrošinātu savstarpēju programmu </w:t>
            </w:r>
            <w:proofErr w:type="spellStart"/>
            <w:r w:rsidR="00072623" w:rsidRPr="002620C6">
              <w:rPr>
                <w:sz w:val="24"/>
                <w:szCs w:val="24"/>
              </w:rPr>
              <w:t>papildināmību</w:t>
            </w:r>
            <w:proofErr w:type="spellEnd"/>
            <w:r w:rsidR="00072623" w:rsidRPr="002620C6">
              <w:rPr>
                <w:sz w:val="24"/>
                <w:szCs w:val="24"/>
              </w:rPr>
              <w:t>, ir</w:t>
            </w:r>
            <w:r w:rsidRPr="002620C6">
              <w:rPr>
                <w:sz w:val="24"/>
                <w:szCs w:val="24"/>
              </w:rPr>
              <w:t xml:space="preserve"> savstarpēji </w:t>
            </w:r>
            <w:r w:rsidR="00072623" w:rsidRPr="002620C6">
              <w:rPr>
                <w:sz w:val="24"/>
                <w:szCs w:val="24"/>
              </w:rPr>
              <w:t>jā</w:t>
            </w:r>
            <w:r w:rsidRPr="002620C6">
              <w:rPr>
                <w:sz w:val="24"/>
                <w:szCs w:val="24"/>
              </w:rPr>
              <w:t xml:space="preserve">vienādo MK noteikumu Nr.1065 </w:t>
            </w:r>
            <w:r w:rsidR="00072623" w:rsidRPr="002620C6">
              <w:rPr>
                <w:sz w:val="24"/>
                <w:szCs w:val="24"/>
              </w:rPr>
              <w:t xml:space="preserve">nosacījumi </w:t>
            </w:r>
            <w:r w:rsidRPr="002620C6">
              <w:rPr>
                <w:sz w:val="24"/>
                <w:szCs w:val="24"/>
              </w:rPr>
              <w:t xml:space="preserve">ar citām valsts atbalsta programmām, piemēram, </w:t>
            </w:r>
            <w:r w:rsidR="00072623" w:rsidRPr="002620C6">
              <w:rPr>
                <w:sz w:val="24"/>
                <w:szCs w:val="24"/>
              </w:rPr>
              <w:t xml:space="preserve">saskaņā ar Ministru kabineta 2016.gada 31.maija noteikumiem Nr.328 “Noteikumi par </w:t>
            </w:r>
            <w:proofErr w:type="spellStart"/>
            <w:r w:rsidR="00072623" w:rsidRPr="002620C6">
              <w:rPr>
                <w:sz w:val="24"/>
                <w:szCs w:val="24"/>
              </w:rPr>
              <w:t>mikroaizdevumiem</w:t>
            </w:r>
            <w:proofErr w:type="spellEnd"/>
            <w:r w:rsidR="00072623" w:rsidRPr="002620C6">
              <w:rPr>
                <w:sz w:val="24"/>
                <w:szCs w:val="24"/>
              </w:rPr>
              <w:t xml:space="preserve"> un starta aizdevumiem”</w:t>
            </w:r>
            <w:r w:rsidR="002C70B9" w:rsidRPr="002620C6">
              <w:rPr>
                <w:sz w:val="24"/>
                <w:szCs w:val="24"/>
              </w:rPr>
              <w:t xml:space="preserve"> (turpmāk – MK noteikumi Nr.328)</w:t>
            </w:r>
            <w:r w:rsidR="00011529" w:rsidRPr="002620C6">
              <w:rPr>
                <w:sz w:val="24"/>
                <w:szCs w:val="24"/>
              </w:rPr>
              <w:t xml:space="preserve"> īstenoto </w:t>
            </w:r>
            <w:r w:rsidRPr="002620C6">
              <w:rPr>
                <w:sz w:val="24"/>
                <w:szCs w:val="24"/>
              </w:rPr>
              <w:t>starta aizdevum</w:t>
            </w:r>
            <w:r w:rsidR="00011529" w:rsidRPr="002620C6">
              <w:rPr>
                <w:sz w:val="24"/>
                <w:szCs w:val="24"/>
              </w:rPr>
              <w:t>u programmu.</w:t>
            </w:r>
          </w:p>
          <w:p w14:paraId="3F789C9E" w14:textId="6BD0682D" w:rsidR="002C70B9" w:rsidRPr="002620C6" w:rsidRDefault="002C70B9" w:rsidP="00FE00E8">
            <w:pPr>
              <w:pStyle w:val="ListParagraph"/>
              <w:numPr>
                <w:ilvl w:val="0"/>
                <w:numId w:val="53"/>
              </w:numPr>
              <w:ind w:left="178" w:right="40" w:firstLine="0"/>
              <w:jc w:val="both"/>
              <w:rPr>
                <w:sz w:val="24"/>
                <w:szCs w:val="24"/>
              </w:rPr>
            </w:pPr>
            <w:r>
              <w:rPr>
                <w:sz w:val="24"/>
                <w:szCs w:val="24"/>
              </w:rPr>
              <w:t xml:space="preserve">Lai nodrošinātu skaidras tiesību normas, </w:t>
            </w:r>
            <w:r w:rsidR="00B259E6" w:rsidRPr="002620C6">
              <w:rPr>
                <w:sz w:val="24"/>
                <w:szCs w:val="24"/>
              </w:rPr>
              <w:t xml:space="preserve">MK noteikumu Nr.1065 11.1. – 11.5.apakšpunkti papildināti ar </w:t>
            </w:r>
            <w:r>
              <w:rPr>
                <w:sz w:val="24"/>
                <w:szCs w:val="24"/>
              </w:rPr>
              <w:t xml:space="preserve">atbilstošajiem </w:t>
            </w:r>
            <w:r w:rsidR="00B259E6" w:rsidRPr="002620C6">
              <w:rPr>
                <w:sz w:val="24"/>
                <w:szCs w:val="24"/>
              </w:rPr>
              <w:t>NACE kodiem.</w:t>
            </w:r>
          </w:p>
          <w:p w14:paraId="3D7977C2" w14:textId="699A2E5C" w:rsidR="002C70B9" w:rsidRPr="002620C6" w:rsidRDefault="00B259E6" w:rsidP="00FE00E8">
            <w:pPr>
              <w:pStyle w:val="ListParagraph"/>
              <w:numPr>
                <w:ilvl w:val="0"/>
                <w:numId w:val="53"/>
              </w:numPr>
              <w:ind w:left="178" w:right="40" w:firstLine="0"/>
              <w:jc w:val="both"/>
              <w:rPr>
                <w:sz w:val="24"/>
                <w:szCs w:val="24"/>
              </w:rPr>
            </w:pPr>
            <w:r w:rsidRPr="002620C6">
              <w:rPr>
                <w:sz w:val="24"/>
                <w:szCs w:val="24"/>
              </w:rPr>
              <w:t>Atbilstoši grozījumiem MK noteikumu Nr.1065 11.punktā, precizējumi veikti arī MK noteikumu Nr.1065 12.punktā, t.i., tas tiek dzēsts, un precizēti 12.¹ punktā minētie nozaru ierobežojumi.</w:t>
            </w:r>
          </w:p>
          <w:p w14:paraId="765E748B" w14:textId="77777777" w:rsidR="00175162" w:rsidRPr="00CF52C5" w:rsidRDefault="00B259E6" w:rsidP="00FE00E8">
            <w:pPr>
              <w:pStyle w:val="ListParagraph"/>
              <w:numPr>
                <w:ilvl w:val="0"/>
                <w:numId w:val="53"/>
              </w:numPr>
              <w:ind w:left="178" w:right="40" w:firstLine="0"/>
              <w:jc w:val="both"/>
              <w:rPr>
                <w:sz w:val="24"/>
                <w:szCs w:val="24"/>
              </w:rPr>
            </w:pPr>
            <w:r w:rsidRPr="002620C6">
              <w:rPr>
                <w:sz w:val="24"/>
                <w:szCs w:val="24"/>
              </w:rPr>
              <w:t>MK noteikumu Nr.1065 11.1.apakšpunktā minētā nozare precizēta atbilstoši</w:t>
            </w:r>
            <w:r w:rsidR="0076670D">
              <w:rPr>
                <w:sz w:val="24"/>
                <w:szCs w:val="24"/>
              </w:rPr>
              <w:t xml:space="preserve">, </w:t>
            </w:r>
            <w:r w:rsidRPr="002620C6">
              <w:rPr>
                <w:sz w:val="24"/>
                <w:szCs w:val="24"/>
              </w:rPr>
              <w:t xml:space="preserve">piemērām, </w:t>
            </w:r>
            <w:r w:rsidR="0031353A" w:rsidRPr="0031353A">
              <w:rPr>
                <w:sz w:val="24"/>
                <w:szCs w:val="24"/>
              </w:rPr>
              <w:t xml:space="preserve">Ministru kabineta </w:t>
            </w:r>
            <w:r w:rsidR="0031353A" w:rsidRPr="0031353A">
              <w:rPr>
                <w:sz w:val="24"/>
                <w:szCs w:val="24"/>
              </w:rPr>
              <w:lastRenderedPageBreak/>
              <w:t>2010.gada 26.oktobra noteikumiem Nr.997</w:t>
            </w:r>
            <w:r w:rsidRPr="002620C6">
              <w:rPr>
                <w:sz w:val="24"/>
                <w:szCs w:val="24"/>
              </w:rPr>
              <w:t xml:space="preserve"> </w:t>
            </w:r>
            <w:r w:rsidR="0031353A">
              <w:rPr>
                <w:sz w:val="24"/>
                <w:szCs w:val="24"/>
              </w:rPr>
              <w:t>“</w:t>
            </w:r>
            <w:r w:rsidR="0031353A" w:rsidRPr="0031353A">
              <w:rPr>
                <w:sz w:val="24"/>
                <w:szCs w:val="24"/>
              </w:rPr>
              <w:t>Noteikumi par garantijām komersantu un atbilstošu lauksaimniecības pakalpojumu kooperatīvo sabiedrību konkurētspējas uzlabošanai</w:t>
            </w:r>
            <w:r w:rsidR="0031353A">
              <w:rPr>
                <w:sz w:val="24"/>
                <w:szCs w:val="24"/>
              </w:rPr>
              <w:t xml:space="preserve">” </w:t>
            </w:r>
            <w:r w:rsidRPr="002620C6">
              <w:rPr>
                <w:sz w:val="24"/>
                <w:szCs w:val="24"/>
              </w:rPr>
              <w:t xml:space="preserve">un </w:t>
            </w:r>
            <w:r w:rsidR="002620C6" w:rsidRPr="002620C6">
              <w:rPr>
                <w:sz w:val="24"/>
                <w:szCs w:val="24"/>
              </w:rPr>
              <w:t>MK noteikumiem Nr.328</w:t>
            </w:r>
            <w:r w:rsidRPr="002620C6">
              <w:rPr>
                <w:sz w:val="24"/>
                <w:szCs w:val="24"/>
              </w:rPr>
              <w:t>, kur</w:t>
            </w:r>
            <w:r w:rsidR="0031353A">
              <w:rPr>
                <w:sz w:val="24"/>
                <w:szCs w:val="24"/>
              </w:rPr>
              <w:t xml:space="preserve">os tiek </w:t>
            </w:r>
            <w:r w:rsidRPr="002620C6">
              <w:rPr>
                <w:sz w:val="24"/>
                <w:szCs w:val="24"/>
              </w:rPr>
              <w:t>ierobežot</w:t>
            </w:r>
            <w:r w:rsidR="0031353A">
              <w:rPr>
                <w:sz w:val="24"/>
                <w:szCs w:val="24"/>
              </w:rPr>
              <w:t>a</w:t>
            </w:r>
            <w:r w:rsidRPr="002620C6">
              <w:rPr>
                <w:sz w:val="24"/>
                <w:szCs w:val="24"/>
              </w:rPr>
              <w:t xml:space="preserve"> tikai </w:t>
            </w:r>
            <w:r w:rsidR="0031353A">
              <w:rPr>
                <w:sz w:val="24"/>
                <w:szCs w:val="24"/>
              </w:rPr>
              <w:t xml:space="preserve">ieroču un munīcijas </w:t>
            </w:r>
            <w:r w:rsidR="0031353A" w:rsidRPr="00CF52C5">
              <w:rPr>
                <w:sz w:val="24"/>
                <w:szCs w:val="24"/>
              </w:rPr>
              <w:t>tirdzniecība</w:t>
            </w:r>
            <w:r w:rsidRPr="00CF52C5">
              <w:rPr>
                <w:sz w:val="24"/>
                <w:szCs w:val="24"/>
              </w:rPr>
              <w:t xml:space="preserve">, nevis </w:t>
            </w:r>
            <w:r w:rsidR="0031353A" w:rsidRPr="00CF52C5">
              <w:rPr>
                <w:sz w:val="24"/>
                <w:szCs w:val="24"/>
              </w:rPr>
              <w:t>ražošana</w:t>
            </w:r>
            <w:r w:rsidRPr="00CF52C5">
              <w:rPr>
                <w:sz w:val="24"/>
                <w:szCs w:val="24"/>
              </w:rPr>
              <w:t>.</w:t>
            </w:r>
          </w:p>
          <w:p w14:paraId="7F1610E4" w14:textId="77777777" w:rsidR="000D6CDD" w:rsidRDefault="00BA73CD" w:rsidP="00FE00E8">
            <w:pPr>
              <w:pStyle w:val="ListParagraph"/>
              <w:numPr>
                <w:ilvl w:val="0"/>
                <w:numId w:val="53"/>
              </w:numPr>
              <w:ind w:left="178" w:firstLine="0"/>
              <w:jc w:val="both"/>
              <w:rPr>
                <w:sz w:val="24"/>
                <w:szCs w:val="24"/>
              </w:rPr>
            </w:pPr>
            <w:r w:rsidRPr="00052277">
              <w:rPr>
                <w:sz w:val="24"/>
                <w:szCs w:val="24"/>
              </w:rPr>
              <w:t>MK noteikumu Nr.1065 11.5.apakšpunktā noteikt</w:t>
            </w:r>
            <w:r w:rsidR="00AA1D0B" w:rsidRPr="00052277">
              <w:rPr>
                <w:sz w:val="24"/>
                <w:szCs w:val="24"/>
              </w:rPr>
              <w:t>ā ierobežojuma mērķis bija nepieļaut atbalsta sniegšanu darījumiem, kas saistīti ar nekustamā īpašuma pārdošanu un pirkšanu</w:t>
            </w:r>
            <w:r w:rsidR="00077EF0" w:rsidRPr="00CF52C5">
              <w:rPr>
                <w:sz w:val="24"/>
                <w:szCs w:val="24"/>
              </w:rPr>
              <w:t>, bet nav saistīti ar saimnieciskās darbības veicēja paplašināšanos</w:t>
            </w:r>
            <w:r w:rsidR="00175162" w:rsidRPr="00CF52C5">
              <w:rPr>
                <w:sz w:val="24"/>
                <w:szCs w:val="24"/>
              </w:rPr>
              <w:t xml:space="preserve">. Tomēr ņemot vērā, ka </w:t>
            </w:r>
            <w:r w:rsidRPr="00CF52C5">
              <w:rPr>
                <w:sz w:val="24"/>
                <w:szCs w:val="24"/>
              </w:rPr>
              <w:t xml:space="preserve"> </w:t>
            </w:r>
            <w:r w:rsidR="00175162" w:rsidRPr="00CF52C5">
              <w:rPr>
                <w:sz w:val="24"/>
                <w:szCs w:val="24"/>
              </w:rPr>
              <w:t xml:space="preserve">NACE 2. </w:t>
            </w:r>
            <w:proofErr w:type="spellStart"/>
            <w:r w:rsidR="00175162" w:rsidRPr="00CF52C5">
              <w:rPr>
                <w:sz w:val="24"/>
                <w:szCs w:val="24"/>
              </w:rPr>
              <w:t>red</w:t>
            </w:r>
            <w:proofErr w:type="spellEnd"/>
            <w:r w:rsidR="00175162" w:rsidRPr="00CF52C5">
              <w:rPr>
                <w:sz w:val="24"/>
                <w:szCs w:val="24"/>
              </w:rPr>
              <w:t>. L sadaļā "Operācijas ar nekustamo īpašumu"</w:t>
            </w:r>
            <w:r w:rsidR="00C8547F" w:rsidRPr="00CF52C5">
              <w:rPr>
                <w:sz w:val="24"/>
                <w:szCs w:val="24"/>
              </w:rPr>
              <w:t xml:space="preserve"> (turpmāk – L sadaļa)</w:t>
            </w:r>
            <w:r w:rsidR="00175162" w:rsidRPr="00CF52C5">
              <w:rPr>
                <w:sz w:val="24"/>
                <w:szCs w:val="24"/>
              </w:rPr>
              <w:t xml:space="preserve"> ir sadaļas, kuru ietvaros veicot darbības </w:t>
            </w:r>
            <w:r w:rsidR="00C8547F" w:rsidRPr="00CF52C5">
              <w:rPr>
                <w:sz w:val="24"/>
                <w:szCs w:val="24"/>
              </w:rPr>
              <w:t>nekustamais īpašums paliek saimnieciskās darbības veicēja īpašumā un tas tajā veic ar savu saimniecisko darbību saistītas darbības, Ekonomikas ministrijas ieskatā nav pamata noteikt ierobežojumu uz visu L sadaļu</w:t>
            </w:r>
            <w:r w:rsidR="000D6CDD">
              <w:rPr>
                <w:sz w:val="24"/>
                <w:szCs w:val="24"/>
              </w:rPr>
              <w:t>;</w:t>
            </w:r>
          </w:p>
          <w:p w14:paraId="232411D3" w14:textId="77777777" w:rsidR="00052277" w:rsidRDefault="000D6CDD" w:rsidP="00FE00E8">
            <w:pPr>
              <w:pStyle w:val="ListParagraph"/>
              <w:numPr>
                <w:ilvl w:val="0"/>
                <w:numId w:val="53"/>
              </w:numPr>
              <w:ind w:left="178" w:firstLine="0"/>
              <w:jc w:val="both"/>
              <w:rPr>
                <w:sz w:val="24"/>
                <w:szCs w:val="24"/>
              </w:rPr>
            </w:pPr>
            <w:r w:rsidRPr="000D6CDD">
              <w:rPr>
                <w:sz w:val="24"/>
                <w:szCs w:val="24"/>
              </w:rPr>
              <w:t xml:space="preserve">Ņemot vērā, ka Regulas Nr. 1407/2013 3. panta 2. punktā ir noteikts ne tikai maksimālā </w:t>
            </w:r>
            <w:proofErr w:type="spellStart"/>
            <w:r w:rsidRPr="000D6CDD">
              <w:rPr>
                <w:i/>
                <w:sz w:val="24"/>
                <w:szCs w:val="24"/>
              </w:rPr>
              <w:t>de</w:t>
            </w:r>
            <w:proofErr w:type="spellEnd"/>
            <w:r w:rsidRPr="000D6CDD">
              <w:rPr>
                <w:i/>
                <w:sz w:val="24"/>
                <w:szCs w:val="24"/>
              </w:rPr>
              <w:t xml:space="preserve"> </w:t>
            </w:r>
            <w:proofErr w:type="spellStart"/>
            <w:r w:rsidRPr="000D6CDD">
              <w:rPr>
                <w:i/>
                <w:sz w:val="24"/>
                <w:szCs w:val="24"/>
              </w:rPr>
              <w:t>minimis</w:t>
            </w:r>
            <w:proofErr w:type="spellEnd"/>
            <w:r w:rsidRPr="000D6CDD">
              <w:rPr>
                <w:sz w:val="24"/>
                <w:szCs w:val="24"/>
              </w:rPr>
              <w:t xml:space="preserve"> atbalsta apmērs, bet tajā arī iekļauts nosacījums, ka  </w:t>
            </w:r>
            <w:proofErr w:type="spellStart"/>
            <w:r w:rsidRPr="000D6CDD">
              <w:rPr>
                <w:i/>
                <w:sz w:val="24"/>
                <w:szCs w:val="24"/>
              </w:rPr>
              <w:t>de</w:t>
            </w:r>
            <w:proofErr w:type="spellEnd"/>
            <w:r w:rsidRPr="000D6CDD">
              <w:rPr>
                <w:i/>
                <w:sz w:val="24"/>
                <w:szCs w:val="24"/>
              </w:rPr>
              <w:t xml:space="preserve"> </w:t>
            </w:r>
            <w:proofErr w:type="spellStart"/>
            <w:r w:rsidRPr="000D6CDD">
              <w:rPr>
                <w:i/>
                <w:sz w:val="24"/>
                <w:szCs w:val="24"/>
              </w:rPr>
              <w:t>minimis</w:t>
            </w:r>
            <w:proofErr w:type="spellEnd"/>
            <w:r w:rsidRPr="000D6CDD">
              <w:rPr>
                <w:sz w:val="24"/>
                <w:szCs w:val="24"/>
              </w:rPr>
              <w:t xml:space="preserve"> atbalstu nevar izmantot kravas transportlīdzekļu iegādei, skaidrāku programmas nosacījumu nodrošināšanai, ierosinām MK noteikumos Nr. 1065 iekļauts šis nozares ierobežojumu. Skaidrojam, ka ņemot vērā Regulas Nr. 1047/213 prasības arī līdz šim nav tikuši izsniegto aizdevumu kravas transporta iegādei, tāpēc nav uzskatāms, ka normas izmaiņas radīs ietekmi uz programmas subjektiem.</w:t>
            </w:r>
          </w:p>
          <w:p w14:paraId="1617AAFA" w14:textId="66D1F6E4" w:rsidR="00B259E6" w:rsidRDefault="000D6CDD" w:rsidP="00FE00E8">
            <w:pPr>
              <w:pStyle w:val="ListParagraph"/>
              <w:numPr>
                <w:ilvl w:val="0"/>
                <w:numId w:val="53"/>
              </w:numPr>
              <w:ind w:left="178" w:firstLine="0"/>
              <w:jc w:val="both"/>
              <w:rPr>
                <w:sz w:val="24"/>
                <w:szCs w:val="24"/>
              </w:rPr>
            </w:pPr>
            <w:r w:rsidRPr="006654B6">
              <w:rPr>
                <w:sz w:val="24"/>
                <w:szCs w:val="24"/>
              </w:rPr>
              <w:t xml:space="preserve">Papildus MK noteikumi Nr. 1065 ir papildināti ar ierobežojumu saņemt </w:t>
            </w:r>
            <w:proofErr w:type="spellStart"/>
            <w:r w:rsidRPr="006654B6">
              <w:rPr>
                <w:sz w:val="24"/>
                <w:szCs w:val="24"/>
              </w:rPr>
              <w:t>Altum</w:t>
            </w:r>
            <w:proofErr w:type="spellEnd"/>
            <w:r w:rsidRPr="006654B6">
              <w:rPr>
                <w:sz w:val="24"/>
                <w:szCs w:val="24"/>
              </w:rPr>
              <w:t xml:space="preserve"> aizdevumu ar mērķi veikt alkohola tirdzniecību. Šāds ierobežojums ir ietverts visās </w:t>
            </w:r>
            <w:proofErr w:type="spellStart"/>
            <w:r w:rsidRPr="006654B6">
              <w:rPr>
                <w:sz w:val="24"/>
                <w:szCs w:val="24"/>
              </w:rPr>
              <w:t>Altum</w:t>
            </w:r>
            <w:proofErr w:type="spellEnd"/>
            <w:r w:rsidRPr="006654B6">
              <w:rPr>
                <w:sz w:val="24"/>
                <w:szCs w:val="24"/>
              </w:rPr>
              <w:t xml:space="preserve"> īstenotajās atbalsta programmās, tāpēc Ekonomikas ministrijas ieskatā arī MVU izaugsmes aizdevumu programmai būtu piemērojams šāds ierobežojums.</w:t>
            </w:r>
            <w:r w:rsidR="00052277" w:rsidRPr="006654B6">
              <w:rPr>
                <w:sz w:val="24"/>
                <w:szCs w:val="24"/>
              </w:rPr>
              <w:t xml:space="preserve"> Skaidrojam, ka līdz šim nav tikuši izsniegt</w:t>
            </w:r>
            <w:r w:rsidR="006654B6">
              <w:rPr>
                <w:sz w:val="24"/>
                <w:szCs w:val="24"/>
              </w:rPr>
              <w:t>i</w:t>
            </w:r>
            <w:r w:rsidR="00052277" w:rsidRPr="006654B6">
              <w:rPr>
                <w:sz w:val="24"/>
                <w:szCs w:val="24"/>
              </w:rPr>
              <w:t xml:space="preserve"> aizdevum</w:t>
            </w:r>
            <w:r w:rsidR="006654B6">
              <w:rPr>
                <w:sz w:val="24"/>
                <w:szCs w:val="24"/>
              </w:rPr>
              <w:t>i</w:t>
            </w:r>
            <w:r w:rsidR="00052277" w:rsidRPr="006654B6">
              <w:rPr>
                <w:sz w:val="24"/>
                <w:szCs w:val="24"/>
              </w:rPr>
              <w:t xml:space="preserve"> </w:t>
            </w:r>
            <w:r w:rsidR="006654B6">
              <w:rPr>
                <w:sz w:val="24"/>
                <w:szCs w:val="24"/>
              </w:rPr>
              <w:t>alkohola tirdzniecībai</w:t>
            </w:r>
            <w:r w:rsidR="00052277" w:rsidRPr="006654B6">
              <w:rPr>
                <w:sz w:val="24"/>
                <w:szCs w:val="24"/>
              </w:rPr>
              <w:t>, tāpēc nav uzskatāms, ka normas izmaiņas radīs ietekmi uz programmas subjektiem</w:t>
            </w:r>
            <w:r w:rsidR="00FE00E8">
              <w:rPr>
                <w:sz w:val="24"/>
                <w:szCs w:val="24"/>
              </w:rPr>
              <w:t>.</w:t>
            </w:r>
          </w:p>
          <w:p w14:paraId="06AAB05A" w14:textId="77777777" w:rsidR="00C8547F" w:rsidRPr="006D03CA" w:rsidRDefault="00C8547F" w:rsidP="00C8547F">
            <w:pPr>
              <w:pStyle w:val="ListParagraph"/>
              <w:ind w:left="320"/>
              <w:jc w:val="both"/>
            </w:pPr>
          </w:p>
          <w:p w14:paraId="2506F909" w14:textId="776FE06E" w:rsidR="00B259E6" w:rsidRPr="006D03CA" w:rsidRDefault="007623F3" w:rsidP="00FE00E8">
            <w:pPr>
              <w:pStyle w:val="ListParagraph"/>
              <w:numPr>
                <w:ilvl w:val="0"/>
                <w:numId w:val="52"/>
              </w:numPr>
              <w:ind w:right="168"/>
              <w:jc w:val="both"/>
              <w:rPr>
                <w:b/>
                <w:i/>
                <w:sz w:val="24"/>
                <w:u w:val="single"/>
              </w:rPr>
            </w:pPr>
            <w:r>
              <w:rPr>
                <w:b/>
                <w:i/>
                <w:sz w:val="24"/>
                <w:u w:val="single"/>
              </w:rPr>
              <w:t>Atcelt p</w:t>
            </w:r>
            <w:r w:rsidR="000F2DB0">
              <w:rPr>
                <w:b/>
                <w:i/>
                <w:sz w:val="24"/>
                <w:u w:val="single"/>
              </w:rPr>
              <w:t>rocentu likmes subsīdij</w:t>
            </w:r>
            <w:r>
              <w:rPr>
                <w:b/>
                <w:i/>
                <w:sz w:val="24"/>
                <w:u w:val="single"/>
              </w:rPr>
              <w:t>u</w:t>
            </w:r>
            <w:r w:rsidR="000F2DB0">
              <w:rPr>
                <w:b/>
                <w:i/>
                <w:sz w:val="24"/>
                <w:u w:val="single"/>
              </w:rPr>
              <w:t>:</w:t>
            </w:r>
          </w:p>
          <w:p w14:paraId="178C9B4C" w14:textId="64C19F86" w:rsidR="00B259E6" w:rsidRPr="006D03CA" w:rsidRDefault="00B259E6" w:rsidP="00AE2975">
            <w:pPr>
              <w:ind w:right="40"/>
              <w:contextualSpacing/>
              <w:jc w:val="both"/>
            </w:pPr>
            <w:bookmarkStart w:id="2" w:name="_Hlk517352036"/>
            <w:r w:rsidRPr="006D03CA">
              <w:t>MK noteikumu Nr.</w:t>
            </w:r>
            <w:r w:rsidR="009E2DCC" w:rsidRPr="006D03CA">
              <w:t>1</w:t>
            </w:r>
            <w:r w:rsidR="009E2DCC">
              <w:t>065</w:t>
            </w:r>
            <w:r w:rsidR="009E2DCC" w:rsidRPr="006D03CA">
              <w:t xml:space="preserve"> </w:t>
            </w:r>
            <w:r w:rsidRPr="006D03CA">
              <w:t>21.</w:t>
            </w:r>
            <w:r w:rsidRPr="006D03CA">
              <w:rPr>
                <w:vertAlign w:val="superscript"/>
              </w:rPr>
              <w:t>1</w:t>
            </w:r>
            <w:r w:rsidRPr="006D03CA">
              <w:t xml:space="preserve"> punkts paredz procentu likmes subsīdij</w:t>
            </w:r>
            <w:r w:rsidR="00A313E7">
              <w:t>u</w:t>
            </w:r>
            <w:r w:rsidRPr="006D03CA">
              <w:t xml:space="preserve"> 50 % apmērā no kopējiem investīciju </w:t>
            </w:r>
            <w:r w:rsidR="00A313E7" w:rsidRPr="006D03CA">
              <w:t>aizdevum</w:t>
            </w:r>
            <w:r w:rsidR="00A313E7">
              <w:t>a</w:t>
            </w:r>
            <w:r w:rsidR="00A313E7" w:rsidRPr="006D03CA">
              <w:t xml:space="preserve"> </w:t>
            </w:r>
            <w:r w:rsidRPr="006D03CA">
              <w:t>procentu maksājumiem. Šīs subsīdijas tika ieviest</w:t>
            </w:r>
            <w:r w:rsidR="000F2DB0">
              <w:t>a</w:t>
            </w:r>
            <w:r w:rsidRPr="006D03CA">
              <w:t xml:space="preserve">s laikā, kad bija nepieciešamība veicināt investīciju iepludināšanu ekonomikā un kreditēšanas apjomu izaugsmi. Kreditēšanas apjomi valstī ir stabilizējušies, līdz ar to tiek </w:t>
            </w:r>
            <w:r w:rsidR="00A313E7">
              <w:t xml:space="preserve">ierosināts </w:t>
            </w:r>
            <w:r w:rsidR="00C122BF">
              <w:t>svītrot</w:t>
            </w:r>
            <w:r w:rsidR="00C122BF" w:rsidRPr="006D03CA">
              <w:t xml:space="preserve"> </w:t>
            </w:r>
            <w:r w:rsidRPr="006D03CA">
              <w:t>MK noteikumu Nr.1065 21.</w:t>
            </w:r>
            <w:r w:rsidRPr="006D03CA">
              <w:rPr>
                <w:vertAlign w:val="superscript"/>
              </w:rPr>
              <w:t>1</w:t>
            </w:r>
            <w:r w:rsidRPr="006D03CA">
              <w:t xml:space="preserve"> </w:t>
            </w:r>
            <w:r w:rsidR="00A313E7" w:rsidRPr="006D03CA">
              <w:t>punkt</w:t>
            </w:r>
            <w:r w:rsidR="00A313E7">
              <w:t>u</w:t>
            </w:r>
            <w:r w:rsidRPr="006D03CA">
              <w:t>.</w:t>
            </w:r>
          </w:p>
          <w:bookmarkEnd w:id="2"/>
          <w:p w14:paraId="082E81F6" w14:textId="77777777" w:rsidR="00B259E6" w:rsidRPr="006D03CA" w:rsidRDefault="00B259E6" w:rsidP="006D03CA">
            <w:pPr>
              <w:ind w:left="81" w:right="168" w:firstLine="284"/>
              <w:contextualSpacing/>
              <w:jc w:val="both"/>
            </w:pPr>
          </w:p>
          <w:p w14:paraId="7B3C7B8D" w14:textId="0D0E6D85" w:rsidR="00B259E6" w:rsidRPr="006D03CA" w:rsidRDefault="00F379AD" w:rsidP="00FE00E8">
            <w:pPr>
              <w:pStyle w:val="ListParagraph"/>
              <w:numPr>
                <w:ilvl w:val="0"/>
                <w:numId w:val="52"/>
              </w:numPr>
              <w:ind w:left="0" w:firstLine="0"/>
              <w:jc w:val="both"/>
              <w:rPr>
                <w:b/>
                <w:i/>
                <w:sz w:val="24"/>
                <w:u w:val="single"/>
              </w:rPr>
            </w:pPr>
            <w:r>
              <w:rPr>
                <w:b/>
                <w:i/>
                <w:sz w:val="24"/>
                <w:u w:val="single"/>
              </w:rPr>
              <w:t>Precizēt s</w:t>
            </w:r>
            <w:r w:rsidR="00C31912">
              <w:rPr>
                <w:b/>
                <w:i/>
                <w:sz w:val="24"/>
                <w:u w:val="single"/>
              </w:rPr>
              <w:t>aimnieciskās darbības veicēju lok</w:t>
            </w:r>
            <w:r>
              <w:rPr>
                <w:b/>
                <w:i/>
                <w:sz w:val="24"/>
                <w:u w:val="single"/>
              </w:rPr>
              <w:t>u</w:t>
            </w:r>
            <w:r w:rsidR="00C31912">
              <w:rPr>
                <w:b/>
                <w:i/>
                <w:sz w:val="24"/>
                <w:u w:val="single"/>
              </w:rPr>
              <w:t>, kuriem piemērojam</w:t>
            </w:r>
            <w:r>
              <w:rPr>
                <w:b/>
                <w:i/>
                <w:sz w:val="24"/>
                <w:u w:val="single"/>
              </w:rPr>
              <w:t>s</w:t>
            </w:r>
            <w:r w:rsidR="00C31912">
              <w:rPr>
                <w:b/>
                <w:i/>
                <w:sz w:val="24"/>
                <w:u w:val="single"/>
              </w:rPr>
              <w:t xml:space="preserve"> a</w:t>
            </w:r>
            <w:r w:rsidR="00B259E6" w:rsidRPr="006D03CA">
              <w:rPr>
                <w:b/>
                <w:i/>
                <w:sz w:val="24"/>
                <w:u w:val="single"/>
              </w:rPr>
              <w:t>tbalsta stimulējošā</w:t>
            </w:r>
            <w:r w:rsidR="00C31912">
              <w:rPr>
                <w:b/>
                <w:i/>
                <w:sz w:val="24"/>
                <w:u w:val="single"/>
              </w:rPr>
              <w:t>s</w:t>
            </w:r>
            <w:r w:rsidR="00B259E6" w:rsidRPr="006D03CA">
              <w:rPr>
                <w:b/>
                <w:i/>
                <w:sz w:val="24"/>
                <w:u w:val="single"/>
              </w:rPr>
              <w:t xml:space="preserve"> ietekme</w:t>
            </w:r>
            <w:r w:rsidR="00C31912">
              <w:rPr>
                <w:b/>
                <w:i/>
                <w:sz w:val="24"/>
                <w:u w:val="single"/>
              </w:rPr>
              <w:t>s</w:t>
            </w:r>
            <w:r>
              <w:rPr>
                <w:b/>
                <w:i/>
                <w:sz w:val="24"/>
                <w:u w:val="single"/>
              </w:rPr>
              <w:t xml:space="preserve"> nosacījums</w:t>
            </w:r>
            <w:r w:rsidR="00C31912">
              <w:rPr>
                <w:b/>
                <w:i/>
                <w:sz w:val="24"/>
                <w:u w:val="single"/>
              </w:rPr>
              <w:t>:</w:t>
            </w:r>
          </w:p>
          <w:p w14:paraId="5D6966A3" w14:textId="1D1C05E3" w:rsidR="00C31912" w:rsidRDefault="00B259E6" w:rsidP="00197606">
            <w:pPr>
              <w:ind w:left="37"/>
              <w:jc w:val="both"/>
            </w:pPr>
            <w:r w:rsidRPr="006D03CA">
              <w:lastRenderedPageBreak/>
              <w:t xml:space="preserve">MK noteikumu Nr.1065 23.punkts </w:t>
            </w:r>
            <w:r w:rsidR="00A57491">
              <w:t xml:space="preserve">spēkā esošajā redakcijā </w:t>
            </w:r>
            <w:r w:rsidRPr="006D03CA">
              <w:t>ir attiecināms uz visiem noteikumu 7.punktā minētajiem saimnieciskās darbības veicējiem</w:t>
            </w:r>
            <w:r w:rsidR="00A57491">
              <w:t>. Ņemot vērā, ka s</w:t>
            </w:r>
            <w:r w:rsidR="00A57491" w:rsidRPr="00A57491">
              <w:t>timulējošās ietekmes nosacījumi</w:t>
            </w:r>
            <w:r w:rsidR="00E94A7C">
              <w:t xml:space="preserve"> </w:t>
            </w:r>
            <w:r w:rsidR="00A57491">
              <w:t xml:space="preserve">ir attiecināmi tikai uz MK noteikumu </w:t>
            </w:r>
            <w:r w:rsidR="001B05A3">
              <w:t>N</w:t>
            </w:r>
            <w:r w:rsidR="00A57491">
              <w:t xml:space="preserve">r.1065 7.3. un 7.4.apakšpunktā noteiktajiem saimnieciskās darbības veicējiem, skaidra tiesiskā regulējuma nodrošināšanai ir </w:t>
            </w:r>
            <w:r w:rsidR="00C31912">
              <w:t>jāprecizē konkrētā norma</w:t>
            </w:r>
            <w:r w:rsidR="00611B84">
              <w:t>, nosakot, ka šis MK noteikumu Nr.</w:t>
            </w:r>
            <w:r w:rsidR="00907483">
              <w:t>1065</w:t>
            </w:r>
            <w:r w:rsidR="00611B84">
              <w:t xml:space="preserve"> punkts nav jāpiemēro </w:t>
            </w:r>
            <w:r w:rsidR="00907483">
              <w:t>7.1., 7.2. un 7.5.</w:t>
            </w:r>
            <w:r w:rsidR="005D2986">
              <w:t>apakš</w:t>
            </w:r>
            <w:r w:rsidR="00907483">
              <w:t>punktā noteiktajiem saimnieciskās darbības veicējiem.</w:t>
            </w:r>
          </w:p>
          <w:p w14:paraId="5A5CD179" w14:textId="6AA3260D" w:rsidR="00B259E6" w:rsidRPr="006D03CA" w:rsidRDefault="00B259E6" w:rsidP="00BF19AF">
            <w:pPr>
              <w:ind w:left="37"/>
              <w:jc w:val="both"/>
            </w:pPr>
            <w:r w:rsidRPr="006D03CA">
              <w:t xml:space="preserve">Vienlaikus, lai novērstu iespējamās interpretācijas (t.i., saimnieciskās darbības veicējs var būt uzsācis biznesa plāna īstenošanu, bet nav uzsācis darbu pie konkrētā atbalstītā projekta posma vai uzsācis konkrēto darbību) attiecībā uz stimulējošās ietekmes nosacījumu atbilstošu piemērošanu, punkts papildināts </w:t>
            </w:r>
            <w:r w:rsidR="00E94A7C">
              <w:t xml:space="preserve">arī </w:t>
            </w:r>
            <w:r w:rsidRPr="006D03CA">
              <w:t xml:space="preserve">ar atsauci uz Komisijas regulas Nr.702/2014 6.panta 2.punktu un </w:t>
            </w:r>
            <w:r w:rsidR="00BF19AF">
              <w:t xml:space="preserve">Komisijas regulas (ES) Nr. 1388/2014 (2014. gada 16. decembris), ar ko konkrētas atbalsta kategorijas uzņēmumiem, kuri nodarbojas ar zvejas un akvakultūras produktu ražošanu, apstrādi un tirdzniecību, atzīst par saderīgām ar iekšējo tirgu, piemērojot Līguma par Eiropas Savienības darbību 107. un 108. pantu (turpmāk - </w:t>
            </w:r>
            <w:r w:rsidRPr="006D03CA">
              <w:t>Komisijas regula Nr.1388/</w:t>
            </w:r>
            <w:r w:rsidRPr="00E81FE9">
              <w:rPr>
                <w:rFonts w:eastAsia="Times New Roman"/>
                <w:bCs/>
              </w:rPr>
              <w:t>2014</w:t>
            </w:r>
            <w:r w:rsidR="00BF19AF">
              <w:rPr>
                <w:rFonts w:eastAsia="Times New Roman"/>
                <w:bCs/>
              </w:rPr>
              <w:t>)</w:t>
            </w:r>
            <w:r w:rsidRPr="006D03CA">
              <w:t xml:space="preserve"> 6.panta 2.punktu. </w:t>
            </w:r>
          </w:p>
          <w:p w14:paraId="35DCF589" w14:textId="77777777" w:rsidR="00B259E6" w:rsidRPr="006D03CA" w:rsidRDefault="00B259E6" w:rsidP="006D03CA">
            <w:pPr>
              <w:ind w:left="82" w:right="168" w:firstLine="567"/>
              <w:jc w:val="both"/>
            </w:pPr>
          </w:p>
          <w:p w14:paraId="78C455CB" w14:textId="4A18C08F" w:rsidR="00B259E6" w:rsidRPr="00925AF0" w:rsidRDefault="00B27CDB" w:rsidP="00FE00E8">
            <w:pPr>
              <w:pStyle w:val="ListParagraph"/>
              <w:numPr>
                <w:ilvl w:val="0"/>
                <w:numId w:val="52"/>
              </w:numPr>
              <w:ind w:left="37" w:right="40" w:firstLine="0"/>
              <w:jc w:val="both"/>
              <w:rPr>
                <w:b/>
                <w:i/>
                <w:sz w:val="24"/>
                <w:u w:val="single"/>
              </w:rPr>
            </w:pPr>
            <w:r w:rsidRPr="00925AF0">
              <w:rPr>
                <w:b/>
                <w:i/>
                <w:sz w:val="24"/>
                <w:u w:val="single"/>
              </w:rPr>
              <w:t xml:space="preserve">Noteikt </w:t>
            </w:r>
            <w:r w:rsidR="00B259E6" w:rsidRPr="00925AF0">
              <w:rPr>
                <w:b/>
                <w:i/>
                <w:sz w:val="24"/>
                <w:u w:val="single"/>
              </w:rPr>
              <w:t xml:space="preserve"> </w:t>
            </w:r>
            <w:r w:rsidR="00D35C19" w:rsidRPr="00925AF0">
              <w:rPr>
                <w:b/>
                <w:i/>
                <w:sz w:val="24"/>
                <w:u w:val="single"/>
              </w:rPr>
              <w:t xml:space="preserve">vispārīgas </w:t>
            </w:r>
            <w:r w:rsidR="00B259E6" w:rsidRPr="00925AF0">
              <w:rPr>
                <w:b/>
                <w:i/>
                <w:sz w:val="24"/>
                <w:u w:val="single"/>
              </w:rPr>
              <w:t>prasības</w:t>
            </w:r>
            <w:r w:rsidR="004D430E" w:rsidRPr="00925AF0">
              <w:rPr>
                <w:b/>
                <w:i/>
                <w:sz w:val="24"/>
                <w:u w:val="single"/>
              </w:rPr>
              <w:t xml:space="preserve">, kuru atbilstību vērtē </w:t>
            </w:r>
            <w:proofErr w:type="spellStart"/>
            <w:r w:rsidR="004D430E" w:rsidRPr="00925AF0">
              <w:rPr>
                <w:b/>
                <w:i/>
                <w:sz w:val="24"/>
                <w:u w:val="single"/>
              </w:rPr>
              <w:t>Altum</w:t>
            </w:r>
            <w:proofErr w:type="spellEnd"/>
            <w:r w:rsidR="004D430E" w:rsidRPr="00925AF0">
              <w:rPr>
                <w:b/>
                <w:i/>
                <w:sz w:val="24"/>
                <w:u w:val="single"/>
              </w:rPr>
              <w:t>, pieņemot lēmumu par aizdevuma piešķiršanu</w:t>
            </w:r>
            <w:r w:rsidR="0058577B" w:rsidRPr="00925AF0">
              <w:rPr>
                <w:b/>
                <w:i/>
                <w:sz w:val="24"/>
                <w:u w:val="single"/>
              </w:rPr>
              <w:t>:</w:t>
            </w:r>
          </w:p>
          <w:p w14:paraId="1A2E6A22" w14:textId="42B710B3" w:rsidR="00B259E6" w:rsidRPr="00925AF0" w:rsidRDefault="00E142DB" w:rsidP="00925AF0">
            <w:pPr>
              <w:ind w:right="40"/>
              <w:jc w:val="both"/>
            </w:pPr>
            <w:r>
              <w:t>MK noteikum</w:t>
            </w:r>
            <w:r w:rsidR="00DA7A6D">
              <w:t xml:space="preserve">i </w:t>
            </w:r>
            <w:r>
              <w:t xml:space="preserve">Nr.1065 ir </w:t>
            </w:r>
            <w:r w:rsidR="00DA7A6D">
              <w:t xml:space="preserve">papildināti ar </w:t>
            </w:r>
            <w:r>
              <w:t>aizdevuma pieteikuma vērtēšanas pamatprincipi</w:t>
            </w:r>
            <w:r w:rsidR="00DA7A6D">
              <w:t>em</w:t>
            </w:r>
            <w:r w:rsidR="0075439B">
              <w:t>, paplašinot MK noteikumu Nr. 1065 17., 24. un 30.</w:t>
            </w:r>
            <w:r w:rsidR="0075439B" w:rsidRPr="00FE00E8">
              <w:rPr>
                <w:vertAlign w:val="superscript"/>
              </w:rPr>
              <w:t xml:space="preserve">4 </w:t>
            </w:r>
            <w:r w:rsidR="0075439B">
              <w:t>punktu</w:t>
            </w:r>
            <w:r w:rsidR="00165DB9">
              <w:t xml:space="preserve">, </w:t>
            </w:r>
            <w:r w:rsidR="0075439B">
              <w:t xml:space="preserve">tajos </w:t>
            </w:r>
            <w:r w:rsidR="00165DB9">
              <w:t xml:space="preserve">ietverot arī </w:t>
            </w:r>
            <w:r w:rsidR="00925AF0">
              <w:t>MK noteikumu Nr.</w:t>
            </w:r>
            <w:r w:rsidR="00925AF0" w:rsidRPr="00925AF0">
              <w:t>1065 28.</w:t>
            </w:r>
            <w:r w:rsidR="00925AF0" w:rsidRPr="00925AF0">
              <w:rPr>
                <w:vertAlign w:val="superscript"/>
              </w:rPr>
              <w:t xml:space="preserve">¹ </w:t>
            </w:r>
            <w:r w:rsidR="00925AF0" w:rsidRPr="00925AF0">
              <w:t xml:space="preserve">punktā </w:t>
            </w:r>
            <w:r w:rsidR="00165DB9">
              <w:t xml:space="preserve">ietverto nosacījumu par </w:t>
            </w:r>
            <w:r w:rsidR="00DA7A6D">
              <w:t xml:space="preserve">saimnieciskās darbības veicējam </w:t>
            </w:r>
            <w:r w:rsidR="00165DB9">
              <w:t xml:space="preserve">nodrošināmo </w:t>
            </w:r>
            <w:r w:rsidR="00DA7A6D">
              <w:t>līdzdalības apmēr</w:t>
            </w:r>
            <w:r w:rsidR="00165DB9">
              <w:t>u</w:t>
            </w:r>
            <w:r w:rsidR="00FE06A6">
              <w:t>, tāpēc</w:t>
            </w:r>
            <w:r w:rsidR="00DA7A6D">
              <w:t xml:space="preserve"> </w:t>
            </w:r>
            <w:r w:rsidR="00B259E6" w:rsidRPr="00925AF0">
              <w:t>attiecīgi svītrots MK noteikumu Nr.1065 28.</w:t>
            </w:r>
            <w:r w:rsidR="00B259E6" w:rsidRPr="00925AF0">
              <w:rPr>
                <w:vertAlign w:val="superscript"/>
              </w:rPr>
              <w:t xml:space="preserve">¹ </w:t>
            </w:r>
            <w:r w:rsidR="00B259E6" w:rsidRPr="00925AF0">
              <w:t xml:space="preserve">punkts. </w:t>
            </w:r>
          </w:p>
          <w:p w14:paraId="73447164" w14:textId="77777777" w:rsidR="005A6EAC" w:rsidRPr="006D03CA" w:rsidRDefault="005A6EAC" w:rsidP="006D03CA">
            <w:pPr>
              <w:ind w:right="168"/>
              <w:jc w:val="both"/>
            </w:pPr>
          </w:p>
          <w:p w14:paraId="4C5F5C6C" w14:textId="77777777" w:rsidR="00B259E6" w:rsidRPr="006D03CA" w:rsidRDefault="00B259E6" w:rsidP="00FE00E8">
            <w:pPr>
              <w:pStyle w:val="ListParagraph"/>
              <w:numPr>
                <w:ilvl w:val="0"/>
                <w:numId w:val="52"/>
              </w:numPr>
              <w:ind w:left="37" w:right="168" w:firstLine="0"/>
              <w:jc w:val="both"/>
              <w:rPr>
                <w:b/>
                <w:i/>
                <w:sz w:val="24"/>
                <w:u w:val="single"/>
              </w:rPr>
            </w:pPr>
            <w:r w:rsidRPr="006D03CA">
              <w:rPr>
                <w:b/>
                <w:i/>
                <w:sz w:val="24"/>
                <w:u w:val="single"/>
              </w:rPr>
              <w:t>Tehniski precizējumi</w:t>
            </w:r>
          </w:p>
          <w:p w14:paraId="55600519" w14:textId="4F75DA46" w:rsidR="006D5123" w:rsidRDefault="006D5123" w:rsidP="00FE00E8">
            <w:pPr>
              <w:pStyle w:val="ListParagraph"/>
              <w:numPr>
                <w:ilvl w:val="0"/>
                <w:numId w:val="54"/>
              </w:numPr>
              <w:spacing w:after="120"/>
              <w:ind w:left="320" w:right="40"/>
              <w:jc w:val="both"/>
              <w:rPr>
                <w:sz w:val="24"/>
              </w:rPr>
            </w:pPr>
            <w:r>
              <w:rPr>
                <w:sz w:val="24"/>
              </w:rPr>
              <w:t>Noteikumu projekta 1.punktā svītrots vārdu savienojums “</w:t>
            </w:r>
            <w:r w:rsidRPr="006D5123">
              <w:rPr>
                <w:sz w:val="24"/>
              </w:rPr>
              <w:t>un tādu lauksaimniecības un mežsaimniecības pakalpojumu kooperatīvo sabiedrību attīstību, kuras atbilst normatīvajos aktos noteiktajiem atbilstības kritērijiem</w:t>
            </w:r>
            <w:r>
              <w:rPr>
                <w:sz w:val="24"/>
              </w:rPr>
              <w:t>”</w:t>
            </w:r>
            <w:r w:rsidR="007575F7">
              <w:rPr>
                <w:sz w:val="24"/>
              </w:rPr>
              <w:t>, jo saimnieciskās darbības veicēj</w:t>
            </w:r>
            <w:r w:rsidR="00792757">
              <w:rPr>
                <w:sz w:val="24"/>
              </w:rPr>
              <w:t>u</w:t>
            </w:r>
            <w:r w:rsidR="007575F7">
              <w:rPr>
                <w:sz w:val="24"/>
              </w:rPr>
              <w:t xml:space="preserve"> </w:t>
            </w:r>
            <w:r w:rsidR="00792757">
              <w:rPr>
                <w:sz w:val="24"/>
              </w:rPr>
              <w:t>veido</w:t>
            </w:r>
            <w:r w:rsidR="007575F7">
              <w:rPr>
                <w:sz w:val="24"/>
              </w:rPr>
              <w:t xml:space="preserve"> </w:t>
            </w:r>
            <w:r w:rsidR="00792757">
              <w:rPr>
                <w:sz w:val="24"/>
              </w:rPr>
              <w:t xml:space="preserve">jau </w:t>
            </w:r>
            <w:r w:rsidR="007575F7">
              <w:rPr>
                <w:sz w:val="24"/>
              </w:rPr>
              <w:t>ir</w:t>
            </w:r>
            <w:r w:rsidR="00792757">
              <w:rPr>
                <w:sz w:val="24"/>
              </w:rPr>
              <w:t xml:space="preserve"> uzskaitīti</w:t>
            </w:r>
            <w:r w:rsidR="007575F7">
              <w:rPr>
                <w:sz w:val="24"/>
              </w:rPr>
              <w:t xml:space="preserve"> MK noteikumu Nr.1065 7.punktā;</w:t>
            </w:r>
          </w:p>
          <w:p w14:paraId="77438658" w14:textId="08416A59" w:rsidR="008B2353" w:rsidRDefault="008B2353" w:rsidP="00FE00E8">
            <w:pPr>
              <w:pStyle w:val="ListParagraph"/>
              <w:numPr>
                <w:ilvl w:val="0"/>
                <w:numId w:val="54"/>
              </w:numPr>
              <w:spacing w:after="120"/>
              <w:ind w:left="320" w:right="40"/>
              <w:jc w:val="both"/>
              <w:rPr>
                <w:sz w:val="24"/>
              </w:rPr>
            </w:pPr>
            <w:r w:rsidRPr="008B2353">
              <w:rPr>
                <w:sz w:val="24"/>
              </w:rPr>
              <w:t>2019.gada 1.janvārī spēkā stājās jaunais Kooperatīvo sabiedrību likums, kurā vairs nav paredzēts kooperatīvo sabiedrību veidu iedalījums, taču atbilstības statusa iegūšanai atbilstošos kritērijus attiecīgās lauksaimniecības, mežsaimniecības vai mājražošanas kooperatīvajām sabiedrībām noteiks Ministru kabineta noteikumi. Ņemot vērā šo, attiecīgi precizēt</w:t>
            </w:r>
            <w:r>
              <w:rPr>
                <w:sz w:val="24"/>
              </w:rPr>
              <w:t>s</w:t>
            </w:r>
            <w:r w:rsidRPr="008B2353">
              <w:rPr>
                <w:sz w:val="24"/>
              </w:rPr>
              <w:t xml:space="preserve"> 7.1.apakšpunkt</w:t>
            </w:r>
            <w:r>
              <w:rPr>
                <w:sz w:val="24"/>
              </w:rPr>
              <w:t>s</w:t>
            </w:r>
            <w:r w:rsidRPr="008B2353">
              <w:rPr>
                <w:sz w:val="24"/>
              </w:rPr>
              <w:t xml:space="preserve">, lai precizētu saimnieciskās darbības </w:t>
            </w:r>
            <w:r w:rsidRPr="008B2353">
              <w:rPr>
                <w:sz w:val="24"/>
              </w:rPr>
              <w:lastRenderedPageBreak/>
              <w:t>veicēju formulējumu atbilstoši jaunajai Kooperatīvo sabiedrību likuma normai</w:t>
            </w:r>
            <w:r>
              <w:rPr>
                <w:sz w:val="24"/>
              </w:rPr>
              <w:t>;</w:t>
            </w:r>
          </w:p>
          <w:p w14:paraId="016971B5" w14:textId="3E236679" w:rsidR="00B259E6" w:rsidRDefault="00B259E6" w:rsidP="00FE00E8">
            <w:pPr>
              <w:pStyle w:val="ListParagraph"/>
              <w:numPr>
                <w:ilvl w:val="0"/>
                <w:numId w:val="54"/>
              </w:numPr>
              <w:spacing w:after="120"/>
              <w:ind w:left="320" w:right="40"/>
              <w:jc w:val="both"/>
              <w:rPr>
                <w:sz w:val="24"/>
              </w:rPr>
            </w:pPr>
            <w:r w:rsidRPr="006D03CA">
              <w:rPr>
                <w:sz w:val="24"/>
              </w:rPr>
              <w:t xml:space="preserve">Noteikumu projekta 4.punktā precizēts </w:t>
            </w:r>
            <w:proofErr w:type="spellStart"/>
            <w:r w:rsidRPr="006D03CA">
              <w:rPr>
                <w:sz w:val="24"/>
              </w:rPr>
              <w:t>Altum</w:t>
            </w:r>
            <w:proofErr w:type="spellEnd"/>
            <w:r w:rsidRPr="006D03CA">
              <w:rPr>
                <w:sz w:val="24"/>
              </w:rPr>
              <w:t xml:space="preserve"> nosaukums;</w:t>
            </w:r>
          </w:p>
          <w:p w14:paraId="6F1F1376" w14:textId="623F44B2" w:rsidR="00AE5D5B" w:rsidRPr="00B20065" w:rsidRDefault="00A21620" w:rsidP="00FE00E8">
            <w:pPr>
              <w:pStyle w:val="ListParagraph"/>
              <w:numPr>
                <w:ilvl w:val="0"/>
                <w:numId w:val="54"/>
              </w:numPr>
              <w:spacing w:after="120"/>
              <w:ind w:left="320" w:right="40"/>
              <w:jc w:val="both"/>
              <w:rPr>
                <w:sz w:val="24"/>
              </w:rPr>
            </w:pPr>
            <w:r w:rsidRPr="00A21620">
              <w:rPr>
                <w:sz w:val="24"/>
              </w:rPr>
              <w:t>dzēsti MK noteikumu Nr. 1065 8.</w:t>
            </w:r>
            <w:r w:rsidR="00E04194">
              <w:rPr>
                <w:sz w:val="24"/>
                <w:vertAlign w:val="superscript"/>
              </w:rPr>
              <w:t>1</w:t>
            </w:r>
            <w:r w:rsidRPr="00A21620">
              <w:rPr>
                <w:sz w:val="24"/>
              </w:rPr>
              <w:t xml:space="preserve"> un 8.</w:t>
            </w:r>
            <w:r w:rsidR="00E04194">
              <w:rPr>
                <w:sz w:val="24"/>
                <w:vertAlign w:val="superscript"/>
              </w:rPr>
              <w:t>2</w:t>
            </w:r>
            <w:r w:rsidRPr="00A21620">
              <w:rPr>
                <w:sz w:val="24"/>
              </w:rPr>
              <w:t xml:space="preserve"> punkti, lai pamātā mazinātu ALTUM un saimnieciskās darbības veicēju administratīvo slogu, jo MK noteikumu Nr. 1065 sākotnējās ietekmes novērtējuma ziņojumā (anotācija) teikts, lai sabiedrība </w:t>
            </w:r>
            <w:proofErr w:type="spellStart"/>
            <w:r w:rsidRPr="00A21620">
              <w:rPr>
                <w:sz w:val="24"/>
              </w:rPr>
              <w:t>Altum</w:t>
            </w:r>
            <w:proofErr w:type="spellEnd"/>
            <w:r w:rsidRPr="00A21620">
              <w:rPr>
                <w:sz w:val="24"/>
              </w:rPr>
              <w:t xml:space="preserve"> nekonkurētu ar komercbankām kreditēšanas tirgū, ja pieprasītā aizdevuma summa pārsniedz 100 000 </w:t>
            </w:r>
            <w:proofErr w:type="spellStart"/>
            <w:r w:rsidRPr="00A21620">
              <w:rPr>
                <w:sz w:val="24"/>
              </w:rPr>
              <w:t>euro</w:t>
            </w:r>
            <w:proofErr w:type="spellEnd"/>
            <w:r w:rsidRPr="00A21620">
              <w:rPr>
                <w:sz w:val="24"/>
              </w:rPr>
              <w:t xml:space="preserve">, saimnieciskās darbības veicējam kopā ar aizdevuma pieteikumu ir jāiesniedz sabiedrībā </w:t>
            </w:r>
            <w:proofErr w:type="spellStart"/>
            <w:r w:rsidRPr="00A21620">
              <w:rPr>
                <w:sz w:val="24"/>
              </w:rPr>
              <w:t>Altum</w:t>
            </w:r>
            <w:proofErr w:type="spellEnd"/>
            <w:r w:rsidRPr="00A21620">
              <w:rPr>
                <w:sz w:val="24"/>
              </w:rPr>
              <w:t xml:space="preserve"> kredītiestādes piekrišanas vēstule vai e-pasta izdruka, kurā saimnieciskās darbības veicējam ir saistības vai saimnieciskās darbības veicēja vēstules kopija kredītiestādei par atteikšanos pieņemt kredītiestādes piedāvātā aizdevuma nosacījumus. Šāda pieeja tika balstīta un saskaņota ar Latvijas Finanšu nozares asociāciju uz to, ka kredītiestādes savā starpā konkurē par dzīvotspējīgu projektu finansēšanu, kuru administrēšanai jāpatērē pēc iespējas mazāk resursu.</w:t>
            </w:r>
            <w:r w:rsidR="00AE5D5B" w:rsidRPr="00B20065">
              <w:rPr>
                <w:sz w:val="24"/>
              </w:rPr>
              <w:t>;</w:t>
            </w:r>
          </w:p>
          <w:p w14:paraId="453BD165" w14:textId="723B3A69" w:rsidR="00B259E6" w:rsidRDefault="00B259E6" w:rsidP="00FE00E8">
            <w:pPr>
              <w:pStyle w:val="ListParagraph"/>
              <w:numPr>
                <w:ilvl w:val="0"/>
                <w:numId w:val="54"/>
              </w:numPr>
              <w:spacing w:after="120"/>
              <w:ind w:left="320" w:right="40"/>
              <w:jc w:val="both"/>
              <w:rPr>
                <w:sz w:val="24"/>
              </w:rPr>
            </w:pPr>
            <w:r w:rsidRPr="006D03CA">
              <w:rPr>
                <w:sz w:val="24"/>
              </w:rPr>
              <w:t>dzēst</w:t>
            </w:r>
            <w:r w:rsidR="00AE5D5B">
              <w:rPr>
                <w:sz w:val="24"/>
              </w:rPr>
              <w:t>s</w:t>
            </w:r>
            <w:r w:rsidRPr="006D03CA">
              <w:rPr>
                <w:sz w:val="24"/>
              </w:rPr>
              <w:t xml:space="preserve"> MK noteikumu Nr.1065 9.punkts, jo šim punktam nav juridiskās noslodzes;</w:t>
            </w:r>
          </w:p>
          <w:p w14:paraId="0794F4F9" w14:textId="52A7428A" w:rsidR="008B2353" w:rsidRPr="00973558" w:rsidRDefault="008B2353" w:rsidP="008B2353">
            <w:pPr>
              <w:pStyle w:val="ListParagraph"/>
              <w:numPr>
                <w:ilvl w:val="0"/>
                <w:numId w:val="54"/>
              </w:numPr>
              <w:spacing w:after="120"/>
              <w:ind w:left="320" w:right="40"/>
              <w:jc w:val="both"/>
              <w:rPr>
                <w:sz w:val="24"/>
              </w:rPr>
            </w:pPr>
            <w:r>
              <w:rPr>
                <w:sz w:val="24"/>
              </w:rPr>
              <w:t xml:space="preserve">noteikumu projekta 13 punktā precizēta atsauce uz </w:t>
            </w:r>
            <w:r w:rsidRPr="008B2353">
              <w:rPr>
                <w:sz w:val="24"/>
              </w:rPr>
              <w:t>Komisija Regulas Nr. 1388/2014 9. panta 2. punktam "c" apakšpunktā un 3. punktā noteiktajām prasībām</w:t>
            </w:r>
            <w:r>
              <w:rPr>
                <w:sz w:val="24"/>
              </w:rPr>
              <w:t>;</w:t>
            </w:r>
          </w:p>
          <w:p w14:paraId="22DCE2B7" w14:textId="77777777" w:rsidR="00B259E6" w:rsidRPr="006D03CA" w:rsidRDefault="00B259E6" w:rsidP="00FE00E8">
            <w:pPr>
              <w:pStyle w:val="ListParagraph"/>
              <w:numPr>
                <w:ilvl w:val="0"/>
                <w:numId w:val="54"/>
              </w:numPr>
              <w:spacing w:after="120"/>
              <w:ind w:left="320" w:right="40"/>
              <w:jc w:val="both"/>
              <w:rPr>
                <w:sz w:val="24"/>
              </w:rPr>
            </w:pPr>
            <w:r w:rsidRPr="006D03CA">
              <w:rPr>
                <w:sz w:val="24"/>
              </w:rPr>
              <w:t xml:space="preserve">lai salāgotu MK noteikumu Nr.1065 nosacījumus ar citiem finanšu instrumentiem un nodrošinātu informāciju pieprasīšanu pēc satura, nevis dokumenta nosaukuma, precizēts MK noteikumu Nr.1065 16.punkts, nosakot, ka atbalsta saņēmējam iesniedz pieteikumu, kurā ietverts biznesa projekta apraksts, kā arī cita sabiedrības </w:t>
            </w:r>
            <w:proofErr w:type="spellStart"/>
            <w:r w:rsidRPr="006D03CA">
              <w:rPr>
                <w:sz w:val="24"/>
              </w:rPr>
              <w:t>Altum</w:t>
            </w:r>
            <w:proofErr w:type="spellEnd"/>
            <w:r w:rsidRPr="006D03CA">
              <w:rPr>
                <w:sz w:val="24"/>
              </w:rPr>
              <w:t xml:space="preserve"> norādītā informācija;</w:t>
            </w:r>
          </w:p>
          <w:p w14:paraId="0EF24F50" w14:textId="1D8698FB" w:rsidR="00B259E6" w:rsidRPr="00B14079" w:rsidRDefault="00B259E6" w:rsidP="00FE00E8">
            <w:pPr>
              <w:pStyle w:val="ListParagraph"/>
              <w:numPr>
                <w:ilvl w:val="0"/>
                <w:numId w:val="54"/>
              </w:numPr>
              <w:spacing w:after="120"/>
              <w:ind w:left="320" w:right="40"/>
              <w:jc w:val="both"/>
              <w:rPr>
                <w:sz w:val="24"/>
              </w:rPr>
            </w:pPr>
            <w:r w:rsidRPr="00B14079">
              <w:rPr>
                <w:sz w:val="24"/>
              </w:rPr>
              <w:t>dzēst</w:t>
            </w:r>
            <w:r w:rsidR="00AA6BF3" w:rsidRPr="00B14079">
              <w:rPr>
                <w:sz w:val="24"/>
              </w:rPr>
              <w:t>s</w:t>
            </w:r>
            <w:r w:rsidRPr="00B14079">
              <w:rPr>
                <w:sz w:val="24"/>
              </w:rPr>
              <w:t xml:space="preserve"> MK noteikumu Nr.1065 30.</w:t>
            </w:r>
            <w:r w:rsidRPr="00B14079">
              <w:rPr>
                <w:sz w:val="24"/>
                <w:vertAlign w:val="superscript"/>
              </w:rPr>
              <w:t>6</w:t>
            </w:r>
            <w:r w:rsidRPr="00B14079">
              <w:rPr>
                <w:sz w:val="24"/>
              </w:rPr>
              <w:t xml:space="preserve"> punkt</w:t>
            </w:r>
            <w:r w:rsidR="00AA6BF3" w:rsidRPr="00B14079">
              <w:rPr>
                <w:sz w:val="24"/>
              </w:rPr>
              <w:t>s;</w:t>
            </w:r>
          </w:p>
          <w:p w14:paraId="1338961B" w14:textId="1210BB3D" w:rsidR="00B25975" w:rsidRPr="00B14079" w:rsidRDefault="005365D5" w:rsidP="00FE00E8">
            <w:pPr>
              <w:pStyle w:val="ListParagraph"/>
              <w:numPr>
                <w:ilvl w:val="0"/>
                <w:numId w:val="54"/>
              </w:numPr>
              <w:spacing w:after="120"/>
              <w:ind w:left="320" w:right="40"/>
              <w:jc w:val="both"/>
              <w:rPr>
                <w:sz w:val="24"/>
              </w:rPr>
            </w:pPr>
            <w:bookmarkStart w:id="3" w:name="_Hlk5890135"/>
            <w:r w:rsidRPr="00B14079">
              <w:rPr>
                <w:sz w:val="24"/>
              </w:rPr>
              <w:t>MK noteikumu Nr.1065 18., 18.</w:t>
            </w:r>
            <w:r w:rsidR="006E02B0">
              <w:rPr>
                <w:sz w:val="24"/>
                <w:vertAlign w:val="superscript"/>
              </w:rPr>
              <w:t>1</w:t>
            </w:r>
            <w:r w:rsidRPr="00B14079">
              <w:rPr>
                <w:sz w:val="24"/>
              </w:rPr>
              <w:t xml:space="preserve"> punktos papildināts aiz pirmā teikuma iekļaujot teikumu “Apgrozāmo līdzekļu  aizdevuma termiņš – līdz 5</w:t>
            </w:r>
            <w:r w:rsidR="00AF66DD">
              <w:rPr>
                <w:sz w:val="24"/>
              </w:rPr>
              <w:t xml:space="preserve"> </w:t>
            </w:r>
            <w:r w:rsidRPr="00B14079">
              <w:rPr>
                <w:sz w:val="24"/>
              </w:rPr>
              <w:t>gadiem.” un aizstāt vārdu savienojum</w:t>
            </w:r>
            <w:r w:rsidR="000D109C">
              <w:rPr>
                <w:sz w:val="24"/>
              </w:rPr>
              <w:t>u</w:t>
            </w:r>
            <w:r w:rsidRPr="00B14079">
              <w:rPr>
                <w:sz w:val="24"/>
              </w:rPr>
              <w:t xml:space="preserve"> “un kopējais aizdevuma termiņš nepārsniedz maksimālo termiņu”</w:t>
            </w:r>
            <w:r w:rsidR="00910A4C">
              <w:rPr>
                <w:sz w:val="24"/>
              </w:rPr>
              <w:t xml:space="preserve"> </w:t>
            </w:r>
            <w:r w:rsidR="00910A4C">
              <w:rPr>
                <w:szCs w:val="26"/>
              </w:rPr>
              <w:t xml:space="preserve">ar vārdiem “un sabiedrība </w:t>
            </w:r>
            <w:r w:rsidR="00910A4C" w:rsidRPr="009E4DE7">
              <w:rPr>
                <w:szCs w:val="26"/>
              </w:rPr>
              <w:t>"</w:t>
            </w:r>
            <w:proofErr w:type="spellStart"/>
            <w:r w:rsidR="00910A4C" w:rsidRPr="009E4DE7">
              <w:rPr>
                <w:szCs w:val="26"/>
              </w:rPr>
              <w:t>Altum</w:t>
            </w:r>
            <w:proofErr w:type="spellEnd"/>
            <w:r w:rsidR="00910A4C" w:rsidRPr="009E4DE7">
              <w:rPr>
                <w:szCs w:val="26"/>
              </w:rPr>
              <w:t>"</w:t>
            </w:r>
            <w:r w:rsidR="00910A4C">
              <w:rPr>
                <w:szCs w:val="26"/>
              </w:rPr>
              <w:t xml:space="preserve"> ir pieņēmusi lēmumu saskaņā ar šo noteikumu 17. punktu.”</w:t>
            </w:r>
            <w:r w:rsidRPr="00B14079">
              <w:rPr>
                <w:sz w:val="24"/>
              </w:rPr>
              <w:t>. Ņemot vērā, to ka līdz šim jau praksē aizdevumi apgrozāmajiem līdzekļiem tika izsniegti nepārsniedzot šādu termiņu, kas pamatoti ar īstermiņa aizdevuma struktūru, kā arī saimnieciskās darbības veicēja projekta īstenošanai nepieciešamo līdzfinansējumu, līdz ar to ar noteikumu grozījumiem tiek veikti precizējumi atbilstošajai situācijai</w:t>
            </w:r>
            <w:r w:rsidR="00FA0923" w:rsidRPr="00B14079">
              <w:rPr>
                <w:sz w:val="24"/>
              </w:rPr>
              <w:t>;</w:t>
            </w:r>
            <w:r w:rsidR="0098328D" w:rsidRPr="00B14079">
              <w:rPr>
                <w:sz w:val="24"/>
              </w:rPr>
              <w:t xml:space="preserve"> </w:t>
            </w:r>
          </w:p>
          <w:p w14:paraId="00D978D2" w14:textId="7CE348D2" w:rsidR="00B259E6" w:rsidRPr="00B14079" w:rsidRDefault="00C0325C" w:rsidP="00FE00E8">
            <w:pPr>
              <w:pStyle w:val="ListParagraph"/>
              <w:numPr>
                <w:ilvl w:val="0"/>
                <w:numId w:val="54"/>
              </w:numPr>
              <w:spacing w:after="120"/>
              <w:ind w:left="320" w:right="40"/>
              <w:jc w:val="both"/>
              <w:rPr>
                <w:sz w:val="24"/>
              </w:rPr>
            </w:pPr>
            <w:r w:rsidRPr="00B14079">
              <w:rPr>
                <w:sz w:val="24"/>
              </w:rPr>
              <w:t>MK noteikumu Nr.1065 un 27. punkts papildināts</w:t>
            </w:r>
            <w:r w:rsidR="0098328D" w:rsidRPr="00B14079">
              <w:rPr>
                <w:sz w:val="24"/>
              </w:rPr>
              <w:t xml:space="preserve"> ar vārdiem “</w:t>
            </w:r>
            <w:r w:rsidR="00AB62FC" w:rsidRPr="00B14079">
              <w:rPr>
                <w:sz w:val="24"/>
              </w:rPr>
              <w:t>un sabiedrība "</w:t>
            </w:r>
            <w:proofErr w:type="spellStart"/>
            <w:r w:rsidR="00AB62FC" w:rsidRPr="00B14079">
              <w:rPr>
                <w:sz w:val="24"/>
              </w:rPr>
              <w:t>Altum</w:t>
            </w:r>
            <w:proofErr w:type="spellEnd"/>
            <w:r w:rsidR="00AB62FC" w:rsidRPr="00B14079">
              <w:rPr>
                <w:sz w:val="24"/>
              </w:rPr>
              <w:t>" ir pieņēmusi lēmumu saskaņā ar šo noteikumu 17. punktu</w:t>
            </w:r>
            <w:r w:rsidR="0098328D" w:rsidRPr="00B14079">
              <w:rPr>
                <w:sz w:val="24"/>
              </w:rPr>
              <w:t>”</w:t>
            </w:r>
            <w:r w:rsidR="00B259E6" w:rsidRPr="00B14079">
              <w:rPr>
                <w:sz w:val="24"/>
              </w:rPr>
              <w:t>;</w:t>
            </w:r>
          </w:p>
          <w:bookmarkEnd w:id="3"/>
          <w:p w14:paraId="1381D093" w14:textId="49E41E93" w:rsidR="008B2353" w:rsidRPr="006D03CA" w:rsidRDefault="008B2353" w:rsidP="00FE00E8">
            <w:pPr>
              <w:pStyle w:val="ListParagraph"/>
              <w:numPr>
                <w:ilvl w:val="0"/>
                <w:numId w:val="54"/>
              </w:numPr>
              <w:spacing w:after="120"/>
              <w:ind w:left="320" w:right="40"/>
              <w:jc w:val="both"/>
              <w:rPr>
                <w:sz w:val="24"/>
              </w:rPr>
            </w:pPr>
            <w:r w:rsidRPr="008B2353">
              <w:rPr>
                <w:sz w:val="24"/>
              </w:rPr>
              <w:lastRenderedPageBreak/>
              <w:t xml:space="preserve">2019. gada 14. martā stājās spēkā Komisijas 2019. gada 21. februāra Regula Nr. 2019/316 ar ko groza Regulu Nr. 1408/2013 par Līguma par Eiropas Savienības darbību 107. un 108. panta piemērošanu </w:t>
            </w:r>
            <w:proofErr w:type="spellStart"/>
            <w:r w:rsidRPr="008B2353">
              <w:rPr>
                <w:sz w:val="24"/>
              </w:rPr>
              <w:t>de</w:t>
            </w:r>
            <w:proofErr w:type="spellEnd"/>
            <w:r w:rsidRPr="008B2353">
              <w:rPr>
                <w:sz w:val="24"/>
              </w:rPr>
              <w:t xml:space="preserve"> </w:t>
            </w:r>
            <w:proofErr w:type="spellStart"/>
            <w:r w:rsidRPr="008B2353">
              <w:rPr>
                <w:sz w:val="24"/>
              </w:rPr>
              <w:t>minimis</w:t>
            </w:r>
            <w:proofErr w:type="spellEnd"/>
            <w:r w:rsidRPr="008B2353">
              <w:rPr>
                <w:sz w:val="24"/>
              </w:rPr>
              <w:t xml:space="preserve"> atbalstam lauksaimniecības nozarē (turpmāk - regula). Eiropas Komisija ir devusi iespēju dalībvalstīm izvēlēties maksimālo atbalsta apjomu vienam pretendentam un valstij, izvēloties piemērot regulas ar 1. pantā 2. punktu izteiktajā 3. panta 2. un 3. punktu vai 3.a punktu. Informējam, ka no šī gada 14. marta var piemērot regulas ar 1. pantā 2. punktu izteiktajā 3. panta 3.a punktā noteiktos atbalsta griestus vienam vienotam uzņēmuma un dalībvalsts noteikto maksimālo apjomu triju fiskālo gadu periodā. Regulai atbilstoši precizējumi ir veikti Lauku atbalsta dienesta elektroniskās pieteikšanās sistēmā</w:t>
            </w:r>
            <w:r>
              <w:rPr>
                <w:sz w:val="24"/>
              </w:rPr>
              <w:t xml:space="preserve">. </w:t>
            </w:r>
            <w:r w:rsidRPr="008B2353">
              <w:rPr>
                <w:sz w:val="24"/>
              </w:rPr>
              <w:t>Tādēļ ir veikt</w:t>
            </w:r>
            <w:r>
              <w:rPr>
                <w:sz w:val="24"/>
              </w:rPr>
              <w:t>i</w:t>
            </w:r>
            <w:r w:rsidRPr="008B2353">
              <w:rPr>
                <w:sz w:val="24"/>
              </w:rPr>
              <w:t xml:space="preserve"> atbilstoš</w:t>
            </w:r>
            <w:r>
              <w:rPr>
                <w:sz w:val="24"/>
              </w:rPr>
              <w:t>i</w:t>
            </w:r>
            <w:r w:rsidRPr="008B2353">
              <w:rPr>
                <w:sz w:val="24"/>
              </w:rPr>
              <w:t xml:space="preserve"> grozījumus 19.2. apakšpunkt</w:t>
            </w:r>
            <w:r>
              <w:rPr>
                <w:sz w:val="24"/>
              </w:rPr>
              <w:t>ā;</w:t>
            </w:r>
          </w:p>
          <w:p w14:paraId="4B140F2D" w14:textId="19236C5F" w:rsidR="00B259E6" w:rsidRDefault="00B259E6" w:rsidP="00FE00E8">
            <w:pPr>
              <w:pStyle w:val="ListParagraph"/>
              <w:numPr>
                <w:ilvl w:val="0"/>
                <w:numId w:val="54"/>
              </w:numPr>
              <w:spacing w:after="120"/>
              <w:ind w:left="320" w:right="40"/>
              <w:jc w:val="both"/>
              <w:rPr>
                <w:sz w:val="24"/>
              </w:rPr>
            </w:pPr>
            <w:r w:rsidRPr="006D03CA">
              <w:rPr>
                <w:sz w:val="24"/>
              </w:rPr>
              <w:t xml:space="preserve">MK noteikumu Nr.1065 37.2.apakšpunkts ir papildināts ar atsaucēm uz Komisijas regulu Nr.1408/2013 un </w:t>
            </w:r>
            <w:r w:rsidR="00BF19AF">
              <w:rPr>
                <w:sz w:val="24"/>
              </w:rPr>
              <w:t>Komisijas regulu</w:t>
            </w:r>
            <w:r w:rsidR="00BF19AF" w:rsidRPr="00BF19AF">
              <w:rPr>
                <w:sz w:val="24"/>
              </w:rPr>
              <w:t xml:space="preserve"> (ES) Nr. 717/2014</w:t>
            </w:r>
            <w:r w:rsidR="00BF19AF">
              <w:rPr>
                <w:sz w:val="24"/>
              </w:rPr>
              <w:t xml:space="preserve"> </w:t>
            </w:r>
            <w:r w:rsidR="00BF19AF" w:rsidRPr="00BF19AF">
              <w:rPr>
                <w:sz w:val="24"/>
              </w:rPr>
              <w:t xml:space="preserve">(2014. gada 27. jūnijs) par Līguma par Eiropas Savienības darbību 107. un 108. panta piemērošanu </w:t>
            </w:r>
            <w:proofErr w:type="spellStart"/>
            <w:r w:rsidR="00BF19AF" w:rsidRPr="00CB4E9F">
              <w:rPr>
                <w:i/>
                <w:sz w:val="24"/>
              </w:rPr>
              <w:t>de</w:t>
            </w:r>
            <w:proofErr w:type="spellEnd"/>
            <w:r w:rsidR="00BF19AF" w:rsidRPr="00CB4E9F">
              <w:rPr>
                <w:i/>
                <w:sz w:val="24"/>
              </w:rPr>
              <w:t xml:space="preserve"> </w:t>
            </w:r>
            <w:proofErr w:type="spellStart"/>
            <w:r w:rsidR="00BF19AF" w:rsidRPr="00CB4E9F">
              <w:rPr>
                <w:i/>
                <w:sz w:val="24"/>
              </w:rPr>
              <w:t>minimis</w:t>
            </w:r>
            <w:proofErr w:type="spellEnd"/>
            <w:r w:rsidR="00BF19AF" w:rsidRPr="00BF19AF">
              <w:rPr>
                <w:sz w:val="24"/>
              </w:rPr>
              <w:t xml:space="preserve"> atbalstam zvejniecības un akvakultūras nozarē (turpmāk - </w:t>
            </w:r>
            <w:r w:rsidRPr="00BF19AF">
              <w:rPr>
                <w:sz w:val="24"/>
              </w:rPr>
              <w:t xml:space="preserve">Komisijas </w:t>
            </w:r>
            <w:r w:rsidR="00BF19AF" w:rsidRPr="00BF19AF">
              <w:rPr>
                <w:sz w:val="24"/>
              </w:rPr>
              <w:t xml:space="preserve">regula) </w:t>
            </w:r>
            <w:r w:rsidRPr="00BF19AF">
              <w:rPr>
                <w:sz w:val="24"/>
              </w:rPr>
              <w:t>Nr.717/2014, saskaņā ar kurām arī tiek sniegts valsts atbalsts šo noteikumu ietvaros;</w:t>
            </w:r>
          </w:p>
          <w:p w14:paraId="7F013653" w14:textId="041E073C" w:rsidR="00622A8E" w:rsidRPr="00BF19AF" w:rsidRDefault="00622A8E" w:rsidP="00FE00E8">
            <w:pPr>
              <w:pStyle w:val="ListParagraph"/>
              <w:numPr>
                <w:ilvl w:val="0"/>
                <w:numId w:val="54"/>
              </w:numPr>
              <w:spacing w:after="120"/>
              <w:ind w:left="320" w:right="40"/>
              <w:jc w:val="both"/>
              <w:rPr>
                <w:sz w:val="24"/>
              </w:rPr>
            </w:pPr>
            <w:r>
              <w:rPr>
                <w:sz w:val="24"/>
              </w:rPr>
              <w:t>l</w:t>
            </w:r>
            <w:r w:rsidRPr="00622A8E">
              <w:rPr>
                <w:sz w:val="24"/>
              </w:rPr>
              <w:t xml:space="preserve">ai nodrošinātu skaidru regulējumu par </w:t>
            </w:r>
            <w:r w:rsidR="00874C79" w:rsidRPr="00874C79">
              <w:rPr>
                <w:sz w:val="24"/>
              </w:rPr>
              <w:t>Komisijas 2014. gada 17. jūnija Regulas (ES) Nr. 651/2014, ar ko noteiktas atbalsta kategorijas atzīst par saderīgām ar iekšējo tirgu, piemērojot Līguma 107. un 108. pantu (Eiropas Savienības Oficiālais Vēstnesis, 2014. gada 26. jūnijs, L 187) (turpmāk –</w:t>
            </w:r>
            <w:r w:rsidR="00874C79">
              <w:rPr>
                <w:sz w:val="24"/>
              </w:rPr>
              <w:t xml:space="preserve"> R</w:t>
            </w:r>
            <w:r w:rsidR="00874C79" w:rsidRPr="00874C79">
              <w:rPr>
                <w:sz w:val="24"/>
              </w:rPr>
              <w:t>egula Nr. 651/2014)</w:t>
            </w:r>
            <w:r w:rsidRPr="00622A8E">
              <w:rPr>
                <w:sz w:val="24"/>
              </w:rPr>
              <w:t xml:space="preserve"> nosacījumu piemērošanu, nepieciešams </w:t>
            </w:r>
            <w:r>
              <w:rPr>
                <w:sz w:val="24"/>
              </w:rPr>
              <w:t>precizēt MK noteikumu Nr. 1065 44. punktu, nosakot</w:t>
            </w:r>
            <w:r w:rsidRPr="00622A8E">
              <w:rPr>
                <w:sz w:val="24"/>
              </w:rPr>
              <w:t xml:space="preserve">, ka </w:t>
            </w:r>
            <w:r w:rsidR="000256DD">
              <w:rPr>
                <w:sz w:val="24"/>
              </w:rPr>
              <w:t>R</w:t>
            </w:r>
            <w:r w:rsidRPr="00622A8E">
              <w:rPr>
                <w:sz w:val="24"/>
              </w:rPr>
              <w:t xml:space="preserve">egulas Nr.651/2014 14. pantā noteiktais nosacījums, ka atbalsta saņēmējam jānodrošina finansiāls ieguldījums vismaz 25 % apmērā no attiecināmajām izmaksām, izmantojot pašu līdzekļus vai ārējo finansējumu, par kuru nav saņemts nekāds publisks atbalsts, ir piemērojams tikai gadījumos, kad atbalsts tiek piešķirts saskaņā ar konkrēto 14. pantu, ne </w:t>
            </w:r>
            <w:r w:rsidR="000256DD">
              <w:rPr>
                <w:sz w:val="24"/>
              </w:rPr>
              <w:t>R</w:t>
            </w:r>
            <w:r w:rsidRPr="00622A8E">
              <w:rPr>
                <w:sz w:val="24"/>
              </w:rPr>
              <w:t>egulu Nr.651/2014 kopumā</w:t>
            </w:r>
            <w:r>
              <w:rPr>
                <w:sz w:val="24"/>
              </w:rPr>
              <w:t>;</w:t>
            </w:r>
          </w:p>
          <w:p w14:paraId="2543EADC" w14:textId="77777777" w:rsidR="00FE00E8" w:rsidRDefault="00B259E6" w:rsidP="00FE00E8">
            <w:pPr>
              <w:pStyle w:val="ListParagraph"/>
              <w:numPr>
                <w:ilvl w:val="0"/>
                <w:numId w:val="54"/>
              </w:numPr>
              <w:spacing w:after="120"/>
              <w:ind w:left="320" w:right="40"/>
              <w:jc w:val="both"/>
              <w:rPr>
                <w:sz w:val="24"/>
              </w:rPr>
            </w:pPr>
            <w:r w:rsidRPr="006D03CA">
              <w:rPr>
                <w:sz w:val="24"/>
              </w:rPr>
              <w:t xml:space="preserve">dzēsts MK noteikumu Nr.1065 46.punkts, jo garantiju kompensācijas izmaksu kārtību nosaka </w:t>
            </w:r>
            <w:proofErr w:type="spellStart"/>
            <w:r w:rsidRPr="006D03CA">
              <w:rPr>
                <w:sz w:val="24"/>
              </w:rPr>
              <w:t>Altum</w:t>
            </w:r>
            <w:proofErr w:type="spellEnd"/>
            <w:r w:rsidRPr="006D03CA">
              <w:rPr>
                <w:sz w:val="24"/>
              </w:rPr>
              <w:t xml:space="preserve"> iekšējās kārtībās</w:t>
            </w:r>
            <w:r w:rsidR="00FE00E8">
              <w:rPr>
                <w:sz w:val="24"/>
              </w:rPr>
              <w:t>;</w:t>
            </w:r>
          </w:p>
          <w:p w14:paraId="728E7773" w14:textId="7D049A45" w:rsidR="00FE00E8" w:rsidRDefault="00FE00E8" w:rsidP="00FE00E8">
            <w:pPr>
              <w:pStyle w:val="ListParagraph"/>
              <w:numPr>
                <w:ilvl w:val="0"/>
                <w:numId w:val="54"/>
              </w:numPr>
              <w:ind w:left="320"/>
              <w:jc w:val="both"/>
              <w:rPr>
                <w:sz w:val="24"/>
                <w:szCs w:val="24"/>
              </w:rPr>
            </w:pPr>
            <w:r>
              <w:rPr>
                <w:sz w:val="24"/>
                <w:szCs w:val="24"/>
              </w:rPr>
              <w:t>Precizēta MK noteikumu Nr. 1065 32. punkta redakcija, lai nodrošinātu skaidrāku tiesisko regulējumu. Normas būtību šīs izmaiņas neietekmē.</w:t>
            </w:r>
          </w:p>
          <w:p w14:paraId="349F4E84" w14:textId="77777777" w:rsidR="00FE00E8" w:rsidRPr="006654B6" w:rsidRDefault="00FE00E8" w:rsidP="00FE00E8">
            <w:pPr>
              <w:pStyle w:val="ListParagraph"/>
              <w:jc w:val="both"/>
              <w:rPr>
                <w:sz w:val="24"/>
                <w:szCs w:val="24"/>
              </w:rPr>
            </w:pPr>
          </w:p>
          <w:p w14:paraId="6E2BBB78" w14:textId="25880606" w:rsidR="00B259E6" w:rsidRPr="00FE00E8" w:rsidRDefault="00B259E6" w:rsidP="00FE00E8">
            <w:pPr>
              <w:pStyle w:val="ListParagraph"/>
              <w:numPr>
                <w:ilvl w:val="0"/>
                <w:numId w:val="49"/>
              </w:numPr>
              <w:autoSpaceDE w:val="0"/>
              <w:autoSpaceDN w:val="0"/>
              <w:adjustRightInd w:val="0"/>
              <w:spacing w:before="120" w:after="120"/>
              <w:ind w:right="168"/>
              <w:jc w:val="both"/>
              <w:rPr>
                <w:b/>
                <w:i/>
                <w:sz w:val="24"/>
                <w:szCs w:val="24"/>
                <w:u w:val="single"/>
              </w:rPr>
            </w:pPr>
            <w:r w:rsidRPr="00FE00E8">
              <w:rPr>
                <w:b/>
                <w:i/>
                <w:sz w:val="24"/>
                <w:szCs w:val="24"/>
                <w:u w:val="single"/>
              </w:rPr>
              <w:t>Programmas rādītāju novērtējums</w:t>
            </w:r>
          </w:p>
          <w:p w14:paraId="13B46328" w14:textId="71B0326F" w:rsidR="00B259E6" w:rsidRPr="006D03CA" w:rsidRDefault="00B259E6" w:rsidP="006D03CA">
            <w:pPr>
              <w:pStyle w:val="Default"/>
              <w:jc w:val="both"/>
            </w:pPr>
            <w:proofErr w:type="spellStart"/>
            <w:r w:rsidRPr="006D03CA">
              <w:t>Altum</w:t>
            </w:r>
            <w:proofErr w:type="spellEnd"/>
            <w:r w:rsidRPr="006D03CA">
              <w:t xml:space="preserve"> nodrošinās </w:t>
            </w:r>
            <w:r w:rsidR="00F12730">
              <w:t>n</w:t>
            </w:r>
            <w:r w:rsidRPr="006D03CA">
              <w:t xml:space="preserve">oteikumu projekta ietvaros īstenojamās atbalsta programmas ietekmes, risku un attiecīgi sagaidāmo zaudējumu, finansiālo rezultātu un programmas īstenošanas izvērtēšanu, lai ievērotu Attīstības finanšu institūcijas </w:t>
            </w:r>
            <w:r w:rsidRPr="006D03CA">
              <w:lastRenderedPageBreak/>
              <w:t xml:space="preserve">likuma 12.panta trešo daļu. Šo </w:t>
            </w:r>
            <w:proofErr w:type="spellStart"/>
            <w:r w:rsidRPr="006D03CA">
              <w:t>izvērtējumu</w:t>
            </w:r>
            <w:proofErr w:type="spellEnd"/>
            <w:r w:rsidRPr="006D03CA">
              <w:t xml:space="preserve"> E</w:t>
            </w:r>
            <w:r w:rsidR="00F12730">
              <w:t>konomikas ministrija</w:t>
            </w:r>
            <w:r w:rsidRPr="006D03CA">
              <w:t xml:space="preserve"> virzīs apstiprināšanai Ministru kabinetā vienlaicīgi ar šo Noteikumu projektu un EM to atsevišķi saskaņos ar Finanšu ministriju, kad būs saskaņoti visi Noteikumu projekta nosacījumi, kas ir priekšnosacījums šī </w:t>
            </w:r>
            <w:proofErr w:type="spellStart"/>
            <w:r w:rsidRPr="006D03CA">
              <w:t>izvērtējuma</w:t>
            </w:r>
            <w:proofErr w:type="spellEnd"/>
            <w:r w:rsidRPr="006D03CA">
              <w:t xml:space="preserve"> apstiprināšanai.</w:t>
            </w:r>
          </w:p>
        </w:tc>
      </w:tr>
      <w:bookmarkEnd w:id="0"/>
      <w:tr w:rsidR="00B259E6" w:rsidRPr="00E81FE9" w14:paraId="6883347C" w14:textId="77777777" w:rsidTr="0034162F">
        <w:tc>
          <w:tcPr>
            <w:tcW w:w="411" w:type="dxa"/>
            <w:hideMark/>
          </w:tcPr>
          <w:p w14:paraId="3C07ABDD" w14:textId="77777777" w:rsidR="00B259E6" w:rsidRPr="00E81FE9" w:rsidRDefault="00B259E6" w:rsidP="00B259E6">
            <w:pPr>
              <w:jc w:val="center"/>
              <w:rPr>
                <w:lang w:eastAsia="en-US"/>
              </w:rPr>
            </w:pPr>
            <w:r w:rsidRPr="00E81FE9">
              <w:lastRenderedPageBreak/>
              <w:t>3.</w:t>
            </w:r>
          </w:p>
        </w:tc>
        <w:tc>
          <w:tcPr>
            <w:tcW w:w="2703" w:type="dxa"/>
            <w:hideMark/>
          </w:tcPr>
          <w:p w14:paraId="0D59018C" w14:textId="27C2A168" w:rsidR="00B259E6" w:rsidRPr="006D03CA" w:rsidRDefault="00B259E6" w:rsidP="006D03CA">
            <w:r w:rsidRPr="006D03CA">
              <w:t>Projekta izstrādē iesaistītās institūcijas</w:t>
            </w:r>
          </w:p>
        </w:tc>
        <w:tc>
          <w:tcPr>
            <w:tcW w:w="5953" w:type="dxa"/>
            <w:hideMark/>
          </w:tcPr>
          <w:p w14:paraId="2A9D1D8B" w14:textId="4ACC11CA" w:rsidR="00B259E6" w:rsidRPr="006D03CA" w:rsidRDefault="00B259E6" w:rsidP="006D03CA">
            <w:pPr>
              <w:jc w:val="both"/>
            </w:pPr>
            <w:r w:rsidRPr="00E81FE9">
              <w:rPr>
                <w:rFonts w:eastAsia="Times New Roman"/>
              </w:rPr>
              <w:t>Ekonomikas ministrija</w:t>
            </w:r>
            <w:r w:rsidR="009E6B03">
              <w:rPr>
                <w:rFonts w:eastAsia="Times New Roman"/>
              </w:rPr>
              <w:t xml:space="preserve"> un </w:t>
            </w:r>
            <w:proofErr w:type="spellStart"/>
            <w:r w:rsidRPr="00E81FE9">
              <w:rPr>
                <w:rFonts w:eastAsia="Times New Roman"/>
              </w:rPr>
              <w:t>Altum</w:t>
            </w:r>
            <w:proofErr w:type="spellEnd"/>
            <w:r w:rsidR="009E6B03">
              <w:rPr>
                <w:rFonts w:eastAsia="Times New Roman"/>
              </w:rPr>
              <w:t>.</w:t>
            </w:r>
            <w:r w:rsidR="00F9080F">
              <w:rPr>
                <w:rFonts w:eastAsia="Times New Roman"/>
              </w:rPr>
              <w:t xml:space="preserve"> </w:t>
            </w:r>
          </w:p>
        </w:tc>
      </w:tr>
      <w:tr w:rsidR="00B259E6" w:rsidRPr="00E81FE9" w14:paraId="68981DE3" w14:textId="77777777" w:rsidTr="0034162F">
        <w:tc>
          <w:tcPr>
            <w:tcW w:w="411" w:type="dxa"/>
            <w:hideMark/>
          </w:tcPr>
          <w:p w14:paraId="0C8174D5" w14:textId="77777777" w:rsidR="00B259E6" w:rsidRPr="00E81FE9" w:rsidRDefault="00B259E6" w:rsidP="00B259E6">
            <w:pPr>
              <w:jc w:val="center"/>
              <w:rPr>
                <w:lang w:eastAsia="en-US"/>
              </w:rPr>
            </w:pPr>
            <w:r w:rsidRPr="00E81FE9">
              <w:t>4.</w:t>
            </w:r>
          </w:p>
        </w:tc>
        <w:tc>
          <w:tcPr>
            <w:tcW w:w="2703" w:type="dxa"/>
            <w:hideMark/>
          </w:tcPr>
          <w:p w14:paraId="5D6BC58D" w14:textId="346CAF44" w:rsidR="00B259E6" w:rsidRPr="006D03CA" w:rsidRDefault="00B259E6" w:rsidP="006D03CA">
            <w:r w:rsidRPr="006D03CA">
              <w:t>Cita informācija</w:t>
            </w:r>
          </w:p>
        </w:tc>
        <w:tc>
          <w:tcPr>
            <w:tcW w:w="5953" w:type="dxa"/>
            <w:hideMark/>
          </w:tcPr>
          <w:p w14:paraId="0A869894" w14:textId="77777777" w:rsidR="00B259E6" w:rsidRPr="006D03CA" w:rsidRDefault="00B259E6" w:rsidP="006D03CA">
            <w:r w:rsidRPr="006D03CA">
              <w:t>Nav</w:t>
            </w:r>
            <w:r w:rsidRPr="00E81FE9">
              <w:t>.</w:t>
            </w:r>
          </w:p>
        </w:tc>
      </w:tr>
    </w:tbl>
    <w:p w14:paraId="2EBF692E" w14:textId="77777777" w:rsidR="000D3D70" w:rsidRPr="006D03CA" w:rsidRDefault="000D3D70" w:rsidP="006D03CA">
      <w:pPr>
        <w:jc w:val="both"/>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687"/>
        <w:gridCol w:w="5818"/>
      </w:tblGrid>
      <w:tr w:rsidR="006D03CA" w:rsidRPr="00E81FE9" w14:paraId="37739662" w14:textId="77777777" w:rsidTr="006D03CA">
        <w:tc>
          <w:tcPr>
            <w:tcW w:w="9067" w:type="dxa"/>
            <w:gridSpan w:val="3"/>
            <w:tcBorders>
              <w:top w:val="single" w:sz="4" w:space="0" w:color="auto"/>
              <w:left w:val="single" w:sz="4" w:space="0" w:color="auto"/>
              <w:bottom w:val="single" w:sz="4" w:space="0" w:color="auto"/>
              <w:right w:val="single" w:sz="4" w:space="0" w:color="auto"/>
            </w:tcBorders>
            <w:shd w:val="clear" w:color="auto" w:fill="auto"/>
            <w:hideMark/>
          </w:tcPr>
          <w:p w14:paraId="0032C9C7" w14:textId="77777777" w:rsidR="009571C3" w:rsidRPr="00F12730" w:rsidRDefault="009571C3" w:rsidP="006D03CA">
            <w:pPr>
              <w:tabs>
                <w:tab w:val="left" w:pos="2268"/>
                <w:tab w:val="left" w:pos="2410"/>
              </w:tabs>
              <w:ind w:left="1080"/>
              <w:contextualSpacing/>
              <w:jc w:val="center"/>
              <w:rPr>
                <w:b/>
              </w:rPr>
            </w:pPr>
            <w:r w:rsidRPr="00F12730">
              <w:rPr>
                <w:b/>
              </w:rPr>
              <w:t>II. Tiesību akta projekta ietekme uz sabiedrību, tautsaimniecības attīstību un administratīvo slogu</w:t>
            </w:r>
          </w:p>
        </w:tc>
      </w:tr>
      <w:tr w:rsidR="006D03CA" w:rsidRPr="00E81FE9" w14:paraId="4DCFADBB" w14:textId="77777777" w:rsidTr="00B259E6">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685D0531" w14:textId="77777777" w:rsidR="004358C2" w:rsidRPr="00E81FE9" w:rsidRDefault="004358C2" w:rsidP="004358C2">
            <w:pPr>
              <w:jc w:val="center"/>
              <w:rPr>
                <w:lang w:eastAsia="en-US"/>
              </w:rPr>
            </w:pPr>
            <w:r w:rsidRPr="00E81FE9">
              <w:t>1.</w:t>
            </w:r>
          </w:p>
        </w:tc>
        <w:tc>
          <w:tcPr>
            <w:tcW w:w="2687" w:type="dxa"/>
            <w:tcBorders>
              <w:top w:val="single" w:sz="4" w:space="0" w:color="auto"/>
              <w:left w:val="single" w:sz="4" w:space="0" w:color="auto"/>
              <w:bottom w:val="single" w:sz="4" w:space="0" w:color="auto"/>
              <w:right w:val="single" w:sz="4" w:space="0" w:color="auto"/>
            </w:tcBorders>
            <w:shd w:val="clear" w:color="auto" w:fill="auto"/>
            <w:hideMark/>
          </w:tcPr>
          <w:p w14:paraId="539D1DFD" w14:textId="77777777" w:rsidR="004358C2" w:rsidRPr="006D03CA" w:rsidRDefault="004358C2" w:rsidP="006D03CA">
            <w:r w:rsidRPr="006D03CA">
              <w:t xml:space="preserve">Sabiedrības </w:t>
            </w:r>
            <w:proofErr w:type="spellStart"/>
            <w:r w:rsidRPr="006D03CA">
              <w:t>mērķgrupas</w:t>
            </w:r>
            <w:proofErr w:type="spellEnd"/>
            <w:r w:rsidRPr="006D03CA">
              <w:t>, kuras tiesiskais regulējums ietekmē vai varētu ietekmēt</w:t>
            </w:r>
          </w:p>
        </w:tc>
        <w:tc>
          <w:tcPr>
            <w:tcW w:w="5818" w:type="dxa"/>
            <w:tcBorders>
              <w:top w:val="single" w:sz="4" w:space="0" w:color="000000"/>
              <w:left w:val="single" w:sz="4" w:space="0" w:color="000000"/>
              <w:bottom w:val="single" w:sz="4" w:space="0" w:color="000000"/>
              <w:right w:val="single" w:sz="4" w:space="0" w:color="000000"/>
            </w:tcBorders>
            <w:shd w:val="clear" w:color="000000" w:fill="auto"/>
            <w:hideMark/>
          </w:tcPr>
          <w:p w14:paraId="4D94500C" w14:textId="51855D35" w:rsidR="004358C2" w:rsidRPr="00F12730" w:rsidRDefault="00B850EA" w:rsidP="006D03CA">
            <w:pPr>
              <w:pStyle w:val="ListParagraph"/>
              <w:tabs>
                <w:tab w:val="left" w:pos="317"/>
              </w:tabs>
              <w:spacing w:before="60" w:after="60"/>
              <w:ind w:left="34"/>
              <w:jc w:val="both"/>
              <w:rPr>
                <w:sz w:val="24"/>
                <w:szCs w:val="24"/>
              </w:rPr>
            </w:pPr>
            <w:r w:rsidRPr="00F12730">
              <w:rPr>
                <w:sz w:val="24"/>
                <w:szCs w:val="24"/>
              </w:rPr>
              <w:t>S</w:t>
            </w:r>
            <w:r w:rsidR="00B259E6" w:rsidRPr="00F12730">
              <w:rPr>
                <w:sz w:val="24"/>
                <w:szCs w:val="24"/>
              </w:rPr>
              <w:t>aimnieciskās darbības veicēji.</w:t>
            </w:r>
          </w:p>
        </w:tc>
      </w:tr>
      <w:tr w:rsidR="006D03CA" w:rsidRPr="00E81FE9" w14:paraId="741782A3" w14:textId="77777777" w:rsidTr="000A55E1">
        <w:tc>
          <w:tcPr>
            <w:tcW w:w="562" w:type="dxa"/>
            <w:tcBorders>
              <w:top w:val="single" w:sz="4" w:space="0" w:color="auto"/>
              <w:left w:val="single" w:sz="4" w:space="0" w:color="auto"/>
              <w:bottom w:val="single" w:sz="4" w:space="0" w:color="auto"/>
              <w:right w:val="single" w:sz="4" w:space="0" w:color="auto"/>
            </w:tcBorders>
            <w:shd w:val="clear" w:color="auto" w:fill="auto"/>
          </w:tcPr>
          <w:p w14:paraId="3348C2D0" w14:textId="77777777" w:rsidR="004358C2" w:rsidRPr="00E81FE9" w:rsidRDefault="004358C2" w:rsidP="004358C2">
            <w:pPr>
              <w:jc w:val="center"/>
            </w:pPr>
            <w:r w:rsidRPr="00E81FE9">
              <w:t>2.</w:t>
            </w:r>
          </w:p>
        </w:tc>
        <w:tc>
          <w:tcPr>
            <w:tcW w:w="2687" w:type="dxa"/>
            <w:tcBorders>
              <w:top w:val="single" w:sz="4" w:space="0" w:color="auto"/>
              <w:left w:val="single" w:sz="4" w:space="0" w:color="auto"/>
              <w:bottom w:val="single" w:sz="4" w:space="0" w:color="auto"/>
              <w:right w:val="single" w:sz="4" w:space="0" w:color="auto"/>
            </w:tcBorders>
            <w:shd w:val="clear" w:color="auto" w:fill="auto"/>
          </w:tcPr>
          <w:p w14:paraId="09668447" w14:textId="77777777" w:rsidR="004358C2" w:rsidRPr="006D03CA" w:rsidRDefault="004358C2" w:rsidP="006D03CA">
            <w:pPr>
              <w:rPr>
                <w:color w:val="414142"/>
              </w:rPr>
            </w:pPr>
            <w:r w:rsidRPr="006D03CA">
              <w:t>Tiesiskā regulējuma ietekme uz tautsaimniecību un administratīvo slogu</w:t>
            </w:r>
          </w:p>
        </w:tc>
        <w:tc>
          <w:tcPr>
            <w:tcW w:w="5818" w:type="dxa"/>
            <w:tcBorders>
              <w:top w:val="single" w:sz="4" w:space="0" w:color="000000"/>
              <w:left w:val="single" w:sz="4" w:space="0" w:color="000000"/>
              <w:bottom w:val="single" w:sz="4" w:space="0" w:color="000000"/>
              <w:right w:val="single" w:sz="4" w:space="0" w:color="000000"/>
            </w:tcBorders>
            <w:shd w:val="clear" w:color="000000" w:fill="auto"/>
          </w:tcPr>
          <w:p w14:paraId="3CED3BAF" w14:textId="7395A790" w:rsidR="004358C2" w:rsidRPr="00F12730" w:rsidRDefault="004358C2" w:rsidP="000A55E1">
            <w:pPr>
              <w:pStyle w:val="ListParagraph"/>
              <w:tabs>
                <w:tab w:val="left" w:pos="317"/>
              </w:tabs>
              <w:ind w:left="34"/>
              <w:jc w:val="both"/>
              <w:rPr>
                <w:sz w:val="24"/>
                <w:szCs w:val="24"/>
              </w:rPr>
            </w:pPr>
            <w:r w:rsidRPr="00F12730">
              <w:rPr>
                <w:sz w:val="24"/>
                <w:szCs w:val="24"/>
              </w:rPr>
              <w:t xml:space="preserve">Noteikumu projekts neparedz ietekmi uz administratīvo slogu. Noteikumu projekta īstenošanu nodrošinās </w:t>
            </w:r>
            <w:proofErr w:type="spellStart"/>
            <w:r w:rsidR="004D3626" w:rsidRPr="00F12730">
              <w:rPr>
                <w:sz w:val="24"/>
                <w:szCs w:val="24"/>
              </w:rPr>
              <w:t>Altum</w:t>
            </w:r>
            <w:proofErr w:type="spellEnd"/>
            <w:r w:rsidRPr="00F12730">
              <w:rPr>
                <w:sz w:val="24"/>
                <w:szCs w:val="24"/>
              </w:rPr>
              <w:t xml:space="preserve">. </w:t>
            </w:r>
          </w:p>
        </w:tc>
      </w:tr>
      <w:tr w:rsidR="006D03CA" w:rsidRPr="00E81FE9" w14:paraId="51675D3C" w14:textId="77777777" w:rsidTr="000A55E1">
        <w:tc>
          <w:tcPr>
            <w:tcW w:w="562" w:type="dxa"/>
            <w:tcBorders>
              <w:top w:val="single" w:sz="4" w:space="0" w:color="auto"/>
              <w:left w:val="single" w:sz="4" w:space="0" w:color="auto"/>
              <w:bottom w:val="single" w:sz="4" w:space="0" w:color="auto"/>
              <w:right w:val="single" w:sz="4" w:space="0" w:color="auto"/>
            </w:tcBorders>
            <w:shd w:val="clear" w:color="auto" w:fill="auto"/>
          </w:tcPr>
          <w:p w14:paraId="44FB8DCB" w14:textId="77777777" w:rsidR="004358C2" w:rsidRPr="00E81FE9" w:rsidRDefault="004358C2" w:rsidP="004358C2">
            <w:pPr>
              <w:jc w:val="center"/>
            </w:pPr>
            <w:r w:rsidRPr="00E81FE9">
              <w:t>3.</w:t>
            </w:r>
          </w:p>
        </w:tc>
        <w:tc>
          <w:tcPr>
            <w:tcW w:w="2687" w:type="dxa"/>
            <w:tcBorders>
              <w:top w:val="single" w:sz="4" w:space="0" w:color="auto"/>
              <w:left w:val="single" w:sz="4" w:space="0" w:color="auto"/>
              <w:bottom w:val="single" w:sz="4" w:space="0" w:color="auto"/>
              <w:right w:val="single" w:sz="4" w:space="0" w:color="auto"/>
            </w:tcBorders>
            <w:shd w:val="clear" w:color="auto" w:fill="auto"/>
          </w:tcPr>
          <w:p w14:paraId="017B71DA" w14:textId="77777777" w:rsidR="004358C2" w:rsidRPr="000A55E1" w:rsidRDefault="004358C2" w:rsidP="006D03CA">
            <w:r w:rsidRPr="006D03CA">
              <w:t>Administratīvo izmaksu monetārs novērtējums</w:t>
            </w:r>
          </w:p>
        </w:tc>
        <w:tc>
          <w:tcPr>
            <w:tcW w:w="5818" w:type="dxa"/>
            <w:tcBorders>
              <w:top w:val="single" w:sz="4" w:space="0" w:color="000000"/>
              <w:left w:val="single" w:sz="4" w:space="0" w:color="000000"/>
              <w:bottom w:val="single" w:sz="4" w:space="0" w:color="000000"/>
              <w:right w:val="single" w:sz="4" w:space="0" w:color="000000"/>
            </w:tcBorders>
            <w:shd w:val="clear" w:color="000000" w:fill="auto"/>
          </w:tcPr>
          <w:p w14:paraId="77CB6825" w14:textId="5D388934" w:rsidR="004358C2" w:rsidRPr="000A55E1" w:rsidRDefault="00B259E6" w:rsidP="006D03CA">
            <w:pPr>
              <w:pStyle w:val="ListParagraph"/>
              <w:tabs>
                <w:tab w:val="left" w:pos="317"/>
              </w:tabs>
              <w:spacing w:before="60" w:after="60"/>
              <w:ind w:left="0"/>
              <w:jc w:val="both"/>
              <w:rPr>
                <w:rFonts w:eastAsia="Calibri"/>
                <w:sz w:val="24"/>
                <w:szCs w:val="24"/>
              </w:rPr>
            </w:pPr>
            <w:r w:rsidRPr="000A55E1">
              <w:rPr>
                <w:rFonts w:eastAsia="Calibri"/>
                <w:sz w:val="24"/>
                <w:szCs w:val="24"/>
              </w:rPr>
              <w:t>Noteikumu projekts neparedz ietekmi uz administratīvo slogu un izmaksām.</w:t>
            </w:r>
          </w:p>
        </w:tc>
      </w:tr>
      <w:tr w:rsidR="006D03CA" w:rsidRPr="00E81FE9" w14:paraId="37173A11" w14:textId="77777777" w:rsidTr="00B259E6">
        <w:tc>
          <w:tcPr>
            <w:tcW w:w="562" w:type="dxa"/>
            <w:tcBorders>
              <w:top w:val="single" w:sz="4" w:space="0" w:color="auto"/>
              <w:left w:val="single" w:sz="4" w:space="0" w:color="auto"/>
              <w:bottom w:val="single" w:sz="4" w:space="0" w:color="auto"/>
              <w:right w:val="single" w:sz="4" w:space="0" w:color="auto"/>
            </w:tcBorders>
            <w:shd w:val="clear" w:color="auto" w:fill="auto"/>
          </w:tcPr>
          <w:p w14:paraId="0570ADAD" w14:textId="77777777" w:rsidR="009571C3" w:rsidRPr="00E81FE9" w:rsidRDefault="009571C3" w:rsidP="009571C3">
            <w:pPr>
              <w:jc w:val="center"/>
            </w:pPr>
            <w:r w:rsidRPr="00E81FE9">
              <w:t>4.</w:t>
            </w:r>
          </w:p>
        </w:tc>
        <w:tc>
          <w:tcPr>
            <w:tcW w:w="2687" w:type="dxa"/>
            <w:tcBorders>
              <w:top w:val="single" w:sz="4" w:space="0" w:color="auto"/>
              <w:left w:val="single" w:sz="4" w:space="0" w:color="auto"/>
              <w:bottom w:val="single" w:sz="4" w:space="0" w:color="auto"/>
              <w:right w:val="single" w:sz="4" w:space="0" w:color="auto"/>
            </w:tcBorders>
            <w:shd w:val="clear" w:color="auto" w:fill="auto"/>
          </w:tcPr>
          <w:p w14:paraId="4EC38862" w14:textId="77777777" w:rsidR="009571C3" w:rsidRPr="006D03CA" w:rsidRDefault="009571C3" w:rsidP="006D03CA">
            <w:pPr>
              <w:rPr>
                <w:color w:val="414142"/>
              </w:rPr>
            </w:pPr>
            <w:r w:rsidRPr="006D03CA">
              <w:t>Cita informācija</w:t>
            </w:r>
          </w:p>
        </w:tc>
        <w:tc>
          <w:tcPr>
            <w:tcW w:w="5818" w:type="dxa"/>
            <w:tcBorders>
              <w:top w:val="single" w:sz="4" w:space="0" w:color="auto"/>
              <w:left w:val="single" w:sz="4" w:space="0" w:color="auto"/>
              <w:bottom w:val="single" w:sz="4" w:space="0" w:color="auto"/>
              <w:right w:val="single" w:sz="4" w:space="0" w:color="auto"/>
            </w:tcBorders>
            <w:shd w:val="clear" w:color="auto" w:fill="auto"/>
            <w:vAlign w:val="center"/>
          </w:tcPr>
          <w:p w14:paraId="3E53FCD5" w14:textId="48A0B54C" w:rsidR="009571C3" w:rsidRPr="00F12730" w:rsidRDefault="00B259E6" w:rsidP="006D03CA">
            <w:pPr>
              <w:tabs>
                <w:tab w:val="left" w:pos="317"/>
              </w:tabs>
              <w:spacing w:before="60" w:after="60"/>
              <w:ind w:left="34"/>
              <w:contextualSpacing/>
              <w:jc w:val="both"/>
            </w:pPr>
            <w:r w:rsidRPr="00F12730">
              <w:t>Nav</w:t>
            </w:r>
          </w:p>
        </w:tc>
      </w:tr>
    </w:tbl>
    <w:p w14:paraId="111B6AFB" w14:textId="77777777" w:rsidR="00DF14FA" w:rsidRPr="00E81FE9" w:rsidRDefault="00DF14FA" w:rsidP="001154C6">
      <w:pPr>
        <w:jc w:val="both"/>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rsidR="009571C3" w:rsidRPr="00E81FE9" w14:paraId="3720C30A" w14:textId="77777777" w:rsidTr="000B5CCE">
        <w:trPr>
          <w:trHeight w:val="421"/>
        </w:trPr>
        <w:tc>
          <w:tcPr>
            <w:tcW w:w="9072" w:type="dxa"/>
            <w:vAlign w:val="center"/>
          </w:tcPr>
          <w:p w14:paraId="63E3D9A0" w14:textId="77777777" w:rsidR="009571C3" w:rsidRPr="00E81FE9" w:rsidRDefault="009571C3" w:rsidP="009571C3">
            <w:pPr>
              <w:ind w:left="57" w:right="57"/>
              <w:jc w:val="center"/>
              <w:rPr>
                <w:rFonts w:eastAsia="Times New Roman"/>
              </w:rPr>
            </w:pPr>
            <w:r w:rsidRPr="00E81FE9">
              <w:rPr>
                <w:rFonts w:eastAsia="Times New Roman"/>
                <w:b/>
              </w:rPr>
              <w:t>III. Tiesību akta projekta ietekme uz valsts budžetu un pašvaldību budžetiem</w:t>
            </w:r>
          </w:p>
        </w:tc>
      </w:tr>
      <w:tr w:rsidR="009571C3" w:rsidRPr="00E81FE9" w14:paraId="063883C3" w14:textId="77777777" w:rsidTr="000B5CCE">
        <w:trPr>
          <w:trHeight w:val="553"/>
        </w:trPr>
        <w:tc>
          <w:tcPr>
            <w:tcW w:w="9072" w:type="dxa"/>
          </w:tcPr>
          <w:p w14:paraId="7EE73065" w14:textId="77777777" w:rsidR="009571C3" w:rsidRPr="00E81FE9" w:rsidRDefault="009571C3" w:rsidP="009571C3">
            <w:pPr>
              <w:shd w:val="clear" w:color="auto" w:fill="FFFFFF"/>
              <w:ind w:left="57" w:right="113"/>
              <w:jc w:val="center"/>
            </w:pPr>
            <w:r w:rsidRPr="00E81FE9">
              <w:t>Noteikumu projekts šo jomu neskar.</w:t>
            </w:r>
          </w:p>
        </w:tc>
      </w:tr>
    </w:tbl>
    <w:p w14:paraId="41238710" w14:textId="77777777" w:rsidR="009571C3" w:rsidRPr="00E81FE9" w:rsidRDefault="009571C3" w:rsidP="001154C6">
      <w:pPr>
        <w:jc w:val="both"/>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9571C3" w:rsidRPr="00E81FE9" w14:paraId="4AD92301" w14:textId="77777777" w:rsidTr="00213149">
        <w:tc>
          <w:tcPr>
            <w:tcW w:w="9185" w:type="dxa"/>
            <w:shd w:val="clear" w:color="auto" w:fill="auto"/>
            <w:hideMark/>
          </w:tcPr>
          <w:p w14:paraId="0B0145A3" w14:textId="77777777" w:rsidR="009571C3" w:rsidRPr="00E81FE9" w:rsidRDefault="009571C3" w:rsidP="009571C3">
            <w:pPr>
              <w:tabs>
                <w:tab w:val="left" w:pos="2268"/>
                <w:tab w:val="left" w:pos="2410"/>
              </w:tabs>
              <w:ind w:left="1080"/>
              <w:contextualSpacing/>
              <w:jc w:val="center"/>
              <w:rPr>
                <w:rFonts w:eastAsia="Times New Roman"/>
                <w:b/>
                <w:lang w:eastAsia="en-US"/>
              </w:rPr>
            </w:pPr>
            <w:r w:rsidRPr="00E81FE9">
              <w:rPr>
                <w:rFonts w:eastAsia="Times New Roman"/>
                <w:b/>
                <w:bCs/>
              </w:rPr>
              <w:t>IV. Tiesību akta projekta ietekme uz spēkā esošo tiesību normu sistēmu</w:t>
            </w:r>
          </w:p>
        </w:tc>
      </w:tr>
      <w:tr w:rsidR="00B259E6" w:rsidRPr="00E81FE9" w14:paraId="321F32E1" w14:textId="77777777" w:rsidTr="000B5CCE">
        <w:tc>
          <w:tcPr>
            <w:tcW w:w="9185" w:type="dxa"/>
            <w:shd w:val="clear" w:color="auto" w:fill="auto"/>
            <w:hideMark/>
          </w:tcPr>
          <w:p w14:paraId="35B31451" w14:textId="155BFF73" w:rsidR="00B259E6" w:rsidRPr="00E81FE9" w:rsidRDefault="00B259E6" w:rsidP="00B259E6">
            <w:pPr>
              <w:tabs>
                <w:tab w:val="left" w:pos="317"/>
              </w:tabs>
              <w:spacing w:before="60" w:after="60"/>
              <w:ind w:left="34"/>
              <w:contextualSpacing/>
              <w:jc w:val="center"/>
              <w:rPr>
                <w:rFonts w:eastAsia="Times New Roman"/>
                <w:bCs/>
                <w:lang w:eastAsia="en-US"/>
              </w:rPr>
            </w:pPr>
            <w:r w:rsidRPr="00E81FE9">
              <w:t>Noteikumu projekts šo jomu neskar.</w:t>
            </w:r>
          </w:p>
        </w:tc>
      </w:tr>
    </w:tbl>
    <w:p w14:paraId="7A058CCF" w14:textId="77777777" w:rsidR="00282E1F" w:rsidRPr="00E81FE9" w:rsidRDefault="00282E1F" w:rsidP="001154C6">
      <w:pPr>
        <w:jc w:val="both"/>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6"/>
        <w:gridCol w:w="2613"/>
        <w:gridCol w:w="6175"/>
      </w:tblGrid>
      <w:tr w:rsidR="006D03CA" w:rsidRPr="00E81FE9" w14:paraId="4227D9A8" w14:textId="77777777" w:rsidTr="00CD371F">
        <w:trPr>
          <w:trHeight w:val="421"/>
        </w:trPr>
        <w:tc>
          <w:tcPr>
            <w:tcW w:w="9214" w:type="dxa"/>
            <w:gridSpan w:val="3"/>
            <w:vAlign w:val="center"/>
          </w:tcPr>
          <w:p w14:paraId="5C83AA44" w14:textId="77777777" w:rsidR="00CD371F" w:rsidRPr="006D03CA" w:rsidRDefault="00CD371F" w:rsidP="006D03CA">
            <w:pPr>
              <w:jc w:val="both"/>
            </w:pPr>
            <w:r w:rsidRPr="006D03CA">
              <w:rPr>
                <w:b/>
              </w:rPr>
              <w:t>V. Tiesību akta projekta atbilstība Latvijas Republikas starptautiskajām saistībām</w:t>
            </w:r>
          </w:p>
        </w:tc>
      </w:tr>
      <w:tr w:rsidR="006D03CA" w:rsidRPr="00E81FE9" w14:paraId="234D4CDA" w14:textId="77777777" w:rsidTr="006D03CA">
        <w:trPr>
          <w:trHeight w:val="553"/>
        </w:trPr>
        <w:tc>
          <w:tcPr>
            <w:tcW w:w="426" w:type="dxa"/>
          </w:tcPr>
          <w:p w14:paraId="0DD5CB8A" w14:textId="77777777" w:rsidR="00CD371F" w:rsidRPr="006D03CA" w:rsidRDefault="00CD371F" w:rsidP="006D03CA">
            <w:pPr>
              <w:jc w:val="both"/>
            </w:pPr>
            <w:r w:rsidRPr="006D03CA">
              <w:t>1.</w:t>
            </w:r>
          </w:p>
        </w:tc>
        <w:tc>
          <w:tcPr>
            <w:tcW w:w="2613" w:type="dxa"/>
          </w:tcPr>
          <w:p w14:paraId="5DEE27E0" w14:textId="77777777" w:rsidR="00CD371F" w:rsidRPr="006D03CA" w:rsidRDefault="00CD371F" w:rsidP="006D03CA">
            <w:pPr>
              <w:jc w:val="both"/>
            </w:pPr>
            <w:r w:rsidRPr="006D03CA">
              <w:t>Saistības pret Eiropas Savienību</w:t>
            </w:r>
          </w:p>
        </w:tc>
        <w:tc>
          <w:tcPr>
            <w:tcW w:w="6175" w:type="dxa"/>
          </w:tcPr>
          <w:p w14:paraId="06B0BA5F" w14:textId="58CA8642" w:rsidR="00B259E6" w:rsidRPr="00E81FE9" w:rsidRDefault="00B259E6" w:rsidP="00B259E6">
            <w:pPr>
              <w:ind w:left="217" w:right="139"/>
              <w:jc w:val="both"/>
              <w:rPr>
                <w:rFonts w:eastAsia="Times New Roman"/>
              </w:rPr>
            </w:pPr>
            <w:r w:rsidRPr="006D03CA">
              <w:t xml:space="preserve">Ar Noteikumu projektu tiks ieviestas prasības </w:t>
            </w:r>
            <w:r w:rsidRPr="00E81FE9">
              <w:rPr>
                <w:rFonts w:eastAsia="Times New Roman"/>
              </w:rPr>
              <w:t>šādiem</w:t>
            </w:r>
            <w:r w:rsidRPr="006D03CA">
              <w:t xml:space="preserve"> Eiropas Savienības </w:t>
            </w:r>
            <w:r w:rsidRPr="00E81FE9">
              <w:rPr>
                <w:rFonts w:eastAsia="Times New Roman"/>
              </w:rPr>
              <w:t xml:space="preserve">tiesību aktiem: </w:t>
            </w:r>
          </w:p>
          <w:p w14:paraId="4E84FB2F" w14:textId="4F4A406A" w:rsidR="00B259E6" w:rsidRPr="00E81FE9" w:rsidRDefault="00B259E6" w:rsidP="00B259E6">
            <w:pPr>
              <w:numPr>
                <w:ilvl w:val="0"/>
                <w:numId w:val="35"/>
              </w:numPr>
              <w:jc w:val="both"/>
            </w:pPr>
            <w:r w:rsidRPr="006D03CA">
              <w:t xml:space="preserve">Komisijas </w:t>
            </w:r>
            <w:r w:rsidR="00FF2C44" w:rsidRPr="006D03CA">
              <w:t>regula</w:t>
            </w:r>
            <w:r w:rsidR="00FF2C44">
              <w:t xml:space="preserve">i </w:t>
            </w:r>
            <w:r w:rsidRPr="006D03CA">
              <w:t>Nr.</w:t>
            </w:r>
            <w:r w:rsidRPr="00E81FE9">
              <w:t xml:space="preserve"> 1407</w:t>
            </w:r>
            <w:r w:rsidRPr="006D03CA">
              <w:t>/2013</w:t>
            </w:r>
            <w:r w:rsidRPr="00E81FE9">
              <w:t>;</w:t>
            </w:r>
          </w:p>
          <w:p w14:paraId="5EA52106" w14:textId="6E95FB25" w:rsidR="00B259E6" w:rsidRPr="00E81FE9" w:rsidRDefault="00B259E6" w:rsidP="00B259E6">
            <w:pPr>
              <w:numPr>
                <w:ilvl w:val="0"/>
                <w:numId w:val="35"/>
              </w:numPr>
              <w:jc w:val="both"/>
            </w:pPr>
            <w:r w:rsidRPr="00E81FE9">
              <w:t xml:space="preserve">Komisijas </w:t>
            </w:r>
            <w:r w:rsidR="00FF2C44" w:rsidRPr="00E81FE9">
              <w:t>regula</w:t>
            </w:r>
            <w:r w:rsidR="00FF2C44">
              <w:t>i</w:t>
            </w:r>
            <w:r w:rsidR="00FF2C44" w:rsidRPr="00E81FE9">
              <w:t xml:space="preserve"> </w:t>
            </w:r>
            <w:r w:rsidRPr="00E81FE9">
              <w:t>Nr. 702/2014;</w:t>
            </w:r>
          </w:p>
          <w:p w14:paraId="51F6A133" w14:textId="0AD0B614" w:rsidR="00C8239E" w:rsidRDefault="00B259E6" w:rsidP="00C8239E">
            <w:pPr>
              <w:numPr>
                <w:ilvl w:val="0"/>
                <w:numId w:val="35"/>
              </w:numPr>
              <w:jc w:val="both"/>
            </w:pPr>
            <w:r w:rsidRPr="006D03CA">
              <w:t xml:space="preserve">Komisijas </w:t>
            </w:r>
            <w:r w:rsidR="00FF2C44" w:rsidRPr="006D03CA">
              <w:t>regula</w:t>
            </w:r>
            <w:r w:rsidR="00FF2C44">
              <w:t>i</w:t>
            </w:r>
            <w:r w:rsidR="00FF2C44" w:rsidRPr="006D03CA">
              <w:t xml:space="preserve"> </w:t>
            </w:r>
            <w:r w:rsidRPr="006D03CA">
              <w:t>Nr.</w:t>
            </w:r>
            <w:r w:rsidRPr="00E81FE9">
              <w:t xml:space="preserve"> 1408/2013;</w:t>
            </w:r>
          </w:p>
          <w:p w14:paraId="5806A653" w14:textId="03E5C5A8" w:rsidR="00C8239E" w:rsidRDefault="00B259E6" w:rsidP="00C8239E">
            <w:pPr>
              <w:numPr>
                <w:ilvl w:val="0"/>
                <w:numId w:val="35"/>
              </w:numPr>
              <w:jc w:val="both"/>
            </w:pPr>
            <w:r w:rsidRPr="00E81FE9">
              <w:t xml:space="preserve">Komisijas </w:t>
            </w:r>
            <w:r w:rsidR="00FF2C44" w:rsidRPr="00E81FE9">
              <w:t>regula</w:t>
            </w:r>
            <w:r w:rsidR="00FF2C44">
              <w:t>i</w:t>
            </w:r>
            <w:r w:rsidR="00FF2C44" w:rsidRPr="00E81FE9">
              <w:t xml:space="preserve"> </w:t>
            </w:r>
            <w:r w:rsidRPr="00E81FE9">
              <w:t xml:space="preserve">Nr. </w:t>
            </w:r>
            <w:r w:rsidRPr="006D03CA">
              <w:t>717/2014</w:t>
            </w:r>
            <w:r w:rsidR="00C8239E">
              <w:t>;</w:t>
            </w:r>
          </w:p>
          <w:p w14:paraId="428EC8CB" w14:textId="77777777" w:rsidR="00FF2C44" w:rsidRDefault="00C8239E" w:rsidP="00393449">
            <w:pPr>
              <w:numPr>
                <w:ilvl w:val="0"/>
                <w:numId w:val="35"/>
              </w:numPr>
              <w:jc w:val="both"/>
            </w:pPr>
            <w:r>
              <w:t>Komisijas regula</w:t>
            </w:r>
            <w:r w:rsidR="00FF2C44">
              <w:t>i</w:t>
            </w:r>
            <w:r>
              <w:t xml:space="preserve"> Nr.1388/2014</w:t>
            </w:r>
            <w:r w:rsidR="00FF2C44">
              <w:t>;</w:t>
            </w:r>
          </w:p>
          <w:p w14:paraId="25CC2251" w14:textId="20DC6DD6" w:rsidR="00A17354" w:rsidRPr="006D03CA" w:rsidRDefault="00FF2C44" w:rsidP="00393449">
            <w:pPr>
              <w:numPr>
                <w:ilvl w:val="0"/>
                <w:numId w:val="35"/>
              </w:numPr>
              <w:jc w:val="both"/>
            </w:pPr>
            <w:r>
              <w:t>Komisijas regulai Nr. 651/2014.</w:t>
            </w:r>
          </w:p>
        </w:tc>
      </w:tr>
      <w:tr w:rsidR="006D03CA" w:rsidRPr="00E81FE9" w14:paraId="61BFF8EC" w14:textId="77777777" w:rsidTr="006D03CA">
        <w:trPr>
          <w:trHeight w:val="339"/>
        </w:trPr>
        <w:tc>
          <w:tcPr>
            <w:tcW w:w="426" w:type="dxa"/>
          </w:tcPr>
          <w:p w14:paraId="678A0F59" w14:textId="77777777" w:rsidR="00CD371F" w:rsidRPr="006D03CA" w:rsidRDefault="00CD371F" w:rsidP="006D03CA">
            <w:pPr>
              <w:jc w:val="both"/>
            </w:pPr>
            <w:r w:rsidRPr="006D03CA">
              <w:t>2.</w:t>
            </w:r>
          </w:p>
        </w:tc>
        <w:tc>
          <w:tcPr>
            <w:tcW w:w="2613" w:type="dxa"/>
          </w:tcPr>
          <w:p w14:paraId="367BC677" w14:textId="77777777" w:rsidR="00CD371F" w:rsidRPr="006D03CA" w:rsidRDefault="00CD371F" w:rsidP="006D03CA">
            <w:pPr>
              <w:jc w:val="both"/>
            </w:pPr>
            <w:r w:rsidRPr="006D03CA">
              <w:t>Citas starptautiskās saistības</w:t>
            </w:r>
          </w:p>
        </w:tc>
        <w:tc>
          <w:tcPr>
            <w:tcW w:w="6175" w:type="dxa"/>
          </w:tcPr>
          <w:p w14:paraId="457983BE" w14:textId="6D8DCDC1" w:rsidR="00CD371F" w:rsidRPr="007D6895" w:rsidRDefault="00CD371F" w:rsidP="006D03CA">
            <w:pPr>
              <w:ind w:left="75"/>
              <w:jc w:val="both"/>
            </w:pPr>
            <w:r w:rsidRPr="00E81FE9">
              <w:t>Projekts</w:t>
            </w:r>
            <w:r w:rsidRPr="007D6895">
              <w:t xml:space="preserve"> šo jomu neskar.</w:t>
            </w:r>
          </w:p>
        </w:tc>
      </w:tr>
      <w:tr w:rsidR="006D03CA" w:rsidRPr="00E81FE9" w14:paraId="3B83404B" w14:textId="77777777" w:rsidTr="006D03CA">
        <w:trPr>
          <w:trHeight w:val="476"/>
        </w:trPr>
        <w:tc>
          <w:tcPr>
            <w:tcW w:w="426" w:type="dxa"/>
          </w:tcPr>
          <w:p w14:paraId="1CBD5AF7" w14:textId="77777777" w:rsidR="00CD371F" w:rsidRPr="007D6895" w:rsidRDefault="00CD371F" w:rsidP="007D6895">
            <w:pPr>
              <w:jc w:val="both"/>
            </w:pPr>
            <w:r w:rsidRPr="007D6895">
              <w:t>3.</w:t>
            </w:r>
          </w:p>
        </w:tc>
        <w:tc>
          <w:tcPr>
            <w:tcW w:w="2613" w:type="dxa"/>
          </w:tcPr>
          <w:p w14:paraId="2757786B" w14:textId="77777777" w:rsidR="00CD371F" w:rsidRPr="007D6895" w:rsidRDefault="00CD371F" w:rsidP="007D6895">
            <w:pPr>
              <w:jc w:val="both"/>
            </w:pPr>
            <w:r w:rsidRPr="007D6895">
              <w:t>Cita informācija</w:t>
            </w:r>
          </w:p>
        </w:tc>
        <w:tc>
          <w:tcPr>
            <w:tcW w:w="6175" w:type="dxa"/>
          </w:tcPr>
          <w:p w14:paraId="61B36DAC" w14:textId="77777777" w:rsidR="00CD371F" w:rsidRPr="007D6895" w:rsidRDefault="00CD371F" w:rsidP="007D6895">
            <w:pPr>
              <w:ind w:left="75"/>
              <w:jc w:val="both"/>
            </w:pPr>
            <w:r w:rsidRPr="007D6895">
              <w:t>Nav</w:t>
            </w:r>
            <w:r w:rsidRPr="00E81FE9">
              <w:t xml:space="preserve">. </w:t>
            </w:r>
          </w:p>
        </w:tc>
      </w:tr>
    </w:tbl>
    <w:p w14:paraId="35464ACC" w14:textId="77777777" w:rsidR="00CD371F" w:rsidRPr="007D6895" w:rsidRDefault="00CD371F" w:rsidP="007D6895">
      <w:pPr>
        <w:jc w:val="both"/>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701"/>
        <w:gridCol w:w="2239"/>
        <w:gridCol w:w="2863"/>
      </w:tblGrid>
      <w:tr w:rsidR="00CD371F" w:rsidRPr="00E81FE9" w14:paraId="5AA85514" w14:textId="77777777" w:rsidTr="007D6895">
        <w:tc>
          <w:tcPr>
            <w:tcW w:w="9208" w:type="dxa"/>
            <w:gridSpan w:val="4"/>
            <w:tcBorders>
              <w:top w:val="single" w:sz="4" w:space="0" w:color="000000"/>
              <w:left w:val="single" w:sz="4" w:space="0" w:color="000000"/>
              <w:bottom w:val="single" w:sz="4" w:space="0" w:color="000000"/>
              <w:right w:val="single" w:sz="4" w:space="0" w:color="000000"/>
            </w:tcBorders>
          </w:tcPr>
          <w:p w14:paraId="64B04DDF" w14:textId="741B4C10" w:rsidR="00CD371F" w:rsidRPr="007D6895" w:rsidRDefault="00CD371F" w:rsidP="007D6895">
            <w:pPr>
              <w:jc w:val="both"/>
            </w:pPr>
            <w:r w:rsidRPr="007D6895">
              <w:rPr>
                <w:b/>
              </w:rPr>
              <w:t>1.tabula</w:t>
            </w:r>
            <w:r w:rsidRPr="00E81FE9">
              <w:rPr>
                <w:b/>
              </w:rPr>
              <w:t xml:space="preserve">. </w:t>
            </w:r>
            <w:r w:rsidRPr="007D6895">
              <w:rPr>
                <w:b/>
              </w:rPr>
              <w:t>Tiesību akta projekta atbilstība ES tiesību aktiem</w:t>
            </w:r>
          </w:p>
        </w:tc>
      </w:tr>
      <w:tr w:rsidR="00CD371F" w:rsidRPr="00E81FE9" w14:paraId="7396500F" w14:textId="77777777" w:rsidTr="001256F7">
        <w:tc>
          <w:tcPr>
            <w:tcW w:w="2405" w:type="dxa"/>
            <w:tcBorders>
              <w:top w:val="single" w:sz="4" w:space="0" w:color="000000"/>
              <w:left w:val="single" w:sz="4" w:space="0" w:color="000000"/>
              <w:bottom w:val="single" w:sz="4" w:space="0" w:color="000000"/>
              <w:right w:val="single" w:sz="4" w:space="0" w:color="000000"/>
            </w:tcBorders>
          </w:tcPr>
          <w:p w14:paraId="06D4BDC8" w14:textId="4D0D9452" w:rsidR="00CD371F" w:rsidRPr="007D6895" w:rsidRDefault="00CD371F" w:rsidP="007D6895">
            <w:pPr>
              <w:jc w:val="both"/>
            </w:pPr>
            <w:r w:rsidRPr="007D6895">
              <w:t>Attiecīgā ES</w:t>
            </w:r>
            <w:r w:rsidRPr="00E81FE9">
              <w:t xml:space="preserve"> </w:t>
            </w:r>
            <w:r w:rsidRPr="007D6895">
              <w:t>tiesību akta datums, numurs un nosaukums</w:t>
            </w:r>
          </w:p>
        </w:tc>
        <w:tc>
          <w:tcPr>
            <w:tcW w:w="6803" w:type="dxa"/>
            <w:gridSpan w:val="3"/>
            <w:tcBorders>
              <w:top w:val="single" w:sz="4" w:space="0" w:color="000000"/>
              <w:left w:val="single" w:sz="4" w:space="0" w:color="000000"/>
              <w:bottom w:val="single" w:sz="4" w:space="0" w:color="000000"/>
              <w:right w:val="single" w:sz="4" w:space="0" w:color="000000"/>
            </w:tcBorders>
          </w:tcPr>
          <w:p w14:paraId="2A814925" w14:textId="5641F1D4" w:rsidR="00CD371F" w:rsidRPr="007D6895" w:rsidRDefault="00CD371F" w:rsidP="006D03CA">
            <w:pPr>
              <w:jc w:val="both"/>
            </w:pPr>
            <w:r w:rsidRPr="007D6895">
              <w:t xml:space="preserve">Ar </w:t>
            </w:r>
            <w:r w:rsidR="00B259E6" w:rsidRPr="00E81FE9">
              <w:t>Noteikumu</w:t>
            </w:r>
            <w:r w:rsidR="00B259E6" w:rsidRPr="007D6895">
              <w:t xml:space="preserve"> projektu </w:t>
            </w:r>
            <w:r w:rsidRPr="007D6895">
              <w:t>tiek ieviestas</w:t>
            </w:r>
            <w:r w:rsidR="00767EA0" w:rsidRPr="00E81FE9">
              <w:t xml:space="preserve"> prasības no</w:t>
            </w:r>
            <w:r w:rsidRPr="007D6895">
              <w:t>:</w:t>
            </w:r>
          </w:p>
          <w:p w14:paraId="5C791DAF" w14:textId="54BA9D80" w:rsidR="00B259E6" w:rsidRPr="007D6895" w:rsidRDefault="00B259E6" w:rsidP="007D6895">
            <w:pPr>
              <w:numPr>
                <w:ilvl w:val="0"/>
                <w:numId w:val="35"/>
              </w:numPr>
              <w:jc w:val="both"/>
            </w:pPr>
            <w:r w:rsidRPr="00E81FE9">
              <w:t>Komisijas regulas</w:t>
            </w:r>
            <w:r w:rsidRPr="007D6895">
              <w:t xml:space="preserve"> Nr. 1407/2013;</w:t>
            </w:r>
          </w:p>
          <w:p w14:paraId="2D74B7B0" w14:textId="16EC6B39" w:rsidR="00B259E6" w:rsidRPr="007D6895" w:rsidRDefault="00B259E6" w:rsidP="007D6895">
            <w:pPr>
              <w:numPr>
                <w:ilvl w:val="0"/>
                <w:numId w:val="35"/>
              </w:numPr>
              <w:jc w:val="both"/>
            </w:pPr>
            <w:r w:rsidRPr="00E81FE9">
              <w:t>Komisijas regulas</w:t>
            </w:r>
            <w:r w:rsidRPr="007D6895">
              <w:t xml:space="preserve"> Nr. 702/2014;</w:t>
            </w:r>
          </w:p>
          <w:p w14:paraId="71B7B11A" w14:textId="291E2877" w:rsidR="00B259E6" w:rsidRPr="007D6895" w:rsidRDefault="00B259E6" w:rsidP="007D6895">
            <w:pPr>
              <w:numPr>
                <w:ilvl w:val="0"/>
                <w:numId w:val="35"/>
              </w:numPr>
              <w:jc w:val="both"/>
            </w:pPr>
            <w:r w:rsidRPr="00E81FE9">
              <w:t>Komisijas regulas</w:t>
            </w:r>
            <w:r w:rsidRPr="007D6895">
              <w:t xml:space="preserve"> Nr. 1408/2013;</w:t>
            </w:r>
          </w:p>
          <w:p w14:paraId="05D78677" w14:textId="17D46C80" w:rsidR="00767EA0" w:rsidRDefault="00B259E6" w:rsidP="007D6895">
            <w:pPr>
              <w:numPr>
                <w:ilvl w:val="0"/>
                <w:numId w:val="35"/>
              </w:numPr>
              <w:jc w:val="both"/>
            </w:pPr>
            <w:r w:rsidRPr="00E81FE9">
              <w:lastRenderedPageBreak/>
              <w:t>Komisijas regulas</w:t>
            </w:r>
            <w:r w:rsidRPr="007D6895">
              <w:t xml:space="preserve"> Nr. 717/2014</w:t>
            </w:r>
            <w:r w:rsidR="00C8239E">
              <w:t>;</w:t>
            </w:r>
          </w:p>
          <w:p w14:paraId="3CE27896" w14:textId="63F71108" w:rsidR="00FF2C44" w:rsidRDefault="00C8239E" w:rsidP="007D6895">
            <w:pPr>
              <w:numPr>
                <w:ilvl w:val="0"/>
                <w:numId w:val="35"/>
              </w:numPr>
              <w:jc w:val="both"/>
            </w:pPr>
            <w:r>
              <w:t>Komisijas regula</w:t>
            </w:r>
            <w:r w:rsidR="00FF2C44">
              <w:t>s</w:t>
            </w:r>
            <w:r>
              <w:t xml:space="preserve"> Nr.</w:t>
            </w:r>
            <w:r w:rsidR="00FF2C44">
              <w:t xml:space="preserve"> </w:t>
            </w:r>
            <w:r>
              <w:t>1388/2014</w:t>
            </w:r>
            <w:r w:rsidR="00FF2C44">
              <w:t>;</w:t>
            </w:r>
          </w:p>
          <w:p w14:paraId="3CDFDFB7" w14:textId="436E803C" w:rsidR="00C8239E" w:rsidRPr="007D6895" w:rsidRDefault="00FF2C44" w:rsidP="007D6895">
            <w:pPr>
              <w:numPr>
                <w:ilvl w:val="0"/>
                <w:numId w:val="35"/>
              </w:numPr>
              <w:jc w:val="both"/>
            </w:pPr>
            <w:r>
              <w:t>Komisijas regulas Nr. 651/2014.</w:t>
            </w:r>
          </w:p>
        </w:tc>
      </w:tr>
      <w:tr w:rsidR="006D03CA" w:rsidRPr="00E81FE9" w14:paraId="59059392" w14:textId="77777777" w:rsidTr="001256F7">
        <w:tc>
          <w:tcPr>
            <w:tcW w:w="2405" w:type="dxa"/>
            <w:tcBorders>
              <w:top w:val="single" w:sz="4" w:space="0" w:color="000000"/>
              <w:left w:val="single" w:sz="4" w:space="0" w:color="000000"/>
              <w:bottom w:val="single" w:sz="4" w:space="0" w:color="000000"/>
              <w:right w:val="single" w:sz="4" w:space="0" w:color="000000"/>
            </w:tcBorders>
          </w:tcPr>
          <w:p w14:paraId="688A54D2" w14:textId="77777777" w:rsidR="00CD371F" w:rsidRPr="007D6895" w:rsidRDefault="00CD371F" w:rsidP="007D6895">
            <w:pPr>
              <w:jc w:val="both"/>
            </w:pPr>
            <w:r w:rsidRPr="007D6895">
              <w:lastRenderedPageBreak/>
              <w:t>A</w:t>
            </w:r>
          </w:p>
        </w:tc>
        <w:tc>
          <w:tcPr>
            <w:tcW w:w="1701" w:type="dxa"/>
            <w:tcBorders>
              <w:top w:val="single" w:sz="4" w:space="0" w:color="000000"/>
              <w:left w:val="single" w:sz="4" w:space="0" w:color="000000"/>
              <w:bottom w:val="single" w:sz="4" w:space="0" w:color="000000"/>
              <w:right w:val="single" w:sz="4" w:space="0" w:color="000000"/>
            </w:tcBorders>
          </w:tcPr>
          <w:p w14:paraId="1DE4E26B" w14:textId="77777777" w:rsidR="00CD371F" w:rsidRPr="007D6895" w:rsidRDefault="00CD371F" w:rsidP="007D6895">
            <w:pPr>
              <w:jc w:val="both"/>
            </w:pPr>
            <w:r w:rsidRPr="007D6895">
              <w:t>B</w:t>
            </w:r>
          </w:p>
        </w:tc>
        <w:tc>
          <w:tcPr>
            <w:tcW w:w="2239" w:type="dxa"/>
            <w:tcBorders>
              <w:top w:val="single" w:sz="4" w:space="0" w:color="000000"/>
              <w:left w:val="single" w:sz="4" w:space="0" w:color="000000"/>
              <w:bottom w:val="single" w:sz="4" w:space="0" w:color="000000"/>
              <w:right w:val="single" w:sz="4" w:space="0" w:color="000000"/>
            </w:tcBorders>
          </w:tcPr>
          <w:p w14:paraId="70CEEC73" w14:textId="77777777" w:rsidR="00CD371F" w:rsidRPr="007D6895" w:rsidRDefault="00CD371F" w:rsidP="007D6895">
            <w:pPr>
              <w:jc w:val="both"/>
            </w:pPr>
            <w:r w:rsidRPr="007D6895">
              <w:t>C</w:t>
            </w:r>
          </w:p>
        </w:tc>
        <w:tc>
          <w:tcPr>
            <w:tcW w:w="2863" w:type="dxa"/>
            <w:tcBorders>
              <w:top w:val="single" w:sz="4" w:space="0" w:color="000000"/>
              <w:left w:val="single" w:sz="4" w:space="0" w:color="000000"/>
              <w:bottom w:val="single" w:sz="4" w:space="0" w:color="000000"/>
              <w:right w:val="single" w:sz="4" w:space="0" w:color="000000"/>
            </w:tcBorders>
          </w:tcPr>
          <w:p w14:paraId="4D51DFDA" w14:textId="77777777" w:rsidR="00CD371F" w:rsidRPr="007D6895" w:rsidRDefault="00CD371F" w:rsidP="007D6895">
            <w:pPr>
              <w:jc w:val="both"/>
            </w:pPr>
            <w:r w:rsidRPr="007D6895">
              <w:t>D</w:t>
            </w:r>
          </w:p>
        </w:tc>
      </w:tr>
      <w:tr w:rsidR="006D03CA" w:rsidRPr="00E81FE9" w14:paraId="6793F1A7" w14:textId="77777777" w:rsidTr="001256F7">
        <w:tc>
          <w:tcPr>
            <w:tcW w:w="2405" w:type="dxa"/>
            <w:tcBorders>
              <w:top w:val="single" w:sz="4" w:space="0" w:color="000000"/>
              <w:left w:val="single" w:sz="4" w:space="0" w:color="000000"/>
              <w:bottom w:val="single" w:sz="4" w:space="0" w:color="000000"/>
              <w:right w:val="single" w:sz="4" w:space="0" w:color="000000"/>
            </w:tcBorders>
          </w:tcPr>
          <w:p w14:paraId="45FB3F06" w14:textId="19C319C3" w:rsidR="00CD371F" w:rsidRPr="007D6895" w:rsidRDefault="00CD371F" w:rsidP="007D6895">
            <w:pPr>
              <w:jc w:val="both"/>
              <w:rPr>
                <w:i/>
                <w:sz w:val="22"/>
              </w:rPr>
            </w:pPr>
            <w:r w:rsidRPr="007D6895">
              <w:rPr>
                <w:i/>
                <w:sz w:val="22"/>
              </w:rPr>
              <w:t xml:space="preserve">Attiecīgā ES tiesību akta panta numurs (uzskaitot katru tiesību akta </w:t>
            </w:r>
            <w:r w:rsidRPr="00E81FE9">
              <w:rPr>
                <w:i/>
                <w:sz w:val="22"/>
              </w:rPr>
              <w:br/>
            </w:r>
            <w:r w:rsidRPr="007D6895">
              <w:rPr>
                <w:i/>
                <w:sz w:val="22"/>
              </w:rPr>
              <w:t>vienību – pantu, daļu, punktu, apakšpunktu)</w:t>
            </w:r>
          </w:p>
        </w:tc>
        <w:tc>
          <w:tcPr>
            <w:tcW w:w="1701" w:type="dxa"/>
            <w:tcBorders>
              <w:top w:val="single" w:sz="4" w:space="0" w:color="000000"/>
              <w:left w:val="single" w:sz="4" w:space="0" w:color="000000"/>
              <w:bottom w:val="single" w:sz="4" w:space="0" w:color="000000"/>
              <w:right w:val="single" w:sz="4" w:space="0" w:color="000000"/>
            </w:tcBorders>
          </w:tcPr>
          <w:p w14:paraId="52ADB41A" w14:textId="77777777" w:rsidR="00CD371F" w:rsidRPr="007D6895" w:rsidRDefault="00CD371F" w:rsidP="007D6895">
            <w:pPr>
              <w:jc w:val="both"/>
              <w:rPr>
                <w:i/>
                <w:sz w:val="22"/>
              </w:rPr>
            </w:pPr>
            <w:r w:rsidRPr="007D6895">
              <w:rPr>
                <w:i/>
                <w:sz w:val="22"/>
              </w:rPr>
              <w:t>Projekta vienība, kas pārņem vai ievieš katru šīs tabulas A ailē minēto ES tiesību akta vienību, vai tiesību akts, kur attiecīgā ES tiesību akta vienība pārņemta vai ieviesta</w:t>
            </w:r>
          </w:p>
        </w:tc>
        <w:tc>
          <w:tcPr>
            <w:tcW w:w="2239" w:type="dxa"/>
            <w:tcBorders>
              <w:top w:val="single" w:sz="4" w:space="0" w:color="000000"/>
              <w:left w:val="single" w:sz="4" w:space="0" w:color="000000"/>
              <w:bottom w:val="single" w:sz="4" w:space="0" w:color="000000"/>
              <w:right w:val="single" w:sz="4" w:space="0" w:color="000000"/>
            </w:tcBorders>
          </w:tcPr>
          <w:p w14:paraId="6CE32B00" w14:textId="0F792EFA" w:rsidR="00CD371F" w:rsidRPr="007D6895" w:rsidRDefault="00CD371F" w:rsidP="007D6895">
            <w:pPr>
              <w:jc w:val="both"/>
              <w:rPr>
                <w:i/>
                <w:sz w:val="22"/>
              </w:rPr>
            </w:pPr>
            <w:r w:rsidRPr="007D6895">
              <w:rPr>
                <w:i/>
                <w:sz w:val="22"/>
              </w:rPr>
              <w:t>Informācija par to, vai šīs tabulas A</w:t>
            </w:r>
            <w:r w:rsidRPr="00E81FE9">
              <w:rPr>
                <w:i/>
                <w:sz w:val="22"/>
              </w:rPr>
              <w:t> </w:t>
            </w:r>
            <w:r w:rsidRPr="007D6895">
              <w:rPr>
                <w:i/>
                <w:sz w:val="22"/>
              </w:rPr>
              <w:t>ailē minētās ES tiesību akta vienības tiek pārņemtas vai ieviestas pilnībā vai daļēji.</w:t>
            </w:r>
          </w:p>
          <w:p w14:paraId="61F58BDE" w14:textId="77777777" w:rsidR="00CD371F" w:rsidRPr="007D6895" w:rsidRDefault="00CD371F" w:rsidP="007D6895">
            <w:pPr>
              <w:jc w:val="both"/>
              <w:rPr>
                <w:i/>
                <w:sz w:val="22"/>
              </w:rPr>
            </w:pPr>
            <w:r w:rsidRPr="007D6895">
              <w:rPr>
                <w:i/>
                <w:sz w:val="22"/>
              </w:rPr>
              <w:t>Ja attiecīgā ES tiesību akta vienība tiek pārņemta vai ieviesta daļēji, – sniedz attiecīgu skaidrojumu, kā arī precīzi norāda, kad un kādā veidā ES tiesību akta vienība tiks pārņemta vai ieviesta pilnībā.</w:t>
            </w:r>
          </w:p>
          <w:p w14:paraId="2403C101" w14:textId="77777777" w:rsidR="00CD371F" w:rsidRPr="007D6895" w:rsidRDefault="00CD371F" w:rsidP="007D6895">
            <w:pPr>
              <w:jc w:val="both"/>
              <w:rPr>
                <w:i/>
                <w:sz w:val="22"/>
              </w:rPr>
            </w:pPr>
            <w:r w:rsidRPr="007D6895">
              <w:rPr>
                <w:i/>
                <w:sz w:val="22"/>
              </w:rPr>
              <w:t>Norāda institūciju, kas ir atbildīga par šo saistību izpildi pilnībā</w:t>
            </w:r>
          </w:p>
        </w:tc>
        <w:tc>
          <w:tcPr>
            <w:tcW w:w="2863" w:type="dxa"/>
            <w:tcBorders>
              <w:top w:val="single" w:sz="4" w:space="0" w:color="000000"/>
              <w:left w:val="single" w:sz="4" w:space="0" w:color="000000"/>
              <w:bottom w:val="single" w:sz="4" w:space="0" w:color="000000"/>
              <w:right w:val="single" w:sz="4" w:space="0" w:color="000000"/>
            </w:tcBorders>
          </w:tcPr>
          <w:p w14:paraId="3F1018C8" w14:textId="58395815" w:rsidR="00CD371F" w:rsidRPr="007D6895" w:rsidRDefault="00CD371F" w:rsidP="007D6895">
            <w:pPr>
              <w:jc w:val="both"/>
              <w:rPr>
                <w:i/>
                <w:sz w:val="22"/>
              </w:rPr>
            </w:pPr>
            <w:r w:rsidRPr="007D6895">
              <w:rPr>
                <w:i/>
                <w:sz w:val="22"/>
              </w:rPr>
              <w:t>Informācija par to, vai šīs tabulas B</w:t>
            </w:r>
            <w:r w:rsidRPr="00E81FE9">
              <w:rPr>
                <w:i/>
                <w:sz w:val="22"/>
              </w:rPr>
              <w:t> </w:t>
            </w:r>
            <w:r w:rsidRPr="007D6895">
              <w:rPr>
                <w:i/>
                <w:sz w:val="22"/>
              </w:rPr>
              <w:t>ailē minētās projekta vienības paredz stingrākas prasības nekā šīs tabulas A ailē minētās ES tiesību akta vienības.</w:t>
            </w:r>
          </w:p>
          <w:p w14:paraId="67938D31" w14:textId="77777777" w:rsidR="00CD371F" w:rsidRPr="007D6895" w:rsidRDefault="00CD371F" w:rsidP="007D6895">
            <w:pPr>
              <w:jc w:val="both"/>
              <w:rPr>
                <w:i/>
                <w:sz w:val="22"/>
              </w:rPr>
            </w:pPr>
            <w:r w:rsidRPr="007D6895">
              <w:rPr>
                <w:i/>
                <w:sz w:val="22"/>
              </w:rPr>
              <w:t>Ja projekts satur stingrākas prasības nekā attiecīgais ES tiesību akts, – norāda pamatojumu un samērīgumu.</w:t>
            </w:r>
          </w:p>
          <w:p w14:paraId="229C7728" w14:textId="77777777" w:rsidR="00CD371F" w:rsidRPr="007D6895" w:rsidRDefault="00CD371F" w:rsidP="007D6895">
            <w:pPr>
              <w:jc w:val="both"/>
              <w:rPr>
                <w:i/>
                <w:sz w:val="22"/>
              </w:rPr>
            </w:pPr>
            <w:r w:rsidRPr="007D6895">
              <w:rPr>
                <w:i/>
                <w:sz w:val="22"/>
              </w:rPr>
              <w:t>Norāda iespējamās alternatīvas (t.sk. alternatīvas, kas neparedz tiesiskā regulējuma izstrādi) – kādos gadījumos būtu iespējams izvairīties no stingrāku prasību noteikšanas, nekā paredzēts attiecīgajos ES tiesību aktos</w:t>
            </w:r>
          </w:p>
        </w:tc>
      </w:tr>
      <w:tr w:rsidR="006D03CA" w:rsidRPr="00E81FE9" w14:paraId="077CE163" w14:textId="77777777" w:rsidTr="001256F7">
        <w:tc>
          <w:tcPr>
            <w:tcW w:w="2405" w:type="dxa"/>
            <w:tcBorders>
              <w:top w:val="single" w:sz="4" w:space="0" w:color="000000"/>
              <w:left w:val="single" w:sz="4" w:space="0" w:color="000000"/>
              <w:bottom w:val="single" w:sz="4" w:space="0" w:color="000000"/>
              <w:right w:val="single" w:sz="4" w:space="0" w:color="000000"/>
            </w:tcBorders>
          </w:tcPr>
          <w:p w14:paraId="18B80DD3" w14:textId="7995BF67" w:rsidR="00B259E6" w:rsidRPr="007D6895" w:rsidRDefault="00B259E6" w:rsidP="007D6895">
            <w:pPr>
              <w:jc w:val="both"/>
            </w:pPr>
            <w:r w:rsidRPr="007D6895">
              <w:t>Regulas Nr.7</w:t>
            </w:r>
            <w:r w:rsidR="00B22CFA">
              <w:t>02</w:t>
            </w:r>
            <w:r w:rsidRPr="007D6895">
              <w:t>/201</w:t>
            </w:r>
            <w:r w:rsidR="00B22CFA">
              <w:t>4</w:t>
            </w:r>
            <w:r w:rsidRPr="007D6895">
              <w:t xml:space="preserve"> </w:t>
            </w:r>
            <w:r w:rsidR="00B22CFA">
              <w:t>2</w:t>
            </w:r>
            <w:r w:rsidRPr="007D6895">
              <w:t xml:space="preserve">.panta </w:t>
            </w:r>
            <w:r w:rsidR="00B22CFA">
              <w:t>14</w:t>
            </w:r>
            <w:r w:rsidRPr="007D6895">
              <w:t>.punkta a)</w:t>
            </w:r>
            <w:r w:rsidR="005634B7">
              <w:t>, (b un (d</w:t>
            </w:r>
            <w:r w:rsidRPr="007D6895">
              <w:t xml:space="preserve"> apakšpunkts</w:t>
            </w:r>
          </w:p>
        </w:tc>
        <w:tc>
          <w:tcPr>
            <w:tcW w:w="1701" w:type="dxa"/>
            <w:tcBorders>
              <w:top w:val="single" w:sz="4" w:space="0" w:color="000000"/>
              <w:left w:val="single" w:sz="4" w:space="0" w:color="000000"/>
              <w:bottom w:val="single" w:sz="4" w:space="0" w:color="000000"/>
              <w:right w:val="single" w:sz="4" w:space="0" w:color="000000"/>
            </w:tcBorders>
          </w:tcPr>
          <w:p w14:paraId="67F71F22" w14:textId="608B3E52" w:rsidR="00B259E6" w:rsidRPr="007D6895" w:rsidRDefault="00B259E6" w:rsidP="007D6895">
            <w:pPr>
              <w:jc w:val="both"/>
              <w:rPr>
                <w:i/>
              </w:rPr>
            </w:pPr>
            <w:r w:rsidRPr="007D6895">
              <w:t xml:space="preserve">Noteikumu projekta </w:t>
            </w:r>
            <w:r w:rsidR="0086693B">
              <w:t>9</w:t>
            </w:r>
            <w:r w:rsidRPr="00AB03AF">
              <w:t>.punkts</w:t>
            </w:r>
          </w:p>
        </w:tc>
        <w:tc>
          <w:tcPr>
            <w:tcW w:w="2239" w:type="dxa"/>
            <w:tcBorders>
              <w:top w:val="single" w:sz="4" w:space="0" w:color="000000"/>
              <w:left w:val="single" w:sz="4" w:space="0" w:color="000000"/>
              <w:bottom w:val="single" w:sz="4" w:space="0" w:color="000000"/>
              <w:right w:val="single" w:sz="4" w:space="0" w:color="000000"/>
            </w:tcBorders>
          </w:tcPr>
          <w:p w14:paraId="0E724022" w14:textId="211B5529" w:rsidR="00B259E6" w:rsidRPr="007D6895" w:rsidRDefault="00B259E6" w:rsidP="007D6895">
            <w:pPr>
              <w:jc w:val="both"/>
              <w:rPr>
                <w:i/>
              </w:rPr>
            </w:pPr>
            <w:r w:rsidRPr="007D6895">
              <w:rPr>
                <w:i/>
              </w:rPr>
              <w:t>Ieviests pilnībā</w:t>
            </w:r>
          </w:p>
        </w:tc>
        <w:tc>
          <w:tcPr>
            <w:tcW w:w="2863" w:type="dxa"/>
            <w:tcBorders>
              <w:top w:val="single" w:sz="4" w:space="0" w:color="000000"/>
              <w:left w:val="single" w:sz="4" w:space="0" w:color="000000"/>
              <w:bottom w:val="single" w:sz="4" w:space="0" w:color="000000"/>
              <w:right w:val="single" w:sz="4" w:space="0" w:color="000000"/>
            </w:tcBorders>
          </w:tcPr>
          <w:p w14:paraId="50131797" w14:textId="55F7CF23" w:rsidR="00B259E6" w:rsidRPr="007D6895" w:rsidRDefault="00B259E6" w:rsidP="007D6895">
            <w:pPr>
              <w:jc w:val="both"/>
              <w:rPr>
                <w:i/>
              </w:rPr>
            </w:pPr>
            <w:r w:rsidRPr="007D6895">
              <w:rPr>
                <w:i/>
              </w:rPr>
              <w:t>Neparedz stingrākas prasības</w:t>
            </w:r>
          </w:p>
        </w:tc>
      </w:tr>
      <w:tr w:rsidR="006D03CA" w:rsidRPr="00E81FE9" w14:paraId="3C72D41D" w14:textId="77777777" w:rsidTr="001256F7">
        <w:tc>
          <w:tcPr>
            <w:tcW w:w="2405" w:type="dxa"/>
            <w:tcBorders>
              <w:top w:val="single" w:sz="4" w:space="0" w:color="000000"/>
              <w:left w:val="single" w:sz="4" w:space="0" w:color="000000"/>
              <w:bottom w:val="single" w:sz="4" w:space="0" w:color="000000"/>
              <w:right w:val="single" w:sz="4" w:space="0" w:color="000000"/>
            </w:tcBorders>
          </w:tcPr>
          <w:p w14:paraId="4370AE53" w14:textId="45A6C93E" w:rsidR="00B259E6" w:rsidRPr="007D6895" w:rsidRDefault="00B259E6" w:rsidP="001256F7">
            <w:pPr>
              <w:jc w:val="both"/>
            </w:pPr>
            <w:r w:rsidRPr="007D6895">
              <w:t xml:space="preserve">Regulas Nr. 702/2014 </w:t>
            </w:r>
            <w:r w:rsidR="005634B7">
              <w:t>9</w:t>
            </w:r>
            <w:r w:rsidRPr="007D6895">
              <w:t>.panta 2.punkt</w:t>
            </w:r>
            <w:r w:rsidR="0086693B">
              <w:t>a c) apakšpunkts un 4.punkts</w:t>
            </w:r>
            <w:r w:rsidRPr="007D6895">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4DC8EFA" w14:textId="0F04A3F3" w:rsidR="00B259E6" w:rsidRPr="007D6895" w:rsidRDefault="00B259E6" w:rsidP="007D6895">
            <w:pPr>
              <w:jc w:val="both"/>
              <w:rPr>
                <w:i/>
              </w:rPr>
            </w:pPr>
            <w:r w:rsidRPr="007D6895">
              <w:t>Noteikumu projekta 1</w:t>
            </w:r>
            <w:r w:rsidR="0086693B">
              <w:t>4</w:t>
            </w:r>
            <w:r w:rsidRPr="007D6895">
              <w:t>.punkts</w:t>
            </w:r>
          </w:p>
        </w:tc>
        <w:tc>
          <w:tcPr>
            <w:tcW w:w="2239" w:type="dxa"/>
            <w:tcBorders>
              <w:top w:val="single" w:sz="4" w:space="0" w:color="000000"/>
              <w:left w:val="single" w:sz="4" w:space="0" w:color="000000"/>
              <w:bottom w:val="single" w:sz="4" w:space="0" w:color="000000"/>
              <w:right w:val="single" w:sz="4" w:space="0" w:color="000000"/>
            </w:tcBorders>
          </w:tcPr>
          <w:p w14:paraId="2C65EB15" w14:textId="2B2A4627" w:rsidR="00B259E6" w:rsidRPr="007D6895" w:rsidRDefault="00B259E6" w:rsidP="007D6895">
            <w:pPr>
              <w:jc w:val="both"/>
              <w:rPr>
                <w:i/>
              </w:rPr>
            </w:pPr>
            <w:r w:rsidRPr="007D6895">
              <w:rPr>
                <w:i/>
              </w:rPr>
              <w:t>Ieviests pilnībā</w:t>
            </w:r>
          </w:p>
        </w:tc>
        <w:tc>
          <w:tcPr>
            <w:tcW w:w="2863" w:type="dxa"/>
            <w:tcBorders>
              <w:top w:val="single" w:sz="4" w:space="0" w:color="000000"/>
              <w:left w:val="single" w:sz="4" w:space="0" w:color="000000"/>
              <w:bottom w:val="single" w:sz="4" w:space="0" w:color="000000"/>
              <w:right w:val="single" w:sz="4" w:space="0" w:color="000000"/>
            </w:tcBorders>
          </w:tcPr>
          <w:p w14:paraId="5CF84B6F" w14:textId="08655DF5" w:rsidR="00B259E6" w:rsidRPr="007D6895" w:rsidRDefault="00B259E6" w:rsidP="007D6895">
            <w:pPr>
              <w:jc w:val="both"/>
              <w:rPr>
                <w:i/>
              </w:rPr>
            </w:pPr>
            <w:r w:rsidRPr="007D6895">
              <w:rPr>
                <w:i/>
              </w:rPr>
              <w:t>Neparedz stingrākas prasības</w:t>
            </w:r>
          </w:p>
        </w:tc>
      </w:tr>
      <w:tr w:rsidR="0086693B" w:rsidRPr="00E81FE9" w14:paraId="1BECA651" w14:textId="77777777" w:rsidTr="001256F7">
        <w:tc>
          <w:tcPr>
            <w:tcW w:w="2405" w:type="dxa"/>
            <w:tcBorders>
              <w:top w:val="single" w:sz="4" w:space="0" w:color="000000"/>
              <w:left w:val="single" w:sz="4" w:space="0" w:color="000000"/>
              <w:bottom w:val="single" w:sz="4" w:space="0" w:color="000000"/>
              <w:right w:val="single" w:sz="4" w:space="0" w:color="000000"/>
            </w:tcBorders>
          </w:tcPr>
          <w:p w14:paraId="72D84E81" w14:textId="06551A9A" w:rsidR="0086693B" w:rsidRDefault="0086693B" w:rsidP="0086693B">
            <w:pPr>
              <w:jc w:val="both"/>
            </w:pPr>
            <w:r w:rsidRPr="0086693B">
              <w:t>Regulas Nr. 1388/2014 9. panta 2. punkta "c" apakšpunkt</w:t>
            </w:r>
            <w:r>
              <w:t>s</w:t>
            </w:r>
            <w:r w:rsidRPr="0086693B">
              <w:t xml:space="preserve"> un 3. punkt</w:t>
            </w:r>
            <w:r>
              <w:t>s</w:t>
            </w:r>
          </w:p>
        </w:tc>
        <w:tc>
          <w:tcPr>
            <w:tcW w:w="1701" w:type="dxa"/>
            <w:tcBorders>
              <w:top w:val="single" w:sz="4" w:space="0" w:color="000000"/>
              <w:left w:val="single" w:sz="4" w:space="0" w:color="000000"/>
              <w:bottom w:val="single" w:sz="4" w:space="0" w:color="000000"/>
              <w:right w:val="single" w:sz="4" w:space="0" w:color="000000"/>
            </w:tcBorders>
          </w:tcPr>
          <w:p w14:paraId="6F48ABAA" w14:textId="3976B016" w:rsidR="0086693B" w:rsidRPr="007D6895" w:rsidRDefault="0086693B" w:rsidP="0086693B">
            <w:pPr>
              <w:jc w:val="both"/>
            </w:pPr>
            <w:r w:rsidRPr="007D6895">
              <w:t>Noteikumu projekta 1</w:t>
            </w:r>
            <w:r>
              <w:t>4</w:t>
            </w:r>
            <w:r w:rsidRPr="007D6895">
              <w:t>.punkts</w:t>
            </w:r>
          </w:p>
        </w:tc>
        <w:tc>
          <w:tcPr>
            <w:tcW w:w="2239" w:type="dxa"/>
            <w:tcBorders>
              <w:top w:val="single" w:sz="4" w:space="0" w:color="000000"/>
              <w:left w:val="single" w:sz="4" w:space="0" w:color="000000"/>
              <w:bottom w:val="single" w:sz="4" w:space="0" w:color="000000"/>
              <w:right w:val="single" w:sz="4" w:space="0" w:color="000000"/>
            </w:tcBorders>
          </w:tcPr>
          <w:p w14:paraId="51EE7BE3" w14:textId="24639FE6" w:rsidR="0086693B" w:rsidRPr="007D6895" w:rsidRDefault="0086693B" w:rsidP="0086693B">
            <w:pPr>
              <w:jc w:val="both"/>
              <w:rPr>
                <w:i/>
              </w:rPr>
            </w:pPr>
            <w:r w:rsidRPr="007D6895">
              <w:rPr>
                <w:i/>
              </w:rPr>
              <w:t>Ieviests pilnībā</w:t>
            </w:r>
          </w:p>
        </w:tc>
        <w:tc>
          <w:tcPr>
            <w:tcW w:w="2863" w:type="dxa"/>
            <w:tcBorders>
              <w:top w:val="single" w:sz="4" w:space="0" w:color="000000"/>
              <w:left w:val="single" w:sz="4" w:space="0" w:color="000000"/>
              <w:bottom w:val="single" w:sz="4" w:space="0" w:color="000000"/>
              <w:right w:val="single" w:sz="4" w:space="0" w:color="000000"/>
            </w:tcBorders>
          </w:tcPr>
          <w:p w14:paraId="4513994B" w14:textId="1CFA0A5B" w:rsidR="0086693B" w:rsidRPr="007D6895" w:rsidRDefault="0086693B" w:rsidP="0086693B">
            <w:pPr>
              <w:jc w:val="both"/>
              <w:rPr>
                <w:i/>
              </w:rPr>
            </w:pPr>
            <w:r w:rsidRPr="007D6895">
              <w:rPr>
                <w:i/>
              </w:rPr>
              <w:t>Neparedz stingrākas prasības</w:t>
            </w:r>
          </w:p>
        </w:tc>
      </w:tr>
      <w:tr w:rsidR="0086693B" w:rsidRPr="00E81FE9" w14:paraId="0581CBCD" w14:textId="77777777" w:rsidTr="001256F7">
        <w:tc>
          <w:tcPr>
            <w:tcW w:w="2405" w:type="dxa"/>
            <w:tcBorders>
              <w:top w:val="single" w:sz="4" w:space="0" w:color="000000"/>
              <w:left w:val="single" w:sz="4" w:space="0" w:color="000000"/>
              <w:bottom w:val="single" w:sz="4" w:space="0" w:color="000000"/>
              <w:right w:val="single" w:sz="4" w:space="0" w:color="000000"/>
            </w:tcBorders>
          </w:tcPr>
          <w:p w14:paraId="31AA6F62" w14:textId="4D808408" w:rsidR="0086693B" w:rsidRPr="007D6895" w:rsidRDefault="0086693B" w:rsidP="0086693B">
            <w:pPr>
              <w:jc w:val="both"/>
            </w:pPr>
            <w:r>
              <w:t xml:space="preserve">Vispārīga atsauce uz </w:t>
            </w:r>
            <w:r w:rsidRPr="007D6895">
              <w:t>Regul</w:t>
            </w:r>
            <w:r>
              <w:t>u</w:t>
            </w:r>
            <w:r w:rsidRPr="007D6895">
              <w:t xml:space="preserve"> Nr.1</w:t>
            </w:r>
            <w:r>
              <w:t>407</w:t>
            </w:r>
            <w:r w:rsidRPr="007D6895">
              <w:t>/201</w:t>
            </w:r>
            <w:r>
              <w:t>3</w:t>
            </w:r>
            <w:r w:rsidRPr="007D6895">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27FC2AA" w14:textId="2EBCB3D4" w:rsidR="0086693B" w:rsidRPr="007D6895" w:rsidRDefault="0086693B" w:rsidP="0086693B">
            <w:pPr>
              <w:jc w:val="both"/>
              <w:rPr>
                <w:i/>
              </w:rPr>
            </w:pPr>
            <w:r w:rsidRPr="007D6895">
              <w:t>Noteikumu projekta 1</w:t>
            </w:r>
            <w:r>
              <w:t>5</w:t>
            </w:r>
            <w:r w:rsidRPr="007D6895">
              <w:t>.punkts</w:t>
            </w:r>
          </w:p>
        </w:tc>
        <w:tc>
          <w:tcPr>
            <w:tcW w:w="2239" w:type="dxa"/>
            <w:tcBorders>
              <w:top w:val="single" w:sz="4" w:space="0" w:color="000000"/>
              <w:left w:val="single" w:sz="4" w:space="0" w:color="000000"/>
              <w:bottom w:val="single" w:sz="4" w:space="0" w:color="000000"/>
              <w:right w:val="single" w:sz="4" w:space="0" w:color="000000"/>
            </w:tcBorders>
          </w:tcPr>
          <w:p w14:paraId="2A5BD936" w14:textId="46225A13" w:rsidR="0086693B" w:rsidRPr="007D6895" w:rsidRDefault="0086693B" w:rsidP="0086693B">
            <w:pPr>
              <w:jc w:val="both"/>
              <w:rPr>
                <w:i/>
              </w:rPr>
            </w:pPr>
            <w:r w:rsidRPr="007D6895">
              <w:rPr>
                <w:i/>
              </w:rPr>
              <w:t>Ieviests pilnībā</w:t>
            </w:r>
          </w:p>
        </w:tc>
        <w:tc>
          <w:tcPr>
            <w:tcW w:w="2863" w:type="dxa"/>
            <w:tcBorders>
              <w:top w:val="single" w:sz="4" w:space="0" w:color="000000"/>
              <w:left w:val="single" w:sz="4" w:space="0" w:color="000000"/>
              <w:bottom w:val="single" w:sz="4" w:space="0" w:color="000000"/>
              <w:right w:val="single" w:sz="4" w:space="0" w:color="000000"/>
            </w:tcBorders>
          </w:tcPr>
          <w:p w14:paraId="20A8C45C" w14:textId="5768E20F" w:rsidR="0086693B" w:rsidRPr="007D6895" w:rsidRDefault="0086693B" w:rsidP="0086693B">
            <w:pPr>
              <w:jc w:val="both"/>
              <w:rPr>
                <w:i/>
              </w:rPr>
            </w:pPr>
            <w:r w:rsidRPr="007D6895">
              <w:rPr>
                <w:i/>
              </w:rPr>
              <w:t>Neparedz stingrākas prasības</w:t>
            </w:r>
          </w:p>
        </w:tc>
      </w:tr>
      <w:tr w:rsidR="00D23028" w:rsidRPr="00E81FE9" w14:paraId="514A8F95" w14:textId="77777777" w:rsidTr="001256F7">
        <w:tc>
          <w:tcPr>
            <w:tcW w:w="2405" w:type="dxa"/>
            <w:tcBorders>
              <w:top w:val="single" w:sz="4" w:space="0" w:color="000000"/>
              <w:left w:val="single" w:sz="4" w:space="0" w:color="000000"/>
              <w:bottom w:val="single" w:sz="4" w:space="0" w:color="000000"/>
              <w:right w:val="single" w:sz="4" w:space="0" w:color="000000"/>
            </w:tcBorders>
          </w:tcPr>
          <w:p w14:paraId="7C0A8111" w14:textId="04ABD2D8" w:rsidR="00D23028" w:rsidRDefault="00D23028" w:rsidP="00D23028">
            <w:pPr>
              <w:jc w:val="both"/>
            </w:pPr>
            <w:r>
              <w:t>R</w:t>
            </w:r>
            <w:r w:rsidRPr="0086693B">
              <w:t>egulas Nr. 1408/2013 3. panta 3.  “a” punkt</w:t>
            </w:r>
            <w:r>
              <w:t>s</w:t>
            </w:r>
          </w:p>
        </w:tc>
        <w:tc>
          <w:tcPr>
            <w:tcW w:w="1701" w:type="dxa"/>
            <w:tcBorders>
              <w:top w:val="single" w:sz="4" w:space="0" w:color="000000"/>
              <w:left w:val="single" w:sz="4" w:space="0" w:color="000000"/>
              <w:bottom w:val="single" w:sz="4" w:space="0" w:color="000000"/>
              <w:right w:val="single" w:sz="4" w:space="0" w:color="000000"/>
            </w:tcBorders>
          </w:tcPr>
          <w:p w14:paraId="3A0666E8" w14:textId="3CDCFC26" w:rsidR="00D23028" w:rsidRPr="007D6895" w:rsidRDefault="00D23028" w:rsidP="00D23028">
            <w:pPr>
              <w:jc w:val="both"/>
            </w:pPr>
            <w:r w:rsidRPr="007D6895">
              <w:t>Noteikumu projekta 1</w:t>
            </w:r>
            <w:r w:rsidR="00AF66DD">
              <w:t>8</w:t>
            </w:r>
            <w:r w:rsidRPr="007D6895">
              <w:t>.punkts</w:t>
            </w:r>
          </w:p>
        </w:tc>
        <w:tc>
          <w:tcPr>
            <w:tcW w:w="2239" w:type="dxa"/>
            <w:tcBorders>
              <w:top w:val="single" w:sz="4" w:space="0" w:color="000000"/>
              <w:left w:val="single" w:sz="4" w:space="0" w:color="000000"/>
              <w:bottom w:val="single" w:sz="4" w:space="0" w:color="000000"/>
              <w:right w:val="single" w:sz="4" w:space="0" w:color="000000"/>
            </w:tcBorders>
          </w:tcPr>
          <w:p w14:paraId="22A6A454" w14:textId="72B92F98" w:rsidR="00D23028" w:rsidRPr="007D6895" w:rsidRDefault="00D23028" w:rsidP="00D23028">
            <w:pPr>
              <w:jc w:val="both"/>
              <w:rPr>
                <w:i/>
              </w:rPr>
            </w:pPr>
            <w:r w:rsidRPr="007D6895">
              <w:rPr>
                <w:i/>
              </w:rPr>
              <w:t>Ieviests pilnībā</w:t>
            </w:r>
          </w:p>
        </w:tc>
        <w:tc>
          <w:tcPr>
            <w:tcW w:w="2863" w:type="dxa"/>
            <w:tcBorders>
              <w:top w:val="single" w:sz="4" w:space="0" w:color="000000"/>
              <w:left w:val="single" w:sz="4" w:space="0" w:color="000000"/>
              <w:bottom w:val="single" w:sz="4" w:space="0" w:color="000000"/>
              <w:right w:val="single" w:sz="4" w:space="0" w:color="000000"/>
            </w:tcBorders>
          </w:tcPr>
          <w:p w14:paraId="6DFB0062" w14:textId="4563D5C7" w:rsidR="00D23028" w:rsidRPr="007D6895" w:rsidRDefault="00D23028" w:rsidP="00D23028">
            <w:pPr>
              <w:jc w:val="both"/>
              <w:rPr>
                <w:i/>
              </w:rPr>
            </w:pPr>
            <w:r w:rsidRPr="007D6895">
              <w:rPr>
                <w:i/>
              </w:rPr>
              <w:t>Neparedz stingrākas prasības</w:t>
            </w:r>
          </w:p>
        </w:tc>
      </w:tr>
      <w:tr w:rsidR="00D23028" w:rsidRPr="00E81FE9" w14:paraId="2C82C8C7" w14:textId="77777777" w:rsidTr="001256F7">
        <w:tc>
          <w:tcPr>
            <w:tcW w:w="2405" w:type="dxa"/>
            <w:tcBorders>
              <w:top w:val="single" w:sz="4" w:space="0" w:color="000000"/>
              <w:left w:val="single" w:sz="4" w:space="0" w:color="000000"/>
              <w:bottom w:val="single" w:sz="4" w:space="0" w:color="000000"/>
              <w:right w:val="single" w:sz="4" w:space="0" w:color="000000"/>
            </w:tcBorders>
          </w:tcPr>
          <w:p w14:paraId="1F41302C" w14:textId="51223008" w:rsidR="00D23028" w:rsidRPr="007D6895" w:rsidRDefault="00D23028" w:rsidP="00D23028">
            <w:pPr>
              <w:jc w:val="both"/>
            </w:pPr>
            <w:r w:rsidRPr="007D6895">
              <w:t xml:space="preserve">Regulas </w:t>
            </w:r>
            <w:r>
              <w:t>702</w:t>
            </w:r>
            <w:r w:rsidRPr="007D6895">
              <w:t>/201</w:t>
            </w:r>
            <w:r>
              <w:t>4</w:t>
            </w:r>
            <w:r w:rsidRPr="007D6895">
              <w:t xml:space="preserve"> 6.panta </w:t>
            </w:r>
            <w:r>
              <w:t>2</w:t>
            </w:r>
            <w:r w:rsidRPr="007D6895">
              <w:t>.punkts</w:t>
            </w:r>
          </w:p>
        </w:tc>
        <w:tc>
          <w:tcPr>
            <w:tcW w:w="1701" w:type="dxa"/>
            <w:tcBorders>
              <w:top w:val="single" w:sz="4" w:space="0" w:color="000000"/>
              <w:left w:val="single" w:sz="4" w:space="0" w:color="000000"/>
              <w:bottom w:val="single" w:sz="4" w:space="0" w:color="000000"/>
              <w:right w:val="single" w:sz="4" w:space="0" w:color="000000"/>
            </w:tcBorders>
          </w:tcPr>
          <w:p w14:paraId="22E1C2CE" w14:textId="23237CDC" w:rsidR="00D23028" w:rsidRPr="007D6895" w:rsidRDefault="00D23028" w:rsidP="00D23028">
            <w:pPr>
              <w:jc w:val="both"/>
              <w:rPr>
                <w:i/>
              </w:rPr>
            </w:pPr>
            <w:r w:rsidRPr="007D6895">
              <w:t xml:space="preserve">Noteikumu projekta </w:t>
            </w:r>
            <w:r>
              <w:t>2</w:t>
            </w:r>
            <w:r w:rsidR="00AF66DD">
              <w:t>1</w:t>
            </w:r>
            <w:r w:rsidRPr="007D6895">
              <w:t>.punkts</w:t>
            </w:r>
          </w:p>
        </w:tc>
        <w:tc>
          <w:tcPr>
            <w:tcW w:w="2239" w:type="dxa"/>
            <w:tcBorders>
              <w:top w:val="single" w:sz="4" w:space="0" w:color="000000"/>
              <w:left w:val="single" w:sz="4" w:space="0" w:color="000000"/>
              <w:bottom w:val="single" w:sz="4" w:space="0" w:color="000000"/>
              <w:right w:val="single" w:sz="4" w:space="0" w:color="000000"/>
            </w:tcBorders>
          </w:tcPr>
          <w:p w14:paraId="49FB22DD" w14:textId="7FEE2365" w:rsidR="00D23028" w:rsidRPr="007D6895" w:rsidRDefault="00D23028" w:rsidP="00D23028">
            <w:pPr>
              <w:jc w:val="both"/>
              <w:rPr>
                <w:i/>
              </w:rPr>
            </w:pPr>
            <w:r w:rsidRPr="007D6895">
              <w:rPr>
                <w:i/>
              </w:rPr>
              <w:t>Ieviests pilnībā</w:t>
            </w:r>
          </w:p>
        </w:tc>
        <w:tc>
          <w:tcPr>
            <w:tcW w:w="2863" w:type="dxa"/>
            <w:tcBorders>
              <w:top w:val="single" w:sz="4" w:space="0" w:color="000000"/>
              <w:left w:val="single" w:sz="4" w:space="0" w:color="000000"/>
              <w:bottom w:val="single" w:sz="4" w:space="0" w:color="000000"/>
              <w:right w:val="single" w:sz="4" w:space="0" w:color="000000"/>
            </w:tcBorders>
          </w:tcPr>
          <w:p w14:paraId="427563CF" w14:textId="7D9216F9" w:rsidR="00D23028" w:rsidRPr="007D6895" w:rsidRDefault="00D23028" w:rsidP="00D23028">
            <w:pPr>
              <w:jc w:val="both"/>
              <w:rPr>
                <w:i/>
              </w:rPr>
            </w:pPr>
            <w:r w:rsidRPr="007D6895">
              <w:rPr>
                <w:i/>
              </w:rPr>
              <w:t>Neparedz stingrākas prasības</w:t>
            </w:r>
          </w:p>
        </w:tc>
      </w:tr>
      <w:tr w:rsidR="00D23028" w:rsidRPr="00E81FE9" w14:paraId="5562E13F" w14:textId="77777777" w:rsidTr="001256F7">
        <w:tc>
          <w:tcPr>
            <w:tcW w:w="2405" w:type="dxa"/>
            <w:tcBorders>
              <w:top w:val="single" w:sz="4" w:space="0" w:color="000000"/>
              <w:left w:val="single" w:sz="4" w:space="0" w:color="000000"/>
              <w:bottom w:val="single" w:sz="4" w:space="0" w:color="000000"/>
              <w:right w:val="single" w:sz="4" w:space="0" w:color="000000"/>
            </w:tcBorders>
          </w:tcPr>
          <w:p w14:paraId="4EA0252F" w14:textId="6184DCD7" w:rsidR="00D23028" w:rsidRPr="007D6895" w:rsidRDefault="00D23028" w:rsidP="00D23028">
            <w:pPr>
              <w:jc w:val="both"/>
            </w:pPr>
            <w:r w:rsidRPr="007D6895">
              <w:t>Regulas Nr. 1</w:t>
            </w:r>
            <w:r>
              <w:t>388</w:t>
            </w:r>
            <w:r w:rsidRPr="007D6895">
              <w:t>/201</w:t>
            </w:r>
            <w:r>
              <w:t>4</w:t>
            </w:r>
            <w:r w:rsidRPr="007D6895">
              <w:t xml:space="preserve"> 6.panta </w:t>
            </w:r>
            <w:r>
              <w:t>2</w:t>
            </w:r>
            <w:r w:rsidRPr="007D6895">
              <w:t>.punkts</w:t>
            </w:r>
          </w:p>
        </w:tc>
        <w:tc>
          <w:tcPr>
            <w:tcW w:w="1701" w:type="dxa"/>
            <w:tcBorders>
              <w:top w:val="single" w:sz="4" w:space="0" w:color="000000"/>
              <w:left w:val="single" w:sz="4" w:space="0" w:color="000000"/>
              <w:bottom w:val="single" w:sz="4" w:space="0" w:color="000000"/>
              <w:right w:val="single" w:sz="4" w:space="0" w:color="000000"/>
            </w:tcBorders>
          </w:tcPr>
          <w:p w14:paraId="70BF5ED4" w14:textId="1229B6F3" w:rsidR="00D23028" w:rsidRPr="007D6895" w:rsidRDefault="00D23028" w:rsidP="00D23028">
            <w:pPr>
              <w:jc w:val="both"/>
            </w:pPr>
            <w:r w:rsidRPr="007D6895">
              <w:t xml:space="preserve">Noteikumu projekta </w:t>
            </w:r>
            <w:r>
              <w:t>2</w:t>
            </w:r>
            <w:r w:rsidR="00AF66DD">
              <w:t>1</w:t>
            </w:r>
            <w:r w:rsidRPr="007D6895">
              <w:t>.punkts</w:t>
            </w:r>
          </w:p>
        </w:tc>
        <w:tc>
          <w:tcPr>
            <w:tcW w:w="2239" w:type="dxa"/>
            <w:tcBorders>
              <w:top w:val="single" w:sz="4" w:space="0" w:color="000000"/>
              <w:left w:val="single" w:sz="4" w:space="0" w:color="000000"/>
              <w:bottom w:val="single" w:sz="4" w:space="0" w:color="000000"/>
              <w:right w:val="single" w:sz="4" w:space="0" w:color="000000"/>
            </w:tcBorders>
          </w:tcPr>
          <w:p w14:paraId="78A5D449" w14:textId="5DF90E8B" w:rsidR="00D23028" w:rsidRPr="007D6895" w:rsidRDefault="00D23028" w:rsidP="00D23028">
            <w:pPr>
              <w:jc w:val="both"/>
              <w:rPr>
                <w:i/>
              </w:rPr>
            </w:pPr>
            <w:r w:rsidRPr="007D6895">
              <w:rPr>
                <w:i/>
              </w:rPr>
              <w:t>Ieviests pilnībā</w:t>
            </w:r>
          </w:p>
        </w:tc>
        <w:tc>
          <w:tcPr>
            <w:tcW w:w="2863" w:type="dxa"/>
            <w:tcBorders>
              <w:top w:val="single" w:sz="4" w:space="0" w:color="000000"/>
              <w:left w:val="single" w:sz="4" w:space="0" w:color="000000"/>
              <w:bottom w:val="single" w:sz="4" w:space="0" w:color="000000"/>
              <w:right w:val="single" w:sz="4" w:space="0" w:color="000000"/>
            </w:tcBorders>
          </w:tcPr>
          <w:p w14:paraId="0CCDFCAB" w14:textId="36AFC828" w:rsidR="00D23028" w:rsidRPr="007D6895" w:rsidRDefault="00D23028" w:rsidP="00D23028">
            <w:pPr>
              <w:jc w:val="both"/>
              <w:rPr>
                <w:i/>
              </w:rPr>
            </w:pPr>
            <w:r w:rsidRPr="007D6895">
              <w:rPr>
                <w:i/>
              </w:rPr>
              <w:t>Neparedz stingrākas prasības</w:t>
            </w:r>
          </w:p>
        </w:tc>
      </w:tr>
      <w:tr w:rsidR="00D23028" w:rsidRPr="00E81FE9" w14:paraId="772FCA91" w14:textId="77777777" w:rsidTr="001256F7">
        <w:tc>
          <w:tcPr>
            <w:tcW w:w="2405" w:type="dxa"/>
            <w:tcBorders>
              <w:top w:val="single" w:sz="4" w:space="0" w:color="000000"/>
              <w:left w:val="single" w:sz="4" w:space="0" w:color="000000"/>
              <w:bottom w:val="single" w:sz="4" w:space="0" w:color="000000"/>
              <w:right w:val="single" w:sz="4" w:space="0" w:color="000000"/>
            </w:tcBorders>
          </w:tcPr>
          <w:p w14:paraId="07E9DA7D" w14:textId="27FAA423" w:rsidR="00D23028" w:rsidRPr="007D6895" w:rsidRDefault="00D23028" w:rsidP="00D23028">
            <w:pPr>
              <w:jc w:val="both"/>
            </w:pPr>
            <w:r w:rsidRPr="00D23028">
              <w:t>Regulas Nr. 702/2014 1. panta 5. punk</w:t>
            </w:r>
            <w:r>
              <w:t>ts</w:t>
            </w:r>
          </w:p>
        </w:tc>
        <w:tc>
          <w:tcPr>
            <w:tcW w:w="1701" w:type="dxa"/>
            <w:tcBorders>
              <w:top w:val="single" w:sz="4" w:space="0" w:color="000000"/>
              <w:left w:val="single" w:sz="4" w:space="0" w:color="000000"/>
              <w:bottom w:val="single" w:sz="4" w:space="0" w:color="000000"/>
              <w:right w:val="single" w:sz="4" w:space="0" w:color="000000"/>
            </w:tcBorders>
          </w:tcPr>
          <w:p w14:paraId="316FB558" w14:textId="20DA10DA" w:rsidR="00D23028" w:rsidRPr="007D6895" w:rsidRDefault="00D23028" w:rsidP="00D23028">
            <w:pPr>
              <w:jc w:val="both"/>
            </w:pPr>
            <w:r w:rsidRPr="007D6895">
              <w:t xml:space="preserve">Noteikumu projekta </w:t>
            </w:r>
            <w:r>
              <w:t>2</w:t>
            </w:r>
            <w:r w:rsidR="00AF66DD">
              <w:t>5</w:t>
            </w:r>
            <w:r w:rsidRPr="007D6895">
              <w:t>.punkts</w:t>
            </w:r>
          </w:p>
        </w:tc>
        <w:tc>
          <w:tcPr>
            <w:tcW w:w="2239" w:type="dxa"/>
            <w:tcBorders>
              <w:top w:val="single" w:sz="4" w:space="0" w:color="000000"/>
              <w:left w:val="single" w:sz="4" w:space="0" w:color="000000"/>
              <w:bottom w:val="single" w:sz="4" w:space="0" w:color="000000"/>
              <w:right w:val="single" w:sz="4" w:space="0" w:color="000000"/>
            </w:tcBorders>
          </w:tcPr>
          <w:p w14:paraId="258CC9D4" w14:textId="6C754FCD" w:rsidR="00D23028" w:rsidRPr="007D6895" w:rsidRDefault="00D23028" w:rsidP="00D23028">
            <w:pPr>
              <w:jc w:val="both"/>
              <w:rPr>
                <w:i/>
              </w:rPr>
            </w:pPr>
            <w:r w:rsidRPr="007D6895">
              <w:rPr>
                <w:i/>
              </w:rPr>
              <w:t>Ieviests pilnībā</w:t>
            </w:r>
          </w:p>
        </w:tc>
        <w:tc>
          <w:tcPr>
            <w:tcW w:w="2863" w:type="dxa"/>
            <w:tcBorders>
              <w:top w:val="single" w:sz="4" w:space="0" w:color="000000"/>
              <w:left w:val="single" w:sz="4" w:space="0" w:color="000000"/>
              <w:bottom w:val="single" w:sz="4" w:space="0" w:color="000000"/>
              <w:right w:val="single" w:sz="4" w:space="0" w:color="000000"/>
            </w:tcBorders>
          </w:tcPr>
          <w:p w14:paraId="25277E94" w14:textId="6B835E8F" w:rsidR="00D23028" w:rsidRPr="007D6895" w:rsidRDefault="00D23028" w:rsidP="00D23028">
            <w:pPr>
              <w:jc w:val="both"/>
              <w:rPr>
                <w:i/>
              </w:rPr>
            </w:pPr>
            <w:r w:rsidRPr="007D6895">
              <w:rPr>
                <w:i/>
              </w:rPr>
              <w:t>Neparedz stingrākas prasības</w:t>
            </w:r>
          </w:p>
        </w:tc>
      </w:tr>
      <w:tr w:rsidR="00D23028" w:rsidRPr="00E81FE9" w14:paraId="086BE050" w14:textId="77777777" w:rsidTr="001256F7">
        <w:tc>
          <w:tcPr>
            <w:tcW w:w="2405" w:type="dxa"/>
            <w:tcBorders>
              <w:top w:val="single" w:sz="4" w:space="0" w:color="000000"/>
              <w:left w:val="single" w:sz="4" w:space="0" w:color="000000"/>
              <w:bottom w:val="single" w:sz="4" w:space="0" w:color="000000"/>
              <w:right w:val="single" w:sz="4" w:space="0" w:color="000000"/>
            </w:tcBorders>
          </w:tcPr>
          <w:p w14:paraId="3E2172F6" w14:textId="64F606ED" w:rsidR="00D23028" w:rsidRPr="00D23028" w:rsidRDefault="00D23028" w:rsidP="00D23028">
            <w:pPr>
              <w:jc w:val="both"/>
            </w:pPr>
            <w:r w:rsidRPr="00D23028">
              <w:lastRenderedPageBreak/>
              <w:t>Regulas Nr. 1388/2014 1. panta 3. punkta e) apakšpunkt</w:t>
            </w:r>
            <w:r>
              <w:t>s</w:t>
            </w:r>
          </w:p>
        </w:tc>
        <w:tc>
          <w:tcPr>
            <w:tcW w:w="1701" w:type="dxa"/>
            <w:tcBorders>
              <w:top w:val="single" w:sz="4" w:space="0" w:color="000000"/>
              <w:left w:val="single" w:sz="4" w:space="0" w:color="000000"/>
              <w:bottom w:val="single" w:sz="4" w:space="0" w:color="000000"/>
              <w:right w:val="single" w:sz="4" w:space="0" w:color="000000"/>
            </w:tcBorders>
          </w:tcPr>
          <w:p w14:paraId="24441DC3" w14:textId="741FDA2A" w:rsidR="00D23028" w:rsidRPr="007D6895" w:rsidRDefault="00D23028" w:rsidP="00D23028">
            <w:pPr>
              <w:jc w:val="both"/>
            </w:pPr>
            <w:r w:rsidRPr="007D6895">
              <w:t xml:space="preserve">Noteikumu projekta </w:t>
            </w:r>
            <w:r>
              <w:t>2</w:t>
            </w:r>
            <w:r w:rsidR="00AF66DD">
              <w:t>5</w:t>
            </w:r>
            <w:r w:rsidRPr="007D6895">
              <w:t>.punkts</w:t>
            </w:r>
          </w:p>
        </w:tc>
        <w:tc>
          <w:tcPr>
            <w:tcW w:w="2239" w:type="dxa"/>
            <w:tcBorders>
              <w:top w:val="single" w:sz="4" w:space="0" w:color="000000"/>
              <w:left w:val="single" w:sz="4" w:space="0" w:color="000000"/>
              <w:bottom w:val="single" w:sz="4" w:space="0" w:color="000000"/>
              <w:right w:val="single" w:sz="4" w:space="0" w:color="000000"/>
            </w:tcBorders>
          </w:tcPr>
          <w:p w14:paraId="643685DF" w14:textId="5CC9A772" w:rsidR="00D23028" w:rsidRPr="007D6895" w:rsidRDefault="00D23028" w:rsidP="00D23028">
            <w:pPr>
              <w:jc w:val="both"/>
              <w:rPr>
                <w:i/>
              </w:rPr>
            </w:pPr>
            <w:r w:rsidRPr="007D6895">
              <w:rPr>
                <w:i/>
              </w:rPr>
              <w:t>Ieviests pilnībā</w:t>
            </w:r>
          </w:p>
        </w:tc>
        <w:tc>
          <w:tcPr>
            <w:tcW w:w="2863" w:type="dxa"/>
            <w:tcBorders>
              <w:top w:val="single" w:sz="4" w:space="0" w:color="000000"/>
              <w:left w:val="single" w:sz="4" w:space="0" w:color="000000"/>
              <w:bottom w:val="single" w:sz="4" w:space="0" w:color="000000"/>
              <w:right w:val="single" w:sz="4" w:space="0" w:color="000000"/>
            </w:tcBorders>
          </w:tcPr>
          <w:p w14:paraId="1ABAB985" w14:textId="3F29B561" w:rsidR="00D23028" w:rsidRPr="007D6895" w:rsidRDefault="00D23028" w:rsidP="00D23028">
            <w:pPr>
              <w:jc w:val="both"/>
              <w:rPr>
                <w:i/>
              </w:rPr>
            </w:pPr>
            <w:r w:rsidRPr="007D6895">
              <w:rPr>
                <w:i/>
              </w:rPr>
              <w:t>Neparedz stingrākas prasības</w:t>
            </w:r>
          </w:p>
        </w:tc>
      </w:tr>
      <w:tr w:rsidR="00D23028" w:rsidRPr="00E81FE9" w14:paraId="6EF2AD51" w14:textId="77777777" w:rsidTr="001256F7">
        <w:tc>
          <w:tcPr>
            <w:tcW w:w="2405" w:type="dxa"/>
            <w:tcBorders>
              <w:top w:val="single" w:sz="4" w:space="0" w:color="000000"/>
              <w:left w:val="single" w:sz="4" w:space="0" w:color="000000"/>
              <w:bottom w:val="single" w:sz="4" w:space="0" w:color="000000"/>
              <w:right w:val="single" w:sz="4" w:space="0" w:color="000000"/>
            </w:tcBorders>
          </w:tcPr>
          <w:p w14:paraId="65707B70" w14:textId="0B63809E" w:rsidR="00D23028" w:rsidRPr="000375C5" w:rsidRDefault="00D23028" w:rsidP="00D23028">
            <w:pPr>
              <w:jc w:val="both"/>
            </w:pPr>
            <w:r>
              <w:t xml:space="preserve">Vispārīga atsauce uz </w:t>
            </w:r>
            <w:r w:rsidRPr="000375C5">
              <w:t>Regul</w:t>
            </w:r>
            <w:r>
              <w:t>u</w:t>
            </w:r>
            <w:r w:rsidRPr="000375C5">
              <w:t xml:space="preserve"> Nr.</w:t>
            </w:r>
            <w:r>
              <w:t>1407</w:t>
            </w:r>
            <w:r w:rsidRPr="000375C5">
              <w:t>/201</w:t>
            </w:r>
            <w:r>
              <w:t>3</w:t>
            </w:r>
          </w:p>
        </w:tc>
        <w:tc>
          <w:tcPr>
            <w:tcW w:w="1701" w:type="dxa"/>
            <w:tcBorders>
              <w:top w:val="single" w:sz="4" w:space="0" w:color="000000"/>
              <w:left w:val="single" w:sz="4" w:space="0" w:color="000000"/>
              <w:bottom w:val="single" w:sz="4" w:space="0" w:color="000000"/>
              <w:right w:val="single" w:sz="4" w:space="0" w:color="000000"/>
            </w:tcBorders>
          </w:tcPr>
          <w:p w14:paraId="273C6409" w14:textId="2417768C" w:rsidR="00D23028" w:rsidRPr="000375C5" w:rsidRDefault="00D23028" w:rsidP="00D23028">
            <w:pPr>
              <w:jc w:val="both"/>
            </w:pPr>
            <w:r w:rsidRPr="000375C5">
              <w:t xml:space="preserve">Noteikumu projekta </w:t>
            </w:r>
            <w:r>
              <w:t>2</w:t>
            </w:r>
            <w:r w:rsidR="00AF66DD">
              <w:t>6</w:t>
            </w:r>
            <w:r w:rsidRPr="000375C5">
              <w:t>.punkts</w:t>
            </w:r>
          </w:p>
        </w:tc>
        <w:tc>
          <w:tcPr>
            <w:tcW w:w="2239" w:type="dxa"/>
            <w:tcBorders>
              <w:top w:val="single" w:sz="4" w:space="0" w:color="000000"/>
              <w:left w:val="single" w:sz="4" w:space="0" w:color="000000"/>
              <w:bottom w:val="single" w:sz="4" w:space="0" w:color="000000"/>
              <w:right w:val="single" w:sz="4" w:space="0" w:color="000000"/>
            </w:tcBorders>
          </w:tcPr>
          <w:p w14:paraId="52D679C5" w14:textId="3C153B9F" w:rsidR="00D23028" w:rsidRPr="000375C5" w:rsidRDefault="00D23028" w:rsidP="00D23028">
            <w:pPr>
              <w:jc w:val="both"/>
              <w:rPr>
                <w:i/>
              </w:rPr>
            </w:pPr>
            <w:r w:rsidRPr="000375C5">
              <w:rPr>
                <w:i/>
              </w:rPr>
              <w:t>Ieviests pilnībā</w:t>
            </w:r>
          </w:p>
        </w:tc>
        <w:tc>
          <w:tcPr>
            <w:tcW w:w="2863" w:type="dxa"/>
            <w:tcBorders>
              <w:top w:val="single" w:sz="4" w:space="0" w:color="000000"/>
              <w:left w:val="single" w:sz="4" w:space="0" w:color="000000"/>
              <w:bottom w:val="single" w:sz="4" w:space="0" w:color="000000"/>
              <w:right w:val="single" w:sz="4" w:space="0" w:color="000000"/>
            </w:tcBorders>
          </w:tcPr>
          <w:p w14:paraId="090A65DE" w14:textId="159D1ABB" w:rsidR="00D23028" w:rsidRPr="000375C5" w:rsidRDefault="00D23028" w:rsidP="00D23028">
            <w:pPr>
              <w:jc w:val="both"/>
              <w:rPr>
                <w:i/>
              </w:rPr>
            </w:pPr>
            <w:r w:rsidRPr="000375C5">
              <w:rPr>
                <w:i/>
              </w:rPr>
              <w:t>Neparedz stingrākas prasības</w:t>
            </w:r>
          </w:p>
        </w:tc>
      </w:tr>
      <w:tr w:rsidR="00D23028" w:rsidRPr="00E81FE9" w14:paraId="536E0F18" w14:textId="77777777" w:rsidTr="001256F7">
        <w:tc>
          <w:tcPr>
            <w:tcW w:w="2405" w:type="dxa"/>
            <w:tcBorders>
              <w:top w:val="single" w:sz="4" w:space="0" w:color="000000"/>
              <w:left w:val="single" w:sz="4" w:space="0" w:color="000000"/>
              <w:bottom w:val="single" w:sz="4" w:space="0" w:color="000000"/>
              <w:right w:val="single" w:sz="4" w:space="0" w:color="000000"/>
            </w:tcBorders>
          </w:tcPr>
          <w:p w14:paraId="4CFC13F3" w14:textId="309B69C8" w:rsidR="00D23028" w:rsidRDefault="00D23028" w:rsidP="00D23028">
            <w:pPr>
              <w:jc w:val="both"/>
            </w:pPr>
            <w:r w:rsidRPr="00FC2350">
              <w:t>Regul</w:t>
            </w:r>
            <w:r>
              <w:t>as</w:t>
            </w:r>
            <w:r w:rsidRPr="00FC2350">
              <w:t xml:space="preserve"> Nr.1407/2013</w:t>
            </w:r>
            <w:r>
              <w:t xml:space="preserve"> 1. pants</w:t>
            </w:r>
          </w:p>
        </w:tc>
        <w:tc>
          <w:tcPr>
            <w:tcW w:w="1701" w:type="dxa"/>
            <w:tcBorders>
              <w:top w:val="single" w:sz="4" w:space="0" w:color="000000"/>
              <w:left w:val="single" w:sz="4" w:space="0" w:color="000000"/>
              <w:bottom w:val="single" w:sz="4" w:space="0" w:color="000000"/>
              <w:right w:val="single" w:sz="4" w:space="0" w:color="000000"/>
            </w:tcBorders>
          </w:tcPr>
          <w:p w14:paraId="7D962F9C" w14:textId="2DF1F485" w:rsidR="00D23028" w:rsidRPr="000375C5" w:rsidRDefault="00D23028" w:rsidP="00D23028">
            <w:pPr>
              <w:jc w:val="both"/>
            </w:pPr>
            <w:r w:rsidRPr="00433EDD">
              <w:t>Noteikumu projekta 2</w:t>
            </w:r>
            <w:r w:rsidR="00AF66DD">
              <w:t>6</w:t>
            </w:r>
            <w:r w:rsidRPr="00433EDD">
              <w:t>.punkts</w:t>
            </w:r>
          </w:p>
        </w:tc>
        <w:tc>
          <w:tcPr>
            <w:tcW w:w="2239" w:type="dxa"/>
            <w:tcBorders>
              <w:top w:val="single" w:sz="4" w:space="0" w:color="000000"/>
              <w:left w:val="single" w:sz="4" w:space="0" w:color="000000"/>
              <w:bottom w:val="single" w:sz="4" w:space="0" w:color="000000"/>
              <w:right w:val="single" w:sz="4" w:space="0" w:color="000000"/>
            </w:tcBorders>
          </w:tcPr>
          <w:p w14:paraId="05AD67D1" w14:textId="42076D98" w:rsidR="00D23028" w:rsidRPr="00FC2350" w:rsidRDefault="00D23028" w:rsidP="00D23028">
            <w:pPr>
              <w:jc w:val="both"/>
              <w:rPr>
                <w:i/>
              </w:rPr>
            </w:pPr>
            <w:r w:rsidRPr="00FC2350">
              <w:rPr>
                <w:i/>
              </w:rPr>
              <w:t>Ieviests pilnībā</w:t>
            </w:r>
          </w:p>
        </w:tc>
        <w:tc>
          <w:tcPr>
            <w:tcW w:w="2863" w:type="dxa"/>
            <w:tcBorders>
              <w:top w:val="single" w:sz="4" w:space="0" w:color="000000"/>
              <w:left w:val="single" w:sz="4" w:space="0" w:color="000000"/>
              <w:bottom w:val="single" w:sz="4" w:space="0" w:color="000000"/>
              <w:right w:val="single" w:sz="4" w:space="0" w:color="000000"/>
            </w:tcBorders>
          </w:tcPr>
          <w:p w14:paraId="68745F04" w14:textId="320438C9" w:rsidR="00D23028" w:rsidRPr="00FC2350" w:rsidRDefault="00D23028" w:rsidP="00D23028">
            <w:pPr>
              <w:jc w:val="both"/>
              <w:rPr>
                <w:i/>
              </w:rPr>
            </w:pPr>
            <w:r w:rsidRPr="00FC2350">
              <w:rPr>
                <w:i/>
              </w:rPr>
              <w:t>Neparedz stingrākas prasības</w:t>
            </w:r>
          </w:p>
        </w:tc>
      </w:tr>
      <w:tr w:rsidR="00D23028" w:rsidRPr="00E81FE9" w14:paraId="2A29917E" w14:textId="77777777" w:rsidTr="001256F7">
        <w:tc>
          <w:tcPr>
            <w:tcW w:w="2405" w:type="dxa"/>
            <w:tcBorders>
              <w:top w:val="single" w:sz="4" w:space="0" w:color="000000"/>
              <w:left w:val="single" w:sz="4" w:space="0" w:color="000000"/>
              <w:bottom w:val="single" w:sz="4" w:space="0" w:color="000000"/>
              <w:right w:val="single" w:sz="4" w:space="0" w:color="000000"/>
            </w:tcBorders>
          </w:tcPr>
          <w:p w14:paraId="5B53DCEB" w14:textId="36CFD882" w:rsidR="00D23028" w:rsidRDefault="00D23028" w:rsidP="00D23028">
            <w:pPr>
              <w:jc w:val="both"/>
            </w:pPr>
            <w:r w:rsidRPr="00A25732">
              <w:t>Regul</w:t>
            </w:r>
            <w:r>
              <w:t>as</w:t>
            </w:r>
            <w:r w:rsidRPr="00A25732">
              <w:t xml:space="preserve"> Nr.140</w:t>
            </w:r>
            <w:r>
              <w:t>7</w:t>
            </w:r>
            <w:r w:rsidRPr="00A25732">
              <w:t>/2013</w:t>
            </w:r>
            <w:r>
              <w:t xml:space="preserve"> 3. panta 2. punkts</w:t>
            </w:r>
          </w:p>
        </w:tc>
        <w:tc>
          <w:tcPr>
            <w:tcW w:w="1701" w:type="dxa"/>
            <w:tcBorders>
              <w:top w:val="single" w:sz="4" w:space="0" w:color="000000"/>
              <w:left w:val="single" w:sz="4" w:space="0" w:color="000000"/>
              <w:bottom w:val="single" w:sz="4" w:space="0" w:color="000000"/>
              <w:right w:val="single" w:sz="4" w:space="0" w:color="000000"/>
            </w:tcBorders>
          </w:tcPr>
          <w:p w14:paraId="3B4EF8B7" w14:textId="12C277FA" w:rsidR="00D23028" w:rsidRPr="000375C5" w:rsidRDefault="00D23028" w:rsidP="00D23028">
            <w:pPr>
              <w:jc w:val="both"/>
            </w:pPr>
            <w:r w:rsidRPr="001A33F6">
              <w:t xml:space="preserve">Noteikumu projekta </w:t>
            </w:r>
            <w:r>
              <w:t>3</w:t>
            </w:r>
            <w:r w:rsidR="00AF66DD">
              <w:t>1</w:t>
            </w:r>
            <w:r w:rsidRPr="001A33F6">
              <w:t>.punkts</w:t>
            </w:r>
          </w:p>
        </w:tc>
        <w:tc>
          <w:tcPr>
            <w:tcW w:w="2239" w:type="dxa"/>
            <w:tcBorders>
              <w:top w:val="single" w:sz="4" w:space="0" w:color="000000"/>
              <w:left w:val="single" w:sz="4" w:space="0" w:color="000000"/>
              <w:bottom w:val="single" w:sz="4" w:space="0" w:color="000000"/>
              <w:right w:val="single" w:sz="4" w:space="0" w:color="000000"/>
            </w:tcBorders>
          </w:tcPr>
          <w:p w14:paraId="5FA85A0C" w14:textId="19C58DE6" w:rsidR="00D23028" w:rsidRPr="000375C5" w:rsidRDefault="00D23028" w:rsidP="00D23028">
            <w:pPr>
              <w:jc w:val="both"/>
              <w:rPr>
                <w:i/>
              </w:rPr>
            </w:pPr>
            <w:r w:rsidRPr="00E60FEA">
              <w:rPr>
                <w:i/>
              </w:rPr>
              <w:t>Ieviests pilnībā</w:t>
            </w:r>
          </w:p>
        </w:tc>
        <w:tc>
          <w:tcPr>
            <w:tcW w:w="2863" w:type="dxa"/>
            <w:tcBorders>
              <w:top w:val="single" w:sz="4" w:space="0" w:color="000000"/>
              <w:left w:val="single" w:sz="4" w:space="0" w:color="000000"/>
              <w:bottom w:val="single" w:sz="4" w:space="0" w:color="000000"/>
              <w:right w:val="single" w:sz="4" w:space="0" w:color="000000"/>
            </w:tcBorders>
          </w:tcPr>
          <w:p w14:paraId="589368D5" w14:textId="4AE18260" w:rsidR="00D23028" w:rsidRPr="000375C5" w:rsidRDefault="00D23028" w:rsidP="00D23028">
            <w:pPr>
              <w:jc w:val="both"/>
              <w:rPr>
                <w:i/>
              </w:rPr>
            </w:pPr>
            <w:r w:rsidRPr="00E60FEA">
              <w:rPr>
                <w:i/>
              </w:rPr>
              <w:t>Neparedz stingrākas prasības</w:t>
            </w:r>
          </w:p>
        </w:tc>
      </w:tr>
      <w:tr w:rsidR="00D23028" w:rsidRPr="00E81FE9" w14:paraId="27A896A9" w14:textId="77777777" w:rsidTr="001256F7">
        <w:tc>
          <w:tcPr>
            <w:tcW w:w="2405" w:type="dxa"/>
            <w:tcBorders>
              <w:top w:val="single" w:sz="4" w:space="0" w:color="000000"/>
              <w:left w:val="single" w:sz="4" w:space="0" w:color="000000"/>
              <w:bottom w:val="single" w:sz="4" w:space="0" w:color="000000"/>
              <w:right w:val="single" w:sz="4" w:space="0" w:color="000000"/>
            </w:tcBorders>
          </w:tcPr>
          <w:p w14:paraId="5443E989" w14:textId="561953D9" w:rsidR="00D23028" w:rsidRPr="00A25732" w:rsidDel="0072589C" w:rsidRDefault="00D23028" w:rsidP="00D23028">
            <w:pPr>
              <w:jc w:val="both"/>
            </w:pPr>
            <w:r w:rsidRPr="001256F7">
              <w:t xml:space="preserve">Regulas 702/2014 </w:t>
            </w:r>
            <w:r>
              <w:t xml:space="preserve">14. </w:t>
            </w:r>
            <w:r w:rsidRPr="001256F7">
              <w:t xml:space="preserve">panta </w:t>
            </w:r>
            <w:r>
              <w:t>1</w:t>
            </w:r>
            <w:r w:rsidRPr="001256F7">
              <w:t>2.punkts</w:t>
            </w:r>
          </w:p>
        </w:tc>
        <w:tc>
          <w:tcPr>
            <w:tcW w:w="1701" w:type="dxa"/>
            <w:tcBorders>
              <w:top w:val="single" w:sz="4" w:space="0" w:color="000000"/>
              <w:left w:val="single" w:sz="4" w:space="0" w:color="000000"/>
              <w:bottom w:val="single" w:sz="4" w:space="0" w:color="000000"/>
              <w:right w:val="single" w:sz="4" w:space="0" w:color="000000"/>
            </w:tcBorders>
          </w:tcPr>
          <w:p w14:paraId="4C6321F5" w14:textId="02BC15EF" w:rsidR="00D23028" w:rsidRPr="001A33F6" w:rsidRDefault="00D23028" w:rsidP="00D23028">
            <w:pPr>
              <w:jc w:val="both"/>
            </w:pPr>
            <w:r w:rsidRPr="001B5903">
              <w:t xml:space="preserve">Noteikumu projekta </w:t>
            </w:r>
            <w:r>
              <w:t>3</w:t>
            </w:r>
            <w:r w:rsidR="00AF66DD">
              <w:t>1</w:t>
            </w:r>
            <w:r w:rsidRPr="001B5903">
              <w:t>.punkts</w:t>
            </w:r>
          </w:p>
        </w:tc>
        <w:tc>
          <w:tcPr>
            <w:tcW w:w="2239" w:type="dxa"/>
            <w:tcBorders>
              <w:top w:val="single" w:sz="4" w:space="0" w:color="000000"/>
              <w:left w:val="single" w:sz="4" w:space="0" w:color="000000"/>
              <w:bottom w:val="single" w:sz="4" w:space="0" w:color="000000"/>
              <w:right w:val="single" w:sz="4" w:space="0" w:color="000000"/>
            </w:tcBorders>
          </w:tcPr>
          <w:p w14:paraId="121A9125" w14:textId="3721A5DE" w:rsidR="00D23028" w:rsidRPr="001256F7" w:rsidRDefault="00D23028" w:rsidP="00D23028">
            <w:pPr>
              <w:jc w:val="both"/>
              <w:rPr>
                <w:i/>
              </w:rPr>
            </w:pPr>
            <w:r w:rsidRPr="001256F7">
              <w:rPr>
                <w:i/>
              </w:rPr>
              <w:t>Ieviests pilnībā</w:t>
            </w:r>
          </w:p>
        </w:tc>
        <w:tc>
          <w:tcPr>
            <w:tcW w:w="2863" w:type="dxa"/>
            <w:tcBorders>
              <w:top w:val="single" w:sz="4" w:space="0" w:color="000000"/>
              <w:left w:val="single" w:sz="4" w:space="0" w:color="000000"/>
              <w:bottom w:val="single" w:sz="4" w:space="0" w:color="000000"/>
              <w:right w:val="single" w:sz="4" w:space="0" w:color="000000"/>
            </w:tcBorders>
          </w:tcPr>
          <w:p w14:paraId="203EE374" w14:textId="20E4FC62" w:rsidR="00D23028" w:rsidRPr="001256F7" w:rsidRDefault="00D23028" w:rsidP="00D23028">
            <w:pPr>
              <w:jc w:val="both"/>
              <w:rPr>
                <w:i/>
              </w:rPr>
            </w:pPr>
            <w:r w:rsidRPr="001256F7">
              <w:rPr>
                <w:i/>
              </w:rPr>
              <w:t>Neparedz stingrākas prasības</w:t>
            </w:r>
          </w:p>
        </w:tc>
      </w:tr>
      <w:tr w:rsidR="00D23028" w:rsidRPr="00E81FE9" w14:paraId="06B68C61" w14:textId="77777777" w:rsidTr="001256F7">
        <w:tc>
          <w:tcPr>
            <w:tcW w:w="2405" w:type="dxa"/>
            <w:tcBorders>
              <w:top w:val="single" w:sz="4" w:space="0" w:color="000000"/>
              <w:left w:val="single" w:sz="4" w:space="0" w:color="000000"/>
              <w:bottom w:val="single" w:sz="4" w:space="0" w:color="000000"/>
              <w:right w:val="single" w:sz="4" w:space="0" w:color="000000"/>
            </w:tcBorders>
          </w:tcPr>
          <w:p w14:paraId="1398F36A" w14:textId="3A298709" w:rsidR="00D23028" w:rsidRPr="00A25732" w:rsidRDefault="00D23028" w:rsidP="00D23028">
            <w:pPr>
              <w:jc w:val="both"/>
            </w:pPr>
            <w:r w:rsidRPr="001256F7">
              <w:t>Regulas Nr. 1388/2014</w:t>
            </w:r>
            <w:r>
              <w:t xml:space="preserve"> </w:t>
            </w:r>
            <w:r w:rsidRPr="001256F7">
              <w:t>17. panta "b" apakšpunkt</w:t>
            </w:r>
            <w:r>
              <w:t>s</w:t>
            </w:r>
            <w:r w:rsidRPr="001256F7">
              <w:t>, 19. panta "b" apakšpunkt</w:t>
            </w:r>
            <w:r>
              <w:t>s</w:t>
            </w:r>
            <w:r w:rsidRPr="001256F7">
              <w:t>, 23. panta "b" apakšpunkt</w:t>
            </w:r>
            <w:r>
              <w:t>s</w:t>
            </w:r>
            <w:r w:rsidRPr="001256F7">
              <w:t>, 27. panta "b" apakšpunkt</w:t>
            </w:r>
            <w:r>
              <w:t>s</w:t>
            </w:r>
            <w:r w:rsidRPr="001256F7">
              <w:t>, 31. panta "b" apakšpunkt</w:t>
            </w:r>
            <w:r>
              <w:t>s</w:t>
            </w:r>
            <w:r w:rsidRPr="001256F7">
              <w:t xml:space="preserve"> vai 42. panta "b" apakšpunkt</w:t>
            </w:r>
            <w:r>
              <w:t>s</w:t>
            </w:r>
          </w:p>
        </w:tc>
        <w:tc>
          <w:tcPr>
            <w:tcW w:w="1701" w:type="dxa"/>
            <w:tcBorders>
              <w:top w:val="single" w:sz="4" w:space="0" w:color="000000"/>
              <w:left w:val="single" w:sz="4" w:space="0" w:color="000000"/>
              <w:bottom w:val="single" w:sz="4" w:space="0" w:color="000000"/>
              <w:right w:val="single" w:sz="4" w:space="0" w:color="000000"/>
            </w:tcBorders>
          </w:tcPr>
          <w:p w14:paraId="6DBED710" w14:textId="5B69AD8D" w:rsidR="00D23028" w:rsidRPr="00B6136F" w:rsidRDefault="00D23028" w:rsidP="00D23028">
            <w:pPr>
              <w:jc w:val="both"/>
            </w:pPr>
            <w:r w:rsidRPr="001B5903">
              <w:t xml:space="preserve">Noteikumu projekta </w:t>
            </w:r>
            <w:r>
              <w:t>3</w:t>
            </w:r>
            <w:r w:rsidR="00AF66DD">
              <w:t>1</w:t>
            </w:r>
            <w:r w:rsidRPr="001B5903">
              <w:t>.punkts</w:t>
            </w:r>
          </w:p>
        </w:tc>
        <w:tc>
          <w:tcPr>
            <w:tcW w:w="2239" w:type="dxa"/>
            <w:tcBorders>
              <w:top w:val="single" w:sz="4" w:space="0" w:color="000000"/>
              <w:left w:val="single" w:sz="4" w:space="0" w:color="000000"/>
              <w:bottom w:val="single" w:sz="4" w:space="0" w:color="000000"/>
              <w:right w:val="single" w:sz="4" w:space="0" w:color="000000"/>
            </w:tcBorders>
          </w:tcPr>
          <w:p w14:paraId="4D4D6B6F" w14:textId="6D3C84E6" w:rsidR="00D23028" w:rsidRPr="001256F7" w:rsidRDefault="00D23028" w:rsidP="00D23028">
            <w:pPr>
              <w:jc w:val="both"/>
              <w:rPr>
                <w:i/>
              </w:rPr>
            </w:pPr>
            <w:r w:rsidRPr="001256F7">
              <w:rPr>
                <w:i/>
              </w:rPr>
              <w:t>Ieviests pilnībā</w:t>
            </w:r>
          </w:p>
        </w:tc>
        <w:tc>
          <w:tcPr>
            <w:tcW w:w="2863" w:type="dxa"/>
            <w:tcBorders>
              <w:top w:val="single" w:sz="4" w:space="0" w:color="000000"/>
              <w:left w:val="single" w:sz="4" w:space="0" w:color="000000"/>
              <w:bottom w:val="single" w:sz="4" w:space="0" w:color="000000"/>
              <w:right w:val="single" w:sz="4" w:space="0" w:color="000000"/>
            </w:tcBorders>
          </w:tcPr>
          <w:p w14:paraId="2E1F6D72" w14:textId="45C34D56" w:rsidR="00D23028" w:rsidRPr="001256F7" w:rsidRDefault="00D23028" w:rsidP="00D23028">
            <w:pPr>
              <w:jc w:val="both"/>
              <w:rPr>
                <w:i/>
              </w:rPr>
            </w:pPr>
            <w:r w:rsidRPr="001256F7">
              <w:rPr>
                <w:i/>
              </w:rPr>
              <w:t>Neparedz stingrākas prasības</w:t>
            </w:r>
          </w:p>
        </w:tc>
      </w:tr>
      <w:tr w:rsidR="00D23028" w:rsidRPr="00E81FE9" w14:paraId="055525FB" w14:textId="77777777" w:rsidTr="001256F7">
        <w:tc>
          <w:tcPr>
            <w:tcW w:w="2405" w:type="dxa"/>
            <w:tcBorders>
              <w:top w:val="single" w:sz="4" w:space="0" w:color="000000"/>
              <w:left w:val="single" w:sz="4" w:space="0" w:color="000000"/>
              <w:bottom w:val="single" w:sz="4" w:space="0" w:color="000000"/>
              <w:right w:val="single" w:sz="4" w:space="0" w:color="000000"/>
            </w:tcBorders>
          </w:tcPr>
          <w:p w14:paraId="7B6227C9" w14:textId="0B9B521B" w:rsidR="00D23028" w:rsidRPr="00A25732" w:rsidRDefault="00D23028" w:rsidP="00D23028">
            <w:pPr>
              <w:jc w:val="both"/>
            </w:pPr>
            <w:r w:rsidRPr="00305AA0">
              <w:t>Regulas Nr.140</w:t>
            </w:r>
            <w:r>
              <w:t>8</w:t>
            </w:r>
            <w:r w:rsidRPr="00305AA0">
              <w:t>/2013 1. pants</w:t>
            </w:r>
          </w:p>
        </w:tc>
        <w:tc>
          <w:tcPr>
            <w:tcW w:w="1701" w:type="dxa"/>
            <w:tcBorders>
              <w:top w:val="single" w:sz="4" w:space="0" w:color="000000"/>
              <w:left w:val="single" w:sz="4" w:space="0" w:color="000000"/>
              <w:bottom w:val="single" w:sz="4" w:space="0" w:color="000000"/>
              <w:right w:val="single" w:sz="4" w:space="0" w:color="000000"/>
            </w:tcBorders>
          </w:tcPr>
          <w:p w14:paraId="7F9D49FE" w14:textId="614F08F8" w:rsidR="00D23028" w:rsidRPr="00B6136F" w:rsidRDefault="00D23028" w:rsidP="00D23028">
            <w:pPr>
              <w:jc w:val="both"/>
            </w:pPr>
            <w:r w:rsidRPr="00931690">
              <w:t xml:space="preserve">Noteikumu projekta </w:t>
            </w:r>
            <w:r>
              <w:t>3</w:t>
            </w:r>
            <w:r w:rsidR="00AF66DD">
              <w:t>2</w:t>
            </w:r>
            <w:r w:rsidRPr="00931690">
              <w:t>.punkts</w:t>
            </w:r>
          </w:p>
        </w:tc>
        <w:tc>
          <w:tcPr>
            <w:tcW w:w="2239" w:type="dxa"/>
            <w:tcBorders>
              <w:top w:val="single" w:sz="4" w:space="0" w:color="000000"/>
              <w:left w:val="single" w:sz="4" w:space="0" w:color="000000"/>
              <w:bottom w:val="single" w:sz="4" w:space="0" w:color="000000"/>
              <w:right w:val="single" w:sz="4" w:space="0" w:color="000000"/>
            </w:tcBorders>
          </w:tcPr>
          <w:p w14:paraId="502C9EC4" w14:textId="30E7A4ED" w:rsidR="00D23028" w:rsidRPr="00305AA0" w:rsidRDefault="00D23028" w:rsidP="00D23028">
            <w:pPr>
              <w:jc w:val="both"/>
              <w:rPr>
                <w:i/>
              </w:rPr>
            </w:pPr>
            <w:r w:rsidRPr="00305AA0">
              <w:rPr>
                <w:i/>
              </w:rPr>
              <w:t>Ieviests pilnībā</w:t>
            </w:r>
          </w:p>
        </w:tc>
        <w:tc>
          <w:tcPr>
            <w:tcW w:w="2863" w:type="dxa"/>
            <w:tcBorders>
              <w:top w:val="single" w:sz="4" w:space="0" w:color="000000"/>
              <w:left w:val="single" w:sz="4" w:space="0" w:color="000000"/>
              <w:bottom w:val="single" w:sz="4" w:space="0" w:color="000000"/>
              <w:right w:val="single" w:sz="4" w:space="0" w:color="000000"/>
            </w:tcBorders>
          </w:tcPr>
          <w:p w14:paraId="5AD3AB08" w14:textId="41AED34B" w:rsidR="00D23028" w:rsidRPr="00305AA0" w:rsidRDefault="00D23028" w:rsidP="00D23028">
            <w:pPr>
              <w:jc w:val="both"/>
              <w:rPr>
                <w:i/>
              </w:rPr>
            </w:pPr>
            <w:r w:rsidRPr="00305AA0">
              <w:rPr>
                <w:i/>
              </w:rPr>
              <w:t>Neparedz stingrākas prasības</w:t>
            </w:r>
          </w:p>
        </w:tc>
      </w:tr>
      <w:tr w:rsidR="00D23028" w:rsidRPr="00E81FE9" w14:paraId="22B328F4" w14:textId="77777777" w:rsidTr="001256F7">
        <w:tc>
          <w:tcPr>
            <w:tcW w:w="2405" w:type="dxa"/>
            <w:tcBorders>
              <w:top w:val="single" w:sz="4" w:space="0" w:color="000000"/>
              <w:left w:val="single" w:sz="4" w:space="0" w:color="000000"/>
              <w:bottom w:val="single" w:sz="4" w:space="0" w:color="000000"/>
              <w:right w:val="single" w:sz="4" w:space="0" w:color="000000"/>
            </w:tcBorders>
          </w:tcPr>
          <w:p w14:paraId="46F95771" w14:textId="0545F707" w:rsidR="00D23028" w:rsidRPr="00A25732" w:rsidRDefault="00D23028" w:rsidP="00D23028">
            <w:pPr>
              <w:jc w:val="both"/>
            </w:pPr>
            <w:r w:rsidRPr="00A25732">
              <w:t>Vispārīga atsauce uz Regulu Nr.</w:t>
            </w:r>
            <w:r>
              <w:t>717</w:t>
            </w:r>
            <w:r w:rsidRPr="00A25732">
              <w:t>/201</w:t>
            </w:r>
            <w:r>
              <w:t>4</w:t>
            </w:r>
          </w:p>
        </w:tc>
        <w:tc>
          <w:tcPr>
            <w:tcW w:w="1701" w:type="dxa"/>
            <w:tcBorders>
              <w:top w:val="single" w:sz="4" w:space="0" w:color="000000"/>
              <w:left w:val="single" w:sz="4" w:space="0" w:color="000000"/>
              <w:bottom w:val="single" w:sz="4" w:space="0" w:color="000000"/>
              <w:right w:val="single" w:sz="4" w:space="0" w:color="000000"/>
            </w:tcBorders>
          </w:tcPr>
          <w:p w14:paraId="669C5BB8" w14:textId="22277FD9" w:rsidR="00D23028" w:rsidRPr="00B6136F" w:rsidRDefault="00D23028" w:rsidP="00D23028">
            <w:pPr>
              <w:jc w:val="both"/>
            </w:pPr>
            <w:r w:rsidRPr="00B6136F">
              <w:t xml:space="preserve">Noteikumu projekta </w:t>
            </w:r>
            <w:r>
              <w:t>3</w:t>
            </w:r>
            <w:r w:rsidR="00AF66DD">
              <w:t>2</w:t>
            </w:r>
            <w:r w:rsidRPr="00B6136F">
              <w:t>.punkts</w:t>
            </w:r>
          </w:p>
        </w:tc>
        <w:tc>
          <w:tcPr>
            <w:tcW w:w="2239" w:type="dxa"/>
            <w:tcBorders>
              <w:top w:val="single" w:sz="4" w:space="0" w:color="000000"/>
              <w:left w:val="single" w:sz="4" w:space="0" w:color="000000"/>
              <w:bottom w:val="single" w:sz="4" w:space="0" w:color="000000"/>
              <w:right w:val="single" w:sz="4" w:space="0" w:color="000000"/>
            </w:tcBorders>
          </w:tcPr>
          <w:p w14:paraId="1777A199" w14:textId="0BF63617" w:rsidR="00D23028" w:rsidRPr="00A25732" w:rsidRDefault="00D23028" w:rsidP="00D23028">
            <w:pPr>
              <w:jc w:val="both"/>
              <w:rPr>
                <w:i/>
              </w:rPr>
            </w:pPr>
            <w:r w:rsidRPr="00A25732">
              <w:rPr>
                <w:i/>
              </w:rPr>
              <w:t>Ieviests pilnībā</w:t>
            </w:r>
          </w:p>
        </w:tc>
        <w:tc>
          <w:tcPr>
            <w:tcW w:w="2863" w:type="dxa"/>
            <w:tcBorders>
              <w:top w:val="single" w:sz="4" w:space="0" w:color="000000"/>
              <w:left w:val="single" w:sz="4" w:space="0" w:color="000000"/>
              <w:bottom w:val="single" w:sz="4" w:space="0" w:color="000000"/>
              <w:right w:val="single" w:sz="4" w:space="0" w:color="000000"/>
            </w:tcBorders>
          </w:tcPr>
          <w:p w14:paraId="637F38CE" w14:textId="7F85C10E" w:rsidR="00D23028" w:rsidRPr="00A25732" w:rsidRDefault="00D23028" w:rsidP="00D23028">
            <w:pPr>
              <w:jc w:val="both"/>
              <w:rPr>
                <w:i/>
              </w:rPr>
            </w:pPr>
            <w:r w:rsidRPr="00A25732">
              <w:rPr>
                <w:i/>
              </w:rPr>
              <w:t>Neparedz stingrākas prasības</w:t>
            </w:r>
          </w:p>
        </w:tc>
      </w:tr>
      <w:tr w:rsidR="00D23028" w:rsidRPr="00E81FE9" w14:paraId="42CE0FD3" w14:textId="77777777" w:rsidTr="001256F7">
        <w:tc>
          <w:tcPr>
            <w:tcW w:w="2405" w:type="dxa"/>
            <w:tcBorders>
              <w:top w:val="single" w:sz="4" w:space="0" w:color="000000"/>
              <w:left w:val="single" w:sz="4" w:space="0" w:color="000000"/>
              <w:bottom w:val="single" w:sz="4" w:space="0" w:color="000000"/>
              <w:right w:val="single" w:sz="4" w:space="0" w:color="000000"/>
            </w:tcBorders>
          </w:tcPr>
          <w:p w14:paraId="4D57C739" w14:textId="494C38D6" w:rsidR="00D23028" w:rsidRPr="00A25732" w:rsidRDefault="00D23028" w:rsidP="00D23028">
            <w:pPr>
              <w:jc w:val="both"/>
            </w:pPr>
            <w:r w:rsidRPr="00B44115">
              <w:t>Regul</w:t>
            </w:r>
            <w:r>
              <w:t>as</w:t>
            </w:r>
            <w:r w:rsidRPr="00B44115">
              <w:t xml:space="preserve"> Nr.717/2014</w:t>
            </w:r>
            <w:r>
              <w:t xml:space="preserve"> 1. pants</w:t>
            </w:r>
          </w:p>
        </w:tc>
        <w:tc>
          <w:tcPr>
            <w:tcW w:w="1701" w:type="dxa"/>
            <w:tcBorders>
              <w:top w:val="single" w:sz="4" w:space="0" w:color="000000"/>
              <w:left w:val="single" w:sz="4" w:space="0" w:color="000000"/>
              <w:bottom w:val="single" w:sz="4" w:space="0" w:color="000000"/>
              <w:right w:val="single" w:sz="4" w:space="0" w:color="000000"/>
            </w:tcBorders>
          </w:tcPr>
          <w:p w14:paraId="3B82B1F2" w14:textId="6EBAD36A" w:rsidR="00D23028" w:rsidRPr="00B6136F" w:rsidRDefault="00D23028" w:rsidP="00D23028">
            <w:pPr>
              <w:jc w:val="both"/>
            </w:pPr>
            <w:r w:rsidRPr="00B44115">
              <w:t>Noteikumu projekta 3</w:t>
            </w:r>
            <w:r w:rsidR="00AF66DD">
              <w:t>2</w:t>
            </w:r>
            <w:r w:rsidRPr="00B44115">
              <w:t>.punkts</w:t>
            </w:r>
          </w:p>
        </w:tc>
        <w:tc>
          <w:tcPr>
            <w:tcW w:w="2239" w:type="dxa"/>
            <w:tcBorders>
              <w:top w:val="single" w:sz="4" w:space="0" w:color="000000"/>
              <w:left w:val="single" w:sz="4" w:space="0" w:color="000000"/>
              <w:bottom w:val="single" w:sz="4" w:space="0" w:color="000000"/>
              <w:right w:val="single" w:sz="4" w:space="0" w:color="000000"/>
            </w:tcBorders>
          </w:tcPr>
          <w:p w14:paraId="1FF15B65" w14:textId="3F52BF21" w:rsidR="00D23028" w:rsidRPr="00A25732" w:rsidRDefault="00D23028" w:rsidP="00D23028">
            <w:pPr>
              <w:jc w:val="both"/>
              <w:rPr>
                <w:i/>
              </w:rPr>
            </w:pPr>
            <w:r w:rsidRPr="00E52198">
              <w:rPr>
                <w:i/>
              </w:rPr>
              <w:t>Ieviests pilnībā</w:t>
            </w:r>
          </w:p>
        </w:tc>
        <w:tc>
          <w:tcPr>
            <w:tcW w:w="2863" w:type="dxa"/>
            <w:tcBorders>
              <w:top w:val="single" w:sz="4" w:space="0" w:color="000000"/>
              <w:left w:val="single" w:sz="4" w:space="0" w:color="000000"/>
              <w:bottom w:val="single" w:sz="4" w:space="0" w:color="000000"/>
              <w:right w:val="single" w:sz="4" w:space="0" w:color="000000"/>
            </w:tcBorders>
          </w:tcPr>
          <w:p w14:paraId="094BFA4D" w14:textId="647B2BD4" w:rsidR="00D23028" w:rsidRPr="00A25732" w:rsidRDefault="00D23028" w:rsidP="00D23028">
            <w:pPr>
              <w:jc w:val="both"/>
              <w:rPr>
                <w:i/>
              </w:rPr>
            </w:pPr>
            <w:r w:rsidRPr="00E52198">
              <w:rPr>
                <w:i/>
              </w:rPr>
              <w:t>Neparedz stingrākas prasības</w:t>
            </w:r>
          </w:p>
        </w:tc>
      </w:tr>
      <w:tr w:rsidR="00D23028" w:rsidRPr="00E81FE9" w14:paraId="4DF19034" w14:textId="77777777" w:rsidTr="001256F7">
        <w:tc>
          <w:tcPr>
            <w:tcW w:w="2405" w:type="dxa"/>
            <w:tcBorders>
              <w:top w:val="single" w:sz="4" w:space="0" w:color="000000"/>
              <w:left w:val="single" w:sz="4" w:space="0" w:color="000000"/>
              <w:bottom w:val="single" w:sz="4" w:space="0" w:color="000000"/>
              <w:right w:val="single" w:sz="4" w:space="0" w:color="000000"/>
            </w:tcBorders>
          </w:tcPr>
          <w:p w14:paraId="3129EC5B" w14:textId="62CD757A" w:rsidR="00D23028" w:rsidRDefault="00D23028" w:rsidP="00D23028">
            <w:pPr>
              <w:jc w:val="both"/>
            </w:pPr>
            <w:r w:rsidRPr="00E52198">
              <w:t>Vispārīga atsauce uz Regulu Nr.1407/2013</w:t>
            </w:r>
            <w:r w:rsidRPr="00E52198">
              <w:tab/>
            </w:r>
          </w:p>
        </w:tc>
        <w:tc>
          <w:tcPr>
            <w:tcW w:w="1701" w:type="dxa"/>
            <w:tcBorders>
              <w:top w:val="single" w:sz="4" w:space="0" w:color="000000"/>
              <w:left w:val="single" w:sz="4" w:space="0" w:color="000000"/>
              <w:bottom w:val="single" w:sz="4" w:space="0" w:color="000000"/>
              <w:right w:val="single" w:sz="4" w:space="0" w:color="000000"/>
            </w:tcBorders>
          </w:tcPr>
          <w:p w14:paraId="305D3BE5" w14:textId="0A60D497" w:rsidR="00D23028" w:rsidRPr="000375C5" w:rsidRDefault="00D23028" w:rsidP="00D23028">
            <w:pPr>
              <w:jc w:val="both"/>
            </w:pPr>
            <w:r w:rsidRPr="007E11AC">
              <w:t>Noteikumu projekta 3</w:t>
            </w:r>
            <w:r w:rsidR="00AF66DD">
              <w:t>4</w:t>
            </w:r>
            <w:r w:rsidRPr="007E11AC">
              <w:t>.punkts</w:t>
            </w:r>
          </w:p>
        </w:tc>
        <w:tc>
          <w:tcPr>
            <w:tcW w:w="2239" w:type="dxa"/>
            <w:tcBorders>
              <w:top w:val="single" w:sz="4" w:space="0" w:color="000000"/>
              <w:left w:val="single" w:sz="4" w:space="0" w:color="000000"/>
              <w:bottom w:val="single" w:sz="4" w:space="0" w:color="000000"/>
              <w:right w:val="single" w:sz="4" w:space="0" w:color="000000"/>
            </w:tcBorders>
          </w:tcPr>
          <w:p w14:paraId="03CF9C0F" w14:textId="3ABBA732" w:rsidR="00D23028" w:rsidRPr="00E52198" w:rsidRDefault="00D23028" w:rsidP="00D23028">
            <w:pPr>
              <w:jc w:val="both"/>
              <w:rPr>
                <w:i/>
              </w:rPr>
            </w:pPr>
            <w:r w:rsidRPr="00E52198">
              <w:rPr>
                <w:i/>
              </w:rPr>
              <w:t>Ieviests pilnībā</w:t>
            </w:r>
          </w:p>
        </w:tc>
        <w:tc>
          <w:tcPr>
            <w:tcW w:w="2863" w:type="dxa"/>
            <w:tcBorders>
              <w:top w:val="single" w:sz="4" w:space="0" w:color="000000"/>
              <w:left w:val="single" w:sz="4" w:space="0" w:color="000000"/>
              <w:bottom w:val="single" w:sz="4" w:space="0" w:color="000000"/>
              <w:right w:val="single" w:sz="4" w:space="0" w:color="000000"/>
            </w:tcBorders>
          </w:tcPr>
          <w:p w14:paraId="4EA29316" w14:textId="2269C21F" w:rsidR="00D23028" w:rsidRPr="00E52198" w:rsidRDefault="00D23028" w:rsidP="00D23028">
            <w:pPr>
              <w:jc w:val="both"/>
              <w:rPr>
                <w:i/>
              </w:rPr>
            </w:pPr>
            <w:r w:rsidRPr="00E52198">
              <w:rPr>
                <w:i/>
              </w:rPr>
              <w:t>Neparedz stingrākas prasības</w:t>
            </w:r>
          </w:p>
        </w:tc>
      </w:tr>
      <w:tr w:rsidR="00D23028" w:rsidRPr="00E81FE9" w14:paraId="5C17DA33" w14:textId="77777777" w:rsidTr="001256F7">
        <w:tc>
          <w:tcPr>
            <w:tcW w:w="2405" w:type="dxa"/>
            <w:tcBorders>
              <w:top w:val="single" w:sz="4" w:space="0" w:color="000000"/>
              <w:left w:val="single" w:sz="4" w:space="0" w:color="000000"/>
              <w:bottom w:val="single" w:sz="4" w:space="0" w:color="000000"/>
              <w:right w:val="single" w:sz="4" w:space="0" w:color="000000"/>
            </w:tcBorders>
          </w:tcPr>
          <w:p w14:paraId="6665ED8C" w14:textId="007569EE" w:rsidR="00D23028" w:rsidRDefault="00D23028" w:rsidP="00D23028">
            <w:pPr>
              <w:jc w:val="both"/>
            </w:pPr>
            <w:r w:rsidRPr="006A3B9E">
              <w:t>Vispārīga atsauce uz Regulu Nr.140</w:t>
            </w:r>
            <w:r>
              <w:t>8</w:t>
            </w:r>
            <w:r w:rsidRPr="006A3B9E">
              <w:t>/2013</w:t>
            </w:r>
          </w:p>
        </w:tc>
        <w:tc>
          <w:tcPr>
            <w:tcW w:w="1701" w:type="dxa"/>
            <w:tcBorders>
              <w:top w:val="single" w:sz="4" w:space="0" w:color="000000"/>
              <w:left w:val="single" w:sz="4" w:space="0" w:color="000000"/>
              <w:bottom w:val="single" w:sz="4" w:space="0" w:color="000000"/>
              <w:right w:val="single" w:sz="4" w:space="0" w:color="000000"/>
            </w:tcBorders>
          </w:tcPr>
          <w:p w14:paraId="6F56EE72" w14:textId="05A39307" w:rsidR="00D23028" w:rsidRPr="00B6136F" w:rsidDel="00E52198" w:rsidRDefault="00D23028" w:rsidP="00D23028">
            <w:pPr>
              <w:jc w:val="both"/>
            </w:pPr>
            <w:r w:rsidRPr="006A3B9E">
              <w:t>Noteikumu projekta 3</w:t>
            </w:r>
            <w:r w:rsidR="00AF66DD">
              <w:t>4</w:t>
            </w:r>
            <w:r w:rsidRPr="006A3B9E">
              <w:t>.punkts</w:t>
            </w:r>
          </w:p>
        </w:tc>
        <w:tc>
          <w:tcPr>
            <w:tcW w:w="2239" w:type="dxa"/>
            <w:tcBorders>
              <w:top w:val="single" w:sz="4" w:space="0" w:color="000000"/>
              <w:left w:val="single" w:sz="4" w:space="0" w:color="000000"/>
              <w:bottom w:val="single" w:sz="4" w:space="0" w:color="000000"/>
              <w:right w:val="single" w:sz="4" w:space="0" w:color="000000"/>
            </w:tcBorders>
          </w:tcPr>
          <w:p w14:paraId="75067C67" w14:textId="76AC7B9B" w:rsidR="00D23028" w:rsidRPr="00E52198" w:rsidDel="00E52198" w:rsidRDefault="00D23028" w:rsidP="00D23028">
            <w:pPr>
              <w:jc w:val="both"/>
              <w:rPr>
                <w:i/>
              </w:rPr>
            </w:pPr>
            <w:r w:rsidRPr="00BD1C60">
              <w:rPr>
                <w:i/>
              </w:rPr>
              <w:t>Ieviests pilnībā</w:t>
            </w:r>
          </w:p>
        </w:tc>
        <w:tc>
          <w:tcPr>
            <w:tcW w:w="2863" w:type="dxa"/>
            <w:tcBorders>
              <w:top w:val="single" w:sz="4" w:space="0" w:color="000000"/>
              <w:left w:val="single" w:sz="4" w:space="0" w:color="000000"/>
              <w:bottom w:val="single" w:sz="4" w:space="0" w:color="000000"/>
              <w:right w:val="single" w:sz="4" w:space="0" w:color="000000"/>
            </w:tcBorders>
          </w:tcPr>
          <w:p w14:paraId="14DF7854" w14:textId="347D8FE4" w:rsidR="00D23028" w:rsidRPr="00E52198" w:rsidDel="00E52198" w:rsidRDefault="00D23028" w:rsidP="00D23028">
            <w:pPr>
              <w:jc w:val="both"/>
              <w:rPr>
                <w:i/>
              </w:rPr>
            </w:pPr>
            <w:r w:rsidRPr="00BD1C60">
              <w:rPr>
                <w:i/>
              </w:rPr>
              <w:t>Neparedz stingrākas prasības</w:t>
            </w:r>
          </w:p>
        </w:tc>
      </w:tr>
      <w:tr w:rsidR="00D23028" w:rsidRPr="00E81FE9" w14:paraId="7276B5EE" w14:textId="77777777" w:rsidTr="001256F7">
        <w:tc>
          <w:tcPr>
            <w:tcW w:w="2405" w:type="dxa"/>
            <w:tcBorders>
              <w:top w:val="single" w:sz="4" w:space="0" w:color="000000"/>
              <w:left w:val="single" w:sz="4" w:space="0" w:color="000000"/>
              <w:bottom w:val="single" w:sz="4" w:space="0" w:color="000000"/>
              <w:right w:val="single" w:sz="4" w:space="0" w:color="000000"/>
            </w:tcBorders>
          </w:tcPr>
          <w:p w14:paraId="2D47AE30" w14:textId="58710216" w:rsidR="00D23028" w:rsidRDefault="00D23028" w:rsidP="00D23028">
            <w:pPr>
              <w:jc w:val="both"/>
            </w:pPr>
            <w:r w:rsidRPr="006A3B9E">
              <w:t>Vispārīga atsauce uz Regulu Nr.</w:t>
            </w:r>
            <w:r>
              <w:t>717</w:t>
            </w:r>
            <w:r w:rsidRPr="006A3B9E">
              <w:t>/201</w:t>
            </w:r>
            <w:r>
              <w:t>4</w:t>
            </w:r>
          </w:p>
        </w:tc>
        <w:tc>
          <w:tcPr>
            <w:tcW w:w="1701" w:type="dxa"/>
            <w:tcBorders>
              <w:top w:val="single" w:sz="4" w:space="0" w:color="000000"/>
              <w:left w:val="single" w:sz="4" w:space="0" w:color="000000"/>
              <w:bottom w:val="single" w:sz="4" w:space="0" w:color="000000"/>
              <w:right w:val="single" w:sz="4" w:space="0" w:color="000000"/>
            </w:tcBorders>
          </w:tcPr>
          <w:p w14:paraId="31F23FC7" w14:textId="562BABE1" w:rsidR="00D23028" w:rsidRPr="00B6136F" w:rsidDel="00E52198" w:rsidRDefault="00D23028" w:rsidP="00D23028">
            <w:pPr>
              <w:jc w:val="both"/>
            </w:pPr>
            <w:r w:rsidRPr="006A3B9E">
              <w:t>Noteikumu projekta 3</w:t>
            </w:r>
            <w:r w:rsidR="00AF66DD">
              <w:t>4</w:t>
            </w:r>
            <w:r w:rsidRPr="006A3B9E">
              <w:t>.punkts</w:t>
            </w:r>
            <w:bookmarkStart w:id="4" w:name="_GoBack"/>
            <w:bookmarkEnd w:id="4"/>
          </w:p>
        </w:tc>
        <w:tc>
          <w:tcPr>
            <w:tcW w:w="2239" w:type="dxa"/>
            <w:tcBorders>
              <w:top w:val="single" w:sz="4" w:space="0" w:color="000000"/>
              <w:left w:val="single" w:sz="4" w:space="0" w:color="000000"/>
              <w:bottom w:val="single" w:sz="4" w:space="0" w:color="000000"/>
              <w:right w:val="single" w:sz="4" w:space="0" w:color="000000"/>
            </w:tcBorders>
          </w:tcPr>
          <w:p w14:paraId="3585950D" w14:textId="1EA8B4CA" w:rsidR="00D23028" w:rsidRPr="00E52198" w:rsidDel="00E52198" w:rsidRDefault="00D23028" w:rsidP="00D23028">
            <w:pPr>
              <w:jc w:val="both"/>
              <w:rPr>
                <w:i/>
              </w:rPr>
            </w:pPr>
            <w:r w:rsidRPr="00BD1C60">
              <w:rPr>
                <w:i/>
              </w:rPr>
              <w:t>Ieviests pilnībā</w:t>
            </w:r>
          </w:p>
        </w:tc>
        <w:tc>
          <w:tcPr>
            <w:tcW w:w="2863" w:type="dxa"/>
            <w:tcBorders>
              <w:top w:val="single" w:sz="4" w:space="0" w:color="000000"/>
              <w:left w:val="single" w:sz="4" w:space="0" w:color="000000"/>
              <w:bottom w:val="single" w:sz="4" w:space="0" w:color="000000"/>
              <w:right w:val="single" w:sz="4" w:space="0" w:color="000000"/>
            </w:tcBorders>
          </w:tcPr>
          <w:p w14:paraId="60B3F2CE" w14:textId="5005EBC1" w:rsidR="00D23028" w:rsidRPr="00E52198" w:rsidDel="00E52198" w:rsidRDefault="00D23028" w:rsidP="00D23028">
            <w:pPr>
              <w:jc w:val="both"/>
              <w:rPr>
                <w:i/>
              </w:rPr>
            </w:pPr>
            <w:r w:rsidRPr="00BD1C60">
              <w:rPr>
                <w:i/>
              </w:rPr>
              <w:t>Neparedz stingrākas prasības</w:t>
            </w:r>
          </w:p>
        </w:tc>
      </w:tr>
      <w:tr w:rsidR="00D23028" w:rsidRPr="00E81FE9" w14:paraId="25331653" w14:textId="77777777" w:rsidTr="001256F7">
        <w:tc>
          <w:tcPr>
            <w:tcW w:w="2405" w:type="dxa"/>
            <w:tcBorders>
              <w:top w:val="single" w:sz="4" w:space="0" w:color="000000"/>
              <w:left w:val="single" w:sz="4" w:space="0" w:color="000000"/>
              <w:bottom w:val="single" w:sz="4" w:space="0" w:color="000000"/>
              <w:right w:val="single" w:sz="4" w:space="0" w:color="000000"/>
            </w:tcBorders>
          </w:tcPr>
          <w:p w14:paraId="4F2E5748" w14:textId="2C0AC23F" w:rsidR="00D23028" w:rsidRDefault="00D23028" w:rsidP="00D23028">
            <w:pPr>
              <w:jc w:val="both"/>
            </w:pPr>
            <w:r>
              <w:t>Regulas Nr.651/2014 14.pants</w:t>
            </w:r>
          </w:p>
        </w:tc>
        <w:tc>
          <w:tcPr>
            <w:tcW w:w="1701" w:type="dxa"/>
            <w:tcBorders>
              <w:top w:val="single" w:sz="4" w:space="0" w:color="000000"/>
              <w:left w:val="single" w:sz="4" w:space="0" w:color="000000"/>
              <w:bottom w:val="single" w:sz="4" w:space="0" w:color="000000"/>
              <w:right w:val="single" w:sz="4" w:space="0" w:color="000000"/>
            </w:tcBorders>
          </w:tcPr>
          <w:p w14:paraId="3FD74DAE" w14:textId="5DCE7E70" w:rsidR="00D23028" w:rsidRPr="00B6136F" w:rsidDel="00E52198" w:rsidRDefault="00D23028" w:rsidP="00D23028">
            <w:pPr>
              <w:jc w:val="both"/>
            </w:pPr>
            <w:r w:rsidRPr="009C62D9">
              <w:t>Noteikumu projekta 3</w:t>
            </w:r>
            <w:r w:rsidR="00AF66DD">
              <w:t>6</w:t>
            </w:r>
            <w:r w:rsidRPr="009C62D9">
              <w:t>.punkts</w:t>
            </w:r>
          </w:p>
        </w:tc>
        <w:tc>
          <w:tcPr>
            <w:tcW w:w="2239" w:type="dxa"/>
            <w:tcBorders>
              <w:top w:val="single" w:sz="4" w:space="0" w:color="000000"/>
              <w:left w:val="single" w:sz="4" w:space="0" w:color="000000"/>
              <w:bottom w:val="single" w:sz="4" w:space="0" w:color="000000"/>
              <w:right w:val="single" w:sz="4" w:space="0" w:color="000000"/>
            </w:tcBorders>
          </w:tcPr>
          <w:p w14:paraId="41CBF4F6" w14:textId="5A3F9427" w:rsidR="00D23028" w:rsidRPr="00C56E2B" w:rsidDel="00E52198" w:rsidRDefault="00D23028" w:rsidP="00D23028">
            <w:pPr>
              <w:jc w:val="both"/>
              <w:rPr>
                <w:i/>
              </w:rPr>
            </w:pPr>
            <w:r w:rsidRPr="00BD1C60">
              <w:rPr>
                <w:i/>
              </w:rPr>
              <w:t>Ieviests pilnībā</w:t>
            </w:r>
          </w:p>
        </w:tc>
        <w:tc>
          <w:tcPr>
            <w:tcW w:w="2863" w:type="dxa"/>
            <w:tcBorders>
              <w:top w:val="single" w:sz="4" w:space="0" w:color="000000"/>
              <w:left w:val="single" w:sz="4" w:space="0" w:color="000000"/>
              <w:bottom w:val="single" w:sz="4" w:space="0" w:color="000000"/>
              <w:right w:val="single" w:sz="4" w:space="0" w:color="000000"/>
            </w:tcBorders>
          </w:tcPr>
          <w:p w14:paraId="488158A9" w14:textId="54237269" w:rsidR="00D23028" w:rsidRPr="00C56E2B" w:rsidDel="00E52198" w:rsidRDefault="00D23028" w:rsidP="00D23028">
            <w:pPr>
              <w:jc w:val="both"/>
              <w:rPr>
                <w:i/>
              </w:rPr>
            </w:pPr>
            <w:r w:rsidRPr="00BD1C60">
              <w:rPr>
                <w:i/>
              </w:rPr>
              <w:t>Neparedz stingrākas prasības</w:t>
            </w:r>
          </w:p>
        </w:tc>
      </w:tr>
      <w:tr w:rsidR="00D23028" w:rsidRPr="00E81FE9" w14:paraId="797FD8E2" w14:textId="77777777" w:rsidTr="001256F7">
        <w:tc>
          <w:tcPr>
            <w:tcW w:w="4106" w:type="dxa"/>
            <w:gridSpan w:val="2"/>
            <w:tcBorders>
              <w:top w:val="single" w:sz="4" w:space="0" w:color="000000"/>
              <w:left w:val="single" w:sz="4" w:space="0" w:color="000000"/>
              <w:bottom w:val="single" w:sz="4" w:space="0" w:color="000000"/>
              <w:right w:val="single" w:sz="4" w:space="0" w:color="000000"/>
            </w:tcBorders>
          </w:tcPr>
          <w:p w14:paraId="5F742ACC" w14:textId="1E85097F" w:rsidR="00D23028" w:rsidRPr="000375C5" w:rsidRDefault="00D23028" w:rsidP="00D23028">
            <w:pPr>
              <w:jc w:val="both"/>
            </w:pPr>
            <w:r w:rsidRPr="000375C5">
              <w:t>Kā ir izmantota ES tiesību aktā paredzētā rīcības brīvība dalībvalstij pārņemt vai ieviest noteiktas ES tiesību akta normas?</w:t>
            </w:r>
          </w:p>
        </w:tc>
        <w:tc>
          <w:tcPr>
            <w:tcW w:w="5102" w:type="dxa"/>
            <w:gridSpan w:val="2"/>
            <w:tcBorders>
              <w:top w:val="single" w:sz="4" w:space="0" w:color="000000"/>
              <w:left w:val="single" w:sz="4" w:space="0" w:color="000000"/>
              <w:bottom w:val="single" w:sz="4" w:space="0" w:color="000000"/>
              <w:right w:val="single" w:sz="4" w:space="0" w:color="000000"/>
            </w:tcBorders>
          </w:tcPr>
          <w:p w14:paraId="069ABE36" w14:textId="3106DEE0" w:rsidR="00D23028" w:rsidRPr="000375C5" w:rsidRDefault="00D23028" w:rsidP="00D23028">
            <w:pPr>
              <w:jc w:val="both"/>
            </w:pPr>
            <w:r w:rsidRPr="00E81FE9">
              <w:t xml:space="preserve"> </w:t>
            </w:r>
            <w:r w:rsidRPr="000375C5">
              <w:t>Noteikumu projekts šo jomu neskar.</w:t>
            </w:r>
          </w:p>
        </w:tc>
      </w:tr>
      <w:tr w:rsidR="00D23028" w:rsidRPr="00E81FE9" w14:paraId="5ED565E5" w14:textId="77777777" w:rsidTr="001256F7">
        <w:tc>
          <w:tcPr>
            <w:tcW w:w="4106" w:type="dxa"/>
            <w:gridSpan w:val="2"/>
            <w:tcBorders>
              <w:top w:val="single" w:sz="4" w:space="0" w:color="000000"/>
              <w:left w:val="single" w:sz="4" w:space="0" w:color="000000"/>
              <w:bottom w:val="single" w:sz="4" w:space="0" w:color="000000"/>
              <w:right w:val="single" w:sz="4" w:space="0" w:color="000000"/>
            </w:tcBorders>
          </w:tcPr>
          <w:p w14:paraId="38B049F1" w14:textId="77777777" w:rsidR="00D23028" w:rsidRPr="000375C5" w:rsidRDefault="00D23028" w:rsidP="00D23028">
            <w:pPr>
              <w:jc w:val="both"/>
              <w:rPr>
                <w:i/>
              </w:rPr>
            </w:pPr>
            <w:r w:rsidRPr="000375C5">
              <w:t xml:space="preserve">Saistības sniegt paziņojumu ES institūcijām un ES dalībvalstīm atbilstoši normatīvajiem aktiem, kas regulē </w:t>
            </w:r>
            <w:r w:rsidRPr="000375C5">
              <w:lastRenderedPageBreak/>
              <w:t>informācijas sniegšanu par tehnisko noteikumu, valsts atbalsta piešķiršanas un finanšu noteikumu (attiecībā uz monetāro politiku) projektiem</w:t>
            </w:r>
          </w:p>
        </w:tc>
        <w:tc>
          <w:tcPr>
            <w:tcW w:w="5102" w:type="dxa"/>
            <w:gridSpan w:val="2"/>
            <w:tcBorders>
              <w:top w:val="single" w:sz="4" w:space="0" w:color="000000"/>
              <w:left w:val="single" w:sz="4" w:space="0" w:color="000000"/>
              <w:bottom w:val="single" w:sz="4" w:space="0" w:color="000000"/>
              <w:right w:val="single" w:sz="4" w:space="0" w:color="000000"/>
            </w:tcBorders>
          </w:tcPr>
          <w:p w14:paraId="5E11757F" w14:textId="7690CD46" w:rsidR="00D23028" w:rsidRPr="007D6895" w:rsidRDefault="00D23028" w:rsidP="00D23028">
            <w:pPr>
              <w:jc w:val="both"/>
            </w:pPr>
            <w:r w:rsidRPr="007D6895">
              <w:lastRenderedPageBreak/>
              <w:t>Noteikumu projekts šo jomu neskar.</w:t>
            </w:r>
          </w:p>
        </w:tc>
      </w:tr>
      <w:tr w:rsidR="00D23028" w:rsidRPr="00E81FE9" w14:paraId="3259B264" w14:textId="77777777" w:rsidTr="001256F7">
        <w:tc>
          <w:tcPr>
            <w:tcW w:w="4106" w:type="dxa"/>
            <w:gridSpan w:val="2"/>
            <w:tcBorders>
              <w:top w:val="single" w:sz="4" w:space="0" w:color="000000"/>
              <w:left w:val="single" w:sz="4" w:space="0" w:color="000000"/>
              <w:bottom w:val="single" w:sz="4" w:space="0" w:color="000000"/>
              <w:right w:val="single" w:sz="4" w:space="0" w:color="000000"/>
            </w:tcBorders>
          </w:tcPr>
          <w:p w14:paraId="3BB2FD73" w14:textId="77777777" w:rsidR="00D23028" w:rsidRPr="000375C5" w:rsidRDefault="00D23028" w:rsidP="00D23028">
            <w:pPr>
              <w:jc w:val="both"/>
              <w:rPr>
                <w:i/>
              </w:rPr>
            </w:pPr>
            <w:r w:rsidRPr="007D6895">
              <w:t>Cita informācija</w:t>
            </w:r>
          </w:p>
        </w:tc>
        <w:tc>
          <w:tcPr>
            <w:tcW w:w="5102" w:type="dxa"/>
            <w:gridSpan w:val="2"/>
            <w:tcBorders>
              <w:top w:val="single" w:sz="4" w:space="0" w:color="000000"/>
              <w:left w:val="single" w:sz="4" w:space="0" w:color="000000"/>
              <w:bottom w:val="single" w:sz="4" w:space="0" w:color="000000"/>
              <w:right w:val="single" w:sz="4" w:space="0" w:color="000000"/>
            </w:tcBorders>
          </w:tcPr>
          <w:p w14:paraId="5CB1F6E6" w14:textId="77777777" w:rsidR="00D23028" w:rsidRPr="000375C5" w:rsidRDefault="00D23028" w:rsidP="00D23028">
            <w:pPr>
              <w:jc w:val="both"/>
            </w:pPr>
            <w:r w:rsidRPr="000375C5">
              <w:t>Nav</w:t>
            </w:r>
            <w:r w:rsidRPr="00E81FE9">
              <w:t>.</w:t>
            </w:r>
          </w:p>
        </w:tc>
      </w:tr>
    </w:tbl>
    <w:p w14:paraId="361D8231" w14:textId="77777777" w:rsidR="00CD371F" w:rsidRPr="007D6895" w:rsidRDefault="00CD371F" w:rsidP="007D6895">
      <w:pPr>
        <w:jc w:val="both"/>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4"/>
        <w:gridCol w:w="3685"/>
        <w:gridCol w:w="5245"/>
      </w:tblGrid>
      <w:tr w:rsidR="00CD371F" w:rsidRPr="00E81FE9" w14:paraId="332018AF" w14:textId="77777777" w:rsidTr="007D6895">
        <w:trPr>
          <w:trHeight w:val="421"/>
        </w:trPr>
        <w:tc>
          <w:tcPr>
            <w:tcW w:w="9214" w:type="dxa"/>
            <w:gridSpan w:val="3"/>
            <w:vAlign w:val="center"/>
          </w:tcPr>
          <w:p w14:paraId="25185FCE" w14:textId="77777777" w:rsidR="00CD371F" w:rsidRPr="007D6895" w:rsidRDefault="00CD371F" w:rsidP="007D6895">
            <w:pPr>
              <w:jc w:val="both"/>
            </w:pPr>
            <w:r w:rsidRPr="007D6895">
              <w:rPr>
                <w:b/>
              </w:rPr>
              <w:t>VI. Sabiedrības līdzdalība un komunikācijas aktivitātes</w:t>
            </w:r>
          </w:p>
        </w:tc>
      </w:tr>
      <w:tr w:rsidR="00CD371F" w:rsidRPr="00E81FE9" w14:paraId="4264805C" w14:textId="77777777" w:rsidTr="00C8239E">
        <w:trPr>
          <w:trHeight w:val="553"/>
        </w:trPr>
        <w:tc>
          <w:tcPr>
            <w:tcW w:w="284" w:type="dxa"/>
          </w:tcPr>
          <w:p w14:paraId="715FC9E9" w14:textId="77777777" w:rsidR="00CD371F" w:rsidRPr="00E81FE9" w:rsidRDefault="00CD371F" w:rsidP="00CD371F">
            <w:pPr>
              <w:jc w:val="both"/>
            </w:pPr>
            <w:r w:rsidRPr="00E81FE9">
              <w:t>1.</w:t>
            </w:r>
          </w:p>
        </w:tc>
        <w:tc>
          <w:tcPr>
            <w:tcW w:w="3685" w:type="dxa"/>
          </w:tcPr>
          <w:p w14:paraId="02D1F5C5" w14:textId="77777777" w:rsidR="00CD371F" w:rsidRPr="00E81FE9" w:rsidRDefault="00CD371F" w:rsidP="00044740">
            <w:pPr>
              <w:ind w:left="141" w:right="38"/>
              <w:jc w:val="both"/>
            </w:pPr>
            <w:r w:rsidRPr="00E81FE9">
              <w:t>Plānotās sabiedrības līdzdalības un komunikācijas aktivitātes saistībā ar projektu</w:t>
            </w:r>
          </w:p>
        </w:tc>
        <w:tc>
          <w:tcPr>
            <w:tcW w:w="5245" w:type="dxa"/>
          </w:tcPr>
          <w:p w14:paraId="4BCE3F70" w14:textId="64B346C1" w:rsidR="00CD371F" w:rsidRPr="00E81FE9" w:rsidRDefault="00CD371F" w:rsidP="00E81FE9">
            <w:pPr>
              <w:ind w:left="232" w:right="280"/>
              <w:jc w:val="both"/>
            </w:pPr>
            <w:bookmarkStart w:id="5" w:name="p61"/>
            <w:bookmarkEnd w:id="5"/>
            <w:r w:rsidRPr="00E81FE9">
              <w:t xml:space="preserve">Pēc noteikumu projekta apstiprināšanas </w:t>
            </w:r>
            <w:proofErr w:type="spellStart"/>
            <w:r w:rsidRPr="00E81FE9">
              <w:t>Altum</w:t>
            </w:r>
            <w:proofErr w:type="spellEnd"/>
            <w:r w:rsidRPr="00E81FE9">
              <w:t xml:space="preserve"> nodrošinās informēšanas pasākumus. </w:t>
            </w:r>
          </w:p>
        </w:tc>
      </w:tr>
      <w:tr w:rsidR="00CD371F" w:rsidRPr="00E81FE9" w14:paraId="0DA8C4B4" w14:textId="77777777" w:rsidTr="00C8239E">
        <w:trPr>
          <w:trHeight w:val="339"/>
        </w:trPr>
        <w:tc>
          <w:tcPr>
            <w:tcW w:w="284" w:type="dxa"/>
          </w:tcPr>
          <w:p w14:paraId="249D1DA5" w14:textId="77777777" w:rsidR="00CD371F" w:rsidRPr="00E81FE9" w:rsidRDefault="00CD371F" w:rsidP="00CD371F">
            <w:pPr>
              <w:jc w:val="both"/>
            </w:pPr>
            <w:r w:rsidRPr="00E81FE9">
              <w:t>2.</w:t>
            </w:r>
          </w:p>
        </w:tc>
        <w:tc>
          <w:tcPr>
            <w:tcW w:w="3685" w:type="dxa"/>
          </w:tcPr>
          <w:p w14:paraId="3A86FCB6" w14:textId="77777777" w:rsidR="00CD371F" w:rsidRPr="00E81FE9" w:rsidRDefault="00CD371F" w:rsidP="00044740">
            <w:pPr>
              <w:ind w:left="141" w:right="38"/>
              <w:jc w:val="both"/>
            </w:pPr>
            <w:r w:rsidRPr="00E81FE9">
              <w:t>Sabiedrības līdzdalība projekta izstrādē</w:t>
            </w:r>
          </w:p>
        </w:tc>
        <w:tc>
          <w:tcPr>
            <w:tcW w:w="5245" w:type="dxa"/>
          </w:tcPr>
          <w:p w14:paraId="6799ADAD" w14:textId="5333FBFE" w:rsidR="00CD371F" w:rsidRPr="007D6895" w:rsidRDefault="00CD371F" w:rsidP="007D6895">
            <w:pPr>
              <w:ind w:left="232" w:right="280"/>
              <w:jc w:val="both"/>
            </w:pPr>
            <w:bookmarkStart w:id="6" w:name="p62"/>
            <w:bookmarkEnd w:id="6"/>
            <w:r w:rsidRPr="00E81FE9">
              <w:t xml:space="preserve">Noteikumu projektu </w:t>
            </w:r>
            <w:r w:rsidR="004D3626" w:rsidRPr="00E81FE9">
              <w:t xml:space="preserve">Ekonomikas ministrija </w:t>
            </w:r>
            <w:r w:rsidRPr="00E81FE9">
              <w:t xml:space="preserve">nosūtīs saskaņošanai </w:t>
            </w:r>
            <w:r w:rsidR="009E6B03">
              <w:t>Finanšu nozares</w:t>
            </w:r>
            <w:r w:rsidRPr="00E81FE9">
              <w:t xml:space="preserve"> asociācijai</w:t>
            </w:r>
            <w:r w:rsidR="00044740">
              <w:t>.</w:t>
            </w:r>
          </w:p>
        </w:tc>
      </w:tr>
      <w:tr w:rsidR="00CD371F" w:rsidRPr="00E81FE9" w14:paraId="379E15D2" w14:textId="77777777" w:rsidTr="00C8239E">
        <w:trPr>
          <w:trHeight w:val="476"/>
        </w:trPr>
        <w:tc>
          <w:tcPr>
            <w:tcW w:w="284" w:type="dxa"/>
          </w:tcPr>
          <w:p w14:paraId="1E8EF4BA" w14:textId="77777777" w:rsidR="00CD371F" w:rsidRPr="00E81FE9" w:rsidRDefault="00CD371F" w:rsidP="00CD371F">
            <w:pPr>
              <w:jc w:val="both"/>
            </w:pPr>
            <w:r w:rsidRPr="00E81FE9">
              <w:t>3.</w:t>
            </w:r>
          </w:p>
        </w:tc>
        <w:tc>
          <w:tcPr>
            <w:tcW w:w="3685" w:type="dxa"/>
          </w:tcPr>
          <w:p w14:paraId="6D4F340C" w14:textId="77777777" w:rsidR="00CD371F" w:rsidRPr="00E81FE9" w:rsidRDefault="00CD371F" w:rsidP="00044740">
            <w:pPr>
              <w:ind w:left="141" w:right="38"/>
              <w:jc w:val="both"/>
            </w:pPr>
            <w:r w:rsidRPr="00E81FE9">
              <w:t>Sabiedrības līdzdalības rezultāti</w:t>
            </w:r>
          </w:p>
        </w:tc>
        <w:tc>
          <w:tcPr>
            <w:tcW w:w="5245" w:type="dxa"/>
          </w:tcPr>
          <w:p w14:paraId="128C9E35" w14:textId="54AA8BE8" w:rsidR="00CD371F" w:rsidRPr="00E81FE9" w:rsidRDefault="00CD371F" w:rsidP="00E81FE9">
            <w:pPr>
              <w:ind w:left="232" w:right="280"/>
              <w:jc w:val="both"/>
            </w:pPr>
            <w:r w:rsidRPr="00E81FE9">
              <w:t>Noteikumu projektu E</w:t>
            </w:r>
            <w:r w:rsidR="004D3626" w:rsidRPr="00E81FE9">
              <w:t>konomikas ministrija</w:t>
            </w:r>
            <w:r w:rsidRPr="00E81FE9">
              <w:t xml:space="preserve"> saskaņo</w:t>
            </w:r>
            <w:r w:rsidR="00044740">
              <w:t>s</w:t>
            </w:r>
            <w:r w:rsidR="009E6B03">
              <w:t xml:space="preserve"> ar</w:t>
            </w:r>
            <w:r w:rsidRPr="00E81FE9">
              <w:t xml:space="preserve"> </w:t>
            </w:r>
            <w:r w:rsidR="009E6B03">
              <w:t xml:space="preserve">Finanšu nozares </w:t>
            </w:r>
            <w:r w:rsidRPr="00E81FE9">
              <w:t>asociācij</w:t>
            </w:r>
            <w:r w:rsidR="009E6B03">
              <w:t>u</w:t>
            </w:r>
            <w:r w:rsidR="00044740">
              <w:t>.</w:t>
            </w:r>
          </w:p>
        </w:tc>
      </w:tr>
      <w:tr w:rsidR="00CD371F" w:rsidRPr="00E81FE9" w14:paraId="3088D0FA" w14:textId="77777777" w:rsidTr="00C8239E">
        <w:trPr>
          <w:trHeight w:val="205"/>
        </w:trPr>
        <w:tc>
          <w:tcPr>
            <w:tcW w:w="284" w:type="dxa"/>
          </w:tcPr>
          <w:p w14:paraId="46B7E677" w14:textId="77777777" w:rsidR="00CD371F" w:rsidRPr="00E81FE9" w:rsidRDefault="00CD371F" w:rsidP="00CD371F">
            <w:pPr>
              <w:jc w:val="both"/>
            </w:pPr>
            <w:r w:rsidRPr="00E81FE9">
              <w:t>4.</w:t>
            </w:r>
          </w:p>
        </w:tc>
        <w:tc>
          <w:tcPr>
            <w:tcW w:w="3685" w:type="dxa"/>
          </w:tcPr>
          <w:p w14:paraId="18114085" w14:textId="77777777" w:rsidR="00CD371F" w:rsidRPr="00E81FE9" w:rsidRDefault="00CD371F" w:rsidP="00044740">
            <w:pPr>
              <w:ind w:left="141" w:right="38"/>
              <w:jc w:val="both"/>
            </w:pPr>
            <w:r w:rsidRPr="00E81FE9">
              <w:t>Cita informācija</w:t>
            </w:r>
          </w:p>
        </w:tc>
        <w:tc>
          <w:tcPr>
            <w:tcW w:w="5245" w:type="dxa"/>
          </w:tcPr>
          <w:p w14:paraId="68E4E742" w14:textId="4E50E783" w:rsidR="00CD371F" w:rsidRPr="00E81FE9" w:rsidRDefault="00E73BD3" w:rsidP="00E81FE9">
            <w:pPr>
              <w:ind w:left="232" w:right="280"/>
              <w:jc w:val="both"/>
            </w:pPr>
            <w:r w:rsidRPr="00E81FE9">
              <w:t xml:space="preserve"> </w:t>
            </w:r>
            <w:r w:rsidR="00CD371F" w:rsidRPr="00E81FE9">
              <w:t>Nav.</w:t>
            </w:r>
          </w:p>
        </w:tc>
      </w:tr>
    </w:tbl>
    <w:p w14:paraId="0BC5E648" w14:textId="77777777" w:rsidR="00CD371F" w:rsidRPr="00E81FE9" w:rsidRDefault="00CD371F" w:rsidP="001154C6">
      <w:pPr>
        <w:jc w:val="both"/>
      </w:pPr>
    </w:p>
    <w:p w14:paraId="42201B5E" w14:textId="77777777" w:rsidR="00CD371F" w:rsidRPr="007D6895" w:rsidRDefault="00CD371F" w:rsidP="007D6895">
      <w:pPr>
        <w:jc w:val="both"/>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3833"/>
        <w:gridCol w:w="5103"/>
      </w:tblGrid>
      <w:tr w:rsidR="0039762C" w:rsidRPr="00E81FE9" w14:paraId="3735261C" w14:textId="77777777" w:rsidTr="007D6895">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64C6BC5D" w14:textId="77777777" w:rsidR="0039762C" w:rsidRPr="007D6895" w:rsidRDefault="0039762C" w:rsidP="007D6895">
            <w:pPr>
              <w:spacing w:before="100" w:beforeAutospacing="1" w:after="100" w:afterAutospacing="1"/>
              <w:ind w:firstLine="300"/>
              <w:jc w:val="center"/>
            </w:pPr>
            <w:r w:rsidRPr="007D6895">
              <w:rPr>
                <w:b/>
                <w:color w:val="000000"/>
              </w:rPr>
              <w:t>VII. Tiesību akta projekta izpildes nodrošināšana un tās ietekme uz institūcijām</w:t>
            </w:r>
          </w:p>
        </w:tc>
      </w:tr>
      <w:tr w:rsidR="007D6895" w:rsidRPr="00E81FE9" w14:paraId="44976B80" w14:textId="77777777" w:rsidTr="00C8239E">
        <w:trPr>
          <w:trHeight w:val="420"/>
        </w:trPr>
        <w:tc>
          <w:tcPr>
            <w:tcW w:w="270" w:type="dxa"/>
            <w:tcBorders>
              <w:top w:val="outset" w:sz="6" w:space="0" w:color="414142"/>
              <w:left w:val="outset" w:sz="6" w:space="0" w:color="414142"/>
              <w:bottom w:val="outset" w:sz="6" w:space="0" w:color="414142"/>
              <w:right w:val="outset" w:sz="6" w:space="0" w:color="414142"/>
            </w:tcBorders>
            <w:hideMark/>
          </w:tcPr>
          <w:p w14:paraId="0D03D059" w14:textId="77777777" w:rsidR="0039762C" w:rsidRPr="00E81FE9" w:rsidRDefault="0039762C" w:rsidP="0039762C">
            <w:pPr>
              <w:spacing w:before="100" w:beforeAutospacing="1" w:after="100" w:afterAutospacing="1"/>
              <w:rPr>
                <w:rFonts w:eastAsia="Times New Roman"/>
              </w:rPr>
            </w:pPr>
            <w:r w:rsidRPr="00E81FE9">
              <w:rPr>
                <w:rFonts w:eastAsia="Times New Roman"/>
                <w:color w:val="000000"/>
              </w:rPr>
              <w:t>1.</w:t>
            </w:r>
          </w:p>
        </w:tc>
        <w:tc>
          <w:tcPr>
            <w:tcW w:w="3833" w:type="dxa"/>
            <w:tcBorders>
              <w:top w:val="outset" w:sz="6" w:space="0" w:color="414142"/>
              <w:left w:val="outset" w:sz="6" w:space="0" w:color="414142"/>
              <w:bottom w:val="outset" w:sz="6" w:space="0" w:color="414142"/>
              <w:right w:val="outset" w:sz="6" w:space="0" w:color="414142"/>
            </w:tcBorders>
            <w:hideMark/>
          </w:tcPr>
          <w:p w14:paraId="665CA771" w14:textId="77777777" w:rsidR="0039762C" w:rsidRPr="007D6895" w:rsidRDefault="0039762C" w:rsidP="007D6895">
            <w:pPr>
              <w:ind w:right="112"/>
              <w:jc w:val="both"/>
            </w:pPr>
            <w:r w:rsidRPr="007D6895">
              <w:t>Projekta izpildē iesaistītās institūcijas</w:t>
            </w:r>
          </w:p>
        </w:tc>
        <w:tc>
          <w:tcPr>
            <w:tcW w:w="5103" w:type="dxa"/>
            <w:tcBorders>
              <w:top w:val="outset" w:sz="6" w:space="0" w:color="414142"/>
              <w:left w:val="outset" w:sz="6" w:space="0" w:color="414142"/>
              <w:bottom w:val="outset" w:sz="6" w:space="0" w:color="414142"/>
              <w:right w:val="outset" w:sz="6" w:space="0" w:color="414142"/>
            </w:tcBorders>
            <w:hideMark/>
          </w:tcPr>
          <w:p w14:paraId="0B909456" w14:textId="0CA3C60F" w:rsidR="0039762C" w:rsidRPr="007D6895" w:rsidRDefault="0039762C" w:rsidP="007D6895">
            <w:pPr>
              <w:ind w:left="82" w:right="161"/>
              <w:jc w:val="both"/>
            </w:pPr>
            <w:r w:rsidRPr="00E81FE9">
              <w:rPr>
                <w:lang w:eastAsia="en-US"/>
              </w:rPr>
              <w:t>Ministru kabineta noteikumu</w:t>
            </w:r>
            <w:r w:rsidRPr="007D6895">
              <w:t xml:space="preserve"> projekta </w:t>
            </w:r>
            <w:r w:rsidRPr="00E81FE9">
              <w:rPr>
                <w:lang w:eastAsia="en-US"/>
              </w:rPr>
              <w:t>izpildi nodrošinās Ekonomikas ministrija</w:t>
            </w:r>
            <w:r w:rsidRPr="007D6895">
              <w:t xml:space="preserve"> un </w:t>
            </w:r>
            <w:proofErr w:type="spellStart"/>
            <w:r w:rsidRPr="007D6895">
              <w:t>Altum</w:t>
            </w:r>
            <w:proofErr w:type="spellEnd"/>
            <w:r w:rsidRPr="00E81FE9">
              <w:rPr>
                <w:lang w:eastAsia="en-US"/>
              </w:rPr>
              <w:t>.</w:t>
            </w:r>
          </w:p>
        </w:tc>
      </w:tr>
      <w:tr w:rsidR="007D6895" w:rsidRPr="00E81FE9" w14:paraId="40B6F488" w14:textId="77777777" w:rsidTr="00C8239E">
        <w:trPr>
          <w:trHeight w:val="450"/>
        </w:trPr>
        <w:tc>
          <w:tcPr>
            <w:tcW w:w="270" w:type="dxa"/>
            <w:tcBorders>
              <w:top w:val="outset" w:sz="6" w:space="0" w:color="414142"/>
              <w:left w:val="outset" w:sz="6" w:space="0" w:color="414142"/>
              <w:bottom w:val="outset" w:sz="6" w:space="0" w:color="414142"/>
              <w:right w:val="outset" w:sz="6" w:space="0" w:color="414142"/>
            </w:tcBorders>
            <w:hideMark/>
          </w:tcPr>
          <w:p w14:paraId="0003F98D" w14:textId="77777777" w:rsidR="0039762C" w:rsidRPr="00E81FE9" w:rsidRDefault="0039762C" w:rsidP="0039762C">
            <w:pPr>
              <w:spacing w:before="100" w:beforeAutospacing="1" w:after="100" w:afterAutospacing="1"/>
              <w:rPr>
                <w:rFonts w:eastAsia="Times New Roman"/>
              </w:rPr>
            </w:pPr>
            <w:r w:rsidRPr="00E81FE9">
              <w:rPr>
                <w:rFonts w:eastAsia="Times New Roman"/>
                <w:color w:val="000000"/>
              </w:rPr>
              <w:t>2.</w:t>
            </w:r>
          </w:p>
        </w:tc>
        <w:tc>
          <w:tcPr>
            <w:tcW w:w="3833" w:type="dxa"/>
            <w:tcBorders>
              <w:top w:val="outset" w:sz="6" w:space="0" w:color="414142"/>
              <w:left w:val="outset" w:sz="6" w:space="0" w:color="414142"/>
              <w:bottom w:val="outset" w:sz="6" w:space="0" w:color="414142"/>
              <w:right w:val="outset" w:sz="6" w:space="0" w:color="414142"/>
            </w:tcBorders>
            <w:hideMark/>
          </w:tcPr>
          <w:p w14:paraId="338946DA" w14:textId="561DC5F0" w:rsidR="0039762C" w:rsidRPr="007D6895" w:rsidRDefault="0039762C" w:rsidP="007D6895">
            <w:pPr>
              <w:ind w:right="112"/>
              <w:jc w:val="both"/>
            </w:pPr>
            <w:r w:rsidRPr="007D6895">
              <w:t>Projekta izpildes ietekme uz pārvaldes funkcijām un institucionālo struktūru.</w:t>
            </w:r>
            <w:r w:rsidRPr="00E81FE9">
              <w:rPr>
                <w:lang w:eastAsia="en-US"/>
              </w:rPr>
              <w:t xml:space="preserve"> </w:t>
            </w:r>
            <w:r w:rsidRPr="007D6895">
              <w:t>Jaunu institūciju izveide, esošu institūciju likvidācija vai reorganizācija, to ietekme uz institūcijas cilvēkresursiem</w:t>
            </w:r>
            <w:r w:rsidRPr="00E81FE9">
              <w:rPr>
                <w:lang w:eastAsia="en-US"/>
              </w:rPr>
              <w:t>.</w:t>
            </w:r>
          </w:p>
        </w:tc>
        <w:tc>
          <w:tcPr>
            <w:tcW w:w="5103" w:type="dxa"/>
            <w:tcBorders>
              <w:top w:val="outset" w:sz="6" w:space="0" w:color="414142"/>
              <w:left w:val="outset" w:sz="6" w:space="0" w:color="414142"/>
              <w:bottom w:val="outset" w:sz="6" w:space="0" w:color="414142"/>
              <w:right w:val="outset" w:sz="6" w:space="0" w:color="414142"/>
            </w:tcBorders>
            <w:hideMark/>
          </w:tcPr>
          <w:p w14:paraId="4521E765" w14:textId="35F0058C" w:rsidR="0039762C" w:rsidRPr="007D6895" w:rsidRDefault="00E73BD3" w:rsidP="007D6895">
            <w:pPr>
              <w:ind w:left="82" w:right="161"/>
              <w:jc w:val="both"/>
            </w:pPr>
            <w:r w:rsidRPr="007D6895">
              <w:t xml:space="preserve">Noteikumu projekta izpilde tiks nodrošināta </w:t>
            </w:r>
            <w:proofErr w:type="spellStart"/>
            <w:r w:rsidRPr="007D6895">
              <w:t>Altum</w:t>
            </w:r>
            <w:proofErr w:type="spellEnd"/>
            <w:r w:rsidRPr="007D6895">
              <w:t xml:space="preserve"> esošo funkciju ietvaros, nav nepieciešams izveidot jaunas institūcijas, likvidēt esošas institūcijas vai veikt reorganizāciju.</w:t>
            </w:r>
          </w:p>
        </w:tc>
      </w:tr>
      <w:tr w:rsidR="007D6895" w:rsidRPr="00E81FE9" w14:paraId="41772B5A" w14:textId="77777777" w:rsidTr="00C8239E">
        <w:trPr>
          <w:trHeight w:val="390"/>
        </w:trPr>
        <w:tc>
          <w:tcPr>
            <w:tcW w:w="270" w:type="dxa"/>
            <w:tcBorders>
              <w:top w:val="outset" w:sz="6" w:space="0" w:color="414142"/>
              <w:left w:val="outset" w:sz="6" w:space="0" w:color="414142"/>
              <w:bottom w:val="outset" w:sz="6" w:space="0" w:color="414142"/>
              <w:right w:val="outset" w:sz="6" w:space="0" w:color="414142"/>
            </w:tcBorders>
            <w:hideMark/>
          </w:tcPr>
          <w:p w14:paraId="45CFD7AD" w14:textId="77777777" w:rsidR="0039762C" w:rsidRPr="00E81FE9" w:rsidRDefault="0039762C" w:rsidP="0039762C">
            <w:pPr>
              <w:spacing w:before="100" w:beforeAutospacing="1" w:after="100" w:afterAutospacing="1"/>
              <w:rPr>
                <w:rFonts w:eastAsia="Times New Roman"/>
              </w:rPr>
            </w:pPr>
            <w:r w:rsidRPr="00E81FE9">
              <w:rPr>
                <w:rFonts w:eastAsia="Times New Roman"/>
                <w:color w:val="000000"/>
              </w:rPr>
              <w:t>3.</w:t>
            </w:r>
          </w:p>
        </w:tc>
        <w:tc>
          <w:tcPr>
            <w:tcW w:w="3833" w:type="dxa"/>
            <w:tcBorders>
              <w:top w:val="outset" w:sz="6" w:space="0" w:color="414142"/>
              <w:left w:val="outset" w:sz="6" w:space="0" w:color="414142"/>
              <w:bottom w:val="outset" w:sz="6" w:space="0" w:color="414142"/>
              <w:right w:val="outset" w:sz="6" w:space="0" w:color="414142"/>
            </w:tcBorders>
            <w:hideMark/>
          </w:tcPr>
          <w:p w14:paraId="5191F29F" w14:textId="77777777" w:rsidR="0039762C" w:rsidRPr="007D6895" w:rsidRDefault="0039762C" w:rsidP="007D6895">
            <w:pPr>
              <w:jc w:val="both"/>
            </w:pPr>
            <w:r w:rsidRPr="007D6895">
              <w:t>Cita informācija</w:t>
            </w:r>
          </w:p>
        </w:tc>
        <w:tc>
          <w:tcPr>
            <w:tcW w:w="5103" w:type="dxa"/>
            <w:tcBorders>
              <w:top w:val="outset" w:sz="6" w:space="0" w:color="414142"/>
              <w:left w:val="outset" w:sz="6" w:space="0" w:color="414142"/>
              <w:bottom w:val="outset" w:sz="6" w:space="0" w:color="414142"/>
              <w:right w:val="outset" w:sz="6" w:space="0" w:color="414142"/>
            </w:tcBorders>
            <w:hideMark/>
          </w:tcPr>
          <w:p w14:paraId="67159161" w14:textId="77777777" w:rsidR="0039762C" w:rsidRPr="007D6895" w:rsidRDefault="0039762C" w:rsidP="007D6895">
            <w:pPr>
              <w:ind w:firstLine="720"/>
              <w:jc w:val="both"/>
            </w:pPr>
            <w:r w:rsidRPr="007D6895">
              <w:t>Nav</w:t>
            </w:r>
          </w:p>
        </w:tc>
      </w:tr>
    </w:tbl>
    <w:p w14:paraId="523980C7" w14:textId="77777777" w:rsidR="0039762C" w:rsidRPr="007D6895" w:rsidRDefault="0039762C" w:rsidP="007D6895">
      <w:pPr>
        <w:jc w:val="both"/>
      </w:pPr>
    </w:p>
    <w:p w14:paraId="5332B557" w14:textId="2F382078" w:rsidR="00CF6A56" w:rsidRPr="007D6895" w:rsidRDefault="007B4F24" w:rsidP="007D6895">
      <w:r>
        <w:t>E</w:t>
      </w:r>
      <w:r w:rsidR="00B67F84" w:rsidRPr="007D6895">
        <w:t xml:space="preserve">konomikas ministrs </w:t>
      </w:r>
      <w:r w:rsidR="00B67F84" w:rsidRPr="00E81FE9">
        <w:t xml:space="preserve">     </w:t>
      </w:r>
      <w:r w:rsidR="00B67F84" w:rsidRPr="00E81FE9">
        <w:tab/>
      </w:r>
      <w:r w:rsidR="00B67F84" w:rsidRPr="00E81FE9">
        <w:tab/>
      </w:r>
      <w:r w:rsidR="00CF6A56" w:rsidRPr="00E81FE9">
        <w:tab/>
      </w:r>
      <w:r w:rsidR="00CF6A56" w:rsidRPr="00E81FE9">
        <w:tab/>
      </w:r>
      <w:r w:rsidR="00CF6A56" w:rsidRPr="00E81FE9">
        <w:tab/>
        <w:t xml:space="preserve">                      </w:t>
      </w:r>
      <w:proofErr w:type="spellStart"/>
      <w:r>
        <w:t>R.Nemiro</w:t>
      </w:r>
      <w:proofErr w:type="spellEnd"/>
    </w:p>
    <w:p w14:paraId="5B63A977" w14:textId="5D03DB93" w:rsidR="00CF6A56" w:rsidRPr="007D6895" w:rsidRDefault="00CF6A56" w:rsidP="007D6895">
      <w:r w:rsidRPr="00E81FE9">
        <w:tab/>
      </w:r>
    </w:p>
    <w:p w14:paraId="74F87BD8" w14:textId="2C4948CF" w:rsidR="00B67F84" w:rsidRPr="007D6895" w:rsidRDefault="00CF6A56" w:rsidP="007D6895">
      <w:r w:rsidRPr="007D6895">
        <w:t xml:space="preserve">Vīza: Valsts </w:t>
      </w:r>
      <w:r w:rsidR="00B67F84" w:rsidRPr="007D6895">
        <w:t>sekretārs</w:t>
      </w:r>
      <w:r w:rsidR="00B67F84" w:rsidRPr="00C358BE">
        <w:tab/>
      </w:r>
      <w:r w:rsidR="00B67F84" w:rsidRPr="00E81FE9">
        <w:tab/>
      </w:r>
      <w:r w:rsidR="00B67F84" w:rsidRPr="00E81FE9">
        <w:tab/>
      </w:r>
      <w:r w:rsidRPr="00E81FE9">
        <w:tab/>
      </w:r>
      <w:r w:rsidRPr="00E81FE9">
        <w:tab/>
      </w:r>
      <w:r w:rsidRPr="00E81FE9">
        <w:tab/>
        <w:t xml:space="preserve">    </w:t>
      </w:r>
      <w:r w:rsidRPr="00E81FE9">
        <w:tab/>
      </w:r>
      <w:r w:rsidR="00E81FE9">
        <w:tab/>
      </w:r>
      <w:proofErr w:type="spellStart"/>
      <w:r w:rsidR="00E81FE9" w:rsidRPr="007D6895">
        <w:t>Ē.Eglītis</w:t>
      </w:r>
      <w:proofErr w:type="spellEnd"/>
      <w:r w:rsidRPr="00E81FE9">
        <w:t xml:space="preserve"> </w:t>
      </w:r>
    </w:p>
    <w:p w14:paraId="7BB3F9E3" w14:textId="3659EF63" w:rsidR="00B67F84" w:rsidRPr="00E81FE9" w:rsidRDefault="00B67F84" w:rsidP="007D6895"/>
    <w:p w14:paraId="334177CA" w14:textId="719D5D84" w:rsidR="00EE4514" w:rsidRPr="00E81FE9" w:rsidRDefault="00EE4514" w:rsidP="007D6895"/>
    <w:p w14:paraId="3D1988B0" w14:textId="77777777" w:rsidR="00EE4514" w:rsidRPr="00E81FE9" w:rsidRDefault="00EE4514" w:rsidP="007D6895"/>
    <w:p w14:paraId="1E35F4CD" w14:textId="77777777" w:rsidR="00C628F5" w:rsidRPr="00C628F5" w:rsidRDefault="00C628F5" w:rsidP="00C628F5">
      <w:pPr>
        <w:ind w:right="709"/>
        <w:rPr>
          <w:sz w:val="20"/>
          <w:szCs w:val="20"/>
        </w:rPr>
      </w:pPr>
      <w:r w:rsidRPr="00C628F5">
        <w:rPr>
          <w:sz w:val="20"/>
          <w:szCs w:val="20"/>
        </w:rPr>
        <w:t>Liene Bergholde, 67013203</w:t>
      </w:r>
    </w:p>
    <w:p w14:paraId="74771582" w14:textId="16FD2767" w:rsidR="00D57DE0" w:rsidRPr="00C628F5" w:rsidRDefault="00C628F5" w:rsidP="00C628F5">
      <w:pPr>
        <w:ind w:right="709"/>
        <w:rPr>
          <w:rFonts w:eastAsia="Times New Roman"/>
          <w:sz w:val="20"/>
          <w:szCs w:val="20"/>
          <w:lang w:eastAsia="en-US"/>
        </w:rPr>
      </w:pPr>
      <w:r w:rsidRPr="00C628F5">
        <w:rPr>
          <w:sz w:val="20"/>
          <w:szCs w:val="20"/>
        </w:rPr>
        <w:t>Liene.Bergholde@em.gov.lv</w:t>
      </w:r>
    </w:p>
    <w:sectPr w:rsidR="00D57DE0" w:rsidRPr="00C628F5" w:rsidSect="006D03CA">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709"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33DFB" w14:textId="77777777" w:rsidR="00E40B37" w:rsidRDefault="00E40B37" w:rsidP="006D03CA">
      <w:r>
        <w:separator/>
      </w:r>
    </w:p>
  </w:endnote>
  <w:endnote w:type="continuationSeparator" w:id="0">
    <w:p w14:paraId="4F975A70" w14:textId="77777777" w:rsidR="00E40B37" w:rsidRDefault="00E40B37" w:rsidP="006D03CA">
      <w:r>
        <w:continuationSeparator/>
      </w:r>
    </w:p>
  </w:endnote>
  <w:endnote w:type="continuationNotice" w:id="1">
    <w:p w14:paraId="3D01C7AA" w14:textId="77777777" w:rsidR="00E40B37" w:rsidRDefault="00E40B37" w:rsidP="006D0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E2113" w14:textId="77777777" w:rsidR="005042FB" w:rsidRPr="00C358BE" w:rsidRDefault="005042FB" w:rsidP="00C358BE">
    <w:pPr>
      <w:pStyle w:val="BodyText2"/>
      <w:spacing w:line="240" w:lineRule="auto"/>
      <w:jc w:val="both"/>
      <w:rPr>
        <w:sz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E38F9" w14:textId="1009B242" w:rsidR="005042FB" w:rsidRPr="003903A8" w:rsidRDefault="005042FB" w:rsidP="00C40BFE">
    <w:pPr>
      <w:tabs>
        <w:tab w:val="left" w:pos="9071"/>
      </w:tabs>
      <w:ind w:right="-1"/>
      <w:jc w:val="both"/>
      <w:rPr>
        <w:sz w:val="20"/>
        <w:szCs w:val="20"/>
      </w:rPr>
    </w:pPr>
    <w:r w:rsidRPr="006D03CA">
      <w:rPr>
        <w:sz w:val="20"/>
      </w:rPr>
      <w:fldChar w:fldCharType="begin"/>
    </w:r>
    <w:r>
      <w:rPr>
        <w:bCs/>
        <w:sz w:val="20"/>
        <w:szCs w:val="20"/>
      </w:rPr>
      <w:instrText xml:space="preserve"> FILENAME   \* MERGEFORMAT </w:instrText>
    </w:r>
    <w:r w:rsidRPr="006D03CA">
      <w:rPr>
        <w:sz w:val="20"/>
      </w:rPr>
      <w:fldChar w:fldCharType="separate"/>
    </w:r>
    <w:r w:rsidR="00CA353B" w:rsidRPr="00CA353B">
      <w:rPr>
        <w:noProof/>
        <w:sz w:val="20"/>
      </w:rPr>
      <w:t>EMAnot_</w:t>
    </w:r>
    <w:r w:rsidR="00CA353B" w:rsidRPr="00CA353B">
      <w:rPr>
        <w:rFonts w:eastAsia="Times New Roman"/>
        <w:noProof/>
        <w:sz w:val="20"/>
        <w:szCs w:val="20"/>
      </w:rPr>
      <w:t>07052019_groz1065.docx</w:t>
    </w:r>
    <w:r w:rsidRPr="006D03CA">
      <w:rPr>
        <w:sz w:val="20"/>
      </w:rPr>
      <w:fldChar w:fldCharType="end"/>
    </w:r>
  </w:p>
  <w:p w14:paraId="10DC4801" w14:textId="77777777" w:rsidR="005042FB" w:rsidRPr="00C358BE" w:rsidRDefault="005042FB" w:rsidP="00C358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F79EA" w14:textId="12356E37" w:rsidR="005042FB" w:rsidRPr="006D03CA" w:rsidRDefault="005042FB" w:rsidP="00C358BE">
    <w:pPr>
      <w:tabs>
        <w:tab w:val="left" w:pos="9071"/>
      </w:tabs>
      <w:ind w:right="-1"/>
      <w:jc w:val="both"/>
      <w:rPr>
        <w:sz w:val="20"/>
      </w:rPr>
    </w:pPr>
    <w:r w:rsidRPr="006D03CA">
      <w:rPr>
        <w:sz w:val="20"/>
      </w:rPr>
      <w:fldChar w:fldCharType="begin"/>
    </w:r>
    <w:r>
      <w:rPr>
        <w:bCs/>
        <w:sz w:val="20"/>
        <w:szCs w:val="20"/>
      </w:rPr>
      <w:instrText xml:space="preserve"> FILENAME   \* MERGEFORMAT </w:instrText>
    </w:r>
    <w:r w:rsidRPr="006D03CA">
      <w:rPr>
        <w:sz w:val="20"/>
      </w:rPr>
      <w:fldChar w:fldCharType="separate"/>
    </w:r>
    <w:r w:rsidR="00CA353B" w:rsidRPr="00CA353B">
      <w:rPr>
        <w:noProof/>
        <w:sz w:val="20"/>
      </w:rPr>
      <w:t>EMAnot_</w:t>
    </w:r>
    <w:r w:rsidR="00CA353B" w:rsidRPr="00CA353B">
      <w:rPr>
        <w:rFonts w:eastAsia="Times New Roman"/>
        <w:noProof/>
        <w:sz w:val="20"/>
        <w:szCs w:val="20"/>
      </w:rPr>
      <w:t>07052019_groz1065.docx</w:t>
    </w:r>
    <w:r w:rsidRPr="006D03C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E70AC" w14:textId="77777777" w:rsidR="00E40B37" w:rsidRDefault="00E40B37" w:rsidP="006D03CA">
      <w:r>
        <w:separator/>
      </w:r>
    </w:p>
  </w:footnote>
  <w:footnote w:type="continuationSeparator" w:id="0">
    <w:p w14:paraId="428D2672" w14:textId="77777777" w:rsidR="00E40B37" w:rsidRDefault="00E40B37" w:rsidP="006D03CA">
      <w:r>
        <w:continuationSeparator/>
      </w:r>
    </w:p>
  </w:footnote>
  <w:footnote w:type="continuationNotice" w:id="1">
    <w:p w14:paraId="36C4331D" w14:textId="77777777" w:rsidR="00E40B37" w:rsidRDefault="00E40B37" w:rsidP="006D0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4F676" w14:textId="77777777" w:rsidR="00AE5D5B" w:rsidRDefault="00AE5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E0752" w14:textId="0E6C21F9" w:rsidR="005042FB" w:rsidRDefault="005042FB"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6865">
      <w:rPr>
        <w:rStyle w:val="PageNumber"/>
        <w:noProof/>
      </w:rPr>
      <w:t>10</w:t>
    </w:r>
    <w:r>
      <w:rPr>
        <w:rStyle w:val="PageNumber"/>
      </w:rPr>
      <w:fldChar w:fldCharType="end"/>
    </w:r>
  </w:p>
  <w:p w14:paraId="23CBA5DD" w14:textId="77777777" w:rsidR="005042FB" w:rsidRDefault="00504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3E9C" w14:textId="77777777" w:rsidR="005042FB" w:rsidRPr="00C358BE" w:rsidRDefault="005042FB" w:rsidP="00C358BE">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hybridMultilevel"/>
    <w:tmpl w:val="7825D1EA"/>
    <w:lvl w:ilvl="0" w:tplc="F0F0CBB0">
      <w:start w:val="14"/>
      <w:numFmt w:val="bullet"/>
      <w:lvlText w:val="-"/>
      <w:lvlJc w:val="left"/>
      <w:pPr>
        <w:ind w:left="720" w:hanging="360"/>
      </w:pPr>
      <w:rPr>
        <w:rFonts w:ascii="Times New Roman" w:eastAsia="Times New Roman" w:hAnsi="Times New Roman"/>
        <w:w w:val="100"/>
        <w:sz w:val="20"/>
        <w:szCs w:val="20"/>
        <w:shd w:val="clear" w:color="auto" w:fill="auto"/>
      </w:rPr>
    </w:lvl>
    <w:lvl w:ilvl="1" w:tplc="A6883176">
      <w:start w:val="1"/>
      <w:numFmt w:val="bullet"/>
      <w:lvlText w:val="o"/>
      <w:lvlJc w:val="left"/>
      <w:pPr>
        <w:ind w:left="1440" w:hanging="360"/>
      </w:pPr>
      <w:rPr>
        <w:rFonts w:ascii="Courier New" w:eastAsia="Courier New" w:hAnsi="Courier New"/>
        <w:w w:val="100"/>
        <w:sz w:val="20"/>
        <w:szCs w:val="20"/>
        <w:shd w:val="clear" w:color="auto" w:fill="auto"/>
      </w:rPr>
    </w:lvl>
    <w:lvl w:ilvl="2" w:tplc="EF1CAD44">
      <w:start w:val="1"/>
      <w:numFmt w:val="bullet"/>
      <w:lvlText w:val="§"/>
      <w:lvlJc w:val="left"/>
      <w:pPr>
        <w:ind w:left="2160" w:hanging="360"/>
      </w:pPr>
      <w:rPr>
        <w:rFonts w:ascii="Wingdings" w:eastAsia="Wingdings" w:hAnsi="Wingdings"/>
        <w:w w:val="100"/>
        <w:sz w:val="20"/>
        <w:szCs w:val="20"/>
        <w:shd w:val="clear" w:color="auto" w:fill="auto"/>
      </w:rPr>
    </w:lvl>
    <w:lvl w:ilvl="3" w:tplc="858CDBDA">
      <w:start w:val="1"/>
      <w:numFmt w:val="bullet"/>
      <w:lvlText w:val="·"/>
      <w:lvlJc w:val="left"/>
      <w:pPr>
        <w:ind w:left="2880" w:hanging="360"/>
      </w:pPr>
      <w:rPr>
        <w:rFonts w:ascii="Symbol" w:eastAsia="Symbol" w:hAnsi="Symbol"/>
        <w:w w:val="100"/>
        <w:sz w:val="20"/>
        <w:szCs w:val="20"/>
        <w:shd w:val="clear" w:color="auto" w:fill="auto"/>
      </w:rPr>
    </w:lvl>
    <w:lvl w:ilvl="4" w:tplc="ED60080E">
      <w:start w:val="1"/>
      <w:numFmt w:val="bullet"/>
      <w:lvlText w:val="o"/>
      <w:lvlJc w:val="left"/>
      <w:pPr>
        <w:ind w:left="3600" w:hanging="360"/>
      </w:pPr>
      <w:rPr>
        <w:rFonts w:ascii="Courier New" w:eastAsia="Courier New" w:hAnsi="Courier New"/>
        <w:w w:val="100"/>
        <w:sz w:val="20"/>
        <w:szCs w:val="20"/>
        <w:shd w:val="clear" w:color="auto" w:fill="auto"/>
      </w:rPr>
    </w:lvl>
    <w:lvl w:ilvl="5" w:tplc="49BC085A">
      <w:start w:val="1"/>
      <w:numFmt w:val="bullet"/>
      <w:lvlText w:val="§"/>
      <w:lvlJc w:val="left"/>
      <w:pPr>
        <w:ind w:left="4320" w:hanging="360"/>
      </w:pPr>
      <w:rPr>
        <w:rFonts w:ascii="Wingdings" w:eastAsia="Wingdings" w:hAnsi="Wingdings"/>
        <w:w w:val="100"/>
        <w:sz w:val="20"/>
        <w:szCs w:val="20"/>
        <w:shd w:val="clear" w:color="auto" w:fill="auto"/>
      </w:rPr>
    </w:lvl>
    <w:lvl w:ilvl="6" w:tplc="A320AFCC">
      <w:start w:val="1"/>
      <w:numFmt w:val="bullet"/>
      <w:lvlText w:val="·"/>
      <w:lvlJc w:val="left"/>
      <w:pPr>
        <w:ind w:left="5040" w:hanging="360"/>
      </w:pPr>
      <w:rPr>
        <w:rFonts w:ascii="Symbol" w:eastAsia="Symbol" w:hAnsi="Symbol"/>
        <w:w w:val="100"/>
        <w:sz w:val="20"/>
        <w:szCs w:val="20"/>
        <w:shd w:val="clear" w:color="auto" w:fill="auto"/>
      </w:rPr>
    </w:lvl>
    <w:lvl w:ilvl="7" w:tplc="D0108916">
      <w:start w:val="1"/>
      <w:numFmt w:val="bullet"/>
      <w:lvlText w:val="o"/>
      <w:lvlJc w:val="left"/>
      <w:pPr>
        <w:ind w:left="5760" w:hanging="360"/>
      </w:pPr>
      <w:rPr>
        <w:rFonts w:ascii="Courier New" w:eastAsia="Courier New" w:hAnsi="Courier New"/>
        <w:w w:val="100"/>
        <w:sz w:val="20"/>
        <w:szCs w:val="20"/>
        <w:shd w:val="clear" w:color="auto" w:fill="auto"/>
      </w:rPr>
    </w:lvl>
    <w:lvl w:ilvl="8" w:tplc="9804769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15:restartNumberingAfterBreak="0">
    <w:nsid w:val="03A33947"/>
    <w:multiLevelType w:val="hybridMultilevel"/>
    <w:tmpl w:val="A0AC7F44"/>
    <w:lvl w:ilvl="0" w:tplc="DE32AA16">
      <w:start w:val="1"/>
      <w:numFmt w:val="decimal"/>
      <w:lvlText w:val="%1)"/>
      <w:lvlJc w:val="left"/>
      <w:pPr>
        <w:ind w:left="725" w:hanging="360"/>
      </w:pPr>
      <w:rPr>
        <w:rFonts w:hint="default"/>
      </w:r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2" w15:restartNumberingAfterBreak="0">
    <w:nsid w:val="06D84825"/>
    <w:multiLevelType w:val="hybridMultilevel"/>
    <w:tmpl w:val="10389AFA"/>
    <w:lvl w:ilvl="0" w:tplc="33DAC180">
      <w:numFmt w:val="bullet"/>
      <w:lvlText w:val="-"/>
      <w:lvlJc w:val="left"/>
      <w:pPr>
        <w:ind w:left="1008" w:hanging="360"/>
      </w:pPr>
      <w:rPr>
        <w:rFonts w:ascii="Times New Roman" w:eastAsia="Times New Roman" w:hAnsi="Times New Roman" w:cs="Times New Roman" w:hint="default"/>
      </w:rPr>
    </w:lvl>
    <w:lvl w:ilvl="1" w:tplc="04260003" w:tentative="1">
      <w:start w:val="1"/>
      <w:numFmt w:val="bullet"/>
      <w:lvlText w:val="o"/>
      <w:lvlJc w:val="left"/>
      <w:pPr>
        <w:ind w:left="1521" w:hanging="360"/>
      </w:pPr>
      <w:rPr>
        <w:rFonts w:ascii="Courier New" w:hAnsi="Courier New" w:cs="Courier New" w:hint="default"/>
      </w:rPr>
    </w:lvl>
    <w:lvl w:ilvl="2" w:tplc="04260005" w:tentative="1">
      <w:start w:val="1"/>
      <w:numFmt w:val="bullet"/>
      <w:lvlText w:val=""/>
      <w:lvlJc w:val="left"/>
      <w:pPr>
        <w:ind w:left="2241" w:hanging="360"/>
      </w:pPr>
      <w:rPr>
        <w:rFonts w:ascii="Wingdings" w:hAnsi="Wingdings" w:hint="default"/>
      </w:rPr>
    </w:lvl>
    <w:lvl w:ilvl="3" w:tplc="04260001" w:tentative="1">
      <w:start w:val="1"/>
      <w:numFmt w:val="bullet"/>
      <w:lvlText w:val=""/>
      <w:lvlJc w:val="left"/>
      <w:pPr>
        <w:ind w:left="2961" w:hanging="360"/>
      </w:pPr>
      <w:rPr>
        <w:rFonts w:ascii="Symbol" w:hAnsi="Symbol" w:hint="default"/>
      </w:rPr>
    </w:lvl>
    <w:lvl w:ilvl="4" w:tplc="04260003" w:tentative="1">
      <w:start w:val="1"/>
      <w:numFmt w:val="bullet"/>
      <w:lvlText w:val="o"/>
      <w:lvlJc w:val="left"/>
      <w:pPr>
        <w:ind w:left="3681" w:hanging="360"/>
      </w:pPr>
      <w:rPr>
        <w:rFonts w:ascii="Courier New" w:hAnsi="Courier New" w:cs="Courier New" w:hint="default"/>
      </w:rPr>
    </w:lvl>
    <w:lvl w:ilvl="5" w:tplc="04260005" w:tentative="1">
      <w:start w:val="1"/>
      <w:numFmt w:val="bullet"/>
      <w:lvlText w:val=""/>
      <w:lvlJc w:val="left"/>
      <w:pPr>
        <w:ind w:left="4401" w:hanging="360"/>
      </w:pPr>
      <w:rPr>
        <w:rFonts w:ascii="Wingdings" w:hAnsi="Wingdings" w:hint="default"/>
      </w:rPr>
    </w:lvl>
    <w:lvl w:ilvl="6" w:tplc="04260001" w:tentative="1">
      <w:start w:val="1"/>
      <w:numFmt w:val="bullet"/>
      <w:lvlText w:val=""/>
      <w:lvlJc w:val="left"/>
      <w:pPr>
        <w:ind w:left="5121" w:hanging="360"/>
      </w:pPr>
      <w:rPr>
        <w:rFonts w:ascii="Symbol" w:hAnsi="Symbol" w:hint="default"/>
      </w:rPr>
    </w:lvl>
    <w:lvl w:ilvl="7" w:tplc="04260003" w:tentative="1">
      <w:start w:val="1"/>
      <w:numFmt w:val="bullet"/>
      <w:lvlText w:val="o"/>
      <w:lvlJc w:val="left"/>
      <w:pPr>
        <w:ind w:left="5841" w:hanging="360"/>
      </w:pPr>
      <w:rPr>
        <w:rFonts w:ascii="Courier New" w:hAnsi="Courier New" w:cs="Courier New" w:hint="default"/>
      </w:rPr>
    </w:lvl>
    <w:lvl w:ilvl="8" w:tplc="04260005" w:tentative="1">
      <w:start w:val="1"/>
      <w:numFmt w:val="bullet"/>
      <w:lvlText w:val=""/>
      <w:lvlJc w:val="left"/>
      <w:pPr>
        <w:ind w:left="6561" w:hanging="360"/>
      </w:pPr>
      <w:rPr>
        <w:rFonts w:ascii="Wingdings" w:hAnsi="Wingdings" w:hint="default"/>
      </w:rPr>
    </w:lvl>
  </w:abstractNum>
  <w:abstractNum w:abstractNumId="3" w15:restartNumberingAfterBreak="0">
    <w:nsid w:val="0A7D0B6E"/>
    <w:multiLevelType w:val="hybridMultilevel"/>
    <w:tmpl w:val="43F8CB96"/>
    <w:lvl w:ilvl="0" w:tplc="C5A0124E">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E96F91"/>
    <w:multiLevelType w:val="hybridMultilevel"/>
    <w:tmpl w:val="DA00CA6E"/>
    <w:lvl w:ilvl="0" w:tplc="0426000F">
      <w:start w:val="1"/>
      <w:numFmt w:val="decimal"/>
      <w:lvlText w:val="%1."/>
      <w:lvlJc w:val="left"/>
      <w:pPr>
        <w:ind w:left="1085" w:hanging="360"/>
      </w:pPr>
    </w:lvl>
    <w:lvl w:ilvl="1" w:tplc="04260019" w:tentative="1">
      <w:start w:val="1"/>
      <w:numFmt w:val="lowerLetter"/>
      <w:lvlText w:val="%2."/>
      <w:lvlJc w:val="left"/>
      <w:pPr>
        <w:ind w:left="1805" w:hanging="360"/>
      </w:pPr>
    </w:lvl>
    <w:lvl w:ilvl="2" w:tplc="0426001B" w:tentative="1">
      <w:start w:val="1"/>
      <w:numFmt w:val="lowerRoman"/>
      <w:lvlText w:val="%3."/>
      <w:lvlJc w:val="right"/>
      <w:pPr>
        <w:ind w:left="2525" w:hanging="180"/>
      </w:pPr>
    </w:lvl>
    <w:lvl w:ilvl="3" w:tplc="0426000F" w:tentative="1">
      <w:start w:val="1"/>
      <w:numFmt w:val="decimal"/>
      <w:lvlText w:val="%4."/>
      <w:lvlJc w:val="left"/>
      <w:pPr>
        <w:ind w:left="3245" w:hanging="360"/>
      </w:pPr>
    </w:lvl>
    <w:lvl w:ilvl="4" w:tplc="04260019" w:tentative="1">
      <w:start w:val="1"/>
      <w:numFmt w:val="lowerLetter"/>
      <w:lvlText w:val="%5."/>
      <w:lvlJc w:val="left"/>
      <w:pPr>
        <w:ind w:left="3965" w:hanging="360"/>
      </w:pPr>
    </w:lvl>
    <w:lvl w:ilvl="5" w:tplc="0426001B" w:tentative="1">
      <w:start w:val="1"/>
      <w:numFmt w:val="lowerRoman"/>
      <w:lvlText w:val="%6."/>
      <w:lvlJc w:val="right"/>
      <w:pPr>
        <w:ind w:left="4685" w:hanging="180"/>
      </w:pPr>
    </w:lvl>
    <w:lvl w:ilvl="6" w:tplc="0426000F" w:tentative="1">
      <w:start w:val="1"/>
      <w:numFmt w:val="decimal"/>
      <w:lvlText w:val="%7."/>
      <w:lvlJc w:val="left"/>
      <w:pPr>
        <w:ind w:left="5405" w:hanging="360"/>
      </w:pPr>
    </w:lvl>
    <w:lvl w:ilvl="7" w:tplc="04260019" w:tentative="1">
      <w:start w:val="1"/>
      <w:numFmt w:val="lowerLetter"/>
      <w:lvlText w:val="%8."/>
      <w:lvlJc w:val="left"/>
      <w:pPr>
        <w:ind w:left="6125" w:hanging="360"/>
      </w:pPr>
    </w:lvl>
    <w:lvl w:ilvl="8" w:tplc="0426001B" w:tentative="1">
      <w:start w:val="1"/>
      <w:numFmt w:val="lowerRoman"/>
      <w:lvlText w:val="%9."/>
      <w:lvlJc w:val="right"/>
      <w:pPr>
        <w:ind w:left="6845" w:hanging="180"/>
      </w:pPr>
    </w:lvl>
  </w:abstractNum>
  <w:abstractNum w:abstractNumId="5"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15:restartNumberingAfterBreak="0">
    <w:nsid w:val="17251268"/>
    <w:multiLevelType w:val="hybridMultilevel"/>
    <w:tmpl w:val="10FC03C2"/>
    <w:lvl w:ilvl="0" w:tplc="C47C5AC0">
      <w:start w:val="4"/>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CF3FAE"/>
    <w:multiLevelType w:val="hybridMultilevel"/>
    <w:tmpl w:val="D0140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CC3CFE"/>
    <w:multiLevelType w:val="hybridMultilevel"/>
    <w:tmpl w:val="4C4A3332"/>
    <w:lvl w:ilvl="0" w:tplc="8CD8B762">
      <w:start w:val="1"/>
      <w:numFmt w:val="decimal"/>
      <w:lvlText w:val="%1."/>
      <w:lvlJc w:val="left"/>
      <w:pPr>
        <w:ind w:left="1440" w:hanging="360"/>
      </w:pPr>
      <w:rPr>
        <w:rFonts w:ascii="Times New Roman" w:eastAsia="Times New Roman" w:hAnsi="Times New Roman" w:cs="Times New Roman"/>
        <w:u w:val="none"/>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0"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1" w15:restartNumberingAfterBreak="0">
    <w:nsid w:val="2343069D"/>
    <w:multiLevelType w:val="hybridMultilevel"/>
    <w:tmpl w:val="D902E1FA"/>
    <w:lvl w:ilvl="0" w:tplc="0426000B">
      <w:start w:val="1"/>
      <w:numFmt w:val="bullet"/>
      <w:lvlText w:val=""/>
      <w:lvlJc w:val="left"/>
      <w:pPr>
        <w:ind w:left="1369" w:hanging="360"/>
      </w:pPr>
      <w:rPr>
        <w:rFonts w:ascii="Wingdings" w:hAnsi="Wingdings" w:hint="default"/>
      </w:rPr>
    </w:lvl>
    <w:lvl w:ilvl="1" w:tplc="04260003" w:tentative="1">
      <w:start w:val="1"/>
      <w:numFmt w:val="bullet"/>
      <w:lvlText w:val="o"/>
      <w:lvlJc w:val="left"/>
      <w:pPr>
        <w:ind w:left="2089" w:hanging="360"/>
      </w:pPr>
      <w:rPr>
        <w:rFonts w:ascii="Courier New" w:hAnsi="Courier New" w:cs="Courier New" w:hint="default"/>
      </w:rPr>
    </w:lvl>
    <w:lvl w:ilvl="2" w:tplc="04260005" w:tentative="1">
      <w:start w:val="1"/>
      <w:numFmt w:val="bullet"/>
      <w:lvlText w:val=""/>
      <w:lvlJc w:val="left"/>
      <w:pPr>
        <w:ind w:left="2809" w:hanging="360"/>
      </w:pPr>
      <w:rPr>
        <w:rFonts w:ascii="Wingdings" w:hAnsi="Wingdings" w:hint="default"/>
      </w:rPr>
    </w:lvl>
    <w:lvl w:ilvl="3" w:tplc="04260001" w:tentative="1">
      <w:start w:val="1"/>
      <w:numFmt w:val="bullet"/>
      <w:lvlText w:val=""/>
      <w:lvlJc w:val="left"/>
      <w:pPr>
        <w:ind w:left="3529" w:hanging="360"/>
      </w:pPr>
      <w:rPr>
        <w:rFonts w:ascii="Symbol" w:hAnsi="Symbol" w:hint="default"/>
      </w:rPr>
    </w:lvl>
    <w:lvl w:ilvl="4" w:tplc="04260003" w:tentative="1">
      <w:start w:val="1"/>
      <w:numFmt w:val="bullet"/>
      <w:lvlText w:val="o"/>
      <w:lvlJc w:val="left"/>
      <w:pPr>
        <w:ind w:left="4249" w:hanging="360"/>
      </w:pPr>
      <w:rPr>
        <w:rFonts w:ascii="Courier New" w:hAnsi="Courier New" w:cs="Courier New" w:hint="default"/>
      </w:rPr>
    </w:lvl>
    <w:lvl w:ilvl="5" w:tplc="04260005" w:tentative="1">
      <w:start w:val="1"/>
      <w:numFmt w:val="bullet"/>
      <w:lvlText w:val=""/>
      <w:lvlJc w:val="left"/>
      <w:pPr>
        <w:ind w:left="4969" w:hanging="360"/>
      </w:pPr>
      <w:rPr>
        <w:rFonts w:ascii="Wingdings" w:hAnsi="Wingdings" w:hint="default"/>
      </w:rPr>
    </w:lvl>
    <w:lvl w:ilvl="6" w:tplc="04260001" w:tentative="1">
      <w:start w:val="1"/>
      <w:numFmt w:val="bullet"/>
      <w:lvlText w:val=""/>
      <w:lvlJc w:val="left"/>
      <w:pPr>
        <w:ind w:left="5689" w:hanging="360"/>
      </w:pPr>
      <w:rPr>
        <w:rFonts w:ascii="Symbol" w:hAnsi="Symbol" w:hint="default"/>
      </w:rPr>
    </w:lvl>
    <w:lvl w:ilvl="7" w:tplc="04260003" w:tentative="1">
      <w:start w:val="1"/>
      <w:numFmt w:val="bullet"/>
      <w:lvlText w:val="o"/>
      <w:lvlJc w:val="left"/>
      <w:pPr>
        <w:ind w:left="6409" w:hanging="360"/>
      </w:pPr>
      <w:rPr>
        <w:rFonts w:ascii="Courier New" w:hAnsi="Courier New" w:cs="Courier New" w:hint="default"/>
      </w:rPr>
    </w:lvl>
    <w:lvl w:ilvl="8" w:tplc="04260005" w:tentative="1">
      <w:start w:val="1"/>
      <w:numFmt w:val="bullet"/>
      <w:lvlText w:val=""/>
      <w:lvlJc w:val="left"/>
      <w:pPr>
        <w:ind w:left="7129" w:hanging="360"/>
      </w:pPr>
      <w:rPr>
        <w:rFonts w:ascii="Wingdings" w:hAnsi="Wingdings" w:hint="default"/>
      </w:rPr>
    </w:lvl>
  </w:abstractNum>
  <w:abstractNum w:abstractNumId="12" w15:restartNumberingAfterBreak="0">
    <w:nsid w:val="291671AA"/>
    <w:multiLevelType w:val="hybridMultilevel"/>
    <w:tmpl w:val="E1285158"/>
    <w:lvl w:ilvl="0" w:tplc="65C6EF38">
      <w:numFmt w:val="bullet"/>
      <w:lvlText w:val="-"/>
      <w:lvlJc w:val="left"/>
      <w:pPr>
        <w:ind w:left="720" w:hanging="360"/>
      </w:pPr>
      <w:rPr>
        <w:rFonts w:ascii="Times New Roman" w:eastAsia="Calibri" w:hAnsi="Times New Roman" w:cs="Times New Roman" w:hint="default"/>
        <w:b w:val="0"/>
        <w:i w:val="0"/>
        <w:strike w:val="0"/>
        <w:color w:val="auto"/>
        <w:sz w:val="24"/>
        <w:szCs w:val="20"/>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067BF"/>
    <w:multiLevelType w:val="hybridMultilevel"/>
    <w:tmpl w:val="B6F6A51A"/>
    <w:lvl w:ilvl="0" w:tplc="10E0BAEE">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6" w15:restartNumberingAfterBreak="0">
    <w:nsid w:val="31BE73E6"/>
    <w:multiLevelType w:val="hybridMultilevel"/>
    <w:tmpl w:val="E2208232"/>
    <w:lvl w:ilvl="0" w:tplc="E6421DC8">
      <w:start w:val="1"/>
      <w:numFmt w:val="bullet"/>
      <w:lvlText w:val=""/>
      <w:lvlJc w:val="left"/>
      <w:pPr>
        <w:ind w:left="677" w:hanging="360"/>
      </w:pPr>
      <w:rPr>
        <w:rFonts w:ascii="Symbol" w:hAnsi="Symbol"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7" w15:restartNumberingAfterBreak="0">
    <w:nsid w:val="31DD2FC2"/>
    <w:multiLevelType w:val="hybridMultilevel"/>
    <w:tmpl w:val="A4B2DCAA"/>
    <w:lvl w:ilvl="0" w:tplc="20A82EAA">
      <w:start w:val="2014"/>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3005251"/>
    <w:multiLevelType w:val="hybridMultilevel"/>
    <w:tmpl w:val="A52E4EE0"/>
    <w:lvl w:ilvl="0" w:tplc="AD96E068">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9" w15:restartNumberingAfterBreak="0">
    <w:nsid w:val="3A16233E"/>
    <w:multiLevelType w:val="hybridMultilevel"/>
    <w:tmpl w:val="2EE8EA98"/>
    <w:lvl w:ilvl="0" w:tplc="3D0421A6">
      <w:numFmt w:val="bullet"/>
      <w:lvlText w:val="-"/>
      <w:lvlJc w:val="left"/>
      <w:pPr>
        <w:ind w:left="420" w:hanging="360"/>
      </w:pPr>
      <w:rPr>
        <w:rFonts w:ascii="Times New Roman" w:eastAsiaTheme="minorHAnsi" w:hAnsi="Times New Roman" w:cs="Times New Roman" w:hint="default"/>
        <w:i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0"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BE72D9"/>
    <w:multiLevelType w:val="hybridMultilevel"/>
    <w:tmpl w:val="7846ADBC"/>
    <w:lvl w:ilvl="0" w:tplc="A4EC7C70">
      <w:start w:val="30"/>
      <w:numFmt w:val="bullet"/>
      <w:lvlText w:val="-"/>
      <w:lvlJc w:val="left"/>
      <w:pPr>
        <w:ind w:left="720" w:hanging="360"/>
      </w:pPr>
      <w:rPr>
        <w:rFonts w:ascii="Times New Roman" w:eastAsia="Times New Roman" w:hAnsi="Times New Roman" w:cs="Times New Roman"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400CBB"/>
    <w:multiLevelType w:val="hybridMultilevel"/>
    <w:tmpl w:val="23B409BA"/>
    <w:lvl w:ilvl="0" w:tplc="2F30A0C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3" w15:restartNumberingAfterBreak="0">
    <w:nsid w:val="40BC1EDF"/>
    <w:multiLevelType w:val="hybridMultilevel"/>
    <w:tmpl w:val="8CE473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E70B0D"/>
    <w:multiLevelType w:val="hybridMultilevel"/>
    <w:tmpl w:val="21D2C842"/>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5" w15:restartNumberingAfterBreak="0">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6" w15:restartNumberingAfterBreak="0">
    <w:nsid w:val="46403DFC"/>
    <w:multiLevelType w:val="hybridMultilevel"/>
    <w:tmpl w:val="E566299A"/>
    <w:lvl w:ilvl="0" w:tplc="5DCCF7E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8" w15:restartNumberingAfterBreak="0">
    <w:nsid w:val="4C825B7F"/>
    <w:multiLevelType w:val="hybridMultilevel"/>
    <w:tmpl w:val="295CFAEE"/>
    <w:lvl w:ilvl="0" w:tplc="06F41ED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9" w15:restartNumberingAfterBreak="0">
    <w:nsid w:val="4D737D58"/>
    <w:multiLevelType w:val="hybridMultilevel"/>
    <w:tmpl w:val="8C562F6C"/>
    <w:lvl w:ilvl="0" w:tplc="C62297A2">
      <w:start w:val="1"/>
      <w:numFmt w:val="decimal"/>
      <w:lvlText w:val="%1."/>
      <w:lvlJc w:val="left"/>
      <w:pPr>
        <w:ind w:left="720" w:hanging="360"/>
      </w:pPr>
      <w:rPr>
        <w:rFonts w:ascii="Times New Roman" w:hAnsi="Times New Roman" w:cs="Times New Roman" w:hint="default"/>
        <w:b/>
        <w:i/>
        <w:sz w:val="24"/>
        <w:szCs w:val="24"/>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F2F7791"/>
    <w:multiLevelType w:val="hybridMultilevel"/>
    <w:tmpl w:val="816224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1"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33E3906"/>
    <w:multiLevelType w:val="hybridMultilevel"/>
    <w:tmpl w:val="A11EAB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3BB68C8"/>
    <w:multiLevelType w:val="hybridMultilevel"/>
    <w:tmpl w:val="0ED69C5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4"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3056"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9513970"/>
    <w:multiLevelType w:val="hybridMultilevel"/>
    <w:tmpl w:val="770200A6"/>
    <w:lvl w:ilvl="0" w:tplc="AD96E068">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06265EF"/>
    <w:multiLevelType w:val="hybridMultilevel"/>
    <w:tmpl w:val="329292B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0CC4408"/>
    <w:multiLevelType w:val="hybridMultilevel"/>
    <w:tmpl w:val="DC067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1507BEB"/>
    <w:multiLevelType w:val="hybridMultilevel"/>
    <w:tmpl w:val="A4CEF4C2"/>
    <w:lvl w:ilvl="0" w:tplc="9E301A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36026BC"/>
    <w:multiLevelType w:val="hybridMultilevel"/>
    <w:tmpl w:val="72AA6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41" w15:restartNumberingAfterBreak="0">
    <w:nsid w:val="65496172"/>
    <w:multiLevelType w:val="hybridMultilevel"/>
    <w:tmpl w:val="61DA6F6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2" w15:restartNumberingAfterBreak="0">
    <w:nsid w:val="655669D7"/>
    <w:multiLevelType w:val="hybridMultilevel"/>
    <w:tmpl w:val="56E895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6B15853"/>
    <w:multiLevelType w:val="hybridMultilevel"/>
    <w:tmpl w:val="B9EADDC0"/>
    <w:lvl w:ilvl="0" w:tplc="65C6EF3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A5474CA"/>
    <w:multiLevelType w:val="hybridMultilevel"/>
    <w:tmpl w:val="C6CE4754"/>
    <w:lvl w:ilvl="0" w:tplc="33DAC180">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5"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E5A5479"/>
    <w:multiLevelType w:val="hybridMultilevel"/>
    <w:tmpl w:val="A91AE46E"/>
    <w:lvl w:ilvl="0" w:tplc="04260011">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8" w15:restartNumberingAfterBreak="0">
    <w:nsid w:val="710464CD"/>
    <w:multiLevelType w:val="hybridMultilevel"/>
    <w:tmpl w:val="56206500"/>
    <w:lvl w:ilvl="0" w:tplc="BAD65208">
      <w:start w:val="1"/>
      <w:numFmt w:val="decimal"/>
      <w:lvlText w:val="%1)"/>
      <w:lvlJc w:val="left"/>
      <w:pPr>
        <w:ind w:left="732" w:hanging="360"/>
      </w:pPr>
      <w:rPr>
        <w:rFonts w:hint="default"/>
      </w:rPr>
    </w:lvl>
    <w:lvl w:ilvl="1" w:tplc="04260019" w:tentative="1">
      <w:start w:val="1"/>
      <w:numFmt w:val="lowerLetter"/>
      <w:lvlText w:val="%2."/>
      <w:lvlJc w:val="left"/>
      <w:pPr>
        <w:ind w:left="1452" w:hanging="360"/>
      </w:pPr>
    </w:lvl>
    <w:lvl w:ilvl="2" w:tplc="0426001B" w:tentative="1">
      <w:start w:val="1"/>
      <w:numFmt w:val="lowerRoman"/>
      <w:lvlText w:val="%3."/>
      <w:lvlJc w:val="right"/>
      <w:pPr>
        <w:ind w:left="2172" w:hanging="180"/>
      </w:pPr>
    </w:lvl>
    <w:lvl w:ilvl="3" w:tplc="0426000F" w:tentative="1">
      <w:start w:val="1"/>
      <w:numFmt w:val="decimal"/>
      <w:lvlText w:val="%4."/>
      <w:lvlJc w:val="left"/>
      <w:pPr>
        <w:ind w:left="2892" w:hanging="360"/>
      </w:pPr>
    </w:lvl>
    <w:lvl w:ilvl="4" w:tplc="04260019" w:tentative="1">
      <w:start w:val="1"/>
      <w:numFmt w:val="lowerLetter"/>
      <w:lvlText w:val="%5."/>
      <w:lvlJc w:val="left"/>
      <w:pPr>
        <w:ind w:left="3612" w:hanging="360"/>
      </w:pPr>
    </w:lvl>
    <w:lvl w:ilvl="5" w:tplc="0426001B" w:tentative="1">
      <w:start w:val="1"/>
      <w:numFmt w:val="lowerRoman"/>
      <w:lvlText w:val="%6."/>
      <w:lvlJc w:val="right"/>
      <w:pPr>
        <w:ind w:left="4332" w:hanging="180"/>
      </w:pPr>
    </w:lvl>
    <w:lvl w:ilvl="6" w:tplc="0426000F" w:tentative="1">
      <w:start w:val="1"/>
      <w:numFmt w:val="decimal"/>
      <w:lvlText w:val="%7."/>
      <w:lvlJc w:val="left"/>
      <w:pPr>
        <w:ind w:left="5052" w:hanging="360"/>
      </w:pPr>
    </w:lvl>
    <w:lvl w:ilvl="7" w:tplc="04260019" w:tentative="1">
      <w:start w:val="1"/>
      <w:numFmt w:val="lowerLetter"/>
      <w:lvlText w:val="%8."/>
      <w:lvlJc w:val="left"/>
      <w:pPr>
        <w:ind w:left="5772" w:hanging="360"/>
      </w:pPr>
    </w:lvl>
    <w:lvl w:ilvl="8" w:tplc="0426001B" w:tentative="1">
      <w:start w:val="1"/>
      <w:numFmt w:val="lowerRoman"/>
      <w:lvlText w:val="%9."/>
      <w:lvlJc w:val="right"/>
      <w:pPr>
        <w:ind w:left="6492" w:hanging="180"/>
      </w:pPr>
    </w:lvl>
  </w:abstractNum>
  <w:abstractNum w:abstractNumId="49" w15:restartNumberingAfterBreak="0">
    <w:nsid w:val="75B617A8"/>
    <w:multiLevelType w:val="hybridMultilevel"/>
    <w:tmpl w:val="FB487BEA"/>
    <w:lvl w:ilvl="0" w:tplc="45FAE8A0">
      <w:start w:val="2015"/>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0" w15:restartNumberingAfterBreak="0">
    <w:nsid w:val="766266BE"/>
    <w:multiLevelType w:val="hybridMultilevel"/>
    <w:tmpl w:val="E154F6C2"/>
    <w:lvl w:ilvl="0" w:tplc="22EACA3E">
      <w:start w:val="30"/>
      <w:numFmt w:val="bullet"/>
      <w:lvlText w:val="-"/>
      <w:lvlJc w:val="left"/>
      <w:pPr>
        <w:ind w:left="720" w:hanging="360"/>
      </w:pPr>
      <w:rPr>
        <w:rFonts w:ascii="Times New Roman" w:eastAsia="Times New Roman" w:hAnsi="Times New Roman" w:cs="Times New Roman"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A1F5183"/>
    <w:multiLevelType w:val="hybridMultilevel"/>
    <w:tmpl w:val="CFB86A14"/>
    <w:lvl w:ilvl="0" w:tplc="AD18E8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BB11309"/>
    <w:multiLevelType w:val="hybridMultilevel"/>
    <w:tmpl w:val="9E966C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D4F09D7"/>
    <w:multiLevelType w:val="hybridMultilevel"/>
    <w:tmpl w:val="7DE4F490"/>
    <w:lvl w:ilvl="0" w:tplc="C5A0124E">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15"/>
  </w:num>
  <w:num w:numId="3">
    <w:abstractNumId w:val="51"/>
  </w:num>
  <w:num w:numId="4">
    <w:abstractNumId w:val="47"/>
  </w:num>
  <w:num w:numId="5">
    <w:abstractNumId w:val="16"/>
  </w:num>
  <w:num w:numId="6">
    <w:abstractNumId w:val="33"/>
  </w:num>
  <w:num w:numId="7">
    <w:abstractNumId w:val="24"/>
  </w:num>
  <w:num w:numId="8">
    <w:abstractNumId w:val="13"/>
  </w:num>
  <w:num w:numId="9">
    <w:abstractNumId w:val="10"/>
  </w:num>
  <w:num w:numId="10">
    <w:abstractNumId w:val="17"/>
  </w:num>
  <w:num w:numId="11">
    <w:abstractNumId w:val="25"/>
  </w:num>
  <w:num w:numId="12">
    <w:abstractNumId w:val="45"/>
  </w:num>
  <w:num w:numId="13">
    <w:abstractNumId w:val="28"/>
  </w:num>
  <w:num w:numId="14">
    <w:abstractNumId w:val="40"/>
  </w:num>
  <w:num w:numId="15">
    <w:abstractNumId w:val="5"/>
  </w:num>
  <w:num w:numId="16">
    <w:abstractNumId w:val="54"/>
  </w:num>
  <w:num w:numId="17">
    <w:abstractNumId w:val="9"/>
  </w:num>
  <w:num w:numId="18">
    <w:abstractNumId w:val="36"/>
  </w:num>
  <w:num w:numId="19">
    <w:abstractNumId w:val="31"/>
  </w:num>
  <w:num w:numId="20">
    <w:abstractNumId w:val="27"/>
  </w:num>
  <w:num w:numId="21">
    <w:abstractNumId w:val="30"/>
  </w:num>
  <w:num w:numId="22">
    <w:abstractNumId w:val="41"/>
  </w:num>
  <w:num w:numId="23">
    <w:abstractNumId w:val="37"/>
  </w:num>
  <w:num w:numId="24">
    <w:abstractNumId w:val="39"/>
  </w:num>
  <w:num w:numId="25">
    <w:abstractNumId w:val="34"/>
  </w:num>
  <w:num w:numId="26">
    <w:abstractNumId w:val="42"/>
  </w:num>
  <w:num w:numId="27">
    <w:abstractNumId w:val="22"/>
  </w:num>
  <w:num w:numId="28">
    <w:abstractNumId w:val="7"/>
  </w:num>
  <w:num w:numId="29">
    <w:abstractNumId w:val="49"/>
  </w:num>
  <w:num w:numId="30">
    <w:abstractNumId w:val="32"/>
  </w:num>
  <w:num w:numId="31">
    <w:abstractNumId w:val="18"/>
  </w:num>
  <w:num w:numId="32">
    <w:abstractNumId w:val="35"/>
  </w:num>
  <w:num w:numId="33">
    <w:abstractNumId w:val="19"/>
  </w:num>
  <w:num w:numId="34">
    <w:abstractNumId w:val="0"/>
  </w:num>
  <w:num w:numId="35">
    <w:abstractNumId w:val="53"/>
  </w:num>
  <w:num w:numId="36">
    <w:abstractNumId w:val="1"/>
  </w:num>
  <w:num w:numId="37">
    <w:abstractNumId w:val="43"/>
  </w:num>
  <w:num w:numId="38">
    <w:abstractNumId w:val="52"/>
  </w:num>
  <w:num w:numId="39">
    <w:abstractNumId w:val="14"/>
  </w:num>
  <w:num w:numId="40">
    <w:abstractNumId w:val="23"/>
  </w:num>
  <w:num w:numId="41">
    <w:abstractNumId w:val="29"/>
  </w:num>
  <w:num w:numId="42">
    <w:abstractNumId w:val="11"/>
  </w:num>
  <w:num w:numId="43">
    <w:abstractNumId w:val="44"/>
  </w:num>
  <w:num w:numId="44">
    <w:abstractNumId w:val="2"/>
  </w:num>
  <w:num w:numId="45">
    <w:abstractNumId w:val="48"/>
  </w:num>
  <w:num w:numId="46">
    <w:abstractNumId w:val="4"/>
  </w:num>
  <w:num w:numId="47">
    <w:abstractNumId w:val="26"/>
  </w:num>
  <w:num w:numId="48">
    <w:abstractNumId w:val="12"/>
  </w:num>
  <w:num w:numId="49">
    <w:abstractNumId w:val="46"/>
  </w:num>
  <w:num w:numId="50">
    <w:abstractNumId w:val="38"/>
  </w:num>
  <w:num w:numId="51">
    <w:abstractNumId w:val="8"/>
  </w:num>
  <w:num w:numId="52">
    <w:abstractNumId w:val="6"/>
  </w:num>
  <w:num w:numId="53">
    <w:abstractNumId w:val="50"/>
  </w:num>
  <w:num w:numId="54">
    <w:abstractNumId w:val="21"/>
  </w:num>
  <w:num w:numId="55">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8D"/>
    <w:rsid w:val="00000628"/>
    <w:rsid w:val="00000A3B"/>
    <w:rsid w:val="0000172D"/>
    <w:rsid w:val="00002171"/>
    <w:rsid w:val="0000254C"/>
    <w:rsid w:val="00002E0E"/>
    <w:rsid w:val="00003A26"/>
    <w:rsid w:val="000054C8"/>
    <w:rsid w:val="00005E1F"/>
    <w:rsid w:val="000069F6"/>
    <w:rsid w:val="00006CDD"/>
    <w:rsid w:val="000070AB"/>
    <w:rsid w:val="00010130"/>
    <w:rsid w:val="0001036C"/>
    <w:rsid w:val="00010489"/>
    <w:rsid w:val="00010917"/>
    <w:rsid w:val="00010D44"/>
    <w:rsid w:val="0001104C"/>
    <w:rsid w:val="00011529"/>
    <w:rsid w:val="00011F50"/>
    <w:rsid w:val="000126CC"/>
    <w:rsid w:val="00013582"/>
    <w:rsid w:val="00013CEF"/>
    <w:rsid w:val="00014D26"/>
    <w:rsid w:val="00015B52"/>
    <w:rsid w:val="00016A4F"/>
    <w:rsid w:val="00016DB8"/>
    <w:rsid w:val="00016FFA"/>
    <w:rsid w:val="00020610"/>
    <w:rsid w:val="00021136"/>
    <w:rsid w:val="00021948"/>
    <w:rsid w:val="000226EF"/>
    <w:rsid w:val="00022716"/>
    <w:rsid w:val="00022ADB"/>
    <w:rsid w:val="00023A5E"/>
    <w:rsid w:val="000256DD"/>
    <w:rsid w:val="00025982"/>
    <w:rsid w:val="00025D9F"/>
    <w:rsid w:val="000261F2"/>
    <w:rsid w:val="0002643A"/>
    <w:rsid w:val="0002670D"/>
    <w:rsid w:val="000276C4"/>
    <w:rsid w:val="00027C48"/>
    <w:rsid w:val="00031531"/>
    <w:rsid w:val="000324F3"/>
    <w:rsid w:val="00032C84"/>
    <w:rsid w:val="00032CC9"/>
    <w:rsid w:val="00033622"/>
    <w:rsid w:val="00033962"/>
    <w:rsid w:val="00035163"/>
    <w:rsid w:val="000355AF"/>
    <w:rsid w:val="000363D2"/>
    <w:rsid w:val="00036BA5"/>
    <w:rsid w:val="000375C5"/>
    <w:rsid w:val="00037EA8"/>
    <w:rsid w:val="00041096"/>
    <w:rsid w:val="000414BC"/>
    <w:rsid w:val="00041C63"/>
    <w:rsid w:val="0004227B"/>
    <w:rsid w:val="000433F1"/>
    <w:rsid w:val="000439E5"/>
    <w:rsid w:val="00043C55"/>
    <w:rsid w:val="00043D08"/>
    <w:rsid w:val="00044740"/>
    <w:rsid w:val="0004620F"/>
    <w:rsid w:val="00046B88"/>
    <w:rsid w:val="0004745A"/>
    <w:rsid w:val="0004782E"/>
    <w:rsid w:val="00047ADE"/>
    <w:rsid w:val="00047C4D"/>
    <w:rsid w:val="000501E1"/>
    <w:rsid w:val="000503D4"/>
    <w:rsid w:val="000518A7"/>
    <w:rsid w:val="00052277"/>
    <w:rsid w:val="000528F8"/>
    <w:rsid w:val="0005308B"/>
    <w:rsid w:val="00055841"/>
    <w:rsid w:val="00056289"/>
    <w:rsid w:val="000562B0"/>
    <w:rsid w:val="00056326"/>
    <w:rsid w:val="00056E0C"/>
    <w:rsid w:val="00057D59"/>
    <w:rsid w:val="000600BF"/>
    <w:rsid w:val="00061BA5"/>
    <w:rsid w:val="00062143"/>
    <w:rsid w:val="000624F1"/>
    <w:rsid w:val="000643D4"/>
    <w:rsid w:val="000644D7"/>
    <w:rsid w:val="000648AC"/>
    <w:rsid w:val="00064C5E"/>
    <w:rsid w:val="0006611D"/>
    <w:rsid w:val="000663AF"/>
    <w:rsid w:val="000671DF"/>
    <w:rsid w:val="000706BF"/>
    <w:rsid w:val="00070927"/>
    <w:rsid w:val="000715EF"/>
    <w:rsid w:val="00072303"/>
    <w:rsid w:val="00072623"/>
    <w:rsid w:val="00074692"/>
    <w:rsid w:val="00075707"/>
    <w:rsid w:val="00076AD3"/>
    <w:rsid w:val="00077C5B"/>
    <w:rsid w:val="00077EF0"/>
    <w:rsid w:val="000805C2"/>
    <w:rsid w:val="00080875"/>
    <w:rsid w:val="00080F7E"/>
    <w:rsid w:val="00081113"/>
    <w:rsid w:val="000816E5"/>
    <w:rsid w:val="000817DA"/>
    <w:rsid w:val="000821D2"/>
    <w:rsid w:val="00083A4D"/>
    <w:rsid w:val="00083ECF"/>
    <w:rsid w:val="00084A32"/>
    <w:rsid w:val="00085257"/>
    <w:rsid w:val="00085C7A"/>
    <w:rsid w:val="0008752E"/>
    <w:rsid w:val="0009001A"/>
    <w:rsid w:val="00091649"/>
    <w:rsid w:val="0009178C"/>
    <w:rsid w:val="0009201C"/>
    <w:rsid w:val="00092145"/>
    <w:rsid w:val="00093676"/>
    <w:rsid w:val="00094212"/>
    <w:rsid w:val="0009448B"/>
    <w:rsid w:val="00094926"/>
    <w:rsid w:val="00095292"/>
    <w:rsid w:val="000952A1"/>
    <w:rsid w:val="00096395"/>
    <w:rsid w:val="0009693B"/>
    <w:rsid w:val="000A0387"/>
    <w:rsid w:val="000A03A6"/>
    <w:rsid w:val="000A2823"/>
    <w:rsid w:val="000A368F"/>
    <w:rsid w:val="000A3888"/>
    <w:rsid w:val="000A423C"/>
    <w:rsid w:val="000A4459"/>
    <w:rsid w:val="000A534A"/>
    <w:rsid w:val="000A55E1"/>
    <w:rsid w:val="000A79AB"/>
    <w:rsid w:val="000B17D9"/>
    <w:rsid w:val="000B3E3D"/>
    <w:rsid w:val="000B3E6C"/>
    <w:rsid w:val="000B46E1"/>
    <w:rsid w:val="000B4CB2"/>
    <w:rsid w:val="000B582B"/>
    <w:rsid w:val="000B5CCE"/>
    <w:rsid w:val="000B6D50"/>
    <w:rsid w:val="000B744A"/>
    <w:rsid w:val="000B74F2"/>
    <w:rsid w:val="000B7AB5"/>
    <w:rsid w:val="000C090B"/>
    <w:rsid w:val="000C09A9"/>
    <w:rsid w:val="000C0BBB"/>
    <w:rsid w:val="000C0F79"/>
    <w:rsid w:val="000C1255"/>
    <w:rsid w:val="000C3696"/>
    <w:rsid w:val="000C3763"/>
    <w:rsid w:val="000C4F50"/>
    <w:rsid w:val="000C6E81"/>
    <w:rsid w:val="000C73D6"/>
    <w:rsid w:val="000C7997"/>
    <w:rsid w:val="000C7E15"/>
    <w:rsid w:val="000D0396"/>
    <w:rsid w:val="000D0DCE"/>
    <w:rsid w:val="000D109C"/>
    <w:rsid w:val="000D1838"/>
    <w:rsid w:val="000D1EA1"/>
    <w:rsid w:val="000D2016"/>
    <w:rsid w:val="000D2C17"/>
    <w:rsid w:val="000D2E24"/>
    <w:rsid w:val="000D2FAA"/>
    <w:rsid w:val="000D34A8"/>
    <w:rsid w:val="000D3D70"/>
    <w:rsid w:val="000D4C0F"/>
    <w:rsid w:val="000D5010"/>
    <w:rsid w:val="000D51C1"/>
    <w:rsid w:val="000D5433"/>
    <w:rsid w:val="000D5611"/>
    <w:rsid w:val="000D5891"/>
    <w:rsid w:val="000D6942"/>
    <w:rsid w:val="000D6CDD"/>
    <w:rsid w:val="000D7999"/>
    <w:rsid w:val="000E120B"/>
    <w:rsid w:val="000E1E51"/>
    <w:rsid w:val="000E2161"/>
    <w:rsid w:val="000E327F"/>
    <w:rsid w:val="000E3A16"/>
    <w:rsid w:val="000E418E"/>
    <w:rsid w:val="000E43ED"/>
    <w:rsid w:val="000E5231"/>
    <w:rsid w:val="000E5BDF"/>
    <w:rsid w:val="000E63C6"/>
    <w:rsid w:val="000E6573"/>
    <w:rsid w:val="000E6952"/>
    <w:rsid w:val="000E6C41"/>
    <w:rsid w:val="000E6DCD"/>
    <w:rsid w:val="000F06A3"/>
    <w:rsid w:val="000F0C52"/>
    <w:rsid w:val="000F0E3B"/>
    <w:rsid w:val="000F14BE"/>
    <w:rsid w:val="000F1BC1"/>
    <w:rsid w:val="000F288D"/>
    <w:rsid w:val="000F2A34"/>
    <w:rsid w:val="000F2DB0"/>
    <w:rsid w:val="000F3247"/>
    <w:rsid w:val="000F4DC7"/>
    <w:rsid w:val="000F4F3B"/>
    <w:rsid w:val="000F56A7"/>
    <w:rsid w:val="000F72AE"/>
    <w:rsid w:val="000F7B86"/>
    <w:rsid w:val="001004CE"/>
    <w:rsid w:val="001008E2"/>
    <w:rsid w:val="00100ADC"/>
    <w:rsid w:val="00100D7C"/>
    <w:rsid w:val="001020FB"/>
    <w:rsid w:val="00102534"/>
    <w:rsid w:val="00102912"/>
    <w:rsid w:val="001037F8"/>
    <w:rsid w:val="00103A6C"/>
    <w:rsid w:val="00103DC5"/>
    <w:rsid w:val="00104292"/>
    <w:rsid w:val="00104E5A"/>
    <w:rsid w:val="00104E6E"/>
    <w:rsid w:val="0010529D"/>
    <w:rsid w:val="00105319"/>
    <w:rsid w:val="00106976"/>
    <w:rsid w:val="0011299A"/>
    <w:rsid w:val="00112F49"/>
    <w:rsid w:val="00113BA6"/>
    <w:rsid w:val="00115480"/>
    <w:rsid w:val="001154C6"/>
    <w:rsid w:val="0011584F"/>
    <w:rsid w:val="00115F51"/>
    <w:rsid w:val="00116C54"/>
    <w:rsid w:val="00120406"/>
    <w:rsid w:val="001206A2"/>
    <w:rsid w:val="00120A48"/>
    <w:rsid w:val="00120ACA"/>
    <w:rsid w:val="00121D4F"/>
    <w:rsid w:val="00121F0F"/>
    <w:rsid w:val="001221A7"/>
    <w:rsid w:val="001246EA"/>
    <w:rsid w:val="00124F0E"/>
    <w:rsid w:val="00125297"/>
    <w:rsid w:val="001256F7"/>
    <w:rsid w:val="00125BE7"/>
    <w:rsid w:val="001267AF"/>
    <w:rsid w:val="00126C02"/>
    <w:rsid w:val="00126F8A"/>
    <w:rsid w:val="00130B8C"/>
    <w:rsid w:val="001320BC"/>
    <w:rsid w:val="001323C1"/>
    <w:rsid w:val="001333C1"/>
    <w:rsid w:val="00133C20"/>
    <w:rsid w:val="001356F7"/>
    <w:rsid w:val="00135AC3"/>
    <w:rsid w:val="00136085"/>
    <w:rsid w:val="00136B1B"/>
    <w:rsid w:val="001404C5"/>
    <w:rsid w:val="0014071C"/>
    <w:rsid w:val="001408A3"/>
    <w:rsid w:val="001418C6"/>
    <w:rsid w:val="00141D62"/>
    <w:rsid w:val="001421E1"/>
    <w:rsid w:val="0014239A"/>
    <w:rsid w:val="001428A9"/>
    <w:rsid w:val="00142902"/>
    <w:rsid w:val="00142AEA"/>
    <w:rsid w:val="0014304D"/>
    <w:rsid w:val="00144810"/>
    <w:rsid w:val="00144BF2"/>
    <w:rsid w:val="001457B4"/>
    <w:rsid w:val="00145FE3"/>
    <w:rsid w:val="0014605B"/>
    <w:rsid w:val="00150BF6"/>
    <w:rsid w:val="001511C0"/>
    <w:rsid w:val="00152A3B"/>
    <w:rsid w:val="0015323A"/>
    <w:rsid w:val="00153AEE"/>
    <w:rsid w:val="001543CA"/>
    <w:rsid w:val="00155174"/>
    <w:rsid w:val="001556AE"/>
    <w:rsid w:val="001556FF"/>
    <w:rsid w:val="00155AA9"/>
    <w:rsid w:val="00155B68"/>
    <w:rsid w:val="00155D30"/>
    <w:rsid w:val="00156BAD"/>
    <w:rsid w:val="0015709E"/>
    <w:rsid w:val="001571DB"/>
    <w:rsid w:val="00160C06"/>
    <w:rsid w:val="00161239"/>
    <w:rsid w:val="0016179D"/>
    <w:rsid w:val="00161E68"/>
    <w:rsid w:val="00161F2B"/>
    <w:rsid w:val="0016287D"/>
    <w:rsid w:val="00162E94"/>
    <w:rsid w:val="00162EED"/>
    <w:rsid w:val="00162EF1"/>
    <w:rsid w:val="00163EB4"/>
    <w:rsid w:val="00164215"/>
    <w:rsid w:val="001658E9"/>
    <w:rsid w:val="00165DB9"/>
    <w:rsid w:val="00166B17"/>
    <w:rsid w:val="00167801"/>
    <w:rsid w:val="00167959"/>
    <w:rsid w:val="00171627"/>
    <w:rsid w:val="001724A9"/>
    <w:rsid w:val="001725AE"/>
    <w:rsid w:val="00172F58"/>
    <w:rsid w:val="001743D2"/>
    <w:rsid w:val="001750CD"/>
    <w:rsid w:val="00175162"/>
    <w:rsid w:val="00175E94"/>
    <w:rsid w:val="00176350"/>
    <w:rsid w:val="00177068"/>
    <w:rsid w:val="00177522"/>
    <w:rsid w:val="0018069C"/>
    <w:rsid w:val="00180BDE"/>
    <w:rsid w:val="001819E8"/>
    <w:rsid w:val="00182E53"/>
    <w:rsid w:val="0018465B"/>
    <w:rsid w:val="00190A21"/>
    <w:rsid w:val="001913BD"/>
    <w:rsid w:val="001934C4"/>
    <w:rsid w:val="00195D1F"/>
    <w:rsid w:val="00196226"/>
    <w:rsid w:val="0019632B"/>
    <w:rsid w:val="0019688E"/>
    <w:rsid w:val="00197606"/>
    <w:rsid w:val="001979DD"/>
    <w:rsid w:val="001A060A"/>
    <w:rsid w:val="001A08BC"/>
    <w:rsid w:val="001A2127"/>
    <w:rsid w:val="001A2DC9"/>
    <w:rsid w:val="001A3B59"/>
    <w:rsid w:val="001A40ED"/>
    <w:rsid w:val="001A478B"/>
    <w:rsid w:val="001A5627"/>
    <w:rsid w:val="001A5867"/>
    <w:rsid w:val="001A5A2B"/>
    <w:rsid w:val="001A6B23"/>
    <w:rsid w:val="001A756C"/>
    <w:rsid w:val="001A7BCB"/>
    <w:rsid w:val="001B05A3"/>
    <w:rsid w:val="001B0A1F"/>
    <w:rsid w:val="001B2391"/>
    <w:rsid w:val="001B2891"/>
    <w:rsid w:val="001B28B5"/>
    <w:rsid w:val="001B2B6D"/>
    <w:rsid w:val="001B50DE"/>
    <w:rsid w:val="001B5678"/>
    <w:rsid w:val="001B5DC0"/>
    <w:rsid w:val="001B6148"/>
    <w:rsid w:val="001B6264"/>
    <w:rsid w:val="001B688B"/>
    <w:rsid w:val="001B6D87"/>
    <w:rsid w:val="001B7CB1"/>
    <w:rsid w:val="001C1418"/>
    <w:rsid w:val="001C15B2"/>
    <w:rsid w:val="001C18E2"/>
    <w:rsid w:val="001C1AC7"/>
    <w:rsid w:val="001C346C"/>
    <w:rsid w:val="001C363B"/>
    <w:rsid w:val="001C4291"/>
    <w:rsid w:val="001C5252"/>
    <w:rsid w:val="001C53BB"/>
    <w:rsid w:val="001C64FC"/>
    <w:rsid w:val="001C6C8A"/>
    <w:rsid w:val="001C70DA"/>
    <w:rsid w:val="001C7820"/>
    <w:rsid w:val="001D0A43"/>
    <w:rsid w:val="001D2003"/>
    <w:rsid w:val="001D2B79"/>
    <w:rsid w:val="001D2BED"/>
    <w:rsid w:val="001D2C76"/>
    <w:rsid w:val="001D2F71"/>
    <w:rsid w:val="001D33B2"/>
    <w:rsid w:val="001D4894"/>
    <w:rsid w:val="001D5DA0"/>
    <w:rsid w:val="001D5FE3"/>
    <w:rsid w:val="001D623A"/>
    <w:rsid w:val="001D73DB"/>
    <w:rsid w:val="001E05C0"/>
    <w:rsid w:val="001E065F"/>
    <w:rsid w:val="001E06D5"/>
    <w:rsid w:val="001E1862"/>
    <w:rsid w:val="001E1D73"/>
    <w:rsid w:val="001E228E"/>
    <w:rsid w:val="001E27C8"/>
    <w:rsid w:val="001E3369"/>
    <w:rsid w:val="001E36CF"/>
    <w:rsid w:val="001E44A7"/>
    <w:rsid w:val="001E4E6D"/>
    <w:rsid w:val="001E5C2E"/>
    <w:rsid w:val="001E5DF4"/>
    <w:rsid w:val="001E6375"/>
    <w:rsid w:val="001F0A1D"/>
    <w:rsid w:val="001F1083"/>
    <w:rsid w:val="001F14A5"/>
    <w:rsid w:val="001F14FA"/>
    <w:rsid w:val="001F1A2B"/>
    <w:rsid w:val="001F1B20"/>
    <w:rsid w:val="001F1F35"/>
    <w:rsid w:val="001F2E31"/>
    <w:rsid w:val="001F34E6"/>
    <w:rsid w:val="001F361F"/>
    <w:rsid w:val="001F3D4C"/>
    <w:rsid w:val="001F4DB2"/>
    <w:rsid w:val="001F4DD8"/>
    <w:rsid w:val="001F5063"/>
    <w:rsid w:val="001F595C"/>
    <w:rsid w:val="001F65F3"/>
    <w:rsid w:val="001F73BA"/>
    <w:rsid w:val="001F7BE6"/>
    <w:rsid w:val="0020001C"/>
    <w:rsid w:val="0020004B"/>
    <w:rsid w:val="002003F2"/>
    <w:rsid w:val="00202DA4"/>
    <w:rsid w:val="002030DB"/>
    <w:rsid w:val="0020342E"/>
    <w:rsid w:val="0020440A"/>
    <w:rsid w:val="00205C33"/>
    <w:rsid w:val="002062E4"/>
    <w:rsid w:val="00206342"/>
    <w:rsid w:val="00206722"/>
    <w:rsid w:val="00207072"/>
    <w:rsid w:val="00207B52"/>
    <w:rsid w:val="002116BD"/>
    <w:rsid w:val="00212218"/>
    <w:rsid w:val="0021286C"/>
    <w:rsid w:val="00213149"/>
    <w:rsid w:val="00214A06"/>
    <w:rsid w:val="00214F0B"/>
    <w:rsid w:val="00215194"/>
    <w:rsid w:val="00215235"/>
    <w:rsid w:val="00215ED7"/>
    <w:rsid w:val="002166CC"/>
    <w:rsid w:val="00216843"/>
    <w:rsid w:val="0021747A"/>
    <w:rsid w:val="00220078"/>
    <w:rsid w:val="002202EA"/>
    <w:rsid w:val="0022159B"/>
    <w:rsid w:val="00221CCE"/>
    <w:rsid w:val="00222172"/>
    <w:rsid w:val="00222580"/>
    <w:rsid w:val="00222C27"/>
    <w:rsid w:val="0022338C"/>
    <w:rsid w:val="0022567B"/>
    <w:rsid w:val="002305A8"/>
    <w:rsid w:val="00230DC6"/>
    <w:rsid w:val="00232B52"/>
    <w:rsid w:val="00232BD8"/>
    <w:rsid w:val="00233ACD"/>
    <w:rsid w:val="00234304"/>
    <w:rsid w:val="00234F2B"/>
    <w:rsid w:val="00235496"/>
    <w:rsid w:val="002363B4"/>
    <w:rsid w:val="00237EFC"/>
    <w:rsid w:val="00240657"/>
    <w:rsid w:val="00240959"/>
    <w:rsid w:val="002413A6"/>
    <w:rsid w:val="00241E63"/>
    <w:rsid w:val="002421F8"/>
    <w:rsid w:val="00242936"/>
    <w:rsid w:val="0024330A"/>
    <w:rsid w:val="002438C8"/>
    <w:rsid w:val="00244398"/>
    <w:rsid w:val="002448C3"/>
    <w:rsid w:val="00244C4C"/>
    <w:rsid w:val="00245E8E"/>
    <w:rsid w:val="002463FA"/>
    <w:rsid w:val="0024658B"/>
    <w:rsid w:val="00246F31"/>
    <w:rsid w:val="00250B85"/>
    <w:rsid w:val="002524B8"/>
    <w:rsid w:val="00252E74"/>
    <w:rsid w:val="002539BA"/>
    <w:rsid w:val="00253B3F"/>
    <w:rsid w:val="00253F70"/>
    <w:rsid w:val="00254323"/>
    <w:rsid w:val="00254409"/>
    <w:rsid w:val="0025451F"/>
    <w:rsid w:val="00254A20"/>
    <w:rsid w:val="00254CDC"/>
    <w:rsid w:val="00255E6A"/>
    <w:rsid w:val="00255FEF"/>
    <w:rsid w:val="002573FC"/>
    <w:rsid w:val="00261A6E"/>
    <w:rsid w:val="00261D6D"/>
    <w:rsid w:val="00261ED1"/>
    <w:rsid w:val="002620C6"/>
    <w:rsid w:val="002636FC"/>
    <w:rsid w:val="00265208"/>
    <w:rsid w:val="002668BD"/>
    <w:rsid w:val="002673AF"/>
    <w:rsid w:val="00267907"/>
    <w:rsid w:val="00267ADB"/>
    <w:rsid w:val="002703C7"/>
    <w:rsid w:val="00271EB3"/>
    <w:rsid w:val="0027234B"/>
    <w:rsid w:val="0027270B"/>
    <w:rsid w:val="002732E7"/>
    <w:rsid w:val="00273339"/>
    <w:rsid w:val="002737E1"/>
    <w:rsid w:val="0027380B"/>
    <w:rsid w:val="00273F81"/>
    <w:rsid w:val="00274C7A"/>
    <w:rsid w:val="00275FF8"/>
    <w:rsid w:val="002762A5"/>
    <w:rsid w:val="00277ACD"/>
    <w:rsid w:val="00277FBE"/>
    <w:rsid w:val="0028033F"/>
    <w:rsid w:val="00280927"/>
    <w:rsid w:val="00280F91"/>
    <w:rsid w:val="00282093"/>
    <w:rsid w:val="00282C8F"/>
    <w:rsid w:val="00282E1F"/>
    <w:rsid w:val="00283E34"/>
    <w:rsid w:val="0028403E"/>
    <w:rsid w:val="00285F34"/>
    <w:rsid w:val="00286E17"/>
    <w:rsid w:val="00287763"/>
    <w:rsid w:val="00291294"/>
    <w:rsid w:val="002915E8"/>
    <w:rsid w:val="002919D2"/>
    <w:rsid w:val="00291B3B"/>
    <w:rsid w:val="00291E5B"/>
    <w:rsid w:val="00291F16"/>
    <w:rsid w:val="002924CC"/>
    <w:rsid w:val="002924D8"/>
    <w:rsid w:val="00292856"/>
    <w:rsid w:val="00293318"/>
    <w:rsid w:val="00293548"/>
    <w:rsid w:val="0029357C"/>
    <w:rsid w:val="0029369E"/>
    <w:rsid w:val="0029375C"/>
    <w:rsid w:val="00293BE3"/>
    <w:rsid w:val="00293BEA"/>
    <w:rsid w:val="002954FE"/>
    <w:rsid w:val="00295EA4"/>
    <w:rsid w:val="00296AB3"/>
    <w:rsid w:val="00297452"/>
    <w:rsid w:val="002976ED"/>
    <w:rsid w:val="002A0CDD"/>
    <w:rsid w:val="002A15EF"/>
    <w:rsid w:val="002A1D97"/>
    <w:rsid w:val="002A37F4"/>
    <w:rsid w:val="002A3FAF"/>
    <w:rsid w:val="002A452C"/>
    <w:rsid w:val="002A4C53"/>
    <w:rsid w:val="002A5C20"/>
    <w:rsid w:val="002A7B81"/>
    <w:rsid w:val="002B30CC"/>
    <w:rsid w:val="002B4865"/>
    <w:rsid w:val="002B49EC"/>
    <w:rsid w:val="002B4A30"/>
    <w:rsid w:val="002B4D5F"/>
    <w:rsid w:val="002B52C7"/>
    <w:rsid w:val="002B5A2C"/>
    <w:rsid w:val="002B5D24"/>
    <w:rsid w:val="002B628A"/>
    <w:rsid w:val="002B6636"/>
    <w:rsid w:val="002B746F"/>
    <w:rsid w:val="002B79A1"/>
    <w:rsid w:val="002B7FC4"/>
    <w:rsid w:val="002C027E"/>
    <w:rsid w:val="002C12FA"/>
    <w:rsid w:val="002C1B10"/>
    <w:rsid w:val="002C2730"/>
    <w:rsid w:val="002C2A3D"/>
    <w:rsid w:val="002C442E"/>
    <w:rsid w:val="002C512B"/>
    <w:rsid w:val="002C52EB"/>
    <w:rsid w:val="002C5C63"/>
    <w:rsid w:val="002C6C37"/>
    <w:rsid w:val="002C70B9"/>
    <w:rsid w:val="002C752A"/>
    <w:rsid w:val="002C75AF"/>
    <w:rsid w:val="002C7B42"/>
    <w:rsid w:val="002D07C0"/>
    <w:rsid w:val="002D10F3"/>
    <w:rsid w:val="002D1242"/>
    <w:rsid w:val="002D1AAA"/>
    <w:rsid w:val="002D22D1"/>
    <w:rsid w:val="002D2420"/>
    <w:rsid w:val="002D2DC3"/>
    <w:rsid w:val="002D365A"/>
    <w:rsid w:val="002D370A"/>
    <w:rsid w:val="002D7F8E"/>
    <w:rsid w:val="002E0857"/>
    <w:rsid w:val="002E0B99"/>
    <w:rsid w:val="002E167C"/>
    <w:rsid w:val="002E1A3E"/>
    <w:rsid w:val="002E1CF9"/>
    <w:rsid w:val="002E4AC5"/>
    <w:rsid w:val="002E55A9"/>
    <w:rsid w:val="002F25E7"/>
    <w:rsid w:val="002F5954"/>
    <w:rsid w:val="002F5BDF"/>
    <w:rsid w:val="002F6865"/>
    <w:rsid w:val="002F70BC"/>
    <w:rsid w:val="002F7833"/>
    <w:rsid w:val="002F7A63"/>
    <w:rsid w:val="00301606"/>
    <w:rsid w:val="00303A7F"/>
    <w:rsid w:val="003046B0"/>
    <w:rsid w:val="00304D05"/>
    <w:rsid w:val="00305AA0"/>
    <w:rsid w:val="00305FE3"/>
    <w:rsid w:val="00306BDD"/>
    <w:rsid w:val="00306C1E"/>
    <w:rsid w:val="00310D41"/>
    <w:rsid w:val="003112BD"/>
    <w:rsid w:val="0031255F"/>
    <w:rsid w:val="0031340F"/>
    <w:rsid w:val="003134F0"/>
    <w:rsid w:val="0031353A"/>
    <w:rsid w:val="003143DF"/>
    <w:rsid w:val="00314552"/>
    <w:rsid w:val="00315B99"/>
    <w:rsid w:val="00320DEC"/>
    <w:rsid w:val="0032152A"/>
    <w:rsid w:val="00321DCC"/>
    <w:rsid w:val="00322373"/>
    <w:rsid w:val="00322AB4"/>
    <w:rsid w:val="00323828"/>
    <w:rsid w:val="00323B3C"/>
    <w:rsid w:val="00324557"/>
    <w:rsid w:val="00324DE2"/>
    <w:rsid w:val="003251E1"/>
    <w:rsid w:val="003258F1"/>
    <w:rsid w:val="00325C75"/>
    <w:rsid w:val="00326A33"/>
    <w:rsid w:val="00326FA6"/>
    <w:rsid w:val="0032708F"/>
    <w:rsid w:val="00330635"/>
    <w:rsid w:val="00330C43"/>
    <w:rsid w:val="00330D4D"/>
    <w:rsid w:val="00331189"/>
    <w:rsid w:val="00332436"/>
    <w:rsid w:val="00332951"/>
    <w:rsid w:val="0033321E"/>
    <w:rsid w:val="003344F6"/>
    <w:rsid w:val="0033488F"/>
    <w:rsid w:val="00334AA3"/>
    <w:rsid w:val="00334B92"/>
    <w:rsid w:val="00337DBF"/>
    <w:rsid w:val="00340257"/>
    <w:rsid w:val="00340A6F"/>
    <w:rsid w:val="003411DC"/>
    <w:rsid w:val="0034162F"/>
    <w:rsid w:val="003422F9"/>
    <w:rsid w:val="00342E1B"/>
    <w:rsid w:val="00343C7B"/>
    <w:rsid w:val="00343F53"/>
    <w:rsid w:val="00344178"/>
    <w:rsid w:val="00345AC5"/>
    <w:rsid w:val="00347231"/>
    <w:rsid w:val="0034786E"/>
    <w:rsid w:val="00347AA0"/>
    <w:rsid w:val="0035093B"/>
    <w:rsid w:val="00350CB0"/>
    <w:rsid w:val="003524E8"/>
    <w:rsid w:val="0035362C"/>
    <w:rsid w:val="003577C7"/>
    <w:rsid w:val="00360258"/>
    <w:rsid w:val="00360CDE"/>
    <w:rsid w:val="00360F61"/>
    <w:rsid w:val="00362B4E"/>
    <w:rsid w:val="00362FEC"/>
    <w:rsid w:val="00364D8C"/>
    <w:rsid w:val="0036504D"/>
    <w:rsid w:val="00365127"/>
    <w:rsid w:val="0036594C"/>
    <w:rsid w:val="00366D85"/>
    <w:rsid w:val="0036786A"/>
    <w:rsid w:val="00370544"/>
    <w:rsid w:val="00373A5D"/>
    <w:rsid w:val="003743B1"/>
    <w:rsid w:val="0037545A"/>
    <w:rsid w:val="00376A77"/>
    <w:rsid w:val="003805E5"/>
    <w:rsid w:val="00382FE8"/>
    <w:rsid w:val="003838CA"/>
    <w:rsid w:val="00383ADE"/>
    <w:rsid w:val="0038424B"/>
    <w:rsid w:val="00384F30"/>
    <w:rsid w:val="003852F7"/>
    <w:rsid w:val="0038574C"/>
    <w:rsid w:val="00385C2A"/>
    <w:rsid w:val="00385DEB"/>
    <w:rsid w:val="00386863"/>
    <w:rsid w:val="003903A8"/>
    <w:rsid w:val="003908DB"/>
    <w:rsid w:val="003924B6"/>
    <w:rsid w:val="0039273B"/>
    <w:rsid w:val="00392B49"/>
    <w:rsid w:val="00392E82"/>
    <w:rsid w:val="003933E9"/>
    <w:rsid w:val="00393449"/>
    <w:rsid w:val="00393472"/>
    <w:rsid w:val="003934B8"/>
    <w:rsid w:val="00393D05"/>
    <w:rsid w:val="003942BF"/>
    <w:rsid w:val="003944A8"/>
    <w:rsid w:val="003949D4"/>
    <w:rsid w:val="00394C33"/>
    <w:rsid w:val="00396124"/>
    <w:rsid w:val="0039687D"/>
    <w:rsid w:val="003969CE"/>
    <w:rsid w:val="00396CCF"/>
    <w:rsid w:val="0039762C"/>
    <w:rsid w:val="003A0C47"/>
    <w:rsid w:val="003A2154"/>
    <w:rsid w:val="003A2A13"/>
    <w:rsid w:val="003A3816"/>
    <w:rsid w:val="003A4AC8"/>
    <w:rsid w:val="003A6127"/>
    <w:rsid w:val="003A6AB4"/>
    <w:rsid w:val="003A778C"/>
    <w:rsid w:val="003B0640"/>
    <w:rsid w:val="003B0FF1"/>
    <w:rsid w:val="003B31CD"/>
    <w:rsid w:val="003B39A6"/>
    <w:rsid w:val="003B3D94"/>
    <w:rsid w:val="003B45FA"/>
    <w:rsid w:val="003B4632"/>
    <w:rsid w:val="003B5C85"/>
    <w:rsid w:val="003B601E"/>
    <w:rsid w:val="003B6492"/>
    <w:rsid w:val="003B67EF"/>
    <w:rsid w:val="003B6870"/>
    <w:rsid w:val="003B69F4"/>
    <w:rsid w:val="003B74C9"/>
    <w:rsid w:val="003B7C62"/>
    <w:rsid w:val="003C0B01"/>
    <w:rsid w:val="003C1AE6"/>
    <w:rsid w:val="003C2574"/>
    <w:rsid w:val="003C2797"/>
    <w:rsid w:val="003C27FD"/>
    <w:rsid w:val="003C2DA4"/>
    <w:rsid w:val="003C3770"/>
    <w:rsid w:val="003C39F1"/>
    <w:rsid w:val="003C4567"/>
    <w:rsid w:val="003C47F2"/>
    <w:rsid w:val="003C48E2"/>
    <w:rsid w:val="003C58BF"/>
    <w:rsid w:val="003C5BD8"/>
    <w:rsid w:val="003C5D25"/>
    <w:rsid w:val="003C6CB6"/>
    <w:rsid w:val="003C6E0F"/>
    <w:rsid w:val="003C7725"/>
    <w:rsid w:val="003C7C96"/>
    <w:rsid w:val="003D164D"/>
    <w:rsid w:val="003D2883"/>
    <w:rsid w:val="003D2917"/>
    <w:rsid w:val="003D2F02"/>
    <w:rsid w:val="003D317C"/>
    <w:rsid w:val="003D3ADD"/>
    <w:rsid w:val="003D3DC7"/>
    <w:rsid w:val="003D42F9"/>
    <w:rsid w:val="003D5485"/>
    <w:rsid w:val="003D5CDD"/>
    <w:rsid w:val="003D6B42"/>
    <w:rsid w:val="003D6DA7"/>
    <w:rsid w:val="003D6ECA"/>
    <w:rsid w:val="003D7C33"/>
    <w:rsid w:val="003E096B"/>
    <w:rsid w:val="003E1992"/>
    <w:rsid w:val="003E3AE6"/>
    <w:rsid w:val="003E3CE7"/>
    <w:rsid w:val="003E4701"/>
    <w:rsid w:val="003E4F47"/>
    <w:rsid w:val="003E5435"/>
    <w:rsid w:val="003E5C83"/>
    <w:rsid w:val="003E62BA"/>
    <w:rsid w:val="003E73BB"/>
    <w:rsid w:val="003E755C"/>
    <w:rsid w:val="003F0705"/>
    <w:rsid w:val="003F11A0"/>
    <w:rsid w:val="003F1B8F"/>
    <w:rsid w:val="003F222E"/>
    <w:rsid w:val="003F24CB"/>
    <w:rsid w:val="003F3001"/>
    <w:rsid w:val="003F36CD"/>
    <w:rsid w:val="003F373D"/>
    <w:rsid w:val="003F3DFF"/>
    <w:rsid w:val="003F4ECE"/>
    <w:rsid w:val="003F5C65"/>
    <w:rsid w:val="003F60F0"/>
    <w:rsid w:val="00400158"/>
    <w:rsid w:val="0040028C"/>
    <w:rsid w:val="0040030D"/>
    <w:rsid w:val="0040082A"/>
    <w:rsid w:val="00400D2F"/>
    <w:rsid w:val="004011B9"/>
    <w:rsid w:val="00401FC2"/>
    <w:rsid w:val="00403014"/>
    <w:rsid w:val="004045C7"/>
    <w:rsid w:val="0040559D"/>
    <w:rsid w:val="00405B29"/>
    <w:rsid w:val="00406797"/>
    <w:rsid w:val="00407AA4"/>
    <w:rsid w:val="004110C4"/>
    <w:rsid w:val="00411B8F"/>
    <w:rsid w:val="004133B7"/>
    <w:rsid w:val="00413696"/>
    <w:rsid w:val="00414B46"/>
    <w:rsid w:val="0041545D"/>
    <w:rsid w:val="0041659D"/>
    <w:rsid w:val="00416F89"/>
    <w:rsid w:val="0041705E"/>
    <w:rsid w:val="0042049C"/>
    <w:rsid w:val="00420AB5"/>
    <w:rsid w:val="00421513"/>
    <w:rsid w:val="004227C9"/>
    <w:rsid w:val="00422D8D"/>
    <w:rsid w:val="00424D8D"/>
    <w:rsid w:val="00425B84"/>
    <w:rsid w:val="00425FF2"/>
    <w:rsid w:val="00426A4A"/>
    <w:rsid w:val="00427516"/>
    <w:rsid w:val="00427933"/>
    <w:rsid w:val="00427BE1"/>
    <w:rsid w:val="00430A36"/>
    <w:rsid w:val="00431321"/>
    <w:rsid w:val="00431C6A"/>
    <w:rsid w:val="00431F6D"/>
    <w:rsid w:val="00432E99"/>
    <w:rsid w:val="00433222"/>
    <w:rsid w:val="00433CA3"/>
    <w:rsid w:val="00435601"/>
    <w:rsid w:val="004358C2"/>
    <w:rsid w:val="004359E1"/>
    <w:rsid w:val="00435B0F"/>
    <w:rsid w:val="004365FE"/>
    <w:rsid w:val="0043792D"/>
    <w:rsid w:val="00437DB9"/>
    <w:rsid w:val="00437EB4"/>
    <w:rsid w:val="00440253"/>
    <w:rsid w:val="004405B1"/>
    <w:rsid w:val="0044125C"/>
    <w:rsid w:val="00443631"/>
    <w:rsid w:val="004437F3"/>
    <w:rsid w:val="00443837"/>
    <w:rsid w:val="00445707"/>
    <w:rsid w:val="004462A6"/>
    <w:rsid w:val="0044757A"/>
    <w:rsid w:val="004477A8"/>
    <w:rsid w:val="00447B9B"/>
    <w:rsid w:val="0045164A"/>
    <w:rsid w:val="00452232"/>
    <w:rsid w:val="00453421"/>
    <w:rsid w:val="00453898"/>
    <w:rsid w:val="0045457B"/>
    <w:rsid w:val="00454890"/>
    <w:rsid w:val="00454A09"/>
    <w:rsid w:val="0045551B"/>
    <w:rsid w:val="004565EC"/>
    <w:rsid w:val="004566DA"/>
    <w:rsid w:val="00456F68"/>
    <w:rsid w:val="00457218"/>
    <w:rsid w:val="00457912"/>
    <w:rsid w:val="004602A6"/>
    <w:rsid w:val="004603AF"/>
    <w:rsid w:val="004607B7"/>
    <w:rsid w:val="0046091D"/>
    <w:rsid w:val="00460D8E"/>
    <w:rsid w:val="00461384"/>
    <w:rsid w:val="00461648"/>
    <w:rsid w:val="004633A1"/>
    <w:rsid w:val="0046461F"/>
    <w:rsid w:val="00464EF7"/>
    <w:rsid w:val="00465744"/>
    <w:rsid w:val="00466DC2"/>
    <w:rsid w:val="0046732D"/>
    <w:rsid w:val="00467EA6"/>
    <w:rsid w:val="0047025D"/>
    <w:rsid w:val="00471474"/>
    <w:rsid w:val="00472AB6"/>
    <w:rsid w:val="00473AFD"/>
    <w:rsid w:val="00473C57"/>
    <w:rsid w:val="00474E65"/>
    <w:rsid w:val="00474FD4"/>
    <w:rsid w:val="00475999"/>
    <w:rsid w:val="00476695"/>
    <w:rsid w:val="00477249"/>
    <w:rsid w:val="004773BC"/>
    <w:rsid w:val="004803A0"/>
    <w:rsid w:val="00482751"/>
    <w:rsid w:val="00482E5C"/>
    <w:rsid w:val="00483510"/>
    <w:rsid w:val="00483994"/>
    <w:rsid w:val="00483F95"/>
    <w:rsid w:val="00484D6F"/>
    <w:rsid w:val="00485372"/>
    <w:rsid w:val="0048582F"/>
    <w:rsid w:val="00485857"/>
    <w:rsid w:val="00485CD9"/>
    <w:rsid w:val="00485E82"/>
    <w:rsid w:val="00486163"/>
    <w:rsid w:val="004867DC"/>
    <w:rsid w:val="0048755E"/>
    <w:rsid w:val="00490BC2"/>
    <w:rsid w:val="0049185C"/>
    <w:rsid w:val="0049331D"/>
    <w:rsid w:val="00493CF6"/>
    <w:rsid w:val="004943B2"/>
    <w:rsid w:val="004950F3"/>
    <w:rsid w:val="004960DD"/>
    <w:rsid w:val="00497B1B"/>
    <w:rsid w:val="004A0A47"/>
    <w:rsid w:val="004A0AA3"/>
    <w:rsid w:val="004A11A5"/>
    <w:rsid w:val="004A3D81"/>
    <w:rsid w:val="004A42D9"/>
    <w:rsid w:val="004A4EFE"/>
    <w:rsid w:val="004A53A0"/>
    <w:rsid w:val="004A570F"/>
    <w:rsid w:val="004A7255"/>
    <w:rsid w:val="004A7B5A"/>
    <w:rsid w:val="004A7FFE"/>
    <w:rsid w:val="004B0CAD"/>
    <w:rsid w:val="004B16F6"/>
    <w:rsid w:val="004B1C26"/>
    <w:rsid w:val="004B2292"/>
    <w:rsid w:val="004B385B"/>
    <w:rsid w:val="004B38D7"/>
    <w:rsid w:val="004B3BA8"/>
    <w:rsid w:val="004B41B4"/>
    <w:rsid w:val="004B4564"/>
    <w:rsid w:val="004B4BD9"/>
    <w:rsid w:val="004C047A"/>
    <w:rsid w:val="004C1386"/>
    <w:rsid w:val="004C25C3"/>
    <w:rsid w:val="004C30B5"/>
    <w:rsid w:val="004C3A3D"/>
    <w:rsid w:val="004C753C"/>
    <w:rsid w:val="004C7D56"/>
    <w:rsid w:val="004C7DDE"/>
    <w:rsid w:val="004D09D2"/>
    <w:rsid w:val="004D1042"/>
    <w:rsid w:val="004D1CDA"/>
    <w:rsid w:val="004D34A9"/>
    <w:rsid w:val="004D3626"/>
    <w:rsid w:val="004D3C11"/>
    <w:rsid w:val="004D3C8A"/>
    <w:rsid w:val="004D3D5A"/>
    <w:rsid w:val="004D430E"/>
    <w:rsid w:val="004D5770"/>
    <w:rsid w:val="004D74C1"/>
    <w:rsid w:val="004D7956"/>
    <w:rsid w:val="004E01A7"/>
    <w:rsid w:val="004E03A5"/>
    <w:rsid w:val="004E1136"/>
    <w:rsid w:val="004E2372"/>
    <w:rsid w:val="004E2585"/>
    <w:rsid w:val="004E29B5"/>
    <w:rsid w:val="004E2A2E"/>
    <w:rsid w:val="004E2F39"/>
    <w:rsid w:val="004E4568"/>
    <w:rsid w:val="004E5360"/>
    <w:rsid w:val="004E62C3"/>
    <w:rsid w:val="004E77DE"/>
    <w:rsid w:val="004F0AC4"/>
    <w:rsid w:val="004F0D07"/>
    <w:rsid w:val="004F0FB1"/>
    <w:rsid w:val="004F10F1"/>
    <w:rsid w:val="004F171B"/>
    <w:rsid w:val="004F1AEB"/>
    <w:rsid w:val="004F1BAE"/>
    <w:rsid w:val="004F1BD3"/>
    <w:rsid w:val="004F1F0C"/>
    <w:rsid w:val="004F22CB"/>
    <w:rsid w:val="004F2CCB"/>
    <w:rsid w:val="004F2E44"/>
    <w:rsid w:val="004F3089"/>
    <w:rsid w:val="004F38FE"/>
    <w:rsid w:val="004F6878"/>
    <w:rsid w:val="004F7D9F"/>
    <w:rsid w:val="004F7E6A"/>
    <w:rsid w:val="005011A8"/>
    <w:rsid w:val="00501DEA"/>
    <w:rsid w:val="00502751"/>
    <w:rsid w:val="00502855"/>
    <w:rsid w:val="0050359C"/>
    <w:rsid w:val="00503BDF"/>
    <w:rsid w:val="005042FB"/>
    <w:rsid w:val="005043A9"/>
    <w:rsid w:val="00504A53"/>
    <w:rsid w:val="00504A57"/>
    <w:rsid w:val="00504C88"/>
    <w:rsid w:val="00504DE4"/>
    <w:rsid w:val="005050DC"/>
    <w:rsid w:val="0050563A"/>
    <w:rsid w:val="0050586E"/>
    <w:rsid w:val="005065E4"/>
    <w:rsid w:val="00506F73"/>
    <w:rsid w:val="005101EB"/>
    <w:rsid w:val="00510A23"/>
    <w:rsid w:val="00512138"/>
    <w:rsid w:val="00513342"/>
    <w:rsid w:val="00513D72"/>
    <w:rsid w:val="00513EF3"/>
    <w:rsid w:val="00513FBB"/>
    <w:rsid w:val="00514837"/>
    <w:rsid w:val="00514E3B"/>
    <w:rsid w:val="00515068"/>
    <w:rsid w:val="005157D7"/>
    <w:rsid w:val="00515B13"/>
    <w:rsid w:val="00516EF2"/>
    <w:rsid w:val="00517A8F"/>
    <w:rsid w:val="00517CFE"/>
    <w:rsid w:val="0052015A"/>
    <w:rsid w:val="0052047B"/>
    <w:rsid w:val="00520703"/>
    <w:rsid w:val="005209DB"/>
    <w:rsid w:val="00520A23"/>
    <w:rsid w:val="00521703"/>
    <w:rsid w:val="00522071"/>
    <w:rsid w:val="005223A7"/>
    <w:rsid w:val="005229D7"/>
    <w:rsid w:val="005247F6"/>
    <w:rsid w:val="00524E89"/>
    <w:rsid w:val="00525B8C"/>
    <w:rsid w:val="005262F6"/>
    <w:rsid w:val="00526367"/>
    <w:rsid w:val="00526830"/>
    <w:rsid w:val="00526AB9"/>
    <w:rsid w:val="00526FD3"/>
    <w:rsid w:val="00527678"/>
    <w:rsid w:val="0053108F"/>
    <w:rsid w:val="00531FB3"/>
    <w:rsid w:val="0053265E"/>
    <w:rsid w:val="0053322A"/>
    <w:rsid w:val="005339A0"/>
    <w:rsid w:val="00533B0E"/>
    <w:rsid w:val="00535718"/>
    <w:rsid w:val="00535EB4"/>
    <w:rsid w:val="0053627B"/>
    <w:rsid w:val="005365D5"/>
    <w:rsid w:val="00536E0E"/>
    <w:rsid w:val="005370F6"/>
    <w:rsid w:val="00540260"/>
    <w:rsid w:val="00540474"/>
    <w:rsid w:val="00541C9A"/>
    <w:rsid w:val="00541FD4"/>
    <w:rsid w:val="00542902"/>
    <w:rsid w:val="00542E2B"/>
    <w:rsid w:val="00543C2C"/>
    <w:rsid w:val="00545540"/>
    <w:rsid w:val="00545601"/>
    <w:rsid w:val="00545D8D"/>
    <w:rsid w:val="00546C98"/>
    <w:rsid w:val="00547343"/>
    <w:rsid w:val="00547711"/>
    <w:rsid w:val="00551390"/>
    <w:rsid w:val="00551742"/>
    <w:rsid w:val="00552BEC"/>
    <w:rsid w:val="00552CBC"/>
    <w:rsid w:val="00554900"/>
    <w:rsid w:val="00554AB1"/>
    <w:rsid w:val="005554F5"/>
    <w:rsid w:val="00555A9D"/>
    <w:rsid w:val="00555C6A"/>
    <w:rsid w:val="00555F3E"/>
    <w:rsid w:val="0055651A"/>
    <w:rsid w:val="005576B0"/>
    <w:rsid w:val="005630EA"/>
    <w:rsid w:val="005634B7"/>
    <w:rsid w:val="00565507"/>
    <w:rsid w:val="00566497"/>
    <w:rsid w:val="0056689A"/>
    <w:rsid w:val="00566D17"/>
    <w:rsid w:val="005670FE"/>
    <w:rsid w:val="005708D1"/>
    <w:rsid w:val="00570ACC"/>
    <w:rsid w:val="00570D86"/>
    <w:rsid w:val="0057235E"/>
    <w:rsid w:val="00572523"/>
    <w:rsid w:val="00573772"/>
    <w:rsid w:val="005739B0"/>
    <w:rsid w:val="0057481D"/>
    <w:rsid w:val="005753E6"/>
    <w:rsid w:val="005757C3"/>
    <w:rsid w:val="00576865"/>
    <w:rsid w:val="005775BF"/>
    <w:rsid w:val="00580595"/>
    <w:rsid w:val="0058130D"/>
    <w:rsid w:val="00582658"/>
    <w:rsid w:val="00582E17"/>
    <w:rsid w:val="005855B0"/>
    <w:rsid w:val="0058577B"/>
    <w:rsid w:val="00586678"/>
    <w:rsid w:val="00586D51"/>
    <w:rsid w:val="005908C8"/>
    <w:rsid w:val="00590C28"/>
    <w:rsid w:val="00591A64"/>
    <w:rsid w:val="005921A0"/>
    <w:rsid w:val="005925F6"/>
    <w:rsid w:val="00592B42"/>
    <w:rsid w:val="00593014"/>
    <w:rsid w:val="005935AE"/>
    <w:rsid w:val="00593C30"/>
    <w:rsid w:val="005947E0"/>
    <w:rsid w:val="00595346"/>
    <w:rsid w:val="00596457"/>
    <w:rsid w:val="00597BD2"/>
    <w:rsid w:val="005A016F"/>
    <w:rsid w:val="005A0A03"/>
    <w:rsid w:val="005A0D79"/>
    <w:rsid w:val="005A0E62"/>
    <w:rsid w:val="005A10FB"/>
    <w:rsid w:val="005A1973"/>
    <w:rsid w:val="005A2057"/>
    <w:rsid w:val="005A3C4F"/>
    <w:rsid w:val="005A4B0F"/>
    <w:rsid w:val="005A4CA6"/>
    <w:rsid w:val="005A4F60"/>
    <w:rsid w:val="005A5474"/>
    <w:rsid w:val="005A5CA8"/>
    <w:rsid w:val="005A6A6F"/>
    <w:rsid w:val="005A6EAC"/>
    <w:rsid w:val="005B08F6"/>
    <w:rsid w:val="005B11E3"/>
    <w:rsid w:val="005B13AF"/>
    <w:rsid w:val="005B26BE"/>
    <w:rsid w:val="005B2E98"/>
    <w:rsid w:val="005B34BC"/>
    <w:rsid w:val="005B4971"/>
    <w:rsid w:val="005B4C03"/>
    <w:rsid w:val="005B582E"/>
    <w:rsid w:val="005B5E8C"/>
    <w:rsid w:val="005B66B2"/>
    <w:rsid w:val="005B702B"/>
    <w:rsid w:val="005B7A2B"/>
    <w:rsid w:val="005C009E"/>
    <w:rsid w:val="005C00A1"/>
    <w:rsid w:val="005C03CF"/>
    <w:rsid w:val="005C04AE"/>
    <w:rsid w:val="005C0957"/>
    <w:rsid w:val="005C0EAF"/>
    <w:rsid w:val="005C1C2D"/>
    <w:rsid w:val="005C2175"/>
    <w:rsid w:val="005C27B9"/>
    <w:rsid w:val="005C2DA0"/>
    <w:rsid w:val="005C341A"/>
    <w:rsid w:val="005C39E7"/>
    <w:rsid w:val="005C4503"/>
    <w:rsid w:val="005C7D6B"/>
    <w:rsid w:val="005D127A"/>
    <w:rsid w:val="005D1609"/>
    <w:rsid w:val="005D1819"/>
    <w:rsid w:val="005D1FF3"/>
    <w:rsid w:val="005D2986"/>
    <w:rsid w:val="005D4842"/>
    <w:rsid w:val="005D5A73"/>
    <w:rsid w:val="005D5C24"/>
    <w:rsid w:val="005D70B9"/>
    <w:rsid w:val="005D7C9C"/>
    <w:rsid w:val="005E0052"/>
    <w:rsid w:val="005E1356"/>
    <w:rsid w:val="005E1C73"/>
    <w:rsid w:val="005E2246"/>
    <w:rsid w:val="005E3D5A"/>
    <w:rsid w:val="005E4D67"/>
    <w:rsid w:val="005E527A"/>
    <w:rsid w:val="005E577B"/>
    <w:rsid w:val="005E5885"/>
    <w:rsid w:val="005E6398"/>
    <w:rsid w:val="005E716D"/>
    <w:rsid w:val="005E7925"/>
    <w:rsid w:val="005F07D3"/>
    <w:rsid w:val="005F0C1C"/>
    <w:rsid w:val="005F1A67"/>
    <w:rsid w:val="005F256C"/>
    <w:rsid w:val="005F3977"/>
    <w:rsid w:val="005F5523"/>
    <w:rsid w:val="005F70E0"/>
    <w:rsid w:val="005F78CF"/>
    <w:rsid w:val="0060005D"/>
    <w:rsid w:val="00601522"/>
    <w:rsid w:val="00602C7A"/>
    <w:rsid w:val="0060376D"/>
    <w:rsid w:val="00603A52"/>
    <w:rsid w:val="00603D1A"/>
    <w:rsid w:val="00604B03"/>
    <w:rsid w:val="00605F95"/>
    <w:rsid w:val="00606C20"/>
    <w:rsid w:val="00606D36"/>
    <w:rsid w:val="00607C2F"/>
    <w:rsid w:val="006100BF"/>
    <w:rsid w:val="00610A88"/>
    <w:rsid w:val="00611B84"/>
    <w:rsid w:val="00612807"/>
    <w:rsid w:val="0061329F"/>
    <w:rsid w:val="0061539D"/>
    <w:rsid w:val="006159B1"/>
    <w:rsid w:val="0061651A"/>
    <w:rsid w:val="006168D2"/>
    <w:rsid w:val="00616F47"/>
    <w:rsid w:val="00616FC8"/>
    <w:rsid w:val="00617094"/>
    <w:rsid w:val="0061743E"/>
    <w:rsid w:val="00617645"/>
    <w:rsid w:val="006177B3"/>
    <w:rsid w:val="00617C20"/>
    <w:rsid w:val="006203D0"/>
    <w:rsid w:val="00621AB0"/>
    <w:rsid w:val="006222A8"/>
    <w:rsid w:val="00622A8E"/>
    <w:rsid w:val="00623398"/>
    <w:rsid w:val="00624D78"/>
    <w:rsid w:val="00630B3B"/>
    <w:rsid w:val="00630FA5"/>
    <w:rsid w:val="006310E2"/>
    <w:rsid w:val="00631240"/>
    <w:rsid w:val="0063145B"/>
    <w:rsid w:val="00631534"/>
    <w:rsid w:val="00631FB8"/>
    <w:rsid w:val="006325D3"/>
    <w:rsid w:val="00632612"/>
    <w:rsid w:val="00633F09"/>
    <w:rsid w:val="0063453D"/>
    <w:rsid w:val="00634856"/>
    <w:rsid w:val="006354BD"/>
    <w:rsid w:val="006359DC"/>
    <w:rsid w:val="0063679F"/>
    <w:rsid w:val="00637115"/>
    <w:rsid w:val="00637945"/>
    <w:rsid w:val="00637F8C"/>
    <w:rsid w:val="0064001D"/>
    <w:rsid w:val="00640EE3"/>
    <w:rsid w:val="006411A9"/>
    <w:rsid w:val="00641F81"/>
    <w:rsid w:val="00642361"/>
    <w:rsid w:val="00642B0A"/>
    <w:rsid w:val="006441C8"/>
    <w:rsid w:val="00644742"/>
    <w:rsid w:val="00644F99"/>
    <w:rsid w:val="00645228"/>
    <w:rsid w:val="00647C54"/>
    <w:rsid w:val="00650359"/>
    <w:rsid w:val="006508CC"/>
    <w:rsid w:val="00650F99"/>
    <w:rsid w:val="006525F1"/>
    <w:rsid w:val="00652C65"/>
    <w:rsid w:val="00652E55"/>
    <w:rsid w:val="00653CC2"/>
    <w:rsid w:val="00653DE8"/>
    <w:rsid w:val="006542E4"/>
    <w:rsid w:val="00654580"/>
    <w:rsid w:val="00654F02"/>
    <w:rsid w:val="00655A09"/>
    <w:rsid w:val="00656FCD"/>
    <w:rsid w:val="00657C66"/>
    <w:rsid w:val="00660212"/>
    <w:rsid w:val="00662129"/>
    <w:rsid w:val="00662B5B"/>
    <w:rsid w:val="00662D5E"/>
    <w:rsid w:val="00663CC5"/>
    <w:rsid w:val="006654B6"/>
    <w:rsid w:val="0066607F"/>
    <w:rsid w:val="00666888"/>
    <w:rsid w:val="00666D36"/>
    <w:rsid w:val="00670718"/>
    <w:rsid w:val="00671392"/>
    <w:rsid w:val="006718EF"/>
    <w:rsid w:val="006719D2"/>
    <w:rsid w:val="00671CD8"/>
    <w:rsid w:val="00672D88"/>
    <w:rsid w:val="00674BB5"/>
    <w:rsid w:val="0067593B"/>
    <w:rsid w:val="006768B7"/>
    <w:rsid w:val="00676D30"/>
    <w:rsid w:val="006773D7"/>
    <w:rsid w:val="00677826"/>
    <w:rsid w:val="00677D07"/>
    <w:rsid w:val="006806C4"/>
    <w:rsid w:val="0068314C"/>
    <w:rsid w:val="0068454C"/>
    <w:rsid w:val="00685A93"/>
    <w:rsid w:val="006860FF"/>
    <w:rsid w:val="006866C8"/>
    <w:rsid w:val="00686744"/>
    <w:rsid w:val="00686C26"/>
    <w:rsid w:val="00687E19"/>
    <w:rsid w:val="00687FA7"/>
    <w:rsid w:val="00690170"/>
    <w:rsid w:val="0069169A"/>
    <w:rsid w:val="006918A2"/>
    <w:rsid w:val="00692584"/>
    <w:rsid w:val="00692B68"/>
    <w:rsid w:val="0069386D"/>
    <w:rsid w:val="00693999"/>
    <w:rsid w:val="00694959"/>
    <w:rsid w:val="00694A13"/>
    <w:rsid w:val="00694DC3"/>
    <w:rsid w:val="0069543C"/>
    <w:rsid w:val="006954B3"/>
    <w:rsid w:val="00696EDE"/>
    <w:rsid w:val="00697523"/>
    <w:rsid w:val="006A0793"/>
    <w:rsid w:val="006A10CA"/>
    <w:rsid w:val="006A25EB"/>
    <w:rsid w:val="006A3A6B"/>
    <w:rsid w:val="006A3BA8"/>
    <w:rsid w:val="006A48D9"/>
    <w:rsid w:val="006A4B36"/>
    <w:rsid w:val="006A4CB8"/>
    <w:rsid w:val="006A5FDF"/>
    <w:rsid w:val="006A6297"/>
    <w:rsid w:val="006A7153"/>
    <w:rsid w:val="006B13B3"/>
    <w:rsid w:val="006B2223"/>
    <w:rsid w:val="006B2982"/>
    <w:rsid w:val="006B3406"/>
    <w:rsid w:val="006B4D9B"/>
    <w:rsid w:val="006B55C3"/>
    <w:rsid w:val="006B685F"/>
    <w:rsid w:val="006B6C22"/>
    <w:rsid w:val="006B714B"/>
    <w:rsid w:val="006B7372"/>
    <w:rsid w:val="006B7DFE"/>
    <w:rsid w:val="006C08B4"/>
    <w:rsid w:val="006C3682"/>
    <w:rsid w:val="006C3EDF"/>
    <w:rsid w:val="006C451E"/>
    <w:rsid w:val="006C6368"/>
    <w:rsid w:val="006C6B4B"/>
    <w:rsid w:val="006C7116"/>
    <w:rsid w:val="006D03CA"/>
    <w:rsid w:val="006D04E8"/>
    <w:rsid w:val="006D126F"/>
    <w:rsid w:val="006D15F0"/>
    <w:rsid w:val="006D1EED"/>
    <w:rsid w:val="006D2391"/>
    <w:rsid w:val="006D2742"/>
    <w:rsid w:val="006D2DAA"/>
    <w:rsid w:val="006D4A39"/>
    <w:rsid w:val="006D4F76"/>
    <w:rsid w:val="006D5123"/>
    <w:rsid w:val="006D6FD8"/>
    <w:rsid w:val="006D7B92"/>
    <w:rsid w:val="006E02B0"/>
    <w:rsid w:val="006E0DBA"/>
    <w:rsid w:val="006E0F7D"/>
    <w:rsid w:val="006E1A40"/>
    <w:rsid w:val="006E2371"/>
    <w:rsid w:val="006E39D0"/>
    <w:rsid w:val="006E3A79"/>
    <w:rsid w:val="006E41E2"/>
    <w:rsid w:val="006E4338"/>
    <w:rsid w:val="006E47D4"/>
    <w:rsid w:val="006E4CE1"/>
    <w:rsid w:val="006E5786"/>
    <w:rsid w:val="006E654C"/>
    <w:rsid w:val="006E672C"/>
    <w:rsid w:val="006E7481"/>
    <w:rsid w:val="006E7C0D"/>
    <w:rsid w:val="006F0F9F"/>
    <w:rsid w:val="006F1EFE"/>
    <w:rsid w:val="006F2006"/>
    <w:rsid w:val="006F446E"/>
    <w:rsid w:val="006F5701"/>
    <w:rsid w:val="006F5A7D"/>
    <w:rsid w:val="006F73DF"/>
    <w:rsid w:val="007002DF"/>
    <w:rsid w:val="0070131C"/>
    <w:rsid w:val="00701815"/>
    <w:rsid w:val="00701847"/>
    <w:rsid w:val="00702183"/>
    <w:rsid w:val="00702642"/>
    <w:rsid w:val="00702E50"/>
    <w:rsid w:val="007032A7"/>
    <w:rsid w:val="00703D69"/>
    <w:rsid w:val="007045F4"/>
    <w:rsid w:val="007058CD"/>
    <w:rsid w:val="007070BD"/>
    <w:rsid w:val="0071172A"/>
    <w:rsid w:val="007117AB"/>
    <w:rsid w:val="0071204A"/>
    <w:rsid w:val="007124BC"/>
    <w:rsid w:val="0071382C"/>
    <w:rsid w:val="00713CA6"/>
    <w:rsid w:val="00715246"/>
    <w:rsid w:val="0071583D"/>
    <w:rsid w:val="00715B2A"/>
    <w:rsid w:val="007162B8"/>
    <w:rsid w:val="00716646"/>
    <w:rsid w:val="00716CB3"/>
    <w:rsid w:val="00716DF3"/>
    <w:rsid w:val="00716FBE"/>
    <w:rsid w:val="00717E52"/>
    <w:rsid w:val="007203E9"/>
    <w:rsid w:val="00723FE4"/>
    <w:rsid w:val="00724555"/>
    <w:rsid w:val="00724E9D"/>
    <w:rsid w:val="007252A5"/>
    <w:rsid w:val="0072561B"/>
    <w:rsid w:val="0072584B"/>
    <w:rsid w:val="0072589C"/>
    <w:rsid w:val="00725D61"/>
    <w:rsid w:val="00725E71"/>
    <w:rsid w:val="00727A98"/>
    <w:rsid w:val="00730DEF"/>
    <w:rsid w:val="00731140"/>
    <w:rsid w:val="00732B36"/>
    <w:rsid w:val="00733654"/>
    <w:rsid w:val="007337CC"/>
    <w:rsid w:val="00735728"/>
    <w:rsid w:val="007373D3"/>
    <w:rsid w:val="00737A0A"/>
    <w:rsid w:val="00737E7E"/>
    <w:rsid w:val="00740E0A"/>
    <w:rsid w:val="007410CF"/>
    <w:rsid w:val="00742AD0"/>
    <w:rsid w:val="00743536"/>
    <w:rsid w:val="00743680"/>
    <w:rsid w:val="0074374A"/>
    <w:rsid w:val="00743A0D"/>
    <w:rsid w:val="00743CD5"/>
    <w:rsid w:val="00744C10"/>
    <w:rsid w:val="0074525F"/>
    <w:rsid w:val="0074534E"/>
    <w:rsid w:val="0074706A"/>
    <w:rsid w:val="00747929"/>
    <w:rsid w:val="007509A3"/>
    <w:rsid w:val="0075225E"/>
    <w:rsid w:val="00752E42"/>
    <w:rsid w:val="00753FC7"/>
    <w:rsid w:val="0075439B"/>
    <w:rsid w:val="0075444B"/>
    <w:rsid w:val="007544D9"/>
    <w:rsid w:val="00754FFC"/>
    <w:rsid w:val="00755E98"/>
    <w:rsid w:val="00756366"/>
    <w:rsid w:val="007575F7"/>
    <w:rsid w:val="00760166"/>
    <w:rsid w:val="00761F89"/>
    <w:rsid w:val="007623F3"/>
    <w:rsid w:val="007626DA"/>
    <w:rsid w:val="00762BB2"/>
    <w:rsid w:val="00763A6A"/>
    <w:rsid w:val="00763E53"/>
    <w:rsid w:val="007645B3"/>
    <w:rsid w:val="007650F5"/>
    <w:rsid w:val="00765680"/>
    <w:rsid w:val="00765AAC"/>
    <w:rsid w:val="007660E1"/>
    <w:rsid w:val="00766442"/>
    <w:rsid w:val="0076670D"/>
    <w:rsid w:val="00767697"/>
    <w:rsid w:val="00767C41"/>
    <w:rsid w:val="00767EA0"/>
    <w:rsid w:val="00771694"/>
    <w:rsid w:val="00771758"/>
    <w:rsid w:val="00772626"/>
    <w:rsid w:val="00772941"/>
    <w:rsid w:val="007729DB"/>
    <w:rsid w:val="0077305F"/>
    <w:rsid w:val="00773754"/>
    <w:rsid w:val="00773A85"/>
    <w:rsid w:val="00773E94"/>
    <w:rsid w:val="00775563"/>
    <w:rsid w:val="007759EA"/>
    <w:rsid w:val="00776D89"/>
    <w:rsid w:val="0077707B"/>
    <w:rsid w:val="00777540"/>
    <w:rsid w:val="007808CD"/>
    <w:rsid w:val="00781895"/>
    <w:rsid w:val="00782C94"/>
    <w:rsid w:val="00782D98"/>
    <w:rsid w:val="0078372F"/>
    <w:rsid w:val="00783AC0"/>
    <w:rsid w:val="00784BAF"/>
    <w:rsid w:val="007854C1"/>
    <w:rsid w:val="00786AEB"/>
    <w:rsid w:val="0078726F"/>
    <w:rsid w:val="0079068A"/>
    <w:rsid w:val="00790757"/>
    <w:rsid w:val="007908D6"/>
    <w:rsid w:val="00791797"/>
    <w:rsid w:val="0079179D"/>
    <w:rsid w:val="00792757"/>
    <w:rsid w:val="00792B36"/>
    <w:rsid w:val="007939BC"/>
    <w:rsid w:val="00796848"/>
    <w:rsid w:val="00796A3B"/>
    <w:rsid w:val="0079752F"/>
    <w:rsid w:val="00797F33"/>
    <w:rsid w:val="007A1722"/>
    <w:rsid w:val="007A210F"/>
    <w:rsid w:val="007A24C6"/>
    <w:rsid w:val="007A3282"/>
    <w:rsid w:val="007A368E"/>
    <w:rsid w:val="007A3DD8"/>
    <w:rsid w:val="007A41B7"/>
    <w:rsid w:val="007A547F"/>
    <w:rsid w:val="007A6742"/>
    <w:rsid w:val="007A69F0"/>
    <w:rsid w:val="007A6D97"/>
    <w:rsid w:val="007A75E1"/>
    <w:rsid w:val="007A7CE8"/>
    <w:rsid w:val="007A7DB7"/>
    <w:rsid w:val="007B0293"/>
    <w:rsid w:val="007B04C6"/>
    <w:rsid w:val="007B06BE"/>
    <w:rsid w:val="007B08A2"/>
    <w:rsid w:val="007B29E1"/>
    <w:rsid w:val="007B3382"/>
    <w:rsid w:val="007B34BD"/>
    <w:rsid w:val="007B3EC9"/>
    <w:rsid w:val="007B48F0"/>
    <w:rsid w:val="007B4935"/>
    <w:rsid w:val="007B4B86"/>
    <w:rsid w:val="007B4F24"/>
    <w:rsid w:val="007B642D"/>
    <w:rsid w:val="007B6A8D"/>
    <w:rsid w:val="007B7025"/>
    <w:rsid w:val="007C089A"/>
    <w:rsid w:val="007C199A"/>
    <w:rsid w:val="007C20E6"/>
    <w:rsid w:val="007C281D"/>
    <w:rsid w:val="007C337A"/>
    <w:rsid w:val="007C48F8"/>
    <w:rsid w:val="007C61D1"/>
    <w:rsid w:val="007C6F56"/>
    <w:rsid w:val="007D05E1"/>
    <w:rsid w:val="007D1A9C"/>
    <w:rsid w:val="007D2880"/>
    <w:rsid w:val="007D2A5B"/>
    <w:rsid w:val="007D34E5"/>
    <w:rsid w:val="007D3894"/>
    <w:rsid w:val="007D4120"/>
    <w:rsid w:val="007D467E"/>
    <w:rsid w:val="007D491B"/>
    <w:rsid w:val="007D4A97"/>
    <w:rsid w:val="007D6540"/>
    <w:rsid w:val="007D6895"/>
    <w:rsid w:val="007D6A79"/>
    <w:rsid w:val="007D7C78"/>
    <w:rsid w:val="007E1388"/>
    <w:rsid w:val="007E19B0"/>
    <w:rsid w:val="007E220A"/>
    <w:rsid w:val="007E2C7C"/>
    <w:rsid w:val="007E2FAB"/>
    <w:rsid w:val="007E3033"/>
    <w:rsid w:val="007E3229"/>
    <w:rsid w:val="007E4850"/>
    <w:rsid w:val="007E5013"/>
    <w:rsid w:val="007E5597"/>
    <w:rsid w:val="007E6491"/>
    <w:rsid w:val="007E672C"/>
    <w:rsid w:val="007E6B8B"/>
    <w:rsid w:val="007E7116"/>
    <w:rsid w:val="007E757C"/>
    <w:rsid w:val="007E7AAD"/>
    <w:rsid w:val="007F1383"/>
    <w:rsid w:val="007F1D02"/>
    <w:rsid w:val="007F21F5"/>
    <w:rsid w:val="007F33A1"/>
    <w:rsid w:val="007F34A1"/>
    <w:rsid w:val="007F3E3C"/>
    <w:rsid w:val="007F4828"/>
    <w:rsid w:val="007F52DF"/>
    <w:rsid w:val="007F5FF8"/>
    <w:rsid w:val="007F6B79"/>
    <w:rsid w:val="007F7144"/>
    <w:rsid w:val="008001BF"/>
    <w:rsid w:val="008019F1"/>
    <w:rsid w:val="00801DE0"/>
    <w:rsid w:val="008023A3"/>
    <w:rsid w:val="008025E5"/>
    <w:rsid w:val="00802CE6"/>
    <w:rsid w:val="008032CD"/>
    <w:rsid w:val="008052BB"/>
    <w:rsid w:val="00806F09"/>
    <w:rsid w:val="00807166"/>
    <w:rsid w:val="00807DA5"/>
    <w:rsid w:val="00810B5B"/>
    <w:rsid w:val="00811FD5"/>
    <w:rsid w:val="00812350"/>
    <w:rsid w:val="0081309E"/>
    <w:rsid w:val="00815D79"/>
    <w:rsid w:val="00816075"/>
    <w:rsid w:val="008162F1"/>
    <w:rsid w:val="008172A5"/>
    <w:rsid w:val="00822172"/>
    <w:rsid w:val="008225CB"/>
    <w:rsid w:val="00824193"/>
    <w:rsid w:val="00824711"/>
    <w:rsid w:val="008258D3"/>
    <w:rsid w:val="00825D40"/>
    <w:rsid w:val="00826D3F"/>
    <w:rsid w:val="00830138"/>
    <w:rsid w:val="0083110D"/>
    <w:rsid w:val="008321AF"/>
    <w:rsid w:val="00834597"/>
    <w:rsid w:val="00834C8E"/>
    <w:rsid w:val="0083560F"/>
    <w:rsid w:val="00835FC5"/>
    <w:rsid w:val="00836D51"/>
    <w:rsid w:val="00836FAA"/>
    <w:rsid w:val="00841417"/>
    <w:rsid w:val="00841771"/>
    <w:rsid w:val="00842CF0"/>
    <w:rsid w:val="00844F61"/>
    <w:rsid w:val="00844FB7"/>
    <w:rsid w:val="00845B25"/>
    <w:rsid w:val="0084692A"/>
    <w:rsid w:val="00846A52"/>
    <w:rsid w:val="00850210"/>
    <w:rsid w:val="0085260F"/>
    <w:rsid w:val="0085338B"/>
    <w:rsid w:val="008542CA"/>
    <w:rsid w:val="00855F45"/>
    <w:rsid w:val="0085621C"/>
    <w:rsid w:val="00856D3C"/>
    <w:rsid w:val="008572C2"/>
    <w:rsid w:val="0086037D"/>
    <w:rsid w:val="00860C20"/>
    <w:rsid w:val="00860E40"/>
    <w:rsid w:val="0086136A"/>
    <w:rsid w:val="008619A0"/>
    <w:rsid w:val="00861F9D"/>
    <w:rsid w:val="0086228E"/>
    <w:rsid w:val="0086279B"/>
    <w:rsid w:val="00862D38"/>
    <w:rsid w:val="00862E1F"/>
    <w:rsid w:val="00865185"/>
    <w:rsid w:val="0086590F"/>
    <w:rsid w:val="00865990"/>
    <w:rsid w:val="0086693B"/>
    <w:rsid w:val="00866A7E"/>
    <w:rsid w:val="00866E70"/>
    <w:rsid w:val="00866FDE"/>
    <w:rsid w:val="00867400"/>
    <w:rsid w:val="00867797"/>
    <w:rsid w:val="00867B85"/>
    <w:rsid w:val="00870582"/>
    <w:rsid w:val="008708C6"/>
    <w:rsid w:val="00871DF3"/>
    <w:rsid w:val="00872696"/>
    <w:rsid w:val="00872E28"/>
    <w:rsid w:val="00873983"/>
    <w:rsid w:val="00873E50"/>
    <w:rsid w:val="0087484E"/>
    <w:rsid w:val="008749E1"/>
    <w:rsid w:val="00874C79"/>
    <w:rsid w:val="00875545"/>
    <w:rsid w:val="0087556A"/>
    <w:rsid w:val="00875F2C"/>
    <w:rsid w:val="00875FC0"/>
    <w:rsid w:val="008762EE"/>
    <w:rsid w:val="0087658C"/>
    <w:rsid w:val="00876EFD"/>
    <w:rsid w:val="008770A2"/>
    <w:rsid w:val="00880BF6"/>
    <w:rsid w:val="00880E65"/>
    <w:rsid w:val="0088203E"/>
    <w:rsid w:val="00882E49"/>
    <w:rsid w:val="00882FF6"/>
    <w:rsid w:val="008843EF"/>
    <w:rsid w:val="008849C8"/>
    <w:rsid w:val="008850E9"/>
    <w:rsid w:val="008853B0"/>
    <w:rsid w:val="00887D64"/>
    <w:rsid w:val="008908B4"/>
    <w:rsid w:val="008909C2"/>
    <w:rsid w:val="008927D4"/>
    <w:rsid w:val="00892FF9"/>
    <w:rsid w:val="00893326"/>
    <w:rsid w:val="00893512"/>
    <w:rsid w:val="00893BCA"/>
    <w:rsid w:val="00893F35"/>
    <w:rsid w:val="00893FBD"/>
    <w:rsid w:val="0089574D"/>
    <w:rsid w:val="0089638A"/>
    <w:rsid w:val="00896CFD"/>
    <w:rsid w:val="00896EEF"/>
    <w:rsid w:val="008A05DE"/>
    <w:rsid w:val="008A1DAC"/>
    <w:rsid w:val="008A28E1"/>
    <w:rsid w:val="008A34DC"/>
    <w:rsid w:val="008A3FDC"/>
    <w:rsid w:val="008A43C4"/>
    <w:rsid w:val="008A497D"/>
    <w:rsid w:val="008A4E08"/>
    <w:rsid w:val="008A639B"/>
    <w:rsid w:val="008A6430"/>
    <w:rsid w:val="008A6881"/>
    <w:rsid w:val="008B0346"/>
    <w:rsid w:val="008B037C"/>
    <w:rsid w:val="008B0C53"/>
    <w:rsid w:val="008B2080"/>
    <w:rsid w:val="008B2353"/>
    <w:rsid w:val="008B44C6"/>
    <w:rsid w:val="008B47D3"/>
    <w:rsid w:val="008B73FA"/>
    <w:rsid w:val="008C0689"/>
    <w:rsid w:val="008C099D"/>
    <w:rsid w:val="008C0A4E"/>
    <w:rsid w:val="008C0ED3"/>
    <w:rsid w:val="008C1304"/>
    <w:rsid w:val="008C2B98"/>
    <w:rsid w:val="008C3AF3"/>
    <w:rsid w:val="008C4116"/>
    <w:rsid w:val="008C474C"/>
    <w:rsid w:val="008C510E"/>
    <w:rsid w:val="008C54EA"/>
    <w:rsid w:val="008C5E94"/>
    <w:rsid w:val="008C70B0"/>
    <w:rsid w:val="008C7460"/>
    <w:rsid w:val="008C7633"/>
    <w:rsid w:val="008D06F4"/>
    <w:rsid w:val="008D0D4A"/>
    <w:rsid w:val="008D1451"/>
    <w:rsid w:val="008D3142"/>
    <w:rsid w:val="008D46C8"/>
    <w:rsid w:val="008D475E"/>
    <w:rsid w:val="008D4B84"/>
    <w:rsid w:val="008D4FBF"/>
    <w:rsid w:val="008D64C6"/>
    <w:rsid w:val="008D701B"/>
    <w:rsid w:val="008E09BF"/>
    <w:rsid w:val="008E1526"/>
    <w:rsid w:val="008E15AA"/>
    <w:rsid w:val="008E2496"/>
    <w:rsid w:val="008E2886"/>
    <w:rsid w:val="008E3879"/>
    <w:rsid w:val="008E3B04"/>
    <w:rsid w:val="008E3D30"/>
    <w:rsid w:val="008E4853"/>
    <w:rsid w:val="008E5138"/>
    <w:rsid w:val="008E52AE"/>
    <w:rsid w:val="008E53E0"/>
    <w:rsid w:val="008E5A0E"/>
    <w:rsid w:val="008E65C8"/>
    <w:rsid w:val="008E769F"/>
    <w:rsid w:val="008E7DE2"/>
    <w:rsid w:val="008F071F"/>
    <w:rsid w:val="008F1412"/>
    <w:rsid w:val="008F1432"/>
    <w:rsid w:val="008F1D55"/>
    <w:rsid w:val="008F23E8"/>
    <w:rsid w:val="008F2C35"/>
    <w:rsid w:val="008F4615"/>
    <w:rsid w:val="008F4E4A"/>
    <w:rsid w:val="008F5616"/>
    <w:rsid w:val="008F6EA9"/>
    <w:rsid w:val="008F74E6"/>
    <w:rsid w:val="00900EA0"/>
    <w:rsid w:val="00901C7C"/>
    <w:rsid w:val="00902525"/>
    <w:rsid w:val="009027B2"/>
    <w:rsid w:val="009028C9"/>
    <w:rsid w:val="0090301A"/>
    <w:rsid w:val="0090344A"/>
    <w:rsid w:val="009059D7"/>
    <w:rsid w:val="00907483"/>
    <w:rsid w:val="00907D09"/>
    <w:rsid w:val="00907F21"/>
    <w:rsid w:val="009109E4"/>
    <w:rsid w:val="00910A4C"/>
    <w:rsid w:val="00910D8B"/>
    <w:rsid w:val="00911C2F"/>
    <w:rsid w:val="00912151"/>
    <w:rsid w:val="00912532"/>
    <w:rsid w:val="0091317F"/>
    <w:rsid w:val="00913472"/>
    <w:rsid w:val="009161E7"/>
    <w:rsid w:val="0091658B"/>
    <w:rsid w:val="009179C9"/>
    <w:rsid w:val="00920513"/>
    <w:rsid w:val="00920F0A"/>
    <w:rsid w:val="0092249F"/>
    <w:rsid w:val="00922C2C"/>
    <w:rsid w:val="00923280"/>
    <w:rsid w:val="00923EDC"/>
    <w:rsid w:val="00924148"/>
    <w:rsid w:val="00925022"/>
    <w:rsid w:val="00925454"/>
    <w:rsid w:val="009254F8"/>
    <w:rsid w:val="009258D9"/>
    <w:rsid w:val="00925ACC"/>
    <w:rsid w:val="00925AF0"/>
    <w:rsid w:val="00925D6C"/>
    <w:rsid w:val="00926E23"/>
    <w:rsid w:val="0092725D"/>
    <w:rsid w:val="00927E6F"/>
    <w:rsid w:val="009313E6"/>
    <w:rsid w:val="00931AC7"/>
    <w:rsid w:val="00932DEC"/>
    <w:rsid w:val="009347A7"/>
    <w:rsid w:val="00935088"/>
    <w:rsid w:val="009363FF"/>
    <w:rsid w:val="00936600"/>
    <w:rsid w:val="00936D37"/>
    <w:rsid w:val="009378FC"/>
    <w:rsid w:val="00941F50"/>
    <w:rsid w:val="00942664"/>
    <w:rsid w:val="00944CA3"/>
    <w:rsid w:val="00945BD9"/>
    <w:rsid w:val="00946D7D"/>
    <w:rsid w:val="00946DBE"/>
    <w:rsid w:val="009470E0"/>
    <w:rsid w:val="00947CD9"/>
    <w:rsid w:val="009503AC"/>
    <w:rsid w:val="00950F08"/>
    <w:rsid w:val="0095132D"/>
    <w:rsid w:val="00951F2B"/>
    <w:rsid w:val="00952E77"/>
    <w:rsid w:val="009536E6"/>
    <w:rsid w:val="00953C2C"/>
    <w:rsid w:val="00953CB4"/>
    <w:rsid w:val="00953F60"/>
    <w:rsid w:val="00953FF7"/>
    <w:rsid w:val="00954258"/>
    <w:rsid w:val="009550BC"/>
    <w:rsid w:val="00955BF7"/>
    <w:rsid w:val="00955C0E"/>
    <w:rsid w:val="00956951"/>
    <w:rsid w:val="00956ACC"/>
    <w:rsid w:val="00956F01"/>
    <w:rsid w:val="009571C3"/>
    <w:rsid w:val="00957A2A"/>
    <w:rsid w:val="00961A25"/>
    <w:rsid w:val="00961F6D"/>
    <w:rsid w:val="009623F4"/>
    <w:rsid w:val="00965315"/>
    <w:rsid w:val="00966386"/>
    <w:rsid w:val="0096668D"/>
    <w:rsid w:val="00966768"/>
    <w:rsid w:val="009668FA"/>
    <w:rsid w:val="00966E0E"/>
    <w:rsid w:val="0096741A"/>
    <w:rsid w:val="0097068A"/>
    <w:rsid w:val="00970E38"/>
    <w:rsid w:val="00971D65"/>
    <w:rsid w:val="00972EE5"/>
    <w:rsid w:val="00973558"/>
    <w:rsid w:val="00973D50"/>
    <w:rsid w:val="00976440"/>
    <w:rsid w:val="009767C5"/>
    <w:rsid w:val="0097740C"/>
    <w:rsid w:val="009777FF"/>
    <w:rsid w:val="00980242"/>
    <w:rsid w:val="00980ABB"/>
    <w:rsid w:val="00981725"/>
    <w:rsid w:val="00981765"/>
    <w:rsid w:val="0098328D"/>
    <w:rsid w:val="00983B23"/>
    <w:rsid w:val="00983E57"/>
    <w:rsid w:val="00983EEF"/>
    <w:rsid w:val="009840ED"/>
    <w:rsid w:val="009842D1"/>
    <w:rsid w:val="00984E63"/>
    <w:rsid w:val="009850BC"/>
    <w:rsid w:val="009865D3"/>
    <w:rsid w:val="00986A57"/>
    <w:rsid w:val="009873D6"/>
    <w:rsid w:val="009905AC"/>
    <w:rsid w:val="00990C5E"/>
    <w:rsid w:val="009914B7"/>
    <w:rsid w:val="00991A63"/>
    <w:rsid w:val="00991CE7"/>
    <w:rsid w:val="00992ABE"/>
    <w:rsid w:val="00992FC7"/>
    <w:rsid w:val="00993B04"/>
    <w:rsid w:val="009946B5"/>
    <w:rsid w:val="00995EC2"/>
    <w:rsid w:val="00996FB2"/>
    <w:rsid w:val="00997A5B"/>
    <w:rsid w:val="00997CFE"/>
    <w:rsid w:val="009A059E"/>
    <w:rsid w:val="009A0899"/>
    <w:rsid w:val="009A2656"/>
    <w:rsid w:val="009A2BBA"/>
    <w:rsid w:val="009A2CFA"/>
    <w:rsid w:val="009A351B"/>
    <w:rsid w:val="009A3FDD"/>
    <w:rsid w:val="009A6031"/>
    <w:rsid w:val="009A652C"/>
    <w:rsid w:val="009A6963"/>
    <w:rsid w:val="009A6C95"/>
    <w:rsid w:val="009B037F"/>
    <w:rsid w:val="009B0444"/>
    <w:rsid w:val="009B139C"/>
    <w:rsid w:val="009B21AD"/>
    <w:rsid w:val="009B229C"/>
    <w:rsid w:val="009B259F"/>
    <w:rsid w:val="009B2679"/>
    <w:rsid w:val="009B40A6"/>
    <w:rsid w:val="009B4312"/>
    <w:rsid w:val="009B4693"/>
    <w:rsid w:val="009B52C1"/>
    <w:rsid w:val="009B59CA"/>
    <w:rsid w:val="009B7318"/>
    <w:rsid w:val="009C0CD2"/>
    <w:rsid w:val="009C0F32"/>
    <w:rsid w:val="009C1136"/>
    <w:rsid w:val="009C11AB"/>
    <w:rsid w:val="009C2F82"/>
    <w:rsid w:val="009C321E"/>
    <w:rsid w:val="009C3FEA"/>
    <w:rsid w:val="009C47EB"/>
    <w:rsid w:val="009C5E21"/>
    <w:rsid w:val="009C6150"/>
    <w:rsid w:val="009C61B9"/>
    <w:rsid w:val="009C6903"/>
    <w:rsid w:val="009C6BF2"/>
    <w:rsid w:val="009C708C"/>
    <w:rsid w:val="009C717B"/>
    <w:rsid w:val="009D0195"/>
    <w:rsid w:val="009D0470"/>
    <w:rsid w:val="009D0802"/>
    <w:rsid w:val="009D14A2"/>
    <w:rsid w:val="009D20E5"/>
    <w:rsid w:val="009D31EF"/>
    <w:rsid w:val="009D4635"/>
    <w:rsid w:val="009D5626"/>
    <w:rsid w:val="009D63FE"/>
    <w:rsid w:val="009D73F0"/>
    <w:rsid w:val="009E06E1"/>
    <w:rsid w:val="009E16AA"/>
    <w:rsid w:val="009E2DCC"/>
    <w:rsid w:val="009E4086"/>
    <w:rsid w:val="009E4632"/>
    <w:rsid w:val="009E538D"/>
    <w:rsid w:val="009E5533"/>
    <w:rsid w:val="009E6B03"/>
    <w:rsid w:val="009E6D94"/>
    <w:rsid w:val="009F1856"/>
    <w:rsid w:val="009F2175"/>
    <w:rsid w:val="009F2919"/>
    <w:rsid w:val="009F2A98"/>
    <w:rsid w:val="009F3FBA"/>
    <w:rsid w:val="009F5004"/>
    <w:rsid w:val="009F6769"/>
    <w:rsid w:val="009F6DE1"/>
    <w:rsid w:val="009F6E8C"/>
    <w:rsid w:val="009F7BA1"/>
    <w:rsid w:val="009F7BFF"/>
    <w:rsid w:val="009F7C1D"/>
    <w:rsid w:val="009F7FF6"/>
    <w:rsid w:val="00A00145"/>
    <w:rsid w:val="00A00383"/>
    <w:rsid w:val="00A011FE"/>
    <w:rsid w:val="00A019DD"/>
    <w:rsid w:val="00A03660"/>
    <w:rsid w:val="00A036CB"/>
    <w:rsid w:val="00A04194"/>
    <w:rsid w:val="00A041A8"/>
    <w:rsid w:val="00A04B88"/>
    <w:rsid w:val="00A04BA4"/>
    <w:rsid w:val="00A04BB2"/>
    <w:rsid w:val="00A05249"/>
    <w:rsid w:val="00A0651B"/>
    <w:rsid w:val="00A066C7"/>
    <w:rsid w:val="00A07492"/>
    <w:rsid w:val="00A1044A"/>
    <w:rsid w:val="00A10E1C"/>
    <w:rsid w:val="00A1147B"/>
    <w:rsid w:val="00A119C5"/>
    <w:rsid w:val="00A121F9"/>
    <w:rsid w:val="00A12878"/>
    <w:rsid w:val="00A1353F"/>
    <w:rsid w:val="00A14660"/>
    <w:rsid w:val="00A146F0"/>
    <w:rsid w:val="00A15658"/>
    <w:rsid w:val="00A15AC7"/>
    <w:rsid w:val="00A16034"/>
    <w:rsid w:val="00A17354"/>
    <w:rsid w:val="00A17EE4"/>
    <w:rsid w:val="00A21620"/>
    <w:rsid w:val="00A216A1"/>
    <w:rsid w:val="00A21EB9"/>
    <w:rsid w:val="00A23607"/>
    <w:rsid w:val="00A2423C"/>
    <w:rsid w:val="00A250E8"/>
    <w:rsid w:val="00A253BF"/>
    <w:rsid w:val="00A25732"/>
    <w:rsid w:val="00A2589E"/>
    <w:rsid w:val="00A26DA7"/>
    <w:rsid w:val="00A2712C"/>
    <w:rsid w:val="00A278FB"/>
    <w:rsid w:val="00A2797D"/>
    <w:rsid w:val="00A279D9"/>
    <w:rsid w:val="00A3026A"/>
    <w:rsid w:val="00A304F9"/>
    <w:rsid w:val="00A308F9"/>
    <w:rsid w:val="00A311FF"/>
    <w:rsid w:val="00A313E7"/>
    <w:rsid w:val="00A31A2E"/>
    <w:rsid w:val="00A33041"/>
    <w:rsid w:val="00A33047"/>
    <w:rsid w:val="00A33657"/>
    <w:rsid w:val="00A34896"/>
    <w:rsid w:val="00A40C9E"/>
    <w:rsid w:val="00A416BB"/>
    <w:rsid w:val="00A428A2"/>
    <w:rsid w:val="00A43093"/>
    <w:rsid w:val="00A435C8"/>
    <w:rsid w:val="00A43B77"/>
    <w:rsid w:val="00A43F3F"/>
    <w:rsid w:val="00A44195"/>
    <w:rsid w:val="00A45825"/>
    <w:rsid w:val="00A45F13"/>
    <w:rsid w:val="00A46A29"/>
    <w:rsid w:val="00A477DB"/>
    <w:rsid w:val="00A503F8"/>
    <w:rsid w:val="00A50676"/>
    <w:rsid w:val="00A509FE"/>
    <w:rsid w:val="00A52323"/>
    <w:rsid w:val="00A5416B"/>
    <w:rsid w:val="00A552A2"/>
    <w:rsid w:val="00A55AF9"/>
    <w:rsid w:val="00A56B1F"/>
    <w:rsid w:val="00A57491"/>
    <w:rsid w:val="00A60B4E"/>
    <w:rsid w:val="00A615E8"/>
    <w:rsid w:val="00A61866"/>
    <w:rsid w:val="00A61944"/>
    <w:rsid w:val="00A61C40"/>
    <w:rsid w:val="00A61DFF"/>
    <w:rsid w:val="00A62442"/>
    <w:rsid w:val="00A63BE8"/>
    <w:rsid w:val="00A65005"/>
    <w:rsid w:val="00A6597F"/>
    <w:rsid w:val="00A65EBE"/>
    <w:rsid w:val="00A66199"/>
    <w:rsid w:val="00A6734F"/>
    <w:rsid w:val="00A67527"/>
    <w:rsid w:val="00A70453"/>
    <w:rsid w:val="00A704EF"/>
    <w:rsid w:val="00A71A45"/>
    <w:rsid w:val="00A73D8C"/>
    <w:rsid w:val="00A73EE8"/>
    <w:rsid w:val="00A748EE"/>
    <w:rsid w:val="00A7499C"/>
    <w:rsid w:val="00A75566"/>
    <w:rsid w:val="00A76C62"/>
    <w:rsid w:val="00A7718D"/>
    <w:rsid w:val="00A775C6"/>
    <w:rsid w:val="00A807E4"/>
    <w:rsid w:val="00A810B9"/>
    <w:rsid w:val="00A81715"/>
    <w:rsid w:val="00A81BC0"/>
    <w:rsid w:val="00A82BCE"/>
    <w:rsid w:val="00A831DA"/>
    <w:rsid w:val="00A8321F"/>
    <w:rsid w:val="00A839E9"/>
    <w:rsid w:val="00A8482E"/>
    <w:rsid w:val="00A84BA5"/>
    <w:rsid w:val="00A84D91"/>
    <w:rsid w:val="00A861B4"/>
    <w:rsid w:val="00A876DA"/>
    <w:rsid w:val="00A87C09"/>
    <w:rsid w:val="00A906A4"/>
    <w:rsid w:val="00A908E0"/>
    <w:rsid w:val="00A9195A"/>
    <w:rsid w:val="00A93AAA"/>
    <w:rsid w:val="00A940F7"/>
    <w:rsid w:val="00A94303"/>
    <w:rsid w:val="00A94675"/>
    <w:rsid w:val="00A94DDE"/>
    <w:rsid w:val="00A951CE"/>
    <w:rsid w:val="00A952E2"/>
    <w:rsid w:val="00A956CF"/>
    <w:rsid w:val="00A96EF5"/>
    <w:rsid w:val="00A975EA"/>
    <w:rsid w:val="00AA0057"/>
    <w:rsid w:val="00AA0482"/>
    <w:rsid w:val="00AA1D0B"/>
    <w:rsid w:val="00AA1E9E"/>
    <w:rsid w:val="00AA34E2"/>
    <w:rsid w:val="00AA3C8F"/>
    <w:rsid w:val="00AA3C90"/>
    <w:rsid w:val="00AA4AB1"/>
    <w:rsid w:val="00AA4E8A"/>
    <w:rsid w:val="00AA53DD"/>
    <w:rsid w:val="00AA6BF3"/>
    <w:rsid w:val="00AA7959"/>
    <w:rsid w:val="00AB01BC"/>
    <w:rsid w:val="00AB03AF"/>
    <w:rsid w:val="00AB09B4"/>
    <w:rsid w:val="00AB1CB7"/>
    <w:rsid w:val="00AB2558"/>
    <w:rsid w:val="00AB3B97"/>
    <w:rsid w:val="00AB4076"/>
    <w:rsid w:val="00AB40E1"/>
    <w:rsid w:val="00AB4123"/>
    <w:rsid w:val="00AB419D"/>
    <w:rsid w:val="00AB62FC"/>
    <w:rsid w:val="00AB7760"/>
    <w:rsid w:val="00AB7C7C"/>
    <w:rsid w:val="00AC1405"/>
    <w:rsid w:val="00AC20F2"/>
    <w:rsid w:val="00AC2E05"/>
    <w:rsid w:val="00AC3C70"/>
    <w:rsid w:val="00AC4798"/>
    <w:rsid w:val="00AC4893"/>
    <w:rsid w:val="00AC5E53"/>
    <w:rsid w:val="00AC62C9"/>
    <w:rsid w:val="00AC6A00"/>
    <w:rsid w:val="00AC739B"/>
    <w:rsid w:val="00AC7507"/>
    <w:rsid w:val="00AC7A4B"/>
    <w:rsid w:val="00AD07D5"/>
    <w:rsid w:val="00AD0CFD"/>
    <w:rsid w:val="00AD1E5A"/>
    <w:rsid w:val="00AD20FE"/>
    <w:rsid w:val="00AD21F1"/>
    <w:rsid w:val="00AD2BD3"/>
    <w:rsid w:val="00AD4270"/>
    <w:rsid w:val="00AD4816"/>
    <w:rsid w:val="00AD4B0A"/>
    <w:rsid w:val="00AD5806"/>
    <w:rsid w:val="00AD59F8"/>
    <w:rsid w:val="00AD6654"/>
    <w:rsid w:val="00AD7495"/>
    <w:rsid w:val="00AD74D3"/>
    <w:rsid w:val="00AD7F47"/>
    <w:rsid w:val="00AE08E4"/>
    <w:rsid w:val="00AE09F5"/>
    <w:rsid w:val="00AE2975"/>
    <w:rsid w:val="00AE2B57"/>
    <w:rsid w:val="00AE2CDE"/>
    <w:rsid w:val="00AE31DE"/>
    <w:rsid w:val="00AE368A"/>
    <w:rsid w:val="00AE3859"/>
    <w:rsid w:val="00AE3AF5"/>
    <w:rsid w:val="00AE3BBF"/>
    <w:rsid w:val="00AE3E9C"/>
    <w:rsid w:val="00AE4369"/>
    <w:rsid w:val="00AE542A"/>
    <w:rsid w:val="00AE5D47"/>
    <w:rsid w:val="00AE5D5B"/>
    <w:rsid w:val="00AE655D"/>
    <w:rsid w:val="00AE6B86"/>
    <w:rsid w:val="00AE77FE"/>
    <w:rsid w:val="00AF0203"/>
    <w:rsid w:val="00AF17E1"/>
    <w:rsid w:val="00AF1DA1"/>
    <w:rsid w:val="00AF3C86"/>
    <w:rsid w:val="00AF429D"/>
    <w:rsid w:val="00AF4495"/>
    <w:rsid w:val="00AF49AD"/>
    <w:rsid w:val="00AF577F"/>
    <w:rsid w:val="00AF5E83"/>
    <w:rsid w:val="00AF6202"/>
    <w:rsid w:val="00AF66DD"/>
    <w:rsid w:val="00AF6E0E"/>
    <w:rsid w:val="00AF6E7B"/>
    <w:rsid w:val="00B009FE"/>
    <w:rsid w:val="00B02599"/>
    <w:rsid w:val="00B0376B"/>
    <w:rsid w:val="00B03BE9"/>
    <w:rsid w:val="00B051CF"/>
    <w:rsid w:val="00B0571A"/>
    <w:rsid w:val="00B0623F"/>
    <w:rsid w:val="00B063C8"/>
    <w:rsid w:val="00B070CA"/>
    <w:rsid w:val="00B07847"/>
    <w:rsid w:val="00B105D9"/>
    <w:rsid w:val="00B10BD7"/>
    <w:rsid w:val="00B130F7"/>
    <w:rsid w:val="00B13AD3"/>
    <w:rsid w:val="00B14079"/>
    <w:rsid w:val="00B15A5D"/>
    <w:rsid w:val="00B17BFE"/>
    <w:rsid w:val="00B20065"/>
    <w:rsid w:val="00B201C9"/>
    <w:rsid w:val="00B20394"/>
    <w:rsid w:val="00B222DF"/>
    <w:rsid w:val="00B22CFA"/>
    <w:rsid w:val="00B24512"/>
    <w:rsid w:val="00B24994"/>
    <w:rsid w:val="00B24E57"/>
    <w:rsid w:val="00B25431"/>
    <w:rsid w:val="00B25975"/>
    <w:rsid w:val="00B259AE"/>
    <w:rsid w:val="00B259E6"/>
    <w:rsid w:val="00B259F3"/>
    <w:rsid w:val="00B25DF5"/>
    <w:rsid w:val="00B25E7E"/>
    <w:rsid w:val="00B26A6D"/>
    <w:rsid w:val="00B26AF6"/>
    <w:rsid w:val="00B27919"/>
    <w:rsid w:val="00B27CDB"/>
    <w:rsid w:val="00B30577"/>
    <w:rsid w:val="00B3086C"/>
    <w:rsid w:val="00B31421"/>
    <w:rsid w:val="00B315D8"/>
    <w:rsid w:val="00B31AB6"/>
    <w:rsid w:val="00B32E32"/>
    <w:rsid w:val="00B33800"/>
    <w:rsid w:val="00B34073"/>
    <w:rsid w:val="00B360B9"/>
    <w:rsid w:val="00B360D0"/>
    <w:rsid w:val="00B36911"/>
    <w:rsid w:val="00B40964"/>
    <w:rsid w:val="00B40EF9"/>
    <w:rsid w:val="00B430D1"/>
    <w:rsid w:val="00B433B7"/>
    <w:rsid w:val="00B4453B"/>
    <w:rsid w:val="00B44CB4"/>
    <w:rsid w:val="00B44EAE"/>
    <w:rsid w:val="00B50FC7"/>
    <w:rsid w:val="00B51132"/>
    <w:rsid w:val="00B512BF"/>
    <w:rsid w:val="00B52507"/>
    <w:rsid w:val="00B52521"/>
    <w:rsid w:val="00B52842"/>
    <w:rsid w:val="00B52EAB"/>
    <w:rsid w:val="00B537F2"/>
    <w:rsid w:val="00B540FE"/>
    <w:rsid w:val="00B54274"/>
    <w:rsid w:val="00B54E8A"/>
    <w:rsid w:val="00B55107"/>
    <w:rsid w:val="00B5537F"/>
    <w:rsid w:val="00B56A70"/>
    <w:rsid w:val="00B57127"/>
    <w:rsid w:val="00B57A56"/>
    <w:rsid w:val="00B604F9"/>
    <w:rsid w:val="00B60E0C"/>
    <w:rsid w:val="00B61CD1"/>
    <w:rsid w:val="00B62AF1"/>
    <w:rsid w:val="00B62CC3"/>
    <w:rsid w:val="00B644D5"/>
    <w:rsid w:val="00B64EC4"/>
    <w:rsid w:val="00B64F85"/>
    <w:rsid w:val="00B653A4"/>
    <w:rsid w:val="00B656EB"/>
    <w:rsid w:val="00B6570A"/>
    <w:rsid w:val="00B657CA"/>
    <w:rsid w:val="00B658E2"/>
    <w:rsid w:val="00B66555"/>
    <w:rsid w:val="00B67C1F"/>
    <w:rsid w:val="00B67F84"/>
    <w:rsid w:val="00B700C4"/>
    <w:rsid w:val="00B72940"/>
    <w:rsid w:val="00B72FDA"/>
    <w:rsid w:val="00B7428A"/>
    <w:rsid w:val="00B74783"/>
    <w:rsid w:val="00B74FB6"/>
    <w:rsid w:val="00B75347"/>
    <w:rsid w:val="00B7579E"/>
    <w:rsid w:val="00B75835"/>
    <w:rsid w:val="00B75C50"/>
    <w:rsid w:val="00B75CB4"/>
    <w:rsid w:val="00B76139"/>
    <w:rsid w:val="00B76F3C"/>
    <w:rsid w:val="00B77711"/>
    <w:rsid w:val="00B77B4D"/>
    <w:rsid w:val="00B77F0E"/>
    <w:rsid w:val="00B81F07"/>
    <w:rsid w:val="00B823AB"/>
    <w:rsid w:val="00B826D8"/>
    <w:rsid w:val="00B8336D"/>
    <w:rsid w:val="00B83C91"/>
    <w:rsid w:val="00B841E0"/>
    <w:rsid w:val="00B850EA"/>
    <w:rsid w:val="00B85266"/>
    <w:rsid w:val="00B8555E"/>
    <w:rsid w:val="00B85B4F"/>
    <w:rsid w:val="00B8618F"/>
    <w:rsid w:val="00B86304"/>
    <w:rsid w:val="00B86431"/>
    <w:rsid w:val="00B86843"/>
    <w:rsid w:val="00B87ECD"/>
    <w:rsid w:val="00B91FC8"/>
    <w:rsid w:val="00B922CD"/>
    <w:rsid w:val="00B9232F"/>
    <w:rsid w:val="00B924DB"/>
    <w:rsid w:val="00B9306B"/>
    <w:rsid w:val="00B932C9"/>
    <w:rsid w:val="00B93972"/>
    <w:rsid w:val="00B94809"/>
    <w:rsid w:val="00B957AC"/>
    <w:rsid w:val="00B97065"/>
    <w:rsid w:val="00BA0050"/>
    <w:rsid w:val="00BA0937"/>
    <w:rsid w:val="00BA1673"/>
    <w:rsid w:val="00BA20AE"/>
    <w:rsid w:val="00BA38EB"/>
    <w:rsid w:val="00BA551D"/>
    <w:rsid w:val="00BA57D9"/>
    <w:rsid w:val="00BA581D"/>
    <w:rsid w:val="00BA73CD"/>
    <w:rsid w:val="00BB0240"/>
    <w:rsid w:val="00BB04C9"/>
    <w:rsid w:val="00BB0730"/>
    <w:rsid w:val="00BB0CB6"/>
    <w:rsid w:val="00BB15BF"/>
    <w:rsid w:val="00BB161D"/>
    <w:rsid w:val="00BB2692"/>
    <w:rsid w:val="00BB2CDC"/>
    <w:rsid w:val="00BB3106"/>
    <w:rsid w:val="00BB4C92"/>
    <w:rsid w:val="00BB5DCA"/>
    <w:rsid w:val="00BB5E04"/>
    <w:rsid w:val="00BB63CE"/>
    <w:rsid w:val="00BB7696"/>
    <w:rsid w:val="00BC02DC"/>
    <w:rsid w:val="00BC15BD"/>
    <w:rsid w:val="00BC1EFB"/>
    <w:rsid w:val="00BC25A0"/>
    <w:rsid w:val="00BC2B8C"/>
    <w:rsid w:val="00BC2F1E"/>
    <w:rsid w:val="00BC449A"/>
    <w:rsid w:val="00BC4BB5"/>
    <w:rsid w:val="00BC62D4"/>
    <w:rsid w:val="00BC73A3"/>
    <w:rsid w:val="00BC74AD"/>
    <w:rsid w:val="00BC75BB"/>
    <w:rsid w:val="00BC7AD1"/>
    <w:rsid w:val="00BD0612"/>
    <w:rsid w:val="00BD0DDF"/>
    <w:rsid w:val="00BD1C60"/>
    <w:rsid w:val="00BD3238"/>
    <w:rsid w:val="00BD4372"/>
    <w:rsid w:val="00BD44FE"/>
    <w:rsid w:val="00BD58F1"/>
    <w:rsid w:val="00BD5F95"/>
    <w:rsid w:val="00BD6B78"/>
    <w:rsid w:val="00BD6F0F"/>
    <w:rsid w:val="00BD76BF"/>
    <w:rsid w:val="00BE0007"/>
    <w:rsid w:val="00BE02EF"/>
    <w:rsid w:val="00BE0597"/>
    <w:rsid w:val="00BE28DE"/>
    <w:rsid w:val="00BE3160"/>
    <w:rsid w:val="00BE3AA2"/>
    <w:rsid w:val="00BE459F"/>
    <w:rsid w:val="00BE50E2"/>
    <w:rsid w:val="00BE5AEF"/>
    <w:rsid w:val="00BE63DE"/>
    <w:rsid w:val="00BE6954"/>
    <w:rsid w:val="00BE702E"/>
    <w:rsid w:val="00BF0BAD"/>
    <w:rsid w:val="00BF19AF"/>
    <w:rsid w:val="00BF27B6"/>
    <w:rsid w:val="00BF2D47"/>
    <w:rsid w:val="00BF3252"/>
    <w:rsid w:val="00BF5DDA"/>
    <w:rsid w:val="00BF60E2"/>
    <w:rsid w:val="00BF620C"/>
    <w:rsid w:val="00BF77E6"/>
    <w:rsid w:val="00BF7889"/>
    <w:rsid w:val="00C005E4"/>
    <w:rsid w:val="00C02B98"/>
    <w:rsid w:val="00C02E41"/>
    <w:rsid w:val="00C0325C"/>
    <w:rsid w:val="00C035A3"/>
    <w:rsid w:val="00C03F4B"/>
    <w:rsid w:val="00C047CE"/>
    <w:rsid w:val="00C04862"/>
    <w:rsid w:val="00C04A96"/>
    <w:rsid w:val="00C0524A"/>
    <w:rsid w:val="00C05DC1"/>
    <w:rsid w:val="00C06547"/>
    <w:rsid w:val="00C06B3B"/>
    <w:rsid w:val="00C06DC6"/>
    <w:rsid w:val="00C07A2F"/>
    <w:rsid w:val="00C10BF5"/>
    <w:rsid w:val="00C11733"/>
    <w:rsid w:val="00C122BF"/>
    <w:rsid w:val="00C123C5"/>
    <w:rsid w:val="00C12CB2"/>
    <w:rsid w:val="00C13F92"/>
    <w:rsid w:val="00C14721"/>
    <w:rsid w:val="00C160D0"/>
    <w:rsid w:val="00C16158"/>
    <w:rsid w:val="00C16982"/>
    <w:rsid w:val="00C20972"/>
    <w:rsid w:val="00C21280"/>
    <w:rsid w:val="00C21301"/>
    <w:rsid w:val="00C21984"/>
    <w:rsid w:val="00C21D54"/>
    <w:rsid w:val="00C22A2D"/>
    <w:rsid w:val="00C235A0"/>
    <w:rsid w:val="00C23DE3"/>
    <w:rsid w:val="00C23F5F"/>
    <w:rsid w:val="00C24033"/>
    <w:rsid w:val="00C24108"/>
    <w:rsid w:val="00C30FA8"/>
    <w:rsid w:val="00C314DD"/>
    <w:rsid w:val="00C31623"/>
    <w:rsid w:val="00C31912"/>
    <w:rsid w:val="00C31D99"/>
    <w:rsid w:val="00C324FA"/>
    <w:rsid w:val="00C32BFC"/>
    <w:rsid w:val="00C34400"/>
    <w:rsid w:val="00C355D8"/>
    <w:rsid w:val="00C358BE"/>
    <w:rsid w:val="00C35950"/>
    <w:rsid w:val="00C35AE7"/>
    <w:rsid w:val="00C362EB"/>
    <w:rsid w:val="00C36699"/>
    <w:rsid w:val="00C37F8E"/>
    <w:rsid w:val="00C40BFE"/>
    <w:rsid w:val="00C4256A"/>
    <w:rsid w:val="00C42606"/>
    <w:rsid w:val="00C42CC8"/>
    <w:rsid w:val="00C42D9F"/>
    <w:rsid w:val="00C43A8F"/>
    <w:rsid w:val="00C43C85"/>
    <w:rsid w:val="00C44220"/>
    <w:rsid w:val="00C4581D"/>
    <w:rsid w:val="00C4597D"/>
    <w:rsid w:val="00C45F6C"/>
    <w:rsid w:val="00C46C58"/>
    <w:rsid w:val="00C46DA0"/>
    <w:rsid w:val="00C46DB3"/>
    <w:rsid w:val="00C4727D"/>
    <w:rsid w:val="00C472ED"/>
    <w:rsid w:val="00C5098C"/>
    <w:rsid w:val="00C50BD0"/>
    <w:rsid w:val="00C50E98"/>
    <w:rsid w:val="00C51554"/>
    <w:rsid w:val="00C537E9"/>
    <w:rsid w:val="00C53FEE"/>
    <w:rsid w:val="00C561A5"/>
    <w:rsid w:val="00C56DCB"/>
    <w:rsid w:val="00C56E2B"/>
    <w:rsid w:val="00C56F2C"/>
    <w:rsid w:val="00C6029A"/>
    <w:rsid w:val="00C61083"/>
    <w:rsid w:val="00C61A59"/>
    <w:rsid w:val="00C628F5"/>
    <w:rsid w:val="00C62A3D"/>
    <w:rsid w:val="00C637BD"/>
    <w:rsid w:val="00C63CA4"/>
    <w:rsid w:val="00C64AAC"/>
    <w:rsid w:val="00C64C06"/>
    <w:rsid w:val="00C64F99"/>
    <w:rsid w:val="00C65979"/>
    <w:rsid w:val="00C66758"/>
    <w:rsid w:val="00C676FD"/>
    <w:rsid w:val="00C718C7"/>
    <w:rsid w:val="00C7250B"/>
    <w:rsid w:val="00C733AC"/>
    <w:rsid w:val="00C73DA6"/>
    <w:rsid w:val="00C748FD"/>
    <w:rsid w:val="00C75F30"/>
    <w:rsid w:val="00C8239E"/>
    <w:rsid w:val="00C8516D"/>
    <w:rsid w:val="00C8547F"/>
    <w:rsid w:val="00C86869"/>
    <w:rsid w:val="00C923C1"/>
    <w:rsid w:val="00C93500"/>
    <w:rsid w:val="00C94156"/>
    <w:rsid w:val="00C94246"/>
    <w:rsid w:val="00C94FFA"/>
    <w:rsid w:val="00C95CCF"/>
    <w:rsid w:val="00C95E93"/>
    <w:rsid w:val="00C95F14"/>
    <w:rsid w:val="00C963B3"/>
    <w:rsid w:val="00C966E5"/>
    <w:rsid w:val="00C96B69"/>
    <w:rsid w:val="00C96BF5"/>
    <w:rsid w:val="00C9748C"/>
    <w:rsid w:val="00C97DC9"/>
    <w:rsid w:val="00CA04C6"/>
    <w:rsid w:val="00CA1F44"/>
    <w:rsid w:val="00CA3433"/>
    <w:rsid w:val="00CA351E"/>
    <w:rsid w:val="00CA353B"/>
    <w:rsid w:val="00CA3691"/>
    <w:rsid w:val="00CA4EF5"/>
    <w:rsid w:val="00CA5405"/>
    <w:rsid w:val="00CA5B04"/>
    <w:rsid w:val="00CA5CF5"/>
    <w:rsid w:val="00CA641E"/>
    <w:rsid w:val="00CA6ADD"/>
    <w:rsid w:val="00CB1DA7"/>
    <w:rsid w:val="00CB344B"/>
    <w:rsid w:val="00CB4E9F"/>
    <w:rsid w:val="00CB5873"/>
    <w:rsid w:val="00CB5E7B"/>
    <w:rsid w:val="00CB6DA8"/>
    <w:rsid w:val="00CB7E10"/>
    <w:rsid w:val="00CC22C6"/>
    <w:rsid w:val="00CC2368"/>
    <w:rsid w:val="00CC2802"/>
    <w:rsid w:val="00CC2A61"/>
    <w:rsid w:val="00CC3779"/>
    <w:rsid w:val="00CC3BB9"/>
    <w:rsid w:val="00CC3CD7"/>
    <w:rsid w:val="00CC5847"/>
    <w:rsid w:val="00CC59EF"/>
    <w:rsid w:val="00CC69AB"/>
    <w:rsid w:val="00CC6AAF"/>
    <w:rsid w:val="00CD024A"/>
    <w:rsid w:val="00CD081E"/>
    <w:rsid w:val="00CD0EF5"/>
    <w:rsid w:val="00CD1348"/>
    <w:rsid w:val="00CD184E"/>
    <w:rsid w:val="00CD189A"/>
    <w:rsid w:val="00CD1CDC"/>
    <w:rsid w:val="00CD222D"/>
    <w:rsid w:val="00CD2609"/>
    <w:rsid w:val="00CD284B"/>
    <w:rsid w:val="00CD2D41"/>
    <w:rsid w:val="00CD2FF8"/>
    <w:rsid w:val="00CD34CD"/>
    <w:rsid w:val="00CD371F"/>
    <w:rsid w:val="00CD39FC"/>
    <w:rsid w:val="00CD50ED"/>
    <w:rsid w:val="00CD5D39"/>
    <w:rsid w:val="00CD6B9C"/>
    <w:rsid w:val="00CD6D1A"/>
    <w:rsid w:val="00CD7134"/>
    <w:rsid w:val="00CE0E71"/>
    <w:rsid w:val="00CE11C3"/>
    <w:rsid w:val="00CE1AF7"/>
    <w:rsid w:val="00CE26C7"/>
    <w:rsid w:val="00CE366C"/>
    <w:rsid w:val="00CE5250"/>
    <w:rsid w:val="00CE66CD"/>
    <w:rsid w:val="00CE68B2"/>
    <w:rsid w:val="00CE7C62"/>
    <w:rsid w:val="00CE7E04"/>
    <w:rsid w:val="00CF09A3"/>
    <w:rsid w:val="00CF1958"/>
    <w:rsid w:val="00CF21FE"/>
    <w:rsid w:val="00CF2793"/>
    <w:rsid w:val="00CF3404"/>
    <w:rsid w:val="00CF47A0"/>
    <w:rsid w:val="00CF52C5"/>
    <w:rsid w:val="00CF54B5"/>
    <w:rsid w:val="00CF6A56"/>
    <w:rsid w:val="00CF7CA3"/>
    <w:rsid w:val="00D00E88"/>
    <w:rsid w:val="00D02EF2"/>
    <w:rsid w:val="00D038A8"/>
    <w:rsid w:val="00D03F0C"/>
    <w:rsid w:val="00D041F1"/>
    <w:rsid w:val="00D06875"/>
    <w:rsid w:val="00D06FF9"/>
    <w:rsid w:val="00D11105"/>
    <w:rsid w:val="00D128DE"/>
    <w:rsid w:val="00D12BC1"/>
    <w:rsid w:val="00D13578"/>
    <w:rsid w:val="00D1656E"/>
    <w:rsid w:val="00D16FEA"/>
    <w:rsid w:val="00D17A04"/>
    <w:rsid w:val="00D20309"/>
    <w:rsid w:val="00D20B69"/>
    <w:rsid w:val="00D21127"/>
    <w:rsid w:val="00D2252E"/>
    <w:rsid w:val="00D22E45"/>
    <w:rsid w:val="00D23028"/>
    <w:rsid w:val="00D233DB"/>
    <w:rsid w:val="00D23EE9"/>
    <w:rsid w:val="00D253CA"/>
    <w:rsid w:val="00D25DA8"/>
    <w:rsid w:val="00D26271"/>
    <w:rsid w:val="00D27442"/>
    <w:rsid w:val="00D276CE"/>
    <w:rsid w:val="00D30519"/>
    <w:rsid w:val="00D30B83"/>
    <w:rsid w:val="00D31719"/>
    <w:rsid w:val="00D31ABC"/>
    <w:rsid w:val="00D35C19"/>
    <w:rsid w:val="00D35E2B"/>
    <w:rsid w:val="00D36607"/>
    <w:rsid w:val="00D37B9E"/>
    <w:rsid w:val="00D404FC"/>
    <w:rsid w:val="00D40D87"/>
    <w:rsid w:val="00D432B7"/>
    <w:rsid w:val="00D43562"/>
    <w:rsid w:val="00D439B2"/>
    <w:rsid w:val="00D43F8B"/>
    <w:rsid w:val="00D44275"/>
    <w:rsid w:val="00D44285"/>
    <w:rsid w:val="00D45CB4"/>
    <w:rsid w:val="00D45DDC"/>
    <w:rsid w:val="00D4602A"/>
    <w:rsid w:val="00D461B4"/>
    <w:rsid w:val="00D4637C"/>
    <w:rsid w:val="00D46FC9"/>
    <w:rsid w:val="00D50C45"/>
    <w:rsid w:val="00D51EA7"/>
    <w:rsid w:val="00D52D77"/>
    <w:rsid w:val="00D53132"/>
    <w:rsid w:val="00D54B0E"/>
    <w:rsid w:val="00D54F74"/>
    <w:rsid w:val="00D560EF"/>
    <w:rsid w:val="00D56692"/>
    <w:rsid w:val="00D56CD9"/>
    <w:rsid w:val="00D57073"/>
    <w:rsid w:val="00D57DE0"/>
    <w:rsid w:val="00D608DA"/>
    <w:rsid w:val="00D60987"/>
    <w:rsid w:val="00D615CD"/>
    <w:rsid w:val="00D61FC5"/>
    <w:rsid w:val="00D62196"/>
    <w:rsid w:val="00D62721"/>
    <w:rsid w:val="00D62868"/>
    <w:rsid w:val="00D6305C"/>
    <w:rsid w:val="00D642F4"/>
    <w:rsid w:val="00D65E09"/>
    <w:rsid w:val="00D65F49"/>
    <w:rsid w:val="00D669E8"/>
    <w:rsid w:val="00D6791F"/>
    <w:rsid w:val="00D70622"/>
    <w:rsid w:val="00D709A3"/>
    <w:rsid w:val="00D70AD6"/>
    <w:rsid w:val="00D70C7F"/>
    <w:rsid w:val="00D7163F"/>
    <w:rsid w:val="00D71BC9"/>
    <w:rsid w:val="00D724F1"/>
    <w:rsid w:val="00D72F92"/>
    <w:rsid w:val="00D73133"/>
    <w:rsid w:val="00D73326"/>
    <w:rsid w:val="00D73847"/>
    <w:rsid w:val="00D73B20"/>
    <w:rsid w:val="00D7406C"/>
    <w:rsid w:val="00D74243"/>
    <w:rsid w:val="00D75802"/>
    <w:rsid w:val="00D77028"/>
    <w:rsid w:val="00D773A6"/>
    <w:rsid w:val="00D77797"/>
    <w:rsid w:val="00D80DF0"/>
    <w:rsid w:val="00D81371"/>
    <w:rsid w:val="00D827F6"/>
    <w:rsid w:val="00D82F39"/>
    <w:rsid w:val="00D83EA4"/>
    <w:rsid w:val="00D8411F"/>
    <w:rsid w:val="00D844E1"/>
    <w:rsid w:val="00D855ED"/>
    <w:rsid w:val="00D85BEF"/>
    <w:rsid w:val="00D86385"/>
    <w:rsid w:val="00D86891"/>
    <w:rsid w:val="00D86AFD"/>
    <w:rsid w:val="00D87403"/>
    <w:rsid w:val="00D874AA"/>
    <w:rsid w:val="00D90DAC"/>
    <w:rsid w:val="00D91571"/>
    <w:rsid w:val="00D91DB2"/>
    <w:rsid w:val="00D921CE"/>
    <w:rsid w:val="00D92FF1"/>
    <w:rsid w:val="00D931C7"/>
    <w:rsid w:val="00D9352C"/>
    <w:rsid w:val="00D93B9D"/>
    <w:rsid w:val="00D93C8B"/>
    <w:rsid w:val="00D94A8C"/>
    <w:rsid w:val="00D95B6A"/>
    <w:rsid w:val="00D960E5"/>
    <w:rsid w:val="00D96514"/>
    <w:rsid w:val="00D96D3B"/>
    <w:rsid w:val="00D97E4F"/>
    <w:rsid w:val="00DA0819"/>
    <w:rsid w:val="00DA28DA"/>
    <w:rsid w:val="00DA35BD"/>
    <w:rsid w:val="00DA3A24"/>
    <w:rsid w:val="00DA4FB4"/>
    <w:rsid w:val="00DA622B"/>
    <w:rsid w:val="00DA6AC4"/>
    <w:rsid w:val="00DA7A6D"/>
    <w:rsid w:val="00DA7E9C"/>
    <w:rsid w:val="00DB032F"/>
    <w:rsid w:val="00DB035C"/>
    <w:rsid w:val="00DB0593"/>
    <w:rsid w:val="00DB0D12"/>
    <w:rsid w:val="00DB15A0"/>
    <w:rsid w:val="00DB27AC"/>
    <w:rsid w:val="00DB3047"/>
    <w:rsid w:val="00DB3AAA"/>
    <w:rsid w:val="00DB3E69"/>
    <w:rsid w:val="00DB3F79"/>
    <w:rsid w:val="00DB4733"/>
    <w:rsid w:val="00DB4886"/>
    <w:rsid w:val="00DB49B6"/>
    <w:rsid w:val="00DB55DA"/>
    <w:rsid w:val="00DB60C3"/>
    <w:rsid w:val="00DB6A47"/>
    <w:rsid w:val="00DC2E8F"/>
    <w:rsid w:val="00DC358D"/>
    <w:rsid w:val="00DC3D3A"/>
    <w:rsid w:val="00DC4078"/>
    <w:rsid w:val="00DC4924"/>
    <w:rsid w:val="00DC4FE2"/>
    <w:rsid w:val="00DC5938"/>
    <w:rsid w:val="00DC613D"/>
    <w:rsid w:val="00DC67D9"/>
    <w:rsid w:val="00DC6AB9"/>
    <w:rsid w:val="00DC7574"/>
    <w:rsid w:val="00DC7843"/>
    <w:rsid w:val="00DD0E8E"/>
    <w:rsid w:val="00DD15F7"/>
    <w:rsid w:val="00DD16B0"/>
    <w:rsid w:val="00DD1F5F"/>
    <w:rsid w:val="00DD3461"/>
    <w:rsid w:val="00DD47B9"/>
    <w:rsid w:val="00DD4CEC"/>
    <w:rsid w:val="00DD55F9"/>
    <w:rsid w:val="00DD581E"/>
    <w:rsid w:val="00DD6343"/>
    <w:rsid w:val="00DD63E8"/>
    <w:rsid w:val="00DD6C65"/>
    <w:rsid w:val="00DE0149"/>
    <w:rsid w:val="00DE1A53"/>
    <w:rsid w:val="00DE1A77"/>
    <w:rsid w:val="00DE28C9"/>
    <w:rsid w:val="00DE306B"/>
    <w:rsid w:val="00DE3FA8"/>
    <w:rsid w:val="00DE498C"/>
    <w:rsid w:val="00DE5170"/>
    <w:rsid w:val="00DE51B6"/>
    <w:rsid w:val="00DE541D"/>
    <w:rsid w:val="00DE5A75"/>
    <w:rsid w:val="00DE649D"/>
    <w:rsid w:val="00DE716C"/>
    <w:rsid w:val="00DF02AB"/>
    <w:rsid w:val="00DF08EF"/>
    <w:rsid w:val="00DF1387"/>
    <w:rsid w:val="00DF14FA"/>
    <w:rsid w:val="00DF1FF6"/>
    <w:rsid w:val="00DF200A"/>
    <w:rsid w:val="00DF414C"/>
    <w:rsid w:val="00DF4E69"/>
    <w:rsid w:val="00DF5118"/>
    <w:rsid w:val="00DF66E2"/>
    <w:rsid w:val="00DF6BA5"/>
    <w:rsid w:val="00DF744F"/>
    <w:rsid w:val="00DF76ED"/>
    <w:rsid w:val="00E01CE0"/>
    <w:rsid w:val="00E01F86"/>
    <w:rsid w:val="00E023F1"/>
    <w:rsid w:val="00E027FA"/>
    <w:rsid w:val="00E02D0D"/>
    <w:rsid w:val="00E02F2A"/>
    <w:rsid w:val="00E04194"/>
    <w:rsid w:val="00E047BC"/>
    <w:rsid w:val="00E051C8"/>
    <w:rsid w:val="00E058D4"/>
    <w:rsid w:val="00E05B6E"/>
    <w:rsid w:val="00E05D03"/>
    <w:rsid w:val="00E05F25"/>
    <w:rsid w:val="00E05F79"/>
    <w:rsid w:val="00E06025"/>
    <w:rsid w:val="00E06324"/>
    <w:rsid w:val="00E068C7"/>
    <w:rsid w:val="00E07809"/>
    <w:rsid w:val="00E1076E"/>
    <w:rsid w:val="00E10825"/>
    <w:rsid w:val="00E10D4B"/>
    <w:rsid w:val="00E11F86"/>
    <w:rsid w:val="00E13454"/>
    <w:rsid w:val="00E142DB"/>
    <w:rsid w:val="00E15357"/>
    <w:rsid w:val="00E15AFF"/>
    <w:rsid w:val="00E15F1B"/>
    <w:rsid w:val="00E166D5"/>
    <w:rsid w:val="00E16883"/>
    <w:rsid w:val="00E16A2A"/>
    <w:rsid w:val="00E16A68"/>
    <w:rsid w:val="00E17C2E"/>
    <w:rsid w:val="00E2233C"/>
    <w:rsid w:val="00E22CDB"/>
    <w:rsid w:val="00E22CFD"/>
    <w:rsid w:val="00E246BE"/>
    <w:rsid w:val="00E24A2E"/>
    <w:rsid w:val="00E24CA9"/>
    <w:rsid w:val="00E24CF3"/>
    <w:rsid w:val="00E261CA"/>
    <w:rsid w:val="00E262BE"/>
    <w:rsid w:val="00E26820"/>
    <w:rsid w:val="00E26AC6"/>
    <w:rsid w:val="00E27297"/>
    <w:rsid w:val="00E306A6"/>
    <w:rsid w:val="00E30776"/>
    <w:rsid w:val="00E30BA5"/>
    <w:rsid w:val="00E30FEE"/>
    <w:rsid w:val="00E3164B"/>
    <w:rsid w:val="00E33714"/>
    <w:rsid w:val="00E340FF"/>
    <w:rsid w:val="00E3445A"/>
    <w:rsid w:val="00E35208"/>
    <w:rsid w:val="00E3522D"/>
    <w:rsid w:val="00E35D25"/>
    <w:rsid w:val="00E35D4A"/>
    <w:rsid w:val="00E36DC1"/>
    <w:rsid w:val="00E40B37"/>
    <w:rsid w:val="00E40ED9"/>
    <w:rsid w:val="00E417FE"/>
    <w:rsid w:val="00E42325"/>
    <w:rsid w:val="00E426A6"/>
    <w:rsid w:val="00E42A33"/>
    <w:rsid w:val="00E43B36"/>
    <w:rsid w:val="00E44189"/>
    <w:rsid w:val="00E44D48"/>
    <w:rsid w:val="00E44DA7"/>
    <w:rsid w:val="00E44E56"/>
    <w:rsid w:val="00E45BEE"/>
    <w:rsid w:val="00E4648C"/>
    <w:rsid w:val="00E46A2B"/>
    <w:rsid w:val="00E46C63"/>
    <w:rsid w:val="00E46F83"/>
    <w:rsid w:val="00E47790"/>
    <w:rsid w:val="00E50D68"/>
    <w:rsid w:val="00E52198"/>
    <w:rsid w:val="00E52957"/>
    <w:rsid w:val="00E540AC"/>
    <w:rsid w:val="00E55AE0"/>
    <w:rsid w:val="00E55B4A"/>
    <w:rsid w:val="00E56046"/>
    <w:rsid w:val="00E60CE1"/>
    <w:rsid w:val="00E61521"/>
    <w:rsid w:val="00E6165A"/>
    <w:rsid w:val="00E61CFA"/>
    <w:rsid w:val="00E635BB"/>
    <w:rsid w:val="00E6370E"/>
    <w:rsid w:val="00E639CA"/>
    <w:rsid w:val="00E63D4C"/>
    <w:rsid w:val="00E640A7"/>
    <w:rsid w:val="00E64CA0"/>
    <w:rsid w:val="00E65AD1"/>
    <w:rsid w:val="00E70122"/>
    <w:rsid w:val="00E70410"/>
    <w:rsid w:val="00E707EA"/>
    <w:rsid w:val="00E70F67"/>
    <w:rsid w:val="00E73BD3"/>
    <w:rsid w:val="00E73E6D"/>
    <w:rsid w:val="00E746B2"/>
    <w:rsid w:val="00E74934"/>
    <w:rsid w:val="00E75DFB"/>
    <w:rsid w:val="00E761AC"/>
    <w:rsid w:val="00E765CD"/>
    <w:rsid w:val="00E77AD9"/>
    <w:rsid w:val="00E81FE9"/>
    <w:rsid w:val="00E8278D"/>
    <w:rsid w:val="00E83653"/>
    <w:rsid w:val="00E83FA4"/>
    <w:rsid w:val="00E84F7E"/>
    <w:rsid w:val="00E8593D"/>
    <w:rsid w:val="00E85DDF"/>
    <w:rsid w:val="00E87DD5"/>
    <w:rsid w:val="00E90021"/>
    <w:rsid w:val="00E909A1"/>
    <w:rsid w:val="00E90B90"/>
    <w:rsid w:val="00E91082"/>
    <w:rsid w:val="00E9197D"/>
    <w:rsid w:val="00E91CB1"/>
    <w:rsid w:val="00E93A00"/>
    <w:rsid w:val="00E94A7C"/>
    <w:rsid w:val="00E95952"/>
    <w:rsid w:val="00E96379"/>
    <w:rsid w:val="00E96422"/>
    <w:rsid w:val="00E97957"/>
    <w:rsid w:val="00EA262C"/>
    <w:rsid w:val="00EA3726"/>
    <w:rsid w:val="00EA4047"/>
    <w:rsid w:val="00EA49AA"/>
    <w:rsid w:val="00EA4D5C"/>
    <w:rsid w:val="00EA5DC3"/>
    <w:rsid w:val="00EA7BB0"/>
    <w:rsid w:val="00EB06DC"/>
    <w:rsid w:val="00EB0DBC"/>
    <w:rsid w:val="00EB2456"/>
    <w:rsid w:val="00EB2952"/>
    <w:rsid w:val="00EB3EC7"/>
    <w:rsid w:val="00EB4A11"/>
    <w:rsid w:val="00EB5B17"/>
    <w:rsid w:val="00EB5F39"/>
    <w:rsid w:val="00EB6DC3"/>
    <w:rsid w:val="00EB732A"/>
    <w:rsid w:val="00EB79ED"/>
    <w:rsid w:val="00EC08CA"/>
    <w:rsid w:val="00EC1992"/>
    <w:rsid w:val="00EC24E4"/>
    <w:rsid w:val="00EC2D2E"/>
    <w:rsid w:val="00EC318B"/>
    <w:rsid w:val="00EC39A5"/>
    <w:rsid w:val="00EC456A"/>
    <w:rsid w:val="00EC5A90"/>
    <w:rsid w:val="00EC6429"/>
    <w:rsid w:val="00EC6456"/>
    <w:rsid w:val="00EC735A"/>
    <w:rsid w:val="00ED0902"/>
    <w:rsid w:val="00ED197E"/>
    <w:rsid w:val="00ED2163"/>
    <w:rsid w:val="00ED2F5B"/>
    <w:rsid w:val="00ED327A"/>
    <w:rsid w:val="00ED40A3"/>
    <w:rsid w:val="00ED427C"/>
    <w:rsid w:val="00ED6511"/>
    <w:rsid w:val="00ED69A1"/>
    <w:rsid w:val="00ED6B55"/>
    <w:rsid w:val="00ED6FF2"/>
    <w:rsid w:val="00ED7EE7"/>
    <w:rsid w:val="00EE014C"/>
    <w:rsid w:val="00EE03B3"/>
    <w:rsid w:val="00EE082F"/>
    <w:rsid w:val="00EE09FD"/>
    <w:rsid w:val="00EE0B4C"/>
    <w:rsid w:val="00EE0B57"/>
    <w:rsid w:val="00EE184D"/>
    <w:rsid w:val="00EE212E"/>
    <w:rsid w:val="00EE4514"/>
    <w:rsid w:val="00EE68B1"/>
    <w:rsid w:val="00EE7F25"/>
    <w:rsid w:val="00EF063C"/>
    <w:rsid w:val="00EF0904"/>
    <w:rsid w:val="00EF17E8"/>
    <w:rsid w:val="00EF1EE0"/>
    <w:rsid w:val="00EF2468"/>
    <w:rsid w:val="00EF2CBD"/>
    <w:rsid w:val="00EF2D18"/>
    <w:rsid w:val="00EF37D0"/>
    <w:rsid w:val="00EF3F96"/>
    <w:rsid w:val="00EF4776"/>
    <w:rsid w:val="00EF48F6"/>
    <w:rsid w:val="00EF492A"/>
    <w:rsid w:val="00EF508C"/>
    <w:rsid w:val="00EF53ED"/>
    <w:rsid w:val="00EF73E4"/>
    <w:rsid w:val="00F0108C"/>
    <w:rsid w:val="00F01A62"/>
    <w:rsid w:val="00F020AA"/>
    <w:rsid w:val="00F033EC"/>
    <w:rsid w:val="00F03E93"/>
    <w:rsid w:val="00F044AE"/>
    <w:rsid w:val="00F04974"/>
    <w:rsid w:val="00F05471"/>
    <w:rsid w:val="00F06706"/>
    <w:rsid w:val="00F06BC0"/>
    <w:rsid w:val="00F07CAE"/>
    <w:rsid w:val="00F07DBC"/>
    <w:rsid w:val="00F10DE0"/>
    <w:rsid w:val="00F11CA0"/>
    <w:rsid w:val="00F12142"/>
    <w:rsid w:val="00F121B4"/>
    <w:rsid w:val="00F1237C"/>
    <w:rsid w:val="00F12730"/>
    <w:rsid w:val="00F1303D"/>
    <w:rsid w:val="00F13C4D"/>
    <w:rsid w:val="00F13CC9"/>
    <w:rsid w:val="00F13EFC"/>
    <w:rsid w:val="00F14548"/>
    <w:rsid w:val="00F15885"/>
    <w:rsid w:val="00F15FE9"/>
    <w:rsid w:val="00F166A4"/>
    <w:rsid w:val="00F17851"/>
    <w:rsid w:val="00F178E3"/>
    <w:rsid w:val="00F2050C"/>
    <w:rsid w:val="00F207D1"/>
    <w:rsid w:val="00F20882"/>
    <w:rsid w:val="00F20ADE"/>
    <w:rsid w:val="00F20F94"/>
    <w:rsid w:val="00F2111F"/>
    <w:rsid w:val="00F211FB"/>
    <w:rsid w:val="00F219A2"/>
    <w:rsid w:val="00F21E58"/>
    <w:rsid w:val="00F232D4"/>
    <w:rsid w:val="00F2331D"/>
    <w:rsid w:val="00F23A18"/>
    <w:rsid w:val="00F23AF8"/>
    <w:rsid w:val="00F247DF"/>
    <w:rsid w:val="00F24960"/>
    <w:rsid w:val="00F2712C"/>
    <w:rsid w:val="00F279C6"/>
    <w:rsid w:val="00F3206A"/>
    <w:rsid w:val="00F334E5"/>
    <w:rsid w:val="00F3679B"/>
    <w:rsid w:val="00F368B9"/>
    <w:rsid w:val="00F36CFF"/>
    <w:rsid w:val="00F379AD"/>
    <w:rsid w:val="00F40005"/>
    <w:rsid w:val="00F40051"/>
    <w:rsid w:val="00F4140E"/>
    <w:rsid w:val="00F41458"/>
    <w:rsid w:val="00F41F83"/>
    <w:rsid w:val="00F4267D"/>
    <w:rsid w:val="00F42A0B"/>
    <w:rsid w:val="00F431C6"/>
    <w:rsid w:val="00F4361B"/>
    <w:rsid w:val="00F43649"/>
    <w:rsid w:val="00F43854"/>
    <w:rsid w:val="00F43924"/>
    <w:rsid w:val="00F43A4B"/>
    <w:rsid w:val="00F454D2"/>
    <w:rsid w:val="00F4750B"/>
    <w:rsid w:val="00F50D66"/>
    <w:rsid w:val="00F51C68"/>
    <w:rsid w:val="00F526B2"/>
    <w:rsid w:val="00F52711"/>
    <w:rsid w:val="00F539C0"/>
    <w:rsid w:val="00F53B6C"/>
    <w:rsid w:val="00F55299"/>
    <w:rsid w:val="00F5554F"/>
    <w:rsid w:val="00F562D3"/>
    <w:rsid w:val="00F62410"/>
    <w:rsid w:val="00F62772"/>
    <w:rsid w:val="00F627F8"/>
    <w:rsid w:val="00F638B2"/>
    <w:rsid w:val="00F63ABB"/>
    <w:rsid w:val="00F63B8D"/>
    <w:rsid w:val="00F63D53"/>
    <w:rsid w:val="00F6441C"/>
    <w:rsid w:val="00F645B6"/>
    <w:rsid w:val="00F64735"/>
    <w:rsid w:val="00F653BE"/>
    <w:rsid w:val="00F6588F"/>
    <w:rsid w:val="00F65B31"/>
    <w:rsid w:val="00F65F16"/>
    <w:rsid w:val="00F676CA"/>
    <w:rsid w:val="00F705AB"/>
    <w:rsid w:val="00F70878"/>
    <w:rsid w:val="00F70D74"/>
    <w:rsid w:val="00F7111F"/>
    <w:rsid w:val="00F719B2"/>
    <w:rsid w:val="00F71FB6"/>
    <w:rsid w:val="00F73768"/>
    <w:rsid w:val="00F74309"/>
    <w:rsid w:val="00F74EDC"/>
    <w:rsid w:val="00F7573D"/>
    <w:rsid w:val="00F75EE3"/>
    <w:rsid w:val="00F76277"/>
    <w:rsid w:val="00F766CE"/>
    <w:rsid w:val="00F7673B"/>
    <w:rsid w:val="00F77172"/>
    <w:rsid w:val="00F80C09"/>
    <w:rsid w:val="00F81DB5"/>
    <w:rsid w:val="00F82FF6"/>
    <w:rsid w:val="00F843A0"/>
    <w:rsid w:val="00F8454B"/>
    <w:rsid w:val="00F84AE3"/>
    <w:rsid w:val="00F85406"/>
    <w:rsid w:val="00F85790"/>
    <w:rsid w:val="00F85D7A"/>
    <w:rsid w:val="00F87A20"/>
    <w:rsid w:val="00F9080F"/>
    <w:rsid w:val="00F91EAD"/>
    <w:rsid w:val="00F924D8"/>
    <w:rsid w:val="00F93A02"/>
    <w:rsid w:val="00F93CD9"/>
    <w:rsid w:val="00F9473F"/>
    <w:rsid w:val="00F951A6"/>
    <w:rsid w:val="00F9523F"/>
    <w:rsid w:val="00F95700"/>
    <w:rsid w:val="00F95D54"/>
    <w:rsid w:val="00F95D9D"/>
    <w:rsid w:val="00F968BD"/>
    <w:rsid w:val="00F96E8F"/>
    <w:rsid w:val="00FA0923"/>
    <w:rsid w:val="00FA16E2"/>
    <w:rsid w:val="00FA312C"/>
    <w:rsid w:val="00FA3ACF"/>
    <w:rsid w:val="00FA3EF1"/>
    <w:rsid w:val="00FA4192"/>
    <w:rsid w:val="00FA456E"/>
    <w:rsid w:val="00FA4747"/>
    <w:rsid w:val="00FA63FC"/>
    <w:rsid w:val="00FA72FB"/>
    <w:rsid w:val="00FB0643"/>
    <w:rsid w:val="00FB0CD8"/>
    <w:rsid w:val="00FB13EB"/>
    <w:rsid w:val="00FB21C8"/>
    <w:rsid w:val="00FB4928"/>
    <w:rsid w:val="00FB49D3"/>
    <w:rsid w:val="00FB4AD1"/>
    <w:rsid w:val="00FB5C88"/>
    <w:rsid w:val="00FB7443"/>
    <w:rsid w:val="00FB7501"/>
    <w:rsid w:val="00FC083D"/>
    <w:rsid w:val="00FC22A4"/>
    <w:rsid w:val="00FC233D"/>
    <w:rsid w:val="00FC2350"/>
    <w:rsid w:val="00FC3238"/>
    <w:rsid w:val="00FC3974"/>
    <w:rsid w:val="00FC4C13"/>
    <w:rsid w:val="00FC4DDB"/>
    <w:rsid w:val="00FC4F01"/>
    <w:rsid w:val="00FC56A7"/>
    <w:rsid w:val="00FC683C"/>
    <w:rsid w:val="00FC68E4"/>
    <w:rsid w:val="00FC7693"/>
    <w:rsid w:val="00FC76A2"/>
    <w:rsid w:val="00FD0032"/>
    <w:rsid w:val="00FD0A1D"/>
    <w:rsid w:val="00FD0EC4"/>
    <w:rsid w:val="00FD2E24"/>
    <w:rsid w:val="00FD4552"/>
    <w:rsid w:val="00FD45F7"/>
    <w:rsid w:val="00FD4E29"/>
    <w:rsid w:val="00FD578F"/>
    <w:rsid w:val="00FD5DCE"/>
    <w:rsid w:val="00FD6099"/>
    <w:rsid w:val="00FD733F"/>
    <w:rsid w:val="00FD7A43"/>
    <w:rsid w:val="00FD7F9D"/>
    <w:rsid w:val="00FE00E8"/>
    <w:rsid w:val="00FE06A6"/>
    <w:rsid w:val="00FE136C"/>
    <w:rsid w:val="00FE206F"/>
    <w:rsid w:val="00FE38B9"/>
    <w:rsid w:val="00FE3C93"/>
    <w:rsid w:val="00FE3EE8"/>
    <w:rsid w:val="00FE41B8"/>
    <w:rsid w:val="00FE6D46"/>
    <w:rsid w:val="00FE77D9"/>
    <w:rsid w:val="00FE794C"/>
    <w:rsid w:val="00FE7F98"/>
    <w:rsid w:val="00FF1239"/>
    <w:rsid w:val="00FF1441"/>
    <w:rsid w:val="00FF16E6"/>
    <w:rsid w:val="00FF1FC4"/>
    <w:rsid w:val="00FF22D0"/>
    <w:rsid w:val="00FF2C44"/>
    <w:rsid w:val="00FF2F2A"/>
    <w:rsid w:val="00FF3C80"/>
    <w:rsid w:val="00FF3E80"/>
    <w:rsid w:val="00FF49AF"/>
    <w:rsid w:val="00FF4A18"/>
    <w:rsid w:val="00FF5F3E"/>
    <w:rsid w:val="00FF6014"/>
    <w:rsid w:val="00FF61BE"/>
    <w:rsid w:val="00FF6690"/>
    <w:rsid w:val="00FF7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6BA585"/>
  <w15:docId w15:val="{AE1207F6-6735-41A1-BD55-3304D034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3CA"/>
    <w:rPr>
      <w:rFonts w:ascii="Times New Roman" w:hAnsi="Times New Roman"/>
      <w:sz w:val="24"/>
      <w:szCs w:val="24"/>
    </w:rPr>
  </w:style>
  <w:style w:type="paragraph" w:styleId="Heading3">
    <w:name w:val="heading 3"/>
    <w:basedOn w:val="Normal"/>
    <w:next w:val="Normal"/>
    <w:link w:val="Heading3Char"/>
    <w:uiPriority w:val="9"/>
    <w:semiHidden/>
    <w:unhideWhenUsed/>
    <w:qFormat/>
    <w:rsid w:val="00802CE6"/>
    <w:pPr>
      <w:keepNext/>
      <w:keepLines/>
      <w:spacing w:before="200"/>
      <w:outlineLvl w:val="2"/>
    </w:pPr>
    <w:rPr>
      <w:rFonts w:ascii="Cambria" w:eastAsia="Times New Roman" w:hAnsi="Cambria"/>
      <w:b/>
      <w:bCs/>
      <w:color w:val="4F81BD"/>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6D03CA"/>
    <w:pPr>
      <w:spacing w:before="100" w:beforeAutospacing="1" w:after="100" w:afterAutospacing="1"/>
    </w:pPr>
  </w:style>
  <w:style w:type="paragraph" w:styleId="Header">
    <w:name w:val="header"/>
    <w:basedOn w:val="Normal"/>
    <w:link w:val="HeaderChar"/>
    <w:uiPriority w:val="99"/>
    <w:rsid w:val="006D03CA"/>
    <w:pPr>
      <w:tabs>
        <w:tab w:val="center" w:pos="4153"/>
        <w:tab w:val="right" w:pos="8306"/>
      </w:tabs>
    </w:pPr>
    <w:rPr>
      <w:lang w:val="x-none"/>
    </w:rPr>
  </w:style>
  <w:style w:type="character" w:customStyle="1" w:styleId="HeaderChar">
    <w:name w:val="Header Char"/>
    <w:link w:val="Header"/>
    <w:uiPriority w:val="99"/>
    <w:rsid w:val="00F63B8D"/>
    <w:rPr>
      <w:rFonts w:ascii="Times New Roman" w:hAnsi="Times New Roman"/>
      <w:sz w:val="24"/>
      <w:szCs w:val="24"/>
      <w:lang w:val="x-none"/>
    </w:rPr>
  </w:style>
  <w:style w:type="character" w:styleId="PageNumber">
    <w:name w:val="page number"/>
    <w:rsid w:val="00F63B8D"/>
    <w:rPr>
      <w:rFonts w:cs="Times New Roman"/>
    </w:rPr>
  </w:style>
  <w:style w:type="character" w:styleId="Hyperlink">
    <w:name w:val="Hyperlink"/>
    <w:uiPriority w:val="99"/>
    <w:rsid w:val="006D03CA"/>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6D03CA"/>
    <w:pPr>
      <w:tabs>
        <w:tab w:val="center" w:pos="4153"/>
        <w:tab w:val="right" w:pos="8306"/>
      </w:tabs>
    </w:pPr>
    <w:rPr>
      <w:lang w:val="x-none" w:eastAsia="x-none"/>
    </w:rPr>
  </w:style>
  <w:style w:type="character" w:customStyle="1" w:styleId="FooterChar">
    <w:name w:val="Footer Char"/>
    <w:link w:val="Footer"/>
    <w:uiPriority w:val="99"/>
    <w:rsid w:val="00D253CA"/>
    <w:rPr>
      <w:rFonts w:ascii="Times New Roman" w:hAnsi="Times New Roman"/>
      <w:sz w:val="24"/>
      <w:szCs w:val="24"/>
      <w:lang w:val="x-none" w:eastAsia="x-none"/>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6D03CA"/>
    <w:rPr>
      <w:sz w:val="16"/>
      <w:szCs w:val="16"/>
    </w:rPr>
  </w:style>
  <w:style w:type="paragraph" w:styleId="CommentText">
    <w:name w:val="annotation text"/>
    <w:basedOn w:val="Normal"/>
    <w:link w:val="CommentTextChar"/>
    <w:uiPriority w:val="99"/>
    <w:unhideWhenUsed/>
    <w:rsid w:val="006D03CA"/>
    <w:rPr>
      <w:sz w:val="20"/>
      <w:szCs w:val="20"/>
      <w:lang w:val="x-none" w:eastAsia="x-none"/>
    </w:rPr>
  </w:style>
  <w:style w:type="paragraph" w:styleId="BalloonText">
    <w:name w:val="Balloon Text"/>
    <w:basedOn w:val="Normal"/>
    <w:link w:val="BalloonTextChar"/>
    <w:uiPriority w:val="99"/>
    <w:semiHidden/>
    <w:rsid w:val="006D03CA"/>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6D03CA"/>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lang w:val="x-none" w:eastAsia="x-none"/>
    </w:rPr>
  </w:style>
  <w:style w:type="character" w:customStyle="1" w:styleId="CommentSubjectChar">
    <w:name w:val="Comment Subject Char"/>
    <w:basedOn w:val="CommentTextChar"/>
    <w:link w:val="CommentSubject"/>
    <w:uiPriority w:val="99"/>
    <w:rsid w:val="001A5867"/>
    <w:rPr>
      <w:rFonts w:ascii="Times New Roman" w:hAnsi="Times New Roman"/>
      <w:lang w:val="x-none" w:eastAsia="x-none"/>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6D03CA"/>
    <w:rPr>
      <w:rFonts w:ascii="Times New Roman" w:hAnsi="Times New Roman"/>
      <w:sz w:val="24"/>
      <w:szCs w:val="24"/>
    </w:rPr>
  </w:style>
  <w:style w:type="character" w:customStyle="1" w:styleId="st1">
    <w:name w:val="st1"/>
    <w:basedOn w:val="DefaultParagraphFont"/>
    <w:rsid w:val="00FC22A4"/>
  </w:style>
  <w:style w:type="character" w:customStyle="1" w:styleId="Heading3Char">
    <w:name w:val="Heading 3 Char"/>
    <w:link w:val="Heading3"/>
    <w:uiPriority w:val="9"/>
    <w:semiHidden/>
    <w:rsid w:val="00802CE6"/>
    <w:rPr>
      <w:rFonts w:ascii="Cambria" w:eastAsia="Times New Roman" w:hAnsi="Cambria"/>
      <w:b/>
      <w:bCs/>
      <w:color w:val="4F81BD"/>
      <w:lang w:val="en-AU" w:eastAsia="en-US"/>
    </w:rPr>
  </w:style>
  <w:style w:type="character" w:styleId="Mention">
    <w:name w:val="Mention"/>
    <w:basedOn w:val="DefaultParagraphFont"/>
    <w:uiPriority w:val="99"/>
    <w:semiHidden/>
    <w:unhideWhenUsed/>
    <w:rsid w:val="008E09BF"/>
    <w:rPr>
      <w:color w:val="2B579A"/>
      <w:shd w:val="clear" w:color="auto" w:fill="E6E6E6"/>
    </w:rPr>
  </w:style>
  <w:style w:type="table" w:styleId="TableGridLight">
    <w:name w:val="Grid Table Light"/>
    <w:basedOn w:val="TableNormal"/>
    <w:uiPriority w:val="40"/>
    <w:rsid w:val="00B259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loonTextChar">
    <w:name w:val="Balloon Text Char"/>
    <w:basedOn w:val="DefaultParagraphFont"/>
    <w:link w:val="BalloonText"/>
    <w:uiPriority w:val="99"/>
    <w:semiHidden/>
    <w:rsid w:val="006D03CA"/>
    <w:rPr>
      <w:rFonts w:ascii="Tahoma" w:hAnsi="Tahoma" w:cs="Tahoma"/>
      <w:sz w:val="16"/>
      <w:szCs w:val="16"/>
    </w:rPr>
  </w:style>
  <w:style w:type="character" w:customStyle="1" w:styleId="UnresolvedMention1">
    <w:name w:val="Unresolved Mention1"/>
    <w:basedOn w:val="DefaultParagraphFont"/>
    <w:uiPriority w:val="99"/>
    <w:semiHidden/>
    <w:unhideWhenUsed/>
    <w:rsid w:val="006D0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6877">
      <w:bodyDiv w:val="1"/>
      <w:marLeft w:val="0"/>
      <w:marRight w:val="0"/>
      <w:marTop w:val="0"/>
      <w:marBottom w:val="0"/>
      <w:divBdr>
        <w:top w:val="none" w:sz="0" w:space="0" w:color="auto"/>
        <w:left w:val="none" w:sz="0" w:space="0" w:color="auto"/>
        <w:bottom w:val="none" w:sz="0" w:space="0" w:color="auto"/>
        <w:right w:val="none" w:sz="0" w:space="0" w:color="auto"/>
      </w:divBdr>
    </w:div>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185799443">
      <w:bodyDiv w:val="1"/>
      <w:marLeft w:val="0"/>
      <w:marRight w:val="0"/>
      <w:marTop w:val="0"/>
      <w:marBottom w:val="0"/>
      <w:divBdr>
        <w:top w:val="none" w:sz="0" w:space="0" w:color="auto"/>
        <w:left w:val="none" w:sz="0" w:space="0" w:color="auto"/>
        <w:bottom w:val="none" w:sz="0" w:space="0" w:color="auto"/>
        <w:right w:val="none" w:sz="0" w:space="0" w:color="auto"/>
      </w:divBdr>
    </w:div>
    <w:div w:id="219218989">
      <w:bodyDiv w:val="1"/>
      <w:marLeft w:val="0"/>
      <w:marRight w:val="0"/>
      <w:marTop w:val="0"/>
      <w:marBottom w:val="0"/>
      <w:divBdr>
        <w:top w:val="none" w:sz="0" w:space="0" w:color="auto"/>
        <w:left w:val="none" w:sz="0" w:space="0" w:color="auto"/>
        <w:bottom w:val="none" w:sz="0" w:space="0" w:color="auto"/>
        <w:right w:val="none" w:sz="0" w:space="0" w:color="auto"/>
      </w:divBdr>
    </w:div>
    <w:div w:id="245892026">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284434710">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42582473">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48236382">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846410252">
      <w:bodyDiv w:val="1"/>
      <w:marLeft w:val="0"/>
      <w:marRight w:val="0"/>
      <w:marTop w:val="0"/>
      <w:marBottom w:val="0"/>
      <w:divBdr>
        <w:top w:val="none" w:sz="0" w:space="0" w:color="auto"/>
        <w:left w:val="none" w:sz="0" w:space="0" w:color="auto"/>
        <w:bottom w:val="none" w:sz="0" w:space="0" w:color="auto"/>
        <w:right w:val="none" w:sz="0" w:space="0" w:color="auto"/>
      </w:divBdr>
      <w:divsChild>
        <w:div w:id="441613188">
          <w:marLeft w:val="0"/>
          <w:marRight w:val="0"/>
          <w:marTop w:val="0"/>
          <w:marBottom w:val="0"/>
          <w:divBdr>
            <w:top w:val="none" w:sz="0" w:space="0" w:color="auto"/>
            <w:left w:val="none" w:sz="0" w:space="0" w:color="auto"/>
            <w:bottom w:val="none" w:sz="0" w:space="0" w:color="auto"/>
            <w:right w:val="none" w:sz="0" w:space="0" w:color="auto"/>
          </w:divBdr>
        </w:div>
        <w:div w:id="1033768875">
          <w:marLeft w:val="0"/>
          <w:marRight w:val="0"/>
          <w:marTop w:val="0"/>
          <w:marBottom w:val="0"/>
          <w:divBdr>
            <w:top w:val="none" w:sz="0" w:space="0" w:color="auto"/>
            <w:left w:val="none" w:sz="0" w:space="0" w:color="auto"/>
            <w:bottom w:val="none" w:sz="0" w:space="0" w:color="auto"/>
            <w:right w:val="none" w:sz="0" w:space="0" w:color="auto"/>
          </w:divBdr>
        </w:div>
      </w:divsChild>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991249137">
      <w:bodyDiv w:val="1"/>
      <w:marLeft w:val="0"/>
      <w:marRight w:val="0"/>
      <w:marTop w:val="0"/>
      <w:marBottom w:val="0"/>
      <w:divBdr>
        <w:top w:val="none" w:sz="0" w:space="0" w:color="auto"/>
        <w:left w:val="none" w:sz="0" w:space="0" w:color="auto"/>
        <w:bottom w:val="none" w:sz="0" w:space="0" w:color="auto"/>
        <w:right w:val="none" w:sz="0" w:space="0" w:color="auto"/>
      </w:divBdr>
    </w:div>
    <w:div w:id="1059934993">
      <w:bodyDiv w:val="1"/>
      <w:marLeft w:val="0"/>
      <w:marRight w:val="0"/>
      <w:marTop w:val="0"/>
      <w:marBottom w:val="0"/>
      <w:divBdr>
        <w:top w:val="none" w:sz="0" w:space="0" w:color="auto"/>
        <w:left w:val="none" w:sz="0" w:space="0" w:color="auto"/>
        <w:bottom w:val="none" w:sz="0" w:space="0" w:color="auto"/>
        <w:right w:val="none" w:sz="0" w:space="0" w:color="auto"/>
      </w:divBdr>
    </w:div>
    <w:div w:id="1077899187">
      <w:bodyDiv w:val="1"/>
      <w:marLeft w:val="0"/>
      <w:marRight w:val="0"/>
      <w:marTop w:val="0"/>
      <w:marBottom w:val="0"/>
      <w:divBdr>
        <w:top w:val="none" w:sz="0" w:space="0" w:color="auto"/>
        <w:left w:val="none" w:sz="0" w:space="0" w:color="auto"/>
        <w:bottom w:val="none" w:sz="0" w:space="0" w:color="auto"/>
        <w:right w:val="none" w:sz="0" w:space="0" w:color="auto"/>
      </w:divBdr>
      <w:divsChild>
        <w:div w:id="499850674">
          <w:marLeft w:val="0"/>
          <w:marRight w:val="0"/>
          <w:marTop w:val="0"/>
          <w:marBottom w:val="0"/>
          <w:divBdr>
            <w:top w:val="none" w:sz="0" w:space="0" w:color="auto"/>
            <w:left w:val="none" w:sz="0" w:space="0" w:color="auto"/>
            <w:bottom w:val="none" w:sz="0" w:space="0" w:color="auto"/>
            <w:right w:val="none" w:sz="0" w:space="0" w:color="auto"/>
          </w:divBdr>
        </w:div>
        <w:div w:id="502399337">
          <w:marLeft w:val="0"/>
          <w:marRight w:val="0"/>
          <w:marTop w:val="0"/>
          <w:marBottom w:val="0"/>
          <w:divBdr>
            <w:top w:val="none" w:sz="0" w:space="0" w:color="auto"/>
            <w:left w:val="none" w:sz="0" w:space="0" w:color="auto"/>
            <w:bottom w:val="none" w:sz="0" w:space="0" w:color="auto"/>
            <w:right w:val="none" w:sz="0" w:space="0" w:color="auto"/>
          </w:divBdr>
        </w:div>
      </w:divsChild>
    </w:div>
    <w:div w:id="1079524851">
      <w:bodyDiv w:val="1"/>
      <w:marLeft w:val="0"/>
      <w:marRight w:val="0"/>
      <w:marTop w:val="0"/>
      <w:marBottom w:val="0"/>
      <w:divBdr>
        <w:top w:val="none" w:sz="0" w:space="0" w:color="auto"/>
        <w:left w:val="none" w:sz="0" w:space="0" w:color="auto"/>
        <w:bottom w:val="none" w:sz="0" w:space="0" w:color="auto"/>
        <w:right w:val="none" w:sz="0" w:space="0" w:color="auto"/>
      </w:divBdr>
    </w:div>
    <w:div w:id="1080256452">
      <w:bodyDiv w:val="1"/>
      <w:marLeft w:val="0"/>
      <w:marRight w:val="0"/>
      <w:marTop w:val="0"/>
      <w:marBottom w:val="0"/>
      <w:divBdr>
        <w:top w:val="none" w:sz="0" w:space="0" w:color="auto"/>
        <w:left w:val="none" w:sz="0" w:space="0" w:color="auto"/>
        <w:bottom w:val="none" w:sz="0" w:space="0" w:color="auto"/>
        <w:right w:val="none" w:sz="0" w:space="0" w:color="auto"/>
      </w:divBdr>
    </w:div>
    <w:div w:id="1081104033">
      <w:bodyDiv w:val="1"/>
      <w:marLeft w:val="0"/>
      <w:marRight w:val="0"/>
      <w:marTop w:val="0"/>
      <w:marBottom w:val="0"/>
      <w:divBdr>
        <w:top w:val="none" w:sz="0" w:space="0" w:color="auto"/>
        <w:left w:val="none" w:sz="0" w:space="0" w:color="auto"/>
        <w:bottom w:val="none" w:sz="0" w:space="0" w:color="auto"/>
        <w:right w:val="none" w:sz="0" w:space="0" w:color="auto"/>
      </w:divBdr>
    </w:div>
    <w:div w:id="1175653642">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828556">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835758353">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04237206">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 w:id="2111267793">
      <w:bodyDiv w:val="1"/>
      <w:marLeft w:val="0"/>
      <w:marRight w:val="0"/>
      <w:marTop w:val="0"/>
      <w:marBottom w:val="0"/>
      <w:divBdr>
        <w:top w:val="none" w:sz="0" w:space="0" w:color="auto"/>
        <w:left w:val="none" w:sz="0" w:space="0" w:color="auto"/>
        <w:bottom w:val="none" w:sz="0" w:space="0" w:color="auto"/>
        <w:right w:val="none" w:sz="0" w:space="0" w:color="auto"/>
      </w:divBdr>
      <w:divsChild>
        <w:div w:id="40987372">
          <w:marLeft w:val="0"/>
          <w:marRight w:val="0"/>
          <w:marTop w:val="0"/>
          <w:marBottom w:val="0"/>
          <w:divBdr>
            <w:top w:val="none" w:sz="0" w:space="0" w:color="auto"/>
            <w:left w:val="none" w:sz="0" w:space="0" w:color="auto"/>
            <w:bottom w:val="none" w:sz="0" w:space="0" w:color="auto"/>
            <w:right w:val="none" w:sz="0" w:space="0" w:color="auto"/>
          </w:divBdr>
          <w:divsChild>
            <w:div w:id="482544264">
              <w:marLeft w:val="0"/>
              <w:marRight w:val="0"/>
              <w:marTop w:val="0"/>
              <w:marBottom w:val="0"/>
              <w:divBdr>
                <w:top w:val="none" w:sz="0" w:space="0" w:color="auto"/>
                <w:left w:val="none" w:sz="0" w:space="0" w:color="auto"/>
                <w:bottom w:val="none" w:sz="0" w:space="0" w:color="auto"/>
                <w:right w:val="none" w:sz="0" w:space="0" w:color="auto"/>
              </w:divBdr>
              <w:divsChild>
                <w:div w:id="1693796695">
                  <w:marLeft w:val="0"/>
                  <w:marRight w:val="0"/>
                  <w:marTop w:val="0"/>
                  <w:marBottom w:val="0"/>
                  <w:divBdr>
                    <w:top w:val="none" w:sz="0" w:space="0" w:color="auto"/>
                    <w:left w:val="none" w:sz="0" w:space="0" w:color="auto"/>
                    <w:bottom w:val="none" w:sz="0" w:space="0" w:color="auto"/>
                    <w:right w:val="none" w:sz="0" w:space="0" w:color="auto"/>
                  </w:divBdr>
                  <w:divsChild>
                    <w:div w:id="1661617119">
                      <w:marLeft w:val="0"/>
                      <w:marRight w:val="0"/>
                      <w:marTop w:val="0"/>
                      <w:marBottom w:val="0"/>
                      <w:divBdr>
                        <w:top w:val="none" w:sz="0" w:space="0" w:color="auto"/>
                        <w:left w:val="none" w:sz="0" w:space="0" w:color="auto"/>
                        <w:bottom w:val="none" w:sz="0" w:space="0" w:color="auto"/>
                        <w:right w:val="none" w:sz="0" w:space="0" w:color="auto"/>
                      </w:divBdr>
                      <w:divsChild>
                        <w:div w:id="168646811">
                          <w:marLeft w:val="0"/>
                          <w:marRight w:val="0"/>
                          <w:marTop w:val="0"/>
                          <w:marBottom w:val="0"/>
                          <w:divBdr>
                            <w:top w:val="none" w:sz="0" w:space="0" w:color="auto"/>
                            <w:left w:val="none" w:sz="0" w:space="0" w:color="auto"/>
                            <w:bottom w:val="none" w:sz="0" w:space="0" w:color="auto"/>
                            <w:right w:val="none" w:sz="0" w:space="0" w:color="auto"/>
                          </w:divBdr>
                          <w:divsChild>
                            <w:div w:id="591939102">
                              <w:marLeft w:val="0"/>
                              <w:marRight w:val="0"/>
                              <w:marTop w:val="0"/>
                              <w:marBottom w:val="0"/>
                              <w:divBdr>
                                <w:top w:val="none" w:sz="0" w:space="0" w:color="auto"/>
                                <w:left w:val="none" w:sz="0" w:space="0" w:color="auto"/>
                                <w:bottom w:val="none" w:sz="0" w:space="0" w:color="auto"/>
                                <w:right w:val="none" w:sz="0" w:space="0" w:color="auto"/>
                              </w:divBdr>
                              <w:divsChild>
                                <w:div w:id="1312758286">
                                  <w:marLeft w:val="0"/>
                                  <w:marRight w:val="0"/>
                                  <w:marTop w:val="0"/>
                                  <w:marBottom w:val="0"/>
                                  <w:divBdr>
                                    <w:top w:val="none" w:sz="0" w:space="0" w:color="auto"/>
                                    <w:left w:val="none" w:sz="0" w:space="0" w:color="auto"/>
                                    <w:bottom w:val="none" w:sz="0" w:space="0" w:color="auto"/>
                                    <w:right w:val="none" w:sz="0" w:space="0" w:color="auto"/>
                                  </w:divBdr>
                                  <w:divsChild>
                                    <w:div w:id="918053323">
                                      <w:marLeft w:val="0"/>
                                      <w:marRight w:val="0"/>
                                      <w:marTop w:val="0"/>
                                      <w:marBottom w:val="0"/>
                                      <w:divBdr>
                                        <w:top w:val="none" w:sz="0" w:space="0" w:color="auto"/>
                                        <w:left w:val="none" w:sz="0" w:space="0" w:color="auto"/>
                                        <w:bottom w:val="none" w:sz="0" w:space="0" w:color="auto"/>
                                        <w:right w:val="none" w:sz="0" w:space="0" w:color="auto"/>
                                      </w:divBdr>
                                      <w:divsChild>
                                        <w:div w:id="695885849">
                                          <w:marLeft w:val="0"/>
                                          <w:marRight w:val="0"/>
                                          <w:marTop w:val="0"/>
                                          <w:marBottom w:val="0"/>
                                          <w:divBdr>
                                            <w:top w:val="none" w:sz="0" w:space="0" w:color="auto"/>
                                            <w:left w:val="none" w:sz="0" w:space="0" w:color="auto"/>
                                            <w:bottom w:val="none" w:sz="0" w:space="0" w:color="auto"/>
                                            <w:right w:val="none" w:sz="0" w:space="0" w:color="auto"/>
                                          </w:divBdr>
                                          <w:divsChild>
                                            <w:div w:id="1503813806">
                                              <w:marLeft w:val="0"/>
                                              <w:marRight w:val="0"/>
                                              <w:marTop w:val="0"/>
                                              <w:marBottom w:val="0"/>
                                              <w:divBdr>
                                                <w:top w:val="none" w:sz="0" w:space="0" w:color="auto"/>
                                                <w:left w:val="none" w:sz="0" w:space="0" w:color="auto"/>
                                                <w:bottom w:val="none" w:sz="0" w:space="0" w:color="auto"/>
                                                <w:right w:val="none" w:sz="0" w:space="0" w:color="auto"/>
                                              </w:divBdr>
                                              <w:divsChild>
                                                <w:div w:id="6505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94584-4CB9-4E03-89B3-FEF4A6943B3D}">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0403aeb7-10dd-41a9-8f8e-1fc0ec5546a5"/>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4.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5.xml><?xml version="1.0" encoding="utf-8"?>
<ds:datastoreItem xmlns:ds="http://schemas.openxmlformats.org/officeDocument/2006/customXml" ds:itemID="{6B2EBD3C-5883-4E1F-80B2-C73ABCBE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12</Pages>
  <Words>17633</Words>
  <Characters>10051</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26.oktobra noteikumos Nr.997„Noteikumi par garantijām komersantu un atbilstošu lauksaimniecības pakalpojumu kooperatīvo sabiedrību konkurētspējas uzlabošanai”” sākotnējās ietekmes</vt:lpstr>
    </vt:vector>
  </TitlesOfParts>
  <Company>EM</Company>
  <LinksUpToDate>false</LinksUpToDate>
  <CharactersWithSpaces>27629</CharactersWithSpaces>
  <SharedDoc>false</SharedDoc>
  <HLinks>
    <vt:vector size="6" baseType="variant">
      <vt:variant>
        <vt:i4>1507344</vt:i4>
      </vt:variant>
      <vt:variant>
        <vt:i4>0</vt:i4>
      </vt:variant>
      <vt:variant>
        <vt:i4>0</vt:i4>
      </vt:variant>
      <vt:variant>
        <vt:i4>5</vt:i4>
      </vt:variant>
      <vt:variant>
        <vt:lpwstr>http://tap.mk.gov.lv/lv/mk/tap/?pid=40390361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26.oktobra noteikumos Nr.997„Noteikumi par garantijām komersantu un atbilstošu lauksaimniecības pakalpojumu kooperatīvo sabiedrību konkurētspējas uzlabošanai”” sākotnējās ietekmes novērtējuma ziņojums (anotācija)</dc:title>
  <dc:subject>MK noteikumu anotācija</dc:subject>
  <dc:creator>Elīna Dlohi</dc:creator>
  <cp:lastModifiedBy>Liene Bergholde</cp:lastModifiedBy>
  <cp:revision>8</cp:revision>
  <cp:lastPrinted>2018-11-01T11:46:00Z</cp:lastPrinted>
  <dcterms:created xsi:type="dcterms:W3CDTF">2019-04-24T07:57:00Z</dcterms:created>
  <dcterms:modified xsi:type="dcterms:W3CDTF">2019-05-08T13:22:00Z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rtiba">
    <vt:lpwstr/>
  </property>
  <property fmtid="{D5CDD505-2E9C-101B-9397-08002B2CF9AE}" pid="3" name="Apraksts">
    <vt:lpwstr/>
  </property>
  <property fmtid="{D5CDD505-2E9C-101B-9397-08002B2CF9AE}" pid="4" name="Sede">
    <vt:lpwstr/>
  </property>
  <property fmtid="{D5CDD505-2E9C-101B-9397-08002B2CF9AE}" pid="5" name="WorkflowChangePath">
    <vt:lpwstr>62de6b22-8c5c-435a-b322-e6d4ca62170b,3;62de6b22-8c5c-435a-b322-e6d4ca62170b,3;</vt:lpwstr>
  </property>
  <property fmtid="{D5CDD505-2E9C-101B-9397-08002B2CF9AE}" pid="6" name="Kom">
    <vt:lpwstr/>
  </property>
</Properties>
</file>