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25C2" w14:textId="6F3354D2" w:rsidR="001832FA" w:rsidRPr="0010322E" w:rsidRDefault="00F21887" w:rsidP="00151DF3">
      <w:pPr>
        <w:ind w:left="720"/>
        <w:jc w:val="center"/>
        <w:rPr>
          <w:b/>
          <w:sz w:val="26"/>
          <w:szCs w:val="26"/>
        </w:rPr>
      </w:pPr>
      <w:r w:rsidRPr="0010322E">
        <w:rPr>
          <w:b/>
          <w:sz w:val="26"/>
          <w:szCs w:val="26"/>
        </w:rPr>
        <w:t>Likumprojekta</w:t>
      </w:r>
    </w:p>
    <w:p w14:paraId="18281DB7" w14:textId="01109BBD" w:rsidR="001832FA" w:rsidRPr="0010322E" w:rsidRDefault="00D16901" w:rsidP="00151DF3">
      <w:pPr>
        <w:spacing w:after="60"/>
        <w:ind w:left="720"/>
        <w:jc w:val="center"/>
        <w:rPr>
          <w:b/>
          <w:sz w:val="26"/>
          <w:szCs w:val="26"/>
        </w:rPr>
      </w:pPr>
      <w:r w:rsidRPr="0010322E">
        <w:rPr>
          <w:b/>
          <w:sz w:val="26"/>
          <w:szCs w:val="26"/>
        </w:rPr>
        <w:t>“</w:t>
      </w:r>
      <w:r w:rsidR="00F21887" w:rsidRPr="0010322E">
        <w:rPr>
          <w:b/>
          <w:sz w:val="26"/>
          <w:szCs w:val="26"/>
        </w:rPr>
        <w:t>Grozījumi Jaunuzņēmumu darbības atbalsta likumā</w:t>
      </w:r>
      <w:r w:rsidRPr="0010322E">
        <w:rPr>
          <w:b/>
          <w:sz w:val="26"/>
          <w:szCs w:val="26"/>
        </w:rPr>
        <w:t>” sākotnējās ietekmes novērtējuma ziņojums (anotācija)</w:t>
      </w:r>
    </w:p>
    <w:p w14:paraId="75334F37" w14:textId="4C72DB9B" w:rsidR="0010322E" w:rsidRPr="0010322E" w:rsidRDefault="0010322E" w:rsidP="00151DF3">
      <w:pPr>
        <w:spacing w:after="60"/>
        <w:ind w:left="720"/>
        <w:jc w:val="center"/>
        <w:rPr>
          <w:b/>
          <w:sz w:val="26"/>
          <w:szCs w:val="26"/>
        </w:rPr>
      </w:pPr>
    </w:p>
    <w:tbl>
      <w:tblPr>
        <w:tblStyle w:val="TableGrid"/>
        <w:tblW w:w="0" w:type="auto"/>
        <w:tblLook w:val="04A0" w:firstRow="1" w:lastRow="0" w:firstColumn="1" w:lastColumn="0" w:noHBand="0" w:noVBand="1"/>
      </w:tblPr>
      <w:tblGrid>
        <w:gridCol w:w="3114"/>
        <w:gridCol w:w="5947"/>
      </w:tblGrid>
      <w:tr w:rsidR="00C16931" w:rsidRPr="0010322E" w14:paraId="52E97E43" w14:textId="77777777" w:rsidTr="00FF51AF">
        <w:tc>
          <w:tcPr>
            <w:tcW w:w="9061" w:type="dxa"/>
            <w:gridSpan w:val="2"/>
          </w:tcPr>
          <w:p w14:paraId="520CDF90" w14:textId="77777777" w:rsidR="00C16931" w:rsidRPr="0010322E" w:rsidRDefault="00C16931" w:rsidP="00FF51AF">
            <w:pPr>
              <w:jc w:val="center"/>
              <w:rPr>
                <w:b/>
                <w:sz w:val="26"/>
                <w:szCs w:val="26"/>
              </w:rPr>
            </w:pPr>
            <w:r w:rsidRPr="0010322E">
              <w:rPr>
                <w:b/>
                <w:sz w:val="26"/>
                <w:szCs w:val="26"/>
              </w:rPr>
              <w:t>Tiesību akta projekta anotācijas kopsavilkums</w:t>
            </w:r>
          </w:p>
        </w:tc>
      </w:tr>
      <w:tr w:rsidR="00C16931" w:rsidRPr="0010322E" w14:paraId="2D72BCD9" w14:textId="77777777" w:rsidTr="00FF51AF">
        <w:tc>
          <w:tcPr>
            <w:tcW w:w="3114" w:type="dxa"/>
          </w:tcPr>
          <w:p w14:paraId="629DC035" w14:textId="77777777" w:rsidR="00C16931" w:rsidRPr="0010322E" w:rsidRDefault="00C16931" w:rsidP="00FF51AF">
            <w:pPr>
              <w:jc w:val="both"/>
              <w:rPr>
                <w:b/>
                <w:sz w:val="26"/>
                <w:szCs w:val="26"/>
              </w:rPr>
            </w:pPr>
            <w:r w:rsidRPr="0010322E">
              <w:rPr>
                <w:b/>
                <w:sz w:val="26"/>
                <w:szCs w:val="26"/>
              </w:rPr>
              <w:t>Mērķis, risinājums un projekta spēkā stāšanās laiks (500 zīmes bez atstarpēm)</w:t>
            </w:r>
          </w:p>
        </w:tc>
        <w:tc>
          <w:tcPr>
            <w:tcW w:w="5947" w:type="dxa"/>
          </w:tcPr>
          <w:p w14:paraId="58E3925C" w14:textId="27715099" w:rsidR="00C16931" w:rsidRPr="0010322E" w:rsidRDefault="00C16931" w:rsidP="00FF51AF">
            <w:pPr>
              <w:jc w:val="both"/>
              <w:rPr>
                <w:sz w:val="26"/>
                <w:szCs w:val="26"/>
              </w:rPr>
            </w:pPr>
            <w:r w:rsidRPr="0010322E">
              <w:rPr>
                <w:sz w:val="26"/>
                <w:szCs w:val="26"/>
              </w:rPr>
              <w:t xml:space="preserve">Tiesību akta projekts paredz </w:t>
            </w:r>
            <w:proofErr w:type="spellStart"/>
            <w:r w:rsidRPr="0010322E">
              <w:rPr>
                <w:sz w:val="26"/>
                <w:szCs w:val="26"/>
              </w:rPr>
              <w:t>Jaunuzņēmumu</w:t>
            </w:r>
            <w:proofErr w:type="spellEnd"/>
            <w:r w:rsidRPr="0010322E">
              <w:rPr>
                <w:sz w:val="26"/>
                <w:szCs w:val="26"/>
              </w:rPr>
              <w:t xml:space="preserve"> darbības atbalsta likumā precizēt </w:t>
            </w:r>
            <w:proofErr w:type="spellStart"/>
            <w:r w:rsidRPr="0010322E">
              <w:rPr>
                <w:sz w:val="26"/>
                <w:szCs w:val="26"/>
              </w:rPr>
              <w:t>jaunuzņēmumu</w:t>
            </w:r>
            <w:proofErr w:type="spellEnd"/>
            <w:r w:rsidRPr="0010322E">
              <w:rPr>
                <w:sz w:val="26"/>
                <w:szCs w:val="26"/>
              </w:rPr>
              <w:t xml:space="preserve"> kvalifikācijas nosacījumus, mazināt administratīvo slogu pieteikšanās procesā, kā arī veikt tehniskus precizējumus</w:t>
            </w:r>
            <w:r w:rsidR="00470603">
              <w:rPr>
                <w:sz w:val="26"/>
                <w:szCs w:val="26"/>
              </w:rPr>
              <w:t xml:space="preserve"> nepārprotamai normu interpretācijai</w:t>
            </w:r>
            <w:r w:rsidRPr="0010322E">
              <w:rPr>
                <w:sz w:val="26"/>
                <w:szCs w:val="26"/>
              </w:rPr>
              <w:t xml:space="preserve">. </w:t>
            </w:r>
          </w:p>
        </w:tc>
      </w:tr>
    </w:tbl>
    <w:p w14:paraId="2D16782B" w14:textId="77777777" w:rsidR="00C16931" w:rsidRPr="0010322E" w:rsidRDefault="00C16931" w:rsidP="00C16931">
      <w:pPr>
        <w:spacing w:after="60"/>
        <w:rPr>
          <w:b/>
          <w:sz w:val="26"/>
          <w:szCs w:val="26"/>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703"/>
      </w:tblGrid>
      <w:tr w:rsidR="001832FA" w:rsidRPr="0010322E" w14:paraId="29937F25" w14:textId="77777777" w:rsidTr="0010322E">
        <w:tc>
          <w:tcPr>
            <w:tcW w:w="9067"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Pr="0010322E" w:rsidRDefault="00D16901">
            <w:pPr>
              <w:pStyle w:val="ListParagraph"/>
              <w:tabs>
                <w:tab w:val="left" w:pos="2268"/>
                <w:tab w:val="left" w:pos="2410"/>
              </w:tabs>
              <w:ind w:left="1080"/>
              <w:contextualSpacing/>
              <w:jc w:val="center"/>
              <w:rPr>
                <w:rFonts w:ascii="Times New Roman" w:hAnsi="Times New Roman"/>
                <w:b/>
                <w:sz w:val="26"/>
                <w:szCs w:val="26"/>
              </w:rPr>
            </w:pPr>
            <w:r w:rsidRPr="0010322E">
              <w:rPr>
                <w:rFonts w:ascii="Times New Roman" w:hAnsi="Times New Roman"/>
                <w:b/>
                <w:sz w:val="26"/>
                <w:szCs w:val="26"/>
              </w:rPr>
              <w:t>I. Tiesību akta projekta izstrādes nepieciešamība</w:t>
            </w:r>
          </w:p>
        </w:tc>
      </w:tr>
      <w:tr w:rsidR="001832FA" w:rsidRPr="0010322E" w14:paraId="3BF86523"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Pr="0010322E" w:rsidRDefault="00D16901">
            <w:pPr>
              <w:jc w:val="center"/>
              <w:rPr>
                <w:sz w:val="26"/>
                <w:szCs w:val="26"/>
              </w:rPr>
            </w:pPr>
            <w:r w:rsidRPr="0010322E">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Pr="0010322E" w:rsidRDefault="00D16901">
            <w:pPr>
              <w:tabs>
                <w:tab w:val="left" w:pos="1904"/>
              </w:tabs>
              <w:rPr>
                <w:sz w:val="26"/>
                <w:szCs w:val="26"/>
              </w:rPr>
            </w:pPr>
            <w:r w:rsidRPr="0010322E">
              <w:rPr>
                <w:sz w:val="26"/>
                <w:szCs w:val="26"/>
              </w:rPr>
              <w:t>Pamatojums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5051E452" w:rsidR="001832FA" w:rsidRPr="0010322E" w:rsidRDefault="00F21887" w:rsidP="000277E6">
            <w:pPr>
              <w:spacing w:after="60"/>
              <w:ind w:firstLine="788"/>
              <w:jc w:val="both"/>
              <w:rPr>
                <w:b/>
                <w:sz w:val="26"/>
                <w:szCs w:val="26"/>
              </w:rPr>
            </w:pPr>
            <w:r w:rsidRPr="0010322E">
              <w:rPr>
                <w:sz w:val="26"/>
                <w:szCs w:val="26"/>
              </w:rPr>
              <w:t xml:space="preserve">Likumprojekts  </w:t>
            </w:r>
            <w:r w:rsidR="001B602D" w:rsidRPr="0010322E">
              <w:rPr>
                <w:sz w:val="26"/>
                <w:szCs w:val="26"/>
              </w:rPr>
              <w:t>“</w:t>
            </w:r>
            <w:r w:rsidRPr="0010322E">
              <w:rPr>
                <w:sz w:val="26"/>
                <w:szCs w:val="26"/>
              </w:rPr>
              <w:t>Grozījumi Jaunuzņēmumu darbības atbalsta likumā</w:t>
            </w:r>
            <w:r w:rsidR="001B602D" w:rsidRPr="0010322E">
              <w:rPr>
                <w:sz w:val="26"/>
                <w:szCs w:val="26"/>
              </w:rPr>
              <w:t>” (turpmāk – Likumprojekts)</w:t>
            </w:r>
            <w:r w:rsidRPr="0010322E">
              <w:rPr>
                <w:sz w:val="26"/>
                <w:szCs w:val="26"/>
              </w:rPr>
              <w:t xml:space="preserve"> izstrādāts pēc </w:t>
            </w:r>
            <w:r w:rsidR="00A42BDE" w:rsidRPr="0010322E">
              <w:rPr>
                <w:sz w:val="26"/>
                <w:szCs w:val="26"/>
              </w:rPr>
              <w:t xml:space="preserve">Ekonomikas ministrijas </w:t>
            </w:r>
            <w:r w:rsidR="003B3DF2" w:rsidRPr="0010322E">
              <w:rPr>
                <w:sz w:val="26"/>
                <w:szCs w:val="26"/>
              </w:rPr>
              <w:t xml:space="preserve">(turpmāk – EM) </w:t>
            </w:r>
            <w:r w:rsidR="00A42BDE" w:rsidRPr="0010322E">
              <w:rPr>
                <w:sz w:val="26"/>
                <w:szCs w:val="26"/>
              </w:rPr>
              <w:t>iniciatīvas.</w:t>
            </w:r>
            <w:r w:rsidRPr="0010322E">
              <w:rPr>
                <w:sz w:val="26"/>
                <w:szCs w:val="26"/>
              </w:rPr>
              <w:t xml:space="preserve"> </w:t>
            </w:r>
          </w:p>
        </w:tc>
      </w:tr>
      <w:tr w:rsidR="001832FA" w:rsidRPr="0010322E" w14:paraId="3C38E746"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Pr="0010322E" w:rsidRDefault="00D16901">
            <w:pPr>
              <w:jc w:val="center"/>
              <w:rPr>
                <w:sz w:val="26"/>
                <w:szCs w:val="26"/>
              </w:rPr>
            </w:pPr>
            <w:r w:rsidRPr="0010322E">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Pr="0010322E" w:rsidRDefault="00D16901">
            <w:pPr>
              <w:jc w:val="both"/>
              <w:rPr>
                <w:sz w:val="26"/>
                <w:szCs w:val="26"/>
              </w:rPr>
            </w:pPr>
            <w:r w:rsidRPr="0010322E">
              <w:rPr>
                <w:sz w:val="26"/>
                <w:szCs w:val="26"/>
              </w:rPr>
              <w:t>Pašreizējā situācija un problēmas, kuru risināšanai tiesību akta projekts izstrādāts, tiesiskā regulējuma mērķis un būtība</w:t>
            </w:r>
          </w:p>
          <w:p w14:paraId="39CD2B7B" w14:textId="77777777" w:rsidR="001832FA" w:rsidRPr="0010322E" w:rsidRDefault="001832FA">
            <w:pPr>
              <w:rPr>
                <w:sz w:val="26"/>
                <w:szCs w:val="26"/>
              </w:rPr>
            </w:pPr>
          </w:p>
          <w:p w14:paraId="0F09E521" w14:textId="77777777" w:rsidR="001832FA" w:rsidRPr="0010322E" w:rsidRDefault="001832FA">
            <w:pPr>
              <w:jc w:val="right"/>
              <w:rPr>
                <w:sz w:val="26"/>
                <w:szCs w:val="26"/>
              </w:rPr>
            </w:pPr>
          </w:p>
          <w:p w14:paraId="09A7D57E" w14:textId="77777777" w:rsidR="001832FA" w:rsidRPr="0010322E" w:rsidRDefault="001832FA">
            <w:pPr>
              <w:rPr>
                <w:sz w:val="26"/>
                <w:szCs w:val="26"/>
              </w:rPr>
            </w:pPr>
          </w:p>
          <w:p w14:paraId="06B60696" w14:textId="77777777" w:rsidR="001832FA" w:rsidRPr="0010322E" w:rsidRDefault="001832FA">
            <w:pPr>
              <w:rPr>
                <w:sz w:val="26"/>
                <w:szCs w:val="26"/>
              </w:rPr>
            </w:pPr>
          </w:p>
          <w:p w14:paraId="10276ABB" w14:textId="77777777" w:rsidR="001832FA" w:rsidRPr="0010322E" w:rsidRDefault="001832FA">
            <w:pPr>
              <w:rPr>
                <w:sz w:val="26"/>
                <w:szCs w:val="26"/>
              </w:rPr>
            </w:pPr>
          </w:p>
          <w:p w14:paraId="5336514A" w14:textId="77777777" w:rsidR="001832FA" w:rsidRPr="0010322E" w:rsidRDefault="001832FA">
            <w:pPr>
              <w:rPr>
                <w:sz w:val="26"/>
                <w:szCs w:val="26"/>
              </w:rPr>
            </w:pPr>
          </w:p>
          <w:p w14:paraId="65D9570D" w14:textId="77777777" w:rsidR="001832FA" w:rsidRPr="0010322E" w:rsidRDefault="001832FA">
            <w:pPr>
              <w:rPr>
                <w:sz w:val="26"/>
                <w:szCs w:val="26"/>
              </w:rPr>
            </w:pPr>
          </w:p>
          <w:p w14:paraId="5DED7F63" w14:textId="77777777" w:rsidR="001832FA" w:rsidRPr="0010322E" w:rsidRDefault="001832FA">
            <w:pPr>
              <w:rPr>
                <w:sz w:val="26"/>
                <w:szCs w:val="26"/>
              </w:rPr>
            </w:pPr>
          </w:p>
          <w:p w14:paraId="7B3CE7DB" w14:textId="77777777" w:rsidR="001832FA" w:rsidRPr="0010322E" w:rsidRDefault="001832FA">
            <w:pPr>
              <w:rPr>
                <w:sz w:val="26"/>
                <w:szCs w:val="26"/>
              </w:rPr>
            </w:pPr>
          </w:p>
          <w:p w14:paraId="6A97B62A" w14:textId="77777777" w:rsidR="001832FA" w:rsidRPr="0010322E" w:rsidRDefault="001832FA">
            <w:pPr>
              <w:rPr>
                <w:sz w:val="26"/>
                <w:szCs w:val="26"/>
              </w:rPr>
            </w:pPr>
          </w:p>
          <w:p w14:paraId="593461F7" w14:textId="77777777" w:rsidR="001832FA" w:rsidRPr="0010322E" w:rsidRDefault="001832FA">
            <w:pPr>
              <w:rPr>
                <w:sz w:val="26"/>
                <w:szCs w:val="26"/>
              </w:rPr>
            </w:pPr>
          </w:p>
          <w:p w14:paraId="499F3279" w14:textId="77777777" w:rsidR="001832FA" w:rsidRPr="0010322E" w:rsidRDefault="001832FA">
            <w:pPr>
              <w:rPr>
                <w:sz w:val="26"/>
                <w:szCs w:val="26"/>
              </w:rPr>
            </w:pPr>
          </w:p>
          <w:p w14:paraId="7B601B74" w14:textId="77777777" w:rsidR="001832FA" w:rsidRPr="0010322E" w:rsidRDefault="001832FA">
            <w:pPr>
              <w:rPr>
                <w:sz w:val="26"/>
                <w:szCs w:val="26"/>
              </w:rPr>
            </w:pPr>
          </w:p>
          <w:p w14:paraId="310A26A1" w14:textId="77777777" w:rsidR="001832FA" w:rsidRPr="0010322E" w:rsidRDefault="001832FA">
            <w:pPr>
              <w:rPr>
                <w:sz w:val="26"/>
                <w:szCs w:val="26"/>
              </w:rPr>
            </w:pPr>
          </w:p>
          <w:p w14:paraId="6D78C122" w14:textId="77777777" w:rsidR="001832FA" w:rsidRPr="0010322E" w:rsidRDefault="001832FA">
            <w:pPr>
              <w:rPr>
                <w:sz w:val="26"/>
                <w:szCs w:val="26"/>
              </w:rPr>
            </w:pPr>
          </w:p>
          <w:p w14:paraId="4C961C9A" w14:textId="77777777" w:rsidR="001832FA" w:rsidRPr="0010322E" w:rsidRDefault="001832FA">
            <w:pPr>
              <w:rPr>
                <w:sz w:val="26"/>
                <w:szCs w:val="26"/>
              </w:rPr>
            </w:pPr>
          </w:p>
          <w:p w14:paraId="35D42579" w14:textId="77777777" w:rsidR="001832FA" w:rsidRPr="0010322E" w:rsidRDefault="001832FA">
            <w:pPr>
              <w:rPr>
                <w:sz w:val="26"/>
                <w:szCs w:val="26"/>
              </w:rPr>
            </w:pPr>
          </w:p>
          <w:p w14:paraId="26AE7185" w14:textId="77777777" w:rsidR="001832FA" w:rsidRPr="0010322E" w:rsidRDefault="001832FA">
            <w:pPr>
              <w:rPr>
                <w:sz w:val="26"/>
                <w:szCs w:val="26"/>
              </w:rPr>
            </w:pPr>
          </w:p>
          <w:p w14:paraId="0D45B7A3" w14:textId="77777777" w:rsidR="001832FA" w:rsidRPr="0010322E" w:rsidRDefault="001832FA">
            <w:pPr>
              <w:rPr>
                <w:sz w:val="26"/>
                <w:szCs w:val="26"/>
              </w:rPr>
            </w:pPr>
          </w:p>
          <w:p w14:paraId="46A2A428" w14:textId="77777777" w:rsidR="001832FA" w:rsidRPr="0010322E" w:rsidRDefault="001832FA">
            <w:pPr>
              <w:rPr>
                <w:sz w:val="26"/>
                <w:szCs w:val="26"/>
              </w:rPr>
            </w:pPr>
          </w:p>
          <w:p w14:paraId="6880785B" w14:textId="77777777" w:rsidR="001832FA" w:rsidRPr="0010322E" w:rsidRDefault="001832FA">
            <w:pPr>
              <w:rPr>
                <w:sz w:val="26"/>
                <w:szCs w:val="26"/>
              </w:rPr>
            </w:pPr>
          </w:p>
          <w:p w14:paraId="2396357E" w14:textId="77777777" w:rsidR="001832FA" w:rsidRPr="0010322E" w:rsidRDefault="001832FA">
            <w:pPr>
              <w:rPr>
                <w:sz w:val="26"/>
                <w:szCs w:val="26"/>
              </w:rPr>
            </w:pPr>
          </w:p>
          <w:p w14:paraId="548EF4F8" w14:textId="77777777" w:rsidR="001832FA" w:rsidRPr="0010322E" w:rsidRDefault="001832FA">
            <w:pPr>
              <w:ind w:firstLine="720"/>
              <w:rPr>
                <w:sz w:val="26"/>
                <w:szCs w:val="26"/>
              </w:rPr>
            </w:pPr>
          </w:p>
          <w:p w14:paraId="0B58B1E7" w14:textId="77777777" w:rsidR="001832FA" w:rsidRPr="0010322E" w:rsidRDefault="001832FA">
            <w:pPr>
              <w:rPr>
                <w:sz w:val="26"/>
                <w:szCs w:val="26"/>
              </w:rPr>
            </w:pPr>
          </w:p>
          <w:p w14:paraId="64AD9C4B" w14:textId="77777777" w:rsidR="001832FA" w:rsidRPr="0010322E" w:rsidRDefault="001832FA">
            <w:pPr>
              <w:rPr>
                <w:sz w:val="26"/>
                <w:szCs w:val="26"/>
              </w:rPr>
            </w:pPr>
          </w:p>
          <w:p w14:paraId="7351DDFB" w14:textId="77777777" w:rsidR="001832FA" w:rsidRPr="0010322E" w:rsidRDefault="001832FA">
            <w:pPr>
              <w:rPr>
                <w:sz w:val="26"/>
                <w:szCs w:val="26"/>
              </w:rPr>
            </w:pPr>
          </w:p>
          <w:p w14:paraId="26BDE63D" w14:textId="77777777" w:rsidR="001832FA" w:rsidRPr="0010322E" w:rsidRDefault="001832FA">
            <w:pPr>
              <w:rPr>
                <w:sz w:val="26"/>
                <w:szCs w:val="26"/>
              </w:rPr>
            </w:pPr>
          </w:p>
          <w:p w14:paraId="5E3675F8" w14:textId="77777777" w:rsidR="001832FA" w:rsidRPr="0010322E" w:rsidRDefault="001832FA">
            <w:pPr>
              <w:rPr>
                <w:sz w:val="26"/>
                <w:szCs w:val="26"/>
              </w:rPr>
            </w:pPr>
          </w:p>
          <w:p w14:paraId="6A5893B1" w14:textId="77777777" w:rsidR="001832FA" w:rsidRPr="0010322E" w:rsidRDefault="001832FA">
            <w:pPr>
              <w:jc w:val="center"/>
              <w:rPr>
                <w:sz w:val="26"/>
                <w:szCs w:val="26"/>
              </w:rPr>
            </w:pPr>
          </w:p>
        </w:tc>
        <w:tc>
          <w:tcPr>
            <w:tcW w:w="6703" w:type="dxa"/>
            <w:tcBorders>
              <w:top w:val="single" w:sz="4" w:space="0" w:color="000000"/>
              <w:left w:val="single" w:sz="4" w:space="0" w:color="000000"/>
              <w:bottom w:val="single" w:sz="4" w:space="0" w:color="000000"/>
              <w:right w:val="single" w:sz="4" w:space="0" w:color="000000"/>
            </w:tcBorders>
            <w:shd w:val="clear" w:color="000000" w:fill="FFFFFF"/>
          </w:tcPr>
          <w:p w14:paraId="02342E92" w14:textId="5828B489" w:rsidR="00973F32" w:rsidRPr="0010322E" w:rsidRDefault="00DF21F9" w:rsidP="00252A85">
            <w:pPr>
              <w:ind w:firstLine="720"/>
              <w:jc w:val="both"/>
              <w:rPr>
                <w:rFonts w:eastAsia="Calibri"/>
                <w:bCs/>
                <w:sz w:val="26"/>
                <w:szCs w:val="26"/>
                <w:shd w:val="clear" w:color="auto" w:fill="FFFFFF"/>
              </w:rPr>
            </w:pPr>
            <w:proofErr w:type="spellStart"/>
            <w:r w:rsidRPr="0010322E">
              <w:rPr>
                <w:rFonts w:eastAsia="Calibri"/>
                <w:bCs/>
                <w:sz w:val="26"/>
                <w:szCs w:val="26"/>
                <w:shd w:val="clear" w:color="auto" w:fill="FFFFFF"/>
              </w:rPr>
              <w:lastRenderedPageBreak/>
              <w:t>Jaunuzņēmumu</w:t>
            </w:r>
            <w:proofErr w:type="spellEnd"/>
            <w:r w:rsidRPr="0010322E">
              <w:rPr>
                <w:rFonts w:eastAsia="Calibri"/>
                <w:bCs/>
                <w:sz w:val="26"/>
                <w:szCs w:val="26"/>
                <w:shd w:val="clear" w:color="auto" w:fill="FFFFFF"/>
              </w:rPr>
              <w:t xml:space="preserve"> darbības atbalsta likums (turpmāk – Likums) spēkā stājās </w:t>
            </w:r>
            <w:r w:rsidR="00A42BDE" w:rsidRPr="0010322E">
              <w:rPr>
                <w:rFonts w:eastAsia="Calibri"/>
                <w:bCs/>
                <w:sz w:val="26"/>
                <w:szCs w:val="26"/>
                <w:shd w:val="clear" w:color="auto" w:fill="FFFFFF"/>
              </w:rPr>
              <w:t xml:space="preserve">2017.gada 1.janvārī </w:t>
            </w:r>
            <w:r w:rsidR="004E48E5" w:rsidRPr="0010322E">
              <w:rPr>
                <w:rFonts w:eastAsia="Calibri"/>
                <w:bCs/>
                <w:sz w:val="26"/>
                <w:szCs w:val="26"/>
                <w:shd w:val="clear" w:color="auto" w:fill="FFFFFF"/>
              </w:rPr>
              <w:t xml:space="preserve">ar mērķi </w:t>
            </w:r>
            <w:r w:rsidR="00A42BDE" w:rsidRPr="0010322E">
              <w:rPr>
                <w:rFonts w:eastAsia="Calibri"/>
                <w:bCs/>
                <w:sz w:val="26"/>
                <w:szCs w:val="26"/>
                <w:shd w:val="clear" w:color="auto" w:fill="FFFFFF"/>
              </w:rPr>
              <w:t>veicin</w:t>
            </w:r>
            <w:r w:rsidR="004E48E5" w:rsidRPr="0010322E">
              <w:rPr>
                <w:rFonts w:eastAsia="Calibri"/>
                <w:bCs/>
                <w:sz w:val="26"/>
                <w:szCs w:val="26"/>
                <w:shd w:val="clear" w:color="auto" w:fill="FFFFFF"/>
              </w:rPr>
              <w:t>āt</w:t>
            </w:r>
            <w:r w:rsidR="00A42BDE" w:rsidRPr="0010322E">
              <w:rPr>
                <w:rFonts w:eastAsia="Calibri"/>
                <w:bCs/>
                <w:sz w:val="26"/>
                <w:szCs w:val="26"/>
                <w:shd w:val="clear" w:color="auto" w:fill="FFFFFF"/>
              </w:rPr>
              <w:t xml:space="preserve"> strauji augošu </w:t>
            </w:r>
            <w:proofErr w:type="spellStart"/>
            <w:r w:rsidR="00A42BDE" w:rsidRPr="0010322E">
              <w:rPr>
                <w:rFonts w:eastAsia="Calibri"/>
                <w:bCs/>
                <w:sz w:val="26"/>
                <w:szCs w:val="26"/>
                <w:shd w:val="clear" w:color="auto" w:fill="FFFFFF"/>
              </w:rPr>
              <w:t>jaunuzņēmumu</w:t>
            </w:r>
            <w:proofErr w:type="spellEnd"/>
            <w:r w:rsidR="00A42BDE" w:rsidRPr="0010322E">
              <w:rPr>
                <w:rFonts w:eastAsia="Calibri"/>
                <w:bCs/>
                <w:sz w:val="26"/>
                <w:szCs w:val="26"/>
                <w:shd w:val="clear" w:color="auto" w:fill="FFFFFF"/>
              </w:rPr>
              <w:t xml:space="preserve"> veidošanos Latvijā un sekmē</w:t>
            </w:r>
            <w:r w:rsidR="004E48E5" w:rsidRPr="0010322E">
              <w:rPr>
                <w:rFonts w:eastAsia="Calibri"/>
                <w:bCs/>
                <w:sz w:val="26"/>
                <w:szCs w:val="26"/>
                <w:shd w:val="clear" w:color="auto" w:fill="FFFFFF"/>
              </w:rPr>
              <w:t>t</w:t>
            </w:r>
            <w:r w:rsidR="00A42BDE" w:rsidRPr="0010322E">
              <w:rPr>
                <w:rFonts w:eastAsia="Calibri"/>
                <w:bCs/>
                <w:sz w:val="26"/>
                <w:szCs w:val="26"/>
                <w:shd w:val="clear" w:color="auto" w:fill="FFFFFF"/>
              </w:rPr>
              <w:t xml:space="preserve"> pētniecības attīstību un </w:t>
            </w:r>
            <w:r w:rsidR="00470603">
              <w:rPr>
                <w:rFonts w:eastAsia="Calibri"/>
                <w:bCs/>
                <w:sz w:val="26"/>
                <w:szCs w:val="26"/>
                <w:shd w:val="clear" w:color="auto" w:fill="FFFFFF"/>
              </w:rPr>
              <w:t>p</w:t>
            </w:r>
            <w:r w:rsidR="00A42BDE" w:rsidRPr="0010322E">
              <w:rPr>
                <w:rFonts w:eastAsia="Calibri"/>
                <w:bCs/>
                <w:sz w:val="26"/>
                <w:szCs w:val="26"/>
                <w:shd w:val="clear" w:color="auto" w:fill="FFFFFF"/>
              </w:rPr>
              <w:t xml:space="preserve">roduktu </w:t>
            </w:r>
            <w:proofErr w:type="spellStart"/>
            <w:r w:rsidR="00A42BDE" w:rsidRPr="0010322E">
              <w:rPr>
                <w:rFonts w:eastAsia="Calibri"/>
                <w:bCs/>
                <w:sz w:val="26"/>
                <w:szCs w:val="26"/>
                <w:shd w:val="clear" w:color="auto" w:fill="FFFFFF"/>
              </w:rPr>
              <w:t>komercializāciju</w:t>
            </w:r>
            <w:proofErr w:type="spellEnd"/>
            <w:r w:rsidR="00A42BDE" w:rsidRPr="0010322E">
              <w:rPr>
                <w:rFonts w:eastAsia="Calibri"/>
                <w:bCs/>
                <w:sz w:val="26"/>
                <w:szCs w:val="26"/>
                <w:shd w:val="clear" w:color="auto" w:fill="FFFFFF"/>
              </w:rPr>
              <w:t>.</w:t>
            </w:r>
            <w:r w:rsidR="00AA0745">
              <w:rPr>
                <w:rFonts w:eastAsia="Calibri"/>
                <w:bCs/>
                <w:sz w:val="26"/>
                <w:szCs w:val="26"/>
                <w:shd w:val="clear" w:color="auto" w:fill="FFFFFF"/>
              </w:rPr>
              <w:t xml:space="preserve"> </w:t>
            </w:r>
            <w:r w:rsidR="00252A85" w:rsidRPr="0010322E">
              <w:rPr>
                <w:rFonts w:eastAsia="Calibri"/>
                <w:bCs/>
                <w:sz w:val="26"/>
                <w:szCs w:val="26"/>
                <w:shd w:val="clear" w:color="auto" w:fill="FFFFFF"/>
              </w:rPr>
              <w:t>Ar grozījumiem Likumā</w:t>
            </w:r>
            <w:r w:rsidR="004E48E5" w:rsidRPr="0010322E">
              <w:rPr>
                <w:rFonts w:eastAsia="Calibri"/>
                <w:bCs/>
                <w:sz w:val="26"/>
                <w:szCs w:val="26"/>
                <w:shd w:val="clear" w:color="auto" w:fill="FFFFFF"/>
              </w:rPr>
              <w:t>, kas spēkā stājās</w:t>
            </w:r>
            <w:r w:rsidR="00252A85" w:rsidRPr="0010322E">
              <w:rPr>
                <w:rFonts w:eastAsia="Calibri"/>
                <w:bCs/>
                <w:sz w:val="26"/>
                <w:szCs w:val="26"/>
                <w:shd w:val="clear" w:color="auto" w:fill="FFFFFF"/>
              </w:rPr>
              <w:t xml:space="preserve"> 2018.gada 10.maij</w:t>
            </w:r>
            <w:r w:rsidR="004E48E5" w:rsidRPr="0010322E">
              <w:rPr>
                <w:rFonts w:eastAsia="Calibri"/>
                <w:bCs/>
                <w:sz w:val="26"/>
                <w:szCs w:val="26"/>
                <w:shd w:val="clear" w:color="auto" w:fill="FFFFFF"/>
              </w:rPr>
              <w:t>ā</w:t>
            </w:r>
            <w:r w:rsidR="00252A85" w:rsidRPr="0010322E">
              <w:rPr>
                <w:rFonts w:eastAsia="Calibri"/>
                <w:bCs/>
                <w:sz w:val="26"/>
                <w:szCs w:val="26"/>
                <w:shd w:val="clear" w:color="auto" w:fill="FFFFFF"/>
              </w:rPr>
              <w:t xml:space="preserve">, </w:t>
            </w:r>
            <w:r w:rsidRPr="0010322E">
              <w:rPr>
                <w:rFonts w:eastAsia="Calibri"/>
                <w:bCs/>
                <w:sz w:val="26"/>
                <w:szCs w:val="26"/>
                <w:shd w:val="clear" w:color="auto" w:fill="FFFFFF"/>
              </w:rPr>
              <w:t xml:space="preserve">tika </w:t>
            </w:r>
            <w:r w:rsidR="004E48E5" w:rsidRPr="0010322E">
              <w:rPr>
                <w:rFonts w:eastAsia="Calibri"/>
                <w:bCs/>
                <w:sz w:val="26"/>
                <w:szCs w:val="26"/>
                <w:shd w:val="clear" w:color="auto" w:fill="FFFFFF"/>
              </w:rPr>
              <w:t>paplašināts likuma tvērums attiecībā uz kvalificētu riska kapitāla investora definējumu, kā arī</w:t>
            </w:r>
            <w:r w:rsidR="00252A85" w:rsidRPr="0010322E">
              <w:rPr>
                <w:rFonts w:eastAsia="Calibri"/>
                <w:bCs/>
                <w:sz w:val="26"/>
                <w:szCs w:val="26"/>
                <w:shd w:val="clear" w:color="auto" w:fill="FFFFFF"/>
              </w:rPr>
              <w:t xml:space="preserve"> uzlabota Likumā noteiktā atbalsta sniegšanas kārtība</w:t>
            </w:r>
            <w:r w:rsidR="004E48E5" w:rsidRPr="0010322E">
              <w:rPr>
                <w:rFonts w:eastAsia="Calibri"/>
                <w:bCs/>
                <w:sz w:val="26"/>
                <w:szCs w:val="26"/>
                <w:shd w:val="clear" w:color="auto" w:fill="FFFFFF"/>
              </w:rPr>
              <w:t>.</w:t>
            </w:r>
            <w:r w:rsidR="00470603">
              <w:rPr>
                <w:rFonts w:eastAsia="Calibri"/>
                <w:bCs/>
                <w:sz w:val="26"/>
                <w:szCs w:val="26"/>
                <w:shd w:val="clear" w:color="auto" w:fill="FFFFFF"/>
              </w:rPr>
              <w:t xml:space="preserve"> </w:t>
            </w:r>
            <w:r w:rsidR="000B23A3" w:rsidRPr="0010322E">
              <w:rPr>
                <w:rFonts w:eastAsia="Calibri"/>
                <w:bCs/>
                <w:sz w:val="26"/>
                <w:szCs w:val="26"/>
                <w:shd w:val="clear" w:color="auto" w:fill="FFFFFF"/>
              </w:rPr>
              <w:t>No</w:t>
            </w:r>
            <w:r w:rsidR="00EC7F1F" w:rsidRPr="0010322E">
              <w:rPr>
                <w:rFonts w:eastAsia="Calibri"/>
                <w:bCs/>
                <w:sz w:val="26"/>
                <w:szCs w:val="26"/>
                <w:shd w:val="clear" w:color="auto" w:fill="FFFFFF"/>
              </w:rPr>
              <w:t xml:space="preserve"> Latvijas Investīciju un attīstības aģentūras (turpmāk – LIAA)</w:t>
            </w:r>
            <w:r w:rsidR="00AA0745">
              <w:rPr>
                <w:rFonts w:eastAsia="Calibri"/>
                <w:bCs/>
                <w:sz w:val="26"/>
                <w:szCs w:val="26"/>
                <w:shd w:val="clear" w:color="auto" w:fill="FFFFFF"/>
              </w:rPr>
              <w:t>,</w:t>
            </w:r>
            <w:r w:rsidR="00470603">
              <w:rPr>
                <w:rFonts w:eastAsia="Calibri"/>
                <w:bCs/>
                <w:sz w:val="26"/>
                <w:szCs w:val="26"/>
                <w:shd w:val="clear" w:color="auto" w:fill="FFFFFF"/>
              </w:rPr>
              <w:t xml:space="preserve"> kā likumā noteikto atbalsta programmu administrējošās iestādes</w:t>
            </w:r>
            <w:r w:rsidR="000B23A3" w:rsidRPr="0010322E">
              <w:rPr>
                <w:rFonts w:eastAsia="Calibri"/>
                <w:bCs/>
                <w:sz w:val="26"/>
                <w:szCs w:val="26"/>
                <w:shd w:val="clear" w:color="auto" w:fill="FFFFFF"/>
              </w:rPr>
              <w:t>,</w:t>
            </w:r>
            <w:r w:rsidR="00470603">
              <w:rPr>
                <w:rFonts w:eastAsia="Calibri"/>
                <w:bCs/>
                <w:sz w:val="26"/>
                <w:szCs w:val="26"/>
                <w:shd w:val="clear" w:color="auto" w:fill="FFFFFF"/>
              </w:rPr>
              <w:t xml:space="preserve"> </w:t>
            </w:r>
            <w:r w:rsidR="000B23A3" w:rsidRPr="0010322E">
              <w:rPr>
                <w:rFonts w:eastAsia="Calibri"/>
                <w:bCs/>
                <w:sz w:val="26"/>
                <w:szCs w:val="26"/>
                <w:shd w:val="clear" w:color="auto" w:fill="FFFFFF"/>
              </w:rPr>
              <w:t>un</w:t>
            </w:r>
            <w:r w:rsidR="00252A85" w:rsidRPr="0010322E">
              <w:rPr>
                <w:rFonts w:eastAsia="Calibri"/>
                <w:bCs/>
                <w:sz w:val="26"/>
                <w:szCs w:val="26"/>
                <w:shd w:val="clear" w:color="auto" w:fill="FFFFFF"/>
              </w:rPr>
              <w:t xml:space="preserve"> no </w:t>
            </w:r>
            <w:proofErr w:type="spellStart"/>
            <w:r w:rsidR="00252A85" w:rsidRPr="0010322E">
              <w:rPr>
                <w:rFonts w:eastAsia="Calibri"/>
                <w:bCs/>
                <w:sz w:val="26"/>
                <w:szCs w:val="26"/>
                <w:shd w:val="clear" w:color="auto" w:fill="FFFFFF"/>
              </w:rPr>
              <w:t>jaunuzņēmum</w:t>
            </w:r>
            <w:r w:rsidR="000B23A3" w:rsidRPr="0010322E">
              <w:rPr>
                <w:rFonts w:eastAsia="Calibri"/>
                <w:bCs/>
                <w:sz w:val="26"/>
                <w:szCs w:val="26"/>
                <w:shd w:val="clear" w:color="auto" w:fill="FFFFFF"/>
              </w:rPr>
              <w:t>u</w:t>
            </w:r>
            <w:proofErr w:type="spellEnd"/>
            <w:r w:rsidR="000B23A3" w:rsidRPr="0010322E">
              <w:rPr>
                <w:rFonts w:eastAsia="Calibri"/>
                <w:bCs/>
                <w:sz w:val="26"/>
                <w:szCs w:val="26"/>
                <w:shd w:val="clear" w:color="auto" w:fill="FFFFFF"/>
              </w:rPr>
              <w:t xml:space="preserve"> sniegtās informācijas Ekonomikas ministrija</w:t>
            </w:r>
            <w:r w:rsidR="00252A85" w:rsidRPr="0010322E">
              <w:rPr>
                <w:rFonts w:eastAsia="Calibri"/>
                <w:bCs/>
                <w:sz w:val="26"/>
                <w:szCs w:val="26"/>
                <w:shd w:val="clear" w:color="auto" w:fill="FFFFFF"/>
              </w:rPr>
              <w:t xml:space="preserve"> secinā</w:t>
            </w:r>
            <w:r w:rsidR="000B23A3" w:rsidRPr="0010322E">
              <w:rPr>
                <w:rFonts w:eastAsia="Calibri"/>
                <w:bCs/>
                <w:sz w:val="26"/>
                <w:szCs w:val="26"/>
                <w:shd w:val="clear" w:color="auto" w:fill="FFFFFF"/>
              </w:rPr>
              <w:t>ja</w:t>
            </w:r>
            <w:r w:rsidR="00252A85" w:rsidRPr="0010322E">
              <w:rPr>
                <w:rFonts w:eastAsia="Calibri"/>
                <w:bCs/>
                <w:sz w:val="26"/>
                <w:szCs w:val="26"/>
                <w:shd w:val="clear" w:color="auto" w:fill="FFFFFF"/>
              </w:rPr>
              <w:t xml:space="preserve">, ka ir nepieciešams </w:t>
            </w:r>
            <w:r w:rsidR="004E48E5" w:rsidRPr="0010322E">
              <w:rPr>
                <w:rFonts w:eastAsia="Calibri"/>
                <w:bCs/>
                <w:sz w:val="26"/>
                <w:szCs w:val="26"/>
                <w:shd w:val="clear" w:color="auto" w:fill="FFFFFF"/>
              </w:rPr>
              <w:t>pilnveid</w:t>
            </w:r>
            <w:r w:rsidR="00EC7F1F" w:rsidRPr="0010322E">
              <w:rPr>
                <w:rFonts w:eastAsia="Calibri"/>
                <w:bCs/>
                <w:sz w:val="26"/>
                <w:szCs w:val="26"/>
                <w:shd w:val="clear" w:color="auto" w:fill="FFFFFF"/>
              </w:rPr>
              <w:t>o</w:t>
            </w:r>
            <w:r w:rsidR="004E48E5" w:rsidRPr="0010322E">
              <w:rPr>
                <w:rFonts w:eastAsia="Calibri"/>
                <w:bCs/>
                <w:sz w:val="26"/>
                <w:szCs w:val="26"/>
                <w:shd w:val="clear" w:color="auto" w:fill="FFFFFF"/>
              </w:rPr>
              <w:t>t kvalifikācijas nosacījumus, kas praksē ir izrādījušies nepiemērojami un stingrāki, kā to paredz valsts atbalsta nosacījumi</w:t>
            </w:r>
            <w:r w:rsidR="00EC7F1F" w:rsidRPr="0010322E">
              <w:rPr>
                <w:rFonts w:eastAsia="Calibri"/>
                <w:bCs/>
                <w:sz w:val="26"/>
                <w:szCs w:val="26"/>
                <w:shd w:val="clear" w:color="auto" w:fill="FFFFFF"/>
              </w:rPr>
              <w:t>.</w:t>
            </w:r>
          </w:p>
          <w:p w14:paraId="1A21BAB5" w14:textId="3B445C00" w:rsidR="00EC7F1F" w:rsidRPr="0010322E" w:rsidRDefault="00441DD5" w:rsidP="00EC7F1F">
            <w:pPr>
              <w:ind w:firstLine="720"/>
              <w:jc w:val="both"/>
              <w:rPr>
                <w:rFonts w:eastAsia="Calibri"/>
                <w:bCs/>
                <w:sz w:val="26"/>
                <w:szCs w:val="26"/>
                <w:shd w:val="clear" w:color="auto" w:fill="FFFFFF"/>
              </w:rPr>
            </w:pPr>
            <w:r w:rsidRPr="0010322E">
              <w:rPr>
                <w:rFonts w:eastAsia="Calibri"/>
                <w:bCs/>
                <w:sz w:val="26"/>
                <w:szCs w:val="26"/>
                <w:shd w:val="clear" w:color="auto" w:fill="FFFFFF"/>
              </w:rPr>
              <w:t>K</w:t>
            </w:r>
            <w:r w:rsidR="00A42BDE" w:rsidRPr="0010322E">
              <w:rPr>
                <w:rFonts w:eastAsia="Calibri"/>
                <w:bCs/>
                <w:sz w:val="26"/>
                <w:szCs w:val="26"/>
                <w:shd w:val="clear" w:color="auto" w:fill="FFFFFF"/>
              </w:rPr>
              <w:t>opš likuma un saistīto normatīvo aktu stāšanās spēkā atbalsta programmās apstiprināt</w:t>
            </w:r>
            <w:r w:rsidR="00487D30" w:rsidRPr="0010322E">
              <w:rPr>
                <w:rFonts w:eastAsia="Calibri"/>
                <w:bCs/>
                <w:sz w:val="26"/>
                <w:szCs w:val="26"/>
                <w:shd w:val="clear" w:color="auto" w:fill="FFFFFF"/>
              </w:rPr>
              <w:t>i</w:t>
            </w:r>
            <w:r w:rsidR="00A42BDE" w:rsidRPr="0010322E">
              <w:rPr>
                <w:rFonts w:eastAsia="Calibri"/>
                <w:bCs/>
                <w:sz w:val="26"/>
                <w:szCs w:val="26"/>
                <w:shd w:val="clear" w:color="auto" w:fill="FFFFFF"/>
              </w:rPr>
              <w:t xml:space="preserve"> </w:t>
            </w:r>
            <w:r w:rsidR="00487D30" w:rsidRPr="0010322E">
              <w:rPr>
                <w:rFonts w:eastAsia="Calibri"/>
                <w:bCs/>
                <w:sz w:val="26"/>
                <w:szCs w:val="26"/>
                <w:shd w:val="clear" w:color="auto" w:fill="FFFFFF"/>
              </w:rPr>
              <w:t>ir tikai četri</w:t>
            </w:r>
            <w:r w:rsidR="00A42BDE" w:rsidRPr="0010322E">
              <w:rPr>
                <w:rFonts w:eastAsia="Calibri"/>
                <w:bCs/>
                <w:sz w:val="26"/>
                <w:szCs w:val="26"/>
                <w:shd w:val="clear" w:color="auto" w:fill="FFFFFF"/>
              </w:rPr>
              <w:t xml:space="preserve"> </w:t>
            </w:r>
            <w:proofErr w:type="spellStart"/>
            <w:r w:rsidR="00A42BDE" w:rsidRPr="0010322E">
              <w:rPr>
                <w:rFonts w:eastAsia="Calibri"/>
                <w:bCs/>
                <w:sz w:val="26"/>
                <w:szCs w:val="26"/>
                <w:shd w:val="clear" w:color="auto" w:fill="FFFFFF"/>
              </w:rPr>
              <w:t>jaunuzņēmum</w:t>
            </w:r>
            <w:r w:rsidR="00487D30" w:rsidRPr="0010322E">
              <w:rPr>
                <w:rFonts w:eastAsia="Calibri"/>
                <w:bCs/>
                <w:sz w:val="26"/>
                <w:szCs w:val="26"/>
                <w:shd w:val="clear" w:color="auto" w:fill="FFFFFF"/>
              </w:rPr>
              <w:t>i</w:t>
            </w:r>
            <w:proofErr w:type="spellEnd"/>
            <w:r w:rsidR="00DD371E" w:rsidRPr="0010322E">
              <w:rPr>
                <w:rFonts w:eastAsia="Calibri"/>
                <w:bCs/>
                <w:sz w:val="26"/>
                <w:szCs w:val="26"/>
                <w:shd w:val="clear" w:color="auto" w:fill="FFFFFF"/>
              </w:rPr>
              <w:t>,</w:t>
            </w:r>
            <w:r w:rsidR="004B3337" w:rsidRPr="0010322E">
              <w:rPr>
                <w:rFonts w:eastAsia="Calibri"/>
                <w:bCs/>
                <w:sz w:val="26"/>
                <w:szCs w:val="26"/>
                <w:shd w:val="clear" w:color="auto" w:fill="FFFFFF"/>
              </w:rPr>
              <w:t xml:space="preserve"> un</w:t>
            </w:r>
            <w:r w:rsidR="00155A53" w:rsidRPr="0010322E">
              <w:rPr>
                <w:rFonts w:eastAsia="Calibri"/>
                <w:bCs/>
                <w:sz w:val="26"/>
                <w:szCs w:val="26"/>
                <w:shd w:val="clear" w:color="auto" w:fill="FFFFFF"/>
              </w:rPr>
              <w:t>,</w:t>
            </w:r>
            <w:r w:rsidR="004B3337" w:rsidRPr="0010322E">
              <w:rPr>
                <w:rFonts w:eastAsia="Calibri"/>
                <w:bCs/>
                <w:sz w:val="26"/>
                <w:szCs w:val="26"/>
                <w:shd w:val="clear" w:color="auto" w:fill="FFFFFF"/>
              </w:rPr>
              <w:t xml:space="preserve"> lai gan vairāk</w:t>
            </w:r>
            <w:r w:rsidR="00DD371E" w:rsidRPr="0010322E">
              <w:rPr>
                <w:rFonts w:eastAsia="Calibri"/>
                <w:bCs/>
                <w:sz w:val="26"/>
                <w:szCs w:val="26"/>
                <w:shd w:val="clear" w:color="auto" w:fill="FFFFFF"/>
              </w:rPr>
              <w:t>i</w:t>
            </w:r>
            <w:r w:rsidR="004B3337" w:rsidRPr="0010322E">
              <w:rPr>
                <w:rFonts w:eastAsia="Calibri"/>
                <w:bCs/>
                <w:sz w:val="26"/>
                <w:szCs w:val="26"/>
                <w:shd w:val="clear" w:color="auto" w:fill="FFFFFF"/>
              </w:rPr>
              <w:t xml:space="preserve"> uzņēmumi ir izrādījuši interesi par dalību programmā, esošais regulējums un ierobežojumi liedz uzņēmumiem kvalificēties </w:t>
            </w:r>
            <w:r w:rsidR="00E83CFE" w:rsidRPr="0010322E">
              <w:rPr>
                <w:rFonts w:eastAsia="Calibri"/>
                <w:bCs/>
                <w:sz w:val="26"/>
                <w:szCs w:val="26"/>
                <w:shd w:val="clear" w:color="auto" w:fill="FFFFFF"/>
              </w:rPr>
              <w:t>Likumā noteiktajam atbalstam.</w:t>
            </w:r>
            <w:r w:rsidR="00487D30" w:rsidRPr="0010322E">
              <w:rPr>
                <w:rFonts w:eastAsia="Calibri"/>
                <w:bCs/>
                <w:sz w:val="26"/>
                <w:szCs w:val="26"/>
                <w:shd w:val="clear" w:color="auto" w:fill="FFFFFF"/>
              </w:rPr>
              <w:t xml:space="preserve"> </w:t>
            </w:r>
            <w:r w:rsidR="00AA0745">
              <w:rPr>
                <w:rFonts w:eastAsia="Calibri"/>
                <w:bCs/>
                <w:sz w:val="26"/>
                <w:szCs w:val="26"/>
                <w:shd w:val="clear" w:color="auto" w:fill="FFFFFF"/>
              </w:rPr>
              <w:t xml:space="preserve">Pēc </w:t>
            </w:r>
            <w:r w:rsidR="00487D30" w:rsidRPr="0010322E">
              <w:rPr>
                <w:rFonts w:eastAsia="Calibri"/>
                <w:bCs/>
                <w:sz w:val="26"/>
                <w:szCs w:val="26"/>
                <w:shd w:val="clear" w:color="auto" w:fill="FFFFFF"/>
              </w:rPr>
              <w:t>Likuma grozījumi</w:t>
            </w:r>
            <w:r w:rsidR="00AA0745">
              <w:rPr>
                <w:rFonts w:eastAsia="Calibri"/>
                <w:bCs/>
                <w:sz w:val="26"/>
                <w:szCs w:val="26"/>
                <w:shd w:val="clear" w:color="auto" w:fill="FFFFFF"/>
              </w:rPr>
              <w:t>em</w:t>
            </w:r>
            <w:r w:rsidR="00487D30" w:rsidRPr="0010322E">
              <w:rPr>
                <w:rFonts w:eastAsia="Calibri"/>
                <w:bCs/>
                <w:sz w:val="26"/>
                <w:szCs w:val="26"/>
                <w:shd w:val="clear" w:color="auto" w:fill="FFFFFF"/>
              </w:rPr>
              <w:t xml:space="preserve">, kas novērsa iepriekš konstatētos trūkumus, </w:t>
            </w:r>
            <w:r w:rsidR="00AA0745">
              <w:rPr>
                <w:rFonts w:eastAsia="Calibri"/>
                <w:bCs/>
                <w:sz w:val="26"/>
                <w:szCs w:val="26"/>
                <w:shd w:val="clear" w:color="auto" w:fill="FFFFFF"/>
              </w:rPr>
              <w:t>tika</w:t>
            </w:r>
            <w:r w:rsidR="00487D30" w:rsidRPr="0010322E">
              <w:rPr>
                <w:rFonts w:eastAsia="Calibri"/>
                <w:bCs/>
                <w:sz w:val="26"/>
                <w:szCs w:val="26"/>
                <w:shd w:val="clear" w:color="auto" w:fill="FFFFFF"/>
              </w:rPr>
              <w:t xml:space="preserve"> </w:t>
            </w:r>
            <w:r w:rsidR="00A13118" w:rsidRPr="0010322E">
              <w:rPr>
                <w:rFonts w:eastAsia="Calibri"/>
                <w:bCs/>
                <w:sz w:val="26"/>
                <w:szCs w:val="26"/>
                <w:shd w:val="clear" w:color="auto" w:fill="FFFFFF"/>
              </w:rPr>
              <w:t>apstiprināti</w:t>
            </w:r>
            <w:r w:rsidR="00487D30" w:rsidRPr="0010322E">
              <w:rPr>
                <w:rFonts w:eastAsia="Calibri"/>
                <w:bCs/>
                <w:sz w:val="26"/>
                <w:szCs w:val="26"/>
                <w:shd w:val="clear" w:color="auto" w:fill="FFFFFF"/>
              </w:rPr>
              <w:t xml:space="preserve"> </w:t>
            </w:r>
            <w:r w:rsidR="00A13118" w:rsidRPr="0010322E">
              <w:rPr>
                <w:rFonts w:eastAsia="Calibri"/>
                <w:bCs/>
                <w:sz w:val="26"/>
                <w:szCs w:val="26"/>
                <w:shd w:val="clear" w:color="auto" w:fill="FFFFFF"/>
              </w:rPr>
              <w:t>pieci</w:t>
            </w:r>
            <w:r w:rsidR="00487D30" w:rsidRPr="0010322E">
              <w:rPr>
                <w:rFonts w:eastAsia="Calibri"/>
                <w:bCs/>
                <w:sz w:val="26"/>
                <w:szCs w:val="26"/>
                <w:shd w:val="clear" w:color="auto" w:fill="FFFFFF"/>
              </w:rPr>
              <w:t xml:space="preserve"> kvalificēt</w:t>
            </w:r>
            <w:r w:rsidR="00AA0745">
              <w:rPr>
                <w:rFonts w:eastAsia="Calibri"/>
                <w:bCs/>
                <w:sz w:val="26"/>
                <w:szCs w:val="26"/>
                <w:shd w:val="clear" w:color="auto" w:fill="FFFFFF"/>
              </w:rPr>
              <w:t>i</w:t>
            </w:r>
            <w:r w:rsidR="00487D30" w:rsidRPr="0010322E">
              <w:rPr>
                <w:rFonts w:eastAsia="Calibri"/>
                <w:bCs/>
                <w:sz w:val="26"/>
                <w:szCs w:val="26"/>
                <w:shd w:val="clear" w:color="auto" w:fill="FFFFFF"/>
              </w:rPr>
              <w:t xml:space="preserve"> riska kapitāla investori</w:t>
            </w:r>
            <w:r w:rsidR="00A13118" w:rsidRPr="0010322E">
              <w:rPr>
                <w:rFonts w:eastAsia="Calibri"/>
                <w:bCs/>
                <w:sz w:val="26"/>
                <w:szCs w:val="26"/>
                <w:shd w:val="clear" w:color="auto" w:fill="FFFFFF"/>
              </w:rPr>
              <w:t xml:space="preserve">, kā arī atbalstīti vēl trīs </w:t>
            </w:r>
            <w:proofErr w:type="spellStart"/>
            <w:r w:rsidR="00A13118" w:rsidRPr="0010322E">
              <w:rPr>
                <w:rFonts w:eastAsia="Calibri"/>
                <w:bCs/>
                <w:sz w:val="26"/>
                <w:szCs w:val="26"/>
                <w:shd w:val="clear" w:color="auto" w:fill="FFFFFF"/>
              </w:rPr>
              <w:t>jaunuzņēmumi</w:t>
            </w:r>
            <w:proofErr w:type="spellEnd"/>
            <w:r w:rsidR="00487D30" w:rsidRPr="0010322E">
              <w:rPr>
                <w:rFonts w:eastAsia="Calibri"/>
                <w:bCs/>
                <w:sz w:val="26"/>
                <w:szCs w:val="26"/>
                <w:shd w:val="clear" w:color="auto" w:fill="FFFFFF"/>
              </w:rPr>
              <w:t>.</w:t>
            </w:r>
            <w:r w:rsidR="00DD371E" w:rsidRPr="0010322E">
              <w:rPr>
                <w:rFonts w:eastAsia="Calibri"/>
                <w:bCs/>
                <w:sz w:val="26"/>
                <w:szCs w:val="26"/>
                <w:shd w:val="clear" w:color="auto" w:fill="FFFFFF"/>
              </w:rPr>
              <w:t xml:space="preserve"> </w:t>
            </w:r>
            <w:r w:rsidR="00EC7F1F" w:rsidRPr="0010322E">
              <w:rPr>
                <w:rFonts w:eastAsia="Calibri"/>
                <w:bCs/>
                <w:sz w:val="26"/>
                <w:szCs w:val="26"/>
                <w:shd w:val="clear" w:color="auto" w:fill="FFFFFF"/>
              </w:rPr>
              <w:t xml:space="preserve">Tajā pašā laikā jānorāda, ka kopumā apstiprināto pieteikumu skaitu ne tikai ietekmējušas </w:t>
            </w:r>
            <w:r w:rsidR="00AA0745">
              <w:rPr>
                <w:rFonts w:eastAsia="Calibri"/>
                <w:bCs/>
                <w:sz w:val="26"/>
                <w:szCs w:val="26"/>
                <w:shd w:val="clear" w:color="auto" w:fill="FFFFFF"/>
              </w:rPr>
              <w:t>L</w:t>
            </w:r>
            <w:r w:rsidR="00EC7F1F" w:rsidRPr="0010322E">
              <w:rPr>
                <w:rFonts w:eastAsia="Calibri"/>
                <w:bCs/>
                <w:sz w:val="26"/>
                <w:szCs w:val="26"/>
                <w:shd w:val="clear" w:color="auto" w:fill="FFFFFF"/>
              </w:rPr>
              <w:t xml:space="preserve">ikumā noteiktās stingrās prasības, bet arī 2014. – 2020.gada Eiropas Savienības fondu plānošanas perioda riska kapitāla </w:t>
            </w:r>
            <w:r w:rsidR="00A13118" w:rsidRPr="0010322E">
              <w:rPr>
                <w:rFonts w:eastAsia="Calibri"/>
                <w:bCs/>
                <w:sz w:val="26"/>
                <w:szCs w:val="26"/>
                <w:shd w:val="clear" w:color="auto" w:fill="FFFFFF"/>
              </w:rPr>
              <w:t xml:space="preserve">instrumentu </w:t>
            </w:r>
            <w:r w:rsidR="00EC7F1F" w:rsidRPr="0010322E">
              <w:rPr>
                <w:rFonts w:eastAsia="Calibri"/>
                <w:bCs/>
                <w:sz w:val="26"/>
                <w:szCs w:val="26"/>
                <w:shd w:val="clear" w:color="auto" w:fill="FFFFFF"/>
              </w:rPr>
              <w:t xml:space="preserve">ieviešanas kavēšanās, kā rezultātā </w:t>
            </w:r>
            <w:r w:rsidR="002638D8" w:rsidRPr="0010322E">
              <w:rPr>
                <w:rFonts w:eastAsia="Calibri"/>
                <w:bCs/>
                <w:sz w:val="26"/>
                <w:szCs w:val="26"/>
                <w:shd w:val="clear" w:color="auto" w:fill="FFFFFF"/>
              </w:rPr>
              <w:t>akciju sabiedrībā “</w:t>
            </w:r>
            <w:r w:rsidR="00EC7F1F" w:rsidRPr="0010322E">
              <w:rPr>
                <w:rFonts w:eastAsia="Calibri"/>
                <w:bCs/>
                <w:sz w:val="26"/>
                <w:szCs w:val="26"/>
                <w:shd w:val="clear" w:color="auto" w:fill="FFFFFF"/>
              </w:rPr>
              <w:t>Attīstības finanšu institūcijas “</w:t>
            </w:r>
            <w:proofErr w:type="spellStart"/>
            <w:r w:rsidR="00EC7F1F" w:rsidRPr="0010322E">
              <w:rPr>
                <w:rFonts w:eastAsia="Calibri"/>
                <w:bCs/>
                <w:sz w:val="26"/>
                <w:szCs w:val="26"/>
                <w:shd w:val="clear" w:color="auto" w:fill="FFFFFF"/>
              </w:rPr>
              <w:t>Altum</w:t>
            </w:r>
            <w:proofErr w:type="spellEnd"/>
            <w:r w:rsidR="00EC7F1F" w:rsidRPr="0010322E">
              <w:rPr>
                <w:rFonts w:eastAsia="Calibri"/>
                <w:bCs/>
                <w:sz w:val="26"/>
                <w:szCs w:val="26"/>
                <w:shd w:val="clear" w:color="auto" w:fill="FFFFFF"/>
              </w:rPr>
              <w:t>”</w:t>
            </w:r>
            <w:r w:rsidR="002638D8" w:rsidRPr="0010322E">
              <w:rPr>
                <w:rFonts w:eastAsia="Calibri"/>
                <w:bCs/>
                <w:sz w:val="26"/>
                <w:szCs w:val="26"/>
                <w:shd w:val="clear" w:color="auto" w:fill="FFFFFF"/>
              </w:rPr>
              <w:t>”</w:t>
            </w:r>
            <w:r w:rsidR="00EC7F1F" w:rsidRPr="0010322E">
              <w:rPr>
                <w:rFonts w:eastAsia="Calibri"/>
                <w:bCs/>
                <w:sz w:val="26"/>
                <w:szCs w:val="26"/>
                <w:shd w:val="clear" w:color="auto" w:fill="FFFFFF"/>
              </w:rPr>
              <w:t xml:space="preserve"> atlasītie finanšu starpnieki aktīvu investīciju ciklu uzsāka tikai 2018.gada trešajā ceturksnī, tādejādi liedzot </w:t>
            </w:r>
            <w:proofErr w:type="spellStart"/>
            <w:r w:rsidR="00EC7F1F" w:rsidRPr="0010322E">
              <w:rPr>
                <w:rFonts w:eastAsia="Calibri"/>
                <w:bCs/>
                <w:sz w:val="26"/>
                <w:szCs w:val="26"/>
                <w:shd w:val="clear" w:color="auto" w:fill="FFFFFF"/>
              </w:rPr>
              <w:t>jaunuzņ</w:t>
            </w:r>
            <w:r w:rsidR="002638D8" w:rsidRPr="0010322E">
              <w:rPr>
                <w:rFonts w:eastAsia="Calibri"/>
                <w:bCs/>
                <w:sz w:val="26"/>
                <w:szCs w:val="26"/>
                <w:shd w:val="clear" w:color="auto" w:fill="FFFFFF"/>
              </w:rPr>
              <w:t>ē</w:t>
            </w:r>
            <w:r w:rsidR="00EC7F1F" w:rsidRPr="0010322E">
              <w:rPr>
                <w:rFonts w:eastAsia="Calibri"/>
                <w:bCs/>
                <w:sz w:val="26"/>
                <w:szCs w:val="26"/>
                <w:shd w:val="clear" w:color="auto" w:fill="FFFFFF"/>
              </w:rPr>
              <w:t>mumiem</w:t>
            </w:r>
            <w:proofErr w:type="spellEnd"/>
            <w:r w:rsidR="00EC7F1F" w:rsidRPr="0010322E">
              <w:rPr>
                <w:rFonts w:eastAsia="Calibri"/>
                <w:bCs/>
                <w:sz w:val="26"/>
                <w:szCs w:val="26"/>
                <w:shd w:val="clear" w:color="auto" w:fill="FFFFFF"/>
              </w:rPr>
              <w:t xml:space="preserve"> saņemt riska kapitāla ieguldījumus, kas ir viens no svarīgākajiem priekšnosacījumiem dalībai atbalsta programmās.</w:t>
            </w:r>
          </w:p>
          <w:p w14:paraId="19BCAE2B" w14:textId="2F7DC0D9" w:rsidR="00E83CFE" w:rsidRPr="0010322E" w:rsidRDefault="00E83CFE" w:rsidP="00EC7F1F">
            <w:pPr>
              <w:ind w:firstLine="720"/>
              <w:jc w:val="both"/>
              <w:rPr>
                <w:rFonts w:eastAsia="Calibri"/>
                <w:bCs/>
                <w:sz w:val="26"/>
                <w:szCs w:val="26"/>
                <w:shd w:val="clear" w:color="auto" w:fill="FFFFFF"/>
              </w:rPr>
            </w:pPr>
            <w:r w:rsidRPr="0010322E">
              <w:rPr>
                <w:rFonts w:eastAsia="Calibri"/>
                <w:bCs/>
                <w:sz w:val="26"/>
                <w:szCs w:val="26"/>
                <w:shd w:val="clear" w:color="auto" w:fill="FFFFFF"/>
              </w:rPr>
              <w:lastRenderedPageBreak/>
              <w:t xml:space="preserve">Diskusijā ar </w:t>
            </w:r>
            <w:proofErr w:type="spellStart"/>
            <w:r w:rsidRPr="0010322E">
              <w:rPr>
                <w:rFonts w:eastAsia="Calibri"/>
                <w:bCs/>
                <w:sz w:val="26"/>
                <w:szCs w:val="26"/>
                <w:shd w:val="clear" w:color="auto" w:fill="FFFFFF"/>
              </w:rPr>
              <w:t>jaunuzņēmumu</w:t>
            </w:r>
            <w:proofErr w:type="spellEnd"/>
            <w:r w:rsidRPr="0010322E">
              <w:rPr>
                <w:rFonts w:eastAsia="Calibri"/>
                <w:bCs/>
                <w:sz w:val="26"/>
                <w:szCs w:val="26"/>
                <w:shd w:val="clear" w:color="auto" w:fill="FFFFFF"/>
              </w:rPr>
              <w:t xml:space="preserve"> un riska kapitāla nozares ekspertiem, potenciālajiem atbalsta saņēmējiem, kā arī LIAA, konstatētas vairākas Likumā ietvertās normas, kuras neatbilst faktiskajai situācijai nozarē un </w:t>
            </w:r>
            <w:r w:rsidR="00AA0745">
              <w:rPr>
                <w:rFonts w:eastAsia="Calibri"/>
                <w:bCs/>
                <w:sz w:val="26"/>
                <w:szCs w:val="26"/>
                <w:shd w:val="clear" w:color="auto" w:fill="FFFFFF"/>
              </w:rPr>
              <w:t>neatļauj</w:t>
            </w:r>
            <w:r w:rsidRPr="0010322E">
              <w:rPr>
                <w:rFonts w:eastAsia="Calibri"/>
                <w:bCs/>
                <w:sz w:val="26"/>
                <w:szCs w:val="26"/>
                <w:shd w:val="clear" w:color="auto" w:fill="FFFFFF"/>
              </w:rPr>
              <w:t xml:space="preserve"> potenciālajiem atbalsta saņēmējiem pieteikties Likumā noteiktajām atbalsta programmām:</w:t>
            </w:r>
          </w:p>
          <w:p w14:paraId="19D33FA5" w14:textId="7AF44389" w:rsidR="00A13118" w:rsidRPr="0010322E" w:rsidRDefault="006079A0" w:rsidP="008E03F1">
            <w:pPr>
              <w:pStyle w:val="ListParagraph"/>
              <w:numPr>
                <w:ilvl w:val="0"/>
                <w:numId w:val="7"/>
              </w:numPr>
              <w:spacing w:after="160" w:line="259" w:lineRule="auto"/>
              <w:ind w:left="504"/>
              <w:contextualSpacing/>
              <w:jc w:val="both"/>
              <w:rPr>
                <w:rFonts w:ascii="Times New Roman" w:hAnsi="Times New Roman"/>
                <w:b/>
                <w:sz w:val="26"/>
                <w:szCs w:val="26"/>
              </w:rPr>
            </w:pPr>
            <w:r w:rsidRPr="0010322E">
              <w:rPr>
                <w:rFonts w:ascii="Times New Roman" w:hAnsi="Times New Roman"/>
                <w:sz w:val="26"/>
                <w:szCs w:val="26"/>
              </w:rPr>
              <w:t xml:space="preserve">Ir konstatēta nepilnība, kas </w:t>
            </w:r>
            <w:r w:rsidRPr="0010322E">
              <w:rPr>
                <w:rFonts w:ascii="Times New Roman" w:hAnsi="Times New Roman"/>
                <w:b/>
                <w:sz w:val="26"/>
                <w:szCs w:val="26"/>
              </w:rPr>
              <w:t>liedz sniegt atbalstu</w:t>
            </w:r>
            <w:r w:rsidR="004B3337" w:rsidRPr="0010322E">
              <w:rPr>
                <w:rFonts w:ascii="Times New Roman" w:hAnsi="Times New Roman"/>
                <w:b/>
                <w:sz w:val="26"/>
                <w:szCs w:val="26"/>
              </w:rPr>
              <w:t xml:space="preserve"> </w:t>
            </w:r>
            <w:r w:rsidR="00E83CFE" w:rsidRPr="0010322E">
              <w:rPr>
                <w:rFonts w:ascii="Times New Roman" w:hAnsi="Times New Roman"/>
                <w:b/>
                <w:sz w:val="26"/>
                <w:szCs w:val="26"/>
              </w:rPr>
              <w:t xml:space="preserve">saņemt </w:t>
            </w:r>
            <w:r w:rsidR="004B3337" w:rsidRPr="0010322E">
              <w:rPr>
                <w:rFonts w:ascii="Times New Roman" w:hAnsi="Times New Roman"/>
                <w:b/>
                <w:sz w:val="26"/>
                <w:szCs w:val="26"/>
              </w:rPr>
              <w:t xml:space="preserve">perspektīviem </w:t>
            </w:r>
            <w:proofErr w:type="spellStart"/>
            <w:r w:rsidRPr="0010322E">
              <w:rPr>
                <w:rFonts w:ascii="Times New Roman" w:hAnsi="Times New Roman"/>
                <w:b/>
                <w:sz w:val="26"/>
                <w:szCs w:val="26"/>
              </w:rPr>
              <w:t>jaunuzņēmumiem</w:t>
            </w:r>
            <w:proofErr w:type="spellEnd"/>
            <w:r w:rsidRPr="0010322E">
              <w:rPr>
                <w:rFonts w:ascii="Times New Roman" w:hAnsi="Times New Roman"/>
                <w:b/>
                <w:sz w:val="26"/>
                <w:szCs w:val="26"/>
              </w:rPr>
              <w:t xml:space="preserve">, </w:t>
            </w:r>
            <w:r w:rsidR="004B3337" w:rsidRPr="0010322E">
              <w:rPr>
                <w:rFonts w:ascii="Times New Roman" w:hAnsi="Times New Roman"/>
                <w:sz w:val="26"/>
                <w:szCs w:val="26"/>
              </w:rPr>
              <w:t>kuri</w:t>
            </w:r>
            <w:r w:rsidRPr="0010322E">
              <w:rPr>
                <w:rFonts w:ascii="Times New Roman" w:hAnsi="Times New Roman"/>
                <w:sz w:val="26"/>
                <w:szCs w:val="26"/>
              </w:rPr>
              <w:t xml:space="preserve"> ar </w:t>
            </w:r>
            <w:r w:rsidR="004B3337" w:rsidRPr="0010322E">
              <w:rPr>
                <w:rFonts w:ascii="Times New Roman" w:hAnsi="Times New Roman"/>
                <w:sz w:val="26"/>
                <w:szCs w:val="26"/>
              </w:rPr>
              <w:t>mērķi realizēt savu produktu ārpus Latvija</w:t>
            </w:r>
            <w:r w:rsidR="00E83CFE" w:rsidRPr="0010322E">
              <w:rPr>
                <w:rFonts w:ascii="Times New Roman" w:hAnsi="Times New Roman"/>
                <w:sz w:val="26"/>
                <w:szCs w:val="26"/>
              </w:rPr>
              <w:t>s</w:t>
            </w:r>
            <w:r w:rsidR="00AA0745">
              <w:rPr>
                <w:rFonts w:ascii="Times New Roman" w:hAnsi="Times New Roman"/>
                <w:sz w:val="26"/>
                <w:szCs w:val="26"/>
              </w:rPr>
              <w:t xml:space="preserve"> un darboties </w:t>
            </w:r>
            <w:r w:rsidR="004B3337" w:rsidRPr="0010322E">
              <w:rPr>
                <w:rFonts w:ascii="Times New Roman" w:hAnsi="Times New Roman"/>
                <w:sz w:val="26"/>
                <w:szCs w:val="26"/>
              </w:rPr>
              <w:t>konkrētajā mērķa tirgus valstī</w:t>
            </w:r>
            <w:r w:rsidR="00E83CFE" w:rsidRPr="0010322E">
              <w:rPr>
                <w:rFonts w:ascii="Times New Roman" w:hAnsi="Times New Roman"/>
                <w:sz w:val="26"/>
                <w:szCs w:val="26"/>
              </w:rPr>
              <w:t>,</w:t>
            </w:r>
            <w:r w:rsidR="004B3337" w:rsidRPr="0010322E">
              <w:rPr>
                <w:rFonts w:ascii="Times New Roman" w:hAnsi="Times New Roman"/>
                <w:sz w:val="26"/>
                <w:szCs w:val="26"/>
              </w:rPr>
              <w:t xml:space="preserve"> vai lai piesaistītu</w:t>
            </w:r>
            <w:r w:rsidR="004B3337" w:rsidRPr="0010322E">
              <w:rPr>
                <w:rFonts w:ascii="Times New Roman" w:hAnsi="Times New Roman"/>
                <w:b/>
                <w:sz w:val="26"/>
                <w:szCs w:val="26"/>
              </w:rPr>
              <w:t xml:space="preserve"> </w:t>
            </w:r>
            <w:r w:rsidR="004B3337" w:rsidRPr="0010322E">
              <w:rPr>
                <w:rFonts w:ascii="Times New Roman" w:hAnsi="Times New Roman"/>
                <w:sz w:val="26"/>
                <w:szCs w:val="26"/>
              </w:rPr>
              <w:t>investīcijas un kvalificētos starptautiskām akcelerācijas programmām,</w:t>
            </w:r>
            <w:r w:rsidR="004B3337" w:rsidRPr="0010322E">
              <w:rPr>
                <w:rFonts w:ascii="Times New Roman" w:hAnsi="Times New Roman"/>
                <w:b/>
                <w:sz w:val="26"/>
                <w:szCs w:val="26"/>
              </w:rPr>
              <w:t xml:space="preserve"> dibina saistītu uzņēmumu ārvalstīs</w:t>
            </w:r>
            <w:r w:rsidR="004B3337" w:rsidRPr="0010322E">
              <w:rPr>
                <w:rFonts w:ascii="Times New Roman" w:hAnsi="Times New Roman"/>
                <w:sz w:val="26"/>
                <w:szCs w:val="26"/>
              </w:rPr>
              <w:t xml:space="preserve">, kurš pēc būtības arī atbilst </w:t>
            </w:r>
            <w:proofErr w:type="spellStart"/>
            <w:r w:rsidR="004B3337" w:rsidRPr="0010322E">
              <w:rPr>
                <w:rFonts w:ascii="Times New Roman" w:hAnsi="Times New Roman"/>
                <w:sz w:val="26"/>
                <w:szCs w:val="26"/>
              </w:rPr>
              <w:t>jaunuzņēmuma</w:t>
            </w:r>
            <w:proofErr w:type="spellEnd"/>
            <w:r w:rsidR="004B3337" w:rsidRPr="0010322E">
              <w:rPr>
                <w:rFonts w:ascii="Times New Roman" w:hAnsi="Times New Roman"/>
                <w:sz w:val="26"/>
                <w:szCs w:val="26"/>
              </w:rPr>
              <w:t xml:space="preserve"> definīcijai un likuma 4.pantā pazīmēm. </w:t>
            </w:r>
            <w:r w:rsidR="004B3337" w:rsidRPr="0010322E">
              <w:rPr>
                <w:rFonts w:ascii="Times New Roman" w:hAnsi="Times New Roman"/>
                <w:b/>
                <w:sz w:val="26"/>
                <w:szCs w:val="26"/>
              </w:rPr>
              <w:t>Līdzšinējais regulējums</w:t>
            </w:r>
            <w:r w:rsidR="004B3337" w:rsidRPr="0010322E">
              <w:rPr>
                <w:rFonts w:ascii="Times New Roman" w:hAnsi="Times New Roman"/>
                <w:sz w:val="26"/>
                <w:szCs w:val="26"/>
              </w:rPr>
              <w:t xml:space="preserve"> (likuma 4.panta 6.punkts) </w:t>
            </w:r>
            <w:r w:rsidR="004B3337" w:rsidRPr="0010322E">
              <w:rPr>
                <w:rFonts w:ascii="Times New Roman" w:hAnsi="Times New Roman"/>
                <w:b/>
                <w:sz w:val="26"/>
                <w:szCs w:val="26"/>
              </w:rPr>
              <w:t xml:space="preserve">liedz šādam </w:t>
            </w:r>
            <w:proofErr w:type="spellStart"/>
            <w:r w:rsidR="004B3337" w:rsidRPr="0010322E">
              <w:rPr>
                <w:rFonts w:ascii="Times New Roman" w:hAnsi="Times New Roman"/>
                <w:b/>
                <w:sz w:val="26"/>
                <w:szCs w:val="26"/>
              </w:rPr>
              <w:t>jaunuzņēmumam</w:t>
            </w:r>
            <w:proofErr w:type="spellEnd"/>
            <w:r w:rsidR="004B3337" w:rsidRPr="0010322E">
              <w:rPr>
                <w:rFonts w:ascii="Times New Roman" w:hAnsi="Times New Roman"/>
                <w:b/>
                <w:sz w:val="26"/>
                <w:szCs w:val="26"/>
              </w:rPr>
              <w:t xml:space="preserve"> kvalificēties</w:t>
            </w:r>
            <w:r w:rsidR="004B3337" w:rsidRPr="0010322E">
              <w:rPr>
                <w:rFonts w:ascii="Times New Roman" w:hAnsi="Times New Roman"/>
                <w:sz w:val="26"/>
                <w:szCs w:val="26"/>
              </w:rPr>
              <w:t xml:space="preserve"> atbalstam, ja tam ir saistītais uzņēmums ārvalstīs, ņemot vērā, ka </w:t>
            </w:r>
            <w:r w:rsidR="004B3337" w:rsidRPr="0010322E">
              <w:rPr>
                <w:rFonts w:ascii="Times New Roman" w:hAnsi="Times New Roman"/>
                <w:b/>
                <w:sz w:val="26"/>
                <w:szCs w:val="26"/>
              </w:rPr>
              <w:t xml:space="preserve">notikusi kapitāldaļu atsavināšana. </w:t>
            </w:r>
          </w:p>
          <w:p w14:paraId="735725F5" w14:textId="4282A67C" w:rsidR="00A13118" w:rsidRPr="0010322E" w:rsidRDefault="00A13118" w:rsidP="008E03F1">
            <w:pPr>
              <w:pStyle w:val="ListParagraph"/>
              <w:spacing w:after="160" w:line="259" w:lineRule="auto"/>
              <w:ind w:left="504"/>
              <w:contextualSpacing/>
              <w:jc w:val="both"/>
              <w:rPr>
                <w:rFonts w:ascii="Times New Roman" w:hAnsi="Times New Roman"/>
                <w:b/>
                <w:sz w:val="26"/>
                <w:szCs w:val="26"/>
              </w:rPr>
            </w:pPr>
            <w:r w:rsidRPr="0010322E">
              <w:rPr>
                <w:rFonts w:ascii="Times New Roman" w:hAnsi="Times New Roman"/>
                <w:sz w:val="26"/>
                <w:szCs w:val="26"/>
              </w:rPr>
              <w:t>Prasība par uzņēmuma dibināšanu investora mītnes valstī ir normāla</w:t>
            </w:r>
            <w:r w:rsidR="00DD371E" w:rsidRPr="0010322E">
              <w:rPr>
                <w:rFonts w:ascii="Times New Roman" w:hAnsi="Times New Roman"/>
                <w:sz w:val="26"/>
                <w:szCs w:val="26"/>
              </w:rPr>
              <w:t xml:space="preserve"> riska kapitāla</w:t>
            </w:r>
            <w:r w:rsidRPr="0010322E">
              <w:rPr>
                <w:rFonts w:ascii="Times New Roman" w:hAnsi="Times New Roman"/>
                <w:sz w:val="26"/>
                <w:szCs w:val="26"/>
              </w:rPr>
              <w:t xml:space="preserve"> nozares prakse un</w:t>
            </w:r>
            <w:r w:rsidR="008E03F1" w:rsidRPr="0010322E">
              <w:rPr>
                <w:rFonts w:ascii="Times New Roman" w:hAnsi="Times New Roman"/>
                <w:sz w:val="26"/>
                <w:szCs w:val="26"/>
              </w:rPr>
              <w:t>,</w:t>
            </w:r>
            <w:r w:rsidRPr="0010322E">
              <w:rPr>
                <w:rFonts w:ascii="Times New Roman" w:hAnsi="Times New Roman"/>
                <w:sz w:val="26"/>
                <w:szCs w:val="26"/>
              </w:rPr>
              <w:t xml:space="preserve"> neskatoties uz saistītās sabiedrības dibināšanu ārvalstīs, </w:t>
            </w:r>
            <w:proofErr w:type="spellStart"/>
            <w:r w:rsidRPr="0010322E">
              <w:rPr>
                <w:rFonts w:ascii="Times New Roman" w:hAnsi="Times New Roman"/>
                <w:sz w:val="26"/>
                <w:szCs w:val="26"/>
              </w:rPr>
              <w:t>jaunuzņēmums</w:t>
            </w:r>
            <w:proofErr w:type="spellEnd"/>
            <w:r w:rsidRPr="0010322E">
              <w:rPr>
                <w:rFonts w:ascii="Times New Roman" w:hAnsi="Times New Roman"/>
                <w:sz w:val="26"/>
                <w:szCs w:val="26"/>
              </w:rPr>
              <w:t xml:space="preserve"> Latvijā, kura 100% kapitāla daļu turētājs ir minētā sabiedrība</w:t>
            </w:r>
            <w:r w:rsidR="00DD371E" w:rsidRPr="0010322E">
              <w:rPr>
                <w:rFonts w:ascii="Times New Roman" w:hAnsi="Times New Roman"/>
                <w:sz w:val="26"/>
                <w:szCs w:val="26"/>
              </w:rPr>
              <w:t xml:space="preserve"> (vai otrādi)</w:t>
            </w:r>
            <w:r w:rsidRPr="0010322E">
              <w:rPr>
                <w:rFonts w:ascii="Times New Roman" w:hAnsi="Times New Roman"/>
                <w:sz w:val="26"/>
                <w:szCs w:val="26"/>
              </w:rPr>
              <w:t xml:space="preserve">, saimniecisko darbību veic Latvijas Republikas teritorijā, kur nodarbināti </w:t>
            </w:r>
            <w:proofErr w:type="spellStart"/>
            <w:r w:rsidRPr="0010322E">
              <w:rPr>
                <w:rFonts w:ascii="Times New Roman" w:hAnsi="Times New Roman"/>
                <w:sz w:val="26"/>
                <w:szCs w:val="26"/>
              </w:rPr>
              <w:t>jaunuzņēmuma</w:t>
            </w:r>
            <w:proofErr w:type="spellEnd"/>
            <w:r w:rsidRPr="0010322E">
              <w:rPr>
                <w:rFonts w:ascii="Times New Roman" w:hAnsi="Times New Roman"/>
                <w:sz w:val="26"/>
                <w:szCs w:val="26"/>
              </w:rPr>
              <w:t xml:space="preserve"> darbinieki, norisinās produktu izstrāde un pārdošana, kā arī tiek radīta pievienotā vērtība. Ņemot vērā, ka </w:t>
            </w:r>
            <w:proofErr w:type="spellStart"/>
            <w:r w:rsidRPr="0010322E">
              <w:rPr>
                <w:rFonts w:ascii="Times New Roman" w:hAnsi="Times New Roman"/>
                <w:sz w:val="26"/>
                <w:szCs w:val="26"/>
              </w:rPr>
              <w:t>jaunuzņēmumu</w:t>
            </w:r>
            <w:proofErr w:type="spellEnd"/>
            <w:r w:rsidRPr="0010322E">
              <w:rPr>
                <w:rFonts w:ascii="Times New Roman" w:hAnsi="Times New Roman"/>
                <w:sz w:val="26"/>
                <w:szCs w:val="26"/>
              </w:rPr>
              <w:t xml:space="preserve"> iespējas piesaistīt agrīnas stadijas riska kapitāla ieguldījumus Latvijā ir ierobežotas (pēdējo 2 gadu laikā vērojams būtisks pārrāvums ES struktūrfondu līdzfinansēto riska kapitāla fondu darbībā), vairāki perspektīvi </w:t>
            </w:r>
            <w:proofErr w:type="spellStart"/>
            <w:r w:rsidRPr="0010322E">
              <w:rPr>
                <w:rFonts w:ascii="Times New Roman" w:hAnsi="Times New Roman"/>
                <w:sz w:val="26"/>
                <w:szCs w:val="26"/>
              </w:rPr>
              <w:t>jaunuzņēmumi</w:t>
            </w:r>
            <w:proofErr w:type="spellEnd"/>
            <w:r w:rsidRPr="0010322E">
              <w:rPr>
                <w:rFonts w:ascii="Times New Roman" w:hAnsi="Times New Roman"/>
                <w:sz w:val="26"/>
                <w:szCs w:val="26"/>
              </w:rPr>
              <w:t xml:space="preserve"> ir izmantojuši iespēju piesaistīt riska kapitāla investīcijas ārvalstīs, visbiežāk piedaloties starptautiskās starptautiska līmeņa akcelerācijas programmās, kas ilgst vidēji 3-6 mēnešus (piemēram, </w:t>
            </w:r>
            <w:proofErr w:type="spellStart"/>
            <w:r w:rsidRPr="0010322E">
              <w:rPr>
                <w:rFonts w:ascii="Times New Roman" w:hAnsi="Times New Roman"/>
                <w:sz w:val="26"/>
                <w:szCs w:val="26"/>
              </w:rPr>
              <w:t>TechStars</w:t>
            </w:r>
            <w:proofErr w:type="spellEnd"/>
            <w:r w:rsidRPr="0010322E">
              <w:rPr>
                <w:rFonts w:ascii="Times New Roman" w:hAnsi="Times New Roman"/>
                <w:sz w:val="26"/>
                <w:szCs w:val="26"/>
              </w:rPr>
              <w:t xml:space="preserve">, 500 </w:t>
            </w:r>
            <w:proofErr w:type="spellStart"/>
            <w:r w:rsidRPr="0010322E">
              <w:rPr>
                <w:rFonts w:ascii="Times New Roman" w:hAnsi="Times New Roman"/>
                <w:sz w:val="26"/>
                <w:szCs w:val="26"/>
              </w:rPr>
              <w:t>Startups</w:t>
            </w:r>
            <w:proofErr w:type="spellEnd"/>
            <w:r w:rsidRPr="0010322E">
              <w:rPr>
                <w:rFonts w:ascii="Times New Roman" w:hAnsi="Times New Roman"/>
                <w:sz w:val="26"/>
                <w:szCs w:val="26"/>
              </w:rPr>
              <w:t xml:space="preserve">, u.c.). </w:t>
            </w:r>
          </w:p>
          <w:p w14:paraId="26F9232C" w14:textId="77777777" w:rsidR="00470603" w:rsidRDefault="00A13118" w:rsidP="008E03F1">
            <w:pPr>
              <w:pStyle w:val="ListParagraph"/>
              <w:spacing w:after="160" w:line="259" w:lineRule="auto"/>
              <w:ind w:left="504"/>
              <w:contextualSpacing/>
              <w:jc w:val="both"/>
              <w:rPr>
                <w:rFonts w:ascii="Times New Roman" w:hAnsi="Times New Roman"/>
                <w:sz w:val="26"/>
                <w:szCs w:val="26"/>
              </w:rPr>
            </w:pPr>
            <w:r w:rsidRPr="0010322E">
              <w:rPr>
                <w:rFonts w:ascii="Times New Roman" w:hAnsi="Times New Roman"/>
                <w:b/>
                <w:sz w:val="26"/>
                <w:szCs w:val="26"/>
              </w:rPr>
              <w:t>Sagatavotie grozījumi likuma 4.pant</w:t>
            </w:r>
            <w:r w:rsidR="008E03F1" w:rsidRPr="0010322E">
              <w:rPr>
                <w:rFonts w:ascii="Times New Roman" w:hAnsi="Times New Roman"/>
                <w:b/>
                <w:sz w:val="26"/>
                <w:szCs w:val="26"/>
              </w:rPr>
              <w:t>a 1.punktā</w:t>
            </w:r>
            <w:r w:rsidRPr="0010322E">
              <w:rPr>
                <w:rFonts w:ascii="Times New Roman" w:hAnsi="Times New Roman"/>
                <w:b/>
                <w:sz w:val="26"/>
                <w:szCs w:val="26"/>
              </w:rPr>
              <w:t xml:space="preserve"> paredz iespēju atbalstam kvalificēties arī </w:t>
            </w:r>
            <w:proofErr w:type="spellStart"/>
            <w:r w:rsidRPr="0010322E">
              <w:rPr>
                <w:rFonts w:ascii="Times New Roman" w:hAnsi="Times New Roman"/>
                <w:b/>
                <w:sz w:val="26"/>
                <w:szCs w:val="26"/>
              </w:rPr>
              <w:t>jaunuzņē</w:t>
            </w:r>
            <w:r w:rsidR="002638D8" w:rsidRPr="0010322E">
              <w:rPr>
                <w:rFonts w:ascii="Times New Roman" w:hAnsi="Times New Roman"/>
                <w:b/>
                <w:sz w:val="26"/>
                <w:szCs w:val="26"/>
              </w:rPr>
              <w:t>m</w:t>
            </w:r>
            <w:r w:rsidRPr="0010322E">
              <w:rPr>
                <w:rFonts w:ascii="Times New Roman" w:hAnsi="Times New Roman"/>
                <w:b/>
                <w:sz w:val="26"/>
                <w:szCs w:val="26"/>
              </w:rPr>
              <w:t>umiem</w:t>
            </w:r>
            <w:proofErr w:type="spellEnd"/>
            <w:r w:rsidRPr="0010322E">
              <w:rPr>
                <w:rFonts w:ascii="Times New Roman" w:hAnsi="Times New Roman"/>
                <w:b/>
                <w:sz w:val="26"/>
                <w:szCs w:val="26"/>
              </w:rPr>
              <w:t>, kuri, lai saņemtu riska kapitāla ieguldījumu, dibinājuši saistīto uzņēmumu ārvalstīs. Atbalsts tiktu sniegts tikai Komercreģistrā reģistrētajai kapitālsabiedrībai,</w:t>
            </w:r>
            <w:r w:rsidRPr="0010322E">
              <w:rPr>
                <w:rFonts w:ascii="Times New Roman" w:hAnsi="Times New Roman"/>
                <w:sz w:val="26"/>
                <w:szCs w:val="26"/>
              </w:rPr>
              <w:t xml:space="preserve"> kas atbilst </w:t>
            </w:r>
            <w:proofErr w:type="spellStart"/>
            <w:r w:rsidRPr="0010322E">
              <w:rPr>
                <w:rFonts w:ascii="Times New Roman" w:hAnsi="Times New Roman"/>
                <w:sz w:val="26"/>
                <w:szCs w:val="26"/>
              </w:rPr>
              <w:t>jaunuzņēmuma</w:t>
            </w:r>
            <w:proofErr w:type="spellEnd"/>
            <w:r w:rsidRPr="0010322E">
              <w:rPr>
                <w:rFonts w:ascii="Times New Roman" w:hAnsi="Times New Roman"/>
                <w:sz w:val="26"/>
                <w:szCs w:val="26"/>
              </w:rPr>
              <w:t xml:space="preserve"> definīcijai un likuma 4.panta noteiktajiem kritērijiem</w:t>
            </w:r>
            <w:r w:rsidR="008E03F1" w:rsidRPr="0010322E">
              <w:rPr>
                <w:rFonts w:ascii="Times New Roman" w:hAnsi="Times New Roman"/>
                <w:sz w:val="26"/>
                <w:szCs w:val="26"/>
              </w:rPr>
              <w:t xml:space="preserve">, turklāt arī saistītais uzņēmums (mātes vai meitas sabiedrība) atbilst </w:t>
            </w:r>
            <w:proofErr w:type="spellStart"/>
            <w:r w:rsidR="008E03F1" w:rsidRPr="0010322E">
              <w:rPr>
                <w:rFonts w:ascii="Times New Roman" w:hAnsi="Times New Roman"/>
                <w:sz w:val="26"/>
                <w:szCs w:val="26"/>
              </w:rPr>
              <w:t>jaunuzņēmuma</w:t>
            </w:r>
            <w:proofErr w:type="spellEnd"/>
            <w:r w:rsidR="008E03F1" w:rsidRPr="0010322E">
              <w:rPr>
                <w:rFonts w:ascii="Times New Roman" w:hAnsi="Times New Roman"/>
                <w:sz w:val="26"/>
                <w:szCs w:val="26"/>
              </w:rPr>
              <w:t xml:space="preserve"> pazīmēm</w:t>
            </w:r>
            <w:r w:rsidR="00AE1B30" w:rsidRPr="0010322E">
              <w:rPr>
                <w:rFonts w:ascii="Times New Roman" w:hAnsi="Times New Roman"/>
                <w:sz w:val="26"/>
                <w:szCs w:val="26"/>
              </w:rPr>
              <w:t>, saglabājot nosacījumus attiecībā uz piesaistīto investīciju apjomu.</w:t>
            </w:r>
            <w:r w:rsidRPr="0010322E">
              <w:rPr>
                <w:rFonts w:ascii="Times New Roman" w:hAnsi="Times New Roman"/>
                <w:sz w:val="26"/>
                <w:szCs w:val="26"/>
              </w:rPr>
              <w:t xml:space="preserve"> </w:t>
            </w:r>
          </w:p>
          <w:p w14:paraId="1B4D3BEB" w14:textId="450BEB3A" w:rsidR="00A13118" w:rsidRPr="0010322E" w:rsidRDefault="00A13118" w:rsidP="008E03F1">
            <w:pPr>
              <w:pStyle w:val="ListParagraph"/>
              <w:spacing w:after="160" w:line="259" w:lineRule="auto"/>
              <w:ind w:left="504"/>
              <w:contextualSpacing/>
              <w:jc w:val="both"/>
              <w:rPr>
                <w:rFonts w:ascii="Times New Roman" w:hAnsi="Times New Roman"/>
                <w:b/>
                <w:sz w:val="26"/>
                <w:szCs w:val="26"/>
              </w:rPr>
            </w:pPr>
            <w:r w:rsidRPr="0010322E">
              <w:rPr>
                <w:rFonts w:ascii="Times New Roman" w:hAnsi="Times New Roman"/>
                <w:sz w:val="26"/>
                <w:szCs w:val="26"/>
              </w:rPr>
              <w:lastRenderedPageBreak/>
              <w:t>Spēkā esošā 4.panta redakcija nosaka stingrākus nosacījumus potenciālajiem atbalsta saņēmējiem nekā to paredz valsts atbalsta regulējums, kā arī prakse citās valsts atbalsta programmās</w:t>
            </w:r>
            <w:r w:rsidR="00DD371E" w:rsidRPr="0010322E">
              <w:rPr>
                <w:rFonts w:ascii="Times New Roman" w:hAnsi="Times New Roman"/>
                <w:sz w:val="26"/>
                <w:szCs w:val="26"/>
              </w:rPr>
              <w:t xml:space="preserve"> </w:t>
            </w:r>
            <w:r w:rsidRPr="0010322E">
              <w:rPr>
                <w:rFonts w:ascii="Times New Roman" w:hAnsi="Times New Roman"/>
                <w:sz w:val="26"/>
                <w:szCs w:val="26"/>
              </w:rPr>
              <w:t xml:space="preserve">šādus nosacījumus neparedz, turklāt ir pretrunā ar likuma mērķi - atbalstīt uzņēmumus ar globālām (mērogojamām) biznesa idejām. </w:t>
            </w:r>
            <w:r w:rsidR="00880C75" w:rsidRPr="0010322E">
              <w:rPr>
                <w:rFonts w:ascii="Times New Roman" w:hAnsi="Times New Roman"/>
                <w:sz w:val="26"/>
                <w:szCs w:val="26"/>
              </w:rPr>
              <w:t xml:space="preserve">Minētos </w:t>
            </w:r>
            <w:r w:rsidR="00470603">
              <w:rPr>
                <w:rFonts w:ascii="Times New Roman" w:hAnsi="Times New Roman"/>
                <w:sz w:val="26"/>
                <w:szCs w:val="26"/>
              </w:rPr>
              <w:t>priekšlikumus</w:t>
            </w:r>
            <w:r w:rsidR="00880C75" w:rsidRPr="0010322E">
              <w:rPr>
                <w:rFonts w:ascii="Times New Roman" w:hAnsi="Times New Roman"/>
                <w:sz w:val="26"/>
                <w:szCs w:val="26"/>
              </w:rPr>
              <w:t xml:space="preserve"> EM sagatavoja jau iepriekšējā likuma grozījumu procesā, taču tie netika atbalstīti.</w:t>
            </w:r>
          </w:p>
          <w:p w14:paraId="70F09A89" w14:textId="13638046" w:rsidR="00D76C64" w:rsidRPr="0010322E" w:rsidRDefault="003F15FE" w:rsidP="008E03F1">
            <w:pPr>
              <w:pStyle w:val="ListParagraph"/>
              <w:numPr>
                <w:ilvl w:val="0"/>
                <w:numId w:val="7"/>
              </w:numPr>
              <w:ind w:left="646"/>
              <w:jc w:val="both"/>
              <w:rPr>
                <w:rFonts w:ascii="Times New Roman" w:eastAsia="Calibri" w:hAnsi="Times New Roman"/>
                <w:bCs/>
                <w:sz w:val="26"/>
                <w:szCs w:val="26"/>
                <w:shd w:val="clear" w:color="auto" w:fill="FFFFFF"/>
              </w:rPr>
            </w:pPr>
            <w:r w:rsidRPr="0010322E">
              <w:rPr>
                <w:rFonts w:ascii="Times New Roman" w:eastAsia="Calibri" w:hAnsi="Times New Roman"/>
                <w:bCs/>
                <w:sz w:val="26"/>
                <w:szCs w:val="26"/>
                <w:shd w:val="clear" w:color="auto" w:fill="FFFFFF"/>
              </w:rPr>
              <w:t>Ņemot vērā, ka atsevišķu</w:t>
            </w:r>
            <w:r w:rsidR="0095418C" w:rsidRPr="0010322E">
              <w:rPr>
                <w:rFonts w:ascii="Times New Roman" w:eastAsia="Calibri" w:hAnsi="Times New Roman"/>
                <w:bCs/>
                <w:sz w:val="26"/>
                <w:szCs w:val="26"/>
                <w:shd w:val="clear" w:color="auto" w:fill="FFFFFF"/>
              </w:rPr>
              <w:t xml:space="preserve"> </w:t>
            </w:r>
            <w:proofErr w:type="spellStart"/>
            <w:r w:rsidR="0095418C" w:rsidRPr="0010322E">
              <w:rPr>
                <w:rFonts w:ascii="Times New Roman" w:eastAsia="Calibri" w:hAnsi="Times New Roman"/>
                <w:b/>
                <w:bCs/>
                <w:sz w:val="26"/>
                <w:szCs w:val="26"/>
                <w:shd w:val="clear" w:color="auto" w:fill="FFFFFF"/>
              </w:rPr>
              <w:t>jaunuzņēmum</w:t>
            </w:r>
            <w:r w:rsidRPr="0010322E">
              <w:rPr>
                <w:rFonts w:ascii="Times New Roman" w:eastAsia="Calibri" w:hAnsi="Times New Roman"/>
                <w:b/>
                <w:bCs/>
                <w:sz w:val="26"/>
                <w:szCs w:val="26"/>
                <w:shd w:val="clear" w:color="auto" w:fill="FFFFFF"/>
              </w:rPr>
              <w:t>u</w:t>
            </w:r>
            <w:proofErr w:type="spellEnd"/>
            <w:r w:rsidR="0095418C" w:rsidRPr="0010322E">
              <w:rPr>
                <w:rFonts w:ascii="Times New Roman" w:eastAsia="Calibri" w:hAnsi="Times New Roman"/>
                <w:b/>
                <w:bCs/>
                <w:sz w:val="26"/>
                <w:szCs w:val="26"/>
                <w:shd w:val="clear" w:color="auto" w:fill="FFFFFF"/>
              </w:rPr>
              <w:t xml:space="preserve"> biznesa idejas izstrādes process var būt ilgāks par pieciem gadiem, tiek palielināt</w:t>
            </w:r>
            <w:r w:rsidRPr="0010322E">
              <w:rPr>
                <w:rFonts w:ascii="Times New Roman" w:eastAsia="Calibri" w:hAnsi="Times New Roman"/>
                <w:b/>
                <w:bCs/>
                <w:sz w:val="26"/>
                <w:szCs w:val="26"/>
                <w:shd w:val="clear" w:color="auto" w:fill="FFFFFF"/>
              </w:rPr>
              <w:t>s</w:t>
            </w:r>
            <w:r w:rsidR="0095418C" w:rsidRPr="0010322E">
              <w:rPr>
                <w:rFonts w:ascii="Times New Roman" w:eastAsia="Calibri" w:hAnsi="Times New Roman"/>
                <w:b/>
                <w:bCs/>
                <w:sz w:val="26"/>
                <w:szCs w:val="26"/>
                <w:shd w:val="clear" w:color="auto" w:fill="FFFFFF"/>
              </w:rPr>
              <w:t xml:space="preserve"> </w:t>
            </w:r>
            <w:r w:rsidR="008C0F39" w:rsidRPr="0010322E">
              <w:rPr>
                <w:rFonts w:ascii="Times New Roman" w:eastAsia="Calibri" w:hAnsi="Times New Roman"/>
                <w:b/>
                <w:bCs/>
                <w:sz w:val="26"/>
                <w:szCs w:val="26"/>
                <w:shd w:val="clear" w:color="auto" w:fill="FFFFFF"/>
              </w:rPr>
              <w:t xml:space="preserve">vecums kopš to reģistrēšanās Komercreģistrā kā viens no kvalifikācijas kritērijiem no pieciem </w:t>
            </w:r>
            <w:r w:rsidR="0095418C" w:rsidRPr="0010322E">
              <w:rPr>
                <w:rFonts w:ascii="Times New Roman" w:eastAsia="Calibri" w:hAnsi="Times New Roman"/>
                <w:b/>
                <w:bCs/>
                <w:sz w:val="26"/>
                <w:szCs w:val="26"/>
                <w:shd w:val="clear" w:color="auto" w:fill="FFFFFF"/>
              </w:rPr>
              <w:t xml:space="preserve">līdz </w:t>
            </w:r>
            <w:r w:rsidR="00AE1B30" w:rsidRPr="0010322E">
              <w:rPr>
                <w:rFonts w:ascii="Times New Roman" w:eastAsia="Calibri" w:hAnsi="Times New Roman"/>
                <w:b/>
                <w:bCs/>
                <w:sz w:val="26"/>
                <w:szCs w:val="26"/>
                <w:shd w:val="clear" w:color="auto" w:fill="FFFFFF"/>
              </w:rPr>
              <w:t>septiņiem</w:t>
            </w:r>
            <w:r w:rsidR="0095418C" w:rsidRPr="0010322E">
              <w:rPr>
                <w:rFonts w:ascii="Times New Roman" w:eastAsia="Calibri" w:hAnsi="Times New Roman"/>
                <w:b/>
                <w:bCs/>
                <w:sz w:val="26"/>
                <w:szCs w:val="26"/>
                <w:shd w:val="clear" w:color="auto" w:fill="FFFFFF"/>
              </w:rPr>
              <w:t xml:space="preserve"> gadiem</w:t>
            </w:r>
            <w:r w:rsidR="0095418C" w:rsidRPr="0010322E">
              <w:rPr>
                <w:rFonts w:ascii="Times New Roman" w:eastAsia="Calibri" w:hAnsi="Times New Roman"/>
                <w:bCs/>
                <w:sz w:val="26"/>
                <w:szCs w:val="26"/>
                <w:shd w:val="clear" w:color="auto" w:fill="FFFFFF"/>
              </w:rPr>
              <w:t xml:space="preserve">. </w:t>
            </w:r>
            <w:r w:rsidR="00D76C64" w:rsidRPr="0010322E">
              <w:rPr>
                <w:rFonts w:ascii="Times New Roman" w:eastAsia="Calibri" w:hAnsi="Times New Roman"/>
                <w:bCs/>
                <w:sz w:val="26"/>
                <w:szCs w:val="26"/>
                <w:shd w:val="clear" w:color="auto" w:fill="FFFFFF"/>
              </w:rPr>
              <w:t>Kā secinā</w:t>
            </w:r>
            <w:r w:rsidR="00AE1B30" w:rsidRPr="0010322E">
              <w:rPr>
                <w:rFonts w:ascii="Times New Roman" w:eastAsia="Calibri" w:hAnsi="Times New Roman"/>
                <w:bCs/>
                <w:sz w:val="26"/>
                <w:szCs w:val="26"/>
                <w:shd w:val="clear" w:color="auto" w:fill="FFFFFF"/>
              </w:rPr>
              <w:t xml:space="preserve">ts </w:t>
            </w:r>
            <w:r w:rsidR="003B3DF2" w:rsidRPr="0010322E">
              <w:rPr>
                <w:rFonts w:ascii="Times New Roman" w:eastAsia="Calibri" w:hAnsi="Times New Roman"/>
                <w:bCs/>
                <w:sz w:val="26"/>
                <w:szCs w:val="26"/>
                <w:shd w:val="clear" w:color="auto" w:fill="FFFFFF"/>
              </w:rPr>
              <w:t>EM</w:t>
            </w:r>
            <w:r w:rsidR="00AE1B30" w:rsidRPr="0010322E">
              <w:rPr>
                <w:rFonts w:ascii="Times New Roman" w:eastAsia="Calibri" w:hAnsi="Times New Roman"/>
                <w:bCs/>
                <w:sz w:val="26"/>
                <w:szCs w:val="26"/>
                <w:shd w:val="clear" w:color="auto" w:fill="FFFFFF"/>
              </w:rPr>
              <w:t xml:space="preserve"> pasūtītajā </w:t>
            </w:r>
            <w:proofErr w:type="spellStart"/>
            <w:r w:rsidR="00880C75" w:rsidRPr="0010322E">
              <w:rPr>
                <w:rFonts w:ascii="Times New Roman" w:eastAsia="Calibri" w:hAnsi="Times New Roman"/>
                <w:bCs/>
                <w:sz w:val="26"/>
                <w:szCs w:val="26"/>
                <w:shd w:val="clear" w:color="auto" w:fill="FFFFFF"/>
              </w:rPr>
              <w:t>izvērtējumā</w:t>
            </w:r>
            <w:proofErr w:type="spellEnd"/>
            <w:r w:rsidR="00AE1B30" w:rsidRPr="0010322E">
              <w:rPr>
                <w:rFonts w:ascii="Times New Roman" w:eastAsia="Calibri" w:hAnsi="Times New Roman"/>
                <w:bCs/>
                <w:sz w:val="26"/>
                <w:szCs w:val="26"/>
                <w:shd w:val="clear" w:color="auto" w:fill="FFFFFF"/>
              </w:rPr>
              <w:t xml:space="preserve"> par </w:t>
            </w:r>
            <w:proofErr w:type="spellStart"/>
            <w:r w:rsidR="00AE1B30" w:rsidRPr="0010322E">
              <w:rPr>
                <w:rFonts w:ascii="Times New Roman" w:eastAsia="Calibri" w:hAnsi="Times New Roman"/>
                <w:bCs/>
                <w:sz w:val="26"/>
                <w:szCs w:val="26"/>
                <w:shd w:val="clear" w:color="auto" w:fill="FFFFFF"/>
              </w:rPr>
              <w:t>jaunuzņēmumu</w:t>
            </w:r>
            <w:proofErr w:type="spellEnd"/>
            <w:r w:rsidR="00AE1B30" w:rsidRPr="0010322E">
              <w:rPr>
                <w:rFonts w:ascii="Times New Roman" w:eastAsia="Calibri" w:hAnsi="Times New Roman"/>
                <w:bCs/>
                <w:sz w:val="26"/>
                <w:szCs w:val="26"/>
                <w:shd w:val="clear" w:color="auto" w:fill="FFFFFF"/>
              </w:rPr>
              <w:t xml:space="preserve"> ekosistēmu un esošajiem valsts atbalsta instrumentiem</w:t>
            </w:r>
            <w:r w:rsidR="00D76C64" w:rsidRPr="0010322E">
              <w:rPr>
                <w:rStyle w:val="FootnoteReference"/>
                <w:rFonts w:ascii="Times New Roman" w:eastAsia="Calibri" w:hAnsi="Times New Roman"/>
                <w:bCs/>
                <w:sz w:val="26"/>
                <w:szCs w:val="26"/>
              </w:rPr>
              <w:footnoteReference w:id="1"/>
            </w:r>
            <w:r w:rsidR="0095418C" w:rsidRPr="0010322E">
              <w:rPr>
                <w:rFonts w:ascii="Times New Roman" w:eastAsia="Calibri" w:hAnsi="Times New Roman"/>
                <w:bCs/>
                <w:sz w:val="26"/>
                <w:szCs w:val="26"/>
                <w:shd w:val="clear" w:color="auto" w:fill="FFFFFF"/>
              </w:rPr>
              <w:t xml:space="preserve">, tad šobrīd ir vairākas valstis, </w:t>
            </w:r>
            <w:r w:rsidR="00AE1B30" w:rsidRPr="0010322E">
              <w:rPr>
                <w:rFonts w:ascii="Times New Roman" w:eastAsia="Calibri" w:hAnsi="Times New Roman"/>
                <w:bCs/>
                <w:sz w:val="26"/>
                <w:szCs w:val="26"/>
                <w:shd w:val="clear" w:color="auto" w:fill="FFFFFF"/>
              </w:rPr>
              <w:t xml:space="preserve">tai skaitā Igaunija, </w:t>
            </w:r>
            <w:r w:rsidR="0095418C" w:rsidRPr="0010322E">
              <w:rPr>
                <w:rFonts w:ascii="Times New Roman" w:eastAsia="Calibri" w:hAnsi="Times New Roman"/>
                <w:bCs/>
                <w:sz w:val="26"/>
                <w:szCs w:val="26"/>
                <w:shd w:val="clear" w:color="auto" w:fill="FFFFFF"/>
              </w:rPr>
              <w:t xml:space="preserve">kur par </w:t>
            </w:r>
            <w:proofErr w:type="spellStart"/>
            <w:r w:rsidR="0095418C" w:rsidRPr="0010322E">
              <w:rPr>
                <w:rFonts w:ascii="Times New Roman" w:eastAsia="Calibri" w:hAnsi="Times New Roman"/>
                <w:bCs/>
                <w:sz w:val="26"/>
                <w:szCs w:val="26"/>
                <w:shd w:val="clear" w:color="auto" w:fill="FFFFFF"/>
              </w:rPr>
              <w:t>jaunuzņēmumu</w:t>
            </w:r>
            <w:proofErr w:type="spellEnd"/>
            <w:r w:rsidR="0095418C" w:rsidRPr="0010322E">
              <w:rPr>
                <w:rFonts w:ascii="Times New Roman" w:eastAsia="Calibri" w:hAnsi="Times New Roman"/>
                <w:bCs/>
                <w:sz w:val="26"/>
                <w:szCs w:val="26"/>
                <w:shd w:val="clear" w:color="auto" w:fill="FFFFFF"/>
              </w:rPr>
              <w:t xml:space="preserve"> atzīst komersantus, kas ir jaunāki par</w:t>
            </w:r>
            <w:r w:rsidR="00AE1B30" w:rsidRPr="0010322E">
              <w:rPr>
                <w:rFonts w:ascii="Times New Roman" w:eastAsia="Calibri" w:hAnsi="Times New Roman"/>
                <w:bCs/>
                <w:sz w:val="26"/>
                <w:szCs w:val="26"/>
                <w:shd w:val="clear" w:color="auto" w:fill="FFFFFF"/>
              </w:rPr>
              <w:t xml:space="preserve"> septiņiem vai</w:t>
            </w:r>
            <w:r w:rsidR="0095418C" w:rsidRPr="0010322E">
              <w:rPr>
                <w:rFonts w:ascii="Times New Roman" w:eastAsia="Calibri" w:hAnsi="Times New Roman"/>
                <w:bCs/>
                <w:sz w:val="26"/>
                <w:szCs w:val="26"/>
                <w:shd w:val="clear" w:color="auto" w:fill="FFFFFF"/>
              </w:rPr>
              <w:t xml:space="preserve"> desmit gadiem. </w:t>
            </w:r>
            <w:r w:rsidR="00AE1B30" w:rsidRPr="0010322E">
              <w:rPr>
                <w:rFonts w:ascii="Times New Roman" w:eastAsia="Calibri" w:hAnsi="Times New Roman"/>
                <w:bCs/>
                <w:sz w:val="26"/>
                <w:szCs w:val="26"/>
                <w:shd w:val="clear" w:color="auto" w:fill="FFFFFF"/>
              </w:rPr>
              <w:t xml:space="preserve">Pētījumā tiek </w:t>
            </w:r>
            <w:r w:rsidR="0095418C" w:rsidRPr="0010322E">
              <w:rPr>
                <w:rFonts w:ascii="Times New Roman" w:eastAsia="Calibri" w:hAnsi="Times New Roman"/>
                <w:bCs/>
                <w:sz w:val="26"/>
                <w:szCs w:val="26"/>
                <w:shd w:val="clear" w:color="auto" w:fill="FFFFFF"/>
              </w:rPr>
              <w:t>norād</w:t>
            </w:r>
            <w:r w:rsidR="00AE1B30" w:rsidRPr="0010322E">
              <w:rPr>
                <w:rFonts w:ascii="Times New Roman" w:eastAsia="Calibri" w:hAnsi="Times New Roman"/>
                <w:bCs/>
                <w:sz w:val="26"/>
                <w:szCs w:val="26"/>
                <w:shd w:val="clear" w:color="auto" w:fill="FFFFFF"/>
              </w:rPr>
              <w:t>īts</w:t>
            </w:r>
            <w:r w:rsidR="0095418C" w:rsidRPr="0010322E">
              <w:rPr>
                <w:rFonts w:ascii="Times New Roman" w:eastAsia="Calibri" w:hAnsi="Times New Roman"/>
                <w:bCs/>
                <w:sz w:val="26"/>
                <w:szCs w:val="26"/>
                <w:shd w:val="clear" w:color="auto" w:fill="FFFFFF"/>
              </w:rPr>
              <w:t xml:space="preserve"> uz statistiku, ka </w:t>
            </w:r>
            <w:r w:rsidR="00D76C64" w:rsidRPr="0010322E">
              <w:rPr>
                <w:rFonts w:ascii="Times New Roman" w:eastAsia="Calibri" w:hAnsi="Times New Roman"/>
                <w:bCs/>
                <w:sz w:val="26"/>
                <w:szCs w:val="26"/>
                <w:shd w:val="clear" w:color="auto" w:fill="FFFFFF"/>
              </w:rPr>
              <w:t xml:space="preserve">liela daļa </w:t>
            </w:r>
            <w:proofErr w:type="spellStart"/>
            <w:r w:rsidR="00D76C64" w:rsidRPr="0010322E">
              <w:rPr>
                <w:rFonts w:ascii="Times New Roman" w:eastAsia="Calibri" w:hAnsi="Times New Roman"/>
                <w:bCs/>
                <w:sz w:val="26"/>
                <w:szCs w:val="26"/>
                <w:shd w:val="clear" w:color="auto" w:fill="FFFFFF"/>
              </w:rPr>
              <w:t>jaunuzņēmumu</w:t>
            </w:r>
            <w:proofErr w:type="spellEnd"/>
            <w:r w:rsidR="00D76C64" w:rsidRPr="0010322E">
              <w:rPr>
                <w:rFonts w:ascii="Times New Roman" w:eastAsia="Calibri" w:hAnsi="Times New Roman"/>
                <w:bCs/>
                <w:sz w:val="26"/>
                <w:szCs w:val="26"/>
                <w:shd w:val="clear" w:color="auto" w:fill="FFFFFF"/>
              </w:rPr>
              <w:t xml:space="preserve"> līdz pieciem gadiem cieš zaudējumus, tomēr tie </w:t>
            </w:r>
            <w:proofErr w:type="spellStart"/>
            <w:r w:rsidR="00D76C64" w:rsidRPr="0010322E">
              <w:rPr>
                <w:rFonts w:ascii="Times New Roman" w:eastAsia="Calibri" w:hAnsi="Times New Roman"/>
                <w:bCs/>
                <w:sz w:val="26"/>
                <w:szCs w:val="26"/>
                <w:shd w:val="clear" w:color="auto" w:fill="FFFFFF"/>
              </w:rPr>
              <w:t>jaunuzņēmumi</w:t>
            </w:r>
            <w:proofErr w:type="spellEnd"/>
            <w:r w:rsidR="00D76C64" w:rsidRPr="0010322E">
              <w:rPr>
                <w:rFonts w:ascii="Times New Roman" w:eastAsia="Calibri" w:hAnsi="Times New Roman"/>
                <w:bCs/>
                <w:sz w:val="26"/>
                <w:szCs w:val="26"/>
                <w:shd w:val="clear" w:color="auto" w:fill="FFFFFF"/>
              </w:rPr>
              <w:t xml:space="preserve">, kas ir pārvarējuši piecu gadu slieksni, strauji palielina kopējos nodokļu maksājumus un gūst peļņu vēlākā periodā. </w:t>
            </w:r>
            <w:r w:rsidR="00D76C64" w:rsidRPr="0010322E">
              <w:rPr>
                <w:rFonts w:ascii="Times New Roman" w:hAnsi="Times New Roman"/>
                <w:sz w:val="26"/>
                <w:szCs w:val="26"/>
              </w:rPr>
              <w:t xml:space="preserve">2019.gada sākumā Latvijā ir reģistrēti 418 </w:t>
            </w:r>
            <w:proofErr w:type="spellStart"/>
            <w:r w:rsidR="00D76C64" w:rsidRPr="0010322E">
              <w:rPr>
                <w:rFonts w:ascii="Times New Roman" w:hAnsi="Times New Roman"/>
                <w:sz w:val="26"/>
                <w:szCs w:val="26"/>
              </w:rPr>
              <w:t>jaunuzņēmumi</w:t>
            </w:r>
            <w:proofErr w:type="spellEnd"/>
            <w:r w:rsidR="00D76C64" w:rsidRPr="0010322E">
              <w:rPr>
                <w:rFonts w:ascii="Times New Roman" w:hAnsi="Times New Roman"/>
                <w:sz w:val="26"/>
                <w:szCs w:val="26"/>
              </w:rPr>
              <w:t xml:space="preserve">, no kuriem 83% ir </w:t>
            </w:r>
            <w:proofErr w:type="spellStart"/>
            <w:r w:rsidR="00D76C64" w:rsidRPr="0010322E">
              <w:rPr>
                <w:rFonts w:ascii="Times New Roman" w:hAnsi="Times New Roman"/>
                <w:sz w:val="26"/>
                <w:szCs w:val="26"/>
              </w:rPr>
              <w:t>jaunuzņēmumi</w:t>
            </w:r>
            <w:proofErr w:type="spellEnd"/>
            <w:r w:rsidR="00D76C64" w:rsidRPr="0010322E">
              <w:rPr>
                <w:rFonts w:ascii="Times New Roman" w:hAnsi="Times New Roman"/>
                <w:sz w:val="26"/>
                <w:szCs w:val="26"/>
              </w:rPr>
              <w:t xml:space="preserve"> vecumā līdz </w:t>
            </w:r>
            <w:r w:rsidR="00D76C64" w:rsidRPr="0010322E">
              <w:rPr>
                <w:rStyle w:val="highlight"/>
                <w:rFonts w:ascii="Times New Roman" w:hAnsi="Times New Roman"/>
                <w:sz w:val="26"/>
                <w:szCs w:val="26"/>
              </w:rPr>
              <w:t>pieci</w:t>
            </w:r>
            <w:r w:rsidR="00D76C64" w:rsidRPr="0010322E">
              <w:rPr>
                <w:rFonts w:ascii="Times New Roman" w:hAnsi="Times New Roman"/>
                <w:sz w:val="26"/>
                <w:szCs w:val="26"/>
              </w:rPr>
              <w:t xml:space="preserve">em gadiem, taču 17% ir vecāki par pieciem gadiem. </w:t>
            </w:r>
            <w:proofErr w:type="spellStart"/>
            <w:r w:rsidR="00D76C64" w:rsidRPr="0010322E">
              <w:rPr>
                <w:rFonts w:ascii="Times New Roman" w:hAnsi="Times New Roman"/>
                <w:sz w:val="26"/>
                <w:szCs w:val="26"/>
              </w:rPr>
              <w:t>Jaunuzņēmumi</w:t>
            </w:r>
            <w:proofErr w:type="spellEnd"/>
            <w:r w:rsidR="00D76C64" w:rsidRPr="0010322E">
              <w:rPr>
                <w:rFonts w:ascii="Times New Roman" w:hAnsi="Times New Roman"/>
                <w:sz w:val="26"/>
                <w:szCs w:val="26"/>
              </w:rPr>
              <w:t xml:space="preserve"> lielākoties tiek dibināti kā </w:t>
            </w:r>
            <w:r w:rsidRPr="0010322E">
              <w:rPr>
                <w:rFonts w:ascii="Times New Roman" w:hAnsi="Times New Roman"/>
                <w:sz w:val="26"/>
                <w:szCs w:val="26"/>
              </w:rPr>
              <w:t xml:space="preserve"> sabiedrības ar ierobežotu atbildību</w:t>
            </w:r>
            <w:r w:rsidR="00D76C64" w:rsidRPr="0010322E">
              <w:rPr>
                <w:rFonts w:ascii="Times New Roman" w:hAnsi="Times New Roman"/>
                <w:sz w:val="26"/>
                <w:szCs w:val="26"/>
              </w:rPr>
              <w:t xml:space="preserve"> un 2018. gadā vien 8% no </w:t>
            </w:r>
            <w:proofErr w:type="spellStart"/>
            <w:r w:rsidR="00D76C64" w:rsidRPr="0010322E">
              <w:rPr>
                <w:rFonts w:ascii="Times New Roman" w:hAnsi="Times New Roman"/>
                <w:sz w:val="26"/>
                <w:szCs w:val="26"/>
              </w:rPr>
              <w:t>jaunuzņēmumiem</w:t>
            </w:r>
            <w:proofErr w:type="spellEnd"/>
            <w:r w:rsidR="00D76C64" w:rsidRPr="0010322E">
              <w:rPr>
                <w:rFonts w:ascii="Times New Roman" w:hAnsi="Times New Roman"/>
                <w:sz w:val="26"/>
                <w:szCs w:val="26"/>
              </w:rPr>
              <w:t xml:space="preserve"> ir </w:t>
            </w:r>
            <w:proofErr w:type="spellStart"/>
            <w:r w:rsidR="00D76C64" w:rsidRPr="0010322E">
              <w:rPr>
                <w:rFonts w:ascii="Times New Roman" w:hAnsi="Times New Roman"/>
                <w:sz w:val="26"/>
                <w:szCs w:val="26"/>
              </w:rPr>
              <w:t>mikrouzņēmuma</w:t>
            </w:r>
            <w:proofErr w:type="spellEnd"/>
            <w:r w:rsidR="00D76C64" w:rsidRPr="0010322E">
              <w:rPr>
                <w:rFonts w:ascii="Times New Roman" w:hAnsi="Times New Roman"/>
                <w:sz w:val="26"/>
                <w:szCs w:val="26"/>
              </w:rPr>
              <w:t xml:space="preserve"> nodokļa maksātāji. </w:t>
            </w:r>
            <w:proofErr w:type="spellStart"/>
            <w:r w:rsidR="00D76C64" w:rsidRPr="0010322E">
              <w:rPr>
                <w:rFonts w:ascii="Times New Roman" w:hAnsi="Times New Roman"/>
                <w:sz w:val="26"/>
                <w:szCs w:val="26"/>
              </w:rPr>
              <w:t>Jaunuzņēmumi</w:t>
            </w:r>
            <w:proofErr w:type="spellEnd"/>
            <w:r w:rsidR="00D76C64" w:rsidRPr="0010322E">
              <w:rPr>
                <w:rFonts w:ascii="Times New Roman" w:hAnsi="Times New Roman"/>
                <w:sz w:val="26"/>
                <w:szCs w:val="26"/>
              </w:rPr>
              <w:t xml:space="preserve"> nodokļos vidēji gadā samaksā ap 6-8 miljoni EUR</w:t>
            </w:r>
            <w:r w:rsidR="00D95DE5" w:rsidRPr="0010322E">
              <w:rPr>
                <w:rFonts w:ascii="Times New Roman" w:hAnsi="Times New Roman"/>
                <w:sz w:val="26"/>
                <w:szCs w:val="26"/>
              </w:rPr>
              <w:t xml:space="preserve">. </w:t>
            </w:r>
            <w:r w:rsidR="0095418C" w:rsidRPr="0010322E">
              <w:rPr>
                <w:rFonts w:ascii="Times New Roman" w:hAnsi="Times New Roman"/>
                <w:sz w:val="26"/>
                <w:szCs w:val="26"/>
              </w:rPr>
              <w:t>Programmas mērķis</w:t>
            </w:r>
            <w:r w:rsidR="003B3DF2" w:rsidRPr="0010322E">
              <w:rPr>
                <w:rFonts w:ascii="Times New Roman" w:hAnsi="Times New Roman"/>
                <w:sz w:val="26"/>
                <w:szCs w:val="26"/>
              </w:rPr>
              <w:t xml:space="preserve"> pēc būtības ir atbalstīt </w:t>
            </w:r>
            <w:proofErr w:type="spellStart"/>
            <w:r w:rsidR="003B3DF2" w:rsidRPr="0010322E">
              <w:rPr>
                <w:rFonts w:ascii="Times New Roman" w:hAnsi="Times New Roman"/>
                <w:sz w:val="26"/>
                <w:szCs w:val="26"/>
              </w:rPr>
              <w:t>jaunuzņēmumus</w:t>
            </w:r>
            <w:proofErr w:type="spellEnd"/>
            <w:r w:rsidR="003B3DF2" w:rsidRPr="0010322E">
              <w:rPr>
                <w:rFonts w:ascii="Times New Roman" w:hAnsi="Times New Roman"/>
                <w:sz w:val="26"/>
                <w:szCs w:val="26"/>
              </w:rPr>
              <w:t xml:space="preserve">, kas atbilst to būtībai, taču </w:t>
            </w:r>
            <w:r w:rsidR="0095418C" w:rsidRPr="0010322E">
              <w:rPr>
                <w:rFonts w:ascii="Times New Roman" w:hAnsi="Times New Roman"/>
                <w:sz w:val="26"/>
                <w:szCs w:val="26"/>
              </w:rPr>
              <w:t xml:space="preserve">ņemot vērā faktu, ka </w:t>
            </w:r>
            <w:r w:rsidR="003B3DF2" w:rsidRPr="0010322E">
              <w:rPr>
                <w:rFonts w:ascii="Times New Roman" w:hAnsi="Times New Roman"/>
                <w:sz w:val="26"/>
                <w:szCs w:val="26"/>
              </w:rPr>
              <w:t xml:space="preserve">atšķirībā no programmatūras ražotājiem- </w:t>
            </w:r>
            <w:proofErr w:type="spellStart"/>
            <w:r w:rsidR="003B3DF2" w:rsidRPr="0010322E">
              <w:rPr>
                <w:rFonts w:ascii="Times New Roman" w:hAnsi="Times New Roman"/>
                <w:sz w:val="26"/>
                <w:szCs w:val="26"/>
              </w:rPr>
              <w:t>jaunuzņēmumiem</w:t>
            </w:r>
            <w:proofErr w:type="spellEnd"/>
            <w:r w:rsidR="003B3DF2" w:rsidRPr="0010322E">
              <w:rPr>
                <w:rFonts w:ascii="Times New Roman" w:hAnsi="Times New Roman"/>
                <w:sz w:val="26"/>
                <w:szCs w:val="26"/>
              </w:rPr>
              <w:t xml:space="preserve">, </w:t>
            </w:r>
            <w:r w:rsidR="0095418C" w:rsidRPr="0010322E">
              <w:rPr>
                <w:rFonts w:ascii="Times New Roman" w:hAnsi="Times New Roman"/>
                <w:sz w:val="26"/>
                <w:szCs w:val="26"/>
              </w:rPr>
              <w:t>tā saucamie “</w:t>
            </w:r>
            <w:proofErr w:type="spellStart"/>
            <w:r w:rsidR="0095418C" w:rsidRPr="0010322E">
              <w:rPr>
                <w:rFonts w:ascii="Times New Roman" w:hAnsi="Times New Roman"/>
                <w:i/>
                <w:sz w:val="26"/>
                <w:szCs w:val="26"/>
              </w:rPr>
              <w:t>deeptech</w:t>
            </w:r>
            <w:proofErr w:type="spellEnd"/>
            <w:r w:rsidR="0095418C" w:rsidRPr="0010322E">
              <w:rPr>
                <w:rFonts w:ascii="Times New Roman" w:hAnsi="Times New Roman"/>
                <w:sz w:val="26"/>
                <w:szCs w:val="26"/>
              </w:rPr>
              <w:t xml:space="preserve">” jeb </w:t>
            </w:r>
            <w:r w:rsidR="007D082F" w:rsidRPr="0010322E">
              <w:rPr>
                <w:rFonts w:ascii="Times New Roman" w:hAnsi="Times New Roman"/>
                <w:sz w:val="26"/>
                <w:szCs w:val="26"/>
              </w:rPr>
              <w:t>zinātņu</w:t>
            </w:r>
            <w:r w:rsidR="00D95DE5" w:rsidRPr="0010322E">
              <w:rPr>
                <w:rFonts w:ascii="Times New Roman" w:hAnsi="Times New Roman"/>
                <w:sz w:val="26"/>
                <w:szCs w:val="26"/>
              </w:rPr>
              <w:t xml:space="preserve"> </w:t>
            </w:r>
            <w:r w:rsidR="007D082F" w:rsidRPr="0010322E">
              <w:rPr>
                <w:rFonts w:ascii="Times New Roman" w:hAnsi="Times New Roman"/>
                <w:sz w:val="26"/>
                <w:szCs w:val="26"/>
              </w:rPr>
              <w:t>ietilpīgi</w:t>
            </w:r>
            <w:r w:rsidR="00470603">
              <w:rPr>
                <w:rFonts w:ascii="Times New Roman" w:hAnsi="Times New Roman"/>
                <w:sz w:val="26"/>
                <w:szCs w:val="26"/>
              </w:rPr>
              <w:t>e</w:t>
            </w:r>
            <w:r w:rsidR="0095418C" w:rsidRPr="0010322E">
              <w:rPr>
                <w:rFonts w:ascii="Times New Roman" w:hAnsi="Times New Roman"/>
                <w:sz w:val="26"/>
                <w:szCs w:val="26"/>
              </w:rPr>
              <w:t xml:space="preserve"> </w:t>
            </w:r>
            <w:proofErr w:type="spellStart"/>
            <w:r w:rsidR="0095418C" w:rsidRPr="0010322E">
              <w:rPr>
                <w:rFonts w:ascii="Times New Roman" w:hAnsi="Times New Roman"/>
                <w:sz w:val="26"/>
                <w:szCs w:val="26"/>
              </w:rPr>
              <w:t>jaunuzņēmumi</w:t>
            </w:r>
            <w:proofErr w:type="spellEnd"/>
            <w:r w:rsidR="0095418C" w:rsidRPr="0010322E">
              <w:rPr>
                <w:rFonts w:ascii="Times New Roman" w:hAnsi="Times New Roman"/>
                <w:sz w:val="26"/>
                <w:szCs w:val="26"/>
              </w:rPr>
              <w:t xml:space="preserve">, kuru biznesa idejas attīstīšanai </w:t>
            </w:r>
            <w:r w:rsidR="007D082F" w:rsidRPr="0010322E">
              <w:rPr>
                <w:rFonts w:ascii="Times New Roman" w:hAnsi="Times New Roman"/>
                <w:sz w:val="26"/>
                <w:szCs w:val="26"/>
              </w:rPr>
              <w:t xml:space="preserve">un </w:t>
            </w:r>
            <w:proofErr w:type="spellStart"/>
            <w:r w:rsidR="007D082F" w:rsidRPr="0010322E">
              <w:rPr>
                <w:rFonts w:ascii="Times New Roman" w:hAnsi="Times New Roman"/>
                <w:sz w:val="26"/>
                <w:szCs w:val="26"/>
              </w:rPr>
              <w:t>prototipēšanai</w:t>
            </w:r>
            <w:proofErr w:type="spellEnd"/>
            <w:r w:rsidR="007D082F" w:rsidRPr="0010322E">
              <w:rPr>
                <w:rFonts w:ascii="Times New Roman" w:hAnsi="Times New Roman"/>
                <w:sz w:val="26"/>
                <w:szCs w:val="26"/>
              </w:rPr>
              <w:t xml:space="preserve"> </w:t>
            </w:r>
            <w:r w:rsidR="0095418C" w:rsidRPr="0010322E">
              <w:rPr>
                <w:rFonts w:ascii="Times New Roman" w:hAnsi="Times New Roman"/>
                <w:sz w:val="26"/>
                <w:szCs w:val="26"/>
              </w:rPr>
              <w:t xml:space="preserve">ir nepieciešams ilgāks laiks, tiek </w:t>
            </w:r>
            <w:r w:rsidR="00470603">
              <w:rPr>
                <w:rFonts w:ascii="Times New Roman" w:hAnsi="Times New Roman"/>
                <w:sz w:val="26"/>
                <w:szCs w:val="26"/>
              </w:rPr>
              <w:t>noteikts</w:t>
            </w:r>
            <w:r w:rsidR="0095418C" w:rsidRPr="0010322E">
              <w:rPr>
                <w:rFonts w:ascii="Times New Roman" w:hAnsi="Times New Roman"/>
                <w:sz w:val="26"/>
                <w:szCs w:val="26"/>
              </w:rPr>
              <w:t xml:space="preserve">, ka par </w:t>
            </w:r>
            <w:proofErr w:type="spellStart"/>
            <w:r w:rsidR="0095418C" w:rsidRPr="0010322E">
              <w:rPr>
                <w:rFonts w:ascii="Times New Roman" w:hAnsi="Times New Roman"/>
                <w:sz w:val="26"/>
                <w:szCs w:val="26"/>
              </w:rPr>
              <w:t>jaunuzņēmumu</w:t>
            </w:r>
            <w:proofErr w:type="spellEnd"/>
            <w:r w:rsidR="0095418C" w:rsidRPr="0010322E">
              <w:rPr>
                <w:rFonts w:ascii="Times New Roman" w:hAnsi="Times New Roman"/>
                <w:sz w:val="26"/>
                <w:szCs w:val="26"/>
              </w:rPr>
              <w:t xml:space="preserve"> uzskata tādu, kas nav vecāks par </w:t>
            </w:r>
            <w:r w:rsidR="007D082F" w:rsidRPr="0010322E">
              <w:rPr>
                <w:rFonts w:ascii="Times New Roman" w:hAnsi="Times New Roman"/>
                <w:sz w:val="26"/>
                <w:szCs w:val="26"/>
              </w:rPr>
              <w:t>7</w:t>
            </w:r>
            <w:r w:rsidR="0095418C" w:rsidRPr="0010322E">
              <w:rPr>
                <w:rFonts w:ascii="Times New Roman" w:hAnsi="Times New Roman"/>
                <w:sz w:val="26"/>
                <w:szCs w:val="26"/>
              </w:rPr>
              <w:t xml:space="preserve"> gadiem</w:t>
            </w:r>
            <w:r w:rsidR="007D082F" w:rsidRPr="0010322E">
              <w:rPr>
                <w:rFonts w:ascii="Times New Roman" w:hAnsi="Times New Roman"/>
                <w:sz w:val="26"/>
                <w:szCs w:val="26"/>
              </w:rPr>
              <w:t xml:space="preserve">, vienlaikus saglabājot nosacījumu, ka kopumā </w:t>
            </w:r>
            <w:proofErr w:type="spellStart"/>
            <w:r w:rsidR="007D082F" w:rsidRPr="0010322E">
              <w:rPr>
                <w:rFonts w:ascii="Times New Roman" w:hAnsi="Times New Roman"/>
                <w:sz w:val="26"/>
                <w:szCs w:val="26"/>
              </w:rPr>
              <w:t>jaunuzņēmums</w:t>
            </w:r>
            <w:proofErr w:type="spellEnd"/>
            <w:r w:rsidR="007D082F" w:rsidRPr="0010322E">
              <w:rPr>
                <w:rFonts w:ascii="Times New Roman" w:hAnsi="Times New Roman"/>
                <w:sz w:val="26"/>
                <w:szCs w:val="26"/>
              </w:rPr>
              <w:t xml:space="preserve"> uz atbalstu nevar pretendēt vairāk </w:t>
            </w:r>
            <w:r w:rsidR="009C0CA1" w:rsidRPr="0010322E">
              <w:rPr>
                <w:rFonts w:ascii="Times New Roman" w:hAnsi="Times New Roman"/>
                <w:sz w:val="26"/>
                <w:szCs w:val="26"/>
              </w:rPr>
              <w:t>ne</w:t>
            </w:r>
            <w:r w:rsidR="007D082F" w:rsidRPr="0010322E">
              <w:rPr>
                <w:rFonts w:ascii="Times New Roman" w:hAnsi="Times New Roman"/>
                <w:sz w:val="26"/>
                <w:szCs w:val="26"/>
              </w:rPr>
              <w:t>kā 5 gadus.</w:t>
            </w:r>
          </w:p>
          <w:p w14:paraId="34C1BC7D" w14:textId="07F4775E" w:rsidR="007D082F" w:rsidRPr="0010322E" w:rsidRDefault="00252A85" w:rsidP="007D082F">
            <w:pPr>
              <w:pStyle w:val="ListParagraph"/>
              <w:numPr>
                <w:ilvl w:val="0"/>
                <w:numId w:val="7"/>
              </w:numPr>
              <w:ind w:left="788"/>
              <w:jc w:val="both"/>
              <w:rPr>
                <w:rFonts w:ascii="Times New Roman" w:eastAsia="Calibri" w:hAnsi="Times New Roman"/>
                <w:bCs/>
                <w:sz w:val="26"/>
                <w:szCs w:val="26"/>
                <w:shd w:val="clear" w:color="auto" w:fill="FFFFFF"/>
              </w:rPr>
            </w:pPr>
            <w:r w:rsidRPr="0010322E">
              <w:rPr>
                <w:rFonts w:ascii="Times New Roman" w:eastAsia="Calibri" w:hAnsi="Times New Roman"/>
                <w:b/>
                <w:bCs/>
                <w:sz w:val="26"/>
                <w:szCs w:val="26"/>
                <w:shd w:val="clear" w:color="auto" w:fill="FFFFFF"/>
              </w:rPr>
              <w:t>Likuma 4.panta 6.punkt</w:t>
            </w:r>
            <w:r w:rsidR="00470603">
              <w:rPr>
                <w:rFonts w:ascii="Times New Roman" w:eastAsia="Calibri" w:hAnsi="Times New Roman"/>
                <w:b/>
                <w:bCs/>
                <w:sz w:val="26"/>
                <w:szCs w:val="26"/>
                <w:shd w:val="clear" w:color="auto" w:fill="FFFFFF"/>
              </w:rPr>
              <w:t>ā</w:t>
            </w:r>
            <w:r w:rsidRPr="0010322E">
              <w:rPr>
                <w:rFonts w:ascii="Times New Roman" w:eastAsia="Calibri" w:hAnsi="Times New Roman"/>
                <w:b/>
                <w:bCs/>
                <w:sz w:val="26"/>
                <w:szCs w:val="26"/>
                <w:shd w:val="clear" w:color="auto" w:fill="FFFFFF"/>
              </w:rPr>
              <w:t xml:space="preserve"> </w:t>
            </w:r>
            <w:r w:rsidR="007D082F" w:rsidRPr="0010322E">
              <w:rPr>
                <w:rFonts w:ascii="Times New Roman" w:eastAsia="Calibri" w:hAnsi="Times New Roman"/>
                <w:b/>
                <w:bCs/>
                <w:sz w:val="26"/>
                <w:szCs w:val="26"/>
                <w:shd w:val="clear" w:color="auto" w:fill="FFFFFF"/>
              </w:rPr>
              <w:t xml:space="preserve">ar mērķi novērst nodokļu </w:t>
            </w:r>
            <w:r w:rsidR="003F15FE" w:rsidRPr="0010322E">
              <w:rPr>
                <w:rFonts w:ascii="Times New Roman" w:eastAsia="Calibri" w:hAnsi="Times New Roman"/>
                <w:b/>
                <w:bCs/>
                <w:sz w:val="26"/>
                <w:szCs w:val="26"/>
                <w:shd w:val="clear" w:color="auto" w:fill="FFFFFF"/>
              </w:rPr>
              <w:t xml:space="preserve">optimizāciju </w:t>
            </w:r>
            <w:r w:rsidRPr="0010322E">
              <w:rPr>
                <w:rFonts w:ascii="Times New Roman" w:eastAsia="Calibri" w:hAnsi="Times New Roman"/>
                <w:b/>
                <w:bCs/>
                <w:sz w:val="26"/>
                <w:szCs w:val="26"/>
                <w:shd w:val="clear" w:color="auto" w:fill="FFFFFF"/>
              </w:rPr>
              <w:t>ir ietverts nosacījums izslēgt jebkādu saistību ar citiem komersantiem gan caur fiziskām, gan juridiskām personām</w:t>
            </w:r>
            <w:r w:rsidR="00C17382" w:rsidRPr="0010322E">
              <w:rPr>
                <w:rFonts w:ascii="Times New Roman" w:eastAsia="Calibri" w:hAnsi="Times New Roman"/>
                <w:b/>
                <w:bCs/>
                <w:sz w:val="26"/>
                <w:szCs w:val="26"/>
                <w:shd w:val="clear" w:color="auto" w:fill="FFFFFF"/>
              </w:rPr>
              <w:t>.</w:t>
            </w:r>
            <w:r w:rsidR="00C17382" w:rsidRPr="0010322E">
              <w:rPr>
                <w:rFonts w:ascii="Times New Roman" w:eastAsia="Calibri" w:hAnsi="Times New Roman"/>
                <w:bCs/>
                <w:sz w:val="26"/>
                <w:szCs w:val="26"/>
                <w:shd w:val="clear" w:color="auto" w:fill="FFFFFF"/>
              </w:rPr>
              <w:t xml:space="preserve"> </w:t>
            </w:r>
            <w:bookmarkStart w:id="0" w:name="_Hlk10649976"/>
            <w:r w:rsidR="00C17382" w:rsidRPr="0010322E">
              <w:rPr>
                <w:rFonts w:ascii="Times New Roman" w:eastAsia="Calibri" w:hAnsi="Times New Roman"/>
                <w:bCs/>
                <w:sz w:val="26"/>
                <w:szCs w:val="26"/>
                <w:shd w:val="clear" w:color="auto" w:fill="FFFFFF"/>
              </w:rPr>
              <w:t>Šāds nosacījums nozīmē, ka ir iespējams a</w:t>
            </w:r>
            <w:r w:rsidRPr="0010322E">
              <w:rPr>
                <w:rFonts w:ascii="Times New Roman" w:eastAsia="Calibri" w:hAnsi="Times New Roman"/>
                <w:bCs/>
                <w:sz w:val="26"/>
                <w:szCs w:val="26"/>
                <w:shd w:val="clear" w:color="auto" w:fill="FFFFFF"/>
              </w:rPr>
              <w:t xml:space="preserve">tbalstīt tikai autonomus komersantus, </w:t>
            </w:r>
            <w:r w:rsidRPr="0010322E">
              <w:rPr>
                <w:rFonts w:ascii="Times New Roman" w:eastAsia="Calibri" w:hAnsi="Times New Roman"/>
                <w:bCs/>
                <w:sz w:val="26"/>
                <w:szCs w:val="26"/>
                <w:shd w:val="clear" w:color="auto" w:fill="FFFFFF"/>
              </w:rPr>
              <w:lastRenderedPageBreak/>
              <w:t>kura dalībniekiem (akcionāriem) nepieder citi komersanti</w:t>
            </w:r>
            <w:r w:rsidR="00C17382" w:rsidRPr="0010322E">
              <w:rPr>
                <w:rFonts w:ascii="Times New Roman" w:eastAsia="Calibri" w:hAnsi="Times New Roman"/>
                <w:bCs/>
                <w:sz w:val="26"/>
                <w:szCs w:val="26"/>
                <w:shd w:val="clear" w:color="auto" w:fill="FFFFFF"/>
              </w:rPr>
              <w:t xml:space="preserve">, </w:t>
            </w:r>
            <w:r w:rsidR="008C0F39" w:rsidRPr="0010322E">
              <w:rPr>
                <w:rFonts w:ascii="Times New Roman" w:eastAsia="Calibri" w:hAnsi="Times New Roman"/>
                <w:bCs/>
                <w:sz w:val="26"/>
                <w:szCs w:val="26"/>
                <w:shd w:val="clear" w:color="auto" w:fill="FFFFFF"/>
              </w:rPr>
              <w:t>kas samazina potenciāli atbalstāmo uzņēmumu skaitu līdz minimumam</w:t>
            </w:r>
            <w:r w:rsidR="00030769">
              <w:rPr>
                <w:rFonts w:ascii="Times New Roman" w:eastAsia="Calibri" w:hAnsi="Times New Roman"/>
                <w:bCs/>
                <w:sz w:val="26"/>
                <w:szCs w:val="26"/>
                <w:shd w:val="clear" w:color="auto" w:fill="FFFFFF"/>
              </w:rPr>
              <w:t xml:space="preserve"> un ir ierobežota iespēja šo normu ieviest praksē</w:t>
            </w:r>
            <w:r w:rsidR="008C0F39" w:rsidRPr="0010322E">
              <w:rPr>
                <w:rFonts w:ascii="Times New Roman" w:eastAsia="Calibri" w:hAnsi="Times New Roman"/>
                <w:bCs/>
                <w:sz w:val="26"/>
                <w:szCs w:val="26"/>
                <w:shd w:val="clear" w:color="auto" w:fill="FFFFFF"/>
              </w:rPr>
              <w:t>.</w:t>
            </w:r>
            <w:r w:rsidRPr="0010322E">
              <w:rPr>
                <w:rFonts w:ascii="Times New Roman" w:eastAsia="Calibri" w:hAnsi="Times New Roman"/>
                <w:bCs/>
                <w:sz w:val="26"/>
                <w:szCs w:val="26"/>
                <w:shd w:val="clear" w:color="auto" w:fill="FFFFFF"/>
              </w:rPr>
              <w:t xml:space="preserve"> </w:t>
            </w:r>
            <w:bookmarkEnd w:id="0"/>
            <w:r w:rsidRPr="0010322E">
              <w:rPr>
                <w:rFonts w:ascii="Times New Roman" w:eastAsia="Calibri" w:hAnsi="Times New Roman"/>
                <w:bCs/>
                <w:sz w:val="26"/>
                <w:szCs w:val="26"/>
                <w:shd w:val="clear" w:color="auto" w:fill="FFFFFF"/>
              </w:rPr>
              <w:t>Turklāt</w:t>
            </w:r>
            <w:r w:rsidR="00C17382" w:rsidRPr="0010322E">
              <w:rPr>
                <w:rFonts w:ascii="Times New Roman" w:eastAsia="Calibri" w:hAnsi="Times New Roman"/>
                <w:bCs/>
                <w:sz w:val="26"/>
                <w:szCs w:val="26"/>
                <w:shd w:val="clear" w:color="auto" w:fill="FFFFFF"/>
              </w:rPr>
              <w:t xml:space="preserve"> pantā ietverto</w:t>
            </w:r>
            <w:r w:rsidRPr="0010322E">
              <w:rPr>
                <w:rFonts w:ascii="Times New Roman" w:eastAsia="Calibri" w:hAnsi="Times New Roman"/>
                <w:bCs/>
                <w:sz w:val="26"/>
                <w:szCs w:val="26"/>
                <w:shd w:val="clear" w:color="auto" w:fill="FFFFFF"/>
              </w:rPr>
              <w:t xml:space="preserve"> nosacījum</w:t>
            </w:r>
            <w:r w:rsidR="00C17382" w:rsidRPr="0010322E">
              <w:rPr>
                <w:rFonts w:ascii="Times New Roman" w:eastAsia="Calibri" w:hAnsi="Times New Roman"/>
                <w:bCs/>
                <w:sz w:val="26"/>
                <w:szCs w:val="26"/>
                <w:shd w:val="clear" w:color="auto" w:fill="FFFFFF"/>
              </w:rPr>
              <w:t>u</w:t>
            </w:r>
            <w:r w:rsidRPr="0010322E">
              <w:rPr>
                <w:rFonts w:ascii="Times New Roman" w:eastAsia="Calibri" w:hAnsi="Times New Roman"/>
                <w:bCs/>
                <w:sz w:val="26"/>
                <w:szCs w:val="26"/>
                <w:shd w:val="clear" w:color="auto" w:fill="FFFFFF"/>
              </w:rPr>
              <w:t>, kas paredz to, ka jaunuzņēmums nav saistīta persona Komerclikuma 184.</w:t>
            </w:r>
            <w:r w:rsidRPr="0010322E">
              <w:rPr>
                <w:rFonts w:ascii="Times New Roman" w:eastAsia="Calibri" w:hAnsi="Times New Roman"/>
                <w:bCs/>
                <w:sz w:val="26"/>
                <w:szCs w:val="26"/>
                <w:shd w:val="clear" w:color="auto" w:fill="FFFFFF"/>
                <w:vertAlign w:val="superscript"/>
              </w:rPr>
              <w:t>1</w:t>
            </w:r>
            <w:r w:rsidRPr="0010322E">
              <w:rPr>
                <w:rFonts w:ascii="Times New Roman" w:eastAsia="Calibri" w:hAnsi="Times New Roman"/>
                <w:bCs/>
                <w:sz w:val="26"/>
                <w:szCs w:val="26"/>
                <w:shd w:val="clear" w:color="auto" w:fill="FFFFFF"/>
              </w:rPr>
              <w:t xml:space="preserve"> panta izpratnē, nav </w:t>
            </w:r>
            <w:r w:rsidR="00E031C7" w:rsidRPr="0010322E">
              <w:rPr>
                <w:rFonts w:ascii="Times New Roman" w:eastAsia="Calibri" w:hAnsi="Times New Roman"/>
                <w:bCs/>
                <w:sz w:val="26"/>
                <w:szCs w:val="26"/>
                <w:shd w:val="clear" w:color="auto" w:fill="FFFFFF"/>
              </w:rPr>
              <w:t xml:space="preserve">pret ko šo </w:t>
            </w:r>
            <w:r w:rsidRPr="0010322E">
              <w:rPr>
                <w:rFonts w:ascii="Times New Roman" w:eastAsia="Calibri" w:hAnsi="Times New Roman"/>
                <w:bCs/>
                <w:sz w:val="26"/>
                <w:szCs w:val="26"/>
                <w:shd w:val="clear" w:color="auto" w:fill="FFFFFF"/>
              </w:rPr>
              <w:t>piemēro</w:t>
            </w:r>
            <w:r w:rsidR="00E031C7" w:rsidRPr="0010322E">
              <w:rPr>
                <w:rFonts w:ascii="Times New Roman" w:eastAsia="Calibri" w:hAnsi="Times New Roman"/>
                <w:bCs/>
                <w:sz w:val="26"/>
                <w:szCs w:val="26"/>
                <w:shd w:val="clear" w:color="auto" w:fill="FFFFFF"/>
              </w:rPr>
              <w:t>t</w:t>
            </w:r>
            <w:r w:rsidR="00C17382" w:rsidRPr="0010322E">
              <w:rPr>
                <w:rFonts w:ascii="Times New Roman" w:eastAsia="Calibri" w:hAnsi="Times New Roman"/>
                <w:bCs/>
                <w:sz w:val="26"/>
                <w:szCs w:val="26"/>
                <w:shd w:val="clear" w:color="auto" w:fill="FFFFFF"/>
              </w:rPr>
              <w:t>, p</w:t>
            </w:r>
            <w:r w:rsidRPr="0010322E">
              <w:rPr>
                <w:rFonts w:ascii="Times New Roman" w:eastAsia="Calibri" w:hAnsi="Times New Roman"/>
                <w:bCs/>
                <w:sz w:val="26"/>
                <w:szCs w:val="26"/>
                <w:shd w:val="clear" w:color="auto" w:fill="FFFFFF"/>
              </w:rPr>
              <w:t xml:space="preserve">retēji Likuma 4.panta 1.punktā ietvertajam nosacījumam, ka kvalificēta riska kapitāla investors nav ar </w:t>
            </w:r>
            <w:proofErr w:type="spellStart"/>
            <w:r w:rsidRPr="0010322E">
              <w:rPr>
                <w:rFonts w:ascii="Times New Roman" w:eastAsia="Calibri" w:hAnsi="Times New Roman"/>
                <w:bCs/>
                <w:sz w:val="26"/>
                <w:szCs w:val="26"/>
                <w:shd w:val="clear" w:color="auto" w:fill="FFFFFF"/>
              </w:rPr>
              <w:t>jaunuzņēmumu</w:t>
            </w:r>
            <w:proofErr w:type="spellEnd"/>
            <w:r w:rsidRPr="0010322E">
              <w:rPr>
                <w:rFonts w:ascii="Times New Roman" w:eastAsia="Calibri" w:hAnsi="Times New Roman"/>
                <w:bCs/>
                <w:sz w:val="26"/>
                <w:szCs w:val="26"/>
                <w:shd w:val="clear" w:color="auto" w:fill="FFFFFF"/>
              </w:rPr>
              <w:t xml:space="preserve"> saistīta persona Komerclikuma </w:t>
            </w:r>
            <w:r w:rsidR="00E031C7" w:rsidRPr="0010322E">
              <w:rPr>
                <w:rFonts w:ascii="Times New Roman" w:eastAsia="Calibri" w:hAnsi="Times New Roman"/>
                <w:bCs/>
                <w:sz w:val="26"/>
                <w:szCs w:val="26"/>
                <w:shd w:val="clear" w:color="auto" w:fill="FFFFFF"/>
              </w:rPr>
              <w:t>184.</w:t>
            </w:r>
            <w:r w:rsidR="00E031C7" w:rsidRPr="0010322E">
              <w:rPr>
                <w:rFonts w:ascii="Times New Roman" w:eastAsia="Calibri" w:hAnsi="Times New Roman"/>
                <w:bCs/>
                <w:sz w:val="26"/>
                <w:szCs w:val="26"/>
                <w:shd w:val="clear" w:color="auto" w:fill="FFFFFF"/>
                <w:vertAlign w:val="superscript"/>
              </w:rPr>
              <w:t>1</w:t>
            </w:r>
            <w:r w:rsidR="00E031C7" w:rsidRPr="0010322E">
              <w:rPr>
                <w:rFonts w:ascii="Times New Roman" w:eastAsia="Calibri" w:hAnsi="Times New Roman"/>
                <w:bCs/>
                <w:sz w:val="26"/>
                <w:szCs w:val="26"/>
                <w:shd w:val="clear" w:color="auto" w:fill="FFFFFF"/>
              </w:rPr>
              <w:t xml:space="preserve"> panta izpratnē, kur ir redzama nosacījuma iestāšanās noteikumi. </w:t>
            </w:r>
          </w:p>
          <w:p w14:paraId="2C5B3FDD" w14:textId="3E13CDA4" w:rsidR="00E031C7" w:rsidRPr="0010322E" w:rsidRDefault="00A02F89" w:rsidP="00A02F89">
            <w:pPr>
              <w:pStyle w:val="ListParagraph"/>
              <w:ind w:left="788"/>
              <w:jc w:val="both"/>
              <w:rPr>
                <w:rFonts w:ascii="Times New Roman" w:eastAsia="Calibri" w:hAnsi="Times New Roman"/>
                <w:bCs/>
                <w:sz w:val="26"/>
                <w:szCs w:val="26"/>
                <w:shd w:val="clear" w:color="auto" w:fill="FFFFFF"/>
              </w:rPr>
            </w:pPr>
            <w:r w:rsidRPr="0010322E">
              <w:rPr>
                <w:rFonts w:ascii="Times New Roman" w:eastAsia="Calibri" w:hAnsi="Times New Roman"/>
                <w:bCs/>
                <w:sz w:val="26"/>
                <w:szCs w:val="26"/>
                <w:shd w:val="clear" w:color="auto" w:fill="FFFFFF"/>
              </w:rPr>
              <w:t xml:space="preserve">Ekonomikas ministrijas ieskatā </w:t>
            </w:r>
            <w:r w:rsidR="00E031C7" w:rsidRPr="0010322E">
              <w:rPr>
                <w:rFonts w:ascii="Times New Roman" w:eastAsia="Calibri" w:hAnsi="Times New Roman"/>
                <w:bCs/>
                <w:sz w:val="26"/>
                <w:szCs w:val="26"/>
                <w:shd w:val="clear" w:color="auto" w:fill="FFFFFF"/>
              </w:rPr>
              <w:t xml:space="preserve">Likuma 4.panta 6.punktā </w:t>
            </w:r>
            <w:r w:rsidRPr="0010322E">
              <w:rPr>
                <w:rFonts w:ascii="Times New Roman" w:eastAsia="Calibri" w:hAnsi="Times New Roman"/>
                <w:bCs/>
                <w:sz w:val="26"/>
                <w:szCs w:val="26"/>
                <w:shd w:val="clear" w:color="auto" w:fill="FFFFFF"/>
              </w:rPr>
              <w:t xml:space="preserve">nav nepieciešams noteikt stingrākus nosacījumus nekā to paredz </w:t>
            </w:r>
            <w:r w:rsidR="00E031C7" w:rsidRPr="0010322E">
              <w:rPr>
                <w:rFonts w:ascii="Times New Roman" w:eastAsia="Calibri" w:hAnsi="Times New Roman"/>
                <w:bCs/>
                <w:sz w:val="26"/>
                <w:szCs w:val="26"/>
                <w:shd w:val="clear" w:color="auto" w:fill="FFFFFF"/>
              </w:rPr>
              <w:t xml:space="preserve">Komisijas (ES) 2013.gada 18.decembra </w:t>
            </w:r>
            <w:r w:rsidRPr="0010322E">
              <w:rPr>
                <w:rFonts w:ascii="Times New Roman" w:eastAsia="Calibri" w:hAnsi="Times New Roman"/>
                <w:bCs/>
                <w:sz w:val="26"/>
                <w:szCs w:val="26"/>
                <w:shd w:val="clear" w:color="auto" w:fill="FFFFFF"/>
              </w:rPr>
              <w:t xml:space="preserve">regula </w:t>
            </w:r>
            <w:r w:rsidR="00E031C7" w:rsidRPr="0010322E">
              <w:rPr>
                <w:rFonts w:ascii="Times New Roman" w:eastAsia="Calibri" w:hAnsi="Times New Roman"/>
                <w:bCs/>
                <w:sz w:val="26"/>
                <w:szCs w:val="26"/>
                <w:shd w:val="clear" w:color="auto" w:fill="FFFFFF"/>
              </w:rPr>
              <w:t xml:space="preserve">Nr. 1407/2013 par Līguma par Eiropas Savienības darbību 107. un 108.panta piemērošanu </w:t>
            </w:r>
            <w:proofErr w:type="spellStart"/>
            <w:r w:rsidR="00E031C7" w:rsidRPr="0010322E">
              <w:rPr>
                <w:rFonts w:ascii="Times New Roman" w:eastAsia="Calibri" w:hAnsi="Times New Roman"/>
                <w:bCs/>
                <w:i/>
                <w:sz w:val="26"/>
                <w:szCs w:val="26"/>
                <w:shd w:val="clear" w:color="auto" w:fill="FFFFFF"/>
              </w:rPr>
              <w:t>de</w:t>
            </w:r>
            <w:proofErr w:type="spellEnd"/>
            <w:r w:rsidR="00E031C7" w:rsidRPr="0010322E">
              <w:rPr>
                <w:rFonts w:ascii="Times New Roman" w:eastAsia="Calibri" w:hAnsi="Times New Roman"/>
                <w:bCs/>
                <w:i/>
                <w:sz w:val="26"/>
                <w:szCs w:val="26"/>
                <w:shd w:val="clear" w:color="auto" w:fill="FFFFFF"/>
              </w:rPr>
              <w:t xml:space="preserve"> </w:t>
            </w:r>
            <w:proofErr w:type="spellStart"/>
            <w:r w:rsidR="00E031C7" w:rsidRPr="0010322E">
              <w:rPr>
                <w:rFonts w:ascii="Times New Roman" w:eastAsia="Calibri" w:hAnsi="Times New Roman"/>
                <w:bCs/>
                <w:i/>
                <w:sz w:val="26"/>
                <w:szCs w:val="26"/>
                <w:shd w:val="clear" w:color="auto" w:fill="FFFFFF"/>
              </w:rPr>
              <w:t>minimis</w:t>
            </w:r>
            <w:proofErr w:type="spellEnd"/>
            <w:r w:rsidR="00E031C7" w:rsidRPr="0010322E">
              <w:rPr>
                <w:rFonts w:ascii="Times New Roman" w:eastAsia="Calibri" w:hAnsi="Times New Roman"/>
                <w:bCs/>
                <w:sz w:val="26"/>
                <w:szCs w:val="26"/>
                <w:shd w:val="clear" w:color="auto" w:fill="FFFFFF"/>
              </w:rPr>
              <w:t xml:space="preserve"> atbalstam (turpmāk </w:t>
            </w:r>
            <w:r w:rsidRPr="0010322E">
              <w:rPr>
                <w:rFonts w:ascii="Times New Roman" w:eastAsia="Calibri" w:hAnsi="Times New Roman"/>
                <w:bCs/>
                <w:sz w:val="26"/>
                <w:szCs w:val="26"/>
                <w:shd w:val="clear" w:color="auto" w:fill="FFFFFF"/>
              </w:rPr>
              <w:t xml:space="preserve">- </w:t>
            </w:r>
            <w:r w:rsidR="00E031C7" w:rsidRPr="0010322E">
              <w:rPr>
                <w:rFonts w:ascii="Times New Roman" w:eastAsia="Calibri" w:hAnsi="Times New Roman"/>
                <w:bCs/>
                <w:sz w:val="26"/>
                <w:szCs w:val="26"/>
                <w:shd w:val="clear" w:color="auto" w:fill="FFFFFF"/>
              </w:rPr>
              <w:t>Regula Nr. 1407/2013) 2.panta 2.punktā sniegtajam skaidrojumam par vienu vienotu uzņēmumu.</w:t>
            </w:r>
            <w:r w:rsidR="00C17382" w:rsidRPr="0010322E">
              <w:rPr>
                <w:rFonts w:ascii="Times New Roman" w:eastAsia="Calibri" w:hAnsi="Times New Roman"/>
                <w:bCs/>
                <w:sz w:val="26"/>
                <w:szCs w:val="26"/>
                <w:shd w:val="clear" w:color="auto" w:fill="FFFFFF"/>
              </w:rPr>
              <w:t xml:space="preserve"> Turklāt šāds ierobežojošs nosacījums nepastāv citās valsts atbalsta programmās </w:t>
            </w:r>
            <w:r w:rsidR="00030769">
              <w:rPr>
                <w:rFonts w:ascii="Times New Roman" w:eastAsia="Calibri" w:hAnsi="Times New Roman"/>
                <w:bCs/>
                <w:sz w:val="26"/>
                <w:szCs w:val="26"/>
                <w:shd w:val="clear" w:color="auto" w:fill="FFFFFF"/>
              </w:rPr>
              <w:t>mazo un vidējo komersantu</w:t>
            </w:r>
            <w:r w:rsidR="00C17382" w:rsidRPr="0010322E">
              <w:rPr>
                <w:rFonts w:ascii="Times New Roman" w:eastAsia="Calibri" w:hAnsi="Times New Roman"/>
                <w:bCs/>
                <w:sz w:val="26"/>
                <w:szCs w:val="26"/>
                <w:shd w:val="clear" w:color="auto" w:fill="FFFFFF"/>
              </w:rPr>
              <w:t xml:space="preserve"> atbalstam. </w:t>
            </w:r>
          </w:p>
          <w:p w14:paraId="74C11AD9" w14:textId="265E82F9" w:rsidR="00C17382" w:rsidRPr="0010322E" w:rsidRDefault="00030769" w:rsidP="0078212E">
            <w:pPr>
              <w:pStyle w:val="ListParagraph"/>
              <w:numPr>
                <w:ilvl w:val="0"/>
                <w:numId w:val="7"/>
              </w:numPr>
              <w:ind w:left="788"/>
              <w:jc w:val="both"/>
              <w:rPr>
                <w:rFonts w:ascii="Times New Roman" w:eastAsia="Calibri" w:hAnsi="Times New Roman"/>
                <w:bCs/>
                <w:sz w:val="26"/>
                <w:szCs w:val="26"/>
                <w:shd w:val="clear" w:color="auto" w:fill="FFFFFF"/>
              </w:rPr>
            </w:pPr>
            <w:bookmarkStart w:id="1" w:name="_Hlk10650014"/>
            <w:r>
              <w:rPr>
                <w:rFonts w:ascii="Times New Roman" w:eastAsia="Calibri" w:hAnsi="Times New Roman"/>
                <w:bCs/>
                <w:sz w:val="26"/>
                <w:szCs w:val="26"/>
                <w:shd w:val="clear" w:color="auto" w:fill="FFFFFF"/>
              </w:rPr>
              <w:t>A</w:t>
            </w:r>
            <w:r w:rsidRPr="0010322E">
              <w:rPr>
                <w:rFonts w:ascii="Times New Roman" w:eastAsia="Calibri" w:hAnsi="Times New Roman"/>
                <w:bCs/>
                <w:sz w:val="26"/>
                <w:szCs w:val="26"/>
                <w:shd w:val="clear" w:color="auto" w:fill="FFFFFF"/>
              </w:rPr>
              <w:t xml:space="preserve">nalizējot vidējo </w:t>
            </w:r>
            <w:proofErr w:type="spellStart"/>
            <w:r w:rsidRPr="0010322E">
              <w:rPr>
                <w:rFonts w:ascii="Times New Roman" w:eastAsia="Calibri" w:hAnsi="Times New Roman"/>
                <w:bCs/>
                <w:sz w:val="26"/>
                <w:szCs w:val="26"/>
                <w:shd w:val="clear" w:color="auto" w:fill="FFFFFF"/>
              </w:rPr>
              <w:t>jaunuzņēmuma</w:t>
            </w:r>
            <w:proofErr w:type="spellEnd"/>
            <w:r w:rsidRPr="0010322E">
              <w:rPr>
                <w:rFonts w:ascii="Times New Roman" w:eastAsia="Calibri" w:hAnsi="Times New Roman"/>
                <w:bCs/>
                <w:sz w:val="26"/>
                <w:szCs w:val="26"/>
                <w:shd w:val="clear" w:color="auto" w:fill="FFFFFF"/>
              </w:rPr>
              <w:t xml:space="preserve"> dibinātāja profilu </w:t>
            </w:r>
            <w:r w:rsidR="003B3DF2" w:rsidRPr="0010322E">
              <w:rPr>
                <w:rFonts w:ascii="Times New Roman" w:eastAsia="Calibri" w:hAnsi="Times New Roman"/>
                <w:bCs/>
                <w:sz w:val="26"/>
                <w:szCs w:val="26"/>
                <w:shd w:val="clear" w:color="auto" w:fill="FFFFFF"/>
              </w:rPr>
              <w:t>EM</w:t>
            </w:r>
            <w:r w:rsidR="009C0CA1" w:rsidRPr="0010322E">
              <w:rPr>
                <w:rFonts w:ascii="Times New Roman" w:eastAsia="Calibri" w:hAnsi="Times New Roman"/>
                <w:bCs/>
                <w:sz w:val="26"/>
                <w:szCs w:val="26"/>
                <w:shd w:val="clear" w:color="auto" w:fill="FFFFFF"/>
              </w:rPr>
              <w:t xml:space="preserve"> </w:t>
            </w:r>
            <w:r>
              <w:rPr>
                <w:rFonts w:ascii="Times New Roman" w:eastAsia="Calibri" w:hAnsi="Times New Roman"/>
                <w:bCs/>
                <w:sz w:val="26"/>
                <w:szCs w:val="26"/>
                <w:shd w:val="clear" w:color="auto" w:fill="FFFFFF"/>
              </w:rPr>
              <w:t xml:space="preserve">pasūtītajā </w:t>
            </w:r>
            <w:proofErr w:type="spellStart"/>
            <w:r w:rsidR="00880C75" w:rsidRPr="0010322E">
              <w:rPr>
                <w:rFonts w:ascii="Times New Roman" w:eastAsia="Calibri" w:hAnsi="Times New Roman"/>
                <w:bCs/>
                <w:sz w:val="26"/>
                <w:szCs w:val="26"/>
                <w:shd w:val="clear" w:color="auto" w:fill="FFFFFF"/>
              </w:rPr>
              <w:t>jaunuzņēmumu</w:t>
            </w:r>
            <w:proofErr w:type="spellEnd"/>
            <w:r w:rsidR="00880C75" w:rsidRPr="0010322E">
              <w:rPr>
                <w:rFonts w:ascii="Times New Roman" w:eastAsia="Calibri" w:hAnsi="Times New Roman"/>
                <w:bCs/>
                <w:sz w:val="26"/>
                <w:szCs w:val="26"/>
                <w:shd w:val="clear" w:color="auto" w:fill="FFFFFF"/>
              </w:rPr>
              <w:t xml:space="preserve"> ekosistēmas novērtējumā</w:t>
            </w:r>
            <w:r w:rsidR="009C0CA1" w:rsidRPr="0010322E">
              <w:rPr>
                <w:rStyle w:val="FootnoteReference"/>
                <w:rFonts w:ascii="Times New Roman" w:eastAsia="Calibri" w:hAnsi="Times New Roman"/>
                <w:bCs/>
                <w:sz w:val="26"/>
                <w:szCs w:val="26"/>
              </w:rPr>
              <w:footnoteReference w:id="2"/>
            </w:r>
            <w:r>
              <w:rPr>
                <w:rFonts w:ascii="Times New Roman" w:eastAsia="Calibri" w:hAnsi="Times New Roman"/>
                <w:bCs/>
                <w:sz w:val="26"/>
                <w:szCs w:val="26"/>
                <w:shd w:val="clear" w:color="auto" w:fill="FFFFFF"/>
              </w:rPr>
              <w:t xml:space="preserve"> secināts</w:t>
            </w:r>
            <w:r w:rsidR="009C0CA1" w:rsidRPr="0010322E">
              <w:rPr>
                <w:rFonts w:ascii="Times New Roman" w:eastAsia="Calibri" w:hAnsi="Times New Roman"/>
                <w:bCs/>
                <w:sz w:val="26"/>
                <w:szCs w:val="26"/>
                <w:shd w:val="clear" w:color="auto" w:fill="FFFFFF"/>
              </w:rPr>
              <w:t xml:space="preserve">, ka </w:t>
            </w:r>
            <w:r w:rsidR="009C0CA1" w:rsidRPr="0010322E">
              <w:rPr>
                <w:rFonts w:ascii="Times New Roman" w:eastAsia="Calibri" w:hAnsi="Times New Roman"/>
                <w:b/>
                <w:bCs/>
                <w:sz w:val="26"/>
                <w:szCs w:val="26"/>
                <w:shd w:val="clear" w:color="auto" w:fill="FFFFFF"/>
              </w:rPr>
              <w:t xml:space="preserve">daļai </w:t>
            </w:r>
            <w:proofErr w:type="spellStart"/>
            <w:r w:rsidR="009C0CA1" w:rsidRPr="0010322E">
              <w:rPr>
                <w:rFonts w:ascii="Times New Roman" w:eastAsia="Calibri" w:hAnsi="Times New Roman"/>
                <w:b/>
                <w:bCs/>
                <w:sz w:val="26"/>
                <w:szCs w:val="26"/>
                <w:shd w:val="clear" w:color="auto" w:fill="FFFFFF"/>
              </w:rPr>
              <w:t>jaunuzņēmumu</w:t>
            </w:r>
            <w:proofErr w:type="spellEnd"/>
            <w:r w:rsidR="009C0CA1" w:rsidRPr="0010322E">
              <w:rPr>
                <w:rFonts w:ascii="Times New Roman" w:eastAsia="Calibri" w:hAnsi="Times New Roman"/>
                <w:b/>
                <w:bCs/>
                <w:sz w:val="26"/>
                <w:szCs w:val="26"/>
                <w:shd w:val="clear" w:color="auto" w:fill="FFFFFF"/>
              </w:rPr>
              <w:t xml:space="preserve"> nav iespējams izpildīt Likuma 4.panta 8.apakšpunktā definētās inovācijas pazīmes</w:t>
            </w:r>
            <w:r w:rsidR="009C0CA1" w:rsidRPr="0010322E">
              <w:rPr>
                <w:rFonts w:ascii="Times New Roman" w:eastAsia="Calibri" w:hAnsi="Times New Roman"/>
                <w:bCs/>
                <w:sz w:val="26"/>
                <w:szCs w:val="26"/>
                <w:shd w:val="clear" w:color="auto" w:fill="FFFFFF"/>
              </w:rPr>
              <w:t xml:space="preserve">, it īpaši attiecībā uz b) apakšpunktu </w:t>
            </w:r>
            <w:r>
              <w:rPr>
                <w:rFonts w:ascii="Times New Roman" w:eastAsia="Calibri" w:hAnsi="Times New Roman"/>
                <w:bCs/>
                <w:sz w:val="26"/>
                <w:szCs w:val="26"/>
                <w:shd w:val="clear" w:color="auto" w:fill="FFFFFF"/>
              </w:rPr>
              <w:t>par</w:t>
            </w:r>
            <w:r w:rsidR="009C0CA1" w:rsidRPr="0010322E">
              <w:rPr>
                <w:rFonts w:ascii="Times New Roman" w:eastAsia="Calibri" w:hAnsi="Times New Roman"/>
                <w:bCs/>
                <w:sz w:val="26"/>
                <w:szCs w:val="26"/>
                <w:shd w:val="clear" w:color="auto" w:fill="FFFFFF"/>
              </w:rPr>
              <w:t xml:space="preserve"> darba ņēmēj</w:t>
            </w:r>
            <w:r>
              <w:rPr>
                <w:rFonts w:ascii="Times New Roman" w:eastAsia="Calibri" w:hAnsi="Times New Roman"/>
                <w:bCs/>
                <w:sz w:val="26"/>
                <w:szCs w:val="26"/>
                <w:shd w:val="clear" w:color="auto" w:fill="FFFFFF"/>
              </w:rPr>
              <w:t>a</w:t>
            </w:r>
            <w:r w:rsidR="003B3DF2" w:rsidRPr="0010322E">
              <w:rPr>
                <w:rFonts w:ascii="Times New Roman" w:eastAsia="Calibri" w:hAnsi="Times New Roman"/>
                <w:bCs/>
                <w:sz w:val="26"/>
                <w:szCs w:val="26"/>
                <w:shd w:val="clear" w:color="auto" w:fill="FFFFFF"/>
              </w:rPr>
              <w:t xml:space="preserve"> izglītības kritēriju</w:t>
            </w:r>
            <w:r w:rsidR="00A02F89" w:rsidRPr="0010322E">
              <w:rPr>
                <w:rFonts w:ascii="Times New Roman" w:eastAsia="Calibri" w:hAnsi="Times New Roman"/>
                <w:bCs/>
                <w:sz w:val="26"/>
                <w:szCs w:val="26"/>
                <w:shd w:val="clear" w:color="auto" w:fill="FFFFFF"/>
              </w:rPr>
              <w:t xml:space="preserve"> </w:t>
            </w:r>
            <w:r w:rsidR="009C0CA1" w:rsidRPr="0010322E">
              <w:rPr>
                <w:rFonts w:ascii="Times New Roman" w:eastAsia="Calibri" w:hAnsi="Times New Roman"/>
                <w:bCs/>
                <w:sz w:val="26"/>
                <w:szCs w:val="26"/>
                <w:shd w:val="clear" w:color="auto" w:fill="FFFFFF"/>
              </w:rPr>
              <w:t xml:space="preserve">uzņēmumiem agrīnā attīstības stadijā. </w:t>
            </w:r>
            <w:r w:rsidRPr="0010322E">
              <w:rPr>
                <w:rFonts w:ascii="Times New Roman" w:eastAsia="Calibri" w:hAnsi="Times New Roman"/>
                <w:bCs/>
                <w:sz w:val="26"/>
                <w:szCs w:val="26"/>
                <w:shd w:val="clear" w:color="auto" w:fill="FFFFFF"/>
              </w:rPr>
              <w:t>90%</w:t>
            </w:r>
            <w:r>
              <w:rPr>
                <w:rFonts w:ascii="Times New Roman" w:eastAsia="Calibri" w:hAnsi="Times New Roman"/>
                <w:bCs/>
                <w:sz w:val="26"/>
                <w:szCs w:val="26"/>
                <w:shd w:val="clear" w:color="auto" w:fill="FFFFFF"/>
              </w:rPr>
              <w:t xml:space="preserve"> n</w:t>
            </w:r>
            <w:r w:rsidR="009C0CA1" w:rsidRPr="0010322E">
              <w:rPr>
                <w:rFonts w:ascii="Times New Roman" w:eastAsia="Calibri" w:hAnsi="Times New Roman"/>
                <w:bCs/>
                <w:sz w:val="26"/>
                <w:szCs w:val="26"/>
                <w:shd w:val="clear" w:color="auto" w:fill="FFFFFF"/>
              </w:rPr>
              <w:t xml:space="preserve">o anketētajiem </w:t>
            </w:r>
            <w:proofErr w:type="spellStart"/>
            <w:r w:rsidR="009C0CA1" w:rsidRPr="0010322E">
              <w:rPr>
                <w:rFonts w:ascii="Times New Roman" w:eastAsia="Calibri" w:hAnsi="Times New Roman"/>
                <w:bCs/>
                <w:sz w:val="26"/>
                <w:szCs w:val="26"/>
                <w:shd w:val="clear" w:color="auto" w:fill="FFFFFF"/>
              </w:rPr>
              <w:t>jaunuzņēmumiem</w:t>
            </w:r>
            <w:proofErr w:type="spellEnd"/>
            <w:r w:rsidR="009C0CA1" w:rsidRPr="0010322E">
              <w:rPr>
                <w:rFonts w:ascii="Times New Roman" w:eastAsia="Calibri" w:hAnsi="Times New Roman"/>
                <w:bCs/>
                <w:sz w:val="26"/>
                <w:szCs w:val="26"/>
                <w:shd w:val="clear" w:color="auto" w:fill="FFFFFF"/>
              </w:rPr>
              <w:t xml:space="preserve">  norāda, ka tiem ir bakalaura grāds un tikai 54% ir maģistr</w:t>
            </w:r>
            <w:r>
              <w:rPr>
                <w:rFonts w:ascii="Times New Roman" w:eastAsia="Calibri" w:hAnsi="Times New Roman"/>
                <w:bCs/>
                <w:sz w:val="26"/>
                <w:szCs w:val="26"/>
                <w:shd w:val="clear" w:color="auto" w:fill="FFFFFF"/>
              </w:rPr>
              <w:t>a grāds</w:t>
            </w:r>
            <w:r w:rsidR="009C0CA1" w:rsidRPr="0010322E">
              <w:rPr>
                <w:rFonts w:ascii="Times New Roman" w:eastAsia="Calibri" w:hAnsi="Times New Roman"/>
                <w:bCs/>
                <w:sz w:val="26"/>
                <w:szCs w:val="26"/>
                <w:shd w:val="clear" w:color="auto" w:fill="FFFFFF"/>
              </w:rPr>
              <w:t>, savukārt 4% ir doktora grāds.</w:t>
            </w:r>
            <w:r w:rsidR="00ED7DED" w:rsidRPr="0010322E">
              <w:rPr>
                <w:rFonts w:ascii="Times New Roman" w:eastAsia="Calibri" w:hAnsi="Times New Roman"/>
                <w:bCs/>
                <w:sz w:val="26"/>
                <w:szCs w:val="26"/>
                <w:shd w:val="clear" w:color="auto" w:fill="FFFFFF"/>
              </w:rPr>
              <w:t xml:space="preserve"> Līdz ar to </w:t>
            </w:r>
            <w:r w:rsidR="00A02F89" w:rsidRPr="0010322E">
              <w:rPr>
                <w:rFonts w:ascii="Times New Roman" w:eastAsia="Calibri" w:hAnsi="Times New Roman"/>
                <w:bCs/>
                <w:sz w:val="26"/>
                <w:szCs w:val="26"/>
                <w:shd w:val="clear" w:color="auto" w:fill="FFFFFF"/>
              </w:rPr>
              <w:t>ar projektu samazinātas</w:t>
            </w:r>
            <w:r w:rsidR="00ED7DED" w:rsidRPr="0010322E">
              <w:rPr>
                <w:rFonts w:ascii="Times New Roman" w:eastAsia="Calibri" w:hAnsi="Times New Roman"/>
                <w:b/>
                <w:bCs/>
                <w:sz w:val="26"/>
                <w:szCs w:val="26"/>
                <w:shd w:val="clear" w:color="auto" w:fill="FFFFFF"/>
              </w:rPr>
              <w:t xml:space="preserve"> prasību par darba ņēmējiem </w:t>
            </w:r>
            <w:proofErr w:type="spellStart"/>
            <w:r w:rsidR="00ED7DED" w:rsidRPr="0010322E">
              <w:rPr>
                <w:rFonts w:ascii="Times New Roman" w:eastAsia="Calibri" w:hAnsi="Times New Roman"/>
                <w:b/>
                <w:bCs/>
                <w:sz w:val="26"/>
                <w:szCs w:val="26"/>
                <w:shd w:val="clear" w:color="auto" w:fill="FFFFFF"/>
              </w:rPr>
              <w:t>jaunuzņemumā</w:t>
            </w:r>
            <w:proofErr w:type="spellEnd"/>
            <w:r w:rsidR="00ED7DED" w:rsidRPr="0010322E">
              <w:rPr>
                <w:rFonts w:ascii="Times New Roman" w:eastAsia="Calibri" w:hAnsi="Times New Roman"/>
                <w:b/>
                <w:bCs/>
                <w:sz w:val="26"/>
                <w:szCs w:val="26"/>
                <w:shd w:val="clear" w:color="auto" w:fill="FFFFFF"/>
              </w:rPr>
              <w:t xml:space="preserve"> ar maģistra vai doktora grādu no 70% uz 50%.</w:t>
            </w:r>
          </w:p>
          <w:bookmarkEnd w:id="1"/>
          <w:p w14:paraId="62E95677" w14:textId="70C24F1F" w:rsidR="003B3DF2" w:rsidRPr="0010322E" w:rsidRDefault="00002624" w:rsidP="003B3DF2">
            <w:pPr>
              <w:pStyle w:val="ListParagraph"/>
              <w:numPr>
                <w:ilvl w:val="0"/>
                <w:numId w:val="7"/>
              </w:numPr>
              <w:ind w:left="788"/>
              <w:jc w:val="both"/>
              <w:rPr>
                <w:rFonts w:ascii="Times New Roman" w:eastAsia="Calibri" w:hAnsi="Times New Roman"/>
                <w:sz w:val="26"/>
                <w:szCs w:val="26"/>
              </w:rPr>
            </w:pPr>
            <w:r w:rsidRPr="0010322E">
              <w:rPr>
                <w:rFonts w:ascii="Times New Roman" w:hAnsi="Times New Roman"/>
                <w:color w:val="000000"/>
                <w:sz w:val="26"/>
                <w:szCs w:val="26"/>
              </w:rPr>
              <w:t xml:space="preserve"> Ar projektu</w:t>
            </w:r>
            <w:r w:rsidRPr="0010322E">
              <w:rPr>
                <w:rFonts w:ascii="Times New Roman" w:hAnsi="Times New Roman"/>
                <w:b/>
                <w:color w:val="000000"/>
                <w:sz w:val="26"/>
                <w:szCs w:val="26"/>
              </w:rPr>
              <w:t xml:space="preserve"> </w:t>
            </w:r>
            <w:r w:rsidRPr="00030769">
              <w:rPr>
                <w:rFonts w:ascii="Times New Roman" w:hAnsi="Times New Roman"/>
                <w:color w:val="000000"/>
                <w:sz w:val="26"/>
                <w:szCs w:val="26"/>
              </w:rPr>
              <w:t xml:space="preserve">precizēta Likuma 10.punkta pirmā daļa un svītrots 10.panta pirmās daļas </w:t>
            </w:r>
            <w:proofErr w:type="spellStart"/>
            <w:r w:rsidRPr="00030769">
              <w:rPr>
                <w:rFonts w:ascii="Times New Roman" w:hAnsi="Times New Roman"/>
                <w:color w:val="000000"/>
                <w:sz w:val="26"/>
                <w:szCs w:val="26"/>
              </w:rPr>
              <w:t>prim</w:t>
            </w:r>
            <w:proofErr w:type="spellEnd"/>
            <w:r w:rsidRPr="00030769">
              <w:rPr>
                <w:rFonts w:ascii="Times New Roman" w:hAnsi="Times New Roman"/>
                <w:color w:val="000000"/>
                <w:sz w:val="26"/>
                <w:szCs w:val="26"/>
              </w:rPr>
              <w:t xml:space="preserve"> punkts,</w:t>
            </w:r>
            <w:r w:rsidRPr="0010322E">
              <w:rPr>
                <w:rFonts w:ascii="Times New Roman" w:hAnsi="Times New Roman"/>
                <w:b/>
                <w:color w:val="000000"/>
                <w:sz w:val="26"/>
                <w:szCs w:val="26"/>
              </w:rPr>
              <w:t xml:space="preserve"> </w:t>
            </w:r>
            <w:r w:rsidR="00030769">
              <w:rPr>
                <w:rFonts w:ascii="Times New Roman" w:hAnsi="Times New Roman"/>
                <w:b/>
                <w:color w:val="000000"/>
                <w:sz w:val="26"/>
                <w:szCs w:val="26"/>
              </w:rPr>
              <w:t>ar mērķi mazināt</w:t>
            </w:r>
            <w:r w:rsidRPr="0010322E">
              <w:rPr>
                <w:rFonts w:ascii="Times New Roman" w:hAnsi="Times New Roman"/>
                <w:b/>
                <w:color w:val="000000"/>
                <w:sz w:val="26"/>
                <w:szCs w:val="26"/>
              </w:rPr>
              <w:t xml:space="preserve"> </w:t>
            </w:r>
            <w:r w:rsidR="003B3DF2" w:rsidRPr="0010322E">
              <w:rPr>
                <w:rFonts w:ascii="Times New Roman" w:hAnsi="Times New Roman"/>
                <w:b/>
                <w:color w:val="000000"/>
                <w:sz w:val="26"/>
                <w:szCs w:val="26"/>
              </w:rPr>
              <w:t xml:space="preserve">administratīvo slogu </w:t>
            </w:r>
            <w:proofErr w:type="spellStart"/>
            <w:r w:rsidR="003B3DF2" w:rsidRPr="0010322E">
              <w:rPr>
                <w:rFonts w:ascii="Times New Roman" w:hAnsi="Times New Roman"/>
                <w:b/>
                <w:color w:val="000000"/>
                <w:sz w:val="26"/>
                <w:szCs w:val="26"/>
              </w:rPr>
              <w:t>jaunuzņēmumiem</w:t>
            </w:r>
            <w:proofErr w:type="spellEnd"/>
            <w:r w:rsidR="003B3DF2" w:rsidRPr="0010322E">
              <w:rPr>
                <w:rFonts w:ascii="Times New Roman" w:hAnsi="Times New Roman"/>
                <w:b/>
                <w:color w:val="000000"/>
                <w:sz w:val="26"/>
                <w:szCs w:val="26"/>
              </w:rPr>
              <w:t>, piesakoties atbalsta programmām</w:t>
            </w:r>
            <w:r w:rsidR="00030769">
              <w:rPr>
                <w:rFonts w:ascii="Times New Roman" w:hAnsi="Times New Roman"/>
                <w:b/>
                <w:color w:val="000000"/>
                <w:sz w:val="26"/>
                <w:szCs w:val="26"/>
              </w:rPr>
              <w:t xml:space="preserve">. Atbalsta programmas </w:t>
            </w:r>
            <w:bookmarkStart w:id="2" w:name="_Hlk10650035"/>
            <w:r w:rsidR="003B3DF2" w:rsidRPr="0010322E">
              <w:rPr>
                <w:rFonts w:ascii="Times New Roman" w:hAnsi="Times New Roman"/>
                <w:b/>
                <w:color w:val="000000"/>
                <w:sz w:val="26"/>
                <w:szCs w:val="26"/>
              </w:rPr>
              <w:t>period</w:t>
            </w:r>
            <w:r w:rsidR="00030769">
              <w:rPr>
                <w:rFonts w:ascii="Times New Roman" w:hAnsi="Times New Roman"/>
                <w:b/>
                <w:color w:val="000000"/>
                <w:sz w:val="26"/>
                <w:szCs w:val="26"/>
              </w:rPr>
              <w:t xml:space="preserve">s pagarināts </w:t>
            </w:r>
            <w:r w:rsidR="003B3DF2" w:rsidRPr="0010322E">
              <w:rPr>
                <w:rFonts w:ascii="Times New Roman" w:hAnsi="Times New Roman"/>
                <w:b/>
                <w:color w:val="000000"/>
                <w:sz w:val="26"/>
                <w:szCs w:val="26"/>
              </w:rPr>
              <w:t>no 12 mēnešiem uz 24 mēnešiem</w:t>
            </w:r>
            <w:r w:rsidR="003B3DF2" w:rsidRPr="0010322E">
              <w:rPr>
                <w:rFonts w:ascii="Times New Roman" w:hAnsi="Times New Roman"/>
                <w:color w:val="000000"/>
                <w:sz w:val="26"/>
                <w:szCs w:val="26"/>
              </w:rPr>
              <w:t xml:space="preserve"> </w:t>
            </w:r>
            <w:bookmarkEnd w:id="2"/>
            <w:r w:rsidRPr="0010322E">
              <w:rPr>
                <w:rFonts w:ascii="Times New Roman" w:hAnsi="Times New Roman"/>
                <w:color w:val="000000"/>
                <w:sz w:val="26"/>
                <w:szCs w:val="26"/>
              </w:rPr>
              <w:t>visos gadījumos</w:t>
            </w:r>
            <w:r w:rsidR="003B3DF2" w:rsidRPr="0010322E">
              <w:rPr>
                <w:rFonts w:ascii="Times New Roman" w:hAnsi="Times New Roman"/>
                <w:color w:val="000000"/>
                <w:sz w:val="26"/>
                <w:szCs w:val="26"/>
              </w:rPr>
              <w:t xml:space="preserve">. </w:t>
            </w:r>
          </w:p>
          <w:p w14:paraId="175C1B6D" w14:textId="21AB5117" w:rsidR="00C8235E" w:rsidRPr="00C8235E" w:rsidRDefault="003B3DF2" w:rsidP="00C8235E">
            <w:pPr>
              <w:pStyle w:val="ListParagraph"/>
              <w:ind w:left="646"/>
              <w:jc w:val="both"/>
              <w:rPr>
                <w:rFonts w:ascii="Times New Roman" w:hAnsi="Times New Roman"/>
                <w:color w:val="000000"/>
                <w:sz w:val="26"/>
                <w:szCs w:val="26"/>
              </w:rPr>
            </w:pPr>
            <w:r w:rsidRPr="0010322E">
              <w:rPr>
                <w:rFonts w:ascii="Times New Roman" w:hAnsi="Times New Roman"/>
                <w:color w:val="000000"/>
                <w:sz w:val="26"/>
                <w:szCs w:val="26"/>
              </w:rPr>
              <w:t>Valsts atbalsta uzskaites nosacījumi 24 mēnešu atbalsta periodam jau noteikti Ministru kabineta 2017.gada 7.februāra noteikumu Nr.74 “</w:t>
            </w:r>
            <w:proofErr w:type="spellStart"/>
            <w:r w:rsidRPr="0010322E">
              <w:rPr>
                <w:rFonts w:ascii="Times New Roman" w:hAnsi="Times New Roman"/>
                <w:color w:val="000000"/>
                <w:sz w:val="26"/>
                <w:szCs w:val="26"/>
              </w:rPr>
              <w:t>Jaunuzņēmumu</w:t>
            </w:r>
            <w:proofErr w:type="spellEnd"/>
            <w:r w:rsidRPr="0010322E">
              <w:rPr>
                <w:rFonts w:ascii="Times New Roman" w:hAnsi="Times New Roman"/>
                <w:color w:val="000000"/>
                <w:sz w:val="26"/>
                <w:szCs w:val="26"/>
              </w:rPr>
              <w:t xml:space="preserve"> atbalsta </w:t>
            </w:r>
            <w:r w:rsidRPr="0010322E">
              <w:rPr>
                <w:rFonts w:ascii="Times New Roman" w:hAnsi="Times New Roman"/>
                <w:color w:val="000000"/>
                <w:sz w:val="26"/>
                <w:szCs w:val="26"/>
              </w:rPr>
              <w:lastRenderedPageBreak/>
              <w:t xml:space="preserve">programmu pieteikšanas un administrēšanas kārtība” </w:t>
            </w:r>
            <w:r w:rsidR="00030769">
              <w:rPr>
                <w:rFonts w:ascii="Times New Roman" w:hAnsi="Times New Roman"/>
                <w:color w:val="000000"/>
                <w:sz w:val="26"/>
                <w:szCs w:val="26"/>
              </w:rPr>
              <w:t xml:space="preserve">(turpmāk – MKN 74) </w:t>
            </w:r>
            <w:r w:rsidRPr="0010322E">
              <w:rPr>
                <w:rFonts w:ascii="Times New Roman" w:hAnsi="Times New Roman"/>
                <w:color w:val="000000"/>
                <w:sz w:val="26"/>
                <w:szCs w:val="26"/>
              </w:rPr>
              <w:t xml:space="preserve">20.punktā. Lai ievērotu </w:t>
            </w:r>
            <w:proofErr w:type="spellStart"/>
            <w:r w:rsidRPr="0010322E">
              <w:rPr>
                <w:rFonts w:ascii="Times New Roman" w:hAnsi="Times New Roman"/>
                <w:color w:val="000000"/>
                <w:sz w:val="26"/>
                <w:szCs w:val="26"/>
              </w:rPr>
              <w:t>Jaunuzņēmumu</w:t>
            </w:r>
            <w:proofErr w:type="spellEnd"/>
            <w:r w:rsidRPr="0010322E">
              <w:rPr>
                <w:rFonts w:ascii="Times New Roman" w:hAnsi="Times New Roman"/>
                <w:color w:val="000000"/>
                <w:sz w:val="26"/>
                <w:szCs w:val="26"/>
              </w:rPr>
              <w:t xml:space="preserve"> darbības atbalsta likuma 9. panta otrās daļas prasības ievērošanu par </w:t>
            </w:r>
            <w:proofErr w:type="spellStart"/>
            <w:r w:rsidRPr="0010322E">
              <w:rPr>
                <w:rFonts w:ascii="Times New Roman" w:hAnsi="Times New Roman"/>
                <w:i/>
                <w:color w:val="000000"/>
                <w:sz w:val="26"/>
                <w:szCs w:val="26"/>
              </w:rPr>
              <w:t>de</w:t>
            </w:r>
            <w:proofErr w:type="spellEnd"/>
            <w:r w:rsidRPr="0010322E">
              <w:rPr>
                <w:rFonts w:ascii="Times New Roman" w:hAnsi="Times New Roman"/>
                <w:i/>
                <w:color w:val="000000"/>
                <w:sz w:val="26"/>
                <w:szCs w:val="26"/>
              </w:rPr>
              <w:t xml:space="preserve"> </w:t>
            </w:r>
            <w:proofErr w:type="spellStart"/>
            <w:r w:rsidRPr="0010322E">
              <w:rPr>
                <w:rFonts w:ascii="Times New Roman" w:hAnsi="Times New Roman"/>
                <w:i/>
                <w:color w:val="000000"/>
                <w:sz w:val="26"/>
                <w:szCs w:val="26"/>
              </w:rPr>
              <w:t>minimis</w:t>
            </w:r>
            <w:proofErr w:type="spellEnd"/>
            <w:r w:rsidRPr="0010322E">
              <w:rPr>
                <w:rFonts w:ascii="Times New Roman" w:hAnsi="Times New Roman"/>
                <w:color w:val="000000"/>
                <w:sz w:val="26"/>
                <w:szCs w:val="26"/>
              </w:rPr>
              <w:t xml:space="preserve"> atbalsta maksimālo apmēru, arī gadījumos, ja atbalstu plānots piešķirt par diviem secīgiem periodiem uzreiz, </w:t>
            </w:r>
            <w:r w:rsidR="00030769">
              <w:rPr>
                <w:rFonts w:ascii="Times New Roman" w:hAnsi="Times New Roman"/>
                <w:color w:val="000000"/>
                <w:sz w:val="26"/>
                <w:szCs w:val="26"/>
              </w:rPr>
              <w:t xml:space="preserve">MKN 74 </w:t>
            </w:r>
            <w:r w:rsidRPr="0010322E">
              <w:rPr>
                <w:rFonts w:ascii="Times New Roman" w:hAnsi="Times New Roman"/>
                <w:color w:val="000000"/>
                <w:sz w:val="26"/>
                <w:szCs w:val="26"/>
              </w:rPr>
              <w:t xml:space="preserve">20.punktā jau tiek nodrošināts mehānisms, kā LIAA visā atbalsta saņemšanas periodā veic </w:t>
            </w:r>
            <w:proofErr w:type="spellStart"/>
            <w:r w:rsidRPr="0010322E">
              <w:rPr>
                <w:rFonts w:ascii="Times New Roman" w:hAnsi="Times New Roman"/>
                <w:color w:val="000000"/>
                <w:sz w:val="26"/>
                <w:szCs w:val="26"/>
              </w:rPr>
              <w:t>Jaunuzņēmumu</w:t>
            </w:r>
            <w:proofErr w:type="spellEnd"/>
            <w:r w:rsidRPr="0010322E">
              <w:rPr>
                <w:rFonts w:ascii="Times New Roman" w:hAnsi="Times New Roman"/>
                <w:color w:val="000000"/>
                <w:sz w:val="26"/>
                <w:szCs w:val="26"/>
              </w:rPr>
              <w:t xml:space="preserve"> darbības atbalsta likuma 9. panta otrās daļas prasības par </w:t>
            </w:r>
            <w:proofErr w:type="spellStart"/>
            <w:r w:rsidRPr="0010322E">
              <w:rPr>
                <w:rFonts w:ascii="Times New Roman" w:hAnsi="Times New Roman"/>
                <w:i/>
                <w:color w:val="000000"/>
                <w:sz w:val="26"/>
                <w:szCs w:val="26"/>
              </w:rPr>
              <w:t>de</w:t>
            </w:r>
            <w:proofErr w:type="spellEnd"/>
            <w:r w:rsidRPr="0010322E">
              <w:rPr>
                <w:rFonts w:ascii="Times New Roman" w:hAnsi="Times New Roman"/>
                <w:i/>
                <w:color w:val="000000"/>
                <w:sz w:val="26"/>
                <w:szCs w:val="26"/>
              </w:rPr>
              <w:t xml:space="preserve"> </w:t>
            </w:r>
            <w:proofErr w:type="spellStart"/>
            <w:r w:rsidRPr="0010322E">
              <w:rPr>
                <w:rFonts w:ascii="Times New Roman" w:hAnsi="Times New Roman"/>
                <w:i/>
                <w:color w:val="000000"/>
                <w:sz w:val="26"/>
                <w:szCs w:val="26"/>
              </w:rPr>
              <w:t>minimis</w:t>
            </w:r>
            <w:proofErr w:type="spellEnd"/>
            <w:r w:rsidRPr="0010322E">
              <w:rPr>
                <w:rFonts w:ascii="Times New Roman" w:hAnsi="Times New Roman"/>
                <w:color w:val="000000"/>
                <w:sz w:val="26"/>
                <w:szCs w:val="26"/>
              </w:rPr>
              <w:t xml:space="preserve"> atbalsta maksimālo apmēru pārbaudi.</w:t>
            </w:r>
          </w:p>
          <w:p w14:paraId="0997F796" w14:textId="689222D0" w:rsidR="00AD2360" w:rsidRPr="0010322E" w:rsidRDefault="00380524" w:rsidP="00AD2360">
            <w:pPr>
              <w:pStyle w:val="ListParagraph"/>
              <w:numPr>
                <w:ilvl w:val="0"/>
                <w:numId w:val="7"/>
              </w:numPr>
              <w:jc w:val="both"/>
              <w:rPr>
                <w:rFonts w:ascii="Times New Roman" w:eastAsia="Calibri" w:hAnsi="Times New Roman"/>
                <w:sz w:val="26"/>
                <w:szCs w:val="26"/>
              </w:rPr>
            </w:pPr>
            <w:r w:rsidRPr="0010322E">
              <w:rPr>
                <w:rFonts w:ascii="Times New Roman" w:eastAsia="Calibri" w:hAnsi="Times New Roman"/>
                <w:sz w:val="26"/>
                <w:szCs w:val="26"/>
              </w:rPr>
              <w:t xml:space="preserve">Ar likumprojektu </w:t>
            </w:r>
            <w:r w:rsidR="00C8235E">
              <w:rPr>
                <w:rFonts w:ascii="Times New Roman" w:eastAsia="Calibri" w:hAnsi="Times New Roman"/>
                <w:sz w:val="26"/>
                <w:szCs w:val="26"/>
              </w:rPr>
              <w:t xml:space="preserve">tāpat tiek </w:t>
            </w:r>
            <w:r w:rsidRPr="0010322E">
              <w:rPr>
                <w:rFonts w:ascii="Times New Roman" w:eastAsia="Calibri" w:hAnsi="Times New Roman"/>
                <w:sz w:val="26"/>
                <w:szCs w:val="26"/>
              </w:rPr>
              <w:t>veikti turpmāk minētie grozījumi:</w:t>
            </w:r>
          </w:p>
          <w:p w14:paraId="04F231DE" w14:textId="63ACE6F2" w:rsidR="00925077" w:rsidRPr="0010322E" w:rsidRDefault="00AD2360" w:rsidP="0010322E">
            <w:pPr>
              <w:ind w:left="361"/>
              <w:jc w:val="both"/>
              <w:rPr>
                <w:rFonts w:eastAsia="Calibri"/>
                <w:sz w:val="26"/>
                <w:szCs w:val="26"/>
              </w:rPr>
            </w:pPr>
            <w:r w:rsidRPr="0010322E">
              <w:rPr>
                <w:rFonts w:eastAsia="Calibri"/>
                <w:sz w:val="26"/>
                <w:szCs w:val="26"/>
              </w:rPr>
              <w:t xml:space="preserve">a) </w:t>
            </w:r>
            <w:r w:rsidR="00925077" w:rsidRPr="0010322E">
              <w:rPr>
                <w:rFonts w:eastAsia="Calibri"/>
                <w:sz w:val="26"/>
                <w:szCs w:val="26"/>
              </w:rPr>
              <w:t>Precizēta 11.panta pirmās daļas ievaddaļa</w:t>
            </w:r>
            <w:bookmarkStart w:id="3" w:name="_Hlk10650149"/>
            <w:r w:rsidR="00925077" w:rsidRPr="0010322E">
              <w:rPr>
                <w:rFonts w:eastAsia="Calibri"/>
                <w:sz w:val="26"/>
                <w:szCs w:val="26"/>
              </w:rPr>
              <w:t xml:space="preserve">. </w:t>
            </w:r>
            <w:r w:rsidR="00925077" w:rsidRPr="00030769">
              <w:rPr>
                <w:rFonts w:eastAsia="Calibri"/>
                <w:b/>
                <w:sz w:val="26"/>
                <w:szCs w:val="26"/>
              </w:rPr>
              <w:t xml:space="preserve">EM ieskatā nav </w:t>
            </w:r>
            <w:r w:rsidR="00380524" w:rsidRPr="00030769">
              <w:rPr>
                <w:rFonts w:eastAsia="Calibri"/>
                <w:b/>
                <w:sz w:val="26"/>
                <w:szCs w:val="26"/>
              </w:rPr>
              <w:t xml:space="preserve"> </w:t>
            </w:r>
            <w:r w:rsidR="00925077" w:rsidRPr="00030769">
              <w:rPr>
                <w:rFonts w:eastAsia="Calibri"/>
                <w:b/>
                <w:sz w:val="26"/>
                <w:szCs w:val="26"/>
              </w:rPr>
              <w:t xml:space="preserve">pamata potenciālajiem atbalsta saņēmēja darbiniekiem likt pārtraukt darba attiecības citos uzņēmumos, pirms </w:t>
            </w:r>
            <w:proofErr w:type="spellStart"/>
            <w:r w:rsidR="00925077" w:rsidRPr="00030769">
              <w:rPr>
                <w:rFonts w:eastAsia="Calibri"/>
                <w:b/>
                <w:sz w:val="26"/>
                <w:szCs w:val="26"/>
              </w:rPr>
              <w:t>jaunzuņēmums</w:t>
            </w:r>
            <w:proofErr w:type="spellEnd"/>
            <w:r w:rsidR="00925077" w:rsidRPr="00030769">
              <w:rPr>
                <w:rFonts w:eastAsia="Calibri"/>
                <w:b/>
                <w:sz w:val="26"/>
                <w:szCs w:val="26"/>
              </w:rPr>
              <w:t xml:space="preserve"> ir saņēmis lēmumu par atbalsta piešķiršanu</w:t>
            </w:r>
            <w:r w:rsidR="00925077" w:rsidRPr="0010322E">
              <w:rPr>
                <w:rFonts w:eastAsia="Calibri"/>
                <w:sz w:val="26"/>
                <w:szCs w:val="26"/>
              </w:rPr>
              <w:t xml:space="preserve">. </w:t>
            </w:r>
            <w:bookmarkEnd w:id="3"/>
            <w:r w:rsidR="00925077" w:rsidRPr="0010322E">
              <w:rPr>
                <w:rFonts w:eastAsia="Calibri"/>
                <w:sz w:val="26"/>
                <w:szCs w:val="26"/>
              </w:rPr>
              <w:t>Tāpat var būt situācijas, kad atbalstam pieteiktais darbinieks ir nepieciešams noteiktās jauna produkta izstrādes stadijās, kuru laikā var būt lielāks laika posms, kuru laikā atbalstam piesaistītais darbinieks var</w:t>
            </w:r>
            <w:r w:rsidR="00C8235E">
              <w:rPr>
                <w:rFonts w:eastAsia="Calibri"/>
                <w:sz w:val="26"/>
                <w:szCs w:val="26"/>
              </w:rPr>
              <w:t xml:space="preserve"> </w:t>
            </w:r>
            <w:r w:rsidR="00925077" w:rsidRPr="0010322E">
              <w:rPr>
                <w:rFonts w:eastAsia="Calibri"/>
                <w:sz w:val="26"/>
                <w:szCs w:val="26"/>
              </w:rPr>
              <w:t>būt nodarbināts arī pie citiem komersantiem;</w:t>
            </w:r>
          </w:p>
          <w:p w14:paraId="6B7BF8AE" w14:textId="2D782F69" w:rsidR="00C8235E" w:rsidRPr="00C8235E" w:rsidRDefault="00AD2360" w:rsidP="00C8235E">
            <w:pPr>
              <w:ind w:left="361"/>
              <w:jc w:val="both"/>
              <w:rPr>
                <w:rFonts w:eastAsia="Calibri"/>
                <w:bCs/>
                <w:sz w:val="26"/>
                <w:szCs w:val="26"/>
                <w:shd w:val="clear" w:color="auto" w:fill="FFFFFF"/>
              </w:rPr>
            </w:pPr>
            <w:r w:rsidRPr="00C8235E">
              <w:rPr>
                <w:rFonts w:eastAsia="Calibri"/>
                <w:bCs/>
                <w:sz w:val="26"/>
                <w:szCs w:val="26"/>
                <w:shd w:val="clear" w:color="auto" w:fill="FFFFFF"/>
              </w:rPr>
              <w:t xml:space="preserve">b) </w:t>
            </w:r>
            <w:r w:rsidR="00C8235E" w:rsidRPr="00C8235E">
              <w:rPr>
                <w:sz w:val="26"/>
                <w:szCs w:val="26"/>
              </w:rPr>
              <w:t xml:space="preserve"> </w:t>
            </w:r>
            <w:r w:rsidR="00C8235E" w:rsidRPr="00030769">
              <w:rPr>
                <w:b/>
                <w:sz w:val="26"/>
                <w:szCs w:val="26"/>
              </w:rPr>
              <w:t>Precizēta 11.panta pirmās daļas a un apakšpunkti, kā arī pants papildināts ar d apakšpunktu, lai nodrošinātu normu nepārprotamu interpretāciju</w:t>
            </w:r>
            <w:r w:rsidR="00C8235E" w:rsidRPr="00C8235E">
              <w:rPr>
                <w:sz w:val="26"/>
                <w:szCs w:val="26"/>
              </w:rPr>
              <w:t xml:space="preserve">. </w:t>
            </w:r>
            <w:r w:rsidR="00C8235E" w:rsidRPr="00C8235E">
              <w:rPr>
                <w:rFonts w:eastAsia="Calibri"/>
                <w:bCs/>
                <w:sz w:val="26"/>
                <w:szCs w:val="26"/>
                <w:shd w:val="clear" w:color="auto" w:fill="FFFFFF"/>
              </w:rPr>
              <w:t xml:space="preserve">Esošā likuma redakcija skaidri nenosaka, ka ierobežojums par nodarbinātību uz uzņēmuma līguma pamata būtu attiecināms tikai uz komersantiem, tādējādi no atbalsta varētu tikt izslēgti arī tie </w:t>
            </w:r>
            <w:proofErr w:type="spellStart"/>
            <w:r w:rsidR="00C8235E" w:rsidRPr="00C8235E">
              <w:rPr>
                <w:rFonts w:eastAsia="Calibri"/>
                <w:bCs/>
                <w:sz w:val="26"/>
                <w:szCs w:val="26"/>
                <w:shd w:val="clear" w:color="auto" w:fill="FFFFFF"/>
              </w:rPr>
              <w:t>jaunuzņēmuma</w:t>
            </w:r>
            <w:proofErr w:type="spellEnd"/>
            <w:r w:rsidR="00C8235E" w:rsidRPr="00C8235E">
              <w:rPr>
                <w:rFonts w:eastAsia="Calibri"/>
                <w:bCs/>
                <w:sz w:val="26"/>
                <w:szCs w:val="26"/>
                <w:shd w:val="clear" w:color="auto" w:fill="FFFFFF"/>
              </w:rPr>
              <w:t xml:space="preserve"> darbinieki, kas uz uzņēmuma līguma pamata veic darbu, piemēram, biedrībās un nodibinājumos, kur savukārt norma neparedz aizliegumu būt nodarbinātam uz darba līguma pamata. </w:t>
            </w:r>
            <w:r w:rsidR="00C8235E">
              <w:rPr>
                <w:rFonts w:eastAsia="Calibri"/>
                <w:bCs/>
                <w:sz w:val="26"/>
                <w:szCs w:val="26"/>
                <w:shd w:val="clear" w:color="auto" w:fill="FFFFFF"/>
              </w:rPr>
              <w:t xml:space="preserve">Attiecīgi precizēts a) apakšpunkts. </w:t>
            </w:r>
          </w:p>
          <w:p w14:paraId="3799D2BD" w14:textId="26273A38" w:rsidR="00C8235E" w:rsidRPr="00C8235E" w:rsidRDefault="00C8235E" w:rsidP="00C8235E">
            <w:pPr>
              <w:ind w:left="361"/>
              <w:jc w:val="both"/>
              <w:rPr>
                <w:rFonts w:eastAsia="Calibri"/>
                <w:bCs/>
                <w:sz w:val="26"/>
                <w:szCs w:val="26"/>
                <w:shd w:val="clear" w:color="auto" w:fill="FFFFFF"/>
              </w:rPr>
            </w:pPr>
            <w:r w:rsidRPr="00C8235E">
              <w:rPr>
                <w:rFonts w:eastAsia="Calibri"/>
                <w:bCs/>
                <w:sz w:val="26"/>
                <w:szCs w:val="26"/>
                <w:shd w:val="clear" w:color="auto" w:fill="FFFFFF"/>
              </w:rPr>
              <w:t xml:space="preserve">Tāpat vēlāk normas piemērošanas gaitā </w:t>
            </w:r>
            <w:r>
              <w:rPr>
                <w:rFonts w:eastAsia="Calibri"/>
                <w:bCs/>
                <w:sz w:val="26"/>
                <w:szCs w:val="26"/>
                <w:shd w:val="clear" w:color="auto" w:fill="FFFFFF"/>
              </w:rPr>
              <w:t>tika secināts, ka ierobežojums nepastāv arī uz</w:t>
            </w:r>
            <w:r w:rsidRPr="00C8235E">
              <w:rPr>
                <w:rFonts w:eastAsia="Calibri"/>
                <w:bCs/>
                <w:sz w:val="26"/>
                <w:szCs w:val="26"/>
                <w:shd w:val="clear" w:color="auto" w:fill="FFFFFF"/>
              </w:rPr>
              <w:t xml:space="preserve"> </w:t>
            </w:r>
            <w:proofErr w:type="spellStart"/>
            <w:r w:rsidRPr="00C8235E">
              <w:rPr>
                <w:rFonts w:eastAsia="Calibri"/>
                <w:bCs/>
                <w:sz w:val="26"/>
                <w:szCs w:val="26"/>
                <w:shd w:val="clear" w:color="auto" w:fill="FFFFFF"/>
              </w:rPr>
              <w:t>jaunuzņēmuma</w:t>
            </w:r>
            <w:proofErr w:type="spellEnd"/>
            <w:r w:rsidRPr="00C8235E">
              <w:rPr>
                <w:rFonts w:eastAsia="Calibri"/>
                <w:bCs/>
                <w:sz w:val="26"/>
                <w:szCs w:val="26"/>
                <w:shd w:val="clear" w:color="auto" w:fill="FFFFFF"/>
              </w:rPr>
              <w:t xml:space="preserve"> darbinieku, kas vienlaikus ir komersanta – </w:t>
            </w:r>
            <w:proofErr w:type="spellStart"/>
            <w:r w:rsidRPr="00C8235E">
              <w:rPr>
                <w:rFonts w:eastAsia="Calibri"/>
                <w:bCs/>
                <w:sz w:val="26"/>
                <w:szCs w:val="26"/>
                <w:shd w:val="clear" w:color="auto" w:fill="FFFFFF"/>
              </w:rPr>
              <w:t>mikrouzņēmuma</w:t>
            </w:r>
            <w:proofErr w:type="spellEnd"/>
            <w:r w:rsidRPr="00C8235E">
              <w:rPr>
                <w:rFonts w:eastAsia="Calibri"/>
                <w:bCs/>
                <w:sz w:val="26"/>
                <w:szCs w:val="26"/>
                <w:shd w:val="clear" w:color="auto" w:fill="FFFFFF"/>
              </w:rPr>
              <w:t xml:space="preserve"> nodokļa maksātāja</w:t>
            </w:r>
            <w:r>
              <w:rPr>
                <w:rFonts w:eastAsia="Calibri"/>
                <w:bCs/>
                <w:sz w:val="26"/>
                <w:szCs w:val="26"/>
                <w:shd w:val="clear" w:color="auto" w:fill="FFFFFF"/>
              </w:rPr>
              <w:t xml:space="preserve"> -</w:t>
            </w:r>
            <w:r w:rsidRPr="00C8235E">
              <w:rPr>
                <w:rFonts w:eastAsia="Calibri"/>
                <w:bCs/>
                <w:sz w:val="26"/>
                <w:szCs w:val="26"/>
                <w:shd w:val="clear" w:color="auto" w:fill="FFFFFF"/>
              </w:rPr>
              <w:t xml:space="preserve"> īpašnieks un kura nodarbinātība šajā uzņēmumā nav uz darba līguma pamata, bet izriet no </w:t>
            </w:r>
            <w:proofErr w:type="spellStart"/>
            <w:r w:rsidRPr="00C8235E">
              <w:rPr>
                <w:rFonts w:eastAsia="Calibri"/>
                <w:bCs/>
                <w:sz w:val="26"/>
                <w:szCs w:val="26"/>
                <w:shd w:val="clear" w:color="auto" w:fill="FFFFFF"/>
              </w:rPr>
              <w:t>Mikrouzņēmumu</w:t>
            </w:r>
            <w:proofErr w:type="spellEnd"/>
            <w:r w:rsidRPr="00C8235E">
              <w:rPr>
                <w:rFonts w:eastAsia="Calibri"/>
                <w:bCs/>
                <w:sz w:val="26"/>
                <w:szCs w:val="26"/>
                <w:shd w:val="clear" w:color="auto" w:fill="FFFFFF"/>
              </w:rPr>
              <w:t xml:space="preserve"> nodokļa likuma 1.panta 3.punkta. </w:t>
            </w:r>
            <w:r>
              <w:rPr>
                <w:rFonts w:eastAsia="Calibri"/>
                <w:bCs/>
                <w:sz w:val="26"/>
                <w:szCs w:val="26"/>
                <w:shd w:val="clear" w:color="auto" w:fill="FFFFFF"/>
              </w:rPr>
              <w:t>A</w:t>
            </w:r>
            <w:r w:rsidRPr="00C8235E">
              <w:rPr>
                <w:rFonts w:eastAsia="Calibri"/>
                <w:bCs/>
                <w:sz w:val="26"/>
                <w:szCs w:val="26"/>
                <w:shd w:val="clear" w:color="auto" w:fill="FFFFFF"/>
              </w:rPr>
              <w:t xml:space="preserve">tbilstoši </w:t>
            </w:r>
            <w:proofErr w:type="spellStart"/>
            <w:r w:rsidRPr="00C8235E">
              <w:rPr>
                <w:rFonts w:eastAsia="Calibri"/>
                <w:bCs/>
                <w:sz w:val="26"/>
                <w:szCs w:val="26"/>
                <w:shd w:val="clear" w:color="auto" w:fill="FFFFFF"/>
              </w:rPr>
              <w:t>Mikrouzņēmumu</w:t>
            </w:r>
            <w:proofErr w:type="spellEnd"/>
            <w:r w:rsidRPr="00C8235E">
              <w:rPr>
                <w:rFonts w:eastAsia="Calibri"/>
                <w:bCs/>
                <w:sz w:val="26"/>
                <w:szCs w:val="26"/>
                <w:shd w:val="clear" w:color="auto" w:fill="FFFFFF"/>
              </w:rPr>
              <w:t xml:space="preserve"> nodokļa likuma 1.panta 1.punktam </w:t>
            </w:r>
            <w:proofErr w:type="spellStart"/>
            <w:r w:rsidRPr="00C8235E">
              <w:rPr>
                <w:rFonts w:eastAsia="Calibri"/>
                <w:bCs/>
                <w:sz w:val="26"/>
                <w:szCs w:val="26"/>
                <w:shd w:val="clear" w:color="auto" w:fill="FFFFFF"/>
              </w:rPr>
              <w:t>mikrouzņēmums</w:t>
            </w:r>
            <w:proofErr w:type="spellEnd"/>
            <w:r w:rsidRPr="00C8235E">
              <w:rPr>
                <w:rFonts w:eastAsia="Calibri"/>
                <w:bCs/>
                <w:sz w:val="26"/>
                <w:szCs w:val="26"/>
                <w:shd w:val="clear" w:color="auto" w:fill="FFFFFF"/>
              </w:rPr>
              <w:t xml:space="preserve"> var būt ne tikai individuālais komersants, vai sabiedrība ar ierobežotu atbildību, bet arī individuālais uzņēmums, zemnieka vai zvejnieka saimniecība, kā arī fiziskā persona, kas reģistrēta Valsts ieņēmumu dienestā kā saimnieciskās darbības veicējs. Tāpēc atbilstoši piedāvātajai normas redakcijai var veidoties situācija, kurā atbalstam kvalificējas zemnieku vai zvejnieku saimniecības darbinieks vai īpašnieks, ja šī saimniecība nav </w:t>
            </w:r>
            <w:proofErr w:type="spellStart"/>
            <w:r w:rsidRPr="00C8235E">
              <w:rPr>
                <w:rFonts w:eastAsia="Calibri"/>
                <w:bCs/>
                <w:sz w:val="26"/>
                <w:szCs w:val="26"/>
                <w:shd w:val="clear" w:color="auto" w:fill="FFFFFF"/>
              </w:rPr>
              <w:t>mikrouzņēmuma</w:t>
            </w:r>
            <w:proofErr w:type="spellEnd"/>
            <w:r w:rsidRPr="00C8235E">
              <w:rPr>
                <w:rFonts w:eastAsia="Calibri"/>
                <w:bCs/>
                <w:sz w:val="26"/>
                <w:szCs w:val="26"/>
                <w:shd w:val="clear" w:color="auto" w:fill="FFFFFF"/>
              </w:rPr>
              <w:t xml:space="preserve"> nodokļa maksātāja, bet </w:t>
            </w:r>
            <w:r w:rsidRPr="00C8235E">
              <w:rPr>
                <w:rFonts w:eastAsia="Calibri"/>
                <w:bCs/>
                <w:sz w:val="26"/>
                <w:szCs w:val="26"/>
                <w:shd w:val="clear" w:color="auto" w:fill="FFFFFF"/>
              </w:rPr>
              <w:lastRenderedPageBreak/>
              <w:t xml:space="preserve">nevar kvalificēties – ja ir, līdz ar to darbinieku dalība atbalsta programmā tiek padarīta atkarīga nevis no atšķirībām, kas izriet no nodarbinātības, bet gan no izvēlētā nodokļu režīma. </w:t>
            </w:r>
            <w:r>
              <w:rPr>
                <w:rFonts w:eastAsia="Calibri"/>
                <w:bCs/>
                <w:sz w:val="26"/>
                <w:szCs w:val="26"/>
                <w:shd w:val="clear" w:color="auto" w:fill="FFFFFF"/>
              </w:rPr>
              <w:t xml:space="preserve">Atbilstoši </w:t>
            </w:r>
            <w:r w:rsidRPr="00C8235E">
              <w:rPr>
                <w:rFonts w:eastAsia="Calibri"/>
                <w:bCs/>
                <w:sz w:val="26"/>
                <w:szCs w:val="26"/>
                <w:shd w:val="clear" w:color="auto" w:fill="FFFFFF"/>
              </w:rPr>
              <w:t xml:space="preserve"> </w:t>
            </w:r>
            <w:r>
              <w:rPr>
                <w:rFonts w:eastAsia="Calibri"/>
                <w:bCs/>
                <w:sz w:val="26"/>
                <w:szCs w:val="26"/>
                <w:shd w:val="clear" w:color="auto" w:fill="FFFFFF"/>
              </w:rPr>
              <w:t>11.</w:t>
            </w:r>
            <w:r w:rsidRPr="00C8235E">
              <w:rPr>
                <w:rFonts w:eastAsia="Calibri"/>
                <w:bCs/>
                <w:sz w:val="26"/>
                <w:szCs w:val="26"/>
                <w:shd w:val="clear" w:color="auto" w:fill="FFFFFF"/>
              </w:rPr>
              <w:t>pant</w:t>
            </w:r>
            <w:r>
              <w:rPr>
                <w:rFonts w:eastAsia="Calibri"/>
                <w:bCs/>
                <w:sz w:val="26"/>
                <w:szCs w:val="26"/>
                <w:shd w:val="clear" w:color="auto" w:fill="FFFFFF"/>
              </w:rPr>
              <w:t>a pirmās daļas 1.punkts</w:t>
            </w:r>
            <w:r w:rsidRPr="00C8235E">
              <w:rPr>
                <w:rFonts w:eastAsia="Calibri"/>
                <w:bCs/>
                <w:sz w:val="26"/>
                <w:szCs w:val="26"/>
                <w:shd w:val="clear" w:color="auto" w:fill="FFFFFF"/>
              </w:rPr>
              <w:t xml:space="preserve"> papildināts ar d apakšpunktu</w:t>
            </w:r>
            <w:r>
              <w:rPr>
                <w:rFonts w:eastAsia="Calibri"/>
                <w:bCs/>
                <w:sz w:val="26"/>
                <w:szCs w:val="26"/>
                <w:shd w:val="clear" w:color="auto" w:fill="FFFFFF"/>
              </w:rPr>
              <w:t>.</w:t>
            </w:r>
          </w:p>
          <w:p w14:paraId="23366C89" w14:textId="7489DE28" w:rsidR="00C8235E" w:rsidRPr="00C8235E" w:rsidRDefault="00C8235E" w:rsidP="00C8235E">
            <w:pPr>
              <w:ind w:left="361"/>
              <w:jc w:val="both"/>
              <w:rPr>
                <w:rFonts w:eastAsia="Calibri"/>
                <w:bCs/>
                <w:sz w:val="26"/>
                <w:szCs w:val="26"/>
                <w:shd w:val="clear" w:color="auto" w:fill="FFFFFF"/>
              </w:rPr>
            </w:pPr>
            <w:r>
              <w:rPr>
                <w:rFonts w:eastAsia="Calibri"/>
                <w:bCs/>
                <w:sz w:val="26"/>
                <w:szCs w:val="26"/>
                <w:shd w:val="clear" w:color="auto" w:fill="FFFFFF"/>
              </w:rPr>
              <w:t xml:space="preserve">Tāpat </w:t>
            </w:r>
            <w:r w:rsidRPr="00C8235E">
              <w:rPr>
                <w:rFonts w:eastAsia="Calibri"/>
                <w:bCs/>
                <w:sz w:val="26"/>
                <w:szCs w:val="26"/>
                <w:shd w:val="clear" w:color="auto" w:fill="FFFFFF"/>
              </w:rPr>
              <w:t>esošā likuma norma skaidri nenosaka, kā jārīkojas gadījumā, kad atbalsta programmai pieteiktais darbinieks  tiek nodarbināts pie individuālā komersanta vai saimnieciskās darbības veicēja (</w:t>
            </w:r>
            <w:proofErr w:type="spellStart"/>
            <w:r w:rsidRPr="00C8235E">
              <w:rPr>
                <w:rFonts w:eastAsia="Calibri"/>
                <w:bCs/>
                <w:sz w:val="26"/>
                <w:szCs w:val="26"/>
                <w:shd w:val="clear" w:color="auto" w:fill="FFFFFF"/>
              </w:rPr>
              <w:t>pašnodarbinātā</w:t>
            </w:r>
            <w:proofErr w:type="spellEnd"/>
            <w:r w:rsidRPr="00C8235E">
              <w:rPr>
                <w:rFonts w:eastAsia="Calibri"/>
                <w:bCs/>
                <w:sz w:val="26"/>
                <w:szCs w:val="26"/>
                <w:shd w:val="clear" w:color="auto" w:fill="FFFFFF"/>
              </w:rPr>
              <w:t>) neatkarīgi no tā reģistrācijas komercreģistrā vai uzņēmumu reģistrā, jo individuālajam komersantam nav valdes un fiziskajai personai, kura vienlaikus ir individuālais komersants, nav jābūt noslēgtam darba līgumam.</w:t>
            </w:r>
          </w:p>
          <w:p w14:paraId="79EE8F5E" w14:textId="308CB365" w:rsidR="00C8235E" w:rsidRPr="00C8235E" w:rsidRDefault="00C8235E" w:rsidP="00C8235E">
            <w:pPr>
              <w:ind w:left="361"/>
              <w:jc w:val="both"/>
              <w:rPr>
                <w:rFonts w:eastAsia="Calibri"/>
                <w:bCs/>
                <w:sz w:val="26"/>
                <w:szCs w:val="26"/>
                <w:shd w:val="clear" w:color="auto" w:fill="FFFFFF"/>
              </w:rPr>
            </w:pPr>
            <w:r w:rsidRPr="00C8235E">
              <w:rPr>
                <w:rFonts w:eastAsia="Calibri"/>
                <w:bCs/>
                <w:sz w:val="26"/>
                <w:szCs w:val="26"/>
                <w:shd w:val="clear" w:color="auto" w:fill="FFFFFF"/>
              </w:rPr>
              <w:t xml:space="preserve">Autoratlīdzības līgums ir uzņēmuma līguma veids, jo autora līguma gadījumā vienai no līgumslēdzējpusēm ir jābūt autoram (fiziskā persona, kura rada konkrēto darbu), kas par atlīdzību izstrādā konkrētu ar autortiesībām aizsargātu darbu (autora radošās darbības rezultāts literatūras, zinātnes vai mākslas jomā neatkarīgi no tā izpausmes veida, formas un vērtības </w:t>
            </w:r>
            <w:r>
              <w:rPr>
                <w:rFonts w:eastAsia="Calibri"/>
                <w:bCs/>
                <w:sz w:val="26"/>
                <w:szCs w:val="26"/>
                <w:shd w:val="clear" w:color="auto" w:fill="FFFFFF"/>
              </w:rPr>
              <w:t>Līdz ar to</w:t>
            </w:r>
            <w:r w:rsidRPr="00C8235E">
              <w:rPr>
                <w:rFonts w:eastAsia="Calibri"/>
                <w:bCs/>
                <w:sz w:val="26"/>
                <w:szCs w:val="26"/>
                <w:shd w:val="clear" w:color="auto" w:fill="FFFFFF"/>
              </w:rPr>
              <w:t xml:space="preserve"> Likuma norma šobrīd ierobežo atbalstam pieteikto darbinieku veikt darbības, kas ir autoratlīdzības priekšmets</w:t>
            </w:r>
            <w:r>
              <w:rPr>
                <w:rFonts w:eastAsia="Calibri"/>
                <w:bCs/>
                <w:sz w:val="26"/>
                <w:szCs w:val="26"/>
                <w:shd w:val="clear" w:color="auto" w:fill="FFFFFF"/>
              </w:rPr>
              <w:t>, taču nav pretrunā ar sākotnējo likuma mērķi.</w:t>
            </w:r>
            <w:r w:rsidRPr="00C8235E">
              <w:rPr>
                <w:rFonts w:eastAsia="Calibri"/>
                <w:bCs/>
                <w:sz w:val="26"/>
                <w:szCs w:val="26"/>
                <w:shd w:val="clear" w:color="auto" w:fill="FFFFFF"/>
              </w:rPr>
              <w:t xml:space="preserve"> </w:t>
            </w:r>
          </w:p>
          <w:p w14:paraId="39630D4E" w14:textId="0C0680A8" w:rsidR="00C8235E" w:rsidRPr="00C8235E" w:rsidRDefault="00C8235E" w:rsidP="00030769">
            <w:pPr>
              <w:pStyle w:val="ListParagraph"/>
              <w:widowControl w:val="0"/>
              <w:numPr>
                <w:ilvl w:val="0"/>
                <w:numId w:val="14"/>
              </w:numPr>
              <w:ind w:left="365" w:hanging="5"/>
              <w:jc w:val="both"/>
              <w:rPr>
                <w:rFonts w:ascii="Times New Roman" w:eastAsia="Calibri" w:hAnsi="Times New Roman"/>
                <w:sz w:val="26"/>
                <w:szCs w:val="26"/>
              </w:rPr>
            </w:pPr>
            <w:r w:rsidRPr="00C8235E">
              <w:rPr>
                <w:rFonts w:ascii="Times New Roman" w:eastAsia="Calibri" w:hAnsi="Times New Roman"/>
                <w:sz w:val="26"/>
                <w:szCs w:val="26"/>
              </w:rPr>
              <w:t xml:space="preserve">Ņemot vērā, ka ar projektu palielināts </w:t>
            </w:r>
            <w:proofErr w:type="spellStart"/>
            <w:r w:rsidRPr="00C8235E">
              <w:rPr>
                <w:rFonts w:ascii="Times New Roman" w:eastAsia="Calibri" w:hAnsi="Times New Roman"/>
                <w:sz w:val="26"/>
                <w:szCs w:val="26"/>
              </w:rPr>
              <w:t>jaunuzņēmumu</w:t>
            </w:r>
            <w:proofErr w:type="spellEnd"/>
            <w:r w:rsidRPr="00C8235E">
              <w:rPr>
                <w:rFonts w:ascii="Times New Roman" w:eastAsia="Calibri" w:hAnsi="Times New Roman"/>
                <w:sz w:val="26"/>
                <w:szCs w:val="26"/>
              </w:rPr>
              <w:t xml:space="preserve"> darbības ilgums, likumprojektā tiek paredzēta iespēja pieteikties Likumā noteiktajam atbalstam atkārtoti, ja uzņēmums iepriekšējā atbalsta saņemšanas periodā ir izpildījis visas saistības ar programmas administrējošo iestādi, kā arī joprojām atbilst Likuma 4.pantā noteiktajām prasībām attiecīgi </w:t>
            </w:r>
            <w:r>
              <w:rPr>
                <w:rFonts w:ascii="Times New Roman" w:eastAsia="Calibri" w:hAnsi="Times New Roman"/>
                <w:sz w:val="26"/>
                <w:szCs w:val="26"/>
              </w:rPr>
              <w:t xml:space="preserve">precizēts </w:t>
            </w:r>
            <w:r w:rsidRPr="00C8235E">
              <w:rPr>
                <w:rFonts w:ascii="Times New Roman" w:eastAsia="Calibri" w:hAnsi="Times New Roman"/>
                <w:sz w:val="26"/>
                <w:szCs w:val="26"/>
              </w:rPr>
              <w:t xml:space="preserve">Likuma </w:t>
            </w:r>
            <w:r>
              <w:rPr>
                <w:rFonts w:ascii="Times New Roman" w:eastAsia="Calibri" w:hAnsi="Times New Roman"/>
                <w:sz w:val="26"/>
                <w:szCs w:val="26"/>
              </w:rPr>
              <w:t>11</w:t>
            </w:r>
            <w:r w:rsidRPr="00C8235E">
              <w:rPr>
                <w:rFonts w:ascii="Times New Roman" w:eastAsia="Calibri" w:hAnsi="Times New Roman"/>
                <w:sz w:val="26"/>
                <w:szCs w:val="26"/>
              </w:rPr>
              <w:t>.pants</w:t>
            </w:r>
            <w:r>
              <w:rPr>
                <w:rFonts w:ascii="Times New Roman" w:eastAsia="Calibri" w:hAnsi="Times New Roman"/>
                <w:sz w:val="26"/>
                <w:szCs w:val="26"/>
              </w:rPr>
              <w:t xml:space="preserve">, </w:t>
            </w:r>
            <w:r w:rsidRPr="00C8235E">
              <w:rPr>
                <w:rFonts w:ascii="Times New Roman" w:eastAsia="Calibri" w:hAnsi="Times New Roman"/>
                <w:sz w:val="26"/>
                <w:szCs w:val="26"/>
              </w:rPr>
              <w:t>papildin</w:t>
            </w:r>
            <w:r>
              <w:rPr>
                <w:rFonts w:ascii="Times New Roman" w:eastAsia="Calibri" w:hAnsi="Times New Roman"/>
                <w:sz w:val="26"/>
                <w:szCs w:val="26"/>
              </w:rPr>
              <w:t>o</w:t>
            </w:r>
            <w:r w:rsidRPr="00C8235E">
              <w:rPr>
                <w:rFonts w:ascii="Times New Roman" w:eastAsia="Calibri" w:hAnsi="Times New Roman"/>
                <w:sz w:val="26"/>
                <w:szCs w:val="26"/>
              </w:rPr>
              <w:t xml:space="preserve">t ar </w:t>
            </w:r>
            <w:r>
              <w:rPr>
                <w:rFonts w:ascii="Times New Roman" w:eastAsia="Calibri" w:hAnsi="Times New Roman"/>
                <w:sz w:val="26"/>
                <w:szCs w:val="26"/>
              </w:rPr>
              <w:t xml:space="preserve">otro </w:t>
            </w:r>
            <w:bookmarkStart w:id="4" w:name="_GoBack"/>
            <w:bookmarkEnd w:id="4"/>
            <w:r w:rsidRPr="00C8235E">
              <w:rPr>
                <w:rFonts w:ascii="Times New Roman" w:eastAsia="Calibri" w:hAnsi="Times New Roman"/>
                <w:sz w:val="26"/>
                <w:szCs w:val="26"/>
              </w:rPr>
              <w:t>daļu</w:t>
            </w:r>
            <w:r w:rsidR="00A44103">
              <w:rPr>
                <w:rFonts w:ascii="Times New Roman" w:eastAsia="Calibri" w:hAnsi="Times New Roman"/>
                <w:sz w:val="26"/>
                <w:szCs w:val="26"/>
              </w:rPr>
              <w:t xml:space="preserve"> ar jaunām daļām</w:t>
            </w:r>
            <w:r w:rsidRPr="00C8235E">
              <w:rPr>
                <w:rFonts w:ascii="Times New Roman" w:eastAsia="Calibri" w:hAnsi="Times New Roman"/>
                <w:sz w:val="26"/>
                <w:szCs w:val="26"/>
              </w:rPr>
              <w:t>, kā arī noteikts ierobežojums atbalsta saņemšanai ne ilgāk kā pieciem gadiem</w:t>
            </w:r>
            <w:r>
              <w:rPr>
                <w:rFonts w:ascii="Times New Roman" w:eastAsia="Calibri" w:hAnsi="Times New Roman"/>
                <w:sz w:val="26"/>
                <w:szCs w:val="26"/>
              </w:rPr>
              <w:t>.</w:t>
            </w:r>
          </w:p>
          <w:p w14:paraId="5FB19F4B" w14:textId="6DB42AD7" w:rsidR="00F70E91" w:rsidRPr="0010322E" w:rsidRDefault="00C8235E" w:rsidP="00030769">
            <w:pPr>
              <w:pStyle w:val="ListParagraph"/>
              <w:widowControl w:val="0"/>
              <w:numPr>
                <w:ilvl w:val="0"/>
                <w:numId w:val="12"/>
              </w:numPr>
              <w:tabs>
                <w:tab w:val="left" w:pos="0"/>
              </w:tabs>
              <w:ind w:left="365" w:hanging="6"/>
              <w:jc w:val="both"/>
              <w:rPr>
                <w:rFonts w:ascii="Times New Roman" w:eastAsia="Calibri" w:hAnsi="Times New Roman"/>
                <w:sz w:val="26"/>
                <w:szCs w:val="26"/>
              </w:rPr>
            </w:pPr>
            <w:r>
              <w:rPr>
                <w:rFonts w:ascii="Times New Roman" w:eastAsia="Calibri" w:hAnsi="Times New Roman"/>
                <w:sz w:val="26"/>
                <w:szCs w:val="26"/>
              </w:rPr>
              <w:t xml:space="preserve">Ņemot vērā </w:t>
            </w:r>
            <w:r w:rsidRPr="00C8235E">
              <w:rPr>
                <w:rFonts w:ascii="Times New Roman" w:eastAsia="Calibri" w:hAnsi="Times New Roman"/>
                <w:sz w:val="26"/>
                <w:szCs w:val="26"/>
              </w:rPr>
              <w:t>Vispārīgā datu aizsardzības regula</w:t>
            </w:r>
            <w:r>
              <w:rPr>
                <w:rFonts w:ascii="Times New Roman" w:eastAsia="Calibri" w:hAnsi="Times New Roman"/>
                <w:sz w:val="26"/>
                <w:szCs w:val="26"/>
              </w:rPr>
              <w:t>s prasības, kas spēkā stājās 2018.gada 25.maijā</w:t>
            </w:r>
            <w:r w:rsidR="00030769">
              <w:rPr>
                <w:rFonts w:ascii="Times New Roman" w:eastAsia="Calibri" w:hAnsi="Times New Roman"/>
                <w:sz w:val="26"/>
                <w:szCs w:val="26"/>
              </w:rPr>
              <w:t>,</w:t>
            </w:r>
            <w:r>
              <w:rPr>
                <w:rFonts w:ascii="Times New Roman" w:eastAsia="Calibri" w:hAnsi="Times New Roman"/>
                <w:sz w:val="26"/>
                <w:szCs w:val="26"/>
              </w:rPr>
              <w:t xml:space="preserve"> p</w:t>
            </w:r>
            <w:r w:rsidR="003C2A5E" w:rsidRPr="0010322E">
              <w:rPr>
                <w:rFonts w:ascii="Times New Roman" w:eastAsia="Calibri" w:hAnsi="Times New Roman"/>
                <w:sz w:val="26"/>
                <w:szCs w:val="26"/>
              </w:rPr>
              <w:t>recizēts Likuma 22.pant</w:t>
            </w:r>
            <w:r w:rsidR="00030769">
              <w:rPr>
                <w:rFonts w:ascii="Times New Roman" w:eastAsia="Calibri" w:hAnsi="Times New Roman"/>
                <w:sz w:val="26"/>
                <w:szCs w:val="26"/>
              </w:rPr>
              <w:t>s</w:t>
            </w:r>
            <w:r w:rsidR="003C2A5E" w:rsidRPr="0010322E">
              <w:rPr>
                <w:rFonts w:ascii="Times New Roman" w:eastAsia="Calibri" w:hAnsi="Times New Roman"/>
                <w:sz w:val="26"/>
                <w:szCs w:val="26"/>
              </w:rPr>
              <w:t xml:space="preserve"> atrunājot, kādas ziņas kvalificēto riska kapitāla investoru sarakstā tiek </w:t>
            </w:r>
            <w:r w:rsidR="00030769">
              <w:rPr>
                <w:rFonts w:ascii="Times New Roman" w:eastAsia="Calibri" w:hAnsi="Times New Roman"/>
                <w:sz w:val="26"/>
                <w:szCs w:val="26"/>
              </w:rPr>
              <w:t>publicētas LIAA tīmekļa vietnē</w:t>
            </w:r>
            <w:r w:rsidR="00D3158E" w:rsidRPr="0010322E">
              <w:rPr>
                <w:rFonts w:ascii="Times New Roman" w:eastAsia="Calibri" w:hAnsi="Times New Roman"/>
                <w:sz w:val="26"/>
                <w:szCs w:val="26"/>
              </w:rPr>
              <w:t>.</w:t>
            </w:r>
          </w:p>
        </w:tc>
      </w:tr>
      <w:tr w:rsidR="001832FA" w:rsidRPr="0010322E" w14:paraId="16D4257A" w14:textId="77777777" w:rsidTr="0010322E">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Pr="0010322E" w:rsidRDefault="00D16901">
            <w:pPr>
              <w:jc w:val="center"/>
              <w:rPr>
                <w:sz w:val="26"/>
                <w:szCs w:val="26"/>
              </w:rPr>
            </w:pPr>
            <w:r w:rsidRPr="0010322E">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4DBF28D0" w:rsidR="001832FA" w:rsidRPr="0010322E" w:rsidRDefault="00D16901">
            <w:pPr>
              <w:rPr>
                <w:sz w:val="26"/>
                <w:szCs w:val="26"/>
              </w:rPr>
            </w:pPr>
            <w:r w:rsidRPr="0010322E">
              <w:rPr>
                <w:sz w:val="26"/>
                <w:szCs w:val="26"/>
              </w:rPr>
              <w:t>Projekta izstrādē iesaistītās institūcijas</w:t>
            </w:r>
            <w:r w:rsidR="007E387E" w:rsidRPr="0010322E">
              <w:rPr>
                <w:sz w:val="26"/>
                <w:szCs w:val="26"/>
              </w:rPr>
              <w:t xml:space="preserve"> un kapitālsabiedrības</w:t>
            </w:r>
          </w:p>
        </w:tc>
        <w:tc>
          <w:tcPr>
            <w:tcW w:w="6703"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5482D55E" w:rsidR="001832FA" w:rsidRPr="0010322E" w:rsidRDefault="007F5A33" w:rsidP="007F5A33">
            <w:pPr>
              <w:spacing w:after="120"/>
              <w:jc w:val="both"/>
              <w:rPr>
                <w:sz w:val="26"/>
                <w:szCs w:val="26"/>
              </w:rPr>
            </w:pPr>
            <w:r w:rsidRPr="0010322E">
              <w:rPr>
                <w:sz w:val="26"/>
                <w:szCs w:val="26"/>
              </w:rPr>
              <w:t>Ekonomikas ministrija</w:t>
            </w:r>
            <w:r w:rsidR="0048154D" w:rsidRPr="0010322E">
              <w:rPr>
                <w:sz w:val="26"/>
                <w:szCs w:val="26"/>
              </w:rPr>
              <w:t>, Latvijas Investīciju un attīstības aģentūra.</w:t>
            </w:r>
          </w:p>
        </w:tc>
      </w:tr>
      <w:tr w:rsidR="001832FA" w:rsidRPr="0010322E" w14:paraId="49B8BB96" w14:textId="77777777" w:rsidTr="0010322E">
        <w:tc>
          <w:tcPr>
            <w:tcW w:w="565" w:type="dxa"/>
            <w:tcBorders>
              <w:top w:val="single" w:sz="4" w:space="0" w:color="000000"/>
              <w:left w:val="single" w:sz="4" w:space="0" w:color="000000"/>
              <w:bottom w:val="single" w:sz="4" w:space="0" w:color="auto"/>
              <w:right w:val="single" w:sz="4" w:space="0" w:color="000000"/>
            </w:tcBorders>
            <w:shd w:val="clear" w:color="000000" w:fill="auto"/>
          </w:tcPr>
          <w:p w14:paraId="63AE6CCB" w14:textId="77777777" w:rsidR="001832FA" w:rsidRPr="0010322E" w:rsidRDefault="00D16901">
            <w:pPr>
              <w:jc w:val="center"/>
              <w:rPr>
                <w:sz w:val="26"/>
                <w:szCs w:val="26"/>
              </w:rPr>
            </w:pPr>
            <w:r w:rsidRPr="0010322E">
              <w:rPr>
                <w:sz w:val="26"/>
                <w:szCs w:val="26"/>
              </w:rPr>
              <w:t>4.</w:t>
            </w:r>
          </w:p>
        </w:tc>
        <w:tc>
          <w:tcPr>
            <w:tcW w:w="1799" w:type="dxa"/>
            <w:tcBorders>
              <w:top w:val="single" w:sz="4" w:space="0" w:color="000000"/>
              <w:left w:val="single" w:sz="4" w:space="0" w:color="000000"/>
              <w:bottom w:val="single" w:sz="4" w:space="0" w:color="auto"/>
              <w:right w:val="single" w:sz="4" w:space="0" w:color="000000"/>
            </w:tcBorders>
            <w:shd w:val="clear" w:color="000000" w:fill="auto"/>
          </w:tcPr>
          <w:p w14:paraId="35909FC8" w14:textId="77777777" w:rsidR="001832FA" w:rsidRPr="0010322E" w:rsidRDefault="00D16901">
            <w:pPr>
              <w:rPr>
                <w:sz w:val="26"/>
                <w:szCs w:val="26"/>
              </w:rPr>
            </w:pPr>
            <w:r w:rsidRPr="0010322E">
              <w:rPr>
                <w:sz w:val="26"/>
                <w:szCs w:val="26"/>
              </w:rPr>
              <w:t>Cita informācija</w:t>
            </w:r>
          </w:p>
        </w:tc>
        <w:tc>
          <w:tcPr>
            <w:tcW w:w="6703" w:type="dxa"/>
            <w:tcBorders>
              <w:top w:val="single" w:sz="4" w:space="0" w:color="000000"/>
              <w:left w:val="single" w:sz="4" w:space="0" w:color="000000"/>
              <w:bottom w:val="single" w:sz="4" w:space="0" w:color="auto"/>
              <w:right w:val="single" w:sz="4" w:space="0" w:color="000000"/>
            </w:tcBorders>
            <w:shd w:val="clear" w:color="000000" w:fill="FFFFFF"/>
          </w:tcPr>
          <w:p w14:paraId="084E950D" w14:textId="77777777" w:rsidR="001832FA" w:rsidRPr="0010322E" w:rsidRDefault="00D16901">
            <w:pPr>
              <w:rPr>
                <w:sz w:val="26"/>
                <w:szCs w:val="26"/>
              </w:rPr>
            </w:pPr>
            <w:r w:rsidRPr="0010322E">
              <w:rPr>
                <w:sz w:val="26"/>
                <w:szCs w:val="26"/>
              </w:rPr>
              <w:t>Nav.</w:t>
            </w:r>
          </w:p>
        </w:tc>
      </w:tr>
      <w:tr w:rsidR="0048154D" w:rsidRPr="0010322E" w14:paraId="5AAD000D" w14:textId="77777777" w:rsidTr="0010322E">
        <w:tc>
          <w:tcPr>
            <w:tcW w:w="565" w:type="dxa"/>
            <w:tcBorders>
              <w:top w:val="single" w:sz="4" w:space="0" w:color="auto"/>
              <w:left w:val="nil"/>
              <w:bottom w:val="nil"/>
              <w:right w:val="nil"/>
            </w:tcBorders>
            <w:shd w:val="clear" w:color="000000" w:fill="auto"/>
          </w:tcPr>
          <w:p w14:paraId="7009F047" w14:textId="77777777" w:rsidR="0048154D" w:rsidRPr="0010322E" w:rsidRDefault="0048154D">
            <w:pPr>
              <w:jc w:val="center"/>
              <w:rPr>
                <w:sz w:val="26"/>
                <w:szCs w:val="26"/>
              </w:rPr>
            </w:pPr>
          </w:p>
        </w:tc>
        <w:tc>
          <w:tcPr>
            <w:tcW w:w="1799" w:type="dxa"/>
            <w:tcBorders>
              <w:top w:val="single" w:sz="4" w:space="0" w:color="auto"/>
              <w:left w:val="nil"/>
              <w:bottom w:val="nil"/>
              <w:right w:val="nil"/>
            </w:tcBorders>
            <w:shd w:val="clear" w:color="000000" w:fill="auto"/>
          </w:tcPr>
          <w:p w14:paraId="4853D33F" w14:textId="77777777" w:rsidR="0048154D" w:rsidRPr="0010322E" w:rsidRDefault="0048154D">
            <w:pPr>
              <w:rPr>
                <w:sz w:val="26"/>
                <w:szCs w:val="26"/>
              </w:rPr>
            </w:pPr>
          </w:p>
        </w:tc>
        <w:tc>
          <w:tcPr>
            <w:tcW w:w="6703" w:type="dxa"/>
            <w:tcBorders>
              <w:top w:val="single" w:sz="4" w:space="0" w:color="auto"/>
              <w:left w:val="nil"/>
              <w:bottom w:val="nil"/>
              <w:right w:val="nil"/>
            </w:tcBorders>
            <w:shd w:val="clear" w:color="000000" w:fill="FFFFFF"/>
          </w:tcPr>
          <w:p w14:paraId="49CA4EAB" w14:textId="77777777" w:rsidR="0048154D" w:rsidRPr="0010322E" w:rsidRDefault="0048154D">
            <w:pPr>
              <w:rPr>
                <w:sz w:val="26"/>
                <w:szCs w:val="26"/>
              </w:rPr>
            </w:pPr>
          </w:p>
          <w:p w14:paraId="2BEADDE7" w14:textId="77777777" w:rsidR="00662B23" w:rsidRPr="0010322E" w:rsidRDefault="00662B23">
            <w:pPr>
              <w:rPr>
                <w:sz w:val="26"/>
                <w:szCs w:val="26"/>
              </w:rPr>
            </w:pPr>
          </w:p>
          <w:p w14:paraId="52DBF0AD" w14:textId="7138D25B" w:rsidR="00662B23" w:rsidRPr="0010322E" w:rsidRDefault="00662B23">
            <w:pPr>
              <w:rPr>
                <w:sz w:val="26"/>
                <w:szCs w:val="26"/>
              </w:rPr>
            </w:pPr>
          </w:p>
        </w:tc>
      </w:tr>
    </w:tbl>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47"/>
        <w:gridCol w:w="6066"/>
      </w:tblGrid>
      <w:tr w:rsidR="001832FA" w:rsidRPr="0010322E" w14:paraId="51783097" w14:textId="77777777" w:rsidTr="0048154D">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2A261251" w:rsidR="002A2D7E" w:rsidRPr="0010322E" w:rsidRDefault="00D16901" w:rsidP="00662B23">
            <w:pPr>
              <w:pStyle w:val="ListParagraph"/>
              <w:tabs>
                <w:tab w:val="left" w:pos="2268"/>
                <w:tab w:val="left" w:pos="2410"/>
              </w:tabs>
              <w:ind w:left="873"/>
              <w:contextualSpacing/>
              <w:jc w:val="center"/>
              <w:rPr>
                <w:sz w:val="26"/>
                <w:szCs w:val="26"/>
              </w:rPr>
            </w:pPr>
            <w:r w:rsidRPr="0010322E">
              <w:rPr>
                <w:rFonts w:ascii="Times New Roman" w:hAnsi="Times New Roman"/>
                <w:b/>
                <w:sz w:val="26"/>
                <w:szCs w:val="26"/>
              </w:rPr>
              <w:lastRenderedPageBreak/>
              <w:t>II. Tiesību akta projekta ietekme uz sabiedrību, tautsaimniecības attīstību un administratīvo slogu</w:t>
            </w:r>
          </w:p>
        </w:tc>
      </w:tr>
      <w:tr w:rsidR="001832FA" w:rsidRPr="0010322E" w14:paraId="466055CC"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Pr="0010322E" w:rsidRDefault="00D16901">
            <w:pPr>
              <w:jc w:val="center"/>
              <w:rPr>
                <w:sz w:val="26"/>
                <w:szCs w:val="26"/>
              </w:rPr>
            </w:pPr>
            <w:r w:rsidRPr="0010322E">
              <w:rPr>
                <w:sz w:val="26"/>
                <w:szCs w:val="26"/>
              </w:rPr>
              <w:t>1.</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Pr="0010322E" w:rsidRDefault="00D16901">
            <w:pPr>
              <w:rPr>
                <w:sz w:val="26"/>
                <w:szCs w:val="26"/>
              </w:rPr>
            </w:pPr>
            <w:r w:rsidRPr="0010322E">
              <w:rPr>
                <w:sz w:val="26"/>
                <w:szCs w:val="26"/>
              </w:rPr>
              <w:t xml:space="preserve">Sabiedrības </w:t>
            </w:r>
            <w:proofErr w:type="spellStart"/>
            <w:r w:rsidRPr="0010322E">
              <w:rPr>
                <w:sz w:val="26"/>
                <w:szCs w:val="26"/>
              </w:rPr>
              <w:t>mērķgrupas</w:t>
            </w:r>
            <w:proofErr w:type="spellEnd"/>
            <w:r w:rsidRPr="0010322E">
              <w:rPr>
                <w:sz w:val="26"/>
                <w:szCs w:val="26"/>
              </w:rPr>
              <w:t>,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0FF54E1F" w:rsidR="001832FA" w:rsidRPr="0010322E" w:rsidRDefault="00C557FC">
            <w:pPr>
              <w:pStyle w:val="ListParagraph"/>
              <w:tabs>
                <w:tab w:val="left" w:pos="317"/>
              </w:tabs>
              <w:spacing w:before="60" w:after="60"/>
              <w:ind w:left="34"/>
              <w:contextualSpacing/>
              <w:jc w:val="both"/>
              <w:rPr>
                <w:rFonts w:ascii="Times New Roman" w:hAnsi="Times New Roman"/>
                <w:sz w:val="26"/>
                <w:szCs w:val="26"/>
              </w:rPr>
            </w:pPr>
            <w:r w:rsidRPr="0010322E">
              <w:rPr>
                <w:rFonts w:ascii="Times New Roman" w:hAnsi="Times New Roman"/>
                <w:sz w:val="26"/>
                <w:szCs w:val="26"/>
              </w:rPr>
              <w:t>Likum</w:t>
            </w:r>
            <w:r w:rsidR="00D16901" w:rsidRPr="0010322E">
              <w:rPr>
                <w:rFonts w:ascii="Times New Roman" w:hAnsi="Times New Roman"/>
                <w:sz w:val="26"/>
                <w:szCs w:val="26"/>
              </w:rPr>
              <w:t xml:space="preserve">projekta mērķa grupa ir </w:t>
            </w:r>
            <w:proofErr w:type="spellStart"/>
            <w:r w:rsidRPr="0010322E">
              <w:rPr>
                <w:rFonts w:ascii="Times New Roman" w:hAnsi="Times New Roman"/>
                <w:sz w:val="26"/>
                <w:szCs w:val="26"/>
              </w:rPr>
              <w:t>jaunuzņēmumi</w:t>
            </w:r>
            <w:proofErr w:type="spellEnd"/>
            <w:r w:rsidR="008968EF" w:rsidRPr="0010322E">
              <w:rPr>
                <w:rFonts w:ascii="Times New Roman" w:hAnsi="Times New Roman"/>
                <w:sz w:val="26"/>
                <w:szCs w:val="26"/>
              </w:rPr>
              <w:t>,</w:t>
            </w:r>
            <w:r w:rsidR="00ED2ED7" w:rsidRPr="0010322E">
              <w:rPr>
                <w:rFonts w:ascii="Times New Roman" w:hAnsi="Times New Roman"/>
                <w:sz w:val="26"/>
                <w:szCs w:val="26"/>
              </w:rPr>
              <w:t xml:space="preserve"> un saskaņā ar </w:t>
            </w:r>
            <w:r w:rsidR="00FD5CB2" w:rsidRPr="0010322E">
              <w:rPr>
                <w:rFonts w:ascii="Times New Roman" w:hAnsi="Times New Roman"/>
                <w:sz w:val="26"/>
                <w:szCs w:val="26"/>
              </w:rPr>
              <w:t xml:space="preserve">EM pasūtītā </w:t>
            </w:r>
            <w:r w:rsidR="00D62927" w:rsidRPr="0010322E">
              <w:rPr>
                <w:rFonts w:ascii="Times New Roman" w:hAnsi="Times New Roman"/>
                <w:sz w:val="26"/>
                <w:szCs w:val="26"/>
              </w:rPr>
              <w:t>pētījum</w:t>
            </w:r>
            <w:r w:rsidR="00FD5CB2" w:rsidRPr="0010322E">
              <w:rPr>
                <w:rFonts w:ascii="Times New Roman" w:hAnsi="Times New Roman"/>
                <w:sz w:val="26"/>
                <w:szCs w:val="26"/>
              </w:rPr>
              <w:t>a rezultātiem</w:t>
            </w:r>
            <w:r w:rsidR="00ED2ED7" w:rsidRPr="0010322E">
              <w:rPr>
                <w:rFonts w:ascii="Times New Roman" w:hAnsi="Times New Roman"/>
                <w:sz w:val="26"/>
                <w:szCs w:val="26"/>
              </w:rPr>
              <w:t xml:space="preserve"> Latvijā uz 201</w:t>
            </w:r>
            <w:r w:rsidR="00D62927" w:rsidRPr="0010322E">
              <w:rPr>
                <w:rFonts w:ascii="Times New Roman" w:hAnsi="Times New Roman"/>
                <w:sz w:val="26"/>
                <w:szCs w:val="26"/>
              </w:rPr>
              <w:t>8</w:t>
            </w:r>
            <w:r w:rsidR="00ED2ED7" w:rsidRPr="0010322E">
              <w:rPr>
                <w:rFonts w:ascii="Times New Roman" w:hAnsi="Times New Roman"/>
                <w:sz w:val="26"/>
                <w:szCs w:val="26"/>
              </w:rPr>
              <w:t xml:space="preserve">.gada </w:t>
            </w:r>
            <w:r w:rsidR="00FD5CB2" w:rsidRPr="0010322E">
              <w:rPr>
                <w:rFonts w:ascii="Times New Roman" w:hAnsi="Times New Roman"/>
                <w:sz w:val="26"/>
                <w:szCs w:val="26"/>
              </w:rPr>
              <w:t>beigām</w:t>
            </w:r>
            <w:r w:rsidR="00ED2ED7" w:rsidRPr="0010322E">
              <w:rPr>
                <w:rFonts w:ascii="Times New Roman" w:hAnsi="Times New Roman"/>
                <w:sz w:val="26"/>
                <w:szCs w:val="26"/>
              </w:rPr>
              <w:t xml:space="preserve"> darbojas aptuveni </w:t>
            </w:r>
            <w:r w:rsidR="00FD5CB2" w:rsidRPr="0010322E">
              <w:rPr>
                <w:rFonts w:ascii="Times New Roman" w:hAnsi="Times New Roman"/>
                <w:sz w:val="26"/>
                <w:szCs w:val="26"/>
              </w:rPr>
              <w:t>350</w:t>
            </w:r>
            <w:r w:rsidR="00ED2ED7" w:rsidRPr="0010322E">
              <w:rPr>
                <w:rFonts w:ascii="Times New Roman" w:hAnsi="Times New Roman"/>
                <w:sz w:val="26"/>
                <w:szCs w:val="26"/>
              </w:rPr>
              <w:t xml:space="preserve"> </w:t>
            </w:r>
            <w:proofErr w:type="spellStart"/>
            <w:r w:rsidR="00ED2ED7" w:rsidRPr="0010322E">
              <w:rPr>
                <w:rFonts w:ascii="Times New Roman" w:hAnsi="Times New Roman"/>
                <w:sz w:val="26"/>
                <w:szCs w:val="26"/>
              </w:rPr>
              <w:t>jaunuzņēmumi</w:t>
            </w:r>
            <w:proofErr w:type="spellEnd"/>
            <w:r w:rsidRPr="0010322E">
              <w:rPr>
                <w:rFonts w:ascii="Times New Roman" w:hAnsi="Times New Roman"/>
                <w:sz w:val="26"/>
                <w:szCs w:val="26"/>
              </w:rPr>
              <w:t xml:space="preserve">, </w:t>
            </w:r>
            <w:r w:rsidR="00ED2ED7" w:rsidRPr="0010322E">
              <w:rPr>
                <w:rFonts w:ascii="Times New Roman" w:hAnsi="Times New Roman"/>
                <w:sz w:val="26"/>
                <w:szCs w:val="26"/>
              </w:rPr>
              <w:t xml:space="preserve">kā arī </w:t>
            </w:r>
            <w:r w:rsidRPr="0010322E">
              <w:rPr>
                <w:rFonts w:ascii="Times New Roman" w:hAnsi="Times New Roman"/>
                <w:sz w:val="26"/>
                <w:szCs w:val="26"/>
              </w:rPr>
              <w:t xml:space="preserve">investori, kas veic ieguldījumus </w:t>
            </w:r>
            <w:proofErr w:type="spellStart"/>
            <w:r w:rsidRPr="0010322E">
              <w:rPr>
                <w:rFonts w:ascii="Times New Roman" w:hAnsi="Times New Roman"/>
                <w:sz w:val="26"/>
                <w:szCs w:val="26"/>
              </w:rPr>
              <w:t>jaunuzņēmumos</w:t>
            </w:r>
            <w:proofErr w:type="spellEnd"/>
            <w:r w:rsidRPr="0010322E">
              <w:rPr>
                <w:rFonts w:ascii="Times New Roman" w:hAnsi="Times New Roman"/>
                <w:sz w:val="26"/>
                <w:szCs w:val="26"/>
              </w:rPr>
              <w:t xml:space="preserve"> agrīnās stadijās. </w:t>
            </w:r>
          </w:p>
        </w:tc>
      </w:tr>
      <w:tr w:rsidR="001832FA" w:rsidRPr="0010322E" w14:paraId="72BDBBC1"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Pr="0010322E" w:rsidRDefault="00D16901">
            <w:pPr>
              <w:jc w:val="center"/>
              <w:rPr>
                <w:sz w:val="26"/>
                <w:szCs w:val="26"/>
              </w:rPr>
            </w:pPr>
            <w:r w:rsidRPr="0010322E">
              <w:rPr>
                <w:sz w:val="26"/>
                <w:szCs w:val="26"/>
              </w:rPr>
              <w:t>2.</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Pr="0010322E" w:rsidRDefault="00D16901">
            <w:pPr>
              <w:rPr>
                <w:sz w:val="26"/>
                <w:szCs w:val="26"/>
              </w:rPr>
            </w:pPr>
            <w:r w:rsidRPr="0010322E">
              <w:rPr>
                <w:sz w:val="26"/>
                <w:szCs w:val="26"/>
              </w:rP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2EFD8563" w:rsidR="001832FA" w:rsidRPr="0010322E" w:rsidRDefault="00C557FC">
            <w:pPr>
              <w:pStyle w:val="ListParagraph"/>
              <w:tabs>
                <w:tab w:val="left" w:pos="317"/>
              </w:tabs>
              <w:spacing w:before="60" w:after="60"/>
              <w:ind w:left="34"/>
              <w:contextualSpacing/>
              <w:jc w:val="both"/>
              <w:rPr>
                <w:rFonts w:ascii="Times New Roman" w:hAnsi="Times New Roman"/>
                <w:sz w:val="26"/>
                <w:szCs w:val="26"/>
              </w:rPr>
            </w:pPr>
            <w:r w:rsidRPr="0010322E">
              <w:rPr>
                <w:rFonts w:ascii="Times New Roman" w:hAnsi="Times New Roman"/>
                <w:sz w:val="26"/>
                <w:szCs w:val="26"/>
              </w:rPr>
              <w:t>Likumprojekts</w:t>
            </w:r>
            <w:r w:rsidR="00D16901" w:rsidRPr="0010322E">
              <w:rPr>
                <w:rFonts w:ascii="Times New Roman" w:hAnsi="Times New Roman"/>
                <w:sz w:val="26"/>
                <w:szCs w:val="26"/>
              </w:rPr>
              <w:t xml:space="preserve"> neparedz ietekmi uz administratīvo slogu.. Noteikumu projekts paredz pozitīvu ietekmi uz tautsaimniecību, jo veicinās </w:t>
            </w:r>
            <w:proofErr w:type="spellStart"/>
            <w:r w:rsidRPr="0010322E">
              <w:rPr>
                <w:rFonts w:ascii="Times New Roman" w:hAnsi="Times New Roman"/>
                <w:sz w:val="26"/>
                <w:szCs w:val="26"/>
              </w:rPr>
              <w:t>jaunuzņēmumu</w:t>
            </w:r>
            <w:proofErr w:type="spellEnd"/>
            <w:r w:rsidRPr="0010322E">
              <w:rPr>
                <w:rFonts w:ascii="Times New Roman" w:hAnsi="Times New Roman"/>
                <w:sz w:val="26"/>
                <w:szCs w:val="26"/>
              </w:rPr>
              <w:t xml:space="preserve"> veidošanos</w:t>
            </w:r>
            <w:r w:rsidR="00D16901" w:rsidRPr="0010322E">
              <w:rPr>
                <w:rFonts w:ascii="Times New Roman" w:hAnsi="Times New Roman"/>
                <w:sz w:val="26"/>
                <w:szCs w:val="26"/>
              </w:rPr>
              <w:t xml:space="preserve">. </w:t>
            </w:r>
          </w:p>
        </w:tc>
      </w:tr>
      <w:tr w:rsidR="001832FA" w:rsidRPr="0010322E" w14:paraId="1684CDB0"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Pr="0010322E" w:rsidRDefault="00D16901">
            <w:pPr>
              <w:jc w:val="center"/>
              <w:rPr>
                <w:sz w:val="26"/>
                <w:szCs w:val="26"/>
              </w:rPr>
            </w:pPr>
            <w:r w:rsidRPr="0010322E">
              <w:rPr>
                <w:sz w:val="26"/>
                <w:szCs w:val="26"/>
              </w:rPr>
              <w:t>3.</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Pr="0010322E" w:rsidRDefault="00D16901">
            <w:pPr>
              <w:rPr>
                <w:sz w:val="26"/>
                <w:szCs w:val="26"/>
              </w:rPr>
            </w:pPr>
            <w:r w:rsidRPr="0010322E">
              <w:rPr>
                <w:sz w:val="26"/>
                <w:szCs w:val="26"/>
              </w:rP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5FC61057" w:rsidR="001832FA" w:rsidRPr="0010322E" w:rsidRDefault="00C557FC">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r w:rsidR="00D16901" w:rsidRPr="0010322E">
              <w:rPr>
                <w:rFonts w:ascii="Times New Roman" w:hAnsi="Times New Roman"/>
                <w:sz w:val="26"/>
                <w:szCs w:val="26"/>
              </w:rPr>
              <w:t xml:space="preserve"> </w:t>
            </w:r>
          </w:p>
        </w:tc>
      </w:tr>
      <w:tr w:rsidR="00293A27" w:rsidRPr="0010322E" w14:paraId="438C4853"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102FA64E" w14:textId="7F5C3D5E" w:rsidR="00293A27" w:rsidRPr="0010322E" w:rsidRDefault="00293A27">
            <w:pPr>
              <w:jc w:val="center"/>
              <w:rPr>
                <w:sz w:val="26"/>
                <w:szCs w:val="26"/>
              </w:rPr>
            </w:pPr>
            <w:r w:rsidRPr="0010322E">
              <w:rPr>
                <w:sz w:val="26"/>
                <w:szCs w:val="26"/>
              </w:rPr>
              <w:t>4.</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0F0BAE4B" w14:textId="0061C6BE" w:rsidR="00293A27" w:rsidRPr="0010322E" w:rsidRDefault="00293A27">
            <w:pPr>
              <w:rPr>
                <w:sz w:val="26"/>
                <w:szCs w:val="26"/>
              </w:rPr>
            </w:pPr>
            <w:r w:rsidRPr="0010322E">
              <w:rPr>
                <w:sz w:val="26"/>
                <w:szCs w:val="26"/>
              </w:rPr>
              <w:t>Atbilstības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E2A3050" w14:textId="0D5F481E" w:rsidR="00293A27" w:rsidRPr="0010322E" w:rsidRDefault="00293A27">
            <w:pPr>
              <w:pStyle w:val="ListParagraph"/>
              <w:tabs>
                <w:tab w:val="left" w:pos="317"/>
              </w:tabs>
              <w:spacing w:before="60" w:after="60"/>
              <w:ind w:left="0"/>
              <w:contextualSpacing/>
              <w:jc w:val="both"/>
              <w:rPr>
                <w:rFonts w:ascii="Times New Roman" w:hAnsi="Times New Roman"/>
                <w:sz w:val="26"/>
                <w:szCs w:val="26"/>
              </w:rPr>
            </w:pPr>
            <w:r w:rsidRPr="0010322E">
              <w:rPr>
                <w:rFonts w:ascii="Times New Roman" w:hAnsi="Times New Roman"/>
                <w:sz w:val="26"/>
                <w:szCs w:val="26"/>
              </w:rPr>
              <w:t>Nav attiecināms</w:t>
            </w:r>
          </w:p>
        </w:tc>
      </w:tr>
      <w:tr w:rsidR="001832FA" w:rsidRPr="0010322E" w14:paraId="426EF8C0" w14:textId="77777777" w:rsidTr="0010322E">
        <w:tc>
          <w:tcPr>
            <w:tcW w:w="567"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285E28A3" w:rsidR="001832FA" w:rsidRPr="0010322E" w:rsidRDefault="00293A27">
            <w:pPr>
              <w:jc w:val="center"/>
              <w:rPr>
                <w:sz w:val="26"/>
                <w:szCs w:val="26"/>
              </w:rPr>
            </w:pPr>
            <w:r w:rsidRPr="0010322E">
              <w:rPr>
                <w:sz w:val="26"/>
                <w:szCs w:val="26"/>
              </w:rPr>
              <w:t>5</w:t>
            </w:r>
            <w:r w:rsidR="00D16901" w:rsidRPr="0010322E">
              <w:rPr>
                <w:sz w:val="26"/>
                <w:szCs w:val="26"/>
              </w:rPr>
              <w:t>.</w:t>
            </w:r>
          </w:p>
        </w:tc>
        <w:tc>
          <w:tcPr>
            <w:tcW w:w="2547"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Pr="0010322E" w:rsidRDefault="00D16901">
            <w:pPr>
              <w:rPr>
                <w:sz w:val="26"/>
                <w:szCs w:val="26"/>
              </w:rPr>
            </w:pPr>
            <w:r w:rsidRPr="0010322E">
              <w:rPr>
                <w:sz w:val="26"/>
                <w:szCs w:val="26"/>
              </w:rP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77777777" w:rsidR="001832FA" w:rsidRPr="0010322E" w:rsidRDefault="00D16901">
            <w:pPr>
              <w:pStyle w:val="ListParagraph"/>
              <w:tabs>
                <w:tab w:val="left" w:pos="317"/>
              </w:tabs>
              <w:spacing w:before="60" w:after="60"/>
              <w:ind w:left="34"/>
              <w:contextualSpacing/>
              <w:jc w:val="both"/>
              <w:rPr>
                <w:rFonts w:ascii="Times New Roman" w:hAnsi="Times New Roman"/>
                <w:sz w:val="26"/>
                <w:szCs w:val="26"/>
              </w:rPr>
            </w:pPr>
            <w:r w:rsidRPr="0010322E">
              <w:rPr>
                <w:rFonts w:ascii="Times New Roman" w:hAnsi="Times New Roman"/>
                <w:sz w:val="26"/>
                <w:szCs w:val="26"/>
              </w:rPr>
              <w:t>Nav.</w:t>
            </w:r>
          </w:p>
        </w:tc>
      </w:tr>
    </w:tbl>
    <w:p w14:paraId="3649B86A" w14:textId="77777777" w:rsidR="001832FA" w:rsidRPr="0010322E" w:rsidRDefault="001832FA" w:rsidP="00151DF3">
      <w:pPr>
        <w:ind w:left="720"/>
        <w:jc w:val="both"/>
        <w:rPr>
          <w:sz w:val="26"/>
          <w:szCs w:val="26"/>
        </w:rPr>
      </w:pPr>
    </w:p>
    <w:p w14:paraId="7B81A146" w14:textId="1BD0CABE" w:rsidR="00A23E74" w:rsidRPr="0010322E" w:rsidRDefault="00A23E74" w:rsidP="00151DF3">
      <w:pPr>
        <w:ind w:left="720"/>
        <w:jc w:val="both"/>
        <w:rPr>
          <w:sz w:val="26"/>
          <w:szCs w:val="26"/>
        </w:rPr>
      </w:pPr>
    </w:p>
    <w:tbl>
      <w:tblPr>
        <w:tblStyle w:val="TableGrid"/>
        <w:tblW w:w="9062" w:type="dxa"/>
        <w:tblInd w:w="-5" w:type="dxa"/>
        <w:tblLook w:val="04A0" w:firstRow="1" w:lastRow="0" w:firstColumn="1" w:lastColumn="0" w:noHBand="0" w:noVBand="1"/>
      </w:tblPr>
      <w:tblGrid>
        <w:gridCol w:w="9062"/>
      </w:tblGrid>
      <w:tr w:rsidR="00A23E74" w:rsidRPr="0010322E" w14:paraId="3513C5A7" w14:textId="77777777" w:rsidTr="0053585D">
        <w:tc>
          <w:tcPr>
            <w:tcW w:w="9062" w:type="dxa"/>
          </w:tcPr>
          <w:p w14:paraId="2D97D6AF" w14:textId="28A46F07" w:rsidR="00A23E74" w:rsidRPr="0010322E" w:rsidRDefault="00A23E74" w:rsidP="00085066">
            <w:pPr>
              <w:jc w:val="center"/>
              <w:rPr>
                <w:b/>
                <w:sz w:val="26"/>
                <w:szCs w:val="26"/>
              </w:rPr>
            </w:pPr>
            <w:r w:rsidRPr="0010322E">
              <w:rPr>
                <w:b/>
                <w:sz w:val="26"/>
                <w:szCs w:val="26"/>
              </w:rPr>
              <w:t>III. Tiesību akta projekta ietekme uz valsts budžetu un pašvaldību budžetiem</w:t>
            </w:r>
          </w:p>
        </w:tc>
      </w:tr>
      <w:tr w:rsidR="00A23E74" w:rsidRPr="0010322E" w14:paraId="52E64A44" w14:textId="77777777" w:rsidTr="0053585D">
        <w:tc>
          <w:tcPr>
            <w:tcW w:w="9062" w:type="dxa"/>
          </w:tcPr>
          <w:p w14:paraId="5292557C" w14:textId="77777777" w:rsidR="00A23E74" w:rsidRPr="0010322E" w:rsidRDefault="00A23E74" w:rsidP="00085066">
            <w:pPr>
              <w:jc w:val="center"/>
              <w:rPr>
                <w:sz w:val="26"/>
                <w:szCs w:val="26"/>
              </w:rPr>
            </w:pPr>
            <w:r w:rsidRPr="0010322E">
              <w:rPr>
                <w:sz w:val="26"/>
                <w:szCs w:val="26"/>
              </w:rPr>
              <w:t>Projekts šo jomu neskar</w:t>
            </w:r>
          </w:p>
        </w:tc>
      </w:tr>
    </w:tbl>
    <w:p w14:paraId="6FEE989F" w14:textId="48D00DAE" w:rsidR="00655EED" w:rsidRPr="0010322E" w:rsidRDefault="00655EED" w:rsidP="00151DF3">
      <w:pPr>
        <w:ind w:left="720"/>
        <w:jc w:val="both"/>
        <w:rPr>
          <w:sz w:val="26"/>
          <w:szCs w:val="26"/>
        </w:rPr>
      </w:pPr>
    </w:p>
    <w:tbl>
      <w:tblPr>
        <w:tblW w:w="500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499"/>
        <w:gridCol w:w="6124"/>
      </w:tblGrid>
      <w:tr w:rsidR="006D110C" w:rsidRPr="0010322E" w14:paraId="5A3F1727" w14:textId="77777777" w:rsidTr="0053585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F0712" w14:textId="77777777" w:rsidR="006D110C" w:rsidRPr="0010322E" w:rsidRDefault="006D110C">
            <w:pPr>
              <w:spacing w:line="293" w:lineRule="atLeast"/>
              <w:jc w:val="center"/>
              <w:rPr>
                <w:b/>
                <w:bCs/>
                <w:sz w:val="26"/>
                <w:szCs w:val="26"/>
              </w:rPr>
            </w:pPr>
            <w:r w:rsidRPr="0010322E">
              <w:rPr>
                <w:b/>
                <w:bCs/>
                <w:sz w:val="26"/>
                <w:szCs w:val="26"/>
              </w:rPr>
              <w:t>IV. Tiesību akta projekta ietekme uz spēkā esošo tiesību normu sistēmu</w:t>
            </w:r>
          </w:p>
        </w:tc>
      </w:tr>
      <w:tr w:rsidR="006D110C" w:rsidRPr="0010322E" w14:paraId="50FBE5C8"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4168164C" w14:textId="77777777" w:rsidR="006D110C" w:rsidRPr="0010322E" w:rsidRDefault="006D110C">
            <w:pPr>
              <w:rPr>
                <w:sz w:val="26"/>
                <w:szCs w:val="26"/>
              </w:rPr>
            </w:pPr>
            <w:r w:rsidRPr="0010322E">
              <w:rPr>
                <w:sz w:val="26"/>
                <w:szCs w:val="26"/>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12C475C" w14:textId="62FB8C54" w:rsidR="006D110C" w:rsidRPr="0010322E" w:rsidRDefault="00293A27">
            <w:pPr>
              <w:rPr>
                <w:sz w:val="26"/>
                <w:szCs w:val="26"/>
              </w:rPr>
            </w:pPr>
            <w:r w:rsidRPr="0010322E">
              <w:rPr>
                <w:sz w:val="26"/>
                <w:szCs w:val="26"/>
              </w:rPr>
              <w:t>S</w:t>
            </w:r>
            <w:r w:rsidR="006D110C" w:rsidRPr="0010322E">
              <w:rPr>
                <w:sz w:val="26"/>
                <w:szCs w:val="26"/>
              </w:rPr>
              <w:t>aistītie tiesību aktu projekti</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2ABA87E3" w14:textId="2BA641F3" w:rsidR="006D110C" w:rsidRPr="0010322E" w:rsidRDefault="00B37266" w:rsidP="00030769">
            <w:pPr>
              <w:jc w:val="both"/>
              <w:rPr>
                <w:sz w:val="26"/>
                <w:szCs w:val="26"/>
              </w:rPr>
            </w:pPr>
            <w:r w:rsidRPr="0010322E">
              <w:rPr>
                <w:sz w:val="26"/>
                <w:szCs w:val="26"/>
              </w:rPr>
              <w:t xml:space="preserve">Līdz ar likumprojektā ietverto grozījumu stāšanos spēkā būs </w:t>
            </w:r>
            <w:r w:rsidR="00D62927" w:rsidRPr="0010322E">
              <w:rPr>
                <w:sz w:val="26"/>
                <w:szCs w:val="26"/>
              </w:rPr>
              <w:t xml:space="preserve">nepieciešams </w:t>
            </w:r>
            <w:r w:rsidRPr="0010322E">
              <w:rPr>
                <w:sz w:val="26"/>
                <w:szCs w:val="26"/>
              </w:rPr>
              <w:t>veikt grozījumus Ministru kabineta 2017.gada 7.februāra noteikumos Nr.74 “Jaunuzņēmumu atbalsta programmu pieteikšanas un administrēšanas kārtība”.</w:t>
            </w:r>
          </w:p>
        </w:tc>
      </w:tr>
      <w:tr w:rsidR="006D110C" w:rsidRPr="0010322E" w14:paraId="02149F0A"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AAB0D15" w14:textId="77777777" w:rsidR="006D110C" w:rsidRPr="0010322E" w:rsidRDefault="006D110C">
            <w:pPr>
              <w:rPr>
                <w:sz w:val="26"/>
                <w:szCs w:val="26"/>
              </w:rPr>
            </w:pPr>
            <w:r w:rsidRPr="0010322E">
              <w:rPr>
                <w:sz w:val="26"/>
                <w:szCs w:val="26"/>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F21E041" w14:textId="77777777" w:rsidR="006D110C" w:rsidRPr="0010322E" w:rsidRDefault="006D110C">
            <w:pPr>
              <w:rPr>
                <w:sz w:val="26"/>
                <w:szCs w:val="26"/>
              </w:rPr>
            </w:pPr>
            <w:r w:rsidRPr="0010322E">
              <w:rPr>
                <w:sz w:val="26"/>
                <w:szCs w:val="26"/>
              </w:rPr>
              <w:t>Atbildīgā institūcija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11A50099" w14:textId="7A38BAE1" w:rsidR="006D110C" w:rsidRPr="0010322E" w:rsidRDefault="00B37266">
            <w:pPr>
              <w:rPr>
                <w:sz w:val="26"/>
                <w:szCs w:val="26"/>
              </w:rPr>
            </w:pPr>
            <w:r w:rsidRPr="0010322E">
              <w:rPr>
                <w:sz w:val="26"/>
                <w:szCs w:val="26"/>
              </w:rPr>
              <w:t>Ekonomikas ministrija</w:t>
            </w:r>
          </w:p>
        </w:tc>
      </w:tr>
      <w:tr w:rsidR="006D110C" w:rsidRPr="0010322E" w14:paraId="41DC6BBE" w14:textId="77777777" w:rsidTr="0053585D">
        <w:tc>
          <w:tcPr>
            <w:tcW w:w="239" w:type="pct"/>
            <w:tcBorders>
              <w:top w:val="outset" w:sz="6" w:space="0" w:color="414142"/>
              <w:left w:val="outset" w:sz="6" w:space="0" w:color="414142"/>
              <w:bottom w:val="outset" w:sz="6" w:space="0" w:color="414142"/>
              <w:right w:val="outset" w:sz="6" w:space="0" w:color="414142"/>
            </w:tcBorders>
            <w:shd w:val="clear" w:color="auto" w:fill="FFFFFF"/>
            <w:hideMark/>
          </w:tcPr>
          <w:p w14:paraId="6C25F19C" w14:textId="77777777" w:rsidR="006D110C" w:rsidRPr="0010322E" w:rsidRDefault="006D110C">
            <w:pPr>
              <w:rPr>
                <w:sz w:val="26"/>
                <w:szCs w:val="26"/>
              </w:rPr>
            </w:pPr>
            <w:r w:rsidRPr="0010322E">
              <w:rPr>
                <w:sz w:val="26"/>
                <w:szCs w:val="26"/>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6B2E99C" w14:textId="77777777" w:rsidR="006D110C" w:rsidRPr="0010322E" w:rsidRDefault="006D110C">
            <w:pPr>
              <w:rPr>
                <w:sz w:val="26"/>
                <w:szCs w:val="26"/>
              </w:rPr>
            </w:pPr>
            <w:r w:rsidRPr="0010322E">
              <w:rPr>
                <w:sz w:val="26"/>
                <w:szCs w:val="26"/>
              </w:rPr>
              <w:t>Cita informācija</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01D77627" w14:textId="02218DDA" w:rsidR="006D110C" w:rsidRPr="0010322E" w:rsidRDefault="00B37266">
            <w:pPr>
              <w:spacing w:line="293" w:lineRule="atLeast"/>
              <w:rPr>
                <w:sz w:val="26"/>
                <w:szCs w:val="26"/>
              </w:rPr>
            </w:pPr>
            <w:r w:rsidRPr="0010322E">
              <w:rPr>
                <w:sz w:val="26"/>
                <w:szCs w:val="26"/>
              </w:rPr>
              <w:t>Nav</w:t>
            </w:r>
          </w:p>
        </w:tc>
      </w:tr>
    </w:tbl>
    <w:p w14:paraId="70A9950A" w14:textId="77777777" w:rsidR="00A23E74" w:rsidRPr="0010322E" w:rsidRDefault="00A23E74" w:rsidP="00151DF3">
      <w:pPr>
        <w:ind w:left="720"/>
        <w:jc w:val="both"/>
        <w:rPr>
          <w:sz w:val="26"/>
          <w:szCs w:val="26"/>
        </w:rPr>
      </w:pPr>
    </w:p>
    <w:tbl>
      <w:tblPr>
        <w:tblStyle w:val="TableGrid"/>
        <w:tblW w:w="9062" w:type="dxa"/>
        <w:tblInd w:w="-5" w:type="dxa"/>
        <w:tblLook w:val="04A0" w:firstRow="1" w:lastRow="0" w:firstColumn="1" w:lastColumn="0" w:noHBand="0" w:noVBand="1"/>
      </w:tblPr>
      <w:tblGrid>
        <w:gridCol w:w="9062"/>
      </w:tblGrid>
      <w:tr w:rsidR="00F40EC6" w:rsidRPr="0010322E" w14:paraId="5C6102D8" w14:textId="77777777" w:rsidTr="0053585D">
        <w:tc>
          <w:tcPr>
            <w:tcW w:w="9062" w:type="dxa"/>
          </w:tcPr>
          <w:p w14:paraId="598B9F09" w14:textId="27E81B0A" w:rsidR="00F40EC6" w:rsidRPr="0010322E" w:rsidRDefault="00F40EC6" w:rsidP="00A23E74">
            <w:pPr>
              <w:jc w:val="center"/>
              <w:rPr>
                <w:b/>
                <w:sz w:val="26"/>
                <w:szCs w:val="26"/>
              </w:rPr>
            </w:pPr>
            <w:r w:rsidRPr="0010322E">
              <w:rPr>
                <w:b/>
                <w:sz w:val="26"/>
                <w:szCs w:val="26"/>
              </w:rPr>
              <w:t>V. Tiesību akta projekta atbilstība Latvijas Republikas starptautiskajām saistībām</w:t>
            </w:r>
          </w:p>
        </w:tc>
      </w:tr>
      <w:tr w:rsidR="00F40EC6" w:rsidRPr="0010322E" w14:paraId="594EC645" w14:textId="77777777" w:rsidTr="0053585D">
        <w:tc>
          <w:tcPr>
            <w:tcW w:w="9062" w:type="dxa"/>
          </w:tcPr>
          <w:p w14:paraId="10B70BDD" w14:textId="55AADCC2" w:rsidR="00F40EC6" w:rsidRPr="0010322E" w:rsidRDefault="00F40EC6" w:rsidP="00A23E74">
            <w:pPr>
              <w:jc w:val="center"/>
              <w:rPr>
                <w:sz w:val="26"/>
                <w:szCs w:val="26"/>
              </w:rPr>
            </w:pPr>
            <w:r w:rsidRPr="0010322E">
              <w:rPr>
                <w:sz w:val="26"/>
                <w:szCs w:val="26"/>
              </w:rPr>
              <w:t>Projekts šo jomu neskar</w:t>
            </w:r>
          </w:p>
        </w:tc>
      </w:tr>
    </w:tbl>
    <w:p w14:paraId="58FA24EF" w14:textId="77777777" w:rsidR="00D5175B" w:rsidRPr="0010322E" w:rsidRDefault="00D5175B" w:rsidP="00151DF3">
      <w:pPr>
        <w:ind w:left="720"/>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731"/>
        <w:gridCol w:w="5915"/>
      </w:tblGrid>
      <w:tr w:rsidR="001832FA" w:rsidRPr="0010322E" w14:paraId="37C01228" w14:textId="77777777" w:rsidTr="00662B23">
        <w:trPr>
          <w:trHeight w:val="421"/>
        </w:trPr>
        <w:tc>
          <w:tcPr>
            <w:tcW w:w="9072" w:type="dxa"/>
            <w:gridSpan w:val="3"/>
            <w:vAlign w:val="center"/>
          </w:tcPr>
          <w:p w14:paraId="3948C526"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 Sabiedrības līdzdalība un komunikācijas aktivitātes</w:t>
            </w:r>
          </w:p>
        </w:tc>
      </w:tr>
      <w:tr w:rsidR="001832FA" w:rsidRPr="0010322E" w14:paraId="2EDC4CBF" w14:textId="77777777" w:rsidTr="0010322E">
        <w:trPr>
          <w:trHeight w:val="553"/>
        </w:trPr>
        <w:tc>
          <w:tcPr>
            <w:tcW w:w="426" w:type="dxa"/>
          </w:tcPr>
          <w:p w14:paraId="5E8549B8" w14:textId="77777777" w:rsidR="001832FA" w:rsidRPr="0010322E" w:rsidRDefault="00D16901">
            <w:pPr>
              <w:ind w:left="57" w:right="57"/>
              <w:jc w:val="both"/>
              <w:rPr>
                <w:sz w:val="26"/>
                <w:szCs w:val="26"/>
              </w:rPr>
            </w:pPr>
            <w:r w:rsidRPr="0010322E">
              <w:rPr>
                <w:sz w:val="26"/>
                <w:szCs w:val="26"/>
              </w:rPr>
              <w:t>1.</w:t>
            </w:r>
          </w:p>
        </w:tc>
        <w:tc>
          <w:tcPr>
            <w:tcW w:w="2731" w:type="dxa"/>
          </w:tcPr>
          <w:p w14:paraId="3A69F2BC" w14:textId="77777777" w:rsidR="001832FA" w:rsidRPr="0010322E" w:rsidRDefault="00D16901">
            <w:pPr>
              <w:tabs>
                <w:tab w:val="left" w:pos="170"/>
              </w:tabs>
              <w:ind w:left="57" w:right="57"/>
              <w:rPr>
                <w:sz w:val="26"/>
                <w:szCs w:val="26"/>
              </w:rPr>
            </w:pPr>
            <w:r w:rsidRPr="0010322E">
              <w:rPr>
                <w:sz w:val="26"/>
                <w:szCs w:val="26"/>
              </w:rPr>
              <w:t>Plānotās sabiedrības līdzdalības un komunikācijas aktivitātes saistībā ar projektu</w:t>
            </w:r>
          </w:p>
        </w:tc>
        <w:tc>
          <w:tcPr>
            <w:tcW w:w="5915" w:type="dxa"/>
          </w:tcPr>
          <w:p w14:paraId="0D91D670" w14:textId="5F34EA1F" w:rsidR="001832FA" w:rsidRPr="0010322E" w:rsidRDefault="00A23E74">
            <w:pPr>
              <w:shd w:val="clear" w:color="000000" w:fill="FFFFFF"/>
              <w:spacing w:after="120"/>
              <w:ind w:left="57" w:right="113"/>
              <w:jc w:val="both"/>
              <w:rPr>
                <w:sz w:val="26"/>
                <w:szCs w:val="26"/>
              </w:rPr>
            </w:pPr>
            <w:bookmarkStart w:id="5" w:name="p61"/>
            <w:bookmarkEnd w:id="5"/>
            <w:r w:rsidRPr="0010322E">
              <w:rPr>
                <w:sz w:val="26"/>
                <w:szCs w:val="26"/>
                <w:shd w:val="clear" w:color="000000" w:fill="FFFFFF"/>
              </w:rPr>
              <w:t>Likumprojekts izstrādāts</w:t>
            </w:r>
            <w:r w:rsidR="00FA783E">
              <w:rPr>
                <w:sz w:val="26"/>
                <w:szCs w:val="26"/>
                <w:shd w:val="clear" w:color="000000" w:fill="FFFFFF"/>
              </w:rPr>
              <w:t xml:space="preserve"> pēc konsultācijām</w:t>
            </w:r>
            <w:r w:rsidRPr="0010322E">
              <w:rPr>
                <w:sz w:val="26"/>
                <w:szCs w:val="26"/>
                <w:shd w:val="clear" w:color="000000" w:fill="FFFFFF"/>
              </w:rPr>
              <w:t xml:space="preserve"> ar </w:t>
            </w:r>
            <w:proofErr w:type="spellStart"/>
            <w:r w:rsidRPr="0010322E">
              <w:rPr>
                <w:sz w:val="26"/>
                <w:szCs w:val="26"/>
                <w:shd w:val="clear" w:color="000000" w:fill="FFFFFF"/>
              </w:rPr>
              <w:t>jaunuzņēmumu</w:t>
            </w:r>
            <w:proofErr w:type="spellEnd"/>
            <w:r w:rsidRPr="0010322E">
              <w:rPr>
                <w:sz w:val="26"/>
                <w:szCs w:val="26"/>
                <w:shd w:val="clear" w:color="000000" w:fill="FFFFFF"/>
              </w:rPr>
              <w:t xml:space="preserve"> un riska kapitāla jomas ekspertiem ar mērķi pielāgot likuma normas reālajai nozares praksei. </w:t>
            </w:r>
          </w:p>
        </w:tc>
      </w:tr>
      <w:tr w:rsidR="008C4932" w:rsidRPr="0010322E" w14:paraId="33975480" w14:textId="77777777" w:rsidTr="0010322E">
        <w:trPr>
          <w:trHeight w:val="339"/>
        </w:trPr>
        <w:tc>
          <w:tcPr>
            <w:tcW w:w="426" w:type="dxa"/>
          </w:tcPr>
          <w:p w14:paraId="54790EDB" w14:textId="77777777" w:rsidR="008C4932" w:rsidRPr="0010322E" w:rsidRDefault="008C4932" w:rsidP="008C4932">
            <w:pPr>
              <w:ind w:left="57" w:right="57"/>
              <w:jc w:val="both"/>
              <w:rPr>
                <w:sz w:val="26"/>
                <w:szCs w:val="26"/>
              </w:rPr>
            </w:pPr>
            <w:r w:rsidRPr="0010322E">
              <w:rPr>
                <w:sz w:val="26"/>
                <w:szCs w:val="26"/>
              </w:rPr>
              <w:t>2.</w:t>
            </w:r>
          </w:p>
        </w:tc>
        <w:tc>
          <w:tcPr>
            <w:tcW w:w="2731" w:type="dxa"/>
          </w:tcPr>
          <w:p w14:paraId="433BCEBC" w14:textId="77777777" w:rsidR="008C4932" w:rsidRPr="0010322E" w:rsidRDefault="008C4932" w:rsidP="008C4932">
            <w:pPr>
              <w:ind w:left="57" w:right="57"/>
              <w:rPr>
                <w:sz w:val="26"/>
                <w:szCs w:val="26"/>
              </w:rPr>
            </w:pPr>
            <w:r w:rsidRPr="0010322E">
              <w:rPr>
                <w:sz w:val="26"/>
                <w:szCs w:val="26"/>
              </w:rPr>
              <w:t>Sabiedrības līdzdalība projekta izstrādē</w:t>
            </w:r>
          </w:p>
        </w:tc>
        <w:tc>
          <w:tcPr>
            <w:tcW w:w="5915" w:type="dxa"/>
          </w:tcPr>
          <w:p w14:paraId="6876E0B4" w14:textId="4590BBA1" w:rsidR="008C4932" w:rsidRPr="0010322E" w:rsidRDefault="008C4932" w:rsidP="008C4932">
            <w:pPr>
              <w:shd w:val="clear" w:color="000000" w:fill="FFFFFF"/>
              <w:spacing w:after="120"/>
              <w:ind w:left="57" w:right="113"/>
              <w:jc w:val="both"/>
              <w:rPr>
                <w:sz w:val="26"/>
                <w:szCs w:val="26"/>
                <w:shd w:val="clear" w:color="000000" w:fill="FFFFFF"/>
              </w:rPr>
            </w:pPr>
            <w:bookmarkStart w:id="6" w:name="p62"/>
            <w:bookmarkEnd w:id="6"/>
            <w:r w:rsidRPr="0010322E">
              <w:rPr>
                <w:sz w:val="26"/>
                <w:szCs w:val="26"/>
                <w:shd w:val="clear" w:color="000000" w:fill="FFFFFF"/>
              </w:rPr>
              <w:t xml:space="preserve">Likumprojekts ir izstrādāts, ņemot vērā </w:t>
            </w:r>
            <w:proofErr w:type="spellStart"/>
            <w:r w:rsidRPr="0010322E">
              <w:rPr>
                <w:sz w:val="26"/>
                <w:szCs w:val="26"/>
                <w:shd w:val="clear" w:color="000000" w:fill="FFFFFF"/>
              </w:rPr>
              <w:t>jaunuzņēmumus</w:t>
            </w:r>
            <w:proofErr w:type="spellEnd"/>
            <w:r w:rsidRPr="0010322E">
              <w:rPr>
                <w:sz w:val="26"/>
                <w:szCs w:val="26"/>
                <w:shd w:val="clear" w:color="000000" w:fill="FFFFFF"/>
              </w:rPr>
              <w:t xml:space="preserve"> pārstāvošo organizāciju priekšlikumus, vienlaikus projekts </w:t>
            </w:r>
            <w:r>
              <w:rPr>
                <w:sz w:val="26"/>
                <w:szCs w:val="26"/>
                <w:shd w:val="clear" w:color="000000" w:fill="FFFFFF"/>
              </w:rPr>
              <w:t xml:space="preserve">07.06.2019 </w:t>
            </w:r>
            <w:r w:rsidR="00AA0745">
              <w:rPr>
                <w:sz w:val="26"/>
                <w:szCs w:val="26"/>
                <w:shd w:val="clear" w:color="000000" w:fill="FFFFFF"/>
              </w:rPr>
              <w:t xml:space="preserve">- </w:t>
            </w:r>
            <w:r w:rsidR="00AA0745">
              <w:rPr>
                <w:sz w:val="26"/>
                <w:szCs w:val="26"/>
                <w:shd w:val="clear" w:color="000000" w:fill="FFFFFF"/>
              </w:rPr>
              <w:lastRenderedPageBreak/>
              <w:t xml:space="preserve">21.06.2019 </w:t>
            </w:r>
            <w:r w:rsidRPr="0010322E">
              <w:rPr>
                <w:sz w:val="26"/>
                <w:szCs w:val="26"/>
                <w:shd w:val="clear" w:color="000000" w:fill="FFFFFF"/>
              </w:rPr>
              <w:t>ievietots EM tīmekļa vietnē sabiedriskai apspriešanai.</w:t>
            </w:r>
          </w:p>
        </w:tc>
      </w:tr>
      <w:tr w:rsidR="00C557FC" w:rsidRPr="0010322E" w14:paraId="203766B4" w14:textId="77777777" w:rsidTr="0010322E">
        <w:trPr>
          <w:trHeight w:val="476"/>
        </w:trPr>
        <w:tc>
          <w:tcPr>
            <w:tcW w:w="426" w:type="dxa"/>
          </w:tcPr>
          <w:p w14:paraId="4F9176AF" w14:textId="77777777" w:rsidR="00C557FC" w:rsidRPr="0010322E" w:rsidRDefault="00C557FC" w:rsidP="00C557FC">
            <w:pPr>
              <w:ind w:left="57" w:right="57"/>
              <w:jc w:val="both"/>
              <w:rPr>
                <w:sz w:val="26"/>
                <w:szCs w:val="26"/>
              </w:rPr>
            </w:pPr>
            <w:r w:rsidRPr="0010322E">
              <w:rPr>
                <w:sz w:val="26"/>
                <w:szCs w:val="26"/>
              </w:rPr>
              <w:lastRenderedPageBreak/>
              <w:t>3.</w:t>
            </w:r>
          </w:p>
        </w:tc>
        <w:tc>
          <w:tcPr>
            <w:tcW w:w="2731" w:type="dxa"/>
          </w:tcPr>
          <w:p w14:paraId="1A82FCA8" w14:textId="77777777" w:rsidR="00C557FC" w:rsidRPr="0010322E" w:rsidRDefault="00C557FC" w:rsidP="00C557FC">
            <w:pPr>
              <w:ind w:left="57" w:right="57"/>
              <w:rPr>
                <w:sz w:val="26"/>
                <w:szCs w:val="26"/>
              </w:rPr>
            </w:pPr>
            <w:r w:rsidRPr="0010322E">
              <w:rPr>
                <w:sz w:val="26"/>
                <w:szCs w:val="26"/>
              </w:rPr>
              <w:t>Sabiedrības līdzdalības rezultāti</w:t>
            </w:r>
          </w:p>
        </w:tc>
        <w:tc>
          <w:tcPr>
            <w:tcW w:w="5915" w:type="dxa"/>
          </w:tcPr>
          <w:p w14:paraId="2E236DC8" w14:textId="446EDEB2" w:rsidR="00C557FC" w:rsidRPr="0010322E" w:rsidRDefault="008C4932" w:rsidP="00C557FC">
            <w:pPr>
              <w:shd w:val="clear" w:color="000000" w:fill="FFFFFF"/>
              <w:spacing w:after="120"/>
              <w:ind w:right="113"/>
              <w:jc w:val="both"/>
              <w:rPr>
                <w:sz w:val="26"/>
                <w:szCs w:val="26"/>
                <w:shd w:val="clear" w:color="000000" w:fill="FFFFFF"/>
              </w:rPr>
            </w:pPr>
            <w:r>
              <w:rPr>
                <w:sz w:val="26"/>
                <w:szCs w:val="26"/>
                <w:shd w:val="clear" w:color="000000" w:fill="FFFFFF"/>
              </w:rPr>
              <w:t xml:space="preserve"> Nav saņemti iebildumi par EM izstrādāto projektu.  </w:t>
            </w:r>
          </w:p>
        </w:tc>
      </w:tr>
      <w:tr w:rsidR="00C557FC" w:rsidRPr="0010322E" w14:paraId="28FD52C4" w14:textId="77777777" w:rsidTr="0010322E">
        <w:trPr>
          <w:trHeight w:val="205"/>
        </w:trPr>
        <w:tc>
          <w:tcPr>
            <w:tcW w:w="426" w:type="dxa"/>
          </w:tcPr>
          <w:p w14:paraId="086BC117" w14:textId="77777777" w:rsidR="00C557FC" w:rsidRPr="0010322E" w:rsidRDefault="00C557FC" w:rsidP="00C557FC">
            <w:pPr>
              <w:ind w:left="57" w:right="57"/>
              <w:jc w:val="both"/>
              <w:rPr>
                <w:sz w:val="26"/>
                <w:szCs w:val="26"/>
              </w:rPr>
            </w:pPr>
            <w:r w:rsidRPr="0010322E">
              <w:rPr>
                <w:sz w:val="26"/>
                <w:szCs w:val="26"/>
              </w:rPr>
              <w:t>4.</w:t>
            </w:r>
          </w:p>
        </w:tc>
        <w:tc>
          <w:tcPr>
            <w:tcW w:w="2731" w:type="dxa"/>
          </w:tcPr>
          <w:p w14:paraId="28DB3D97" w14:textId="77777777" w:rsidR="00C557FC" w:rsidRPr="0010322E" w:rsidRDefault="00C557FC" w:rsidP="00C557FC">
            <w:pPr>
              <w:ind w:left="57" w:right="57"/>
              <w:rPr>
                <w:sz w:val="26"/>
                <w:szCs w:val="26"/>
              </w:rPr>
            </w:pPr>
            <w:r w:rsidRPr="0010322E">
              <w:rPr>
                <w:sz w:val="26"/>
                <w:szCs w:val="26"/>
              </w:rPr>
              <w:t>Cita informācija</w:t>
            </w:r>
          </w:p>
        </w:tc>
        <w:tc>
          <w:tcPr>
            <w:tcW w:w="5915" w:type="dxa"/>
          </w:tcPr>
          <w:p w14:paraId="7DD6801A" w14:textId="77777777" w:rsidR="00C557FC" w:rsidRPr="0010322E" w:rsidRDefault="00C557FC" w:rsidP="00C557FC">
            <w:pPr>
              <w:ind w:left="57" w:right="113"/>
              <w:jc w:val="both"/>
              <w:rPr>
                <w:sz w:val="26"/>
                <w:szCs w:val="26"/>
              </w:rPr>
            </w:pPr>
            <w:r w:rsidRPr="0010322E">
              <w:rPr>
                <w:sz w:val="26"/>
                <w:szCs w:val="26"/>
              </w:rPr>
              <w:t>Nav.</w:t>
            </w:r>
          </w:p>
        </w:tc>
      </w:tr>
    </w:tbl>
    <w:p w14:paraId="195D03A5" w14:textId="77777777" w:rsidR="001832FA" w:rsidRPr="0010322E" w:rsidRDefault="001832FA" w:rsidP="00151DF3">
      <w:pPr>
        <w:ind w:left="720"/>
        <w:jc w:val="both"/>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5901"/>
      </w:tblGrid>
      <w:tr w:rsidR="001832FA" w:rsidRPr="0010322E" w14:paraId="1FD26470" w14:textId="77777777" w:rsidTr="00662B23">
        <w:trPr>
          <w:trHeight w:val="421"/>
        </w:trPr>
        <w:tc>
          <w:tcPr>
            <w:tcW w:w="9072" w:type="dxa"/>
            <w:gridSpan w:val="3"/>
            <w:vAlign w:val="center"/>
          </w:tcPr>
          <w:p w14:paraId="59835EA2" w14:textId="77777777" w:rsidR="001832FA" w:rsidRPr="0010322E" w:rsidRDefault="00D16901">
            <w:pPr>
              <w:pStyle w:val="naisnod"/>
              <w:ind w:left="57" w:right="57"/>
              <w:jc w:val="center"/>
              <w:rPr>
                <w:rFonts w:ascii="Times New Roman" w:hAnsi="Times New Roman"/>
                <w:sz w:val="26"/>
                <w:szCs w:val="26"/>
              </w:rPr>
            </w:pPr>
            <w:r w:rsidRPr="0010322E">
              <w:rPr>
                <w:rFonts w:ascii="Times New Roman" w:hAnsi="Times New Roman"/>
                <w:b/>
                <w:sz w:val="26"/>
                <w:szCs w:val="26"/>
              </w:rPr>
              <w:t>VII. Tiesību akta projekta izpildes nodrošināšana un tās ietekme uz institūcijām</w:t>
            </w:r>
          </w:p>
        </w:tc>
      </w:tr>
      <w:tr w:rsidR="001832FA" w:rsidRPr="0010322E" w14:paraId="437F39B1" w14:textId="77777777" w:rsidTr="00662B23">
        <w:trPr>
          <w:trHeight w:val="553"/>
        </w:trPr>
        <w:tc>
          <w:tcPr>
            <w:tcW w:w="333" w:type="dxa"/>
          </w:tcPr>
          <w:p w14:paraId="6563F2A1" w14:textId="77777777" w:rsidR="001832FA" w:rsidRPr="0010322E" w:rsidRDefault="00D16901">
            <w:pPr>
              <w:ind w:left="57" w:right="57"/>
              <w:jc w:val="both"/>
              <w:rPr>
                <w:sz w:val="26"/>
                <w:szCs w:val="26"/>
              </w:rPr>
            </w:pPr>
            <w:r w:rsidRPr="0010322E">
              <w:rPr>
                <w:sz w:val="26"/>
                <w:szCs w:val="26"/>
              </w:rPr>
              <w:t>1.</w:t>
            </w:r>
          </w:p>
        </w:tc>
        <w:tc>
          <w:tcPr>
            <w:tcW w:w="2838" w:type="dxa"/>
          </w:tcPr>
          <w:p w14:paraId="465FF171" w14:textId="77777777" w:rsidR="001832FA" w:rsidRPr="0010322E" w:rsidRDefault="00D16901">
            <w:pPr>
              <w:ind w:left="57" w:right="57"/>
              <w:rPr>
                <w:sz w:val="26"/>
                <w:szCs w:val="26"/>
              </w:rPr>
            </w:pPr>
            <w:r w:rsidRPr="0010322E">
              <w:rPr>
                <w:sz w:val="26"/>
                <w:szCs w:val="26"/>
              </w:rPr>
              <w:t>Projekta izpildē iesaistītās institūcijas</w:t>
            </w:r>
          </w:p>
        </w:tc>
        <w:tc>
          <w:tcPr>
            <w:tcW w:w="5901" w:type="dxa"/>
          </w:tcPr>
          <w:p w14:paraId="69BE458E" w14:textId="7E579CFC" w:rsidR="001832FA" w:rsidRPr="0010322E" w:rsidRDefault="007F5A33">
            <w:pPr>
              <w:shd w:val="clear" w:color="000000" w:fill="FFFFFF"/>
              <w:ind w:left="57" w:right="113"/>
              <w:jc w:val="both"/>
              <w:rPr>
                <w:sz w:val="26"/>
                <w:szCs w:val="26"/>
              </w:rPr>
            </w:pPr>
            <w:r w:rsidRPr="0010322E">
              <w:rPr>
                <w:sz w:val="26"/>
                <w:szCs w:val="26"/>
              </w:rPr>
              <w:t>Ekonomikas ministrija un Latvijas Investīciju un attīstības aģentūra</w:t>
            </w:r>
          </w:p>
        </w:tc>
      </w:tr>
      <w:tr w:rsidR="001832FA" w:rsidRPr="0010322E" w14:paraId="286D8237" w14:textId="77777777" w:rsidTr="00662B23">
        <w:trPr>
          <w:trHeight w:val="339"/>
        </w:trPr>
        <w:tc>
          <w:tcPr>
            <w:tcW w:w="333" w:type="dxa"/>
          </w:tcPr>
          <w:p w14:paraId="02D524BB" w14:textId="77777777" w:rsidR="001832FA" w:rsidRPr="0010322E" w:rsidRDefault="00D16901">
            <w:pPr>
              <w:ind w:left="57" w:right="57"/>
              <w:jc w:val="both"/>
              <w:rPr>
                <w:sz w:val="26"/>
                <w:szCs w:val="26"/>
              </w:rPr>
            </w:pPr>
            <w:r w:rsidRPr="0010322E">
              <w:rPr>
                <w:sz w:val="26"/>
                <w:szCs w:val="26"/>
              </w:rPr>
              <w:t>2.</w:t>
            </w:r>
          </w:p>
        </w:tc>
        <w:tc>
          <w:tcPr>
            <w:tcW w:w="2838" w:type="dxa"/>
          </w:tcPr>
          <w:p w14:paraId="45EEBCDA" w14:textId="77777777" w:rsidR="001832FA" w:rsidRPr="0010322E" w:rsidRDefault="00D16901">
            <w:pPr>
              <w:ind w:left="57" w:right="57"/>
              <w:rPr>
                <w:sz w:val="26"/>
                <w:szCs w:val="26"/>
              </w:rPr>
            </w:pPr>
            <w:r w:rsidRPr="0010322E">
              <w:rPr>
                <w:sz w:val="26"/>
                <w:szCs w:val="26"/>
              </w:rPr>
              <w:t xml:space="preserve">Projekta izpildes ietekme uz pārvaldes funkcijām un institucionālo struktūru. </w:t>
            </w:r>
          </w:p>
          <w:p w14:paraId="72CFC366" w14:textId="77777777" w:rsidR="001832FA" w:rsidRPr="0010322E" w:rsidRDefault="00D16901">
            <w:pPr>
              <w:ind w:left="57" w:right="57"/>
              <w:rPr>
                <w:sz w:val="26"/>
                <w:szCs w:val="26"/>
              </w:rPr>
            </w:pPr>
            <w:r w:rsidRPr="0010322E">
              <w:rPr>
                <w:sz w:val="26"/>
                <w:szCs w:val="26"/>
              </w:rPr>
              <w:t>Jaunu institūciju izveide, esošu institūciju likvidācija vai reorganizācija, to ietekme uz institūcijas cilvēkresursiem</w:t>
            </w:r>
          </w:p>
        </w:tc>
        <w:tc>
          <w:tcPr>
            <w:tcW w:w="5901" w:type="dxa"/>
          </w:tcPr>
          <w:p w14:paraId="2788067C" w14:textId="77777777" w:rsidR="001832FA" w:rsidRPr="0010322E" w:rsidRDefault="00D16901">
            <w:pPr>
              <w:shd w:val="clear" w:color="000000" w:fill="FFFFFF"/>
              <w:ind w:left="57" w:right="113"/>
              <w:jc w:val="both"/>
              <w:rPr>
                <w:sz w:val="26"/>
                <w:szCs w:val="26"/>
              </w:rPr>
            </w:pPr>
            <w:r w:rsidRPr="0010322E">
              <w:rPr>
                <w:sz w:val="26"/>
                <w:szCs w:val="26"/>
              </w:rPr>
              <w:t>Projekts šo jomu neskar.</w:t>
            </w:r>
          </w:p>
        </w:tc>
      </w:tr>
      <w:tr w:rsidR="001832FA" w:rsidRPr="0010322E" w14:paraId="5A2539A9" w14:textId="77777777" w:rsidTr="00662B23">
        <w:trPr>
          <w:trHeight w:val="476"/>
        </w:trPr>
        <w:tc>
          <w:tcPr>
            <w:tcW w:w="333" w:type="dxa"/>
          </w:tcPr>
          <w:p w14:paraId="0C29302E" w14:textId="77777777" w:rsidR="001832FA" w:rsidRPr="0010322E" w:rsidRDefault="00D16901">
            <w:pPr>
              <w:ind w:left="57" w:right="57"/>
              <w:jc w:val="both"/>
              <w:rPr>
                <w:sz w:val="26"/>
                <w:szCs w:val="26"/>
              </w:rPr>
            </w:pPr>
            <w:r w:rsidRPr="0010322E">
              <w:rPr>
                <w:sz w:val="26"/>
                <w:szCs w:val="26"/>
              </w:rPr>
              <w:t>3.</w:t>
            </w:r>
          </w:p>
        </w:tc>
        <w:tc>
          <w:tcPr>
            <w:tcW w:w="2838" w:type="dxa"/>
          </w:tcPr>
          <w:p w14:paraId="232A1108" w14:textId="77777777" w:rsidR="001832FA" w:rsidRPr="0010322E" w:rsidRDefault="00D16901">
            <w:pPr>
              <w:ind w:left="57" w:right="57"/>
              <w:rPr>
                <w:sz w:val="26"/>
                <w:szCs w:val="26"/>
              </w:rPr>
            </w:pPr>
            <w:r w:rsidRPr="0010322E">
              <w:rPr>
                <w:sz w:val="26"/>
                <w:szCs w:val="26"/>
              </w:rPr>
              <w:t>Cita informācija</w:t>
            </w:r>
          </w:p>
        </w:tc>
        <w:tc>
          <w:tcPr>
            <w:tcW w:w="5901" w:type="dxa"/>
          </w:tcPr>
          <w:p w14:paraId="1FDC1BDA" w14:textId="77777777" w:rsidR="001832FA" w:rsidRPr="0010322E" w:rsidRDefault="00D16901">
            <w:pPr>
              <w:shd w:val="clear" w:color="000000" w:fill="FFFFFF"/>
              <w:ind w:left="57" w:right="113"/>
              <w:jc w:val="both"/>
              <w:rPr>
                <w:sz w:val="26"/>
                <w:szCs w:val="26"/>
              </w:rPr>
            </w:pPr>
            <w:r w:rsidRPr="0010322E">
              <w:rPr>
                <w:sz w:val="26"/>
                <w:szCs w:val="26"/>
              </w:rPr>
              <w:t xml:space="preserve">Nav. </w:t>
            </w:r>
          </w:p>
        </w:tc>
      </w:tr>
    </w:tbl>
    <w:p w14:paraId="5E391898" w14:textId="77777777" w:rsidR="00D62927" w:rsidRPr="0010322E" w:rsidRDefault="00D62927" w:rsidP="00151DF3">
      <w:pPr>
        <w:ind w:left="720"/>
        <w:jc w:val="both"/>
        <w:rPr>
          <w:sz w:val="26"/>
          <w:szCs w:val="26"/>
        </w:rPr>
      </w:pPr>
    </w:p>
    <w:p w14:paraId="59525E3D" w14:textId="77777777" w:rsidR="00451169" w:rsidRDefault="00451169" w:rsidP="0010322E">
      <w:pPr>
        <w:jc w:val="both"/>
        <w:rPr>
          <w:b/>
          <w:sz w:val="26"/>
          <w:szCs w:val="26"/>
        </w:rPr>
      </w:pPr>
    </w:p>
    <w:p w14:paraId="4A81F225" w14:textId="77777777" w:rsidR="00451169" w:rsidRDefault="00451169" w:rsidP="0010322E">
      <w:pPr>
        <w:jc w:val="both"/>
        <w:rPr>
          <w:b/>
          <w:sz w:val="26"/>
          <w:szCs w:val="26"/>
        </w:rPr>
      </w:pPr>
    </w:p>
    <w:p w14:paraId="5324317F" w14:textId="47F62F50" w:rsidR="00451169" w:rsidRDefault="00451169" w:rsidP="0010322E">
      <w:pPr>
        <w:jc w:val="both"/>
        <w:rPr>
          <w:b/>
          <w:sz w:val="26"/>
          <w:szCs w:val="26"/>
        </w:rPr>
      </w:pPr>
      <w:r>
        <w:rPr>
          <w:b/>
          <w:sz w:val="26"/>
          <w:szCs w:val="26"/>
        </w:rPr>
        <w:t>Iesniedzējs:</w:t>
      </w:r>
    </w:p>
    <w:p w14:paraId="03E6D3F5" w14:textId="1F427236" w:rsidR="001832FA" w:rsidRPr="0010322E" w:rsidRDefault="00D62927" w:rsidP="0010322E">
      <w:pPr>
        <w:jc w:val="both"/>
        <w:rPr>
          <w:b/>
          <w:sz w:val="26"/>
          <w:szCs w:val="26"/>
        </w:rPr>
      </w:pPr>
      <w:r w:rsidRPr="0010322E">
        <w:rPr>
          <w:b/>
          <w:sz w:val="26"/>
          <w:szCs w:val="26"/>
        </w:rPr>
        <w:t>E</w:t>
      </w:r>
      <w:r w:rsidR="00D16901" w:rsidRPr="0010322E">
        <w:rPr>
          <w:b/>
          <w:sz w:val="26"/>
          <w:szCs w:val="26"/>
        </w:rPr>
        <w:t>konomikas ministrs</w:t>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r w:rsidR="00D16901" w:rsidRPr="0010322E">
        <w:rPr>
          <w:b/>
          <w:sz w:val="26"/>
          <w:szCs w:val="26"/>
        </w:rPr>
        <w:tab/>
      </w:r>
      <w:proofErr w:type="spellStart"/>
      <w:r w:rsidRPr="0010322E">
        <w:rPr>
          <w:b/>
          <w:sz w:val="26"/>
          <w:szCs w:val="26"/>
        </w:rPr>
        <w:t>R.Nemiro</w:t>
      </w:r>
      <w:proofErr w:type="spellEnd"/>
    </w:p>
    <w:p w14:paraId="3FB69A1B" w14:textId="77777777" w:rsidR="001832FA" w:rsidRPr="0010322E" w:rsidRDefault="001832FA" w:rsidP="0010322E">
      <w:pPr>
        <w:jc w:val="both"/>
        <w:rPr>
          <w:b/>
          <w:sz w:val="26"/>
          <w:szCs w:val="26"/>
        </w:rPr>
      </w:pPr>
    </w:p>
    <w:p w14:paraId="5B42C9C9" w14:textId="77777777" w:rsidR="001832FA" w:rsidRPr="0010322E" w:rsidRDefault="00D16901" w:rsidP="0010322E">
      <w:pPr>
        <w:jc w:val="both"/>
        <w:rPr>
          <w:b/>
          <w:sz w:val="26"/>
          <w:szCs w:val="26"/>
        </w:rPr>
      </w:pPr>
      <w:r w:rsidRPr="0010322E">
        <w:rPr>
          <w:b/>
          <w:sz w:val="26"/>
          <w:szCs w:val="26"/>
        </w:rPr>
        <w:t>Vīza:</w:t>
      </w:r>
    </w:p>
    <w:p w14:paraId="487CE670" w14:textId="358E640C" w:rsidR="001832FA" w:rsidRPr="0010322E" w:rsidRDefault="00D16901" w:rsidP="0010322E">
      <w:pPr>
        <w:jc w:val="both"/>
        <w:rPr>
          <w:b/>
          <w:sz w:val="26"/>
          <w:szCs w:val="26"/>
        </w:rPr>
      </w:pPr>
      <w:r w:rsidRPr="0010322E">
        <w:rPr>
          <w:b/>
          <w:sz w:val="26"/>
          <w:szCs w:val="26"/>
        </w:rPr>
        <w:t>V</w:t>
      </w:r>
      <w:r w:rsidR="00F34326" w:rsidRPr="0010322E">
        <w:rPr>
          <w:b/>
          <w:sz w:val="26"/>
          <w:szCs w:val="26"/>
        </w:rPr>
        <w:t>alsts sekretārs</w:t>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F34326" w:rsidRPr="0010322E">
        <w:rPr>
          <w:b/>
          <w:sz w:val="26"/>
          <w:szCs w:val="26"/>
        </w:rPr>
        <w:tab/>
      </w:r>
      <w:r w:rsidR="0010322E" w:rsidRPr="0010322E">
        <w:rPr>
          <w:b/>
          <w:sz w:val="26"/>
          <w:szCs w:val="26"/>
        </w:rPr>
        <w:tab/>
      </w:r>
      <w:proofErr w:type="spellStart"/>
      <w:r w:rsidR="00664216" w:rsidRPr="0010322E">
        <w:rPr>
          <w:b/>
          <w:sz w:val="26"/>
          <w:szCs w:val="26"/>
        </w:rPr>
        <w:t>Ē.Eglītis</w:t>
      </w:r>
      <w:proofErr w:type="spellEnd"/>
      <w:r w:rsidRPr="0010322E">
        <w:rPr>
          <w:b/>
          <w:sz w:val="26"/>
          <w:szCs w:val="26"/>
        </w:rPr>
        <w:tab/>
      </w:r>
    </w:p>
    <w:p w14:paraId="212A0722" w14:textId="1BB584D7" w:rsidR="00F34326" w:rsidRPr="0010322E" w:rsidRDefault="00F34326" w:rsidP="0010322E">
      <w:pPr>
        <w:rPr>
          <w:sz w:val="26"/>
          <w:szCs w:val="26"/>
        </w:rPr>
      </w:pPr>
    </w:p>
    <w:p w14:paraId="1DB5E0DC" w14:textId="65801D9A" w:rsidR="00662B23" w:rsidRPr="0010322E" w:rsidRDefault="00662B23" w:rsidP="00151DF3">
      <w:pPr>
        <w:ind w:left="720"/>
        <w:rPr>
          <w:sz w:val="26"/>
          <w:szCs w:val="26"/>
        </w:rPr>
      </w:pPr>
    </w:p>
    <w:p w14:paraId="3FEC1A9C" w14:textId="243CCA1E" w:rsidR="002A2D7E" w:rsidRDefault="002A2D7E" w:rsidP="0010322E">
      <w:pPr>
        <w:rPr>
          <w:noProof/>
          <w:sz w:val="18"/>
          <w:szCs w:val="18"/>
        </w:rPr>
      </w:pPr>
    </w:p>
    <w:p w14:paraId="4B229546" w14:textId="77777777" w:rsidR="00030769" w:rsidRPr="0010322E" w:rsidRDefault="00030769" w:rsidP="0010322E">
      <w:pPr>
        <w:rPr>
          <w:noProof/>
          <w:sz w:val="18"/>
          <w:szCs w:val="18"/>
        </w:rPr>
      </w:pPr>
    </w:p>
    <w:p w14:paraId="3ACEADEA" w14:textId="654A5A3C" w:rsidR="002A2D7E" w:rsidRPr="0010322E" w:rsidRDefault="002A2D7E" w:rsidP="0010322E">
      <w:pPr>
        <w:rPr>
          <w:noProof/>
          <w:sz w:val="18"/>
          <w:szCs w:val="18"/>
        </w:rPr>
      </w:pPr>
      <w:r w:rsidRPr="0010322E">
        <w:rPr>
          <w:noProof/>
          <w:sz w:val="18"/>
          <w:szCs w:val="18"/>
        </w:rPr>
        <w:t>Madara Ambrēna, 67013061</w:t>
      </w:r>
    </w:p>
    <w:p w14:paraId="70749E2A" w14:textId="404EE112" w:rsidR="002A2D7E" w:rsidRPr="0010322E" w:rsidRDefault="00FA783E" w:rsidP="0010322E">
      <w:pPr>
        <w:rPr>
          <w:sz w:val="18"/>
          <w:szCs w:val="18"/>
        </w:rPr>
      </w:pPr>
      <w:hyperlink r:id="rId8" w:history="1">
        <w:r w:rsidR="002A2D7E" w:rsidRPr="0010322E">
          <w:rPr>
            <w:rStyle w:val="Hyperlink"/>
            <w:rFonts w:ascii="Times New Roman" w:hAnsi="Times New Roman"/>
            <w:noProof/>
            <w:sz w:val="18"/>
            <w:szCs w:val="18"/>
          </w:rPr>
          <w:t>madara.ambrena@em.gov.lv</w:t>
        </w:r>
      </w:hyperlink>
      <w:r w:rsidR="002A2D7E" w:rsidRPr="0010322E">
        <w:rPr>
          <w:noProof/>
          <w:sz w:val="18"/>
          <w:szCs w:val="18"/>
        </w:rPr>
        <w:t xml:space="preserve"> </w:t>
      </w:r>
    </w:p>
    <w:p w14:paraId="43D5DAA0" w14:textId="2A2B9160" w:rsidR="0069474B" w:rsidRPr="0010322E" w:rsidRDefault="0069474B" w:rsidP="0010322E">
      <w:pPr>
        <w:rPr>
          <w:sz w:val="26"/>
          <w:szCs w:val="26"/>
        </w:rPr>
      </w:pPr>
    </w:p>
    <w:sectPr w:rsidR="0069474B" w:rsidRPr="0010322E" w:rsidSect="00F7337F">
      <w:headerReference w:type="default" r:id="rId9"/>
      <w:footerReference w:type="even" r:id="rId10"/>
      <w:footerReference w:type="default" r:id="rId11"/>
      <w:headerReference w:type="first" r:id="rId12"/>
      <w:footerReference w:type="first" r:id="rId13"/>
      <w:pgSz w:w="11906" w:h="16838"/>
      <w:pgMar w:top="1135" w:right="1133" w:bottom="1134" w:left="1701" w:header="45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EDFD" w14:textId="77777777" w:rsidR="00C878DC" w:rsidRDefault="00C878DC">
      <w:r>
        <w:separator/>
      </w:r>
    </w:p>
  </w:endnote>
  <w:endnote w:type="continuationSeparator" w:id="0">
    <w:p w14:paraId="3F24104D" w14:textId="77777777" w:rsidR="00C878DC" w:rsidRDefault="00C8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9819" w14:textId="77777777" w:rsidR="00F21887" w:rsidRDefault="00F21887">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8970" w14:textId="6E466FF8" w:rsidR="00F21887" w:rsidRPr="00655EED" w:rsidRDefault="00FA783E" w:rsidP="00655EED">
    <w:pPr>
      <w:pStyle w:val="Footer"/>
    </w:pPr>
    <w:r>
      <w:fldChar w:fldCharType="begin"/>
    </w:r>
    <w:r>
      <w:instrText xml:space="preserve"> FILENAME   \* MERGEFORMAT </w:instrText>
    </w:r>
    <w:r>
      <w:fldChar w:fldCharType="separate"/>
    </w:r>
    <w:r w:rsidR="00451169">
      <w:rPr>
        <w:noProof/>
      </w:rPr>
      <w:t>EMAnot_200619_startup.docx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EE6" w14:textId="57DB7CBC" w:rsidR="00F21887" w:rsidRPr="00CB79F4" w:rsidRDefault="00A44103" w:rsidP="00CB79F4">
    <w:pPr>
      <w:pStyle w:val="Footer"/>
    </w:pPr>
    <w:fldSimple w:instr=" FILENAME   \* MERGEFORMAT ">
      <w:r w:rsidR="00451169">
        <w:rPr>
          <w:noProof/>
        </w:rPr>
        <w:t>EMAnot_200619_startup.docx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8B997" w14:textId="77777777" w:rsidR="00C878DC" w:rsidRDefault="00C878DC">
      <w:r>
        <w:separator/>
      </w:r>
    </w:p>
  </w:footnote>
  <w:footnote w:type="continuationSeparator" w:id="0">
    <w:p w14:paraId="7D489918" w14:textId="77777777" w:rsidR="00C878DC" w:rsidRDefault="00C878DC">
      <w:r>
        <w:continuationSeparator/>
      </w:r>
    </w:p>
  </w:footnote>
  <w:footnote w:id="1">
    <w:p w14:paraId="08B585AE" w14:textId="129248CF" w:rsidR="00D76C64" w:rsidRPr="00AE1B30" w:rsidRDefault="00D76C64" w:rsidP="004E48E5">
      <w:pPr>
        <w:pStyle w:val="FootnoteText"/>
        <w:jc w:val="both"/>
        <w:rPr>
          <w:rFonts w:ascii="Times New Roman" w:hAnsi="Times New Roman"/>
        </w:rPr>
      </w:pPr>
      <w:r w:rsidRPr="00AE1B30">
        <w:rPr>
          <w:rStyle w:val="FootnoteReference"/>
          <w:rFonts w:ascii="Times New Roman" w:hAnsi="Times New Roman"/>
          <w:sz w:val="18"/>
        </w:rPr>
        <w:footnoteRef/>
      </w:r>
      <w:r w:rsidRPr="00AE1B30">
        <w:rPr>
          <w:rFonts w:ascii="Times New Roman" w:hAnsi="Times New Roman"/>
          <w:sz w:val="18"/>
        </w:rPr>
        <w:t xml:space="preserve"> SIA “</w:t>
      </w:r>
      <w:proofErr w:type="spellStart"/>
      <w:r w:rsidRPr="00AE1B30">
        <w:rPr>
          <w:rFonts w:ascii="Times New Roman" w:hAnsi="Times New Roman"/>
          <w:sz w:val="18"/>
        </w:rPr>
        <w:t>Gateway</w:t>
      </w:r>
      <w:proofErr w:type="spellEnd"/>
      <w:r w:rsidRPr="00AE1B30">
        <w:rPr>
          <w:rFonts w:ascii="Times New Roman" w:hAnsi="Times New Roman"/>
          <w:sz w:val="18"/>
        </w:rPr>
        <w:t xml:space="preserve"> </w:t>
      </w:r>
      <w:proofErr w:type="spellStart"/>
      <w:r w:rsidRPr="00AE1B30">
        <w:rPr>
          <w:rFonts w:ascii="Times New Roman" w:hAnsi="Times New Roman"/>
          <w:sz w:val="18"/>
        </w:rPr>
        <w:t>Baltic</w:t>
      </w:r>
      <w:proofErr w:type="spellEnd"/>
      <w:r w:rsidRPr="00AE1B30">
        <w:rPr>
          <w:rFonts w:ascii="Times New Roman" w:hAnsi="Times New Roman"/>
          <w:sz w:val="18"/>
        </w:rPr>
        <w:t xml:space="preserve">” pētījums “Latvijas </w:t>
      </w:r>
      <w:proofErr w:type="spellStart"/>
      <w:r w:rsidRPr="00AE1B30">
        <w:rPr>
          <w:rFonts w:ascii="Times New Roman" w:hAnsi="Times New Roman"/>
          <w:sz w:val="18"/>
        </w:rPr>
        <w:t>jaunuzņēmumu</w:t>
      </w:r>
      <w:proofErr w:type="spellEnd"/>
      <w:r w:rsidRPr="00AE1B30">
        <w:rPr>
          <w:rFonts w:ascii="Times New Roman" w:hAnsi="Times New Roman"/>
          <w:sz w:val="18"/>
        </w:rPr>
        <w:t xml:space="preserve"> ekosistēmas novērtēšana, pašreizējā stāvokļa identificēšana un uz tās balstītu priekšlikumu izstrāde”, kas sagatavots saskaņā ar iepirkuma “Latvijas </w:t>
      </w:r>
      <w:proofErr w:type="spellStart"/>
      <w:r w:rsidRPr="00AE1B30">
        <w:rPr>
          <w:rFonts w:ascii="Times New Roman" w:hAnsi="Times New Roman"/>
          <w:sz w:val="18"/>
        </w:rPr>
        <w:t>jaunuzņēmumu</w:t>
      </w:r>
      <w:proofErr w:type="spellEnd"/>
      <w:r w:rsidRPr="00AE1B30">
        <w:rPr>
          <w:rFonts w:ascii="Times New Roman" w:hAnsi="Times New Roman"/>
          <w:sz w:val="18"/>
        </w:rPr>
        <w:t xml:space="preserve"> ekosistēmas novērtēšana, pašreizējā stāvokļa identificēšana un uz tās balstītu priekšlikumu izstrāde”</w:t>
      </w:r>
      <w:r w:rsidR="00880C75">
        <w:rPr>
          <w:rFonts w:ascii="Times New Roman" w:hAnsi="Times New Roman"/>
          <w:sz w:val="18"/>
        </w:rPr>
        <w:t xml:space="preserve">. </w:t>
      </w:r>
      <w:r w:rsidR="00AE1B30">
        <w:rPr>
          <w:rFonts w:ascii="Times New Roman" w:hAnsi="Times New Roman"/>
          <w:sz w:val="18"/>
        </w:rPr>
        <w:t xml:space="preserve">Pieejams: </w:t>
      </w:r>
      <w:hyperlink r:id="rId1" w:history="1">
        <w:r w:rsidR="009C0CA1" w:rsidRPr="00042AF5">
          <w:rPr>
            <w:rStyle w:val="Hyperlink"/>
            <w:rFonts w:ascii="Times New Roman" w:hAnsi="Times New Roman"/>
            <w:sz w:val="18"/>
          </w:rPr>
          <w:t>https://em.gov.lv/files/attachments/2019-03-27_11_46_18_Jaunuznemumu_petijums.pdf</w:t>
        </w:r>
      </w:hyperlink>
      <w:r w:rsidR="009C0CA1">
        <w:rPr>
          <w:rFonts w:ascii="Times New Roman" w:hAnsi="Times New Roman"/>
          <w:sz w:val="18"/>
        </w:rPr>
        <w:t xml:space="preserve"> </w:t>
      </w:r>
    </w:p>
  </w:footnote>
  <w:footnote w:id="2">
    <w:p w14:paraId="732B13B5" w14:textId="2198B5D9" w:rsidR="009C0CA1" w:rsidRPr="009C0CA1" w:rsidRDefault="009C0CA1">
      <w:pPr>
        <w:pStyle w:val="FootnoteText"/>
        <w:rPr>
          <w:rFonts w:ascii="Times New Roman" w:hAnsi="Times New Roman"/>
        </w:rPr>
      </w:pPr>
      <w:r w:rsidRPr="009C0CA1">
        <w:rPr>
          <w:rStyle w:val="FootnoteReference"/>
          <w:rFonts w:ascii="Times New Roman" w:hAnsi="Times New Roman"/>
          <w:sz w:val="18"/>
        </w:rPr>
        <w:footnoteRef/>
      </w:r>
      <w:r w:rsidRPr="009C0CA1">
        <w:rPr>
          <w:rFonts w:ascii="Times New Roman" w:hAnsi="Times New Roman"/>
          <w:sz w:val="18"/>
        </w:rPr>
        <w:t xml:space="preserve"> </w:t>
      </w:r>
      <w:r w:rsidR="00880C75" w:rsidRPr="00AE1B30">
        <w:rPr>
          <w:rFonts w:ascii="Times New Roman" w:hAnsi="Times New Roman"/>
          <w:sz w:val="18"/>
        </w:rPr>
        <w:t>SIA “</w:t>
      </w:r>
      <w:proofErr w:type="spellStart"/>
      <w:r w:rsidR="00880C75" w:rsidRPr="00AE1B30">
        <w:rPr>
          <w:rFonts w:ascii="Times New Roman" w:hAnsi="Times New Roman"/>
          <w:sz w:val="18"/>
        </w:rPr>
        <w:t>Gateway</w:t>
      </w:r>
      <w:proofErr w:type="spellEnd"/>
      <w:r w:rsidR="00880C75" w:rsidRPr="00AE1B30">
        <w:rPr>
          <w:rFonts w:ascii="Times New Roman" w:hAnsi="Times New Roman"/>
          <w:sz w:val="18"/>
        </w:rPr>
        <w:t xml:space="preserve"> </w:t>
      </w:r>
      <w:proofErr w:type="spellStart"/>
      <w:r w:rsidR="00880C75" w:rsidRPr="00AE1B30">
        <w:rPr>
          <w:rFonts w:ascii="Times New Roman" w:hAnsi="Times New Roman"/>
          <w:sz w:val="18"/>
        </w:rPr>
        <w:t>Baltic</w:t>
      </w:r>
      <w:proofErr w:type="spellEnd"/>
      <w:r w:rsidR="00880C75" w:rsidRPr="00AE1B30">
        <w:rPr>
          <w:rFonts w:ascii="Times New Roman" w:hAnsi="Times New Roman"/>
          <w:sz w:val="18"/>
        </w:rPr>
        <w:t xml:space="preserve">” pētījums “Latvijas </w:t>
      </w:r>
      <w:proofErr w:type="spellStart"/>
      <w:r w:rsidR="00880C75" w:rsidRPr="00AE1B30">
        <w:rPr>
          <w:rFonts w:ascii="Times New Roman" w:hAnsi="Times New Roman"/>
          <w:sz w:val="18"/>
        </w:rPr>
        <w:t>jaunuzņēmumu</w:t>
      </w:r>
      <w:proofErr w:type="spellEnd"/>
      <w:r w:rsidR="00880C75" w:rsidRPr="00AE1B30">
        <w:rPr>
          <w:rFonts w:ascii="Times New Roman" w:hAnsi="Times New Roman"/>
          <w:sz w:val="18"/>
        </w:rPr>
        <w:t xml:space="preserve"> ekosistēmas novērtēšana, pašreizējā stāvokļa identificēšana un uz tās balstītu priekšlikumu izstrāde”, kas sagatavots saskaņā ar iepirkuma “Latvijas </w:t>
      </w:r>
      <w:proofErr w:type="spellStart"/>
      <w:r w:rsidR="00880C75" w:rsidRPr="00AE1B30">
        <w:rPr>
          <w:rFonts w:ascii="Times New Roman" w:hAnsi="Times New Roman"/>
          <w:sz w:val="18"/>
        </w:rPr>
        <w:t>jaunuzņēmumu</w:t>
      </w:r>
      <w:proofErr w:type="spellEnd"/>
      <w:r w:rsidR="00880C75" w:rsidRPr="00AE1B30">
        <w:rPr>
          <w:rFonts w:ascii="Times New Roman" w:hAnsi="Times New Roman"/>
          <w:sz w:val="18"/>
        </w:rPr>
        <w:t xml:space="preserve"> ekosistēmas novērtēšana, pašreizējā stāvokļa identificēšana un uz tās balstītu priekšlikumu izstrāde”</w:t>
      </w:r>
      <w:r w:rsidR="00880C75">
        <w:rPr>
          <w:rFonts w:ascii="Times New Roman" w:hAnsi="Times New Roman"/>
          <w:sz w:val="18"/>
        </w:rPr>
        <w:t xml:space="preserve">. Pieejams: </w:t>
      </w:r>
      <w:hyperlink r:id="rId2" w:history="1">
        <w:r w:rsidR="00880C75" w:rsidRPr="00042AF5">
          <w:rPr>
            <w:rStyle w:val="Hyperlink"/>
            <w:rFonts w:ascii="Times New Roman" w:hAnsi="Times New Roman"/>
            <w:sz w:val="18"/>
          </w:rPr>
          <w:t>https://em.gov.lv/files/attachments/2019-03-27_11_46_18_Jaunuznemumu_petijums.pdf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88E" w14:textId="6D5B0FF5" w:rsidR="00F21887" w:rsidRDefault="00F21887">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6C6CF8" w:rsidRPr="006C6CF8">
      <w:rPr>
        <w:rStyle w:val="PageNumber"/>
        <w:rFonts w:ascii="Times New Roman" w:hAnsi="Times New Roman"/>
        <w:noProof/>
        <w:sz w:val="24"/>
        <w:szCs w:val="24"/>
      </w:rPr>
      <w:t>8</w:t>
    </w:r>
    <w:r>
      <w:fldChar w:fldCharType="end"/>
    </w:r>
  </w:p>
  <w:p w14:paraId="68C8999D" w14:textId="77777777" w:rsidR="00F21887" w:rsidRDefault="00F21887">
    <w:pPr>
      <w:pStyle w:val="Header"/>
      <w:rPr>
        <w:sz w:val="24"/>
        <w:szCs w:val="24"/>
      </w:rPr>
    </w:pPr>
  </w:p>
  <w:p w14:paraId="72BA078E" w14:textId="77777777" w:rsidR="00F21887" w:rsidRDefault="00F21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DE50" w14:textId="77777777" w:rsidR="00F21887" w:rsidRDefault="00F21887">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705"/>
    <w:multiLevelType w:val="hybridMultilevel"/>
    <w:tmpl w:val="FFAC0D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462A2"/>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3B558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844486"/>
    <w:multiLevelType w:val="hybridMultilevel"/>
    <w:tmpl w:val="73982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F5DBA"/>
    <w:multiLevelType w:val="hybridMultilevel"/>
    <w:tmpl w:val="40B601F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04276"/>
    <w:multiLevelType w:val="hybridMultilevel"/>
    <w:tmpl w:val="C02AABF0"/>
    <w:lvl w:ilvl="0" w:tplc="5A0CFC9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F0615"/>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D463C"/>
    <w:multiLevelType w:val="hybridMultilevel"/>
    <w:tmpl w:val="71263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CD2801"/>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7126ED"/>
    <w:multiLevelType w:val="hybridMultilevel"/>
    <w:tmpl w:val="90605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2A429F"/>
    <w:multiLevelType w:val="hybridMultilevel"/>
    <w:tmpl w:val="0B202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F4701B6"/>
    <w:multiLevelType w:val="hybridMultilevel"/>
    <w:tmpl w:val="B5B45422"/>
    <w:lvl w:ilvl="0" w:tplc="B44EA760">
      <w:start w:val="8"/>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B404CC"/>
    <w:multiLevelType w:val="hybridMultilevel"/>
    <w:tmpl w:val="D7403036"/>
    <w:lvl w:ilvl="0" w:tplc="58C4E31A">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num w:numId="1">
    <w:abstractNumId w:val="9"/>
  </w:num>
  <w:num w:numId="2">
    <w:abstractNumId w:val="10"/>
  </w:num>
  <w:num w:numId="3">
    <w:abstractNumId w:val="7"/>
  </w:num>
  <w:num w:numId="4">
    <w:abstractNumId w:val="5"/>
  </w:num>
  <w:num w:numId="5">
    <w:abstractNumId w:val="3"/>
  </w:num>
  <w:num w:numId="6">
    <w:abstractNumId w:val="0"/>
  </w:num>
  <w:num w:numId="7">
    <w:abstractNumId w:val="12"/>
  </w:num>
  <w:num w:numId="8">
    <w:abstractNumId w:val="1"/>
  </w:num>
  <w:num w:numId="9">
    <w:abstractNumId w:val="8"/>
  </w:num>
  <w:num w:numId="10">
    <w:abstractNumId w:val="13"/>
  </w:num>
  <w:num w:numId="11">
    <w:abstractNumId w:val="6"/>
  </w:num>
  <w:num w:numId="12">
    <w:abstractNumId w:val="11"/>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FA"/>
    <w:rsid w:val="00001441"/>
    <w:rsid w:val="00002624"/>
    <w:rsid w:val="00017CAC"/>
    <w:rsid w:val="00022CC3"/>
    <w:rsid w:val="000277E6"/>
    <w:rsid w:val="00030769"/>
    <w:rsid w:val="0003337A"/>
    <w:rsid w:val="0003672A"/>
    <w:rsid w:val="00044B13"/>
    <w:rsid w:val="000627B1"/>
    <w:rsid w:val="00063920"/>
    <w:rsid w:val="0008272B"/>
    <w:rsid w:val="00095F52"/>
    <w:rsid w:val="000A4D45"/>
    <w:rsid w:val="000A716D"/>
    <w:rsid w:val="000B23A3"/>
    <w:rsid w:val="000C41B2"/>
    <w:rsid w:val="000C4B6C"/>
    <w:rsid w:val="000C5EAB"/>
    <w:rsid w:val="000D3B54"/>
    <w:rsid w:val="000E65B8"/>
    <w:rsid w:val="000F6C8A"/>
    <w:rsid w:val="0010322E"/>
    <w:rsid w:val="00106BF3"/>
    <w:rsid w:val="00116714"/>
    <w:rsid w:val="00120B86"/>
    <w:rsid w:val="00123B17"/>
    <w:rsid w:val="00151DF3"/>
    <w:rsid w:val="00155A53"/>
    <w:rsid w:val="00156AC4"/>
    <w:rsid w:val="00180435"/>
    <w:rsid w:val="0018199F"/>
    <w:rsid w:val="001832FA"/>
    <w:rsid w:val="00196A8C"/>
    <w:rsid w:val="001B012B"/>
    <w:rsid w:val="001B2978"/>
    <w:rsid w:val="001B602D"/>
    <w:rsid w:val="001C2C4B"/>
    <w:rsid w:val="001C66B4"/>
    <w:rsid w:val="001D30E2"/>
    <w:rsid w:val="001E7A95"/>
    <w:rsid w:val="001F44FD"/>
    <w:rsid w:val="00200DBE"/>
    <w:rsid w:val="00205D8B"/>
    <w:rsid w:val="00206CE1"/>
    <w:rsid w:val="002127F0"/>
    <w:rsid w:val="0024513B"/>
    <w:rsid w:val="00252A59"/>
    <w:rsid w:val="00252A85"/>
    <w:rsid w:val="002638D8"/>
    <w:rsid w:val="00293A27"/>
    <w:rsid w:val="002A2D7E"/>
    <w:rsid w:val="002C5FEE"/>
    <w:rsid w:val="002D169E"/>
    <w:rsid w:val="002E0DC3"/>
    <w:rsid w:val="002E1314"/>
    <w:rsid w:val="00302837"/>
    <w:rsid w:val="00302DDC"/>
    <w:rsid w:val="00320245"/>
    <w:rsid w:val="00356E5B"/>
    <w:rsid w:val="0037145C"/>
    <w:rsid w:val="003736B9"/>
    <w:rsid w:val="00380524"/>
    <w:rsid w:val="003B2FEC"/>
    <w:rsid w:val="003B3DF2"/>
    <w:rsid w:val="003C2A5E"/>
    <w:rsid w:val="003C776D"/>
    <w:rsid w:val="003D71D8"/>
    <w:rsid w:val="003E0D00"/>
    <w:rsid w:val="003E78F5"/>
    <w:rsid w:val="003F15FE"/>
    <w:rsid w:val="003F77A2"/>
    <w:rsid w:val="0042379D"/>
    <w:rsid w:val="00425F10"/>
    <w:rsid w:val="00441DD5"/>
    <w:rsid w:val="00441FB9"/>
    <w:rsid w:val="004471DB"/>
    <w:rsid w:val="00451169"/>
    <w:rsid w:val="0045152D"/>
    <w:rsid w:val="0046690D"/>
    <w:rsid w:val="00470603"/>
    <w:rsid w:val="0048154D"/>
    <w:rsid w:val="00482D80"/>
    <w:rsid w:val="00487D30"/>
    <w:rsid w:val="00495567"/>
    <w:rsid w:val="004A58BD"/>
    <w:rsid w:val="004B3337"/>
    <w:rsid w:val="004C116D"/>
    <w:rsid w:val="004D42D8"/>
    <w:rsid w:val="004E28CC"/>
    <w:rsid w:val="004E4155"/>
    <w:rsid w:val="004E48E5"/>
    <w:rsid w:val="004F5030"/>
    <w:rsid w:val="004F7487"/>
    <w:rsid w:val="00502935"/>
    <w:rsid w:val="0053126E"/>
    <w:rsid w:val="0053585D"/>
    <w:rsid w:val="00546EBD"/>
    <w:rsid w:val="0056157C"/>
    <w:rsid w:val="00564D81"/>
    <w:rsid w:val="0058726E"/>
    <w:rsid w:val="005E0E68"/>
    <w:rsid w:val="005E5510"/>
    <w:rsid w:val="005F320D"/>
    <w:rsid w:val="006079A0"/>
    <w:rsid w:val="0063346F"/>
    <w:rsid w:val="006354A1"/>
    <w:rsid w:val="00655EED"/>
    <w:rsid w:val="00662B23"/>
    <w:rsid w:val="00664216"/>
    <w:rsid w:val="006649EE"/>
    <w:rsid w:val="006658AA"/>
    <w:rsid w:val="00672072"/>
    <w:rsid w:val="00674528"/>
    <w:rsid w:val="0069474B"/>
    <w:rsid w:val="006953FC"/>
    <w:rsid w:val="006C6CF8"/>
    <w:rsid w:val="006D0A2A"/>
    <w:rsid w:val="006D110C"/>
    <w:rsid w:val="006E3922"/>
    <w:rsid w:val="006E6489"/>
    <w:rsid w:val="007272E4"/>
    <w:rsid w:val="00761957"/>
    <w:rsid w:val="00766A29"/>
    <w:rsid w:val="007909DE"/>
    <w:rsid w:val="007A066F"/>
    <w:rsid w:val="007A2CE8"/>
    <w:rsid w:val="007D082F"/>
    <w:rsid w:val="007E387E"/>
    <w:rsid w:val="007F4EE3"/>
    <w:rsid w:val="007F5A33"/>
    <w:rsid w:val="00805CF2"/>
    <w:rsid w:val="00820B3E"/>
    <w:rsid w:val="00820F3E"/>
    <w:rsid w:val="00836A9F"/>
    <w:rsid w:val="00844AAA"/>
    <w:rsid w:val="00851DD9"/>
    <w:rsid w:val="00852950"/>
    <w:rsid w:val="00857119"/>
    <w:rsid w:val="0086373C"/>
    <w:rsid w:val="00871674"/>
    <w:rsid w:val="00880C75"/>
    <w:rsid w:val="008901BE"/>
    <w:rsid w:val="0089269A"/>
    <w:rsid w:val="008968EF"/>
    <w:rsid w:val="008A06CF"/>
    <w:rsid w:val="008A2529"/>
    <w:rsid w:val="008C0F39"/>
    <w:rsid w:val="008C45F7"/>
    <w:rsid w:val="008C4932"/>
    <w:rsid w:val="008E03F1"/>
    <w:rsid w:val="008E225E"/>
    <w:rsid w:val="008E6C00"/>
    <w:rsid w:val="0090468D"/>
    <w:rsid w:val="0090521F"/>
    <w:rsid w:val="00923E75"/>
    <w:rsid w:val="00925077"/>
    <w:rsid w:val="0093318B"/>
    <w:rsid w:val="00946CD7"/>
    <w:rsid w:val="00947B35"/>
    <w:rsid w:val="00953FB9"/>
    <w:rsid w:val="0095418C"/>
    <w:rsid w:val="00960DF7"/>
    <w:rsid w:val="00971EE9"/>
    <w:rsid w:val="0097337D"/>
    <w:rsid w:val="00973F32"/>
    <w:rsid w:val="0099659B"/>
    <w:rsid w:val="009A1A08"/>
    <w:rsid w:val="009A558F"/>
    <w:rsid w:val="009A5764"/>
    <w:rsid w:val="009B278F"/>
    <w:rsid w:val="009C0CA1"/>
    <w:rsid w:val="009C7663"/>
    <w:rsid w:val="009D7CA1"/>
    <w:rsid w:val="009E6022"/>
    <w:rsid w:val="009E7C13"/>
    <w:rsid w:val="009F454A"/>
    <w:rsid w:val="00A02F89"/>
    <w:rsid w:val="00A0610D"/>
    <w:rsid w:val="00A10DCE"/>
    <w:rsid w:val="00A13118"/>
    <w:rsid w:val="00A23E74"/>
    <w:rsid w:val="00A32D6C"/>
    <w:rsid w:val="00A33DB8"/>
    <w:rsid w:val="00A42BDE"/>
    <w:rsid w:val="00A44103"/>
    <w:rsid w:val="00A520B2"/>
    <w:rsid w:val="00A61255"/>
    <w:rsid w:val="00A90D57"/>
    <w:rsid w:val="00AA0745"/>
    <w:rsid w:val="00AA0CE1"/>
    <w:rsid w:val="00AA5AC9"/>
    <w:rsid w:val="00AA5B2F"/>
    <w:rsid w:val="00AB056C"/>
    <w:rsid w:val="00AB5B07"/>
    <w:rsid w:val="00AC134E"/>
    <w:rsid w:val="00AD03E8"/>
    <w:rsid w:val="00AD2360"/>
    <w:rsid w:val="00AD3831"/>
    <w:rsid w:val="00AD4AC3"/>
    <w:rsid w:val="00AE1B30"/>
    <w:rsid w:val="00AE2421"/>
    <w:rsid w:val="00AE44FB"/>
    <w:rsid w:val="00AE7D35"/>
    <w:rsid w:val="00AF1980"/>
    <w:rsid w:val="00B27F43"/>
    <w:rsid w:val="00B37266"/>
    <w:rsid w:val="00B536C9"/>
    <w:rsid w:val="00B63456"/>
    <w:rsid w:val="00B824D5"/>
    <w:rsid w:val="00B8500E"/>
    <w:rsid w:val="00B90041"/>
    <w:rsid w:val="00B947D9"/>
    <w:rsid w:val="00BA67E6"/>
    <w:rsid w:val="00BE3B9A"/>
    <w:rsid w:val="00C05928"/>
    <w:rsid w:val="00C16931"/>
    <w:rsid w:val="00C17382"/>
    <w:rsid w:val="00C17826"/>
    <w:rsid w:val="00C223DC"/>
    <w:rsid w:val="00C313D5"/>
    <w:rsid w:val="00C52387"/>
    <w:rsid w:val="00C557FC"/>
    <w:rsid w:val="00C8235E"/>
    <w:rsid w:val="00C878DC"/>
    <w:rsid w:val="00C91065"/>
    <w:rsid w:val="00CB09DA"/>
    <w:rsid w:val="00CB335D"/>
    <w:rsid w:val="00CB79F4"/>
    <w:rsid w:val="00CD0709"/>
    <w:rsid w:val="00CD23BB"/>
    <w:rsid w:val="00CF1DFF"/>
    <w:rsid w:val="00D16901"/>
    <w:rsid w:val="00D30AC9"/>
    <w:rsid w:val="00D3158E"/>
    <w:rsid w:val="00D34429"/>
    <w:rsid w:val="00D34904"/>
    <w:rsid w:val="00D47289"/>
    <w:rsid w:val="00D5175B"/>
    <w:rsid w:val="00D62927"/>
    <w:rsid w:val="00D64514"/>
    <w:rsid w:val="00D72104"/>
    <w:rsid w:val="00D75903"/>
    <w:rsid w:val="00D76C64"/>
    <w:rsid w:val="00D86C43"/>
    <w:rsid w:val="00D87E08"/>
    <w:rsid w:val="00D95DE5"/>
    <w:rsid w:val="00DA7545"/>
    <w:rsid w:val="00DB5925"/>
    <w:rsid w:val="00DB6105"/>
    <w:rsid w:val="00DD371E"/>
    <w:rsid w:val="00DE0549"/>
    <w:rsid w:val="00DF21F9"/>
    <w:rsid w:val="00E031C7"/>
    <w:rsid w:val="00E03EEE"/>
    <w:rsid w:val="00E05A0E"/>
    <w:rsid w:val="00E22227"/>
    <w:rsid w:val="00E255B8"/>
    <w:rsid w:val="00E336B7"/>
    <w:rsid w:val="00E67851"/>
    <w:rsid w:val="00E71320"/>
    <w:rsid w:val="00E725EB"/>
    <w:rsid w:val="00E802A6"/>
    <w:rsid w:val="00E81F29"/>
    <w:rsid w:val="00E829AB"/>
    <w:rsid w:val="00E83CFE"/>
    <w:rsid w:val="00E84F11"/>
    <w:rsid w:val="00EA512C"/>
    <w:rsid w:val="00EC3D82"/>
    <w:rsid w:val="00EC7F1F"/>
    <w:rsid w:val="00ED2ED7"/>
    <w:rsid w:val="00ED7DED"/>
    <w:rsid w:val="00EF13BA"/>
    <w:rsid w:val="00F1084E"/>
    <w:rsid w:val="00F16C13"/>
    <w:rsid w:val="00F21887"/>
    <w:rsid w:val="00F34326"/>
    <w:rsid w:val="00F40EC6"/>
    <w:rsid w:val="00F435C4"/>
    <w:rsid w:val="00F70E91"/>
    <w:rsid w:val="00F7337F"/>
    <w:rsid w:val="00F7435B"/>
    <w:rsid w:val="00F81A67"/>
    <w:rsid w:val="00FA0446"/>
    <w:rsid w:val="00FA0FA7"/>
    <w:rsid w:val="00FA32D3"/>
    <w:rsid w:val="00FA7475"/>
    <w:rsid w:val="00FA783E"/>
    <w:rsid w:val="00FB4C5C"/>
    <w:rsid w:val="00FD5CB2"/>
    <w:rsid w:val="00FE292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A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34"/>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 w:type="character" w:styleId="UnresolvedMention">
    <w:name w:val="Unresolved Mention"/>
    <w:basedOn w:val="DefaultParagraphFont"/>
    <w:uiPriority w:val="99"/>
    <w:semiHidden/>
    <w:unhideWhenUsed/>
    <w:rsid w:val="00664216"/>
    <w:rPr>
      <w:color w:val="605E5C"/>
      <w:shd w:val="clear" w:color="auto" w:fill="E1DFDD"/>
    </w:rPr>
  </w:style>
  <w:style w:type="character" w:customStyle="1" w:styleId="highlight">
    <w:name w:val="highlight"/>
    <w:basedOn w:val="DefaultParagraphFont"/>
    <w:rsid w:val="001E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171115823">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598877530">
      <w:bodyDiv w:val="1"/>
      <w:marLeft w:val="0"/>
      <w:marRight w:val="0"/>
      <w:marTop w:val="0"/>
      <w:marBottom w:val="0"/>
      <w:divBdr>
        <w:top w:val="none" w:sz="0" w:space="0" w:color="auto"/>
        <w:left w:val="none" w:sz="0" w:space="0" w:color="auto"/>
        <w:bottom w:val="none" w:sz="0" w:space="0" w:color="auto"/>
        <w:right w:val="none" w:sz="0" w:space="0" w:color="auto"/>
      </w:divBdr>
    </w:div>
    <w:div w:id="714744070">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m.gov.lv/files/attachments/2019-03-27_11_46_18_Jaunuznemumu_petijums.pdf" TargetMode="External"/><Relationship Id="rId1" Type="http://schemas.openxmlformats.org/officeDocument/2006/relationships/hyperlink" Target="https://em.gov.lv/files/attachments/2019-03-27_11_46_18_Jaunuznemumu_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E242-318F-4981-AA6A-E1C647BB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14546</Characters>
  <Application>Microsoft Office Word</Application>
  <DocSecurity>0</DocSecurity>
  <Lines>121</Lines>
  <Paragraphs>33</Paragraphs>
  <MMClips>0</MMClips>
  <ScaleCrop>false</ScaleCrop>
  <HeadingPairs>
    <vt:vector size="2" baseType="variant">
      <vt:variant>
        <vt:lpstr>Title</vt:lpstr>
      </vt:variant>
      <vt:variant>
        <vt:i4>1</vt:i4>
      </vt:variant>
    </vt:vector>
  </HeadingPairs>
  <TitlesOfParts>
    <vt:vector size="1" baseType="lpstr">
      <vt:lpstr>Ministru kabineta noteikumu projekta “Vidēja un ilgtermiņa eksporta kredīta garantiju un investīciju garantiju izsniegšanas noteikumi saimnieciskās darbības veicējiem” sākotnējās ietekmes novērtējuma ziņojums (anotācija)</vt:lpstr>
    </vt:vector>
  </TitlesOfParts>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“Vidēja un ilgtermiņa eksporta kredīta garantiju un investīciju garantiju izsniegšanas noteikumi saimnieciskās darbības veicējiem” sākotnējās ietekmes novērtējuma ziņojums (anotācija)</dc:title>
  <dc:creator/>
  <dc:description>67013011, Dita.Tetere@em.gov.lv</dc:description>
  <cp:lastModifiedBy/>
  <cp:revision>1</cp:revision>
  <dcterms:created xsi:type="dcterms:W3CDTF">2019-06-20T11:56:00Z</dcterms:created>
  <dcterms:modified xsi:type="dcterms:W3CDTF">2019-06-21T07:34:00Z</dcterms:modified>
</cp:coreProperties>
</file>