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3AE2D6ED" w:rsidR="009A312E" w:rsidRPr="007F5AE9" w:rsidRDefault="009A312E" w:rsidP="00BF2718">
      <w:pPr>
        <w:spacing w:after="0" w:line="240" w:lineRule="auto"/>
        <w:ind w:right="-1"/>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7F5AE9">
        <w:rPr>
          <w:rFonts w:ascii="Times New Roman" w:eastAsia="Times New Roman" w:hAnsi="Times New Roman"/>
          <w:b/>
          <w:sz w:val="24"/>
          <w:szCs w:val="24"/>
          <w:lang w:eastAsia="lv-LV"/>
        </w:rPr>
        <w:t>“</w:t>
      </w:r>
      <w:bookmarkEnd w:id="0"/>
      <w:bookmarkEnd w:id="1"/>
      <w:bookmarkEnd w:id="2"/>
      <w:bookmarkEnd w:id="3"/>
      <w:r w:rsidR="00372DC6" w:rsidRPr="007F5AE9">
        <w:rPr>
          <w:rFonts w:ascii="Times New Roman" w:eastAsia="Times New Roman" w:hAnsi="Times New Roman"/>
          <w:b/>
          <w:sz w:val="24"/>
          <w:szCs w:val="24"/>
          <w:lang w:eastAsia="lv-LV"/>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455AC2" w:rsidRPr="007F5AE9">
        <w:rPr>
          <w:rFonts w:ascii="Times New Roman" w:eastAsia="Times New Roman" w:hAnsi="Times New Roman"/>
          <w:b/>
          <w:sz w:val="24"/>
          <w:szCs w:val="24"/>
          <w:lang w:eastAsia="lv-LV"/>
        </w:rPr>
        <w:t>”</w:t>
      </w:r>
      <w:r w:rsidR="00455AC2" w:rsidRPr="00BF2718">
        <w:rPr>
          <w:rFonts w:ascii="Times New Roman" w:hAnsi="Times New Roman"/>
          <w:b/>
          <w:color w:val="414142"/>
          <w:sz w:val="24"/>
          <w:shd w:val="clear" w:color="auto" w:fill="FFFFFF"/>
        </w:rPr>
        <w:t xml:space="preserve"> </w:t>
      </w:r>
      <w:r w:rsidRPr="007F5AE9">
        <w:rPr>
          <w:rFonts w:ascii="Times New Roman" w:eastAsia="Times New Roman" w:hAnsi="Times New Roman"/>
          <w:b/>
          <w:sz w:val="24"/>
          <w:szCs w:val="24"/>
          <w:lang w:eastAsia="lv-LV"/>
        </w:rPr>
        <w:t>sākotnējās ietekmes novērtējuma ziņojums (anotācija)</w:t>
      </w:r>
    </w:p>
    <w:p w14:paraId="3981DC74" w14:textId="3346D93F" w:rsidR="009A312E" w:rsidRPr="00BF2718" w:rsidRDefault="009A312E" w:rsidP="00BF2718">
      <w:pPr>
        <w:spacing w:after="0" w:line="240" w:lineRule="auto"/>
        <w:contextualSpacing/>
        <w:rPr>
          <w:rFonts w:ascii="Times New Roman" w:hAnsi="Times New Roman"/>
          <w:b/>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3"/>
        <w:gridCol w:w="6653"/>
      </w:tblGrid>
      <w:tr w:rsidR="00B6430E" w:rsidRPr="007F5AE9" w14:paraId="05BD48CA" w14:textId="77777777" w:rsidTr="00BF2718">
        <w:tc>
          <w:tcPr>
            <w:tcW w:w="9356" w:type="dxa"/>
            <w:gridSpan w:val="2"/>
            <w:vAlign w:val="center"/>
            <w:hideMark/>
          </w:tcPr>
          <w:p w14:paraId="7977D898" w14:textId="4CCD9420" w:rsidR="00B6430E" w:rsidRPr="007F5AE9" w:rsidRDefault="00B6430E" w:rsidP="00BF2718">
            <w:pPr>
              <w:spacing w:after="0" w:line="240" w:lineRule="auto"/>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Tiesību akta projekta anotācijas kopsavilkums</w:t>
            </w:r>
          </w:p>
        </w:tc>
      </w:tr>
      <w:tr w:rsidR="00B6430E" w:rsidRPr="007F5AE9" w14:paraId="3EB3020E" w14:textId="77777777" w:rsidTr="00BF2718">
        <w:tc>
          <w:tcPr>
            <w:tcW w:w="2703" w:type="dxa"/>
            <w:hideMark/>
          </w:tcPr>
          <w:p w14:paraId="499E33BD" w14:textId="72A937C9" w:rsidR="00B6430E" w:rsidRPr="007F5AE9" w:rsidRDefault="00B6430E" w:rsidP="00BF2718">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Mērķis, risinājums un projekta </w:t>
            </w:r>
            <w:r w:rsidRPr="007F5AE9">
              <w:rPr>
                <w:rFonts w:ascii="Times New Roman" w:hAnsi="Times New Roman"/>
                <w:sz w:val="24"/>
                <w:szCs w:val="24"/>
              </w:rPr>
              <w:t>spēkā</w:t>
            </w:r>
            <w:r w:rsidRPr="007F5AE9">
              <w:rPr>
                <w:rFonts w:ascii="Times New Roman" w:eastAsia="Times New Roman" w:hAnsi="Times New Roman"/>
                <w:sz w:val="24"/>
                <w:szCs w:val="24"/>
                <w:lang w:eastAsia="lv-LV"/>
              </w:rPr>
              <w:t xml:space="preserve"> stāšanās laiks (500 zīmes bez atstarpēm)</w:t>
            </w:r>
          </w:p>
        </w:tc>
        <w:tc>
          <w:tcPr>
            <w:tcW w:w="6653" w:type="dxa"/>
            <w:hideMark/>
          </w:tcPr>
          <w:p w14:paraId="41011D1E" w14:textId="77777777" w:rsidR="00FE3A9B" w:rsidRDefault="00FC14C5" w:rsidP="00BF2718">
            <w:pPr>
              <w:spacing w:after="0" w:line="240" w:lineRule="auto"/>
              <w:ind w:left="-10" w:firstLine="284"/>
              <w:contextualSpacing/>
              <w:jc w:val="both"/>
              <w:rPr>
                <w:rFonts w:ascii="Times New Roman" w:eastAsia="Times New Roman" w:hAnsi="Times New Roman"/>
                <w:iCs/>
                <w:sz w:val="24"/>
                <w:szCs w:val="24"/>
                <w:lang w:eastAsia="lv-LV"/>
              </w:rPr>
            </w:pPr>
            <w:r w:rsidRPr="007F5AE9">
              <w:rPr>
                <w:rFonts w:ascii="Times New Roman" w:hAnsi="Times New Roman"/>
                <w:sz w:val="24"/>
                <w:szCs w:val="24"/>
              </w:rPr>
              <w:t>Ministru kabineta noteikumu projekt</w:t>
            </w:r>
            <w:r w:rsidR="00F2058A" w:rsidRPr="007F5AE9">
              <w:rPr>
                <w:rFonts w:ascii="Times New Roman" w:hAnsi="Times New Roman"/>
                <w:sz w:val="24"/>
                <w:szCs w:val="24"/>
              </w:rPr>
              <w:t>a</w:t>
            </w:r>
            <w:r w:rsidRPr="007F5AE9">
              <w:rPr>
                <w:rFonts w:ascii="Times New Roman" w:hAnsi="Times New Roman"/>
                <w:sz w:val="24"/>
                <w:szCs w:val="24"/>
              </w:rPr>
              <w:t xml:space="preserve"> </w:t>
            </w:r>
            <w:r w:rsidR="00B6430E" w:rsidRPr="007F5AE9">
              <w:rPr>
                <w:rFonts w:ascii="Times New Roman" w:hAnsi="Times New Roman"/>
                <w:sz w:val="24"/>
                <w:szCs w:val="24"/>
              </w:rPr>
              <w:t xml:space="preserve">mērķis ir </w:t>
            </w:r>
            <w:r w:rsidR="00F0049D">
              <w:rPr>
                <w:rFonts w:ascii="Times New Roman" w:hAnsi="Times New Roman"/>
                <w:sz w:val="24"/>
                <w:szCs w:val="24"/>
              </w:rPr>
              <w:t xml:space="preserve">noteikt </w:t>
            </w:r>
            <w:r w:rsidR="00411582">
              <w:rPr>
                <w:rFonts w:ascii="Times New Roman" w:hAnsi="Times New Roman"/>
                <w:sz w:val="24"/>
                <w:szCs w:val="24"/>
              </w:rPr>
              <w:t>d</w:t>
            </w:r>
            <w:r w:rsidR="00F2058A" w:rsidRPr="007F5AE9">
              <w:rPr>
                <w:rFonts w:ascii="Times New Roman" w:hAnsi="Times New Roman"/>
                <w:sz w:val="24"/>
                <w:szCs w:val="24"/>
              </w:rPr>
              <w:t xml:space="preserve">arbības programmas „Izaugsme un nodarbinātība” 4.1.1. specifiskā atbalsta mērķa “Veicināt efektīvu energoresursu izmantošanu, enerģijas patēriņa samazināšanu un pāreju uz AER apstrādes rūpniecības nozarē” trešās projektu iesniegumu atlases kārtas īstenošanas </w:t>
            </w:r>
            <w:r w:rsidR="00F2058A" w:rsidRPr="007F5AE9">
              <w:rPr>
                <w:rFonts w:ascii="Times New Roman" w:eastAsia="Times New Roman" w:hAnsi="Times New Roman"/>
                <w:iCs/>
                <w:sz w:val="24"/>
                <w:szCs w:val="24"/>
                <w:lang w:eastAsia="lv-LV"/>
              </w:rPr>
              <w:t>nosacījumu</w:t>
            </w:r>
            <w:r w:rsidR="00F0049D">
              <w:rPr>
                <w:rFonts w:ascii="Times New Roman" w:eastAsia="Times New Roman" w:hAnsi="Times New Roman"/>
                <w:iCs/>
                <w:sz w:val="24"/>
                <w:szCs w:val="24"/>
                <w:lang w:eastAsia="lv-LV"/>
              </w:rPr>
              <w:t>s</w:t>
            </w:r>
            <w:r w:rsidR="00F2058A" w:rsidRPr="007F5AE9">
              <w:rPr>
                <w:rFonts w:ascii="Times New Roman" w:eastAsia="Times New Roman" w:hAnsi="Times New Roman"/>
                <w:iCs/>
                <w:sz w:val="24"/>
                <w:szCs w:val="24"/>
                <w:lang w:eastAsia="lv-LV"/>
              </w:rPr>
              <w:t>.</w:t>
            </w:r>
          </w:p>
          <w:p w14:paraId="5533C901" w14:textId="475668E5" w:rsidR="00343B6A" w:rsidRPr="007F5AE9" w:rsidRDefault="00343B6A" w:rsidP="00BF2718">
            <w:pPr>
              <w:spacing w:after="0" w:line="240" w:lineRule="auto"/>
              <w:ind w:left="-10" w:firstLine="284"/>
              <w:contextualSpacing/>
              <w:jc w:val="both"/>
              <w:rPr>
                <w:rFonts w:ascii="Times New Roman" w:hAnsi="Times New Roman"/>
                <w:sz w:val="24"/>
                <w:szCs w:val="24"/>
              </w:rPr>
            </w:pPr>
            <w:r>
              <w:rPr>
                <w:rFonts w:ascii="Times New Roman" w:hAnsi="Times New Roman"/>
                <w:sz w:val="24"/>
                <w:szCs w:val="24"/>
              </w:rPr>
              <w:t>Tiesību akts stāsies spēkā pēc tā publicēšanas Latvijas Vēstnesī.</w:t>
            </w:r>
            <w:bookmarkStart w:id="4" w:name="_GoBack"/>
            <w:bookmarkEnd w:id="4"/>
          </w:p>
        </w:tc>
      </w:tr>
    </w:tbl>
    <w:p w14:paraId="11E7A3E5" w14:textId="13FE0A70" w:rsidR="00B6430E" w:rsidRPr="00BF2718" w:rsidRDefault="00B6430E" w:rsidP="00BF2718">
      <w:pPr>
        <w:spacing w:after="0" w:line="240" w:lineRule="auto"/>
        <w:contextualSpacing/>
        <w:rPr>
          <w:rFonts w:ascii="Times New Roman" w:hAnsi="Times New Roman"/>
          <w:sz w:val="24"/>
        </w:rPr>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tblBorders>
        <w:tblCellMar>
          <w:left w:w="57" w:type="dxa"/>
          <w:right w:w="57" w:type="dxa"/>
        </w:tblCellMar>
        <w:tblLook w:val="04A0" w:firstRow="1" w:lastRow="0" w:firstColumn="1" w:lastColumn="0" w:noHBand="0" w:noVBand="1"/>
      </w:tblPr>
      <w:tblGrid>
        <w:gridCol w:w="450"/>
        <w:gridCol w:w="2213"/>
        <w:gridCol w:w="6693"/>
      </w:tblGrid>
      <w:tr w:rsidR="007A1A25" w:rsidRPr="007F5AE9" w14:paraId="1D03D1D7" w14:textId="77777777" w:rsidTr="00BF2718">
        <w:tc>
          <w:tcPr>
            <w:tcW w:w="9356" w:type="dxa"/>
            <w:gridSpan w:val="3"/>
            <w:tcBorders>
              <w:top w:val="single" w:sz="4" w:space="0" w:color="auto"/>
              <w:left w:val="single" w:sz="4" w:space="0" w:color="auto"/>
              <w:bottom w:val="single" w:sz="4" w:space="0" w:color="auto"/>
              <w:right w:val="single" w:sz="4" w:space="0" w:color="auto"/>
            </w:tcBorders>
          </w:tcPr>
          <w:p w14:paraId="45F32CA0" w14:textId="69F7C78A" w:rsidR="007A1A25" w:rsidRPr="007F5AE9" w:rsidRDefault="007A1A25" w:rsidP="00BF2718">
            <w:pPr>
              <w:spacing w:after="0" w:line="240" w:lineRule="auto"/>
              <w:ind w:left="-10"/>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I. Tiesību akta projekta izstrādes nepieciešamība</w:t>
            </w:r>
          </w:p>
        </w:tc>
      </w:tr>
      <w:tr w:rsidR="00414819" w:rsidRPr="007F5AE9" w14:paraId="30C2187F" w14:textId="77777777" w:rsidTr="00BF2718">
        <w:tc>
          <w:tcPr>
            <w:tcW w:w="450" w:type="dxa"/>
            <w:tcBorders>
              <w:top w:val="single" w:sz="4" w:space="0" w:color="auto"/>
              <w:left w:val="single" w:sz="4" w:space="0" w:color="auto"/>
              <w:bottom w:val="single" w:sz="4" w:space="0" w:color="auto"/>
              <w:right w:val="single" w:sz="4" w:space="0" w:color="auto"/>
            </w:tcBorders>
          </w:tcPr>
          <w:p w14:paraId="684298CD" w14:textId="117E232C" w:rsidR="00414819" w:rsidRPr="007F5AE9" w:rsidRDefault="00414819" w:rsidP="0025259B">
            <w:pPr>
              <w:spacing w:after="0" w:line="240" w:lineRule="auto"/>
              <w:ind w:left="-1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13" w:type="dxa"/>
            <w:tcBorders>
              <w:top w:val="single" w:sz="4" w:space="0" w:color="auto"/>
              <w:left w:val="single" w:sz="4" w:space="0" w:color="auto"/>
              <w:bottom w:val="single" w:sz="4" w:space="0" w:color="auto"/>
              <w:right w:val="single" w:sz="4" w:space="0" w:color="auto"/>
            </w:tcBorders>
            <w:hideMark/>
          </w:tcPr>
          <w:p w14:paraId="3695E52C" w14:textId="160E480E" w:rsidR="00414819" w:rsidRPr="007F5AE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hAnsi="Times New Roman"/>
                <w:sz w:val="24"/>
                <w:szCs w:val="24"/>
              </w:rPr>
              <w:t>Pamatojums</w:t>
            </w:r>
          </w:p>
        </w:tc>
        <w:tc>
          <w:tcPr>
            <w:tcW w:w="6693" w:type="dxa"/>
            <w:tcBorders>
              <w:top w:val="single" w:sz="4" w:space="0" w:color="auto"/>
              <w:left w:val="single" w:sz="4" w:space="0" w:color="auto"/>
              <w:bottom w:val="single" w:sz="4" w:space="0" w:color="auto"/>
              <w:right w:val="single" w:sz="4" w:space="0" w:color="auto"/>
            </w:tcBorders>
            <w:hideMark/>
          </w:tcPr>
          <w:p w14:paraId="2F858813" w14:textId="3B78ED03" w:rsidR="00414819" w:rsidRPr="007F5AE9" w:rsidRDefault="00414819" w:rsidP="00BF2718">
            <w:pPr>
              <w:spacing w:after="0" w:line="240" w:lineRule="auto"/>
              <w:ind w:left="-10" w:firstLine="284"/>
              <w:contextualSpacing/>
              <w:jc w:val="both"/>
              <w:rPr>
                <w:rFonts w:ascii="Times New Roman" w:eastAsia="Times New Roman" w:hAnsi="Times New Roman"/>
                <w:sz w:val="24"/>
                <w:szCs w:val="24"/>
                <w:lang w:eastAsia="lv-LV"/>
              </w:rPr>
            </w:pPr>
            <w:r w:rsidRPr="007F5AE9">
              <w:rPr>
                <w:rFonts w:ascii="Times New Roman" w:hAnsi="Times New Roman"/>
                <w:sz w:val="24"/>
                <w:szCs w:val="24"/>
              </w:rPr>
              <w:t>Izdoti</w:t>
            </w:r>
            <w:r w:rsidRPr="007F5AE9">
              <w:rPr>
                <w:rFonts w:ascii="Times New Roman" w:hAnsi="Times New Roman"/>
                <w:iCs/>
                <w:sz w:val="24"/>
                <w:szCs w:val="24"/>
                <w:shd w:val="clear" w:color="auto" w:fill="FFFFFF"/>
              </w:rPr>
              <w:t xml:space="preserve"> </w:t>
            </w:r>
            <w:r w:rsidR="002732E3" w:rsidRPr="00855EB2">
              <w:rPr>
                <w:rFonts w:ascii="Times New Roman" w:hAnsi="Times New Roman"/>
                <w:sz w:val="24"/>
                <w:szCs w:val="24"/>
              </w:rPr>
              <w:t>pēc</w:t>
            </w:r>
            <w:r w:rsidR="002732E3">
              <w:rPr>
                <w:rFonts w:ascii="Times New Roman" w:hAnsi="Times New Roman"/>
                <w:iCs/>
                <w:sz w:val="24"/>
                <w:szCs w:val="24"/>
                <w:shd w:val="clear" w:color="auto" w:fill="FFFFFF"/>
              </w:rPr>
              <w:t xml:space="preserve"> Ekonomikas ministrijas iniciatīvas </w:t>
            </w:r>
            <w:r w:rsidRPr="007F5AE9">
              <w:rPr>
                <w:rFonts w:ascii="Times New Roman" w:hAnsi="Times New Roman"/>
                <w:iCs/>
                <w:sz w:val="24"/>
                <w:szCs w:val="24"/>
                <w:shd w:val="clear" w:color="auto" w:fill="FFFFFF"/>
              </w:rPr>
              <w:t xml:space="preserve">saskaņā ar Eiropas Savienības struktūrfondu un Kohēzijas </w:t>
            </w:r>
            <w:r w:rsidRPr="007F5AE9">
              <w:rPr>
                <w:rFonts w:ascii="Times New Roman" w:hAnsi="Times New Roman"/>
                <w:sz w:val="24"/>
                <w:szCs w:val="24"/>
              </w:rPr>
              <w:t>fonda</w:t>
            </w:r>
            <w:r w:rsidRPr="007F5AE9">
              <w:rPr>
                <w:rFonts w:ascii="Times New Roman" w:hAnsi="Times New Roman"/>
                <w:iCs/>
                <w:sz w:val="24"/>
                <w:szCs w:val="24"/>
                <w:shd w:val="clear" w:color="auto" w:fill="FFFFFF"/>
              </w:rPr>
              <w:t xml:space="preserve"> </w:t>
            </w:r>
            <w:r w:rsidRPr="007F5AE9">
              <w:rPr>
                <w:rFonts w:ascii="Times New Roman" w:hAnsi="Times New Roman"/>
                <w:sz w:val="24"/>
                <w:szCs w:val="24"/>
              </w:rPr>
              <w:t>2014</w:t>
            </w:r>
            <w:r w:rsidRPr="007F5AE9">
              <w:rPr>
                <w:rFonts w:ascii="Times New Roman" w:hAnsi="Times New Roman"/>
                <w:iCs/>
                <w:sz w:val="24"/>
                <w:szCs w:val="24"/>
                <w:shd w:val="clear" w:color="auto" w:fill="FFFFFF"/>
              </w:rPr>
              <w:t>.-</w:t>
            </w:r>
            <w:r w:rsidRPr="007F5AE9">
              <w:rPr>
                <w:rFonts w:ascii="Times New Roman" w:hAnsi="Times New Roman"/>
                <w:sz w:val="24"/>
                <w:szCs w:val="24"/>
              </w:rPr>
              <w:t>2020</w:t>
            </w:r>
            <w:r w:rsidRPr="007F5AE9">
              <w:rPr>
                <w:rFonts w:ascii="Times New Roman" w:hAnsi="Times New Roman"/>
                <w:iCs/>
                <w:sz w:val="24"/>
                <w:szCs w:val="24"/>
                <w:shd w:val="clear" w:color="auto" w:fill="FFFFFF"/>
              </w:rPr>
              <w:t>.gada plānošanas perioda vadības likuma 20.panta 13.punktu</w:t>
            </w:r>
            <w:r w:rsidRPr="007F5AE9">
              <w:rPr>
                <w:rFonts w:ascii="Times New Roman" w:hAnsi="Times New Roman"/>
                <w:sz w:val="24"/>
                <w:szCs w:val="24"/>
              </w:rPr>
              <w:t>.</w:t>
            </w:r>
          </w:p>
        </w:tc>
      </w:tr>
      <w:tr w:rsidR="00414819" w:rsidRPr="007F5AE9" w14:paraId="4870D352" w14:textId="77777777" w:rsidTr="00BF2718">
        <w:trPr>
          <w:trHeight w:val="360"/>
        </w:trPr>
        <w:tc>
          <w:tcPr>
            <w:tcW w:w="450" w:type="dxa"/>
            <w:tcBorders>
              <w:top w:val="single" w:sz="4" w:space="0" w:color="auto"/>
              <w:left w:val="single" w:sz="4" w:space="0" w:color="auto"/>
              <w:bottom w:val="single" w:sz="4" w:space="0" w:color="auto"/>
              <w:right w:val="single" w:sz="4" w:space="0" w:color="auto"/>
            </w:tcBorders>
          </w:tcPr>
          <w:p w14:paraId="64D17A6A" w14:textId="487C2B05" w:rsidR="00414819" w:rsidRPr="007A1A25" w:rsidRDefault="00414819" w:rsidP="0025259B">
            <w:pPr>
              <w:spacing w:after="0" w:line="240" w:lineRule="auto"/>
              <w:ind w:left="-10"/>
              <w:contextualSpacing/>
              <w:jc w:val="both"/>
              <w:rPr>
                <w:rFonts w:ascii="Times New Roman" w:eastAsia="Times New Roman" w:hAnsi="Times New Roman"/>
                <w:sz w:val="24"/>
                <w:szCs w:val="24"/>
                <w:u w:val="words"/>
                <w:lang w:eastAsia="lv-LV"/>
              </w:rPr>
            </w:pPr>
            <w:r>
              <w:rPr>
                <w:rFonts w:ascii="Times New Roman" w:eastAsia="Times New Roman" w:hAnsi="Times New Roman"/>
                <w:sz w:val="24"/>
                <w:szCs w:val="24"/>
                <w:lang w:eastAsia="lv-LV"/>
              </w:rPr>
              <w:t>2.</w:t>
            </w:r>
          </w:p>
        </w:tc>
        <w:tc>
          <w:tcPr>
            <w:tcW w:w="2213" w:type="dxa"/>
            <w:tcBorders>
              <w:top w:val="single" w:sz="4" w:space="0" w:color="auto"/>
              <w:left w:val="single" w:sz="4" w:space="0" w:color="auto"/>
              <w:bottom w:val="single" w:sz="4" w:space="0" w:color="auto"/>
              <w:right w:val="single" w:sz="4" w:space="0" w:color="auto"/>
            </w:tcBorders>
            <w:hideMark/>
          </w:tcPr>
          <w:p w14:paraId="6B2C4B0D" w14:textId="0A4F1012" w:rsidR="00414819" w:rsidRPr="007F5AE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Pašreizējā situācija un problēmas, kuru risināšanai tiesību akta projekts </w:t>
            </w:r>
            <w:r w:rsidRPr="007F5AE9">
              <w:rPr>
                <w:rFonts w:ascii="Times New Roman" w:hAnsi="Times New Roman"/>
                <w:sz w:val="24"/>
                <w:szCs w:val="24"/>
              </w:rPr>
              <w:t>izstrādāts</w:t>
            </w:r>
            <w:r w:rsidRPr="007F5AE9">
              <w:rPr>
                <w:rFonts w:ascii="Times New Roman" w:eastAsia="Times New Roman" w:hAnsi="Times New Roman"/>
                <w:sz w:val="24"/>
                <w:szCs w:val="24"/>
                <w:lang w:eastAsia="lv-LV"/>
              </w:rPr>
              <w:t>, tiesiskā regulējuma mērķis un būtība</w:t>
            </w:r>
          </w:p>
        </w:tc>
        <w:tc>
          <w:tcPr>
            <w:tcW w:w="6693" w:type="dxa"/>
            <w:tcBorders>
              <w:top w:val="single" w:sz="4" w:space="0" w:color="auto"/>
              <w:left w:val="single" w:sz="4" w:space="0" w:color="auto"/>
              <w:bottom w:val="single" w:sz="4" w:space="0" w:color="auto"/>
              <w:right w:val="single" w:sz="4" w:space="0" w:color="auto"/>
            </w:tcBorders>
          </w:tcPr>
          <w:p w14:paraId="3F609EDE" w14:textId="0AF9FF27" w:rsidR="00414819" w:rsidRPr="007F5AE9" w:rsidRDefault="00414819" w:rsidP="00BF2718">
            <w:pPr>
              <w:spacing w:after="0" w:line="240" w:lineRule="auto"/>
              <w:ind w:left="-10" w:firstLine="284"/>
              <w:contextualSpacing/>
              <w:jc w:val="both"/>
              <w:rPr>
                <w:rFonts w:ascii="Times New Roman" w:hAnsi="Times New Roman"/>
                <w:sz w:val="24"/>
                <w:szCs w:val="24"/>
              </w:rPr>
            </w:pPr>
            <w:r w:rsidRPr="007F5AE9">
              <w:rPr>
                <w:rFonts w:ascii="Times New Roman" w:hAnsi="Times New Roman"/>
                <w:sz w:val="24"/>
                <w:szCs w:val="24"/>
              </w:rPr>
              <w:t>Ekonomikas ministrija sadarbībā ar Centrālo finanšu un līgumu aģentūru laikā no 2016.gada decembra līdz 2017.gada maijam organizēja</w:t>
            </w:r>
            <w:r w:rsidR="009C4969">
              <w:rPr>
                <w:rFonts w:ascii="Times New Roman" w:hAnsi="Times New Roman"/>
                <w:sz w:val="24"/>
                <w:szCs w:val="24"/>
              </w:rPr>
              <w:t xml:space="preserve"> projektu iesniegumu pieņemšanu</w:t>
            </w:r>
            <w:r w:rsidRPr="007F5AE9">
              <w:rPr>
                <w:rFonts w:ascii="Times New Roman" w:hAnsi="Times New Roman"/>
                <w:sz w:val="24"/>
                <w:szCs w:val="24"/>
              </w:rPr>
              <w:t xml:space="preserve"> Darbības programmas „Izaugsme un nodarbinātība” (turpmāk – darbības programma) 4.1.1. specifiskā atbalsta mērķa “Veicināt efektīvu energoresursu izmantošanu, enerģijas patēriņa samazināšanu un pāreju uz AER apstrādes rūpniecības nozarē” (turpmāk </w:t>
            </w:r>
            <w:r w:rsidR="00D801CF">
              <w:rPr>
                <w:rFonts w:ascii="Times New Roman" w:hAnsi="Times New Roman"/>
                <w:sz w:val="24"/>
                <w:szCs w:val="24"/>
              </w:rPr>
              <w:t xml:space="preserve">– </w:t>
            </w:r>
            <w:r w:rsidRPr="007F5AE9">
              <w:rPr>
                <w:rFonts w:ascii="Times New Roman" w:hAnsi="Times New Roman"/>
                <w:sz w:val="24"/>
                <w:szCs w:val="24"/>
              </w:rPr>
              <w:t>SAM</w:t>
            </w:r>
            <w:r w:rsidR="00D801CF">
              <w:rPr>
                <w:rFonts w:ascii="Times New Roman" w:hAnsi="Times New Roman"/>
                <w:sz w:val="24"/>
                <w:szCs w:val="24"/>
              </w:rPr>
              <w:t xml:space="preserve"> </w:t>
            </w:r>
            <w:r w:rsidRPr="007F5AE9">
              <w:rPr>
                <w:rFonts w:ascii="Times New Roman" w:hAnsi="Times New Roman"/>
                <w:sz w:val="24"/>
                <w:szCs w:val="24"/>
              </w:rPr>
              <w:t xml:space="preserve">4.1.1.) </w:t>
            </w:r>
            <w:r w:rsidR="009C4969" w:rsidRPr="007F5AE9">
              <w:rPr>
                <w:rFonts w:ascii="Times New Roman" w:hAnsi="Times New Roman"/>
                <w:sz w:val="24"/>
                <w:szCs w:val="24"/>
              </w:rPr>
              <w:t>pirm</w:t>
            </w:r>
            <w:r w:rsidR="009C4969">
              <w:rPr>
                <w:rFonts w:ascii="Times New Roman" w:hAnsi="Times New Roman"/>
                <w:sz w:val="24"/>
                <w:szCs w:val="24"/>
              </w:rPr>
              <w:t xml:space="preserve">ās </w:t>
            </w:r>
            <w:r w:rsidR="009C4969" w:rsidRPr="007F5AE9">
              <w:rPr>
                <w:rFonts w:ascii="Times New Roman" w:hAnsi="Times New Roman"/>
                <w:sz w:val="24"/>
                <w:szCs w:val="24"/>
              </w:rPr>
              <w:t xml:space="preserve"> </w:t>
            </w:r>
            <w:r w:rsidRPr="007F5AE9">
              <w:rPr>
                <w:rFonts w:ascii="Times New Roman" w:hAnsi="Times New Roman"/>
                <w:sz w:val="24"/>
                <w:szCs w:val="24"/>
              </w:rPr>
              <w:t xml:space="preserve">atlases </w:t>
            </w:r>
            <w:r w:rsidR="009C4969" w:rsidRPr="007F5AE9">
              <w:rPr>
                <w:rFonts w:ascii="Times New Roman" w:hAnsi="Times New Roman"/>
                <w:sz w:val="24"/>
                <w:szCs w:val="24"/>
              </w:rPr>
              <w:t>kārt</w:t>
            </w:r>
            <w:r w:rsidR="009C4969">
              <w:rPr>
                <w:rFonts w:ascii="Times New Roman" w:hAnsi="Times New Roman"/>
                <w:sz w:val="24"/>
                <w:szCs w:val="24"/>
              </w:rPr>
              <w:t>as ietvaros</w:t>
            </w:r>
            <w:r w:rsidR="009C4969" w:rsidRPr="007F5AE9">
              <w:rPr>
                <w:rFonts w:ascii="Times New Roman" w:hAnsi="Times New Roman"/>
                <w:sz w:val="24"/>
                <w:szCs w:val="24"/>
              </w:rPr>
              <w:t xml:space="preserve"> </w:t>
            </w:r>
            <w:r w:rsidRPr="007F5AE9">
              <w:rPr>
                <w:rFonts w:ascii="Times New Roman" w:hAnsi="Times New Roman"/>
                <w:sz w:val="24"/>
                <w:szCs w:val="24"/>
              </w:rPr>
              <w:t>un laikā no 2018.gada marta līdz 2018.gada jūnijam organizēja</w:t>
            </w:r>
            <w:r w:rsidR="009C4969">
              <w:rPr>
                <w:rFonts w:ascii="Times New Roman" w:hAnsi="Times New Roman"/>
                <w:sz w:val="24"/>
                <w:szCs w:val="24"/>
              </w:rPr>
              <w:t xml:space="preserve"> projektu iesniegumu pieņemšanu</w:t>
            </w:r>
            <w:r w:rsidRPr="007F5AE9">
              <w:rPr>
                <w:rFonts w:ascii="Times New Roman" w:hAnsi="Times New Roman"/>
                <w:sz w:val="24"/>
                <w:szCs w:val="24"/>
              </w:rPr>
              <w:t xml:space="preserve"> SAM 4.1.1. otr</w:t>
            </w:r>
            <w:r w:rsidR="009C4969">
              <w:rPr>
                <w:rFonts w:ascii="Times New Roman" w:hAnsi="Times New Roman"/>
                <w:sz w:val="24"/>
                <w:szCs w:val="24"/>
              </w:rPr>
              <w:t>ās</w:t>
            </w:r>
            <w:r w:rsidRPr="007F5AE9">
              <w:rPr>
                <w:rFonts w:ascii="Times New Roman" w:hAnsi="Times New Roman"/>
                <w:sz w:val="24"/>
                <w:szCs w:val="24"/>
              </w:rPr>
              <w:t xml:space="preserve"> projektu iesniegumu atlases kārt</w:t>
            </w:r>
            <w:r w:rsidR="009C4969">
              <w:rPr>
                <w:rFonts w:ascii="Times New Roman" w:hAnsi="Times New Roman"/>
                <w:sz w:val="24"/>
                <w:szCs w:val="24"/>
              </w:rPr>
              <w:t>as ietvaros</w:t>
            </w:r>
            <w:r w:rsidRPr="007F5AE9">
              <w:rPr>
                <w:rFonts w:ascii="Times New Roman" w:hAnsi="Times New Roman"/>
                <w:sz w:val="24"/>
                <w:szCs w:val="24"/>
              </w:rPr>
              <w:t xml:space="preserve">. </w:t>
            </w:r>
          </w:p>
          <w:p w14:paraId="5228F907" w14:textId="77777777" w:rsidR="00414819" w:rsidRPr="007F5AE9" w:rsidRDefault="00414819" w:rsidP="00BF2718">
            <w:pPr>
              <w:spacing w:after="0" w:line="240" w:lineRule="auto"/>
              <w:ind w:left="-10" w:firstLine="284"/>
              <w:contextualSpacing/>
              <w:jc w:val="both"/>
              <w:rPr>
                <w:rFonts w:ascii="Times New Roman" w:hAnsi="Times New Roman"/>
                <w:sz w:val="24"/>
                <w:szCs w:val="24"/>
              </w:rPr>
            </w:pPr>
            <w:r w:rsidRPr="007F5AE9">
              <w:rPr>
                <w:rFonts w:ascii="Times New Roman" w:hAnsi="Times New Roman"/>
                <w:sz w:val="24"/>
                <w:szCs w:val="24"/>
              </w:rPr>
              <w:t xml:space="preserve">SAM 4.1.1 Pirmās atlases kārtas ietvaros tika iesniegti 37 projekti, no kuriem īstenošanā esoši vai pabeigti ir kopumā 23 projekti, kuru kopējais pieprasītais Kohēzijas fonda (turpmāk – KF) finansējums ir 6 030 872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xml:space="preserve">. Savukārt otrās atlases kārtas ietvaros tika iesniegts 41 projekts, kur šobrīd īstenošanas, izskatīšanas un precizēšanas stadijā ir 25 projekti, kuru kopējais pieprasītais KF finansējums ir 7 080 644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xml:space="preserve">. </w:t>
            </w:r>
          </w:p>
          <w:p w14:paraId="42A54EB0" w14:textId="0732E132" w:rsidR="00414819" w:rsidRPr="007F5AE9" w:rsidRDefault="00414819" w:rsidP="00BF2718">
            <w:pPr>
              <w:spacing w:after="0" w:line="240" w:lineRule="auto"/>
              <w:ind w:left="-10" w:firstLine="284"/>
              <w:contextualSpacing/>
              <w:jc w:val="both"/>
              <w:rPr>
                <w:rFonts w:ascii="Times New Roman" w:hAnsi="Times New Roman"/>
                <w:sz w:val="24"/>
                <w:szCs w:val="24"/>
              </w:rPr>
            </w:pPr>
            <w:r w:rsidRPr="007F5AE9">
              <w:rPr>
                <w:rFonts w:ascii="Times New Roman" w:hAnsi="Times New Roman"/>
                <w:sz w:val="24"/>
                <w:szCs w:val="24"/>
              </w:rPr>
              <w:t>Analizējot SAM 4.1.1. pirmās un otrās projektu iesniegumu atlases kārtas ietvaros īstenošanā esošajos un pabeigtajos projektos (dati par īstenošanā esošajiem un pabeigtajiem projektiem fiksēti uz 2019</w:t>
            </w:r>
            <w:r w:rsidR="003E4096">
              <w:rPr>
                <w:rFonts w:ascii="Times New Roman" w:hAnsi="Times New Roman"/>
                <w:sz w:val="24"/>
                <w:szCs w:val="24"/>
              </w:rPr>
              <w:t xml:space="preserve">.gada </w:t>
            </w:r>
            <w:r w:rsidR="00BA1712">
              <w:rPr>
                <w:rFonts w:ascii="Times New Roman" w:hAnsi="Times New Roman"/>
                <w:sz w:val="24"/>
                <w:szCs w:val="24"/>
              </w:rPr>
              <w:t>17.aprīli</w:t>
            </w:r>
            <w:r w:rsidRPr="007F5AE9">
              <w:rPr>
                <w:rFonts w:ascii="Times New Roman" w:hAnsi="Times New Roman"/>
                <w:sz w:val="24"/>
                <w:szCs w:val="24"/>
              </w:rPr>
              <w:t>) plānotos sasniedzamos rādītājus, secināms, ka plānoto rādītāju izpilde</w:t>
            </w:r>
            <w:r w:rsidR="00F2267F">
              <w:rPr>
                <w:rFonts w:ascii="Times New Roman" w:hAnsi="Times New Roman"/>
                <w:sz w:val="24"/>
                <w:szCs w:val="24"/>
              </w:rPr>
              <w:t xml:space="preserve"> pirmās un otrās kārtas ietvaros</w:t>
            </w:r>
            <w:r w:rsidRPr="007F5AE9">
              <w:rPr>
                <w:rFonts w:ascii="Times New Roman" w:hAnsi="Times New Roman"/>
                <w:sz w:val="24"/>
                <w:szCs w:val="24"/>
              </w:rPr>
              <w:t xml:space="preserve"> ir </w:t>
            </w:r>
            <w:r w:rsidR="00DB0225">
              <w:rPr>
                <w:rFonts w:ascii="Times New Roman" w:hAnsi="Times New Roman"/>
                <w:sz w:val="24"/>
                <w:szCs w:val="24"/>
              </w:rPr>
              <w:t>šāda</w:t>
            </w:r>
            <w:r w:rsidRPr="007F5AE9">
              <w:rPr>
                <w:rFonts w:ascii="Times New Roman" w:hAnsi="Times New Roman"/>
                <w:sz w:val="24"/>
                <w:szCs w:val="24"/>
              </w:rPr>
              <w:t>:</w:t>
            </w:r>
          </w:p>
          <w:p w14:paraId="6723EC2C" w14:textId="00E9CF20"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komersantu skaits, kas saņēmuši atbalstu – 35 komersanti jeb 140% no darbības programmā noteiktās sasniedzamās vērtības (25 komersanti);</w:t>
            </w:r>
          </w:p>
          <w:p w14:paraId="1AD3D875" w14:textId="4FCEDF91"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 xml:space="preserve">enerģijas ietaupījums atbalstu saņēmušajiem komersantiem 100 600,24 </w:t>
            </w:r>
            <w:proofErr w:type="spellStart"/>
            <w:r w:rsidRPr="007F5AE9">
              <w:rPr>
                <w:rFonts w:ascii="Times New Roman" w:hAnsi="Times New Roman"/>
                <w:sz w:val="24"/>
                <w:szCs w:val="24"/>
              </w:rPr>
              <w:t>MWh</w:t>
            </w:r>
            <w:proofErr w:type="spellEnd"/>
            <w:r w:rsidRPr="007F5AE9">
              <w:rPr>
                <w:rFonts w:ascii="Times New Roman" w:hAnsi="Times New Roman"/>
                <w:sz w:val="24"/>
                <w:szCs w:val="24"/>
              </w:rPr>
              <w:t xml:space="preserve">/gadā, kas būtiski pārsniedz darbības programmā noteikto – 4 395 </w:t>
            </w:r>
            <w:proofErr w:type="spellStart"/>
            <w:r w:rsidRPr="007F5AE9">
              <w:rPr>
                <w:rFonts w:ascii="Times New Roman" w:hAnsi="Times New Roman"/>
                <w:sz w:val="24"/>
                <w:szCs w:val="24"/>
              </w:rPr>
              <w:t>MWh</w:t>
            </w:r>
            <w:proofErr w:type="spellEnd"/>
            <w:r w:rsidRPr="007F5AE9">
              <w:rPr>
                <w:rFonts w:ascii="Times New Roman" w:hAnsi="Times New Roman"/>
                <w:sz w:val="24"/>
                <w:szCs w:val="24"/>
              </w:rPr>
              <w:t>/gadā;</w:t>
            </w:r>
          </w:p>
          <w:p w14:paraId="3E85E746" w14:textId="5DB704BA"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 xml:space="preserve">no atjaunojamiem energoresursiem ražotā </w:t>
            </w:r>
            <w:proofErr w:type="spellStart"/>
            <w:r w:rsidRPr="007F5AE9">
              <w:rPr>
                <w:rFonts w:ascii="Times New Roman" w:hAnsi="Times New Roman"/>
                <w:sz w:val="24"/>
                <w:szCs w:val="24"/>
              </w:rPr>
              <w:t>papildjauda</w:t>
            </w:r>
            <w:proofErr w:type="spellEnd"/>
            <w:r w:rsidRPr="007F5AE9">
              <w:rPr>
                <w:rFonts w:ascii="Times New Roman" w:hAnsi="Times New Roman"/>
                <w:sz w:val="24"/>
                <w:szCs w:val="24"/>
              </w:rPr>
              <w:t xml:space="preserve"> plānota 9,51 MW, kas pārsniedz darbības programmā norādīto – 5,4 MW;</w:t>
            </w:r>
          </w:p>
          <w:p w14:paraId="71A97470" w14:textId="703B0202"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aprēķinātais siltumnīcefekta gāzu samazinājums – 11</w:t>
            </w:r>
            <w:r w:rsidR="00392234">
              <w:rPr>
                <w:rFonts w:ascii="Times New Roman" w:hAnsi="Times New Roman"/>
                <w:sz w:val="24"/>
                <w:szCs w:val="24"/>
              </w:rPr>
              <w:t> </w:t>
            </w:r>
            <w:r w:rsidRPr="007F5AE9">
              <w:rPr>
                <w:rFonts w:ascii="Times New Roman" w:hAnsi="Times New Roman"/>
                <w:sz w:val="24"/>
                <w:szCs w:val="24"/>
              </w:rPr>
              <w:t>003,76 CO</w:t>
            </w:r>
            <w:r w:rsidRPr="00BF2718">
              <w:rPr>
                <w:rFonts w:ascii="Times New Roman" w:hAnsi="Times New Roman"/>
                <w:sz w:val="24"/>
                <w:vertAlign w:val="subscript"/>
              </w:rPr>
              <w:t>2</w:t>
            </w:r>
            <w:r w:rsidRPr="007F5AE9">
              <w:rPr>
                <w:rFonts w:ascii="Times New Roman" w:hAnsi="Times New Roman"/>
                <w:sz w:val="24"/>
                <w:szCs w:val="24"/>
              </w:rPr>
              <w:t xml:space="preserve"> ekvivalenta tonnas, kas pārsniedz darbības programmā noteikto rādītāju 6 757 CO</w:t>
            </w:r>
            <w:r w:rsidRPr="00BF2718">
              <w:rPr>
                <w:rFonts w:ascii="Times New Roman" w:hAnsi="Times New Roman"/>
                <w:sz w:val="24"/>
                <w:vertAlign w:val="subscript"/>
              </w:rPr>
              <w:t>2</w:t>
            </w:r>
            <w:r w:rsidRPr="007F5AE9">
              <w:rPr>
                <w:rFonts w:ascii="Times New Roman" w:hAnsi="Times New Roman"/>
                <w:sz w:val="24"/>
                <w:szCs w:val="24"/>
              </w:rPr>
              <w:t xml:space="preserve"> ekvivalenta tonnas.</w:t>
            </w:r>
          </w:p>
          <w:p w14:paraId="079236D0" w14:textId="3EB3D040"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lastRenderedPageBreak/>
              <w:t xml:space="preserve">Ņemot vērā, ka SAM 4.1.1. otrās atlases kārtas ietvaros vēl noris vairāku projektu precizējumu veikšana un iesniegto precizēto projektu vērtēšana, pēc visu projektu izskatīšanas un apstiprināšanas, plānotie rādītāji pēc projektu datiem var vēl pieaugt. </w:t>
            </w:r>
            <w:r w:rsidR="00323189">
              <w:rPr>
                <w:rFonts w:ascii="Times New Roman" w:hAnsi="Times New Roman"/>
                <w:sz w:val="24"/>
                <w:szCs w:val="24"/>
              </w:rPr>
              <w:t>Sākotnēji nepareizu pieņēmumu dēļ E</w:t>
            </w:r>
            <w:r w:rsidR="00104DF7">
              <w:rPr>
                <w:rFonts w:ascii="Times New Roman" w:hAnsi="Times New Roman"/>
                <w:sz w:val="24"/>
                <w:szCs w:val="24"/>
              </w:rPr>
              <w:t xml:space="preserve">konomikas ministrija rosinās veikt grozījumus darbības programmā un precizēt rādītājus atbilstoši faktiskajai situācijai. </w:t>
            </w:r>
          </w:p>
          <w:p w14:paraId="39C80261" w14:textId="33BE23DB" w:rsidR="00392234" w:rsidRPr="007059C9" w:rsidRDefault="00414819" w:rsidP="007059C9">
            <w:pPr>
              <w:spacing w:after="0" w:line="240" w:lineRule="auto"/>
              <w:ind w:left="-10" w:firstLine="236"/>
              <w:contextualSpacing/>
              <w:jc w:val="both"/>
              <w:rPr>
                <w:rFonts w:ascii="Times New Roman" w:hAnsi="Times New Roman"/>
                <w:sz w:val="24"/>
              </w:rPr>
            </w:pPr>
            <w:r w:rsidRPr="007F5AE9">
              <w:rPr>
                <w:rFonts w:ascii="Times New Roman" w:hAnsi="Times New Roman"/>
                <w:sz w:val="24"/>
                <w:szCs w:val="24"/>
              </w:rPr>
              <w:t xml:space="preserve">Ņemot vērā augsto rādītāju izpildi, secināms, ka projektos veiktās investīcijas ir ar augstu atdevi un sniedz būtisku pozitīvu ieguldījumu Latvijas energoefektivitātes mērķu sasniegšanā, kas aprakstīti Apstrādes rūpniecības nozares energoefektivitātes paaugstināšanas un finanšu pieejamības </w:t>
            </w:r>
            <w:proofErr w:type="spellStart"/>
            <w:r w:rsidRPr="007F5AE9">
              <w:rPr>
                <w:rFonts w:ascii="Times New Roman" w:hAnsi="Times New Roman"/>
                <w:i/>
                <w:sz w:val="24"/>
                <w:szCs w:val="24"/>
              </w:rPr>
              <w:t>Ex</w:t>
            </w:r>
            <w:proofErr w:type="spellEnd"/>
            <w:r w:rsidRPr="007F5AE9">
              <w:rPr>
                <w:rFonts w:ascii="Times New Roman" w:hAnsi="Times New Roman"/>
                <w:i/>
                <w:sz w:val="24"/>
                <w:szCs w:val="24"/>
              </w:rPr>
              <w:t xml:space="preserve"> </w:t>
            </w:r>
            <w:proofErr w:type="spellStart"/>
            <w:r w:rsidRPr="007F5AE9">
              <w:rPr>
                <w:rFonts w:ascii="Times New Roman" w:hAnsi="Times New Roman"/>
                <w:i/>
                <w:sz w:val="24"/>
                <w:szCs w:val="24"/>
              </w:rPr>
              <w:t>ante</w:t>
            </w:r>
            <w:proofErr w:type="spellEnd"/>
            <w:r w:rsidRPr="007F5AE9">
              <w:rPr>
                <w:rFonts w:ascii="Times New Roman" w:hAnsi="Times New Roman"/>
                <w:sz w:val="24"/>
                <w:szCs w:val="24"/>
              </w:rPr>
              <w:t xml:space="preserve"> </w:t>
            </w:r>
            <w:proofErr w:type="spellStart"/>
            <w:r w:rsidRPr="007F5AE9">
              <w:rPr>
                <w:rFonts w:ascii="Times New Roman" w:hAnsi="Times New Roman"/>
                <w:sz w:val="24"/>
                <w:szCs w:val="24"/>
              </w:rPr>
              <w:t>izvērtējumā</w:t>
            </w:r>
            <w:proofErr w:type="spellEnd"/>
            <w:r w:rsidRPr="007F5AE9">
              <w:rPr>
                <w:rFonts w:ascii="Times New Roman" w:hAnsi="Times New Roman"/>
                <w:sz w:val="24"/>
                <w:szCs w:val="24"/>
              </w:rPr>
              <w:t xml:space="preserve"> Eiropas Savienības struktūrfondu un Kohēzijas fonda 2014.</w:t>
            </w:r>
            <w:r w:rsidR="008F41B4">
              <w:rPr>
                <w:rFonts w:ascii="Times New Roman" w:hAnsi="Times New Roman"/>
                <w:sz w:val="24"/>
                <w:szCs w:val="24"/>
              </w:rPr>
              <w:t>-</w:t>
            </w:r>
            <w:r w:rsidRPr="007F5AE9">
              <w:rPr>
                <w:rFonts w:ascii="Times New Roman" w:hAnsi="Times New Roman"/>
                <w:sz w:val="24"/>
                <w:szCs w:val="24"/>
              </w:rPr>
              <w:t xml:space="preserve">2020.gada plānošanas periodam. Ņemot vērā iepriekš minēto un ņemot </w:t>
            </w:r>
            <w:r w:rsidRPr="007F5AE9">
              <w:rPr>
                <w:rFonts w:ascii="Times New Roman" w:hAnsi="Times New Roman"/>
                <w:bCs/>
                <w:sz w:val="24"/>
                <w:szCs w:val="24"/>
                <w:lang w:eastAsia="lv-LV"/>
              </w:rPr>
              <w:t>vērā komersantu augsto interesi par līdzvērtīgas atlases kārtas atkārtotu īstenošanu, Ekonomikas ministrija ir izstrādājusi Ministru kabineta noteikumu projektu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(turpmāk – noteikumu projekts) ar mērķi noteikt nosacījumus SAM 4.1.1. trešās kārtas īstenošanai.</w:t>
            </w:r>
          </w:p>
          <w:p w14:paraId="35F89159" w14:textId="7E96CD9E" w:rsidR="00414819" w:rsidRPr="007F5AE9" w:rsidRDefault="00414819" w:rsidP="007059C9">
            <w:pPr>
              <w:spacing w:after="0" w:line="240" w:lineRule="auto"/>
              <w:ind w:left="-10" w:firstLine="236"/>
              <w:contextualSpacing/>
              <w:jc w:val="both"/>
              <w:rPr>
                <w:rFonts w:ascii="Times New Roman" w:hAnsi="Times New Roman"/>
                <w:sz w:val="24"/>
                <w:szCs w:val="24"/>
              </w:rPr>
            </w:pPr>
            <w:r w:rsidRPr="007F5AE9">
              <w:rPr>
                <w:rFonts w:ascii="Times New Roman" w:eastAsia="Times New Roman" w:hAnsi="Times New Roman"/>
                <w:sz w:val="24"/>
                <w:szCs w:val="24"/>
                <w:lang w:eastAsia="lv-LV"/>
              </w:rPr>
              <w:t xml:space="preserve">Šobrīd SAM 4.1.1. trešās kārtas īstenošanai pieejams KF finansējums </w:t>
            </w:r>
            <w:r w:rsidR="00CD53C6">
              <w:rPr>
                <w:rFonts w:ascii="Times New Roman" w:eastAsia="Times New Roman" w:hAnsi="Times New Roman"/>
                <w:sz w:val="24"/>
                <w:szCs w:val="24"/>
                <w:lang w:eastAsia="lv-LV"/>
              </w:rPr>
              <w:t>10 622 310</w:t>
            </w:r>
            <w:r w:rsidRPr="007F5AE9">
              <w:rPr>
                <w:rFonts w:ascii="Times New Roman" w:eastAsia="Times New Roman" w:hAnsi="Times New Roman"/>
                <w:sz w:val="24"/>
                <w:szCs w:val="24"/>
                <w:lang w:eastAsia="lv-LV"/>
              </w:rPr>
              <w:t xml:space="preserve"> </w:t>
            </w:r>
            <w:r w:rsidRPr="007F5AE9">
              <w:rPr>
                <w:rFonts w:ascii="Times New Roman" w:eastAsia="Times New Roman" w:hAnsi="Times New Roman"/>
                <w:i/>
                <w:sz w:val="24"/>
                <w:szCs w:val="24"/>
                <w:lang w:eastAsia="lv-LV"/>
              </w:rPr>
              <w:t>euro</w:t>
            </w:r>
            <w:r w:rsidRPr="007F5AE9">
              <w:rPr>
                <w:rFonts w:ascii="Times New Roman" w:eastAsia="Times New Roman" w:hAnsi="Times New Roman"/>
                <w:sz w:val="24"/>
                <w:szCs w:val="24"/>
                <w:lang w:eastAsia="lv-LV"/>
              </w:rPr>
              <w:t xml:space="preserve"> apmērā, ko veido SAM 4.1.1. </w:t>
            </w:r>
            <w:r w:rsidR="002D0D05">
              <w:rPr>
                <w:rFonts w:ascii="Times New Roman" w:eastAsia="Times New Roman" w:hAnsi="Times New Roman"/>
                <w:sz w:val="24"/>
                <w:szCs w:val="24"/>
                <w:lang w:eastAsia="lv-LV"/>
              </w:rPr>
              <w:t xml:space="preserve">pirmās </w:t>
            </w:r>
            <w:r w:rsidRPr="007F5AE9">
              <w:rPr>
                <w:rFonts w:ascii="Times New Roman" w:eastAsia="Times New Roman" w:hAnsi="Times New Roman"/>
                <w:sz w:val="24"/>
                <w:szCs w:val="24"/>
                <w:lang w:eastAsia="lv-LV"/>
              </w:rPr>
              <w:t xml:space="preserve">un </w:t>
            </w:r>
            <w:r w:rsidR="002D0D05">
              <w:rPr>
                <w:rFonts w:ascii="Times New Roman" w:eastAsia="Times New Roman" w:hAnsi="Times New Roman"/>
                <w:sz w:val="24"/>
                <w:szCs w:val="24"/>
                <w:lang w:eastAsia="lv-LV"/>
              </w:rPr>
              <w:t xml:space="preserve">otrās </w:t>
            </w:r>
            <w:r w:rsidRPr="007F5AE9">
              <w:rPr>
                <w:rFonts w:ascii="Times New Roman" w:eastAsia="Times New Roman" w:hAnsi="Times New Roman"/>
                <w:sz w:val="24"/>
                <w:szCs w:val="24"/>
                <w:lang w:eastAsia="lv-LV"/>
              </w:rPr>
              <w:t xml:space="preserve">kārtas pieejamā finansējuma pārpalikums (pirmās atlases kārtas </w:t>
            </w:r>
            <w:r w:rsidRPr="007059C9">
              <w:rPr>
                <w:rFonts w:ascii="Times New Roman" w:hAnsi="Times New Roman"/>
                <w:bCs/>
                <w:sz w:val="24"/>
                <w:szCs w:val="24"/>
                <w:lang w:eastAsia="lv-LV"/>
              </w:rPr>
              <w:t>ietvaros</w:t>
            </w:r>
            <w:r w:rsidRPr="007F5AE9">
              <w:rPr>
                <w:rFonts w:ascii="Times New Roman" w:eastAsia="Times New Roman" w:hAnsi="Times New Roman"/>
                <w:sz w:val="24"/>
                <w:szCs w:val="24"/>
                <w:lang w:eastAsia="lv-LV"/>
              </w:rPr>
              <w:t xml:space="preserve"> pieejamais KF finansējums 8 360 396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pieprasītais 6 030 872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bet otrās atlases kārtas ietvaros pieejamais KF finansējums 15 373 430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pieprasītais 7 080 644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(pieprasītais finansējums fiksēts uz 2019</w:t>
            </w:r>
            <w:r w:rsidR="001C799D">
              <w:rPr>
                <w:rFonts w:ascii="Times New Roman" w:eastAsia="Times New Roman" w:hAnsi="Times New Roman"/>
                <w:sz w:val="24"/>
                <w:szCs w:val="24"/>
                <w:lang w:eastAsia="lv-LV"/>
              </w:rPr>
              <w:t>.gada 17.aprīli</w:t>
            </w:r>
            <w:r w:rsidRPr="007F5AE9">
              <w:rPr>
                <w:rFonts w:ascii="Times New Roman" w:eastAsia="Times New Roman" w:hAnsi="Times New Roman"/>
                <w:sz w:val="24"/>
                <w:szCs w:val="24"/>
                <w:lang w:eastAsia="lv-LV"/>
              </w:rPr>
              <w:t>))</w:t>
            </w:r>
            <w:r w:rsidR="00323189">
              <w:rPr>
                <w:rFonts w:ascii="Times New Roman" w:eastAsia="Times New Roman" w:hAnsi="Times New Roman"/>
                <w:sz w:val="24"/>
                <w:szCs w:val="24"/>
                <w:lang w:eastAsia="lv-LV"/>
              </w:rPr>
              <w:t xml:space="preserve">. </w:t>
            </w:r>
            <w:r w:rsidR="001C7F2C">
              <w:rPr>
                <w:rFonts w:ascii="Times New Roman" w:eastAsia="Times New Roman" w:hAnsi="Times New Roman"/>
                <w:sz w:val="24"/>
                <w:szCs w:val="24"/>
                <w:lang w:eastAsia="lv-LV"/>
              </w:rPr>
              <w:t>Vienlaikus</w:t>
            </w:r>
            <w:r w:rsidRPr="007F5AE9">
              <w:rPr>
                <w:rFonts w:ascii="Times New Roman" w:eastAsia="Times New Roman" w:hAnsi="Times New Roman"/>
                <w:sz w:val="24"/>
                <w:szCs w:val="24"/>
                <w:lang w:eastAsia="lv-LV"/>
              </w:rPr>
              <w:t xml:space="preserve"> tiek veikti grozījumi SAM 4.1.1. pirmās un otrās projektu iesniegumu atlases kārtas regulējošajos Ministru kabineta noteikumos, novirzot neizmantoto finansējumu</w:t>
            </w:r>
            <w:r w:rsidR="00411582">
              <w:rPr>
                <w:rFonts w:ascii="Times New Roman" w:eastAsia="Times New Roman" w:hAnsi="Times New Roman"/>
                <w:sz w:val="24"/>
                <w:szCs w:val="24"/>
                <w:lang w:eastAsia="lv-LV"/>
              </w:rPr>
              <w:t xml:space="preserve"> </w:t>
            </w:r>
            <w:r w:rsidR="0076511B">
              <w:rPr>
                <w:rFonts w:ascii="Times New Roman" w:eastAsia="Times New Roman" w:hAnsi="Times New Roman"/>
                <w:sz w:val="24"/>
                <w:szCs w:val="24"/>
                <w:lang w:eastAsia="lv-LV"/>
              </w:rPr>
              <w:t>10 622</w:t>
            </w:r>
            <w:r w:rsidR="00BF2718">
              <w:rPr>
                <w:rFonts w:ascii="Times New Roman" w:eastAsia="Times New Roman" w:hAnsi="Times New Roman"/>
                <w:sz w:val="24"/>
                <w:szCs w:val="24"/>
                <w:lang w:eastAsia="lv-LV"/>
              </w:rPr>
              <w:t> </w:t>
            </w:r>
            <w:r w:rsidR="0076511B">
              <w:rPr>
                <w:rFonts w:ascii="Times New Roman" w:eastAsia="Times New Roman" w:hAnsi="Times New Roman"/>
                <w:sz w:val="24"/>
                <w:szCs w:val="24"/>
                <w:lang w:eastAsia="lv-LV"/>
              </w:rPr>
              <w:t>310</w:t>
            </w:r>
            <w:r w:rsidR="00BF2718">
              <w:rPr>
                <w:rFonts w:ascii="Times New Roman" w:eastAsia="Times New Roman" w:hAnsi="Times New Roman"/>
                <w:sz w:val="24"/>
                <w:szCs w:val="24"/>
                <w:lang w:eastAsia="lv-LV"/>
              </w:rPr>
              <w:t xml:space="preserve"> </w:t>
            </w:r>
            <w:r w:rsidRPr="007F5AE9">
              <w:rPr>
                <w:rFonts w:ascii="Times New Roman" w:eastAsia="Times New Roman" w:hAnsi="Times New Roman"/>
                <w:sz w:val="24"/>
                <w:szCs w:val="24"/>
                <w:lang w:eastAsia="lv-LV"/>
              </w:rPr>
              <w:t xml:space="preserve">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apmērā SAM 4.1.1 trešās kārtas īstenošanai. Lai nodrošinātu informācijas izsekojamību, noteikumu projekti par grozījumiem SAM 4.1.1. pirmās un otrās atlases kārtas regulējošajos Ministru kabineta noteikumos un noteikumu projekts par SAM 4.1.1 trešās kārtas īstenošanu tiek virzīti saskaņošanai vienlaicīgi.</w:t>
            </w:r>
            <w:r w:rsidR="00323189">
              <w:rPr>
                <w:rFonts w:ascii="Times New Roman" w:eastAsia="Times New Roman" w:hAnsi="Times New Roman"/>
                <w:sz w:val="24"/>
                <w:szCs w:val="24"/>
                <w:lang w:eastAsia="lv-LV"/>
              </w:rPr>
              <w:t xml:space="preserve"> Pēc Komisijas lēmuma par rezerves piešķiršanu, Ekonomikas ministrija nepieciešamības gadījumā veiks vajadzīgos grozījumus MK noteikumos, lai nodrošinātu SAM 4.1.1. KF rezerves 2 015 429 </w:t>
            </w:r>
            <w:proofErr w:type="spellStart"/>
            <w:r w:rsidR="00323189" w:rsidRPr="00323189">
              <w:rPr>
                <w:rFonts w:ascii="Times New Roman" w:eastAsia="Times New Roman" w:hAnsi="Times New Roman"/>
                <w:i/>
                <w:sz w:val="24"/>
                <w:szCs w:val="24"/>
                <w:lang w:eastAsia="lv-LV"/>
              </w:rPr>
              <w:t>euro</w:t>
            </w:r>
            <w:proofErr w:type="spellEnd"/>
            <w:r w:rsidR="00323189">
              <w:rPr>
                <w:rFonts w:ascii="Times New Roman" w:eastAsia="Times New Roman" w:hAnsi="Times New Roman"/>
                <w:sz w:val="24"/>
                <w:szCs w:val="24"/>
                <w:lang w:eastAsia="lv-LV"/>
              </w:rPr>
              <w:t xml:space="preserve"> apmērā pārdali SAM 4.1.1. trešās kārtas īstenošanai </w:t>
            </w:r>
            <w:r w:rsidRPr="007F5AE9">
              <w:rPr>
                <w:rFonts w:ascii="Times New Roman" w:eastAsia="Times New Roman" w:hAnsi="Times New Roman"/>
                <w:sz w:val="24"/>
                <w:szCs w:val="24"/>
                <w:lang w:eastAsia="lv-LV"/>
              </w:rPr>
              <w:t xml:space="preserve"> </w:t>
            </w:r>
          </w:p>
          <w:p w14:paraId="6460951E" w14:textId="54B23880"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Līdzvērtīgi kā SAM 4.1.1. pirmās un otrās atlases kārtas ietvaros, arī trešās kārtas ietvaros finansējuma saņēmēji ir Latvijas Republikā reģistrēti sīkie (mikro), mazie, vidējie un lielie komersanti, kuru viena no darbības nozarēm ir apstrādes rūpniecība (NACE 2.red. C sadaļa, izņemot C12 – tabakas izstrādājumu ražošana). Ņemot vērā iepriekšējo atlases kārtu ietvaros konstatētos specifiskos gadījumus, norādām</w:t>
            </w:r>
            <w:r w:rsidR="007561BC">
              <w:rPr>
                <w:rFonts w:ascii="Times New Roman" w:hAnsi="Times New Roman"/>
                <w:sz w:val="24"/>
                <w:szCs w:val="24"/>
              </w:rPr>
              <w:t>s</w:t>
            </w:r>
            <w:r w:rsidRPr="007F5AE9">
              <w:rPr>
                <w:rFonts w:ascii="Times New Roman" w:hAnsi="Times New Roman"/>
                <w:sz w:val="24"/>
                <w:szCs w:val="24"/>
              </w:rPr>
              <w:t xml:space="preserve">, ka, ņemot vērā SAM 4.1.1. trešās atlases kārtas mērķi, atbalstāmas ir investīcijas ēkās, </w:t>
            </w:r>
            <w:proofErr w:type="spellStart"/>
            <w:r w:rsidRPr="007F5AE9">
              <w:rPr>
                <w:rFonts w:ascii="Times New Roman" w:hAnsi="Times New Roman"/>
                <w:sz w:val="24"/>
                <w:szCs w:val="24"/>
              </w:rPr>
              <w:t>inženiersistēmās</w:t>
            </w:r>
            <w:proofErr w:type="spellEnd"/>
            <w:r w:rsidRPr="007F5AE9">
              <w:rPr>
                <w:rFonts w:ascii="Times New Roman" w:hAnsi="Times New Roman"/>
                <w:sz w:val="24"/>
                <w:szCs w:val="24"/>
              </w:rPr>
              <w:t xml:space="preserve"> un iekārtās, kas ir saistītas ar komersanta darbību apstrādes rūpniecībā. </w:t>
            </w:r>
            <w:r w:rsidR="00EA3860">
              <w:rPr>
                <w:rFonts w:ascii="Times New Roman" w:hAnsi="Times New Roman"/>
                <w:sz w:val="24"/>
                <w:szCs w:val="24"/>
              </w:rPr>
              <w:t>Proti</w:t>
            </w:r>
            <w:r w:rsidRPr="007F5AE9">
              <w:rPr>
                <w:rFonts w:ascii="Times New Roman" w:hAnsi="Times New Roman"/>
                <w:sz w:val="24"/>
                <w:szCs w:val="24"/>
              </w:rPr>
              <w:t xml:space="preserve">, ja atbalsta pretendents veic darbības arī citās nozarēs, kas nav apstrādes </w:t>
            </w:r>
            <w:r w:rsidRPr="007F5AE9">
              <w:rPr>
                <w:rFonts w:ascii="Times New Roman" w:hAnsi="Times New Roman"/>
                <w:sz w:val="24"/>
                <w:szCs w:val="24"/>
              </w:rPr>
              <w:lastRenderedPageBreak/>
              <w:t>rūpniecība, ieguldījumi ir attiecināmi tikai uz pasākumiem, kas attiecināmi uz komersanta darbību apstrādes rūpniecībā.</w:t>
            </w:r>
          </w:p>
          <w:p w14:paraId="724CDAF1" w14:textId="77BEC694" w:rsidR="00414819" w:rsidRPr="007F5AE9" w:rsidRDefault="00414819" w:rsidP="00BF2718">
            <w:pPr>
              <w:spacing w:after="0" w:line="240" w:lineRule="auto"/>
              <w:ind w:left="-10" w:firstLine="236"/>
              <w:contextualSpacing/>
              <w:jc w:val="both"/>
              <w:rPr>
                <w:rFonts w:ascii="Times New Roman" w:hAnsi="Times New Roman"/>
                <w:sz w:val="24"/>
                <w:szCs w:val="24"/>
              </w:rPr>
            </w:pPr>
            <w:r w:rsidRPr="00F90584">
              <w:rPr>
                <w:rFonts w:ascii="Times New Roman" w:hAnsi="Times New Roman"/>
                <w:sz w:val="24"/>
                <w:szCs w:val="24"/>
              </w:rPr>
              <w:t xml:space="preserve">SAM 4.1.1. otrās kārtas ietvaros tika noteikts, ka specifiskā atbalsta ietvaros vienam finansējuma saņēmējam un tā saistītajiem uzņēmumiem maksimāli pieejamais </w:t>
            </w:r>
            <w:r w:rsidR="00AC5EEC" w:rsidRPr="00F90584">
              <w:rPr>
                <w:rFonts w:ascii="Times New Roman" w:hAnsi="Times New Roman"/>
                <w:sz w:val="24"/>
                <w:szCs w:val="24"/>
              </w:rPr>
              <w:t>KF</w:t>
            </w:r>
            <w:r w:rsidRPr="00F90584">
              <w:rPr>
                <w:rFonts w:ascii="Times New Roman" w:hAnsi="Times New Roman"/>
                <w:sz w:val="24"/>
                <w:szCs w:val="24"/>
              </w:rPr>
              <w:t xml:space="preserve"> finansējuma apmērs ir 1</w:t>
            </w:r>
            <w:r w:rsidR="00034471" w:rsidRPr="00F90584">
              <w:rPr>
                <w:rFonts w:ascii="Times New Roman" w:hAnsi="Times New Roman"/>
                <w:sz w:val="24"/>
                <w:szCs w:val="24"/>
              </w:rPr>
              <w:t> </w:t>
            </w:r>
            <w:r w:rsidRPr="00F90584">
              <w:rPr>
                <w:rFonts w:ascii="Times New Roman" w:hAnsi="Times New Roman"/>
                <w:sz w:val="24"/>
                <w:szCs w:val="24"/>
              </w:rPr>
              <w:t>000</w:t>
            </w:r>
            <w:r w:rsidR="00034471" w:rsidRPr="00F90584">
              <w:rPr>
                <w:rFonts w:ascii="Times New Roman" w:hAnsi="Times New Roman"/>
                <w:sz w:val="24"/>
                <w:szCs w:val="24"/>
              </w:rPr>
              <w:t> </w:t>
            </w:r>
            <w:r w:rsidRPr="00F90584">
              <w:rPr>
                <w:rFonts w:ascii="Times New Roman" w:hAnsi="Times New Roman"/>
                <w:sz w:val="24"/>
                <w:szCs w:val="24"/>
              </w:rPr>
              <w:t>000 </w:t>
            </w:r>
            <w:proofErr w:type="spellStart"/>
            <w:r w:rsidRPr="00F90584">
              <w:rPr>
                <w:rFonts w:ascii="Times New Roman" w:hAnsi="Times New Roman"/>
                <w:i/>
                <w:sz w:val="24"/>
                <w:szCs w:val="24"/>
              </w:rPr>
              <w:t>euro</w:t>
            </w:r>
            <w:proofErr w:type="spellEnd"/>
            <w:r w:rsidRPr="00F90584">
              <w:rPr>
                <w:rFonts w:ascii="Times New Roman" w:hAnsi="Times New Roman"/>
                <w:i/>
                <w:sz w:val="24"/>
                <w:szCs w:val="24"/>
              </w:rPr>
              <w:t xml:space="preserve">, </w:t>
            </w:r>
            <w:r w:rsidRPr="00F90584">
              <w:rPr>
                <w:rFonts w:ascii="Times New Roman" w:hAnsi="Times New Roman"/>
                <w:sz w:val="24"/>
                <w:szCs w:val="24"/>
              </w:rPr>
              <w:t>tādējādi radot ierobežojumu uz visu specifiskā atbalsta mērķi, nevis tikai konkrēto atlases kārtu.</w:t>
            </w:r>
            <w:r w:rsidRPr="00F90584">
              <w:rPr>
                <w:rFonts w:ascii="Times New Roman" w:hAnsi="Times New Roman"/>
                <w:i/>
                <w:sz w:val="24"/>
                <w:szCs w:val="24"/>
              </w:rPr>
              <w:t xml:space="preserve"> </w:t>
            </w:r>
            <w:r w:rsidRPr="00F90584">
              <w:rPr>
                <w:rFonts w:ascii="Times New Roman" w:hAnsi="Times New Roman"/>
                <w:sz w:val="24"/>
                <w:szCs w:val="24"/>
              </w:rPr>
              <w:t xml:space="preserve">Lai veicinātu KF investēšanu, SAM 4.1.1. trešās atlases kārtas ietvaros ierobežojums tiek noteikts tikai uz atlases kārtu, t.i., vienam finansējuma saņēmējam un viņa saistītajām personām maksimāli pieejamais KF finansējuma apmērs SAM 4.1.1. trešās atlases kārtas ietvaros ir 1 000 000 </w:t>
            </w:r>
            <w:proofErr w:type="spellStart"/>
            <w:r w:rsidRPr="00F90584">
              <w:rPr>
                <w:rFonts w:ascii="Times New Roman" w:hAnsi="Times New Roman"/>
                <w:i/>
                <w:sz w:val="24"/>
                <w:szCs w:val="24"/>
              </w:rPr>
              <w:t>euro</w:t>
            </w:r>
            <w:proofErr w:type="spellEnd"/>
            <w:r w:rsidRPr="00F90584">
              <w:rPr>
                <w:rFonts w:ascii="Times New Roman" w:hAnsi="Times New Roman"/>
                <w:sz w:val="24"/>
                <w:szCs w:val="24"/>
              </w:rPr>
              <w:t>.</w:t>
            </w:r>
            <w:r w:rsidRPr="007F5AE9">
              <w:rPr>
                <w:rFonts w:ascii="Times New Roman" w:hAnsi="Times New Roman"/>
                <w:sz w:val="24"/>
                <w:szCs w:val="24"/>
              </w:rPr>
              <w:t xml:space="preserve"> Atbilstoši plānots veikt grozījumus arī SAM 4.1.1. otro atlases kārtu regulējošajos Ministru kabineta noteikumos, lai ļautu komersantiem un to saistītajām personām, kas atbalstu saņēmuši iepriekšējo atlases kārtu ietvaros, veicināt energoefektivitāti un iesniegt projektus arī SAM 4.1.1. trešās kārtas ietvaros. </w:t>
            </w:r>
          </w:p>
          <w:p w14:paraId="18164FDB" w14:textId="451C8329" w:rsidR="00414819" w:rsidRPr="007F5AE9" w:rsidRDefault="00414819" w:rsidP="00104DF7">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Tā pat kā SAM 4.1.1. pirmās un otrās projektu iesniegumu atlases kārtas ietvaros, arī trešās kārtas ietvaros visiem finansējuma saņēmējiem tiek piemērota vienāda maksimālā KF atbalsta intensitāte 30% apmērā no kopējām projekta attiecināmajām izmaksām un atbalsts tiek sniegts </w:t>
            </w:r>
            <w:proofErr w:type="spellStart"/>
            <w:r w:rsidRPr="007F5AE9">
              <w:rPr>
                <w:rFonts w:ascii="Times New Roman" w:hAnsi="Times New Roman"/>
                <w:sz w:val="24"/>
                <w:szCs w:val="24"/>
              </w:rPr>
              <w:t>granta</w:t>
            </w:r>
            <w:proofErr w:type="spellEnd"/>
            <w:r w:rsidRPr="007F5AE9">
              <w:rPr>
                <w:rFonts w:ascii="Times New Roman" w:hAnsi="Times New Roman"/>
                <w:sz w:val="24"/>
                <w:szCs w:val="24"/>
              </w:rPr>
              <w:t xml:space="preserve"> veidā.</w:t>
            </w:r>
            <w:r w:rsidR="00104DF7">
              <w:rPr>
                <w:rFonts w:ascii="Times New Roman" w:hAnsi="Times New Roman"/>
                <w:sz w:val="24"/>
                <w:szCs w:val="24"/>
              </w:rPr>
              <w:t xml:space="preserve"> </w:t>
            </w:r>
            <w:r w:rsidR="00104DF7" w:rsidRPr="00104DF7">
              <w:rPr>
                <w:rFonts w:ascii="Times New Roman" w:hAnsi="Times New Roman"/>
                <w:sz w:val="24"/>
                <w:szCs w:val="24"/>
              </w:rPr>
              <w:t xml:space="preserve">Izstrādājot SAM 4.1.1. sākotnējo novērtējumu, kura ietvaros tika analizētas tirgus nepilnības attiecībā uz to, vai SAM 4.1.1. ietvaros efektīvākais atbalsta veids būtu finanšu instruments vai grants, tika secināts, ka finanšu instruments nav efektīvākais atbalsta veids energoefektivitātes projektos apstrādes rūpniecībās, kas ir saistīts ar apstrādes rūpniecības produktu ciklu, kas ir stipri īsāks par tradicionālo aizdevumu atmaksas periodu. Ņemot vērā ierobežotos ES fondu līdzekļus, efektīvākais veids, kā spējam vienlaikus atbalstīt pēc iespējas vairāk apstrādes rūpniecības komersantus un tajā pat laikā nodrošināt izvirzīto iznākuma rādītāju sasniegšanu, ir noteikt vienu atbalsta intensitāti </w:t>
            </w:r>
            <w:proofErr w:type="spellStart"/>
            <w:r w:rsidR="00104DF7" w:rsidRPr="00104DF7">
              <w:rPr>
                <w:rFonts w:ascii="Times New Roman" w:hAnsi="Times New Roman"/>
                <w:sz w:val="24"/>
                <w:szCs w:val="24"/>
              </w:rPr>
              <w:t>grantam</w:t>
            </w:r>
            <w:proofErr w:type="spellEnd"/>
            <w:r w:rsidR="00104DF7" w:rsidRPr="00104DF7">
              <w:rPr>
                <w:rFonts w:ascii="Times New Roman" w:hAnsi="Times New Roman"/>
                <w:sz w:val="24"/>
                <w:szCs w:val="24"/>
              </w:rPr>
              <w:t xml:space="preserve"> visu lielumu komersantiem – 30%. Vienlaikus norādām, ka intensitātes nosacījumi, kas noteikti Komisijas regulas Nr.651/2014 38.panta 5. un 6.punktos, tiek attiecināti uz atbalsta kumulāciju, kas ir pieļaujama SAM 4.1.1. ietvaros.</w:t>
            </w:r>
          </w:p>
          <w:p w14:paraId="26D89519" w14:textId="6CD51479"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Atbalsts SAM 4.1.1. trešās projektu iesniegumu atlases kārtas ietvaros tiek sniegts saskaņā ar Komisijas regulas Nr.651/2014 38.pantu “Ieguldījumu atbalsts energoefektivitātes pasākumiem”. Šis atbalsts SAM 4.1.1. trešās projektu iesniegumu atlases kārtas ietvaros var tikt kumulēts ar atbalstu citās valsts atbalsta programmās, tajā skaitā ar </w:t>
            </w:r>
            <w:proofErr w:type="spellStart"/>
            <w:r w:rsidRPr="007F5AE9">
              <w:rPr>
                <w:rFonts w:ascii="Times New Roman" w:hAnsi="Times New Roman"/>
                <w:i/>
                <w:sz w:val="24"/>
                <w:szCs w:val="24"/>
              </w:rPr>
              <w:t>de</w:t>
            </w:r>
            <w:proofErr w:type="spellEnd"/>
            <w:r w:rsidRPr="007F5AE9">
              <w:rPr>
                <w:rFonts w:ascii="Times New Roman" w:hAnsi="Times New Roman"/>
                <w:i/>
                <w:sz w:val="24"/>
                <w:szCs w:val="24"/>
              </w:rPr>
              <w:t xml:space="preserve"> </w:t>
            </w:r>
            <w:proofErr w:type="spellStart"/>
            <w:r w:rsidRPr="007F5AE9">
              <w:rPr>
                <w:rFonts w:ascii="Times New Roman" w:hAnsi="Times New Roman"/>
                <w:i/>
                <w:sz w:val="24"/>
                <w:szCs w:val="24"/>
              </w:rPr>
              <w:t>minimis</w:t>
            </w:r>
            <w:proofErr w:type="spellEnd"/>
            <w:r w:rsidRPr="007F5AE9">
              <w:rPr>
                <w:rFonts w:ascii="Times New Roman" w:hAnsi="Times New Roman"/>
                <w:sz w:val="24"/>
                <w:szCs w:val="24"/>
              </w:rPr>
              <w:t xml:space="preserve"> atbalstu, kopsummā nepārsniedzot Komisijas regulas Nr.651/2014 38.panta 4., 5. un 6.punktā minētos intensitātes ierobežojumus.</w:t>
            </w:r>
          </w:p>
          <w:p w14:paraId="62E7F799" w14:textId="1C84B0BF"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SAM 4.1.1. trešās atlases kārtas ietvaros plānots paplašināt atbalstāmo darbību loku, t.i., ieguldījumus veic ne tikai rūpnieciskās ražošanas ēkās, bet arī noliktavās (ēkām jāatbilst būvju klasifikācijas kodam 125 saskaņā ar būvju klasifikācijas noteikumiem, inženierbūvēs, ražošanas iekārtās un </w:t>
            </w:r>
            <w:proofErr w:type="spellStart"/>
            <w:r w:rsidRPr="007F5AE9">
              <w:rPr>
                <w:rFonts w:ascii="Times New Roman" w:hAnsi="Times New Roman"/>
                <w:sz w:val="24"/>
                <w:szCs w:val="24"/>
              </w:rPr>
              <w:t>inženiersistēmās</w:t>
            </w:r>
            <w:proofErr w:type="spellEnd"/>
            <w:r w:rsidRPr="007F5AE9">
              <w:rPr>
                <w:rFonts w:ascii="Times New Roman" w:hAnsi="Times New Roman"/>
                <w:sz w:val="24"/>
                <w:szCs w:val="24"/>
              </w:rPr>
              <w:t xml:space="preserve">). Vienlaikus gan izvirzīts nosacījums, ka investīcijas noliktavu ēku energoefektivitātes uzlabošanai ir attiecināmas tikai gadījumā, ja ēkā </w:t>
            </w:r>
            <w:r w:rsidRPr="007F5AE9">
              <w:rPr>
                <w:rFonts w:ascii="Times New Roman" w:hAnsi="Times New Roman"/>
                <w:sz w:val="24"/>
                <w:szCs w:val="24"/>
              </w:rPr>
              <w:lastRenderedPageBreak/>
              <w:t>tiek patērēta enerģija mikroklimata regulēšanai un noliktavas ēka ir tiešā veidā saistīta ar projekta iesniedzēja saražotās produkcijas vai izejvielu uzglabāšanu. Attiecināmo ēku loks paplašināts, jo, komunicējot ar uzņēmumiem un redzot faktisko situāciju apstrādes rūpniecības uzņēmumos, konstatēts, ka apstrādes rūpniecības uzņēmumu teritorijās nereti ir noliktavu ēkas, kurās tiek izmantots liels enerģijas daudzums mikroklimata uzturēšanai, lai nodrošinātu ražošanas procesam nepieciešamo izejvielu vai galaprodukcijas kvalitāti.</w:t>
            </w:r>
            <w:r w:rsidR="00D72D48">
              <w:rPr>
                <w:rFonts w:ascii="Times New Roman" w:hAnsi="Times New Roman"/>
                <w:sz w:val="24"/>
                <w:szCs w:val="24"/>
              </w:rPr>
              <w:t xml:space="preserve"> </w:t>
            </w:r>
            <w:r w:rsidR="00323189">
              <w:rPr>
                <w:rFonts w:ascii="Times New Roman" w:hAnsi="Times New Roman"/>
                <w:sz w:val="24"/>
                <w:szCs w:val="24"/>
              </w:rPr>
              <w:t>Darbības programma nosaka SAM 4.1.1. ietvaros  i</w:t>
            </w:r>
            <w:r w:rsidR="00323189" w:rsidRPr="00323189">
              <w:rPr>
                <w:rFonts w:ascii="Times New Roman" w:hAnsi="Times New Roman"/>
                <w:sz w:val="24"/>
                <w:szCs w:val="24"/>
              </w:rPr>
              <w:t>ndikatīvās atbalstāmās darbības, tostarp apstrādes rūpniecības komersantu ēku energoefektivitātes uzlabošanas pasākumi, nenosakot, ka tās var būt tikai ražošanas ēkas.</w:t>
            </w:r>
          </w:p>
          <w:p w14:paraId="274002AE" w14:textId="77777777"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Trešās projektu iesniegumu atlases kārtas ietvaros vienā projekta iesniegumā var iekļaut investīcijas vairākās ražošanas ēkās, kuras:</w:t>
            </w:r>
          </w:p>
          <w:p w14:paraId="5DB3857B" w14:textId="77777777" w:rsidR="00414819" w:rsidRPr="007F5AE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w:t>
            </w:r>
            <w:r w:rsidRPr="007F5AE9">
              <w:rPr>
                <w:rFonts w:ascii="Times New Roman" w:hAnsi="Times New Roman"/>
                <w:sz w:val="24"/>
                <w:szCs w:val="24"/>
              </w:rPr>
              <w:tab/>
              <w:t>atrodas vienā rūpnieciskās apbūves teritorijā;</w:t>
            </w:r>
          </w:p>
          <w:p w14:paraId="4B14A955" w14:textId="77777777" w:rsidR="00414819" w:rsidRPr="007F5AE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w:t>
            </w:r>
            <w:r w:rsidRPr="007F5AE9">
              <w:rPr>
                <w:rFonts w:ascii="Times New Roman" w:hAnsi="Times New Roman"/>
                <w:sz w:val="24"/>
                <w:szCs w:val="24"/>
              </w:rPr>
              <w:tab/>
              <w:t>ir projekta iesniedzēja īpašumā, nomā vai valdījumā;</w:t>
            </w:r>
          </w:p>
          <w:p w14:paraId="517979F4" w14:textId="77777777" w:rsidR="00414819" w:rsidRPr="007F5AE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w:t>
            </w:r>
            <w:r w:rsidRPr="007F5AE9">
              <w:rPr>
                <w:rFonts w:ascii="Times New Roman" w:hAnsi="Times New Roman"/>
                <w:sz w:val="24"/>
                <w:szCs w:val="24"/>
              </w:rPr>
              <w:tab/>
              <w:t>ir nepieciešamas vienota ražošanas procesa nodrošināšanai.</w:t>
            </w:r>
          </w:p>
          <w:p w14:paraId="7B2DFF61" w14:textId="77777777" w:rsidR="00414819" w:rsidRPr="007F5AE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Atbalstāmās darbības:</w:t>
            </w:r>
          </w:p>
          <w:p w14:paraId="75D997E3" w14:textId="37A4DF25"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rūpnieciskās ražošanas ēku un noliktavu energoefektivitāti paaugstinošu pārbūves vai atjaunošanas darbu veikšana;</w:t>
            </w:r>
          </w:p>
          <w:p w14:paraId="18CAEDF6" w14:textId="69261AA8"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 xml:space="preserve">energoefektīvāku ražošanas tehnoloģisko iekārtu un ražošanas tehnoloģisko procesu nodrošinošo </w:t>
            </w:r>
            <w:proofErr w:type="spellStart"/>
            <w:r w:rsidRPr="007F5AE9">
              <w:rPr>
                <w:rFonts w:ascii="Times New Roman" w:hAnsi="Times New Roman"/>
                <w:sz w:val="24"/>
                <w:szCs w:val="24"/>
              </w:rPr>
              <w:t>blakusprocesu</w:t>
            </w:r>
            <w:proofErr w:type="spellEnd"/>
            <w:r w:rsidRPr="007F5AE9">
              <w:rPr>
                <w:rFonts w:ascii="Times New Roman" w:hAnsi="Times New Roman"/>
                <w:sz w:val="24"/>
                <w:szCs w:val="24"/>
              </w:rPr>
              <w:t xml:space="preserve"> iekārtu iegāde, lai aizstātu esošās ražošanas tehnoloģiskās iekārtas un ražošanas tehnoloģisko procesu nodrošinošo </w:t>
            </w:r>
            <w:proofErr w:type="spellStart"/>
            <w:r w:rsidRPr="007F5AE9">
              <w:rPr>
                <w:rFonts w:ascii="Times New Roman" w:hAnsi="Times New Roman"/>
                <w:sz w:val="24"/>
                <w:szCs w:val="24"/>
              </w:rPr>
              <w:t>blakusprocesu</w:t>
            </w:r>
            <w:proofErr w:type="spellEnd"/>
            <w:r w:rsidRPr="007F5AE9">
              <w:rPr>
                <w:rFonts w:ascii="Times New Roman" w:hAnsi="Times New Roman"/>
                <w:sz w:val="24"/>
                <w:szCs w:val="24"/>
              </w:rPr>
              <w:t xml:space="preserve"> iekārtas;</w:t>
            </w:r>
          </w:p>
          <w:p w14:paraId="3C17B289" w14:textId="7864C6E6"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sekundāro energoresursu atgūšana no ražošanas tehnoloģiskiem procesiem;</w:t>
            </w:r>
          </w:p>
          <w:p w14:paraId="74290623" w14:textId="4D2F5BDE"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proofErr w:type="spellStart"/>
            <w:r w:rsidRPr="007F5AE9">
              <w:rPr>
                <w:rFonts w:ascii="Times New Roman" w:hAnsi="Times New Roman"/>
                <w:sz w:val="24"/>
                <w:szCs w:val="24"/>
              </w:rPr>
              <w:t>inženiersistēmu</w:t>
            </w:r>
            <w:proofErr w:type="spellEnd"/>
            <w:r w:rsidRPr="007F5AE9">
              <w:rPr>
                <w:rFonts w:ascii="Times New Roman" w:hAnsi="Times New Roman"/>
                <w:sz w:val="24"/>
                <w:szCs w:val="24"/>
              </w:rPr>
              <w:t xml:space="preserve"> atjaunošana, pārbūve vai izveide ražošanas ēkā, noliktavā un ražošanas teritorijā;</w:t>
            </w:r>
          </w:p>
          <w:p w14:paraId="64DD5AC8" w14:textId="2CE4264C"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ieguldījumi atjaunojamo enerģijas avotu izmantošanai;</w:t>
            </w:r>
          </w:p>
          <w:p w14:paraId="1AF0A46B" w14:textId="479DF27F"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projekta tehniskās dokumentācijas sagatavošana;</w:t>
            </w:r>
          </w:p>
          <w:p w14:paraId="0866D2CD" w14:textId="77777777"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projekta vadības un uzraudzības nodrošināšana.</w:t>
            </w:r>
          </w:p>
          <w:p w14:paraId="1FE99226" w14:textId="0A14266F" w:rsidR="00414819" w:rsidRPr="007F5AE9" w:rsidRDefault="00414819" w:rsidP="00BF2718">
            <w:pPr>
              <w:spacing w:after="0" w:line="240" w:lineRule="auto"/>
              <w:ind w:left="-10" w:firstLine="378"/>
              <w:contextualSpacing/>
              <w:jc w:val="both"/>
              <w:rPr>
                <w:rFonts w:ascii="Times New Roman" w:hAnsi="Times New Roman"/>
                <w:sz w:val="24"/>
                <w:szCs w:val="24"/>
              </w:rPr>
            </w:pPr>
            <w:r w:rsidRPr="007F5AE9">
              <w:rPr>
                <w:rFonts w:ascii="Times New Roman" w:hAnsi="Times New Roman"/>
                <w:sz w:val="24"/>
                <w:szCs w:val="24"/>
              </w:rPr>
              <w:t xml:space="preserve">Atšķirībā no SAM 4.1.1 pirmās un otrās atlases kārtas, trešajā kārtā izvirzīts ierobežojums attiecībā uz apgaismojuma maiņas projektiem. Proti, ņemot vērā, ka apgaismojuma nomaiņas investīcijas ir tādas, kas atmaksājas salīdzinoši ātri, līdz </w:t>
            </w:r>
            <w:r w:rsidR="00D52F29">
              <w:rPr>
                <w:rFonts w:ascii="Times New Roman" w:hAnsi="Times New Roman"/>
                <w:sz w:val="24"/>
                <w:szCs w:val="24"/>
              </w:rPr>
              <w:t>pieciem</w:t>
            </w:r>
            <w:r w:rsidR="00D52F29" w:rsidRPr="007F5AE9">
              <w:rPr>
                <w:rFonts w:ascii="Times New Roman" w:hAnsi="Times New Roman"/>
                <w:sz w:val="24"/>
                <w:szCs w:val="24"/>
              </w:rPr>
              <w:t xml:space="preserve"> </w:t>
            </w:r>
            <w:r w:rsidRPr="007F5AE9">
              <w:rPr>
                <w:rFonts w:ascii="Times New Roman" w:hAnsi="Times New Roman"/>
                <w:sz w:val="24"/>
                <w:szCs w:val="24"/>
              </w:rPr>
              <w:t xml:space="preserve">gadiem, kas atbilst uzņēmuma biznesa ciklam. Kā norādīts Apstrādes rūpniecības nozares energoefektivitātes paaugstināšanas un finanšu pieejamības </w:t>
            </w:r>
            <w:proofErr w:type="spellStart"/>
            <w:r w:rsidRPr="007F5AE9">
              <w:rPr>
                <w:rFonts w:ascii="Times New Roman" w:hAnsi="Times New Roman"/>
                <w:i/>
                <w:sz w:val="24"/>
                <w:szCs w:val="24"/>
              </w:rPr>
              <w:t>Ex</w:t>
            </w:r>
            <w:proofErr w:type="spellEnd"/>
            <w:r w:rsidRPr="007F5AE9">
              <w:rPr>
                <w:rFonts w:ascii="Times New Roman" w:hAnsi="Times New Roman"/>
                <w:i/>
                <w:sz w:val="24"/>
                <w:szCs w:val="24"/>
              </w:rPr>
              <w:t xml:space="preserve"> </w:t>
            </w:r>
            <w:proofErr w:type="spellStart"/>
            <w:r w:rsidRPr="007F5AE9">
              <w:rPr>
                <w:rFonts w:ascii="Times New Roman" w:hAnsi="Times New Roman"/>
                <w:i/>
                <w:sz w:val="24"/>
                <w:szCs w:val="24"/>
              </w:rPr>
              <w:t>ante</w:t>
            </w:r>
            <w:proofErr w:type="spellEnd"/>
            <w:r w:rsidRPr="007F5AE9">
              <w:rPr>
                <w:rFonts w:ascii="Times New Roman" w:hAnsi="Times New Roman"/>
                <w:sz w:val="24"/>
                <w:szCs w:val="24"/>
              </w:rPr>
              <w:t xml:space="preserve"> </w:t>
            </w:r>
            <w:proofErr w:type="spellStart"/>
            <w:r w:rsidRPr="007F5AE9">
              <w:rPr>
                <w:rFonts w:ascii="Times New Roman" w:hAnsi="Times New Roman"/>
                <w:sz w:val="24"/>
                <w:szCs w:val="24"/>
              </w:rPr>
              <w:t>izvērtējumā</w:t>
            </w:r>
            <w:proofErr w:type="spellEnd"/>
            <w:r w:rsidR="00A047EF">
              <w:rPr>
                <w:rStyle w:val="FootnoteReference"/>
                <w:rFonts w:ascii="Times New Roman" w:hAnsi="Times New Roman"/>
                <w:sz w:val="24"/>
                <w:szCs w:val="24"/>
              </w:rPr>
              <w:footnoteReference w:id="2"/>
            </w:r>
            <w:r w:rsidRPr="007F5AE9">
              <w:rPr>
                <w:rFonts w:ascii="Times New Roman" w:hAnsi="Times New Roman"/>
                <w:sz w:val="24"/>
                <w:szCs w:val="24"/>
              </w:rPr>
              <w:t xml:space="preserve">, </w:t>
            </w:r>
            <w:proofErr w:type="spellStart"/>
            <w:r w:rsidRPr="007F5AE9">
              <w:rPr>
                <w:rFonts w:ascii="Times New Roman" w:hAnsi="Times New Roman"/>
                <w:sz w:val="24"/>
                <w:szCs w:val="24"/>
              </w:rPr>
              <w:t>grantu</w:t>
            </w:r>
            <w:proofErr w:type="spellEnd"/>
            <w:r w:rsidRPr="007F5AE9">
              <w:rPr>
                <w:rFonts w:ascii="Times New Roman" w:hAnsi="Times New Roman"/>
                <w:sz w:val="24"/>
                <w:szCs w:val="24"/>
              </w:rPr>
              <w:t xml:space="preserve"> finansējums samazina energoefektivitātes pasākum</w:t>
            </w:r>
            <w:r w:rsidRPr="00BF2718">
              <w:rPr>
                <w:rFonts w:ascii="Times New Roman" w:hAnsi="Times New Roman"/>
                <w:sz w:val="24"/>
              </w:rPr>
              <w:t xml:space="preserve">u </w:t>
            </w:r>
            <w:r w:rsidRPr="007F5AE9">
              <w:rPr>
                <w:rFonts w:ascii="Times New Roman" w:hAnsi="Times New Roman"/>
                <w:sz w:val="24"/>
                <w:szCs w:val="24"/>
              </w:rPr>
              <w:t xml:space="preserve">atmaksāšanās laiku, padarot to salīdzināmu ar uzņēmuma biznesa ciklu. Ņemot vērā minēto, noteikumu projekts paredz atļaut apgaismojuma nomaiņu, ja apgaismojuma nomaiņas attiecināmo izmaksu kopsumma nepārsniedz 30% no projekta kopējām attiecināmajām izmaksām, tādējādi veicinot kompleksu projektu īstenošanu. Papildus, lai veicinātu visas ražošanas teritorijas energoefektivitāti, SAM 4.1.1. trešās atlases kārtas ietvaros attiecināma arī āra apgaismojuma nomaiņa, ievērojot iepriekš minēto nosacījumu. </w:t>
            </w:r>
          </w:p>
          <w:p w14:paraId="5D2E9AC1" w14:textId="0FD53527"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Attiecībā uz dokumentāciju, kas obligāti iesniedzama, lai pierādītu energoefektivitātes ietaupījumus un to aprēķinus, SAM 4.1.1. pirmās un otrās kārtas ietvaros tika definēts, ka nepieciešams obligāti </w:t>
            </w:r>
            <w:r w:rsidRPr="007F5AE9">
              <w:rPr>
                <w:rFonts w:ascii="Times New Roman" w:hAnsi="Times New Roman"/>
                <w:sz w:val="24"/>
                <w:szCs w:val="24"/>
              </w:rPr>
              <w:lastRenderedPageBreak/>
              <w:t xml:space="preserve">iesniegt Ēkas </w:t>
            </w:r>
            <w:proofErr w:type="spellStart"/>
            <w:r w:rsidRPr="007F5AE9">
              <w:rPr>
                <w:rFonts w:ascii="Times New Roman" w:hAnsi="Times New Roman"/>
                <w:sz w:val="24"/>
                <w:szCs w:val="24"/>
              </w:rPr>
              <w:t>energosertifikātu</w:t>
            </w:r>
            <w:proofErr w:type="spellEnd"/>
            <w:r w:rsidRPr="007F5AE9">
              <w:rPr>
                <w:rFonts w:ascii="Times New Roman" w:hAnsi="Times New Roman"/>
                <w:sz w:val="24"/>
                <w:szCs w:val="24"/>
              </w:rPr>
              <w:t xml:space="preserve">, rūpniecisko </w:t>
            </w:r>
            <w:proofErr w:type="spellStart"/>
            <w:r w:rsidRPr="007F5AE9">
              <w:rPr>
                <w:rFonts w:ascii="Times New Roman" w:hAnsi="Times New Roman"/>
                <w:sz w:val="24"/>
                <w:szCs w:val="24"/>
              </w:rPr>
              <w:t>energoauditu</w:t>
            </w:r>
            <w:proofErr w:type="spellEnd"/>
            <w:r w:rsidRPr="007F5AE9">
              <w:rPr>
                <w:rFonts w:ascii="Times New Roman" w:hAnsi="Times New Roman"/>
                <w:sz w:val="24"/>
                <w:szCs w:val="24"/>
              </w:rPr>
              <w:t xml:space="preserve"> vai </w:t>
            </w:r>
            <w:proofErr w:type="spellStart"/>
            <w:r w:rsidRPr="007F5AE9">
              <w:rPr>
                <w:rFonts w:ascii="Times New Roman" w:hAnsi="Times New Roman"/>
                <w:sz w:val="24"/>
                <w:szCs w:val="24"/>
              </w:rPr>
              <w:t>energopārvaldības</w:t>
            </w:r>
            <w:proofErr w:type="spellEnd"/>
            <w:r w:rsidRPr="007F5AE9">
              <w:rPr>
                <w:rFonts w:ascii="Times New Roman" w:hAnsi="Times New Roman"/>
                <w:sz w:val="24"/>
                <w:szCs w:val="24"/>
              </w:rPr>
              <w:t xml:space="preserve"> sistēmas vai papildinātās vides pārvaldības </w:t>
            </w:r>
            <w:r w:rsidRPr="0059697B">
              <w:rPr>
                <w:rFonts w:ascii="Times New Roman" w:hAnsi="Times New Roman"/>
                <w:sz w:val="24"/>
                <w:szCs w:val="24"/>
              </w:rPr>
              <w:t xml:space="preserve">sistēmas sertifikāta kopiju (atkarībā no uzņēmuma lieluma) un </w:t>
            </w:r>
            <w:r w:rsidR="00A047EF" w:rsidRPr="00A047EF">
              <w:rPr>
                <w:rFonts w:ascii="Times New Roman" w:hAnsi="Times New Roman"/>
                <w:sz w:val="24"/>
                <w:szCs w:val="24"/>
              </w:rPr>
              <w:t xml:space="preserve">pārskatu par ēkas </w:t>
            </w:r>
            <w:proofErr w:type="spellStart"/>
            <w:r w:rsidR="00A047EF" w:rsidRPr="00A047EF">
              <w:rPr>
                <w:rFonts w:ascii="Times New Roman" w:hAnsi="Times New Roman"/>
                <w:sz w:val="24"/>
                <w:szCs w:val="24"/>
              </w:rPr>
              <w:t>energosertifikāta</w:t>
            </w:r>
            <w:proofErr w:type="spellEnd"/>
            <w:r w:rsidR="00A047EF" w:rsidRPr="00A047EF">
              <w:rPr>
                <w:rFonts w:ascii="Times New Roman" w:hAnsi="Times New Roman"/>
                <w:sz w:val="24"/>
                <w:szCs w:val="24"/>
              </w:rPr>
              <w:t xml:space="preserve"> aprēķinos izmantotajām </w:t>
            </w:r>
            <w:proofErr w:type="spellStart"/>
            <w:r w:rsidR="00A047EF" w:rsidRPr="00A047EF">
              <w:rPr>
                <w:rFonts w:ascii="Times New Roman" w:hAnsi="Times New Roman"/>
                <w:sz w:val="24"/>
                <w:szCs w:val="24"/>
              </w:rPr>
              <w:t>ievaddatu</w:t>
            </w:r>
            <w:proofErr w:type="spellEnd"/>
            <w:r w:rsidR="00A047EF" w:rsidRPr="00A047EF">
              <w:rPr>
                <w:rFonts w:ascii="Times New Roman" w:hAnsi="Times New Roman"/>
                <w:sz w:val="24"/>
                <w:szCs w:val="24"/>
              </w:rPr>
              <w:t xml:space="preserve"> vērtībām un ražošanas procesa novērtējumu</w:t>
            </w:r>
            <w:r w:rsidRPr="0059697B">
              <w:rPr>
                <w:rFonts w:ascii="Times New Roman" w:hAnsi="Times New Roman"/>
                <w:sz w:val="24"/>
                <w:szCs w:val="24"/>
              </w:rPr>
              <w:t>. Pēc projektu iesniegumu izskatīšanas pieredzes tika konstatēts,</w:t>
            </w:r>
            <w:r w:rsidRPr="007F5AE9">
              <w:rPr>
                <w:rFonts w:ascii="Times New Roman" w:hAnsi="Times New Roman"/>
                <w:sz w:val="24"/>
                <w:szCs w:val="24"/>
              </w:rPr>
              <w:t xml:space="preserve"> ka vairumā gadījumu minētā dokumentācija ir neprecīza un informācija nesakrīt ar Pārskata datiem, piemēram, rūpnieciskais </w:t>
            </w:r>
            <w:proofErr w:type="spellStart"/>
            <w:r w:rsidRPr="007F5AE9">
              <w:rPr>
                <w:rFonts w:ascii="Times New Roman" w:hAnsi="Times New Roman"/>
                <w:sz w:val="24"/>
                <w:szCs w:val="24"/>
              </w:rPr>
              <w:t>energoaudits</w:t>
            </w:r>
            <w:proofErr w:type="spellEnd"/>
            <w:r w:rsidRPr="007F5AE9">
              <w:rPr>
                <w:rFonts w:ascii="Times New Roman" w:hAnsi="Times New Roman"/>
                <w:sz w:val="24"/>
                <w:szCs w:val="24"/>
              </w:rPr>
              <w:t xml:space="preserve"> var būt izstrādāts, piemēram, pirms </w:t>
            </w:r>
            <w:r w:rsidR="00010797">
              <w:rPr>
                <w:rFonts w:ascii="Times New Roman" w:hAnsi="Times New Roman"/>
                <w:sz w:val="24"/>
                <w:szCs w:val="24"/>
              </w:rPr>
              <w:t>diviem</w:t>
            </w:r>
            <w:r w:rsidR="00010797" w:rsidRPr="007F5AE9">
              <w:rPr>
                <w:rFonts w:ascii="Times New Roman" w:hAnsi="Times New Roman"/>
                <w:sz w:val="24"/>
                <w:szCs w:val="24"/>
              </w:rPr>
              <w:t xml:space="preserve"> </w:t>
            </w:r>
            <w:r w:rsidRPr="007F5AE9">
              <w:rPr>
                <w:rFonts w:ascii="Times New Roman" w:hAnsi="Times New Roman"/>
                <w:sz w:val="24"/>
                <w:szCs w:val="24"/>
              </w:rPr>
              <w:t xml:space="preserve">gadiem, kā rezultātā enerģijas patēriņa dati </w:t>
            </w:r>
            <w:r w:rsidR="0000190B">
              <w:rPr>
                <w:rFonts w:ascii="Times New Roman" w:hAnsi="Times New Roman"/>
                <w:sz w:val="24"/>
                <w:szCs w:val="24"/>
              </w:rPr>
              <w:t xml:space="preserve">kļūst </w:t>
            </w:r>
            <w:r w:rsidRPr="007F5AE9">
              <w:rPr>
                <w:rFonts w:ascii="Times New Roman" w:hAnsi="Times New Roman"/>
                <w:sz w:val="24"/>
                <w:szCs w:val="24"/>
              </w:rPr>
              <w:t xml:space="preserve">neaktuāli. Lai atvieglotu SAM 4.1.1. trešās kārtas projektu atlases procesu, noteikumu projekts paredz, ka visi projekta iesniedzēji iesniedz Pārskatu par rūpnieciskās ražošanas energoefektivitātes novērtējuma aprēķinos izmantotajām </w:t>
            </w:r>
            <w:proofErr w:type="spellStart"/>
            <w:r w:rsidRPr="007F5AE9">
              <w:rPr>
                <w:rFonts w:ascii="Times New Roman" w:hAnsi="Times New Roman"/>
                <w:sz w:val="24"/>
                <w:szCs w:val="24"/>
              </w:rPr>
              <w:t>ievaddatu</w:t>
            </w:r>
            <w:proofErr w:type="spellEnd"/>
            <w:r w:rsidRPr="007F5AE9">
              <w:rPr>
                <w:rFonts w:ascii="Times New Roman" w:hAnsi="Times New Roman"/>
                <w:sz w:val="24"/>
                <w:szCs w:val="24"/>
              </w:rPr>
              <w:t xml:space="preserve"> vērtībām (MK noteikumu 1.pielikums) un Ēkas </w:t>
            </w:r>
            <w:proofErr w:type="spellStart"/>
            <w:r w:rsidRPr="007F5AE9">
              <w:rPr>
                <w:rFonts w:ascii="Times New Roman" w:hAnsi="Times New Roman"/>
                <w:sz w:val="24"/>
                <w:szCs w:val="24"/>
              </w:rPr>
              <w:t>energosertifikātu</w:t>
            </w:r>
            <w:proofErr w:type="spellEnd"/>
            <w:r w:rsidRPr="007F5AE9">
              <w:rPr>
                <w:rFonts w:ascii="Times New Roman" w:hAnsi="Times New Roman"/>
                <w:sz w:val="24"/>
                <w:szCs w:val="24"/>
              </w:rPr>
              <w:t xml:space="preserve">, ja projektā paredzētas investīcijas energoefektivitātes paaugstināšanas pasākumiem ražošanas ēkā vai noliktavā, tajā skaitā </w:t>
            </w:r>
            <w:proofErr w:type="spellStart"/>
            <w:r w:rsidRPr="007F5AE9">
              <w:rPr>
                <w:rFonts w:ascii="Times New Roman" w:hAnsi="Times New Roman"/>
                <w:sz w:val="24"/>
                <w:szCs w:val="24"/>
              </w:rPr>
              <w:t>inženiersistēmās</w:t>
            </w:r>
            <w:proofErr w:type="spellEnd"/>
            <w:r w:rsidR="00C17442">
              <w:rPr>
                <w:rFonts w:ascii="Times New Roman" w:hAnsi="Times New Roman"/>
                <w:sz w:val="24"/>
                <w:szCs w:val="24"/>
              </w:rPr>
              <w:t>,</w:t>
            </w:r>
            <w:r w:rsidRPr="007F5AE9">
              <w:rPr>
                <w:rFonts w:ascii="Times New Roman" w:hAnsi="Times New Roman"/>
                <w:sz w:val="24"/>
                <w:szCs w:val="24"/>
              </w:rPr>
              <w:t xml:space="preserve"> neatkarīgi no tā</w:t>
            </w:r>
            <w:r w:rsidR="00C17442">
              <w:rPr>
                <w:rFonts w:ascii="Times New Roman" w:hAnsi="Times New Roman"/>
                <w:sz w:val="24"/>
                <w:szCs w:val="24"/>
              </w:rPr>
              <w:t>,</w:t>
            </w:r>
            <w:r w:rsidRPr="007F5AE9">
              <w:rPr>
                <w:rFonts w:ascii="Times New Roman" w:hAnsi="Times New Roman"/>
                <w:sz w:val="24"/>
                <w:szCs w:val="24"/>
              </w:rPr>
              <w:t xml:space="preserve"> vai inženierkomunikācijas nodrošina ražošanas procesa darbību vai tikai ēkas mikroklimatu.</w:t>
            </w:r>
          </w:p>
          <w:p w14:paraId="4CBFB4FE" w14:textId="13A3D608"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Attiecībā uz ieguldījumiem siltumenerģijas, </w:t>
            </w:r>
            <w:proofErr w:type="spellStart"/>
            <w:r w:rsidRPr="007F5AE9">
              <w:rPr>
                <w:rFonts w:ascii="Times New Roman" w:hAnsi="Times New Roman"/>
                <w:sz w:val="24"/>
                <w:szCs w:val="24"/>
              </w:rPr>
              <w:t>aukstumenerģijas</w:t>
            </w:r>
            <w:proofErr w:type="spellEnd"/>
            <w:r w:rsidRPr="007F5AE9">
              <w:rPr>
                <w:rFonts w:ascii="Times New Roman" w:hAnsi="Times New Roman"/>
                <w:sz w:val="24"/>
                <w:szCs w:val="24"/>
              </w:rPr>
              <w:t xml:space="preserve"> un elektroenerģijas ražošanas avotos, kuros izmanto atjaunojamos energoresursus (noteikumu projekta 26.10.apakšpunkts), norādām</w:t>
            </w:r>
            <w:r w:rsidR="00B21181">
              <w:rPr>
                <w:rFonts w:ascii="Times New Roman" w:hAnsi="Times New Roman"/>
                <w:sz w:val="24"/>
                <w:szCs w:val="24"/>
              </w:rPr>
              <w:t>s</w:t>
            </w:r>
            <w:r w:rsidRPr="007F5AE9">
              <w:rPr>
                <w:rFonts w:ascii="Times New Roman" w:hAnsi="Times New Roman"/>
                <w:sz w:val="24"/>
                <w:szCs w:val="24"/>
              </w:rPr>
              <w:t xml:space="preserve">, ka komersantiem var tikt attiecinātas izmaksas, kas saistītas ar tādu jaunu sadedzināšanas un </w:t>
            </w:r>
            <w:proofErr w:type="spellStart"/>
            <w:r w:rsidRPr="007F5AE9">
              <w:rPr>
                <w:rFonts w:ascii="Times New Roman" w:hAnsi="Times New Roman"/>
                <w:sz w:val="24"/>
                <w:szCs w:val="24"/>
              </w:rPr>
              <w:t>aukstumenerģijas</w:t>
            </w:r>
            <w:proofErr w:type="spellEnd"/>
            <w:r w:rsidRPr="007F5AE9">
              <w:rPr>
                <w:rFonts w:ascii="Times New Roman" w:hAnsi="Times New Roman"/>
                <w:sz w:val="24"/>
                <w:szCs w:val="24"/>
              </w:rPr>
              <w:t xml:space="preserve"> iekārtu iegādi, kas</w:t>
            </w:r>
            <w:r w:rsidR="009D06AE">
              <w:rPr>
                <w:rFonts w:ascii="Times New Roman" w:hAnsi="Times New Roman"/>
                <w:sz w:val="24"/>
                <w:szCs w:val="24"/>
              </w:rPr>
              <w:t xml:space="preserve"> </w:t>
            </w:r>
            <w:r w:rsidRPr="007F5AE9">
              <w:rPr>
                <w:rFonts w:ascii="Times New Roman" w:hAnsi="Times New Roman"/>
                <w:sz w:val="24"/>
                <w:szCs w:val="24"/>
              </w:rPr>
              <w:t>nodrošina normatīvajā aktā par kārtību, kādā novērš, ierobežo un kontrolē gaisu piesārņojošo vielu emisiju no sadedzināšanas iekārtām, noteikto gaisu piesārņojošo vielu emisijas robežvērtību izpildi.</w:t>
            </w:r>
          </w:p>
          <w:p w14:paraId="1D4D5D4A" w14:textId="7B6ACB3E"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Noteikumu projekta 26.2.apakšpunktā minētās izmaksas ir attiecināmas arī tādiem projektiem, kuru ietvaros netiek veikta būvniecība, bet projektā plānoto iekārtu uzstādīšanai ir nepieciešama būvuzraudzība un autoruzraudzība. Attiecīgajā gadījumā uz projekta iesniegumu neattiecas noteikumu projekta 29.punktā norādītie nosacījumi, bet attiecas noteikumu projekta 30.punktā norādītie nosacījumi.</w:t>
            </w:r>
          </w:p>
          <w:p w14:paraId="2C6F7738" w14:textId="026E1448" w:rsidR="0041481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Noteikumu projekta 26.1.3.apakšpunktā minētās izmaksas ir attiecināmas gadījumos, kad projekta ietvaros ir plānota būvniecība.</w:t>
            </w:r>
          </w:p>
          <w:p w14:paraId="540CB1E5" w14:textId="2817CAA8" w:rsidR="007059C9" w:rsidRPr="007F5AE9" w:rsidRDefault="007059C9" w:rsidP="00BF2718">
            <w:pPr>
              <w:spacing w:after="0" w:line="240" w:lineRule="auto"/>
              <w:ind w:left="-10" w:firstLine="236"/>
              <w:contextualSpacing/>
              <w:jc w:val="both"/>
              <w:rPr>
                <w:rFonts w:ascii="Times New Roman" w:hAnsi="Times New Roman"/>
                <w:sz w:val="24"/>
                <w:szCs w:val="24"/>
              </w:rPr>
            </w:pPr>
            <w:r>
              <w:rPr>
                <w:rFonts w:ascii="Times New Roman" w:hAnsi="Times New Roman"/>
                <w:sz w:val="24"/>
                <w:szCs w:val="24"/>
              </w:rPr>
              <w:t xml:space="preserve">Noteikumu projekts paredz, ka projektā darbus var uzsākt ar dienu, kad sadarbības iestādē saņemts projekta iesniegums. Kā izņēmuma gadījumi noteikti MK noteikumu 26.1. un 26.3.apakšpunktā minētās izmaksas, kas var būt radušās jau pirms projekta iesniegšanas, bet ne agrāk kā no 2019.gada 2.maija. Šāds datums tika noteikts, jo jau aprīļa beigās noteikumu projekts tika ievietots </w:t>
            </w:r>
            <w:r w:rsidRPr="005A49F2">
              <w:rPr>
                <w:rFonts w:ascii="Times New Roman" w:hAnsi="Times New Roman"/>
                <w:sz w:val="24"/>
                <w:szCs w:val="24"/>
              </w:rPr>
              <w:t xml:space="preserve">Uzraudzības komitejas e-portfelī, kas radīja interesi no komersantu puses. Ņemot vērā, ka </w:t>
            </w:r>
            <w:r w:rsidR="005A49F2">
              <w:rPr>
                <w:rFonts w:ascii="Times New Roman" w:hAnsi="Times New Roman"/>
                <w:sz w:val="24"/>
                <w:szCs w:val="24"/>
              </w:rPr>
              <w:t xml:space="preserve">sabiedrība jau tika informēta par to, ka būs pieejama trešā atlases kārta un ka </w:t>
            </w:r>
            <w:r w:rsidRPr="005A49F2">
              <w:rPr>
                <w:rFonts w:ascii="Times New Roman" w:hAnsi="Times New Roman"/>
                <w:sz w:val="24"/>
                <w:szCs w:val="24"/>
              </w:rPr>
              <w:t>tehniskās dokumentācijas sagatavošana ir laikietilpīgs process</w:t>
            </w:r>
            <w:r w:rsidR="005A49F2">
              <w:rPr>
                <w:rFonts w:ascii="Times New Roman" w:hAnsi="Times New Roman"/>
                <w:sz w:val="24"/>
                <w:szCs w:val="24"/>
              </w:rPr>
              <w:t xml:space="preserve">, minētās izmaksas ir attiecināmas jau no 2019.gada 2.maija. </w:t>
            </w:r>
          </w:p>
          <w:p w14:paraId="5193C8ED" w14:textId="56FF2159"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Iepirkumu, kas nepieciešams projekta īstenošanai, finansējuma saņēmējs veic saskaņā ar normatīvajiem aktiem iepirkumu jomā. Iepirkuma procedūras rezultātā tiek slēgti piegādes vai pakalpojuma līgumi, kuru ietvaros cita starpā var tikt paredzēta iekārtu piegāde un lietotājā instruktāža par piegādātās iekārtas lietošanu.</w:t>
            </w:r>
          </w:p>
          <w:p w14:paraId="16793DDB" w14:textId="3E2B5170"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lastRenderedPageBreak/>
              <w:t xml:space="preserve">Lai nodrošinātu SAM 4.1.1. ietvaros noteikto iznākuma rādītāju sasniegšanu, finansējuma saņēmējiem ir noteikts pienākums </w:t>
            </w:r>
            <w:r w:rsidR="00EF0932">
              <w:rPr>
                <w:rFonts w:ascii="Times New Roman" w:hAnsi="Times New Roman"/>
                <w:sz w:val="24"/>
                <w:szCs w:val="24"/>
              </w:rPr>
              <w:t>piecus</w:t>
            </w:r>
            <w:r w:rsidR="00EF0932" w:rsidRPr="007F5AE9">
              <w:rPr>
                <w:rFonts w:ascii="Times New Roman" w:hAnsi="Times New Roman"/>
                <w:sz w:val="24"/>
                <w:szCs w:val="24"/>
              </w:rPr>
              <w:t xml:space="preserve"> </w:t>
            </w:r>
            <w:r w:rsidRPr="007F5AE9">
              <w:rPr>
                <w:rFonts w:ascii="Times New Roman" w:hAnsi="Times New Roman"/>
                <w:sz w:val="24"/>
                <w:szCs w:val="24"/>
              </w:rPr>
              <w:t>gadus pēc projekta īstenošanas pabeigšanas ik gadu līdz 31.janvārim iesniegt darbības pārskatu sadarbības iestādei, kas sagatavots atbilstoši noteikumu projekta 2.pielikumam, kurā iekļauta informācija par enerģijas patēriņu ēkā vai konkrētajā ražošanas procesā un citiem saistošajiem rādītājiem. Vienlaikus, iesniedzot projekta pieteikumu, projekta iesniedzējam ir jāsniedz informācija, kas ļauj pārliecināties, ka pēc projekta īstenošanas, tiks nodrošināts, ka:</w:t>
            </w:r>
          </w:p>
          <w:p w14:paraId="4446C4F6" w14:textId="0A6922CA"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 xml:space="preserve">plānotais enerģijas ietaupījums pēc energoefektivitātes paaugstināšanas pasākumu īstenošanas ir ne mazāk kā 15% gadā no </w:t>
            </w:r>
            <w:r w:rsidR="004163F7">
              <w:rPr>
                <w:rFonts w:ascii="Times New Roman" w:hAnsi="Times New Roman"/>
                <w:sz w:val="24"/>
                <w:szCs w:val="24"/>
              </w:rPr>
              <w:t xml:space="preserve">pārskatā </w:t>
            </w:r>
            <w:r w:rsidRPr="007F5AE9">
              <w:rPr>
                <w:rFonts w:ascii="Times New Roman" w:hAnsi="Times New Roman"/>
                <w:sz w:val="24"/>
                <w:szCs w:val="24"/>
              </w:rPr>
              <w:t xml:space="preserve">“Pārskats par rūpnieciskās ražošanas energoefektivitātes novērtējuma aprēķinos izmantotajām </w:t>
            </w:r>
            <w:proofErr w:type="spellStart"/>
            <w:r w:rsidRPr="007F5AE9">
              <w:rPr>
                <w:rFonts w:ascii="Times New Roman" w:hAnsi="Times New Roman"/>
                <w:sz w:val="24"/>
                <w:szCs w:val="24"/>
              </w:rPr>
              <w:t>ievaddatu</w:t>
            </w:r>
            <w:proofErr w:type="spellEnd"/>
            <w:r w:rsidRPr="007F5AE9">
              <w:rPr>
                <w:rFonts w:ascii="Times New Roman" w:hAnsi="Times New Roman"/>
                <w:sz w:val="24"/>
                <w:szCs w:val="24"/>
              </w:rPr>
              <w:t xml:space="preserve"> vērtībām”</w:t>
            </w:r>
            <w:r w:rsidR="004163F7">
              <w:rPr>
                <w:rFonts w:ascii="Times New Roman" w:hAnsi="Times New Roman"/>
                <w:sz w:val="24"/>
                <w:szCs w:val="24"/>
              </w:rPr>
              <w:t xml:space="preserve"> </w:t>
            </w:r>
            <w:r w:rsidR="00E316F9" w:rsidRPr="008C1390">
              <w:rPr>
                <w:rFonts w:ascii="Times New Roman" w:hAnsi="Times New Roman"/>
                <w:sz w:val="24"/>
                <w:szCs w:val="24"/>
              </w:rPr>
              <w:t>aprēķinātā enerģijas patēriņa pirms energoefektivitātes paaugstināšanas pasākumu īstenošanas konkrētajā ražošanas procesā</w:t>
            </w:r>
            <w:r w:rsidR="00E316F9">
              <w:rPr>
                <w:rFonts w:ascii="Times New Roman" w:hAnsi="Times New Roman"/>
                <w:sz w:val="24"/>
                <w:szCs w:val="24"/>
              </w:rPr>
              <w:t xml:space="preserve">, ražošanas tehnoloģisko procesu nodrošinošajā </w:t>
            </w:r>
            <w:proofErr w:type="spellStart"/>
            <w:r w:rsidR="00E316F9">
              <w:rPr>
                <w:rFonts w:ascii="Times New Roman" w:hAnsi="Times New Roman"/>
                <w:sz w:val="24"/>
                <w:szCs w:val="24"/>
              </w:rPr>
              <w:t>blakusprocesā</w:t>
            </w:r>
            <w:proofErr w:type="spellEnd"/>
            <w:r w:rsidR="00E316F9" w:rsidRPr="008C1390">
              <w:rPr>
                <w:rFonts w:ascii="Times New Roman" w:hAnsi="Times New Roman"/>
                <w:sz w:val="24"/>
                <w:szCs w:val="24"/>
              </w:rPr>
              <w:t xml:space="preserve"> vai </w:t>
            </w:r>
            <w:r w:rsidR="00E316F9">
              <w:rPr>
                <w:rFonts w:ascii="Times New Roman" w:hAnsi="Times New Roman"/>
                <w:sz w:val="24"/>
                <w:szCs w:val="24"/>
              </w:rPr>
              <w:t xml:space="preserve">rūpnieciskās ražošanas </w:t>
            </w:r>
            <w:r w:rsidR="00E316F9" w:rsidRPr="008C1390">
              <w:rPr>
                <w:rFonts w:ascii="Times New Roman" w:hAnsi="Times New Roman"/>
                <w:sz w:val="24"/>
                <w:szCs w:val="24"/>
              </w:rPr>
              <w:t>ēkas</w:t>
            </w:r>
            <w:r w:rsidR="00E316F9">
              <w:rPr>
                <w:rFonts w:ascii="Times New Roman" w:hAnsi="Times New Roman"/>
                <w:sz w:val="24"/>
                <w:szCs w:val="24"/>
              </w:rPr>
              <w:t>, noliktavas, kurā tiek veiktas investīcijas,</w:t>
            </w:r>
            <w:r w:rsidR="00E316F9" w:rsidRPr="008C1390">
              <w:rPr>
                <w:rFonts w:ascii="Times New Roman" w:hAnsi="Times New Roman"/>
                <w:sz w:val="24"/>
                <w:szCs w:val="24"/>
              </w:rPr>
              <w:t xml:space="preserve"> siltumenerģijas patēriņā</w:t>
            </w:r>
            <w:r w:rsidR="00E316F9">
              <w:rPr>
                <w:rFonts w:ascii="Times New Roman" w:hAnsi="Times New Roman"/>
                <w:sz w:val="24"/>
                <w:szCs w:val="24"/>
              </w:rPr>
              <w:t>;</w:t>
            </w:r>
          </w:p>
          <w:p w14:paraId="69FEF95E" w14:textId="0DAD481A"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plānotais siltumenerģijas patēriņš ēkas apkurei pēc energoefektivitātes paaugstināšanas pasākumu īstenošanas</w:t>
            </w:r>
            <w:r w:rsidR="009D06AE">
              <w:rPr>
                <w:rFonts w:ascii="Times New Roman" w:hAnsi="Times New Roman"/>
                <w:sz w:val="24"/>
                <w:szCs w:val="24"/>
              </w:rPr>
              <w:t xml:space="preserve"> </w:t>
            </w:r>
            <w:r w:rsidRPr="007F5AE9">
              <w:rPr>
                <w:rFonts w:ascii="Times New Roman" w:hAnsi="Times New Roman"/>
                <w:sz w:val="24"/>
                <w:szCs w:val="24"/>
              </w:rPr>
              <w:t xml:space="preserve">nepārsniedz 110 </w:t>
            </w:r>
            <w:proofErr w:type="spellStart"/>
            <w:r w:rsidRPr="007F5AE9">
              <w:rPr>
                <w:rFonts w:ascii="Times New Roman" w:hAnsi="Times New Roman"/>
                <w:sz w:val="24"/>
                <w:szCs w:val="24"/>
              </w:rPr>
              <w:t>kWh</w:t>
            </w:r>
            <w:proofErr w:type="spellEnd"/>
            <w:r w:rsidRPr="007F5AE9">
              <w:rPr>
                <w:rFonts w:ascii="Times New Roman" w:hAnsi="Times New Roman"/>
                <w:sz w:val="24"/>
                <w:szCs w:val="24"/>
              </w:rPr>
              <w:t>/m</w:t>
            </w:r>
            <w:r w:rsidRPr="007F5AE9">
              <w:rPr>
                <w:rFonts w:ascii="Times New Roman" w:hAnsi="Times New Roman"/>
                <w:sz w:val="24"/>
                <w:szCs w:val="24"/>
                <w:vertAlign w:val="superscript"/>
              </w:rPr>
              <w:t>2</w:t>
            </w:r>
            <w:r w:rsidRPr="007F5AE9">
              <w:rPr>
                <w:rFonts w:ascii="Times New Roman" w:hAnsi="Times New Roman"/>
                <w:sz w:val="24"/>
                <w:szCs w:val="24"/>
              </w:rPr>
              <w:t xml:space="preserve"> gadā, ja projekta ietvaros plānots veikt noteikumu projekta 26.4.un 26.5. apakšpunktā minētās darbības;</w:t>
            </w:r>
          </w:p>
          <w:p w14:paraId="75B1697B" w14:textId="4BB3CBDC"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 xml:space="preserve">ražošanas ēku, noliktavu vismaz </w:t>
            </w:r>
            <w:r w:rsidR="00A309AF">
              <w:rPr>
                <w:rFonts w:ascii="Times New Roman" w:hAnsi="Times New Roman"/>
                <w:sz w:val="24"/>
                <w:szCs w:val="24"/>
              </w:rPr>
              <w:t>piecus</w:t>
            </w:r>
            <w:r w:rsidR="00A309AF" w:rsidRPr="007F5AE9">
              <w:rPr>
                <w:rFonts w:ascii="Times New Roman" w:hAnsi="Times New Roman"/>
                <w:sz w:val="24"/>
                <w:szCs w:val="24"/>
              </w:rPr>
              <w:t xml:space="preserve"> </w:t>
            </w:r>
            <w:r w:rsidRPr="007F5AE9">
              <w:rPr>
                <w:rFonts w:ascii="Times New Roman" w:hAnsi="Times New Roman"/>
                <w:sz w:val="24"/>
                <w:szCs w:val="24"/>
              </w:rPr>
              <w:t>gadus pēc projekta realizēšanas izmanto ražošanas vajadzībām apstrādes rūpniecības nozarē;</w:t>
            </w:r>
          </w:p>
          <w:p w14:paraId="493FEFE9" w14:textId="77777777"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 xml:space="preserve">tiks uzstādīti elektroenerģijas, siltumenerģijas un </w:t>
            </w:r>
            <w:proofErr w:type="spellStart"/>
            <w:r w:rsidRPr="007F5AE9">
              <w:rPr>
                <w:rFonts w:ascii="Times New Roman" w:hAnsi="Times New Roman"/>
                <w:sz w:val="24"/>
                <w:szCs w:val="24"/>
              </w:rPr>
              <w:t>aukstumenerģijas</w:t>
            </w:r>
            <w:proofErr w:type="spellEnd"/>
            <w:r w:rsidRPr="007F5AE9">
              <w:rPr>
                <w:rFonts w:ascii="Times New Roman" w:hAnsi="Times New Roman"/>
                <w:sz w:val="24"/>
                <w:szCs w:val="24"/>
              </w:rPr>
              <w:t xml:space="preserve"> skaitītāji, lai nodrošinātu projekta rezultātu monitoringu.</w:t>
            </w:r>
          </w:p>
          <w:p w14:paraId="0D41F94A" w14:textId="33C65AB6" w:rsidR="0041481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Finansējuma saņēmējs nodrošina projektā sasniegto rezultātu uzturēšanu no saviem privātajiem līdzekļiem.</w:t>
            </w:r>
          </w:p>
          <w:p w14:paraId="5B92BD20" w14:textId="77777777" w:rsidR="005A49F2" w:rsidRDefault="005A49F2" w:rsidP="00BF2718">
            <w:pPr>
              <w:tabs>
                <w:tab w:val="left" w:pos="541"/>
              </w:tabs>
              <w:spacing w:after="0" w:line="240" w:lineRule="auto"/>
              <w:ind w:left="-10" w:firstLine="267"/>
              <w:contextualSpacing/>
              <w:jc w:val="both"/>
              <w:rPr>
                <w:rFonts w:ascii="Times New Roman" w:hAnsi="Times New Roman"/>
                <w:sz w:val="24"/>
                <w:szCs w:val="24"/>
              </w:rPr>
            </w:pPr>
          </w:p>
          <w:p w14:paraId="2B35C26F" w14:textId="5F618115" w:rsidR="007059C9" w:rsidRPr="007F5AE9" w:rsidRDefault="007059C9" w:rsidP="00BF2718">
            <w:pPr>
              <w:tabs>
                <w:tab w:val="left" w:pos="541"/>
              </w:tabs>
              <w:spacing w:after="0" w:line="240" w:lineRule="auto"/>
              <w:ind w:left="-10" w:firstLine="267"/>
              <w:contextualSpacing/>
              <w:jc w:val="both"/>
              <w:rPr>
                <w:rFonts w:ascii="Times New Roman" w:hAnsi="Times New Roman"/>
                <w:sz w:val="24"/>
                <w:szCs w:val="24"/>
              </w:rPr>
            </w:pPr>
            <w:r w:rsidRPr="007059C9">
              <w:rPr>
                <w:rFonts w:ascii="Times New Roman" w:hAnsi="Times New Roman"/>
                <w:sz w:val="24"/>
                <w:szCs w:val="24"/>
              </w:rPr>
              <w:t>SAM 4.1.1. ir pozitīva ietekme uz Eiropas Savienības Stratēģijas Baltijas jūras reģionam ietvaros noteikto mērķi “kopējā enerģijas patēriņa samazināšana reģiona valstīs”, kas noteikts saskaņā ar Direktīvu 2012/27/ES.</w:t>
            </w:r>
          </w:p>
        </w:tc>
      </w:tr>
      <w:tr w:rsidR="00414819" w:rsidRPr="007F5AE9" w14:paraId="5FB32C22" w14:textId="77777777" w:rsidTr="00BF2718">
        <w:trPr>
          <w:trHeight w:val="360"/>
        </w:trPr>
        <w:tc>
          <w:tcPr>
            <w:tcW w:w="450" w:type="dxa"/>
            <w:tcBorders>
              <w:top w:val="single" w:sz="4" w:space="0" w:color="auto"/>
              <w:left w:val="single" w:sz="4" w:space="0" w:color="auto"/>
              <w:bottom w:val="single" w:sz="4" w:space="0" w:color="auto"/>
              <w:right w:val="single" w:sz="4" w:space="0" w:color="auto"/>
            </w:tcBorders>
          </w:tcPr>
          <w:p w14:paraId="12FF4454" w14:textId="63743780" w:rsidR="00414819" w:rsidRPr="007F5AE9" w:rsidRDefault="007A1A25" w:rsidP="0025259B">
            <w:pPr>
              <w:spacing w:after="0" w:line="240" w:lineRule="auto"/>
              <w:ind w:left="-1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13" w:type="dxa"/>
            <w:tcBorders>
              <w:top w:val="single" w:sz="4" w:space="0" w:color="auto"/>
              <w:left w:val="single" w:sz="4" w:space="0" w:color="auto"/>
              <w:bottom w:val="single" w:sz="4" w:space="0" w:color="auto"/>
              <w:right w:val="single" w:sz="4" w:space="0" w:color="auto"/>
            </w:tcBorders>
            <w:hideMark/>
          </w:tcPr>
          <w:p w14:paraId="2B67D711" w14:textId="52702F44" w:rsidR="00414819" w:rsidRPr="007F5AE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Projekta izstrādē iesaistītās institūcijas un publikas personas kapitālsabiedrības</w:t>
            </w:r>
          </w:p>
        </w:tc>
        <w:tc>
          <w:tcPr>
            <w:tcW w:w="6693" w:type="dxa"/>
            <w:tcBorders>
              <w:top w:val="single" w:sz="4" w:space="0" w:color="auto"/>
              <w:left w:val="single" w:sz="4" w:space="0" w:color="auto"/>
              <w:bottom w:val="single" w:sz="4" w:space="0" w:color="auto"/>
              <w:right w:val="single" w:sz="4" w:space="0" w:color="auto"/>
            </w:tcBorders>
            <w:hideMark/>
          </w:tcPr>
          <w:p w14:paraId="49B27EB1" w14:textId="5186F71F" w:rsidR="00414819" w:rsidRPr="007F5AE9" w:rsidRDefault="00414819" w:rsidP="00BF2718">
            <w:pPr>
              <w:spacing w:after="0" w:line="240" w:lineRule="auto"/>
              <w:ind w:left="-10"/>
              <w:contextualSpacing/>
              <w:jc w:val="both"/>
              <w:rPr>
                <w:rFonts w:ascii="Times New Roman" w:hAnsi="Times New Roman"/>
                <w:color w:val="000000"/>
                <w:sz w:val="24"/>
                <w:szCs w:val="24"/>
              </w:rPr>
            </w:pPr>
            <w:r w:rsidRPr="007F5AE9">
              <w:rPr>
                <w:rFonts w:ascii="Times New Roman" w:hAnsi="Times New Roman"/>
                <w:color w:val="000000"/>
                <w:sz w:val="24"/>
                <w:szCs w:val="24"/>
              </w:rPr>
              <w:t>Ekonomikas ministrija</w:t>
            </w:r>
          </w:p>
        </w:tc>
      </w:tr>
      <w:tr w:rsidR="00414819" w:rsidRPr="007F5AE9" w14:paraId="51FE2A99" w14:textId="77777777" w:rsidTr="00BF2718">
        <w:trPr>
          <w:trHeight w:val="20"/>
        </w:trPr>
        <w:tc>
          <w:tcPr>
            <w:tcW w:w="450" w:type="dxa"/>
            <w:tcBorders>
              <w:top w:val="single" w:sz="4" w:space="0" w:color="auto"/>
              <w:left w:val="single" w:sz="4" w:space="0" w:color="auto"/>
              <w:bottom w:val="single" w:sz="4" w:space="0" w:color="auto"/>
              <w:right w:val="single" w:sz="4" w:space="0" w:color="auto"/>
            </w:tcBorders>
          </w:tcPr>
          <w:p w14:paraId="504BC5C6" w14:textId="25399616" w:rsidR="00414819" w:rsidRPr="007F5AE9" w:rsidRDefault="007A1A25" w:rsidP="0025259B">
            <w:pPr>
              <w:spacing w:after="0" w:line="240" w:lineRule="auto"/>
              <w:ind w:left="-1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13" w:type="dxa"/>
            <w:tcBorders>
              <w:top w:val="single" w:sz="4" w:space="0" w:color="auto"/>
              <w:left w:val="single" w:sz="4" w:space="0" w:color="auto"/>
              <w:bottom w:val="single" w:sz="4" w:space="0" w:color="auto"/>
              <w:right w:val="single" w:sz="4" w:space="0" w:color="auto"/>
            </w:tcBorders>
            <w:hideMark/>
          </w:tcPr>
          <w:p w14:paraId="77B0FA67" w14:textId="38FDC3D6" w:rsidR="00414819" w:rsidRPr="007F5AE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Cita informācija</w:t>
            </w:r>
          </w:p>
        </w:tc>
        <w:tc>
          <w:tcPr>
            <w:tcW w:w="6693" w:type="dxa"/>
            <w:tcBorders>
              <w:top w:val="single" w:sz="4" w:space="0" w:color="auto"/>
              <w:left w:val="single" w:sz="4" w:space="0" w:color="auto"/>
              <w:bottom w:val="single" w:sz="4" w:space="0" w:color="auto"/>
              <w:right w:val="single" w:sz="4" w:space="0" w:color="auto"/>
            </w:tcBorders>
            <w:hideMark/>
          </w:tcPr>
          <w:p w14:paraId="5B832A64" w14:textId="77777777" w:rsidR="00414819" w:rsidRPr="007F5AE9" w:rsidRDefault="00414819" w:rsidP="00BF2718">
            <w:pPr>
              <w:spacing w:after="0" w:line="240" w:lineRule="auto"/>
              <w:ind w:left="-10"/>
              <w:contextualSpacing/>
              <w:jc w:val="both"/>
              <w:rPr>
                <w:rFonts w:ascii="Times New Roman" w:hAnsi="Times New Roman"/>
                <w:sz w:val="24"/>
                <w:szCs w:val="24"/>
              </w:rPr>
            </w:pPr>
            <w:r w:rsidRPr="007F5AE9">
              <w:rPr>
                <w:rFonts w:ascii="Times New Roman" w:hAnsi="Times New Roman"/>
                <w:sz w:val="24"/>
                <w:szCs w:val="24"/>
              </w:rPr>
              <w:t>Nav</w:t>
            </w:r>
          </w:p>
        </w:tc>
      </w:tr>
    </w:tbl>
    <w:p w14:paraId="2A68FE5F" w14:textId="77777777" w:rsidR="00E26CFB" w:rsidRPr="00BF2718" w:rsidRDefault="00E26CFB" w:rsidP="007059C9">
      <w:pPr>
        <w:spacing w:after="0" w:line="240" w:lineRule="auto"/>
        <w:contextualSpacing/>
        <w:rPr>
          <w:rFonts w:ascii="Times New Roman" w:hAnsi="Times New Roman"/>
          <w:sz w:val="24"/>
        </w:rPr>
      </w:pPr>
    </w:p>
    <w:tbl>
      <w:tblPr>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57" w:type="dxa"/>
          <w:right w:w="57" w:type="dxa"/>
        </w:tblCellMar>
        <w:tblLook w:val="04A0" w:firstRow="1" w:lastRow="0" w:firstColumn="1" w:lastColumn="0" w:noHBand="0" w:noVBand="1"/>
      </w:tblPr>
      <w:tblGrid>
        <w:gridCol w:w="456"/>
        <w:gridCol w:w="3543"/>
        <w:gridCol w:w="5357"/>
      </w:tblGrid>
      <w:tr w:rsidR="0025259B" w:rsidRPr="007F5AE9" w14:paraId="12DC7694" w14:textId="77777777" w:rsidTr="00BF2718">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35582DA9" w14:textId="77777777" w:rsidR="0025259B" w:rsidRPr="007F5AE9" w:rsidRDefault="0025259B" w:rsidP="00BF2718">
            <w:pPr>
              <w:spacing w:after="0" w:line="240" w:lineRule="auto"/>
              <w:contextualSpacing/>
              <w:jc w:val="center"/>
              <w:rPr>
                <w:rFonts w:ascii="Times New Roman" w:eastAsia="Times New Roman" w:hAnsi="Times New Roman"/>
                <w:b/>
                <w:bCs/>
                <w:sz w:val="24"/>
                <w:szCs w:val="24"/>
                <w:lang w:eastAsia="lv-LV"/>
              </w:rPr>
            </w:pPr>
            <w:r w:rsidRPr="007F5AE9">
              <w:rPr>
                <w:rFonts w:ascii="Times New Roman" w:eastAsia="Times New Roman" w:hAnsi="Times New Roman"/>
                <w:b/>
                <w:bCs/>
                <w:sz w:val="24"/>
                <w:szCs w:val="24"/>
                <w:lang w:eastAsia="lv-LV"/>
              </w:rPr>
              <w:t>II. Tiesību akta projekta ietekme uz sabiedrību, tautsaimniecības attīstību un administratīvo slogu</w:t>
            </w:r>
          </w:p>
        </w:tc>
      </w:tr>
      <w:tr w:rsidR="0025259B" w:rsidRPr="007F5AE9" w14:paraId="5C903590" w14:textId="77777777" w:rsidTr="00BF2718">
        <w:trPr>
          <w:trHeight w:val="467"/>
        </w:trPr>
        <w:tc>
          <w:tcPr>
            <w:tcW w:w="456" w:type="dxa"/>
            <w:tcBorders>
              <w:top w:val="single" w:sz="4" w:space="0" w:color="auto"/>
              <w:left w:val="single" w:sz="4" w:space="0" w:color="auto"/>
              <w:bottom w:val="single" w:sz="4" w:space="0" w:color="auto"/>
              <w:right w:val="single" w:sz="4" w:space="0" w:color="auto"/>
            </w:tcBorders>
            <w:hideMark/>
          </w:tcPr>
          <w:p w14:paraId="2EBDB880"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1.</w:t>
            </w:r>
          </w:p>
        </w:tc>
        <w:tc>
          <w:tcPr>
            <w:tcW w:w="3543" w:type="dxa"/>
            <w:tcBorders>
              <w:top w:val="single" w:sz="4" w:space="0" w:color="auto"/>
              <w:left w:val="single" w:sz="4" w:space="0" w:color="auto"/>
              <w:bottom w:val="single" w:sz="4" w:space="0" w:color="auto"/>
              <w:right w:val="single" w:sz="4" w:space="0" w:color="auto"/>
            </w:tcBorders>
            <w:hideMark/>
          </w:tcPr>
          <w:p w14:paraId="3F5BCAD6"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Sabiedrības </w:t>
            </w:r>
            <w:proofErr w:type="spellStart"/>
            <w:r w:rsidRPr="007F5AE9">
              <w:rPr>
                <w:rFonts w:ascii="Times New Roman" w:eastAsia="Times New Roman" w:hAnsi="Times New Roman"/>
                <w:sz w:val="24"/>
                <w:szCs w:val="24"/>
                <w:lang w:eastAsia="lv-LV"/>
              </w:rPr>
              <w:t>mērķgrupas</w:t>
            </w:r>
            <w:proofErr w:type="spellEnd"/>
            <w:r w:rsidRPr="007F5AE9">
              <w:rPr>
                <w:rFonts w:ascii="Times New Roman" w:eastAsia="Times New Roman" w:hAnsi="Times New Roman"/>
                <w:sz w:val="24"/>
                <w:szCs w:val="24"/>
                <w:lang w:eastAsia="lv-LV"/>
              </w:rPr>
              <w:t xml:space="preserve">, kuras tiesiskais </w:t>
            </w:r>
            <w:r w:rsidRPr="007F5AE9">
              <w:rPr>
                <w:rFonts w:ascii="Times New Roman" w:hAnsi="Times New Roman"/>
                <w:sz w:val="24"/>
                <w:szCs w:val="24"/>
              </w:rPr>
              <w:t>regulējums</w:t>
            </w:r>
            <w:r w:rsidRPr="007F5AE9">
              <w:rPr>
                <w:rFonts w:ascii="Times New Roman" w:eastAsia="Times New Roman" w:hAnsi="Times New Roman"/>
                <w:sz w:val="24"/>
                <w:szCs w:val="24"/>
                <w:lang w:eastAsia="lv-LV"/>
              </w:rPr>
              <w:t xml:space="preserve"> ietekmē vai varētu ietekmēt</w:t>
            </w:r>
          </w:p>
        </w:tc>
        <w:tc>
          <w:tcPr>
            <w:tcW w:w="5357" w:type="dxa"/>
            <w:tcBorders>
              <w:top w:val="single" w:sz="4" w:space="0" w:color="auto"/>
              <w:left w:val="single" w:sz="4" w:space="0" w:color="auto"/>
              <w:bottom w:val="single" w:sz="4" w:space="0" w:color="auto"/>
              <w:right w:val="single" w:sz="4" w:space="0" w:color="auto"/>
            </w:tcBorders>
          </w:tcPr>
          <w:p w14:paraId="3F814065" w14:textId="77777777" w:rsidR="0025259B" w:rsidRPr="007F5AE9" w:rsidRDefault="0025259B" w:rsidP="00BF2718">
            <w:pPr>
              <w:spacing w:after="0" w:line="240" w:lineRule="auto"/>
              <w:ind w:right="31"/>
              <w:contextualSpacing/>
              <w:jc w:val="both"/>
              <w:rPr>
                <w:rFonts w:ascii="Times New Roman" w:hAnsi="Times New Roman"/>
                <w:sz w:val="24"/>
                <w:szCs w:val="24"/>
              </w:rPr>
            </w:pPr>
            <w:r w:rsidRPr="007F5AE9">
              <w:rPr>
                <w:rFonts w:ascii="Times New Roman" w:hAnsi="Times New Roman"/>
                <w:sz w:val="24"/>
                <w:szCs w:val="24"/>
              </w:rPr>
              <w:t>SAM 4.1.1. un atlases kārtas mērķa grupa ir mikro (sīkie), mazie, vidējie un lielie komersanti.</w:t>
            </w:r>
          </w:p>
        </w:tc>
      </w:tr>
      <w:tr w:rsidR="0025259B" w:rsidRPr="007F5AE9" w14:paraId="0335A32B" w14:textId="77777777" w:rsidTr="00BF2718">
        <w:trPr>
          <w:trHeight w:val="523"/>
        </w:trPr>
        <w:tc>
          <w:tcPr>
            <w:tcW w:w="456" w:type="dxa"/>
            <w:tcBorders>
              <w:top w:val="single" w:sz="4" w:space="0" w:color="auto"/>
              <w:left w:val="single" w:sz="4" w:space="0" w:color="auto"/>
              <w:bottom w:val="single" w:sz="4" w:space="0" w:color="auto"/>
              <w:right w:val="single" w:sz="4" w:space="0" w:color="auto"/>
            </w:tcBorders>
            <w:hideMark/>
          </w:tcPr>
          <w:p w14:paraId="2363AB1C"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2.</w:t>
            </w:r>
          </w:p>
        </w:tc>
        <w:tc>
          <w:tcPr>
            <w:tcW w:w="3543" w:type="dxa"/>
            <w:tcBorders>
              <w:top w:val="single" w:sz="4" w:space="0" w:color="auto"/>
              <w:left w:val="single" w:sz="4" w:space="0" w:color="auto"/>
              <w:bottom w:val="single" w:sz="4" w:space="0" w:color="auto"/>
              <w:right w:val="single" w:sz="4" w:space="0" w:color="auto"/>
            </w:tcBorders>
            <w:hideMark/>
          </w:tcPr>
          <w:p w14:paraId="41A803D3"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tcPr>
          <w:p w14:paraId="65A78766" w14:textId="77777777" w:rsidR="0025259B" w:rsidRPr="007F5AE9" w:rsidRDefault="0025259B" w:rsidP="00BF2718">
            <w:pPr>
              <w:spacing w:after="0" w:line="240" w:lineRule="auto"/>
              <w:ind w:right="31" w:firstLine="193"/>
              <w:contextualSpacing/>
              <w:jc w:val="both"/>
              <w:rPr>
                <w:rFonts w:ascii="Times New Roman" w:hAnsi="Times New Roman"/>
                <w:sz w:val="24"/>
                <w:szCs w:val="24"/>
              </w:rPr>
            </w:pPr>
            <w:r w:rsidRPr="007F5AE9">
              <w:rPr>
                <w:rFonts w:ascii="Times New Roman" w:hAnsi="Times New Roman"/>
                <w:sz w:val="24"/>
                <w:szCs w:val="24"/>
              </w:rPr>
              <w:t xml:space="preserve">Noteikumu projektam ir pozitīva ietekme uz tautsaimniecību, jo tiek veicināta efektīva energoresursu izmantošana, enerģijas patēriņa samazināšana un pāreja uz atjaunojamiem energoresursiem. </w:t>
            </w:r>
          </w:p>
          <w:p w14:paraId="67023469" w14:textId="77777777" w:rsidR="0025259B" w:rsidRPr="007F5AE9" w:rsidRDefault="0025259B" w:rsidP="00BF2718">
            <w:pPr>
              <w:spacing w:after="0" w:line="240" w:lineRule="auto"/>
              <w:ind w:right="31" w:firstLine="193"/>
              <w:contextualSpacing/>
              <w:jc w:val="both"/>
              <w:rPr>
                <w:rFonts w:ascii="Times New Roman" w:hAnsi="Times New Roman"/>
                <w:sz w:val="24"/>
                <w:szCs w:val="24"/>
              </w:rPr>
            </w:pPr>
            <w:r w:rsidRPr="007F5AE9">
              <w:rPr>
                <w:rFonts w:ascii="Times New Roman" w:hAnsi="Times New Roman"/>
                <w:sz w:val="24"/>
                <w:szCs w:val="24"/>
              </w:rPr>
              <w:lastRenderedPageBreak/>
              <w:t>Vērtējot projektu īstenošanas ietekmi uz administratīvajām procedūrām un to izmaksām, nav identificēts administratīvā sloga palielinājums ne potenciālajiem finansējuma saņēmējiem, ne fondu vadībā iesaistītajām institūcijām.</w:t>
            </w:r>
          </w:p>
          <w:p w14:paraId="5AA1909C" w14:textId="77777777" w:rsidR="0025259B" w:rsidRPr="007F5AE9" w:rsidRDefault="0025259B" w:rsidP="00BF2718">
            <w:pPr>
              <w:spacing w:after="0" w:line="240" w:lineRule="auto"/>
              <w:ind w:right="31" w:firstLine="193"/>
              <w:contextualSpacing/>
              <w:jc w:val="both"/>
              <w:rPr>
                <w:rFonts w:ascii="Times New Roman" w:hAnsi="Times New Roman"/>
                <w:sz w:val="24"/>
                <w:szCs w:val="24"/>
              </w:rPr>
            </w:pPr>
            <w:r w:rsidRPr="007F5AE9">
              <w:rPr>
                <w:rFonts w:ascii="Times New Roman" w:hAnsi="Times New Roman"/>
                <w:sz w:val="24"/>
                <w:szCs w:val="24"/>
              </w:rPr>
              <w:t xml:space="preserve">Iesniegto projektu iesniegumu pieņemšanu un vērtēšanu nodrošinās Centrālā finanšu un līgumu aģentūra kā sadarbības iestāde. </w:t>
            </w:r>
          </w:p>
        </w:tc>
      </w:tr>
      <w:tr w:rsidR="0025259B" w:rsidRPr="007F5AE9" w14:paraId="2BCC5959" w14:textId="77777777" w:rsidTr="00BF2718">
        <w:trPr>
          <w:trHeight w:val="517"/>
        </w:trPr>
        <w:tc>
          <w:tcPr>
            <w:tcW w:w="456" w:type="dxa"/>
            <w:tcBorders>
              <w:top w:val="single" w:sz="4" w:space="0" w:color="auto"/>
              <w:left w:val="single" w:sz="4" w:space="0" w:color="auto"/>
              <w:bottom w:val="single" w:sz="4" w:space="0" w:color="auto"/>
              <w:right w:val="single" w:sz="4" w:space="0" w:color="auto"/>
            </w:tcBorders>
            <w:hideMark/>
          </w:tcPr>
          <w:p w14:paraId="3BC14AB7"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lastRenderedPageBreak/>
              <w:t>3.</w:t>
            </w:r>
          </w:p>
        </w:tc>
        <w:tc>
          <w:tcPr>
            <w:tcW w:w="3543" w:type="dxa"/>
            <w:tcBorders>
              <w:top w:val="single" w:sz="4" w:space="0" w:color="auto"/>
              <w:left w:val="single" w:sz="4" w:space="0" w:color="auto"/>
              <w:bottom w:val="single" w:sz="4" w:space="0" w:color="auto"/>
              <w:right w:val="single" w:sz="4" w:space="0" w:color="auto"/>
            </w:tcBorders>
            <w:hideMark/>
          </w:tcPr>
          <w:p w14:paraId="015C1AC4"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hAnsi="Times New Roman"/>
                <w:bCs/>
                <w:sz w:val="24"/>
                <w:szCs w:val="24"/>
              </w:rPr>
              <w:t>Administratīvo</w:t>
            </w:r>
            <w:r w:rsidRPr="007F5AE9">
              <w:rPr>
                <w:rFonts w:ascii="Times New Roman" w:eastAsia="Times New Roman" w:hAnsi="Times New Roman"/>
                <w:sz w:val="24"/>
                <w:szCs w:val="24"/>
                <w:lang w:eastAsia="lv-LV"/>
              </w:rPr>
              <w:t xml:space="preserve">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457B71DF" w14:textId="14C162A0" w:rsidR="0025259B" w:rsidRPr="007F5AE9" w:rsidRDefault="002E49FF" w:rsidP="00BF2718">
            <w:pPr>
              <w:spacing w:after="0" w:line="240" w:lineRule="auto"/>
              <w:ind w:right="31"/>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w:t>
            </w:r>
            <w:r w:rsidRPr="007F5AE9">
              <w:rPr>
                <w:rFonts w:ascii="Times New Roman" w:hAnsi="Times New Roman"/>
                <w:sz w:val="24"/>
                <w:szCs w:val="24"/>
              </w:rPr>
              <w:t>adarbības iestāde</w:t>
            </w:r>
            <w:r>
              <w:rPr>
                <w:rFonts w:ascii="Times New Roman" w:hAnsi="Times New Roman"/>
                <w:sz w:val="24"/>
                <w:szCs w:val="24"/>
              </w:rPr>
              <w:t>s</w:t>
            </w:r>
            <w:r w:rsidRPr="007F5AE9">
              <w:rPr>
                <w:rFonts w:ascii="Times New Roman" w:hAnsi="Times New Roman"/>
                <w:sz w:val="24"/>
                <w:szCs w:val="24"/>
              </w:rPr>
              <w:t xml:space="preserve"> un atbildīg</w:t>
            </w:r>
            <w:r>
              <w:rPr>
                <w:rFonts w:ascii="Times New Roman" w:hAnsi="Times New Roman"/>
                <w:sz w:val="24"/>
                <w:szCs w:val="24"/>
              </w:rPr>
              <w:t>ās</w:t>
            </w:r>
            <w:r w:rsidRPr="007F5AE9">
              <w:rPr>
                <w:rFonts w:ascii="Times New Roman" w:hAnsi="Times New Roman"/>
                <w:sz w:val="24"/>
                <w:szCs w:val="24"/>
              </w:rPr>
              <w:t xml:space="preserve"> iestāde</w:t>
            </w:r>
            <w:r>
              <w:rPr>
                <w:rFonts w:ascii="Times New Roman" w:hAnsi="Times New Roman"/>
                <w:sz w:val="24"/>
                <w:szCs w:val="24"/>
              </w:rPr>
              <w:t>s</w:t>
            </w:r>
            <w:r w:rsidRPr="007F5AE9">
              <w:rPr>
                <w:rFonts w:ascii="Times New Roman" w:hAnsi="Times New Roman"/>
                <w:sz w:val="24"/>
                <w:szCs w:val="24"/>
              </w:rPr>
              <w:t xml:space="preserve"> </w:t>
            </w:r>
            <w:r w:rsidR="0025259B" w:rsidRPr="007F5AE9">
              <w:rPr>
                <w:rFonts w:ascii="Times New Roman" w:hAnsi="Times New Roman"/>
                <w:sz w:val="24"/>
                <w:szCs w:val="24"/>
              </w:rPr>
              <w:t>ES fondu administrēšanas izmaksas plānots segt no Eiropas Savienības struktūrfondu un Kohēzijas fonda 2014.-2020.gada plānošanas perioda tehniskās palīdzības projekta līdzekļiem.</w:t>
            </w:r>
          </w:p>
        </w:tc>
      </w:tr>
      <w:tr w:rsidR="0025259B" w:rsidRPr="007F5AE9" w14:paraId="3EC1E7AC" w14:textId="77777777" w:rsidTr="00BF2718">
        <w:trPr>
          <w:trHeight w:val="517"/>
        </w:trPr>
        <w:tc>
          <w:tcPr>
            <w:tcW w:w="456" w:type="dxa"/>
            <w:tcBorders>
              <w:top w:val="single" w:sz="4" w:space="0" w:color="auto"/>
              <w:left w:val="single" w:sz="4" w:space="0" w:color="auto"/>
              <w:bottom w:val="single" w:sz="4" w:space="0" w:color="auto"/>
              <w:right w:val="single" w:sz="4" w:space="0" w:color="auto"/>
            </w:tcBorders>
          </w:tcPr>
          <w:p w14:paraId="598C6866"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4. </w:t>
            </w:r>
          </w:p>
        </w:tc>
        <w:tc>
          <w:tcPr>
            <w:tcW w:w="3543" w:type="dxa"/>
            <w:tcBorders>
              <w:top w:val="single" w:sz="4" w:space="0" w:color="auto"/>
              <w:left w:val="single" w:sz="4" w:space="0" w:color="auto"/>
              <w:bottom w:val="single" w:sz="4" w:space="0" w:color="auto"/>
              <w:right w:val="single" w:sz="4" w:space="0" w:color="auto"/>
            </w:tcBorders>
          </w:tcPr>
          <w:p w14:paraId="7A8DEC50" w14:textId="77777777" w:rsidR="0025259B" w:rsidRPr="007F5AE9" w:rsidRDefault="0025259B" w:rsidP="00BF2718">
            <w:pPr>
              <w:spacing w:after="0" w:line="240" w:lineRule="auto"/>
              <w:ind w:right="31"/>
              <w:contextualSpacing/>
              <w:jc w:val="both"/>
              <w:rPr>
                <w:rFonts w:ascii="Times New Roman" w:hAnsi="Times New Roman"/>
                <w:bCs/>
                <w:sz w:val="24"/>
                <w:szCs w:val="24"/>
              </w:rPr>
            </w:pPr>
            <w:r w:rsidRPr="007F5AE9">
              <w:rPr>
                <w:rFonts w:ascii="Times New Roman" w:hAnsi="Times New Roman"/>
                <w:bCs/>
                <w:sz w:val="24"/>
                <w:szCs w:val="24"/>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31AFC268" w14:textId="66138E11"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Noteikumu projektam nav ietekmes uz atbilstības izmaksām.</w:t>
            </w:r>
          </w:p>
        </w:tc>
      </w:tr>
      <w:tr w:rsidR="0025259B" w:rsidRPr="007F5AE9" w14:paraId="20AD2311" w14:textId="77777777" w:rsidTr="00BF2718">
        <w:trPr>
          <w:trHeight w:val="325"/>
        </w:trPr>
        <w:tc>
          <w:tcPr>
            <w:tcW w:w="456" w:type="dxa"/>
            <w:tcBorders>
              <w:top w:val="single" w:sz="4" w:space="0" w:color="auto"/>
              <w:left w:val="single" w:sz="4" w:space="0" w:color="auto"/>
              <w:bottom w:val="single" w:sz="4" w:space="0" w:color="auto"/>
              <w:right w:val="single" w:sz="4" w:space="0" w:color="auto"/>
            </w:tcBorders>
            <w:hideMark/>
          </w:tcPr>
          <w:p w14:paraId="2FE18DCC" w14:textId="138144B1" w:rsidR="0025259B" w:rsidRPr="007F5AE9" w:rsidRDefault="0025259B" w:rsidP="00BF2718">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7F5AE9">
              <w:rPr>
                <w:rFonts w:ascii="Times New Roman" w:eastAsia="Times New Roman" w:hAnsi="Times New Roman"/>
                <w:sz w:val="24"/>
                <w:szCs w:val="24"/>
                <w:lang w:eastAsia="lv-LV"/>
              </w:rPr>
              <w:t>.</w:t>
            </w:r>
          </w:p>
        </w:tc>
        <w:tc>
          <w:tcPr>
            <w:tcW w:w="3543" w:type="dxa"/>
            <w:tcBorders>
              <w:top w:val="single" w:sz="4" w:space="0" w:color="auto"/>
              <w:left w:val="single" w:sz="4" w:space="0" w:color="auto"/>
              <w:bottom w:val="single" w:sz="4" w:space="0" w:color="auto"/>
              <w:right w:val="single" w:sz="4" w:space="0" w:color="auto"/>
            </w:tcBorders>
            <w:hideMark/>
          </w:tcPr>
          <w:p w14:paraId="7B099C8E"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Cita </w:t>
            </w:r>
            <w:r w:rsidRPr="007F5AE9">
              <w:rPr>
                <w:rFonts w:ascii="Times New Roman" w:hAnsi="Times New Roman"/>
                <w:bCs/>
                <w:sz w:val="24"/>
                <w:szCs w:val="24"/>
              </w:rPr>
              <w:t>informācija</w:t>
            </w:r>
          </w:p>
        </w:tc>
        <w:tc>
          <w:tcPr>
            <w:tcW w:w="5357" w:type="dxa"/>
            <w:tcBorders>
              <w:top w:val="single" w:sz="4" w:space="0" w:color="auto"/>
              <w:left w:val="single" w:sz="4" w:space="0" w:color="auto"/>
              <w:bottom w:val="single" w:sz="4" w:space="0" w:color="auto"/>
              <w:right w:val="single" w:sz="4" w:space="0" w:color="auto"/>
            </w:tcBorders>
          </w:tcPr>
          <w:p w14:paraId="3AC7DE6F" w14:textId="46DD8C0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Nav</w:t>
            </w:r>
          </w:p>
        </w:tc>
      </w:tr>
    </w:tbl>
    <w:p w14:paraId="0A50338C" w14:textId="77777777" w:rsidR="007F5AE9" w:rsidRDefault="007F5AE9" w:rsidP="00011701">
      <w:pPr>
        <w:spacing w:after="0" w:line="240" w:lineRule="auto"/>
        <w:contextualSpacing/>
        <w:rPr>
          <w:rFonts w:ascii="Times New Roman" w:hAnsi="Times New Roman"/>
          <w:sz w:val="24"/>
          <w:szCs w:val="24"/>
        </w:rPr>
      </w:pPr>
    </w:p>
    <w:tbl>
      <w:tblPr>
        <w:tblStyle w:val="TableGrid"/>
        <w:tblW w:w="4859" w:type="pct"/>
        <w:tblInd w:w="-5" w:type="dxa"/>
        <w:tblLayout w:type="fixed"/>
        <w:tblCellMar>
          <w:left w:w="28" w:type="dxa"/>
          <w:right w:w="28" w:type="dxa"/>
        </w:tblCellMar>
        <w:tblLook w:val="04A0" w:firstRow="1" w:lastRow="0" w:firstColumn="1" w:lastColumn="0" w:noHBand="0" w:noVBand="1"/>
      </w:tblPr>
      <w:tblGrid>
        <w:gridCol w:w="2267"/>
        <w:gridCol w:w="991"/>
        <w:gridCol w:w="1134"/>
        <w:gridCol w:w="992"/>
        <w:gridCol w:w="992"/>
        <w:gridCol w:w="992"/>
        <w:gridCol w:w="994"/>
        <w:gridCol w:w="994"/>
      </w:tblGrid>
      <w:tr w:rsidR="007F5AE9" w:rsidRPr="007F5AE9" w14:paraId="4EFF1ADD" w14:textId="77777777" w:rsidTr="00BF2718">
        <w:tc>
          <w:tcPr>
            <w:tcW w:w="5000" w:type="pct"/>
            <w:gridSpan w:val="8"/>
            <w:hideMark/>
          </w:tcPr>
          <w:p w14:paraId="55238701" w14:textId="0D754ADC" w:rsidR="007F5AE9" w:rsidRPr="007F5AE9" w:rsidRDefault="007F5AE9" w:rsidP="00BF2718">
            <w:pPr>
              <w:spacing w:after="0" w:line="240" w:lineRule="auto"/>
              <w:ind w:left="22" w:hanging="22"/>
              <w:contextualSpacing/>
              <w:jc w:val="both"/>
              <w:rPr>
                <w:rFonts w:ascii="Times New Roman" w:eastAsia="Times New Roman" w:hAnsi="Times New Roman"/>
                <w:b/>
                <w:bCs/>
                <w:iCs/>
                <w:color w:val="414142"/>
                <w:sz w:val="24"/>
                <w:szCs w:val="24"/>
                <w:lang w:eastAsia="lv-LV"/>
              </w:rPr>
            </w:pPr>
            <w:r w:rsidRPr="007F5AE9">
              <w:rPr>
                <w:rFonts w:ascii="Times New Roman" w:eastAsia="Times New Roman" w:hAnsi="Times New Roman"/>
                <w:b/>
                <w:bCs/>
                <w:iCs/>
                <w:color w:val="414142"/>
                <w:sz w:val="24"/>
                <w:szCs w:val="24"/>
                <w:lang w:eastAsia="lv-LV"/>
              </w:rPr>
              <w:t>III. Tiesību akta projekta ietekme uz valsts budžetu un pašvaldību budžetiem</w:t>
            </w:r>
          </w:p>
        </w:tc>
      </w:tr>
      <w:tr w:rsidR="007F5AE9" w:rsidRPr="007F5AE9" w14:paraId="05DE3446" w14:textId="77777777" w:rsidTr="00BF2718">
        <w:tc>
          <w:tcPr>
            <w:tcW w:w="1212" w:type="pct"/>
            <w:vMerge w:val="restart"/>
            <w:hideMark/>
          </w:tcPr>
          <w:p w14:paraId="2BB66089"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Rādītāji</w:t>
            </w:r>
          </w:p>
        </w:tc>
        <w:tc>
          <w:tcPr>
            <w:tcW w:w="1136" w:type="pct"/>
            <w:gridSpan w:val="2"/>
            <w:vMerge w:val="restart"/>
            <w:hideMark/>
          </w:tcPr>
          <w:p w14:paraId="0EA22FDB"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2019.gads</w:t>
            </w:r>
          </w:p>
        </w:tc>
        <w:tc>
          <w:tcPr>
            <w:tcW w:w="2653" w:type="pct"/>
            <w:gridSpan w:val="5"/>
            <w:hideMark/>
          </w:tcPr>
          <w:p w14:paraId="7F128DF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Turpmākie trīs gadi (</w:t>
            </w:r>
            <w:proofErr w:type="spellStart"/>
            <w:r w:rsidRPr="00BF2718">
              <w:rPr>
                <w:rFonts w:ascii="Times New Roman" w:hAnsi="Times New Roman"/>
                <w:i/>
                <w:sz w:val="24"/>
              </w:rPr>
              <w:t>euro</w:t>
            </w:r>
            <w:proofErr w:type="spellEnd"/>
            <w:r w:rsidRPr="00BF2718">
              <w:rPr>
                <w:rFonts w:ascii="Times New Roman" w:hAnsi="Times New Roman"/>
                <w:sz w:val="24"/>
              </w:rPr>
              <w:t>)</w:t>
            </w:r>
          </w:p>
        </w:tc>
      </w:tr>
      <w:tr w:rsidR="007F5AE9" w:rsidRPr="007F5AE9" w14:paraId="2EACE973" w14:textId="77777777" w:rsidTr="00BF2718">
        <w:tc>
          <w:tcPr>
            <w:tcW w:w="1212" w:type="pct"/>
            <w:vMerge/>
            <w:hideMark/>
          </w:tcPr>
          <w:p w14:paraId="38882398" w14:textId="77777777" w:rsidR="007F5AE9" w:rsidRPr="00BF2718" w:rsidRDefault="007F5AE9" w:rsidP="00BF2718">
            <w:pPr>
              <w:spacing w:after="0" w:line="240" w:lineRule="auto"/>
              <w:contextualSpacing/>
              <w:rPr>
                <w:rFonts w:ascii="Times New Roman" w:hAnsi="Times New Roman"/>
                <w:sz w:val="24"/>
              </w:rPr>
            </w:pPr>
          </w:p>
        </w:tc>
        <w:tc>
          <w:tcPr>
            <w:tcW w:w="1136" w:type="pct"/>
            <w:gridSpan w:val="2"/>
            <w:vMerge/>
            <w:hideMark/>
          </w:tcPr>
          <w:p w14:paraId="59CA409B" w14:textId="77777777" w:rsidR="007F5AE9" w:rsidRPr="00BF2718" w:rsidRDefault="007F5AE9" w:rsidP="00BF2718">
            <w:pPr>
              <w:spacing w:after="0" w:line="240" w:lineRule="auto"/>
              <w:contextualSpacing/>
              <w:rPr>
                <w:rFonts w:ascii="Times New Roman" w:hAnsi="Times New Roman"/>
                <w:sz w:val="24"/>
              </w:rPr>
            </w:pPr>
          </w:p>
        </w:tc>
        <w:tc>
          <w:tcPr>
            <w:tcW w:w="1060" w:type="pct"/>
            <w:gridSpan w:val="2"/>
          </w:tcPr>
          <w:p w14:paraId="3F1D519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2020</w:t>
            </w:r>
          </w:p>
        </w:tc>
        <w:tc>
          <w:tcPr>
            <w:tcW w:w="1061" w:type="pct"/>
            <w:gridSpan w:val="2"/>
          </w:tcPr>
          <w:p w14:paraId="62D04BDF"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2021</w:t>
            </w:r>
          </w:p>
        </w:tc>
        <w:tc>
          <w:tcPr>
            <w:tcW w:w="531" w:type="pct"/>
          </w:tcPr>
          <w:p w14:paraId="6BFB9C6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2022</w:t>
            </w:r>
          </w:p>
        </w:tc>
      </w:tr>
      <w:tr w:rsidR="007F5AE9" w:rsidRPr="007F5AE9" w14:paraId="6EE822DC" w14:textId="77777777" w:rsidTr="00BF2718">
        <w:tc>
          <w:tcPr>
            <w:tcW w:w="1212" w:type="pct"/>
            <w:vMerge/>
            <w:hideMark/>
          </w:tcPr>
          <w:p w14:paraId="3A84B153" w14:textId="77777777" w:rsidR="007F5AE9" w:rsidRPr="00BF2718" w:rsidRDefault="007F5AE9" w:rsidP="00BF2718">
            <w:pPr>
              <w:spacing w:after="0" w:line="240" w:lineRule="auto"/>
              <w:contextualSpacing/>
              <w:rPr>
                <w:rFonts w:ascii="Times New Roman" w:hAnsi="Times New Roman"/>
                <w:sz w:val="24"/>
              </w:rPr>
            </w:pPr>
          </w:p>
        </w:tc>
        <w:tc>
          <w:tcPr>
            <w:tcW w:w="530" w:type="pct"/>
            <w:hideMark/>
          </w:tcPr>
          <w:p w14:paraId="0F93A11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saskaņā ar valsts budžetu kārtējam gadam</w:t>
            </w:r>
          </w:p>
        </w:tc>
        <w:tc>
          <w:tcPr>
            <w:tcW w:w="606" w:type="pct"/>
            <w:hideMark/>
          </w:tcPr>
          <w:p w14:paraId="2D986E7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izmaiņas kārtējā gadā, salīdzinot ar valsts budžetu kārtējam gadam</w:t>
            </w:r>
          </w:p>
        </w:tc>
        <w:tc>
          <w:tcPr>
            <w:tcW w:w="530" w:type="pct"/>
            <w:hideMark/>
          </w:tcPr>
          <w:p w14:paraId="4BD3778B"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saskaņā ar vidēja termiņa budžeta ietvaru</w:t>
            </w:r>
          </w:p>
        </w:tc>
        <w:tc>
          <w:tcPr>
            <w:tcW w:w="530" w:type="pct"/>
            <w:hideMark/>
          </w:tcPr>
          <w:p w14:paraId="0A9DE9F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izmaiņas, salīdzinot ar vidēja termiņa budžeta ietvaru n+1 gadam</w:t>
            </w:r>
          </w:p>
        </w:tc>
        <w:tc>
          <w:tcPr>
            <w:tcW w:w="530" w:type="pct"/>
            <w:hideMark/>
          </w:tcPr>
          <w:p w14:paraId="672458E1"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saskaņā ar vidēja termiņa budžeta ietvaru</w:t>
            </w:r>
          </w:p>
        </w:tc>
        <w:tc>
          <w:tcPr>
            <w:tcW w:w="531" w:type="pct"/>
            <w:hideMark/>
          </w:tcPr>
          <w:p w14:paraId="78728E8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izmaiņas, salīdzinot ar vidēja termiņa budžeta ietvaru n+2 gadam</w:t>
            </w:r>
          </w:p>
        </w:tc>
        <w:tc>
          <w:tcPr>
            <w:tcW w:w="531" w:type="pct"/>
            <w:hideMark/>
          </w:tcPr>
          <w:p w14:paraId="5DD27BE7"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izmaiņas, salīdzinot ar vidēja termiņa budžeta ietvaru n+2 gadam</w:t>
            </w:r>
          </w:p>
        </w:tc>
      </w:tr>
      <w:tr w:rsidR="007F5AE9" w:rsidRPr="007F5AE9" w14:paraId="2C6E5F95" w14:textId="77777777" w:rsidTr="00BF2718">
        <w:tc>
          <w:tcPr>
            <w:tcW w:w="1212" w:type="pct"/>
            <w:hideMark/>
          </w:tcPr>
          <w:p w14:paraId="5A8E38DF"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1</w:t>
            </w:r>
          </w:p>
        </w:tc>
        <w:tc>
          <w:tcPr>
            <w:tcW w:w="530" w:type="pct"/>
            <w:hideMark/>
          </w:tcPr>
          <w:p w14:paraId="1D28B308"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w:t>
            </w:r>
          </w:p>
        </w:tc>
        <w:tc>
          <w:tcPr>
            <w:tcW w:w="606" w:type="pct"/>
            <w:hideMark/>
          </w:tcPr>
          <w:p w14:paraId="3D69029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3</w:t>
            </w:r>
          </w:p>
        </w:tc>
        <w:tc>
          <w:tcPr>
            <w:tcW w:w="530" w:type="pct"/>
            <w:hideMark/>
          </w:tcPr>
          <w:p w14:paraId="009515A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4</w:t>
            </w:r>
          </w:p>
        </w:tc>
        <w:tc>
          <w:tcPr>
            <w:tcW w:w="530" w:type="pct"/>
            <w:hideMark/>
          </w:tcPr>
          <w:p w14:paraId="726D57E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5</w:t>
            </w:r>
          </w:p>
        </w:tc>
        <w:tc>
          <w:tcPr>
            <w:tcW w:w="530" w:type="pct"/>
            <w:hideMark/>
          </w:tcPr>
          <w:p w14:paraId="67D117E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6</w:t>
            </w:r>
          </w:p>
        </w:tc>
        <w:tc>
          <w:tcPr>
            <w:tcW w:w="531" w:type="pct"/>
            <w:hideMark/>
          </w:tcPr>
          <w:p w14:paraId="5B8EAAB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7</w:t>
            </w:r>
          </w:p>
        </w:tc>
        <w:tc>
          <w:tcPr>
            <w:tcW w:w="531" w:type="pct"/>
            <w:hideMark/>
          </w:tcPr>
          <w:p w14:paraId="0B39333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8</w:t>
            </w:r>
          </w:p>
        </w:tc>
      </w:tr>
      <w:tr w:rsidR="007F5AE9" w:rsidRPr="007F5AE9" w14:paraId="770A5059" w14:textId="77777777" w:rsidTr="00BF2718">
        <w:tc>
          <w:tcPr>
            <w:tcW w:w="1212" w:type="pct"/>
            <w:hideMark/>
          </w:tcPr>
          <w:p w14:paraId="21559D1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1. Budžeta ieņēmumi</w:t>
            </w:r>
          </w:p>
        </w:tc>
        <w:tc>
          <w:tcPr>
            <w:tcW w:w="530" w:type="pct"/>
          </w:tcPr>
          <w:p w14:paraId="6C792E09"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FE7FA9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1846AB7"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FFEA075" w14:textId="77777777" w:rsidR="007F5AE9" w:rsidRPr="00BF2718" w:rsidRDefault="007F5AE9" w:rsidP="00BF2718">
            <w:pPr>
              <w:spacing w:after="0" w:line="240" w:lineRule="auto"/>
              <w:contextualSpacing/>
              <w:rPr>
                <w:rFonts w:ascii="Times New Roman" w:hAnsi="Times New Roman"/>
                <w:sz w:val="20"/>
              </w:rPr>
            </w:pPr>
            <w:r w:rsidRPr="00BF2718">
              <w:rPr>
                <w:rFonts w:ascii="Times New Roman" w:hAnsi="Times New Roman"/>
                <w:sz w:val="20"/>
              </w:rPr>
              <w:t>2 124 462</w:t>
            </w:r>
          </w:p>
        </w:tc>
        <w:tc>
          <w:tcPr>
            <w:tcW w:w="530" w:type="pct"/>
          </w:tcPr>
          <w:p w14:paraId="765E884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239E5CE4" w14:textId="0A5ADD36" w:rsidR="007F5AE9" w:rsidRPr="00BF2718" w:rsidRDefault="006A7FB6" w:rsidP="00BF2718">
            <w:pPr>
              <w:spacing w:after="0" w:line="240" w:lineRule="auto"/>
              <w:contextualSpacing/>
              <w:rPr>
                <w:rFonts w:ascii="Times New Roman" w:hAnsi="Times New Roman"/>
                <w:sz w:val="20"/>
              </w:rPr>
            </w:pPr>
            <w:r w:rsidRPr="0090527E">
              <w:rPr>
                <w:rFonts w:ascii="Times New Roman" w:hAnsi="Times New Roman"/>
                <w:sz w:val="20"/>
              </w:rPr>
              <w:t>4 248 924</w:t>
            </w:r>
          </w:p>
        </w:tc>
        <w:tc>
          <w:tcPr>
            <w:tcW w:w="531" w:type="pct"/>
          </w:tcPr>
          <w:p w14:paraId="0D5E55B2" w14:textId="77777777" w:rsidR="007F5AE9" w:rsidRPr="00BF2718" w:rsidRDefault="007F5AE9" w:rsidP="00BF2718">
            <w:pPr>
              <w:spacing w:after="0" w:line="240" w:lineRule="auto"/>
              <w:contextualSpacing/>
              <w:rPr>
                <w:rFonts w:ascii="Times New Roman" w:hAnsi="Times New Roman"/>
                <w:sz w:val="20"/>
              </w:rPr>
            </w:pPr>
            <w:r w:rsidRPr="00BF2718">
              <w:rPr>
                <w:rFonts w:ascii="Times New Roman" w:hAnsi="Times New Roman"/>
                <w:sz w:val="20"/>
              </w:rPr>
              <w:t>4 248 924</w:t>
            </w:r>
          </w:p>
        </w:tc>
      </w:tr>
      <w:tr w:rsidR="007F5AE9" w:rsidRPr="007F5AE9" w14:paraId="38FABE94" w14:textId="77777777" w:rsidTr="00BF2718">
        <w:tc>
          <w:tcPr>
            <w:tcW w:w="1212" w:type="pct"/>
            <w:hideMark/>
          </w:tcPr>
          <w:p w14:paraId="61B9597F"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1.1. valsts pamatbudžets, tai skaitā ieņēmumi no maksas pakalpojumiem un citi pašu ieņēmumi</w:t>
            </w:r>
          </w:p>
        </w:tc>
        <w:tc>
          <w:tcPr>
            <w:tcW w:w="530" w:type="pct"/>
          </w:tcPr>
          <w:p w14:paraId="1EAB3E0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2A771A5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363A2AE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708C118A" w14:textId="77777777" w:rsidR="007F5AE9" w:rsidRPr="00BF2718" w:rsidRDefault="007F5AE9" w:rsidP="00BF2718">
            <w:pPr>
              <w:spacing w:after="0" w:line="240" w:lineRule="auto"/>
              <w:contextualSpacing/>
              <w:rPr>
                <w:rFonts w:ascii="Times New Roman" w:hAnsi="Times New Roman"/>
                <w:sz w:val="20"/>
              </w:rPr>
            </w:pPr>
            <w:r w:rsidRPr="00BF2718">
              <w:rPr>
                <w:rFonts w:ascii="Times New Roman" w:hAnsi="Times New Roman"/>
                <w:sz w:val="20"/>
              </w:rPr>
              <w:t>2 124 462</w:t>
            </w:r>
          </w:p>
        </w:tc>
        <w:tc>
          <w:tcPr>
            <w:tcW w:w="530" w:type="pct"/>
          </w:tcPr>
          <w:p w14:paraId="4889DB7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6BB603BA" w14:textId="7E5E357E" w:rsidR="007F5AE9" w:rsidRPr="00BF2718" w:rsidRDefault="006A7FB6" w:rsidP="00BF2718">
            <w:pPr>
              <w:spacing w:after="0" w:line="240" w:lineRule="auto"/>
              <w:contextualSpacing/>
              <w:rPr>
                <w:rFonts w:ascii="Times New Roman" w:hAnsi="Times New Roman"/>
                <w:sz w:val="20"/>
              </w:rPr>
            </w:pPr>
            <w:r w:rsidRPr="0090527E">
              <w:rPr>
                <w:rFonts w:ascii="Times New Roman" w:hAnsi="Times New Roman"/>
                <w:sz w:val="20"/>
              </w:rPr>
              <w:t>4 248 924</w:t>
            </w:r>
          </w:p>
        </w:tc>
        <w:tc>
          <w:tcPr>
            <w:tcW w:w="531" w:type="pct"/>
          </w:tcPr>
          <w:p w14:paraId="40B9F50D" w14:textId="77777777" w:rsidR="007F5AE9" w:rsidRPr="00BF2718" w:rsidRDefault="007F5AE9" w:rsidP="00BF2718">
            <w:pPr>
              <w:spacing w:after="0" w:line="240" w:lineRule="auto"/>
              <w:contextualSpacing/>
              <w:rPr>
                <w:rFonts w:ascii="Times New Roman" w:hAnsi="Times New Roman"/>
                <w:sz w:val="20"/>
              </w:rPr>
            </w:pPr>
            <w:r w:rsidRPr="00BF2718">
              <w:rPr>
                <w:rFonts w:ascii="Times New Roman" w:hAnsi="Times New Roman"/>
                <w:sz w:val="20"/>
              </w:rPr>
              <w:t>4 248 924</w:t>
            </w:r>
          </w:p>
        </w:tc>
      </w:tr>
      <w:tr w:rsidR="007F5AE9" w:rsidRPr="007F5AE9" w14:paraId="7EBB4C46" w14:textId="77777777" w:rsidTr="00BF2718">
        <w:tc>
          <w:tcPr>
            <w:tcW w:w="1212" w:type="pct"/>
            <w:hideMark/>
          </w:tcPr>
          <w:p w14:paraId="066DF8D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1.2. valsts speciālais budžets</w:t>
            </w:r>
          </w:p>
        </w:tc>
        <w:tc>
          <w:tcPr>
            <w:tcW w:w="530" w:type="pct"/>
          </w:tcPr>
          <w:p w14:paraId="43F088C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DBD16DB"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5A22CF7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47DBE1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6F2DC49"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DF9CB7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30054A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463FC065" w14:textId="77777777" w:rsidTr="00BF2718">
        <w:tc>
          <w:tcPr>
            <w:tcW w:w="1212" w:type="pct"/>
            <w:hideMark/>
          </w:tcPr>
          <w:p w14:paraId="726A049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1.3. pašvaldību budžets</w:t>
            </w:r>
          </w:p>
        </w:tc>
        <w:tc>
          <w:tcPr>
            <w:tcW w:w="530" w:type="pct"/>
          </w:tcPr>
          <w:p w14:paraId="683E720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3EA8CB9C"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6C97F670"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1CD60D91"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5AD33649"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73D67AB7"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062EA36A"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r>
      <w:tr w:rsidR="00E316F9" w:rsidRPr="007F5AE9" w14:paraId="7C90DBDA" w14:textId="77777777" w:rsidTr="00BF2718">
        <w:tc>
          <w:tcPr>
            <w:tcW w:w="1212" w:type="pct"/>
            <w:hideMark/>
          </w:tcPr>
          <w:p w14:paraId="16C4C6F3"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2. Budžeta izdevumi</w:t>
            </w:r>
          </w:p>
        </w:tc>
        <w:tc>
          <w:tcPr>
            <w:tcW w:w="530" w:type="pct"/>
          </w:tcPr>
          <w:p w14:paraId="16110D1B"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27307A76"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9D6B672"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D21E206" w14:textId="77777777" w:rsidR="00E316F9" w:rsidRPr="00BF2718" w:rsidRDefault="00E316F9" w:rsidP="00BF2718">
            <w:pPr>
              <w:spacing w:after="0" w:line="240" w:lineRule="auto"/>
              <w:contextualSpacing/>
              <w:rPr>
                <w:rFonts w:ascii="Times New Roman" w:hAnsi="Times New Roman"/>
                <w:sz w:val="20"/>
              </w:rPr>
            </w:pPr>
            <w:r w:rsidRPr="00BF2718">
              <w:rPr>
                <w:rFonts w:ascii="Times New Roman" w:hAnsi="Times New Roman"/>
                <w:sz w:val="20"/>
              </w:rPr>
              <w:t>2 124 462</w:t>
            </w:r>
          </w:p>
        </w:tc>
        <w:tc>
          <w:tcPr>
            <w:tcW w:w="530" w:type="pct"/>
          </w:tcPr>
          <w:p w14:paraId="67E8B2E7"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652446FF" w14:textId="5018F33D" w:rsidR="00E316F9" w:rsidRPr="00BF2718" w:rsidRDefault="006A7FB6" w:rsidP="00BF2718">
            <w:pPr>
              <w:spacing w:after="0" w:line="240" w:lineRule="auto"/>
              <w:contextualSpacing/>
              <w:rPr>
                <w:rFonts w:ascii="Times New Roman" w:hAnsi="Times New Roman"/>
                <w:sz w:val="20"/>
              </w:rPr>
            </w:pPr>
            <w:r w:rsidRPr="0090527E">
              <w:rPr>
                <w:rFonts w:ascii="Times New Roman" w:hAnsi="Times New Roman"/>
                <w:sz w:val="20"/>
              </w:rPr>
              <w:t>4 248 924</w:t>
            </w:r>
          </w:p>
        </w:tc>
        <w:tc>
          <w:tcPr>
            <w:tcW w:w="531" w:type="pct"/>
          </w:tcPr>
          <w:p w14:paraId="3BC480E0" w14:textId="77777777" w:rsidR="00E316F9" w:rsidRPr="00BF2718" w:rsidRDefault="00E316F9" w:rsidP="00BF2718">
            <w:pPr>
              <w:spacing w:after="0" w:line="240" w:lineRule="auto"/>
              <w:contextualSpacing/>
              <w:rPr>
                <w:rFonts w:ascii="Times New Roman" w:hAnsi="Times New Roman"/>
                <w:sz w:val="20"/>
              </w:rPr>
            </w:pPr>
            <w:r w:rsidRPr="00BF2718">
              <w:rPr>
                <w:rFonts w:ascii="Times New Roman" w:hAnsi="Times New Roman"/>
                <w:sz w:val="20"/>
              </w:rPr>
              <w:t>4 248 924</w:t>
            </w:r>
          </w:p>
        </w:tc>
      </w:tr>
      <w:tr w:rsidR="00E316F9" w:rsidRPr="007F5AE9" w14:paraId="5912D04A" w14:textId="77777777" w:rsidTr="00BF2718">
        <w:tc>
          <w:tcPr>
            <w:tcW w:w="1212" w:type="pct"/>
            <w:hideMark/>
          </w:tcPr>
          <w:p w14:paraId="5C4F292A"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2.1. valsts pamatbudžets</w:t>
            </w:r>
          </w:p>
        </w:tc>
        <w:tc>
          <w:tcPr>
            <w:tcW w:w="530" w:type="pct"/>
          </w:tcPr>
          <w:p w14:paraId="63EB0A8B"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4B0071FA"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B216AD8"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7C0CD74D" w14:textId="77777777" w:rsidR="00E316F9" w:rsidRPr="00BF2718" w:rsidRDefault="00E316F9" w:rsidP="00BF2718">
            <w:pPr>
              <w:spacing w:after="0" w:line="240" w:lineRule="auto"/>
              <w:contextualSpacing/>
              <w:rPr>
                <w:rFonts w:ascii="Times New Roman" w:hAnsi="Times New Roman"/>
                <w:sz w:val="20"/>
              </w:rPr>
            </w:pPr>
            <w:r w:rsidRPr="00BF2718">
              <w:rPr>
                <w:rFonts w:ascii="Times New Roman" w:hAnsi="Times New Roman"/>
                <w:sz w:val="20"/>
              </w:rPr>
              <w:t>2 124 462</w:t>
            </w:r>
          </w:p>
        </w:tc>
        <w:tc>
          <w:tcPr>
            <w:tcW w:w="530" w:type="pct"/>
          </w:tcPr>
          <w:p w14:paraId="13ACA87A" w14:textId="77777777" w:rsidR="00E316F9" w:rsidRPr="00BF2718" w:rsidRDefault="00E316F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61C7FB67" w14:textId="566BA8D6" w:rsidR="00E316F9" w:rsidRPr="00BF2718" w:rsidRDefault="006A7FB6" w:rsidP="00BF2718">
            <w:pPr>
              <w:spacing w:after="0" w:line="240" w:lineRule="auto"/>
              <w:contextualSpacing/>
              <w:rPr>
                <w:rFonts w:ascii="Times New Roman" w:hAnsi="Times New Roman"/>
                <w:sz w:val="20"/>
              </w:rPr>
            </w:pPr>
            <w:r w:rsidRPr="0090527E">
              <w:rPr>
                <w:rFonts w:ascii="Times New Roman" w:hAnsi="Times New Roman"/>
                <w:sz w:val="20"/>
              </w:rPr>
              <w:t>4 248 924</w:t>
            </w:r>
          </w:p>
        </w:tc>
        <w:tc>
          <w:tcPr>
            <w:tcW w:w="531" w:type="pct"/>
          </w:tcPr>
          <w:p w14:paraId="50048944" w14:textId="77777777" w:rsidR="00E316F9" w:rsidRPr="00BF2718" w:rsidRDefault="00E316F9" w:rsidP="00BF2718">
            <w:pPr>
              <w:spacing w:after="0" w:line="240" w:lineRule="auto"/>
              <w:contextualSpacing/>
              <w:rPr>
                <w:rFonts w:ascii="Times New Roman" w:hAnsi="Times New Roman"/>
                <w:sz w:val="20"/>
              </w:rPr>
            </w:pPr>
            <w:r w:rsidRPr="00BF2718">
              <w:rPr>
                <w:rFonts w:ascii="Times New Roman" w:hAnsi="Times New Roman"/>
                <w:sz w:val="20"/>
              </w:rPr>
              <w:t>4 248 924</w:t>
            </w:r>
          </w:p>
        </w:tc>
      </w:tr>
      <w:tr w:rsidR="007F5AE9" w:rsidRPr="007F5AE9" w14:paraId="4E4457DF" w14:textId="77777777" w:rsidTr="00BF2718">
        <w:tc>
          <w:tcPr>
            <w:tcW w:w="1212" w:type="pct"/>
            <w:hideMark/>
          </w:tcPr>
          <w:p w14:paraId="41CD97E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2.2. valsts speciālais budžets</w:t>
            </w:r>
          </w:p>
        </w:tc>
        <w:tc>
          <w:tcPr>
            <w:tcW w:w="530" w:type="pct"/>
          </w:tcPr>
          <w:p w14:paraId="074842E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A3C0357"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B5915D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53A8C9D4"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D539E5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5BED23CD" w14:textId="77777777" w:rsidR="007F5AE9" w:rsidRPr="0090527E" w:rsidRDefault="007F5AE9" w:rsidP="00BF2718">
            <w:pPr>
              <w:spacing w:after="0" w:line="240" w:lineRule="auto"/>
              <w:contextualSpacing/>
              <w:rPr>
                <w:rFonts w:ascii="Times New Roman" w:hAnsi="Times New Roman"/>
                <w:sz w:val="24"/>
              </w:rPr>
            </w:pPr>
            <w:r w:rsidRPr="0090527E">
              <w:rPr>
                <w:rFonts w:ascii="Times New Roman" w:hAnsi="Times New Roman"/>
                <w:sz w:val="24"/>
              </w:rPr>
              <w:t>0</w:t>
            </w:r>
          </w:p>
        </w:tc>
        <w:tc>
          <w:tcPr>
            <w:tcW w:w="531" w:type="pct"/>
          </w:tcPr>
          <w:p w14:paraId="338346E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7A69DB30" w14:textId="77777777" w:rsidTr="00BF2718">
        <w:tc>
          <w:tcPr>
            <w:tcW w:w="1212" w:type="pct"/>
            <w:hideMark/>
          </w:tcPr>
          <w:p w14:paraId="2EEBF03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2.3. pašvaldību budžets</w:t>
            </w:r>
          </w:p>
        </w:tc>
        <w:tc>
          <w:tcPr>
            <w:tcW w:w="530" w:type="pct"/>
          </w:tcPr>
          <w:p w14:paraId="2C6A23A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EE76D33"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0F553710"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532E2C44"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2D65032C"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173779FE"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464FB1EE"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r>
      <w:tr w:rsidR="007F5AE9" w:rsidRPr="007F5AE9" w14:paraId="789307DF" w14:textId="77777777" w:rsidTr="00BF2718">
        <w:tc>
          <w:tcPr>
            <w:tcW w:w="1212" w:type="pct"/>
            <w:hideMark/>
          </w:tcPr>
          <w:p w14:paraId="4A0AB79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3. Finansiālā ietekme</w:t>
            </w:r>
          </w:p>
        </w:tc>
        <w:tc>
          <w:tcPr>
            <w:tcW w:w="530" w:type="pct"/>
          </w:tcPr>
          <w:p w14:paraId="1831550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hideMark/>
          </w:tcPr>
          <w:p w14:paraId="3798949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738A0A0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11B06559"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372CCBE4"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C96CB62"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50055B79"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2CAB40AB" w14:textId="77777777" w:rsidTr="00BF2718">
        <w:tc>
          <w:tcPr>
            <w:tcW w:w="1212" w:type="pct"/>
            <w:hideMark/>
          </w:tcPr>
          <w:p w14:paraId="3BA1EAD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3.1. valsts pamatbudžets</w:t>
            </w:r>
          </w:p>
        </w:tc>
        <w:tc>
          <w:tcPr>
            <w:tcW w:w="530" w:type="pct"/>
          </w:tcPr>
          <w:p w14:paraId="4DBA8162"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hideMark/>
          </w:tcPr>
          <w:p w14:paraId="0702798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4FDCDC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17CAE2B8"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5D68678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957EF0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D7A6CC4"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6D4CF5A4" w14:textId="77777777" w:rsidTr="00BF2718">
        <w:tc>
          <w:tcPr>
            <w:tcW w:w="1212" w:type="pct"/>
            <w:hideMark/>
          </w:tcPr>
          <w:p w14:paraId="40DCB311"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3.2. speciālais budžets</w:t>
            </w:r>
          </w:p>
        </w:tc>
        <w:tc>
          <w:tcPr>
            <w:tcW w:w="530" w:type="pct"/>
          </w:tcPr>
          <w:p w14:paraId="6DCE6FEF"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23A91F1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2A1A3AD4"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B4F947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6FF243F"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51E534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376D0B08"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335FE2CC" w14:textId="77777777" w:rsidTr="00BF2718">
        <w:tc>
          <w:tcPr>
            <w:tcW w:w="1212" w:type="pct"/>
            <w:hideMark/>
          </w:tcPr>
          <w:p w14:paraId="3C78763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3.3. pašvaldību budžets</w:t>
            </w:r>
          </w:p>
        </w:tc>
        <w:tc>
          <w:tcPr>
            <w:tcW w:w="530" w:type="pct"/>
          </w:tcPr>
          <w:p w14:paraId="745BC32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F5B2262"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642FAD1"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329D0F7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E667B5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C971DF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5C654048"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7B0AA9C5" w14:textId="77777777" w:rsidTr="00BF2718">
        <w:tc>
          <w:tcPr>
            <w:tcW w:w="1212" w:type="pct"/>
            <w:hideMark/>
          </w:tcPr>
          <w:p w14:paraId="008C8162" w14:textId="77777777" w:rsidR="007F5AE9" w:rsidRPr="007F5AE9" w:rsidRDefault="007F5AE9" w:rsidP="00BF2718">
            <w:pPr>
              <w:spacing w:after="0" w:line="240" w:lineRule="auto"/>
              <w:contextualSpacing/>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4. Finanšu līdzekļi papildu izdevumu finansēšanai (kompensējošu izdevumu samazinājumu norāda ar "+" zīmi)</w:t>
            </w:r>
          </w:p>
        </w:tc>
        <w:tc>
          <w:tcPr>
            <w:tcW w:w="530" w:type="pct"/>
            <w:hideMark/>
          </w:tcPr>
          <w:p w14:paraId="294C34D7" w14:textId="77777777" w:rsidR="007F5AE9" w:rsidRPr="007F5AE9" w:rsidRDefault="007F5AE9" w:rsidP="00BF2718">
            <w:pPr>
              <w:spacing w:after="0" w:line="240" w:lineRule="auto"/>
              <w:contextualSpacing/>
              <w:jc w:val="center"/>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X</w:t>
            </w:r>
          </w:p>
        </w:tc>
        <w:tc>
          <w:tcPr>
            <w:tcW w:w="606" w:type="pct"/>
            <w:hideMark/>
          </w:tcPr>
          <w:p w14:paraId="6B93E456" w14:textId="77777777" w:rsidR="007F5AE9" w:rsidRPr="00BF2718" w:rsidRDefault="007F5AE9" w:rsidP="00BF2718">
            <w:pPr>
              <w:spacing w:after="0" w:line="240" w:lineRule="auto"/>
              <w:contextualSpacing/>
              <w:jc w:val="center"/>
              <w:rPr>
                <w:rFonts w:ascii="Times New Roman" w:hAnsi="Times New Roman"/>
                <w:sz w:val="24"/>
              </w:rPr>
            </w:pPr>
            <w:r w:rsidRPr="00BF2718">
              <w:rPr>
                <w:rFonts w:ascii="Times New Roman" w:hAnsi="Times New Roman"/>
                <w:sz w:val="24"/>
              </w:rPr>
              <w:t>0</w:t>
            </w:r>
          </w:p>
        </w:tc>
        <w:tc>
          <w:tcPr>
            <w:tcW w:w="530" w:type="pct"/>
            <w:hideMark/>
          </w:tcPr>
          <w:p w14:paraId="23ABA07B" w14:textId="77777777" w:rsidR="007F5AE9" w:rsidRPr="00BF2718" w:rsidRDefault="007F5AE9" w:rsidP="00BF2718">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0" w:type="pct"/>
            <w:hideMark/>
          </w:tcPr>
          <w:p w14:paraId="0A3859D7" w14:textId="77777777" w:rsidR="007F5AE9" w:rsidRPr="00BF2718" w:rsidRDefault="007F5AE9" w:rsidP="00BF2718">
            <w:pPr>
              <w:spacing w:after="0" w:line="240" w:lineRule="auto"/>
              <w:contextualSpacing/>
              <w:jc w:val="center"/>
              <w:rPr>
                <w:rFonts w:ascii="Times New Roman" w:hAnsi="Times New Roman"/>
                <w:sz w:val="24"/>
              </w:rPr>
            </w:pPr>
            <w:r w:rsidRPr="00BF2718">
              <w:rPr>
                <w:rFonts w:ascii="Times New Roman" w:hAnsi="Times New Roman"/>
                <w:sz w:val="24"/>
              </w:rPr>
              <w:t>0</w:t>
            </w:r>
          </w:p>
        </w:tc>
        <w:tc>
          <w:tcPr>
            <w:tcW w:w="530" w:type="pct"/>
            <w:hideMark/>
          </w:tcPr>
          <w:p w14:paraId="2EDB47B3" w14:textId="77777777" w:rsidR="007F5AE9" w:rsidRPr="00BF2718" w:rsidRDefault="007F5AE9" w:rsidP="00BF2718">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1" w:type="pct"/>
          </w:tcPr>
          <w:p w14:paraId="2D5A7984"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2F48E7B"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5D3B1B17" w14:textId="77777777" w:rsidTr="00BF2718">
        <w:tc>
          <w:tcPr>
            <w:tcW w:w="1212" w:type="pct"/>
            <w:hideMark/>
          </w:tcPr>
          <w:p w14:paraId="631FE76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5. Precizēta finansiālā ietekme</w:t>
            </w:r>
          </w:p>
        </w:tc>
        <w:tc>
          <w:tcPr>
            <w:tcW w:w="530" w:type="pct"/>
            <w:vMerge w:val="restart"/>
            <w:hideMark/>
          </w:tcPr>
          <w:p w14:paraId="59FD1622" w14:textId="77777777" w:rsidR="007F5AE9" w:rsidRPr="00BF2718" w:rsidRDefault="007F5AE9" w:rsidP="00BF2718">
            <w:pPr>
              <w:spacing w:after="0" w:line="240" w:lineRule="auto"/>
              <w:contextualSpacing/>
              <w:jc w:val="center"/>
              <w:rPr>
                <w:rFonts w:ascii="Times New Roman" w:hAnsi="Times New Roman"/>
                <w:sz w:val="24"/>
              </w:rPr>
            </w:pPr>
          </w:p>
          <w:p w14:paraId="5D470DA3" w14:textId="77777777" w:rsidR="007F5AE9" w:rsidRPr="00BF2718" w:rsidRDefault="007F5AE9" w:rsidP="00BF2718">
            <w:pPr>
              <w:spacing w:after="0" w:line="240" w:lineRule="auto"/>
              <w:contextualSpacing/>
              <w:jc w:val="center"/>
              <w:rPr>
                <w:rFonts w:ascii="Times New Roman" w:hAnsi="Times New Roman"/>
                <w:sz w:val="24"/>
              </w:rPr>
            </w:pPr>
          </w:p>
          <w:p w14:paraId="09E306A7" w14:textId="77777777" w:rsidR="007F5AE9" w:rsidRPr="00BF2718" w:rsidRDefault="007F5AE9" w:rsidP="00BF2718">
            <w:pPr>
              <w:spacing w:after="0" w:line="240" w:lineRule="auto"/>
              <w:contextualSpacing/>
              <w:jc w:val="center"/>
              <w:rPr>
                <w:rFonts w:ascii="Times New Roman" w:hAnsi="Times New Roman"/>
                <w:sz w:val="24"/>
              </w:rPr>
            </w:pPr>
          </w:p>
          <w:p w14:paraId="6582DF60" w14:textId="77777777" w:rsidR="007F5AE9" w:rsidRPr="00BF2718" w:rsidRDefault="007F5AE9" w:rsidP="00BF2718">
            <w:pPr>
              <w:spacing w:after="0" w:line="240" w:lineRule="auto"/>
              <w:contextualSpacing/>
              <w:jc w:val="center"/>
              <w:rPr>
                <w:rFonts w:ascii="Times New Roman" w:hAnsi="Times New Roman"/>
                <w:sz w:val="24"/>
              </w:rPr>
            </w:pPr>
          </w:p>
          <w:p w14:paraId="68C0543E" w14:textId="77777777" w:rsidR="007F5AE9" w:rsidRPr="00BF2718" w:rsidRDefault="007F5AE9" w:rsidP="00BF2718">
            <w:pPr>
              <w:spacing w:after="0" w:line="240" w:lineRule="auto"/>
              <w:contextualSpacing/>
              <w:jc w:val="center"/>
              <w:rPr>
                <w:rFonts w:ascii="Times New Roman" w:hAnsi="Times New Roman"/>
                <w:sz w:val="24"/>
              </w:rPr>
            </w:pPr>
          </w:p>
          <w:p w14:paraId="356CBDB8" w14:textId="77777777" w:rsidR="007F5AE9" w:rsidRPr="00BF2718" w:rsidRDefault="007F5AE9" w:rsidP="00BF2718">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606" w:type="pct"/>
          </w:tcPr>
          <w:p w14:paraId="27B7049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val="restart"/>
            <w:hideMark/>
          </w:tcPr>
          <w:p w14:paraId="333849BC" w14:textId="77777777" w:rsidR="007F5AE9" w:rsidRPr="00BF2718" w:rsidRDefault="007F5AE9" w:rsidP="00BF2718">
            <w:pPr>
              <w:spacing w:after="0" w:line="240" w:lineRule="auto"/>
              <w:contextualSpacing/>
              <w:jc w:val="center"/>
              <w:rPr>
                <w:rFonts w:ascii="Times New Roman" w:hAnsi="Times New Roman"/>
                <w:sz w:val="24"/>
              </w:rPr>
            </w:pPr>
          </w:p>
          <w:p w14:paraId="11717735" w14:textId="77777777" w:rsidR="007F5AE9" w:rsidRPr="00BF2718" w:rsidRDefault="007F5AE9" w:rsidP="00BF2718">
            <w:pPr>
              <w:spacing w:after="0" w:line="240" w:lineRule="auto"/>
              <w:contextualSpacing/>
              <w:jc w:val="center"/>
              <w:rPr>
                <w:rFonts w:ascii="Times New Roman" w:hAnsi="Times New Roman"/>
                <w:sz w:val="24"/>
              </w:rPr>
            </w:pPr>
          </w:p>
          <w:p w14:paraId="48F6F1CA" w14:textId="77777777" w:rsidR="007F5AE9" w:rsidRPr="00BF2718" w:rsidRDefault="007F5AE9" w:rsidP="00BF2718">
            <w:pPr>
              <w:spacing w:after="0" w:line="240" w:lineRule="auto"/>
              <w:contextualSpacing/>
              <w:jc w:val="center"/>
              <w:rPr>
                <w:rFonts w:ascii="Times New Roman" w:hAnsi="Times New Roman"/>
                <w:sz w:val="24"/>
              </w:rPr>
            </w:pPr>
          </w:p>
          <w:p w14:paraId="44A69B70" w14:textId="77777777" w:rsidR="007F5AE9" w:rsidRPr="00BF2718" w:rsidRDefault="007F5AE9" w:rsidP="00BF2718">
            <w:pPr>
              <w:spacing w:after="0" w:line="240" w:lineRule="auto"/>
              <w:contextualSpacing/>
              <w:jc w:val="center"/>
              <w:rPr>
                <w:rFonts w:ascii="Times New Roman" w:hAnsi="Times New Roman"/>
                <w:sz w:val="24"/>
              </w:rPr>
            </w:pPr>
          </w:p>
          <w:p w14:paraId="46A5F559" w14:textId="77777777" w:rsidR="007F5AE9" w:rsidRPr="00BF2718" w:rsidRDefault="007F5AE9" w:rsidP="00BF2718">
            <w:pPr>
              <w:spacing w:after="0" w:line="240" w:lineRule="auto"/>
              <w:contextualSpacing/>
              <w:jc w:val="center"/>
              <w:rPr>
                <w:rFonts w:ascii="Times New Roman" w:hAnsi="Times New Roman"/>
                <w:sz w:val="24"/>
              </w:rPr>
            </w:pPr>
          </w:p>
          <w:p w14:paraId="67C2331E" w14:textId="77777777" w:rsidR="007F5AE9" w:rsidRPr="00BF2718" w:rsidRDefault="007F5AE9" w:rsidP="00BF2718">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0" w:type="pct"/>
          </w:tcPr>
          <w:p w14:paraId="202FF34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val="restart"/>
            <w:hideMark/>
          </w:tcPr>
          <w:p w14:paraId="6A956593" w14:textId="77777777" w:rsidR="007F5AE9" w:rsidRPr="00BF2718" w:rsidRDefault="007F5AE9" w:rsidP="00BF2718">
            <w:pPr>
              <w:spacing w:after="0" w:line="240" w:lineRule="auto"/>
              <w:contextualSpacing/>
              <w:jc w:val="center"/>
              <w:rPr>
                <w:rFonts w:ascii="Times New Roman" w:hAnsi="Times New Roman"/>
                <w:sz w:val="24"/>
              </w:rPr>
            </w:pPr>
          </w:p>
          <w:p w14:paraId="0066B6BC" w14:textId="77777777" w:rsidR="007F5AE9" w:rsidRPr="00BF2718" w:rsidRDefault="007F5AE9" w:rsidP="00BF2718">
            <w:pPr>
              <w:spacing w:after="0" w:line="240" w:lineRule="auto"/>
              <w:contextualSpacing/>
              <w:jc w:val="center"/>
              <w:rPr>
                <w:rFonts w:ascii="Times New Roman" w:hAnsi="Times New Roman"/>
                <w:sz w:val="24"/>
              </w:rPr>
            </w:pPr>
          </w:p>
          <w:p w14:paraId="7F7D0736" w14:textId="77777777" w:rsidR="007F5AE9" w:rsidRPr="00BF2718" w:rsidRDefault="007F5AE9" w:rsidP="00BF2718">
            <w:pPr>
              <w:spacing w:after="0" w:line="240" w:lineRule="auto"/>
              <w:contextualSpacing/>
              <w:jc w:val="center"/>
              <w:rPr>
                <w:rFonts w:ascii="Times New Roman" w:hAnsi="Times New Roman"/>
                <w:sz w:val="24"/>
              </w:rPr>
            </w:pPr>
          </w:p>
          <w:p w14:paraId="7A8A964E" w14:textId="77777777" w:rsidR="007F5AE9" w:rsidRPr="00BF2718" w:rsidRDefault="007F5AE9" w:rsidP="00BF2718">
            <w:pPr>
              <w:spacing w:after="0" w:line="240" w:lineRule="auto"/>
              <w:contextualSpacing/>
              <w:jc w:val="center"/>
              <w:rPr>
                <w:rFonts w:ascii="Times New Roman" w:hAnsi="Times New Roman"/>
                <w:sz w:val="24"/>
              </w:rPr>
            </w:pPr>
          </w:p>
          <w:p w14:paraId="31B527F2" w14:textId="77777777" w:rsidR="007F5AE9" w:rsidRPr="00BF2718" w:rsidRDefault="007F5AE9" w:rsidP="00BF2718">
            <w:pPr>
              <w:spacing w:after="0" w:line="240" w:lineRule="auto"/>
              <w:contextualSpacing/>
              <w:jc w:val="center"/>
              <w:rPr>
                <w:rFonts w:ascii="Times New Roman" w:hAnsi="Times New Roman"/>
                <w:sz w:val="24"/>
              </w:rPr>
            </w:pPr>
          </w:p>
          <w:p w14:paraId="0DCA4143" w14:textId="77777777" w:rsidR="007F5AE9" w:rsidRPr="00BF2718" w:rsidRDefault="007F5AE9" w:rsidP="00BF2718">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1" w:type="pct"/>
          </w:tcPr>
          <w:p w14:paraId="233672B8"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7ADBCC57"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395D4E8C" w14:textId="77777777" w:rsidTr="00BF2718">
        <w:tc>
          <w:tcPr>
            <w:tcW w:w="1212" w:type="pct"/>
            <w:hideMark/>
          </w:tcPr>
          <w:p w14:paraId="3F8B3A5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5.1. valsts pamatbudžets</w:t>
            </w:r>
          </w:p>
        </w:tc>
        <w:tc>
          <w:tcPr>
            <w:tcW w:w="530" w:type="pct"/>
            <w:vMerge/>
            <w:hideMark/>
          </w:tcPr>
          <w:p w14:paraId="5B4AE909" w14:textId="77777777" w:rsidR="007F5AE9" w:rsidRPr="00BF2718" w:rsidRDefault="007F5AE9" w:rsidP="00BF2718">
            <w:pPr>
              <w:spacing w:after="0" w:line="240" w:lineRule="auto"/>
              <w:contextualSpacing/>
              <w:rPr>
                <w:rFonts w:ascii="Times New Roman" w:hAnsi="Times New Roman"/>
                <w:sz w:val="24"/>
              </w:rPr>
            </w:pPr>
          </w:p>
        </w:tc>
        <w:tc>
          <w:tcPr>
            <w:tcW w:w="606" w:type="pct"/>
          </w:tcPr>
          <w:p w14:paraId="63DAE3A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5F5C27ED" w14:textId="77777777" w:rsidR="007F5AE9" w:rsidRPr="00BF2718" w:rsidRDefault="007F5AE9" w:rsidP="00BF2718">
            <w:pPr>
              <w:spacing w:after="0" w:line="240" w:lineRule="auto"/>
              <w:contextualSpacing/>
              <w:rPr>
                <w:rFonts w:ascii="Times New Roman" w:hAnsi="Times New Roman"/>
                <w:sz w:val="24"/>
              </w:rPr>
            </w:pPr>
          </w:p>
        </w:tc>
        <w:tc>
          <w:tcPr>
            <w:tcW w:w="530" w:type="pct"/>
          </w:tcPr>
          <w:p w14:paraId="6D749A0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2D459360" w14:textId="77777777" w:rsidR="007F5AE9" w:rsidRPr="00BF2718" w:rsidRDefault="007F5AE9" w:rsidP="00BF2718">
            <w:pPr>
              <w:spacing w:after="0" w:line="240" w:lineRule="auto"/>
              <w:contextualSpacing/>
              <w:rPr>
                <w:rFonts w:ascii="Times New Roman" w:hAnsi="Times New Roman"/>
                <w:sz w:val="24"/>
              </w:rPr>
            </w:pPr>
          </w:p>
        </w:tc>
        <w:tc>
          <w:tcPr>
            <w:tcW w:w="531" w:type="pct"/>
          </w:tcPr>
          <w:p w14:paraId="61339088"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123C964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08895096" w14:textId="77777777" w:rsidTr="00BF2718">
        <w:tc>
          <w:tcPr>
            <w:tcW w:w="1212" w:type="pct"/>
            <w:hideMark/>
          </w:tcPr>
          <w:p w14:paraId="4B9B3244"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5.2. speciālais budžets</w:t>
            </w:r>
          </w:p>
        </w:tc>
        <w:tc>
          <w:tcPr>
            <w:tcW w:w="530" w:type="pct"/>
            <w:vMerge/>
            <w:hideMark/>
          </w:tcPr>
          <w:p w14:paraId="1BE439A4" w14:textId="77777777" w:rsidR="007F5AE9" w:rsidRPr="00BF2718" w:rsidRDefault="007F5AE9" w:rsidP="00BF2718">
            <w:pPr>
              <w:spacing w:after="0" w:line="240" w:lineRule="auto"/>
              <w:contextualSpacing/>
              <w:rPr>
                <w:rFonts w:ascii="Times New Roman" w:hAnsi="Times New Roman"/>
                <w:sz w:val="24"/>
              </w:rPr>
            </w:pPr>
          </w:p>
        </w:tc>
        <w:tc>
          <w:tcPr>
            <w:tcW w:w="606" w:type="pct"/>
          </w:tcPr>
          <w:p w14:paraId="1D84016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6C358D93" w14:textId="77777777" w:rsidR="007F5AE9" w:rsidRPr="00BF2718" w:rsidRDefault="007F5AE9" w:rsidP="00BF2718">
            <w:pPr>
              <w:spacing w:after="0" w:line="240" w:lineRule="auto"/>
              <w:contextualSpacing/>
              <w:rPr>
                <w:rFonts w:ascii="Times New Roman" w:hAnsi="Times New Roman"/>
                <w:sz w:val="24"/>
              </w:rPr>
            </w:pPr>
          </w:p>
        </w:tc>
        <w:tc>
          <w:tcPr>
            <w:tcW w:w="530" w:type="pct"/>
          </w:tcPr>
          <w:p w14:paraId="5D85281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58605645" w14:textId="77777777" w:rsidR="007F5AE9" w:rsidRPr="00BF2718" w:rsidRDefault="007F5AE9" w:rsidP="00BF2718">
            <w:pPr>
              <w:spacing w:after="0" w:line="240" w:lineRule="auto"/>
              <w:contextualSpacing/>
              <w:rPr>
                <w:rFonts w:ascii="Times New Roman" w:hAnsi="Times New Roman"/>
                <w:sz w:val="24"/>
              </w:rPr>
            </w:pPr>
          </w:p>
        </w:tc>
        <w:tc>
          <w:tcPr>
            <w:tcW w:w="531" w:type="pct"/>
          </w:tcPr>
          <w:p w14:paraId="02DA735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1187245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2421A489" w14:textId="77777777" w:rsidTr="00BF2718">
        <w:tc>
          <w:tcPr>
            <w:tcW w:w="1212" w:type="pct"/>
            <w:hideMark/>
          </w:tcPr>
          <w:p w14:paraId="16E5391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5.3. pašvaldību budžets</w:t>
            </w:r>
          </w:p>
        </w:tc>
        <w:tc>
          <w:tcPr>
            <w:tcW w:w="530" w:type="pct"/>
            <w:vMerge/>
            <w:hideMark/>
          </w:tcPr>
          <w:p w14:paraId="72CC4D2B" w14:textId="77777777" w:rsidR="007F5AE9" w:rsidRPr="00BF2718" w:rsidRDefault="007F5AE9" w:rsidP="00BF2718">
            <w:pPr>
              <w:spacing w:after="0" w:line="240" w:lineRule="auto"/>
              <w:contextualSpacing/>
              <w:rPr>
                <w:rFonts w:ascii="Times New Roman" w:hAnsi="Times New Roman"/>
                <w:sz w:val="24"/>
              </w:rPr>
            </w:pPr>
          </w:p>
        </w:tc>
        <w:tc>
          <w:tcPr>
            <w:tcW w:w="606" w:type="pct"/>
          </w:tcPr>
          <w:p w14:paraId="22B969B4"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3E18D444" w14:textId="77777777" w:rsidR="007F5AE9" w:rsidRPr="00BF2718" w:rsidRDefault="007F5AE9" w:rsidP="00BF2718">
            <w:pPr>
              <w:spacing w:after="0" w:line="240" w:lineRule="auto"/>
              <w:contextualSpacing/>
              <w:rPr>
                <w:rFonts w:ascii="Times New Roman" w:hAnsi="Times New Roman"/>
                <w:sz w:val="24"/>
              </w:rPr>
            </w:pPr>
          </w:p>
        </w:tc>
        <w:tc>
          <w:tcPr>
            <w:tcW w:w="530" w:type="pct"/>
          </w:tcPr>
          <w:p w14:paraId="5993FF2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1DB176AF" w14:textId="77777777" w:rsidR="007F5AE9" w:rsidRPr="00BF2718" w:rsidRDefault="007F5AE9" w:rsidP="00BF2718">
            <w:pPr>
              <w:spacing w:after="0" w:line="240" w:lineRule="auto"/>
              <w:contextualSpacing/>
              <w:rPr>
                <w:rFonts w:ascii="Times New Roman" w:hAnsi="Times New Roman"/>
                <w:sz w:val="24"/>
              </w:rPr>
            </w:pPr>
          </w:p>
        </w:tc>
        <w:tc>
          <w:tcPr>
            <w:tcW w:w="531" w:type="pct"/>
          </w:tcPr>
          <w:p w14:paraId="3C22CB6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1DE2E2C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115C2D5E" w14:textId="77777777" w:rsidTr="00BF2718">
        <w:tc>
          <w:tcPr>
            <w:tcW w:w="1212" w:type="pct"/>
            <w:hideMark/>
          </w:tcPr>
          <w:p w14:paraId="39B1EBDE" w14:textId="77777777" w:rsidR="007F5AE9" w:rsidRPr="007F5AE9" w:rsidRDefault="007F5AE9" w:rsidP="00BF2718">
            <w:pPr>
              <w:spacing w:after="0" w:line="240" w:lineRule="auto"/>
              <w:contextualSpacing/>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3788" w:type="pct"/>
            <w:gridSpan w:val="7"/>
            <w:vMerge w:val="restart"/>
          </w:tcPr>
          <w:p w14:paraId="79B28427" w14:textId="1D93E248" w:rsidR="007F5AE9" w:rsidRPr="007F5AE9" w:rsidRDefault="007F5AE9" w:rsidP="00BF2718">
            <w:pPr>
              <w:spacing w:after="0" w:line="240" w:lineRule="auto"/>
              <w:ind w:right="130" w:firstLine="313"/>
              <w:contextualSpacing/>
              <w:jc w:val="both"/>
              <w:rPr>
                <w:rFonts w:ascii="Times New Roman" w:hAnsi="Times New Roman"/>
                <w:sz w:val="24"/>
                <w:szCs w:val="24"/>
              </w:rPr>
            </w:pPr>
            <w:r w:rsidRPr="007F5AE9">
              <w:rPr>
                <w:rFonts w:ascii="Times New Roman" w:hAnsi="Times New Roman"/>
                <w:sz w:val="24"/>
                <w:szCs w:val="24"/>
              </w:rPr>
              <w:t xml:space="preserve">SAM 4.1.1. projektu iesniegumu atlases trešās kārtas ietvaros iesniegto projektu īstenošana tiks uzsākta ne ātrāk kā 2020.gadā, tādējādi plānots, ka izdevumu pozīcija būs 2 124 462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ka</w:t>
            </w:r>
            <w:r w:rsidR="00E316F9">
              <w:rPr>
                <w:rFonts w:ascii="Times New Roman" w:hAnsi="Times New Roman"/>
                <w:sz w:val="24"/>
                <w:szCs w:val="24"/>
              </w:rPr>
              <w:t>d</w:t>
            </w:r>
            <w:r w:rsidRPr="007F5AE9">
              <w:rPr>
                <w:rFonts w:ascii="Times New Roman" w:hAnsi="Times New Roman"/>
                <w:sz w:val="24"/>
                <w:szCs w:val="24"/>
              </w:rPr>
              <w:t xml:space="preserve"> tiks pieprasīti pirmie avansa maksājumi. 2021.gadā izdevumi plānoti </w:t>
            </w:r>
            <w:r w:rsidR="001F4028">
              <w:rPr>
                <w:rFonts w:ascii="Times New Roman" w:hAnsi="Times New Roman"/>
                <w:sz w:val="24"/>
                <w:szCs w:val="24"/>
              </w:rPr>
              <w:t>4 248 924</w:t>
            </w:r>
            <w:r w:rsidRPr="007F5AE9">
              <w:rPr>
                <w:rFonts w:ascii="Times New Roman" w:hAnsi="Times New Roman"/>
                <w:sz w:val="24"/>
                <w:szCs w:val="24"/>
              </w:rPr>
              <w:t xml:space="preserve">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ko veido avansa maksājumi un starpposma maksājumi</w:t>
            </w:r>
            <w:r w:rsidR="00E316F9">
              <w:rPr>
                <w:rFonts w:ascii="Times New Roman" w:hAnsi="Times New Roman"/>
                <w:sz w:val="24"/>
                <w:szCs w:val="24"/>
              </w:rPr>
              <w:t>, bet</w:t>
            </w:r>
            <w:r w:rsidRPr="007F5AE9">
              <w:rPr>
                <w:rFonts w:ascii="Times New Roman" w:hAnsi="Times New Roman"/>
                <w:sz w:val="24"/>
                <w:szCs w:val="24"/>
              </w:rPr>
              <w:t xml:space="preserve"> 2022.gadā plānoti izdevumi 4 248 924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xml:space="preserve">,. </w:t>
            </w:r>
          </w:p>
          <w:p w14:paraId="5084CA92" w14:textId="77777777" w:rsidR="007F5AE9" w:rsidRPr="007F5AE9" w:rsidRDefault="007F5AE9" w:rsidP="00BF2718">
            <w:pPr>
              <w:spacing w:after="0" w:line="240" w:lineRule="auto"/>
              <w:ind w:right="130" w:firstLine="313"/>
              <w:contextualSpacing/>
              <w:jc w:val="both"/>
              <w:rPr>
                <w:rFonts w:ascii="Times New Roman" w:hAnsi="Times New Roman"/>
                <w:sz w:val="24"/>
                <w:szCs w:val="24"/>
              </w:rPr>
            </w:pPr>
            <w:r w:rsidRPr="007F5AE9">
              <w:rPr>
                <w:rFonts w:ascii="Times New Roman" w:hAnsi="Times New Roman"/>
                <w:sz w:val="24"/>
                <w:szCs w:val="24"/>
              </w:rPr>
              <w:t xml:space="preserve">SAM 4.1.1. trešās atlases kārtas ietvaros finansējums ir KF finansējums 30% apmērā, privātais finansējums 70% apmērā. </w:t>
            </w:r>
          </w:p>
        </w:tc>
      </w:tr>
      <w:tr w:rsidR="007F5AE9" w:rsidRPr="007F5AE9" w14:paraId="5291809A" w14:textId="77777777" w:rsidTr="00BF2718">
        <w:tc>
          <w:tcPr>
            <w:tcW w:w="1212" w:type="pct"/>
            <w:hideMark/>
          </w:tcPr>
          <w:p w14:paraId="184518F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6.1. detalizēts ieņēmumu aprēķins</w:t>
            </w:r>
          </w:p>
        </w:tc>
        <w:tc>
          <w:tcPr>
            <w:tcW w:w="3788" w:type="pct"/>
            <w:gridSpan w:val="7"/>
            <w:vMerge/>
          </w:tcPr>
          <w:p w14:paraId="2DDB567B" w14:textId="77777777" w:rsidR="007F5AE9" w:rsidRPr="00BF2718" w:rsidRDefault="007F5AE9" w:rsidP="00BF2718">
            <w:pPr>
              <w:spacing w:after="0" w:line="240" w:lineRule="auto"/>
              <w:ind w:firstLine="313"/>
              <w:contextualSpacing/>
              <w:rPr>
                <w:rFonts w:ascii="Times New Roman" w:hAnsi="Times New Roman"/>
                <w:sz w:val="24"/>
                <w:highlight w:val="yellow"/>
              </w:rPr>
            </w:pPr>
          </w:p>
        </w:tc>
      </w:tr>
      <w:tr w:rsidR="007F5AE9" w:rsidRPr="007F5AE9" w14:paraId="4802CC33" w14:textId="77777777" w:rsidTr="00BF2718">
        <w:tc>
          <w:tcPr>
            <w:tcW w:w="1212" w:type="pct"/>
            <w:hideMark/>
          </w:tcPr>
          <w:p w14:paraId="32FF7E92"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6.2. detalizēts izdevumu aprēķins</w:t>
            </w:r>
          </w:p>
        </w:tc>
        <w:tc>
          <w:tcPr>
            <w:tcW w:w="3788" w:type="pct"/>
            <w:gridSpan w:val="7"/>
            <w:vMerge/>
          </w:tcPr>
          <w:p w14:paraId="0EA76CBA" w14:textId="77777777" w:rsidR="007F5AE9" w:rsidRPr="00BF2718" w:rsidRDefault="007F5AE9" w:rsidP="00BF2718">
            <w:pPr>
              <w:spacing w:after="0" w:line="240" w:lineRule="auto"/>
              <w:ind w:firstLine="313"/>
              <w:contextualSpacing/>
              <w:rPr>
                <w:rFonts w:ascii="Times New Roman" w:hAnsi="Times New Roman"/>
                <w:sz w:val="24"/>
                <w:highlight w:val="yellow"/>
              </w:rPr>
            </w:pPr>
          </w:p>
        </w:tc>
      </w:tr>
      <w:tr w:rsidR="007F5AE9" w:rsidRPr="007F5AE9" w14:paraId="298CBF22" w14:textId="77777777" w:rsidTr="00BF2718">
        <w:tc>
          <w:tcPr>
            <w:tcW w:w="1212" w:type="pct"/>
            <w:hideMark/>
          </w:tcPr>
          <w:p w14:paraId="2E6095F2"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7. Amata vietu skaita izmaiņas</w:t>
            </w:r>
          </w:p>
        </w:tc>
        <w:tc>
          <w:tcPr>
            <w:tcW w:w="3788" w:type="pct"/>
            <w:gridSpan w:val="7"/>
          </w:tcPr>
          <w:p w14:paraId="4A654173" w14:textId="77777777" w:rsidR="007F5AE9" w:rsidRPr="00BF2718" w:rsidRDefault="007F5AE9" w:rsidP="00BF2718">
            <w:pPr>
              <w:spacing w:after="0" w:line="240" w:lineRule="auto"/>
              <w:ind w:right="130"/>
              <w:contextualSpacing/>
              <w:jc w:val="both"/>
              <w:rPr>
                <w:rFonts w:ascii="Times New Roman" w:hAnsi="Times New Roman"/>
                <w:sz w:val="24"/>
                <w:highlight w:val="yellow"/>
              </w:rPr>
            </w:pPr>
            <w:r w:rsidRPr="007F5AE9">
              <w:rPr>
                <w:rFonts w:ascii="Times New Roman" w:hAnsi="Times New Roman"/>
                <w:sz w:val="24"/>
                <w:szCs w:val="24"/>
              </w:rPr>
              <w:t>Nav</w:t>
            </w:r>
            <w:r w:rsidRPr="00BF2718">
              <w:rPr>
                <w:rFonts w:ascii="Times New Roman" w:hAnsi="Times New Roman"/>
                <w:sz w:val="24"/>
              </w:rPr>
              <w:t>.</w:t>
            </w:r>
          </w:p>
        </w:tc>
      </w:tr>
      <w:tr w:rsidR="007F5AE9" w:rsidRPr="007F5AE9" w14:paraId="587A7A8C" w14:textId="77777777" w:rsidTr="00BF2718">
        <w:tc>
          <w:tcPr>
            <w:tcW w:w="1212" w:type="pct"/>
            <w:hideMark/>
          </w:tcPr>
          <w:p w14:paraId="178D337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8. Cita informācija</w:t>
            </w:r>
          </w:p>
        </w:tc>
        <w:tc>
          <w:tcPr>
            <w:tcW w:w="3788" w:type="pct"/>
            <w:gridSpan w:val="7"/>
            <w:hideMark/>
          </w:tcPr>
          <w:p w14:paraId="1EFC84AC" w14:textId="025BB7AD" w:rsidR="007F5AE9" w:rsidRPr="00BF2718" w:rsidRDefault="007F5AE9" w:rsidP="00BF2718">
            <w:pPr>
              <w:spacing w:after="0" w:line="240" w:lineRule="auto"/>
              <w:ind w:right="130" w:firstLine="313"/>
              <w:contextualSpacing/>
              <w:jc w:val="both"/>
              <w:rPr>
                <w:rFonts w:ascii="Times New Roman" w:hAnsi="Times New Roman"/>
                <w:sz w:val="24"/>
              </w:rPr>
            </w:pPr>
            <w:r w:rsidRPr="007F5AE9">
              <w:rPr>
                <w:rFonts w:ascii="Times New Roman" w:hAnsi="Times New Roman"/>
                <w:sz w:val="24"/>
                <w:szCs w:val="24"/>
              </w:rPr>
              <w:t xml:space="preserve">Finansējuma sadalījums pa gadiem ir norādīts indikatīvi un var tikt precizēts pēc projektu apstiprināšanas SAM 4.1.1. ietvaros. Projekta iesniedzēji projektā paredzētās darbības var uzsākt ar brīdi, kad sadarbības iestāde ir saņēmusi projekta iesniegumu, tādējādi arī izmaksu </w:t>
            </w:r>
            <w:proofErr w:type="spellStart"/>
            <w:r w:rsidRPr="007F5AE9">
              <w:rPr>
                <w:rFonts w:ascii="Times New Roman" w:hAnsi="Times New Roman"/>
                <w:sz w:val="24"/>
                <w:szCs w:val="24"/>
              </w:rPr>
              <w:t>attiecināmības</w:t>
            </w:r>
            <w:proofErr w:type="spellEnd"/>
            <w:r w:rsidRPr="007F5AE9">
              <w:rPr>
                <w:rFonts w:ascii="Times New Roman" w:hAnsi="Times New Roman"/>
                <w:sz w:val="24"/>
                <w:szCs w:val="24"/>
              </w:rPr>
              <w:t xml:space="preserve"> periods ir sākot ar dienu, kad projekts ir iesniegts sadarbības iestādē. Izņēmums ir tehniskās dokumentācijas izstrādes izmaksas (noteikumu projekta 23.1.apakšpunkts), kuras var rasties arī pirms projekta iesniegšanas sadarbības iestādē, bet ne agrāk kā no </w:t>
            </w:r>
            <w:r w:rsidR="00E316F9">
              <w:rPr>
                <w:rFonts w:ascii="Times New Roman" w:hAnsi="Times New Roman"/>
                <w:sz w:val="24"/>
                <w:szCs w:val="24"/>
              </w:rPr>
              <w:t>2019.gada 2.maija</w:t>
            </w:r>
            <w:r w:rsidRPr="007F5AE9">
              <w:rPr>
                <w:rFonts w:ascii="Times New Roman" w:hAnsi="Times New Roman"/>
                <w:sz w:val="24"/>
                <w:szCs w:val="24"/>
              </w:rPr>
              <w:t xml:space="preserve">, bet šajā gadījumā tās tiek segtas ar </w:t>
            </w:r>
            <w:proofErr w:type="spellStart"/>
            <w:r w:rsidRPr="00BF2718">
              <w:rPr>
                <w:rFonts w:ascii="Times New Roman" w:hAnsi="Times New Roman"/>
                <w:i/>
                <w:sz w:val="24"/>
              </w:rPr>
              <w:t>de</w:t>
            </w:r>
            <w:proofErr w:type="spellEnd"/>
            <w:r w:rsidRPr="00BF2718">
              <w:rPr>
                <w:rFonts w:ascii="Times New Roman" w:hAnsi="Times New Roman"/>
                <w:i/>
                <w:sz w:val="24"/>
              </w:rPr>
              <w:t xml:space="preserve"> </w:t>
            </w:r>
            <w:proofErr w:type="spellStart"/>
            <w:r w:rsidRPr="00BF2718">
              <w:rPr>
                <w:rFonts w:ascii="Times New Roman" w:hAnsi="Times New Roman"/>
                <w:i/>
                <w:sz w:val="24"/>
              </w:rPr>
              <w:t>minimis</w:t>
            </w:r>
            <w:proofErr w:type="spellEnd"/>
            <w:r w:rsidRPr="007F5AE9">
              <w:rPr>
                <w:rFonts w:ascii="Times New Roman" w:hAnsi="Times New Roman"/>
                <w:sz w:val="24"/>
                <w:szCs w:val="24"/>
              </w:rPr>
              <w:t xml:space="preserve"> atbalstu komersantiem. Minētā prasība ir noteikta, ņemot vērā to, ka tehniskās dokumentācijas izstrāde ir sarežģīts un laikietilpīgs process</w:t>
            </w:r>
            <w:r w:rsidR="00E316F9">
              <w:rPr>
                <w:rFonts w:ascii="Times New Roman" w:hAnsi="Times New Roman"/>
                <w:sz w:val="24"/>
                <w:szCs w:val="24"/>
              </w:rPr>
              <w:t>, kuru nepieciešams uzsākt savlaicīgi</w:t>
            </w:r>
            <w:r w:rsidRPr="007F5AE9">
              <w:rPr>
                <w:rFonts w:ascii="Times New Roman" w:hAnsi="Times New Roman"/>
                <w:sz w:val="24"/>
                <w:szCs w:val="24"/>
              </w:rPr>
              <w:t>. Komersantiem jau šobrīd ir pieejami atlases kritēriji un kritēriju piemērošanas metodika atlases kārtas ietvaros, tādējādi ir paredzams, ka darbs pie tehniskās dokumentācijas izstrādes tiks nodrošināts jau šobrīd, lai uz projektu iesniegumu atlases brīdi dokumentācija būtu savlaicīgi un kvalitatīvi izstrādāta.</w:t>
            </w:r>
          </w:p>
        </w:tc>
      </w:tr>
    </w:tbl>
    <w:p w14:paraId="3BF6B00B" w14:textId="77777777" w:rsidR="007F5AE9" w:rsidRPr="00BF2718" w:rsidRDefault="007F5AE9" w:rsidP="00BF2718">
      <w:pPr>
        <w:spacing w:after="0" w:line="240" w:lineRule="auto"/>
        <w:contextualSpacing/>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E5753A" w:rsidRPr="007F5AE9" w14:paraId="762702AD" w14:textId="77777777" w:rsidTr="00BF2718">
        <w:tc>
          <w:tcPr>
            <w:tcW w:w="9356" w:type="dxa"/>
            <w:gridSpan w:val="3"/>
            <w:hideMark/>
          </w:tcPr>
          <w:p w14:paraId="1637CFAE" w14:textId="02D44E77" w:rsidR="00E5753A" w:rsidRPr="007F5AE9" w:rsidRDefault="00E5753A" w:rsidP="00BF2718">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BF2718" w:rsidRPr="00F513D9" w14:paraId="766F29E2" w14:textId="77777777" w:rsidTr="00BF2718">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5145435F" w14:textId="44A1DDED" w:rsidR="00552A99" w:rsidRPr="00BF2718" w:rsidRDefault="00552A99" w:rsidP="00BF2718">
            <w:pPr>
              <w:spacing w:after="0" w:line="240" w:lineRule="auto"/>
              <w:contextualSpacing/>
              <w:rPr>
                <w:rFonts w:ascii="Times New Roman" w:hAnsi="Times New Roman"/>
                <w:sz w:val="24"/>
              </w:rPr>
            </w:pPr>
            <w:r w:rsidRPr="00F513D9">
              <w:rPr>
                <w:rFonts w:ascii="Times New Roman" w:hAnsi="Times New Roman"/>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14:paraId="69368540" w14:textId="2FE9FC94"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70ABFF53" w14:textId="070305F1" w:rsidR="00552A99" w:rsidRPr="00D655D5" w:rsidRDefault="00552A99" w:rsidP="00552A99">
            <w:pPr>
              <w:spacing w:after="0" w:line="240" w:lineRule="auto"/>
              <w:ind w:firstLine="253"/>
              <w:contextualSpacing/>
              <w:jc w:val="both"/>
              <w:rPr>
                <w:rFonts w:ascii="Times New Roman" w:hAnsi="Times New Roman"/>
                <w:sz w:val="24"/>
                <w:szCs w:val="24"/>
              </w:rPr>
            </w:pPr>
            <w:r w:rsidRPr="00742A68">
              <w:rPr>
                <w:rFonts w:ascii="Times New Roman" w:hAnsi="Times New Roman"/>
                <w:sz w:val="24"/>
                <w:szCs w:val="24"/>
              </w:rPr>
              <w:t xml:space="preserve">Lai </w:t>
            </w:r>
            <w:r w:rsidRPr="00657039">
              <w:rPr>
                <w:rFonts w:ascii="Times New Roman" w:hAnsi="Times New Roman"/>
                <w:sz w:val="24"/>
                <w:szCs w:val="24"/>
              </w:rPr>
              <w:t>ļautu komersantiem un to saistītajām personām, kas atbalstu saņēmuši iepriekšējo atlases kārtu ietvaros, veicināt energoefektivitāti un iesniegt projektus arī SAM 4.1.1. trešās kārtas ietvaros,</w:t>
            </w:r>
            <w:r w:rsidR="00CD71BB">
              <w:rPr>
                <w:rFonts w:ascii="Times New Roman" w:hAnsi="Times New Roman"/>
                <w:sz w:val="24"/>
                <w:szCs w:val="24"/>
              </w:rPr>
              <w:t xml:space="preserve"> kā arī, lai </w:t>
            </w:r>
            <w:r w:rsidRPr="00657039">
              <w:rPr>
                <w:rFonts w:ascii="Times New Roman" w:hAnsi="Times New Roman"/>
                <w:sz w:val="24"/>
                <w:szCs w:val="24"/>
              </w:rPr>
              <w:t xml:space="preserve"> novirz</w:t>
            </w:r>
            <w:r w:rsidR="00CD71BB">
              <w:rPr>
                <w:rFonts w:ascii="Times New Roman" w:hAnsi="Times New Roman"/>
                <w:sz w:val="24"/>
                <w:szCs w:val="24"/>
              </w:rPr>
              <w:t>ī</w:t>
            </w:r>
            <w:r w:rsidRPr="00657039">
              <w:rPr>
                <w:rFonts w:ascii="Times New Roman" w:hAnsi="Times New Roman"/>
                <w:sz w:val="24"/>
                <w:szCs w:val="24"/>
              </w:rPr>
              <w:t>t</w:t>
            </w:r>
            <w:r w:rsidR="00CD71BB">
              <w:rPr>
                <w:rFonts w:ascii="Times New Roman" w:hAnsi="Times New Roman"/>
                <w:sz w:val="24"/>
                <w:szCs w:val="24"/>
              </w:rPr>
              <w:t xml:space="preserve">u </w:t>
            </w:r>
            <w:r w:rsidRPr="00657039">
              <w:rPr>
                <w:rFonts w:ascii="Times New Roman" w:hAnsi="Times New Roman"/>
                <w:sz w:val="24"/>
                <w:szCs w:val="24"/>
              </w:rPr>
              <w:t xml:space="preserve"> </w:t>
            </w:r>
            <w:r w:rsidR="00615F7B">
              <w:rPr>
                <w:rFonts w:ascii="Times New Roman" w:hAnsi="Times New Roman"/>
                <w:sz w:val="24"/>
                <w:szCs w:val="24"/>
              </w:rPr>
              <w:t xml:space="preserve">SAM 4.1.1. pirmās un otrās atlases kārtas ietvaros </w:t>
            </w:r>
            <w:r w:rsidRPr="00657039">
              <w:rPr>
                <w:rFonts w:ascii="Times New Roman" w:hAnsi="Times New Roman"/>
                <w:sz w:val="24"/>
                <w:szCs w:val="24"/>
              </w:rPr>
              <w:t>neizmantoto</w:t>
            </w:r>
            <w:r w:rsidR="00CD71BB">
              <w:rPr>
                <w:rFonts w:ascii="Times New Roman" w:hAnsi="Times New Roman"/>
                <w:sz w:val="24"/>
                <w:szCs w:val="24"/>
              </w:rPr>
              <w:t xml:space="preserve"> KF</w:t>
            </w:r>
            <w:r w:rsidRPr="00657039">
              <w:rPr>
                <w:rFonts w:ascii="Times New Roman" w:hAnsi="Times New Roman"/>
                <w:sz w:val="24"/>
                <w:szCs w:val="24"/>
              </w:rPr>
              <w:t xml:space="preserve"> finansējumu </w:t>
            </w:r>
            <w:r w:rsidR="00323189">
              <w:rPr>
                <w:rFonts w:ascii="Times New Roman" w:eastAsia="Times New Roman" w:hAnsi="Times New Roman"/>
                <w:sz w:val="24"/>
                <w:szCs w:val="24"/>
                <w:lang w:eastAsia="lv-LV"/>
              </w:rPr>
              <w:t xml:space="preserve">10 622 310 </w:t>
            </w:r>
            <w:proofErr w:type="spellStart"/>
            <w:r w:rsidRPr="00657039">
              <w:rPr>
                <w:rFonts w:ascii="Times New Roman" w:hAnsi="Times New Roman"/>
                <w:i/>
                <w:sz w:val="24"/>
                <w:szCs w:val="24"/>
              </w:rPr>
              <w:t>euro</w:t>
            </w:r>
            <w:proofErr w:type="spellEnd"/>
            <w:r w:rsidRPr="00657039">
              <w:rPr>
                <w:rFonts w:ascii="Times New Roman" w:hAnsi="Times New Roman"/>
                <w:sz w:val="24"/>
                <w:szCs w:val="24"/>
              </w:rPr>
              <w:t xml:space="preserve"> apmērā SAM 4.1.1 trešās kārtas īstenošanai</w:t>
            </w:r>
            <w:r>
              <w:rPr>
                <w:rFonts w:ascii="Times New Roman" w:hAnsi="Times New Roman"/>
                <w:sz w:val="24"/>
                <w:szCs w:val="24"/>
              </w:rPr>
              <w:t xml:space="preserve">, un </w:t>
            </w:r>
            <w:r w:rsidRPr="002D28B5">
              <w:rPr>
                <w:rFonts w:ascii="Times New Roman" w:hAnsi="Times New Roman"/>
                <w:sz w:val="24"/>
                <w:szCs w:val="24"/>
              </w:rPr>
              <w:t>nodrošinātu informācijas izsekojamību</w:t>
            </w:r>
            <w:r>
              <w:rPr>
                <w:rFonts w:ascii="Times New Roman" w:hAnsi="Times New Roman"/>
                <w:sz w:val="24"/>
                <w:szCs w:val="24"/>
              </w:rPr>
              <w:t xml:space="preserve"> ar noteikumu </w:t>
            </w:r>
            <w:r w:rsidRPr="00D655D5">
              <w:rPr>
                <w:rFonts w:ascii="Times New Roman" w:hAnsi="Times New Roman"/>
                <w:sz w:val="24"/>
                <w:szCs w:val="24"/>
              </w:rPr>
              <w:t>projektu vienlaicīgi tiek virzīti grozījumi:</w:t>
            </w:r>
          </w:p>
          <w:p w14:paraId="116F18D4" w14:textId="70BD0127" w:rsidR="00552A99" w:rsidRPr="00D655D5" w:rsidRDefault="00552A99" w:rsidP="00552A99">
            <w:pPr>
              <w:pStyle w:val="ListParagraph"/>
              <w:numPr>
                <w:ilvl w:val="0"/>
                <w:numId w:val="25"/>
              </w:numPr>
              <w:spacing w:after="0" w:line="240" w:lineRule="auto"/>
              <w:jc w:val="both"/>
              <w:rPr>
                <w:rFonts w:ascii="Times New Roman" w:hAnsi="Times New Roman"/>
                <w:sz w:val="24"/>
                <w:szCs w:val="24"/>
              </w:rPr>
            </w:pPr>
            <w:r w:rsidRPr="00D655D5">
              <w:rPr>
                <w:rFonts w:ascii="Times New Roman" w:hAnsi="Times New Roman"/>
                <w:sz w:val="24"/>
                <w:szCs w:val="24"/>
              </w:rPr>
              <w:t>SAM 4.1.1. pirmo atlases kārtu regulējošajos Ministru kabineta 201</w:t>
            </w:r>
            <w:r w:rsidR="00D655D5" w:rsidRPr="00D655D5">
              <w:rPr>
                <w:rFonts w:ascii="Times New Roman" w:hAnsi="Times New Roman"/>
                <w:sz w:val="24"/>
                <w:szCs w:val="24"/>
              </w:rPr>
              <w:t>6</w:t>
            </w:r>
            <w:r w:rsidRPr="00D655D5">
              <w:rPr>
                <w:rFonts w:ascii="Times New Roman" w:hAnsi="Times New Roman"/>
                <w:sz w:val="24"/>
                <w:szCs w:val="24"/>
              </w:rPr>
              <w:t xml:space="preserve">.gada </w:t>
            </w:r>
            <w:r w:rsidR="00D655D5" w:rsidRPr="00D655D5">
              <w:rPr>
                <w:rFonts w:ascii="Times New Roman" w:hAnsi="Times New Roman"/>
                <w:sz w:val="24"/>
                <w:szCs w:val="24"/>
              </w:rPr>
              <w:t>6.septembra</w:t>
            </w:r>
            <w:r w:rsidRPr="00D655D5">
              <w:rPr>
                <w:rFonts w:ascii="Times New Roman" w:hAnsi="Times New Roman"/>
                <w:sz w:val="24"/>
                <w:szCs w:val="24"/>
              </w:rPr>
              <w:t xml:space="preserve"> noteikumos Nr.</w:t>
            </w:r>
            <w:r w:rsidR="00D655D5" w:rsidRPr="00D655D5">
              <w:rPr>
                <w:rFonts w:ascii="Times New Roman" w:hAnsi="Times New Roman"/>
                <w:sz w:val="24"/>
                <w:szCs w:val="24"/>
              </w:rPr>
              <w:t>590</w:t>
            </w:r>
            <w:r w:rsidRPr="00D655D5">
              <w:rPr>
                <w:rFonts w:ascii="Times New Roman" w:hAnsi="Times New Roman"/>
                <w:sz w:val="24"/>
                <w:szCs w:val="24"/>
              </w:rPr>
              <w:t xml:space="preserve"> “Darbības programmas “Izaugsme un nodarbinātība” 4.1.1. specifiskā atbalsta mērķa “Veicināt efektīvu energoresursu izmantošanu, enerģijas patēriņa samazināšanu un pāreju uz AER apstrādes rūpniecības nozarē” </w:t>
            </w:r>
            <w:r w:rsidR="00D655D5" w:rsidRPr="00D655D5">
              <w:rPr>
                <w:rFonts w:ascii="Times New Roman" w:hAnsi="Times New Roman"/>
                <w:sz w:val="24"/>
                <w:szCs w:val="24"/>
              </w:rPr>
              <w:t>pirmās</w:t>
            </w:r>
            <w:r w:rsidRPr="00D655D5">
              <w:rPr>
                <w:rFonts w:ascii="Times New Roman" w:hAnsi="Times New Roman"/>
                <w:sz w:val="24"/>
                <w:szCs w:val="24"/>
              </w:rPr>
              <w:t xml:space="preserve"> projektu iesniegumu atlases kārtas īstenošanas noteikumi”;</w:t>
            </w:r>
          </w:p>
          <w:p w14:paraId="5EF19F0A" w14:textId="56511312" w:rsidR="00615F7B" w:rsidRPr="00615F7B" w:rsidRDefault="00552A99" w:rsidP="00615F7B">
            <w:pPr>
              <w:pStyle w:val="ListParagraph"/>
              <w:numPr>
                <w:ilvl w:val="0"/>
                <w:numId w:val="25"/>
              </w:numPr>
              <w:spacing w:after="0" w:line="240" w:lineRule="auto"/>
              <w:jc w:val="both"/>
              <w:rPr>
                <w:rFonts w:ascii="Times New Roman" w:hAnsi="Times New Roman"/>
                <w:sz w:val="24"/>
                <w:szCs w:val="24"/>
              </w:rPr>
            </w:pPr>
            <w:r w:rsidRPr="00D655D5">
              <w:rPr>
                <w:rFonts w:ascii="Times New Roman" w:hAnsi="Times New Roman"/>
                <w:sz w:val="24"/>
                <w:szCs w:val="24"/>
              </w:rPr>
              <w:t>SAM 4.1.1.otro</w:t>
            </w:r>
            <w:r w:rsidRPr="004A77E7">
              <w:rPr>
                <w:rFonts w:ascii="Times New Roman" w:hAnsi="Times New Roman"/>
                <w:sz w:val="24"/>
                <w:szCs w:val="24"/>
              </w:rPr>
              <w:t xml:space="preserve"> atlases kārtu regulējošajos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Pr>
                <w:rFonts w:ascii="Times New Roman" w:hAnsi="Times New Roman"/>
                <w:sz w:val="24"/>
                <w:szCs w:val="24"/>
              </w:rPr>
              <w:t>.</w:t>
            </w:r>
          </w:p>
        </w:tc>
      </w:tr>
      <w:tr w:rsidR="00552A99" w:rsidRPr="00F513D9" w14:paraId="39DC3D6D" w14:textId="77777777" w:rsidTr="00552A9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21A6A87B" w14:textId="11B502C2"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119A4762" w14:textId="445ED5B8"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66B14621" w14:textId="34253FC0" w:rsidR="00552A99" w:rsidRPr="00F513D9" w:rsidRDefault="00552A99" w:rsidP="00615F7B">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552A99" w:rsidRPr="00F513D9" w14:paraId="3B0C327D" w14:textId="77777777" w:rsidTr="00552A9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512D457B" w14:textId="50FCE0EC"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50CF5314" w14:textId="35B3E9FA"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3CB30679" w14:textId="0A156E61" w:rsidR="00552A99" w:rsidRPr="00F513D9" w:rsidRDefault="00552A99" w:rsidP="00615F7B">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Nav</w:t>
            </w:r>
          </w:p>
        </w:tc>
      </w:tr>
    </w:tbl>
    <w:p w14:paraId="6374FE69" w14:textId="77777777" w:rsidR="00F513D9" w:rsidRPr="00BF2718" w:rsidRDefault="00F513D9" w:rsidP="00BF2718">
      <w:pPr>
        <w:spacing w:after="0" w:line="240" w:lineRule="auto"/>
        <w:contextualSpacing/>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2240"/>
        <w:gridCol w:w="6765"/>
      </w:tblGrid>
      <w:tr w:rsidR="00F7481B" w:rsidRPr="007F5AE9" w14:paraId="2D367850" w14:textId="77777777" w:rsidTr="00BF2718">
        <w:trPr>
          <w:trHeight w:val="421"/>
        </w:trPr>
        <w:tc>
          <w:tcPr>
            <w:tcW w:w="9356" w:type="dxa"/>
            <w:gridSpan w:val="3"/>
            <w:vAlign w:val="center"/>
          </w:tcPr>
          <w:p w14:paraId="1527A6CB" w14:textId="77777777" w:rsidR="00F7481B" w:rsidRPr="007F5AE9" w:rsidRDefault="00F7481B" w:rsidP="00BF2718">
            <w:pPr>
              <w:pStyle w:val="naisnod"/>
              <w:spacing w:before="0" w:beforeAutospacing="0" w:after="0" w:afterAutospacing="0"/>
              <w:ind w:left="57" w:right="57"/>
              <w:contextualSpacing/>
              <w:jc w:val="center"/>
            </w:pPr>
            <w:r w:rsidRPr="007F5AE9">
              <w:rPr>
                <w:b/>
              </w:rPr>
              <w:t xml:space="preserve">V. </w:t>
            </w:r>
            <w:r w:rsidRPr="007F5AE9">
              <w:rPr>
                <w:b/>
                <w:color w:val="000000"/>
              </w:rPr>
              <w:t>Tiesību akta projekta atbilstība Latvijas Republikas starptautiskajām saistībām</w:t>
            </w:r>
          </w:p>
        </w:tc>
      </w:tr>
      <w:tr w:rsidR="00F7481B" w:rsidRPr="007F5AE9" w14:paraId="1AD0B7F2" w14:textId="77777777" w:rsidTr="00BF2718">
        <w:trPr>
          <w:trHeight w:val="553"/>
        </w:trPr>
        <w:tc>
          <w:tcPr>
            <w:tcW w:w="305" w:type="dxa"/>
          </w:tcPr>
          <w:p w14:paraId="1DB2623E" w14:textId="77777777" w:rsidR="00F7481B" w:rsidRPr="007F5AE9" w:rsidRDefault="00F7481B" w:rsidP="00BF2718">
            <w:pPr>
              <w:spacing w:after="0" w:line="240" w:lineRule="auto"/>
              <w:ind w:left="57" w:right="57"/>
              <w:contextualSpacing/>
              <w:jc w:val="both"/>
              <w:rPr>
                <w:rFonts w:ascii="Times New Roman" w:hAnsi="Times New Roman"/>
                <w:bCs/>
                <w:sz w:val="24"/>
                <w:szCs w:val="24"/>
              </w:rPr>
            </w:pPr>
            <w:r w:rsidRPr="007F5AE9">
              <w:rPr>
                <w:rFonts w:ascii="Times New Roman" w:hAnsi="Times New Roman"/>
                <w:bCs/>
                <w:sz w:val="24"/>
                <w:szCs w:val="24"/>
              </w:rPr>
              <w:t>1.</w:t>
            </w:r>
          </w:p>
        </w:tc>
        <w:tc>
          <w:tcPr>
            <w:tcW w:w="2247" w:type="dxa"/>
          </w:tcPr>
          <w:p w14:paraId="5F6F9B72" w14:textId="77777777" w:rsidR="00F7481B" w:rsidRPr="007F5AE9" w:rsidRDefault="00F7481B" w:rsidP="00BF2718">
            <w:pPr>
              <w:spacing w:after="0" w:line="240" w:lineRule="auto"/>
              <w:ind w:left="57" w:right="57"/>
              <w:contextualSpacing/>
              <w:rPr>
                <w:rFonts w:ascii="Times New Roman" w:hAnsi="Times New Roman"/>
                <w:sz w:val="24"/>
                <w:szCs w:val="24"/>
              </w:rPr>
            </w:pPr>
            <w:r w:rsidRPr="007F5AE9">
              <w:rPr>
                <w:rFonts w:ascii="Times New Roman" w:hAnsi="Times New Roman"/>
                <w:color w:val="000000"/>
                <w:sz w:val="24"/>
                <w:szCs w:val="24"/>
              </w:rPr>
              <w:t>Saistības pret Eiropas Savienību</w:t>
            </w:r>
          </w:p>
        </w:tc>
        <w:tc>
          <w:tcPr>
            <w:tcW w:w="6804" w:type="dxa"/>
          </w:tcPr>
          <w:p w14:paraId="57AB43B9" w14:textId="77777777" w:rsidR="00F7481B" w:rsidRPr="007F5AE9" w:rsidRDefault="00F7481B" w:rsidP="00BF2718">
            <w:pPr>
              <w:spacing w:after="0" w:line="240" w:lineRule="auto"/>
              <w:ind w:left="142" w:right="130"/>
              <w:contextualSpacing/>
              <w:jc w:val="both"/>
              <w:rPr>
                <w:rFonts w:ascii="Times New Roman" w:eastAsia="Times New Roman" w:hAnsi="Times New Roman"/>
                <w:sz w:val="24"/>
                <w:szCs w:val="24"/>
              </w:rPr>
            </w:pPr>
            <w:r w:rsidRPr="007F5AE9">
              <w:rPr>
                <w:rFonts w:ascii="Times New Roman" w:hAnsi="Times New Roman"/>
                <w:sz w:val="24"/>
                <w:szCs w:val="24"/>
              </w:rPr>
              <w:t>Noteikumu</w:t>
            </w:r>
            <w:r w:rsidRPr="007F5AE9">
              <w:rPr>
                <w:rFonts w:ascii="Times New Roman" w:eastAsia="Times New Roman" w:hAnsi="Times New Roman"/>
                <w:sz w:val="24"/>
                <w:szCs w:val="24"/>
              </w:rPr>
              <w:t xml:space="preserve"> projekts atbilst šādiem Eiropas Savienības tiesību aktiem:</w:t>
            </w:r>
          </w:p>
          <w:p w14:paraId="6051EBD8" w14:textId="67CBA82B" w:rsidR="00F7481B" w:rsidRPr="007F5AE9" w:rsidRDefault="00155E81"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0B08E7">
              <w:rPr>
                <w:rFonts w:ascii="Times New Roman" w:hAnsi="Times New Roman"/>
                <w:sz w:val="24"/>
                <w:szCs w:val="24"/>
              </w:rPr>
              <w:t>Eiropas Parlamenta un Padomes 201</w:t>
            </w:r>
            <w:r>
              <w:rPr>
                <w:rFonts w:ascii="Times New Roman" w:hAnsi="Times New Roman"/>
                <w:sz w:val="24"/>
                <w:szCs w:val="24"/>
              </w:rPr>
              <w:t>8</w:t>
            </w:r>
            <w:r w:rsidRPr="000B08E7">
              <w:rPr>
                <w:rFonts w:ascii="Times New Roman" w:hAnsi="Times New Roman"/>
                <w:sz w:val="24"/>
                <w:szCs w:val="24"/>
              </w:rPr>
              <w:t xml:space="preserve">. gada </w:t>
            </w:r>
            <w:r>
              <w:rPr>
                <w:rFonts w:ascii="Times New Roman" w:hAnsi="Times New Roman"/>
                <w:sz w:val="24"/>
                <w:szCs w:val="24"/>
              </w:rPr>
              <w:t>18</w:t>
            </w:r>
            <w:r w:rsidRPr="000B08E7">
              <w:rPr>
                <w:rFonts w:ascii="Times New Roman" w:hAnsi="Times New Roman"/>
                <w:sz w:val="24"/>
                <w:szCs w:val="24"/>
              </w:rPr>
              <w:t xml:space="preserve">. </w:t>
            </w:r>
            <w:r>
              <w:rPr>
                <w:rFonts w:ascii="Times New Roman" w:hAnsi="Times New Roman"/>
                <w:sz w:val="24"/>
                <w:szCs w:val="24"/>
              </w:rPr>
              <w:t>jūlija</w:t>
            </w:r>
            <w:r w:rsidRPr="000B08E7">
              <w:rPr>
                <w:rFonts w:ascii="Times New Roman" w:hAnsi="Times New Roman"/>
                <w:sz w:val="24"/>
                <w:szCs w:val="24"/>
              </w:rPr>
              <w:t xml:space="preserve"> regula </w:t>
            </w:r>
            <w:r>
              <w:rPr>
                <w:rFonts w:ascii="Times New Roman" w:hAnsi="Times New Roman"/>
                <w:sz w:val="24"/>
                <w:szCs w:val="24"/>
              </w:rPr>
              <w:t xml:space="preserve">(ES, Euratom) </w:t>
            </w:r>
            <w:r w:rsidRPr="000B08E7">
              <w:rPr>
                <w:rFonts w:ascii="Times New Roman" w:hAnsi="Times New Roman"/>
                <w:sz w:val="24"/>
                <w:szCs w:val="24"/>
              </w:rPr>
              <w:t xml:space="preserve">Nr. </w:t>
            </w:r>
            <w:r>
              <w:rPr>
                <w:rFonts w:ascii="Times New Roman" w:hAnsi="Times New Roman"/>
                <w:sz w:val="24"/>
                <w:szCs w:val="24"/>
              </w:rPr>
              <w:t>2018/1046</w:t>
            </w:r>
            <w:r w:rsidRPr="000B08E7">
              <w:rPr>
                <w:rFonts w:ascii="Times New Roman" w:hAnsi="Times New Roman"/>
                <w:sz w:val="24"/>
                <w:szCs w:val="24"/>
              </w:rPr>
              <w:t xml:space="preserve"> </w:t>
            </w:r>
            <w:r w:rsidRPr="00567B48">
              <w:rPr>
                <w:rFonts w:ascii="Times New Roman" w:hAnsi="Times New Roman"/>
                <w:sz w:val="24"/>
                <w:szCs w:val="24"/>
              </w:rPr>
              <w:t>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rFonts w:ascii="Times New Roman" w:hAnsi="Times New Roman"/>
                <w:sz w:val="24"/>
                <w:szCs w:val="24"/>
              </w:rPr>
              <w:t xml:space="preserve"> atcelšanu</w:t>
            </w:r>
            <w:r w:rsidR="00800639">
              <w:rPr>
                <w:rFonts w:ascii="Times New Roman" w:hAnsi="Times New Roman"/>
                <w:sz w:val="24"/>
                <w:szCs w:val="24"/>
              </w:rPr>
              <w:t xml:space="preserve"> (turpmāk – Regula Nr.</w:t>
            </w:r>
            <w:r>
              <w:rPr>
                <w:rFonts w:ascii="Times New Roman" w:hAnsi="Times New Roman"/>
                <w:sz w:val="24"/>
                <w:szCs w:val="24"/>
              </w:rPr>
              <w:t>2018/1046</w:t>
            </w:r>
            <w:r w:rsidR="00800639">
              <w:rPr>
                <w:rFonts w:ascii="Times New Roman" w:hAnsi="Times New Roman"/>
                <w:sz w:val="24"/>
                <w:szCs w:val="24"/>
              </w:rPr>
              <w:t>)</w:t>
            </w:r>
            <w:r w:rsidR="00F7481B" w:rsidRPr="007F5AE9">
              <w:rPr>
                <w:rFonts w:ascii="Times New Roman" w:hAnsi="Times New Roman"/>
                <w:sz w:val="24"/>
                <w:szCs w:val="24"/>
              </w:rPr>
              <w:t>;</w:t>
            </w:r>
          </w:p>
          <w:p w14:paraId="41D19CED" w14:textId="14502FEB" w:rsidR="00F7481B" w:rsidRPr="007F5AE9"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sz w:val="24"/>
                <w:szCs w:val="24"/>
              </w:rPr>
              <w:t>Komisijas 2014.gada 17.jūnija Regulu (ES) Nr.651/2014 ar ko noteiktas atbalsta kategorijas atzīst par saderīgām ar iekšējo tirgu, piemērojot Līguma 107.</w:t>
            </w:r>
            <w:r w:rsidR="00282F19">
              <w:rPr>
                <w:rFonts w:ascii="Times New Roman" w:hAnsi="Times New Roman"/>
                <w:bCs/>
                <w:sz w:val="24"/>
                <w:szCs w:val="24"/>
              </w:rPr>
              <w:t xml:space="preserve"> </w:t>
            </w:r>
            <w:r w:rsidRPr="007F5AE9">
              <w:rPr>
                <w:rFonts w:ascii="Times New Roman" w:hAnsi="Times New Roman"/>
                <w:bCs/>
                <w:sz w:val="24"/>
                <w:szCs w:val="24"/>
              </w:rPr>
              <w:t>un 108.pantu (</w:t>
            </w:r>
            <w:r w:rsidRPr="007F5AE9">
              <w:rPr>
                <w:rFonts w:ascii="Times New Roman" w:hAnsi="Times New Roman"/>
                <w:bCs/>
                <w:color w:val="000000"/>
                <w:sz w:val="24"/>
                <w:szCs w:val="24"/>
              </w:rPr>
              <w:t xml:space="preserve">ES Oficiālais Vēstnesis, 2014.gada 26.jūnijs, </w:t>
            </w:r>
            <w:proofErr w:type="spellStart"/>
            <w:r w:rsidRPr="007F5AE9">
              <w:rPr>
                <w:rFonts w:ascii="Times New Roman" w:hAnsi="Times New Roman"/>
                <w:bCs/>
                <w:color w:val="000000"/>
                <w:sz w:val="24"/>
                <w:szCs w:val="24"/>
              </w:rPr>
              <w:t>Nr.L</w:t>
            </w:r>
            <w:proofErr w:type="spellEnd"/>
            <w:r w:rsidRPr="007F5AE9">
              <w:rPr>
                <w:rFonts w:ascii="Times New Roman" w:hAnsi="Times New Roman"/>
                <w:bCs/>
                <w:color w:val="000000"/>
                <w:sz w:val="24"/>
                <w:szCs w:val="24"/>
              </w:rPr>
              <w:t xml:space="preserve"> 187/1) (turpmāk </w:t>
            </w:r>
            <w:r w:rsidRPr="007F5AE9">
              <w:rPr>
                <w:rFonts w:ascii="Times New Roman" w:hAnsi="Times New Roman"/>
                <w:color w:val="000000"/>
                <w:sz w:val="24"/>
                <w:szCs w:val="24"/>
              </w:rPr>
              <w:t>–</w:t>
            </w:r>
            <w:r w:rsidRPr="007F5AE9">
              <w:rPr>
                <w:rFonts w:ascii="Times New Roman" w:hAnsi="Times New Roman"/>
                <w:bCs/>
                <w:color w:val="000000"/>
                <w:sz w:val="24"/>
                <w:szCs w:val="24"/>
              </w:rPr>
              <w:t xml:space="preserve"> Komisijas regula Nr.</w:t>
            </w:r>
            <w:r w:rsidRPr="007F5AE9">
              <w:rPr>
                <w:rFonts w:ascii="Times New Roman" w:hAnsi="Times New Roman"/>
                <w:bCs/>
                <w:sz w:val="24"/>
                <w:szCs w:val="24"/>
              </w:rPr>
              <w:t>651/2014</w:t>
            </w:r>
            <w:r w:rsidRPr="007F5AE9">
              <w:rPr>
                <w:rFonts w:ascii="Times New Roman" w:hAnsi="Times New Roman"/>
                <w:bCs/>
                <w:color w:val="000000"/>
                <w:sz w:val="24"/>
                <w:szCs w:val="24"/>
              </w:rPr>
              <w:t>)</w:t>
            </w:r>
            <w:r w:rsidRPr="007F5AE9">
              <w:rPr>
                <w:rFonts w:ascii="Times New Roman" w:hAnsi="Times New Roman"/>
                <w:bCs/>
                <w:sz w:val="24"/>
                <w:szCs w:val="24"/>
              </w:rPr>
              <w:t>;</w:t>
            </w:r>
          </w:p>
          <w:p w14:paraId="217E19AC" w14:textId="77777777" w:rsidR="00F7481B" w:rsidRPr="007F5AE9"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color w:val="000000"/>
                <w:sz w:val="24"/>
                <w:szCs w:val="24"/>
              </w:rPr>
              <w:t xml:space="preserve">Komisijas 2013.gada 18.decembra Regulu (ES) Nr.1407/2013 par Līguma par ES darbību 107.un 108.panta piemērošanu </w:t>
            </w:r>
            <w:proofErr w:type="spellStart"/>
            <w:r w:rsidRPr="007F5AE9">
              <w:rPr>
                <w:rFonts w:ascii="Times New Roman" w:hAnsi="Times New Roman"/>
                <w:bCs/>
                <w:i/>
                <w:color w:val="000000"/>
                <w:sz w:val="24"/>
                <w:szCs w:val="24"/>
              </w:rPr>
              <w:t>de</w:t>
            </w:r>
            <w:proofErr w:type="spellEnd"/>
            <w:r w:rsidRPr="007F5AE9">
              <w:rPr>
                <w:rFonts w:ascii="Times New Roman" w:hAnsi="Times New Roman"/>
                <w:bCs/>
                <w:i/>
                <w:color w:val="000000"/>
                <w:sz w:val="24"/>
                <w:szCs w:val="24"/>
              </w:rPr>
              <w:t xml:space="preserve"> </w:t>
            </w:r>
            <w:proofErr w:type="spellStart"/>
            <w:r w:rsidRPr="007F5AE9">
              <w:rPr>
                <w:rFonts w:ascii="Times New Roman" w:hAnsi="Times New Roman"/>
                <w:bCs/>
                <w:i/>
                <w:color w:val="000000"/>
                <w:sz w:val="24"/>
                <w:szCs w:val="24"/>
              </w:rPr>
              <w:t>minimis</w:t>
            </w:r>
            <w:proofErr w:type="spellEnd"/>
            <w:r w:rsidRPr="007F5AE9">
              <w:rPr>
                <w:rFonts w:ascii="Times New Roman" w:hAnsi="Times New Roman"/>
                <w:bCs/>
                <w:color w:val="000000"/>
                <w:sz w:val="24"/>
                <w:szCs w:val="24"/>
              </w:rPr>
              <w:t xml:space="preserve"> atbalstam (ES Oficiālais Vēstnesis, 2013.gada 24.decembris, </w:t>
            </w:r>
            <w:proofErr w:type="spellStart"/>
            <w:r w:rsidRPr="007F5AE9">
              <w:rPr>
                <w:rFonts w:ascii="Times New Roman" w:hAnsi="Times New Roman"/>
                <w:bCs/>
                <w:color w:val="000000"/>
                <w:sz w:val="24"/>
                <w:szCs w:val="24"/>
              </w:rPr>
              <w:t>Nr.L</w:t>
            </w:r>
            <w:proofErr w:type="spellEnd"/>
            <w:r w:rsidRPr="007F5AE9">
              <w:rPr>
                <w:rFonts w:ascii="Times New Roman" w:hAnsi="Times New Roman"/>
                <w:bCs/>
                <w:color w:val="000000"/>
                <w:sz w:val="24"/>
                <w:szCs w:val="24"/>
              </w:rPr>
              <w:t xml:space="preserve"> 352/1) (turpmāk </w:t>
            </w:r>
            <w:r w:rsidRPr="007F5AE9">
              <w:rPr>
                <w:rFonts w:ascii="Times New Roman" w:hAnsi="Times New Roman"/>
                <w:color w:val="000000"/>
                <w:sz w:val="24"/>
                <w:szCs w:val="24"/>
              </w:rPr>
              <w:t>–</w:t>
            </w:r>
            <w:r w:rsidRPr="007F5AE9">
              <w:rPr>
                <w:rFonts w:ascii="Times New Roman" w:hAnsi="Times New Roman"/>
                <w:bCs/>
                <w:color w:val="000000"/>
                <w:sz w:val="24"/>
                <w:szCs w:val="24"/>
              </w:rPr>
              <w:t xml:space="preserve"> Komisijas regula Nr.1407/2013);</w:t>
            </w:r>
          </w:p>
          <w:p w14:paraId="7DABB2B3" w14:textId="0AFF6A18" w:rsidR="00F7481B" w:rsidRPr="007F5AE9"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color w:val="000000"/>
                <w:sz w:val="24"/>
                <w:szCs w:val="24"/>
              </w:rPr>
              <w:t>Eiropas Parlamenta un Padomes 2013.gada 17.decembra Regulas (ES) Nr.1300/2013 par Kohēzijas fondu un ar ko atceļ Regulu (EK) Nr. 1080/2006 (turpmāk –</w:t>
            </w:r>
            <w:r w:rsidR="00354A2B">
              <w:rPr>
                <w:rFonts w:ascii="Times New Roman" w:hAnsi="Times New Roman"/>
                <w:bCs/>
                <w:color w:val="000000"/>
                <w:sz w:val="24"/>
                <w:szCs w:val="24"/>
              </w:rPr>
              <w:t xml:space="preserve"> R</w:t>
            </w:r>
            <w:r w:rsidRPr="007F5AE9">
              <w:rPr>
                <w:rFonts w:ascii="Times New Roman" w:hAnsi="Times New Roman"/>
                <w:bCs/>
                <w:color w:val="000000"/>
                <w:sz w:val="24"/>
                <w:szCs w:val="24"/>
              </w:rPr>
              <w:t>egula Nr.1300/2013);</w:t>
            </w:r>
          </w:p>
          <w:p w14:paraId="3EF3675A" w14:textId="23061D81" w:rsidR="00F7481B" w:rsidRPr="007F5AE9"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color w:val="000000"/>
                <w:sz w:val="24"/>
                <w:szCs w:val="24"/>
              </w:rPr>
              <w:t xml:space="preserve">Eiropas Parlamenta un Padomes 2013.gada 17.decembra Regula Nr.1303/2013, ar ko paredz kopīgus noteikumus par </w:t>
            </w:r>
            <w:r w:rsidRPr="007F5AE9">
              <w:rPr>
                <w:rFonts w:ascii="Times New Roman" w:hAnsi="Times New Roman"/>
                <w:sz w:val="24"/>
                <w:szCs w:val="24"/>
              </w:rPr>
              <w:t xml:space="preserve">Eiropas Reģionālās attīstības fondu, Eiropas Sociālo fondu, Kohēzijas fondu, Eiropas Lauksaimniecības fondu lauku attīstībai un Eiropas Jūrlietu un zivsaimniecības fondu un vispārīgus </w:t>
            </w:r>
            <w:r w:rsidRPr="007F5AE9">
              <w:rPr>
                <w:rFonts w:ascii="Times New Roman" w:hAnsi="Times New Roman"/>
                <w:sz w:val="24"/>
                <w:szCs w:val="24"/>
              </w:rPr>
              <w:lastRenderedPageBreak/>
              <w:t>noteikumus par Eiropas Reģionālās attīstības fondu, Eiropas Sociālo fondu, Kohēzijas fondu un Eiropas Jūrlietu un zivsaimniecības fondu un atceļ Padomes Regulu (EK) Nr. 1083/2006 (turpmāk –</w:t>
            </w:r>
            <w:r w:rsidR="00905362">
              <w:rPr>
                <w:rFonts w:ascii="Times New Roman" w:hAnsi="Times New Roman"/>
                <w:sz w:val="24"/>
                <w:szCs w:val="24"/>
              </w:rPr>
              <w:t xml:space="preserve"> R</w:t>
            </w:r>
            <w:r w:rsidRPr="007F5AE9">
              <w:rPr>
                <w:rFonts w:ascii="Times New Roman" w:hAnsi="Times New Roman"/>
                <w:sz w:val="24"/>
                <w:szCs w:val="24"/>
              </w:rPr>
              <w:t>egula Nr.1303/2013).</w:t>
            </w:r>
          </w:p>
        </w:tc>
      </w:tr>
      <w:tr w:rsidR="00F7481B" w:rsidRPr="007F5AE9" w14:paraId="7FD4BF4F" w14:textId="77777777" w:rsidTr="00BF2718">
        <w:trPr>
          <w:trHeight w:val="339"/>
        </w:trPr>
        <w:tc>
          <w:tcPr>
            <w:tcW w:w="305" w:type="dxa"/>
          </w:tcPr>
          <w:p w14:paraId="542D86FF" w14:textId="77777777" w:rsidR="00F7481B" w:rsidRPr="007F5AE9" w:rsidRDefault="00F7481B" w:rsidP="00BF2718">
            <w:pPr>
              <w:spacing w:after="0" w:line="240" w:lineRule="auto"/>
              <w:ind w:left="57" w:right="57"/>
              <w:contextualSpacing/>
              <w:jc w:val="both"/>
              <w:rPr>
                <w:rFonts w:ascii="Times New Roman" w:hAnsi="Times New Roman"/>
                <w:bCs/>
                <w:sz w:val="24"/>
                <w:szCs w:val="24"/>
              </w:rPr>
            </w:pPr>
            <w:r w:rsidRPr="007F5AE9">
              <w:rPr>
                <w:rFonts w:ascii="Times New Roman" w:hAnsi="Times New Roman"/>
                <w:bCs/>
                <w:sz w:val="24"/>
                <w:szCs w:val="24"/>
              </w:rPr>
              <w:lastRenderedPageBreak/>
              <w:t>2.</w:t>
            </w:r>
          </w:p>
        </w:tc>
        <w:tc>
          <w:tcPr>
            <w:tcW w:w="2247" w:type="dxa"/>
          </w:tcPr>
          <w:p w14:paraId="71A0B46F" w14:textId="77777777" w:rsidR="00F7481B" w:rsidRPr="007F5AE9" w:rsidRDefault="00F7481B" w:rsidP="00BF2718">
            <w:pPr>
              <w:spacing w:after="0" w:line="240" w:lineRule="auto"/>
              <w:ind w:left="57" w:right="57"/>
              <w:contextualSpacing/>
              <w:rPr>
                <w:rFonts w:ascii="Times New Roman" w:hAnsi="Times New Roman"/>
                <w:sz w:val="24"/>
                <w:szCs w:val="24"/>
              </w:rPr>
            </w:pPr>
            <w:r w:rsidRPr="007F5AE9">
              <w:rPr>
                <w:rFonts w:ascii="Times New Roman" w:hAnsi="Times New Roman"/>
                <w:color w:val="000000"/>
                <w:sz w:val="24"/>
                <w:szCs w:val="24"/>
              </w:rPr>
              <w:t>Citas starptautiskās saistības</w:t>
            </w:r>
          </w:p>
        </w:tc>
        <w:tc>
          <w:tcPr>
            <w:tcW w:w="6804" w:type="dxa"/>
          </w:tcPr>
          <w:p w14:paraId="3D36F153" w14:textId="588B8FF9" w:rsidR="00F7481B" w:rsidRPr="00BF2718" w:rsidRDefault="00E10E88" w:rsidP="00BF2718">
            <w:pPr>
              <w:spacing w:after="0" w:line="240" w:lineRule="auto"/>
              <w:ind w:left="142" w:right="130"/>
              <w:contextualSpacing/>
              <w:jc w:val="both"/>
              <w:rPr>
                <w:rFonts w:ascii="Times New Roman" w:hAnsi="Times New Roman"/>
                <w:sz w:val="24"/>
              </w:rPr>
            </w:pPr>
            <w:r w:rsidRPr="00615F7B">
              <w:rPr>
                <w:rFonts w:ascii="Times New Roman" w:hAnsi="Times New Roman"/>
                <w:sz w:val="24"/>
                <w:szCs w:val="24"/>
              </w:rPr>
              <w:t>P</w:t>
            </w:r>
            <w:r w:rsidR="00F7481B" w:rsidRPr="00615F7B">
              <w:rPr>
                <w:rFonts w:ascii="Times New Roman" w:hAnsi="Times New Roman"/>
                <w:sz w:val="24"/>
                <w:szCs w:val="24"/>
              </w:rPr>
              <w:t>rojekts</w:t>
            </w:r>
            <w:r w:rsidR="00F7481B" w:rsidRPr="00BF2718">
              <w:rPr>
                <w:rFonts w:ascii="Times New Roman" w:hAnsi="Times New Roman"/>
                <w:sz w:val="24"/>
              </w:rPr>
              <w:t xml:space="preserve"> šo jomu neskar</w:t>
            </w:r>
          </w:p>
        </w:tc>
      </w:tr>
      <w:tr w:rsidR="00F7481B" w:rsidRPr="007F5AE9" w14:paraId="7C5B013E" w14:textId="77777777" w:rsidTr="00BF2718">
        <w:trPr>
          <w:trHeight w:val="315"/>
        </w:trPr>
        <w:tc>
          <w:tcPr>
            <w:tcW w:w="305" w:type="dxa"/>
          </w:tcPr>
          <w:p w14:paraId="1FBC48D1" w14:textId="77777777" w:rsidR="00F7481B" w:rsidRPr="007F5AE9" w:rsidRDefault="00F7481B" w:rsidP="00BF2718">
            <w:pPr>
              <w:spacing w:after="0" w:line="240" w:lineRule="auto"/>
              <w:ind w:left="57" w:right="57"/>
              <w:contextualSpacing/>
              <w:jc w:val="both"/>
              <w:rPr>
                <w:rFonts w:ascii="Times New Roman" w:hAnsi="Times New Roman"/>
                <w:bCs/>
                <w:sz w:val="24"/>
                <w:szCs w:val="24"/>
              </w:rPr>
            </w:pPr>
            <w:r w:rsidRPr="007F5AE9">
              <w:rPr>
                <w:rFonts w:ascii="Times New Roman" w:hAnsi="Times New Roman"/>
                <w:bCs/>
                <w:sz w:val="24"/>
                <w:szCs w:val="24"/>
              </w:rPr>
              <w:t>3.</w:t>
            </w:r>
          </w:p>
        </w:tc>
        <w:tc>
          <w:tcPr>
            <w:tcW w:w="2247" w:type="dxa"/>
          </w:tcPr>
          <w:p w14:paraId="15422B02" w14:textId="77777777" w:rsidR="00F7481B" w:rsidRPr="007F5AE9" w:rsidRDefault="00F7481B" w:rsidP="00BF2718">
            <w:pPr>
              <w:spacing w:after="0" w:line="240" w:lineRule="auto"/>
              <w:ind w:left="57" w:right="57"/>
              <w:contextualSpacing/>
              <w:rPr>
                <w:rFonts w:ascii="Times New Roman" w:hAnsi="Times New Roman"/>
                <w:sz w:val="24"/>
                <w:szCs w:val="24"/>
              </w:rPr>
            </w:pPr>
            <w:r w:rsidRPr="007F5AE9">
              <w:rPr>
                <w:rFonts w:ascii="Times New Roman" w:hAnsi="Times New Roman"/>
                <w:sz w:val="24"/>
                <w:szCs w:val="24"/>
              </w:rPr>
              <w:t>Cita informācija</w:t>
            </w:r>
          </w:p>
        </w:tc>
        <w:tc>
          <w:tcPr>
            <w:tcW w:w="6804" w:type="dxa"/>
          </w:tcPr>
          <w:p w14:paraId="26789E3B" w14:textId="0D581682" w:rsidR="00F7481B" w:rsidRPr="007F5AE9" w:rsidRDefault="00F7481B" w:rsidP="00BF2718">
            <w:pPr>
              <w:spacing w:after="0" w:line="240" w:lineRule="auto"/>
              <w:ind w:left="142" w:right="130"/>
              <w:contextualSpacing/>
              <w:jc w:val="both"/>
              <w:rPr>
                <w:rFonts w:ascii="Times New Roman" w:hAnsi="Times New Roman"/>
                <w:sz w:val="24"/>
                <w:szCs w:val="24"/>
              </w:rPr>
            </w:pPr>
            <w:r w:rsidRPr="007F5AE9">
              <w:rPr>
                <w:rFonts w:ascii="Times New Roman" w:hAnsi="Times New Roman"/>
                <w:sz w:val="24"/>
                <w:szCs w:val="24"/>
              </w:rPr>
              <w:t>Nav</w:t>
            </w:r>
          </w:p>
        </w:tc>
      </w:tr>
    </w:tbl>
    <w:p w14:paraId="140064D3" w14:textId="77777777" w:rsidR="00F7481B" w:rsidRPr="00BF2718" w:rsidRDefault="00F7481B" w:rsidP="0090527E">
      <w:pPr>
        <w:spacing w:after="0" w:line="240" w:lineRule="auto"/>
        <w:contextualSpacing/>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52"/>
        <w:gridCol w:w="2413"/>
        <w:gridCol w:w="2274"/>
        <w:gridCol w:w="2117"/>
      </w:tblGrid>
      <w:tr w:rsidR="00F7481B" w:rsidRPr="007F5AE9" w14:paraId="065C9B62" w14:textId="77777777" w:rsidTr="00BF2718">
        <w:tc>
          <w:tcPr>
            <w:tcW w:w="9356" w:type="dxa"/>
            <w:gridSpan w:val="4"/>
            <w:tcBorders>
              <w:top w:val="single" w:sz="4" w:space="0" w:color="auto"/>
              <w:left w:val="single" w:sz="4" w:space="0" w:color="auto"/>
              <w:bottom w:val="single" w:sz="4" w:space="0" w:color="auto"/>
              <w:right w:val="single" w:sz="4" w:space="0" w:color="auto"/>
            </w:tcBorders>
            <w:hideMark/>
          </w:tcPr>
          <w:p w14:paraId="2EEAF242" w14:textId="77777777" w:rsidR="00F7481B" w:rsidRPr="007F5AE9" w:rsidRDefault="00F7481B" w:rsidP="00BF2718">
            <w:pPr>
              <w:pStyle w:val="naisnod"/>
              <w:spacing w:before="0" w:beforeAutospacing="0" w:after="0" w:afterAutospacing="0"/>
              <w:contextualSpacing/>
              <w:jc w:val="center"/>
              <w:rPr>
                <w:color w:val="000000"/>
                <w:lang w:eastAsia="en-US"/>
              </w:rPr>
            </w:pPr>
            <w:r w:rsidRPr="007F5AE9">
              <w:rPr>
                <w:b/>
                <w:color w:val="000000"/>
                <w:lang w:eastAsia="en-US"/>
              </w:rPr>
              <w:t>1.tabula. Tiesību akta projekta atbilstība ES tiesību aktiem</w:t>
            </w:r>
          </w:p>
        </w:tc>
      </w:tr>
      <w:tr w:rsidR="00F7481B" w:rsidRPr="007F5AE9" w14:paraId="7657845E" w14:textId="77777777" w:rsidTr="00BF2718">
        <w:tc>
          <w:tcPr>
            <w:tcW w:w="2552" w:type="dxa"/>
            <w:tcBorders>
              <w:top w:val="single" w:sz="4" w:space="0" w:color="auto"/>
              <w:left w:val="single" w:sz="4" w:space="0" w:color="auto"/>
              <w:bottom w:val="single" w:sz="4" w:space="0" w:color="auto"/>
              <w:right w:val="single" w:sz="4" w:space="0" w:color="auto"/>
            </w:tcBorders>
            <w:hideMark/>
          </w:tcPr>
          <w:p w14:paraId="29C1A411" w14:textId="77777777" w:rsidR="00F7481B" w:rsidRPr="007F5AE9" w:rsidRDefault="00F7481B" w:rsidP="00BF2718">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hideMark/>
          </w:tcPr>
          <w:p w14:paraId="2CA94F64" w14:textId="21D7DCD1" w:rsidR="00F7481B" w:rsidRPr="007F5AE9" w:rsidRDefault="00155E81" w:rsidP="0090527E">
            <w:pPr>
              <w:pStyle w:val="naiskr"/>
              <w:spacing w:before="0" w:beforeAutospacing="0" w:after="0" w:afterAutospacing="0"/>
              <w:contextualSpacing/>
              <w:jc w:val="both"/>
              <w:rPr>
                <w:color w:val="000000"/>
                <w:lang w:eastAsia="en-US"/>
              </w:rPr>
            </w:pPr>
            <w:r>
              <w:t>Regula Nr.2018/1046</w:t>
            </w:r>
          </w:p>
        </w:tc>
      </w:tr>
      <w:tr w:rsidR="00F7481B" w:rsidRPr="007F5AE9" w14:paraId="48692BF3" w14:textId="77777777" w:rsidTr="00BF2718">
        <w:tc>
          <w:tcPr>
            <w:tcW w:w="2552" w:type="dxa"/>
            <w:tcBorders>
              <w:top w:val="single" w:sz="4" w:space="0" w:color="auto"/>
              <w:left w:val="single" w:sz="4" w:space="0" w:color="auto"/>
              <w:bottom w:val="single" w:sz="4" w:space="0" w:color="auto"/>
              <w:right w:val="single" w:sz="4" w:space="0" w:color="auto"/>
            </w:tcBorders>
            <w:hideMark/>
          </w:tcPr>
          <w:p w14:paraId="167E1093"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hideMark/>
          </w:tcPr>
          <w:p w14:paraId="7D4E85C8"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hideMark/>
          </w:tcPr>
          <w:p w14:paraId="486F3434"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hideMark/>
          </w:tcPr>
          <w:p w14:paraId="6D32941E"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D</w:t>
            </w:r>
          </w:p>
        </w:tc>
      </w:tr>
      <w:tr w:rsidR="00F7481B" w:rsidRPr="007F5AE9" w14:paraId="74B1D544" w14:textId="77777777" w:rsidTr="00BF2718">
        <w:tc>
          <w:tcPr>
            <w:tcW w:w="2552" w:type="dxa"/>
            <w:tcBorders>
              <w:top w:val="single" w:sz="4" w:space="0" w:color="auto"/>
              <w:left w:val="single" w:sz="4" w:space="0" w:color="auto"/>
              <w:bottom w:val="single" w:sz="4" w:space="0" w:color="auto"/>
              <w:right w:val="single" w:sz="4" w:space="0" w:color="auto"/>
            </w:tcBorders>
            <w:hideMark/>
          </w:tcPr>
          <w:p w14:paraId="05C7D63C"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 xml:space="preserve">Attiecīgā ES tiesību akta panta numurs (uzskaitot katru tiesību akta </w:t>
            </w:r>
            <w:r w:rsidRPr="007F5AE9">
              <w:rPr>
                <w:rFonts w:ascii="Times New Roman" w:hAnsi="Times New Roman"/>
                <w:color w:val="000000"/>
                <w:sz w:val="24"/>
                <w:szCs w:val="24"/>
              </w:rPr>
              <w:br/>
              <w:t>vienību – pantu, daļu, punktu, apakšpunktu)</w:t>
            </w:r>
          </w:p>
        </w:tc>
        <w:tc>
          <w:tcPr>
            <w:tcW w:w="2413" w:type="dxa"/>
            <w:tcBorders>
              <w:top w:val="single" w:sz="4" w:space="0" w:color="auto"/>
              <w:left w:val="single" w:sz="4" w:space="0" w:color="auto"/>
              <w:bottom w:val="single" w:sz="4" w:space="0" w:color="auto"/>
              <w:right w:val="single" w:sz="4" w:space="0" w:color="auto"/>
            </w:tcBorders>
            <w:hideMark/>
          </w:tcPr>
          <w:p w14:paraId="5E725DD0"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Projekta vienība, kas pārņem vai ievieš katru 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6485E03C"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Informācija par to, vai šīs tabulas A ailē minētās ES tiesību akta vienības tiek pārņemtas vai ieviestas pilnībā vai daļēji.</w:t>
            </w:r>
          </w:p>
          <w:p w14:paraId="7EF8384F"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139518BA"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Norāda institūciju, kas ir atbildīga par šo saistību izpildi pilnībā</w:t>
            </w:r>
          </w:p>
        </w:tc>
        <w:tc>
          <w:tcPr>
            <w:tcW w:w="2117" w:type="dxa"/>
            <w:tcBorders>
              <w:top w:val="single" w:sz="4" w:space="0" w:color="auto"/>
              <w:left w:val="single" w:sz="4" w:space="0" w:color="auto"/>
              <w:bottom w:val="single" w:sz="4" w:space="0" w:color="auto"/>
              <w:right w:val="single" w:sz="4" w:space="0" w:color="auto"/>
            </w:tcBorders>
            <w:hideMark/>
          </w:tcPr>
          <w:p w14:paraId="59E24BF2"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Informācija par to, vai šīs tabulas B ailē minētās projekta vienības paredz stingrākas prasības nekā šīs tabulas A ailē minētās ES tiesību akta vienības.</w:t>
            </w:r>
          </w:p>
          <w:p w14:paraId="59885B7A"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Ja projekts satur stingrākas prasības nekā attiecīgais ES tiesību akts, – norāda pamatojumu un samērīgumu.</w:t>
            </w:r>
          </w:p>
          <w:p w14:paraId="5F2A4BFB"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E4152" w:rsidRPr="007F5AE9" w14:paraId="22D33B7C" w14:textId="77777777" w:rsidTr="00A221D1">
        <w:tc>
          <w:tcPr>
            <w:tcW w:w="2552" w:type="dxa"/>
            <w:tcBorders>
              <w:top w:val="single" w:sz="4" w:space="0" w:color="auto"/>
              <w:left w:val="single" w:sz="4" w:space="0" w:color="auto"/>
              <w:bottom w:val="single" w:sz="12" w:space="0" w:color="auto"/>
              <w:right w:val="single" w:sz="4" w:space="0" w:color="auto"/>
            </w:tcBorders>
          </w:tcPr>
          <w:p w14:paraId="278EE186" w14:textId="5C26641B" w:rsidR="00CE4152" w:rsidRPr="007F5AE9" w:rsidRDefault="00CE4152" w:rsidP="00CE4152">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R</w:t>
            </w:r>
            <w:r w:rsidRPr="007F5AE9">
              <w:rPr>
                <w:rFonts w:ascii="Times New Roman" w:hAnsi="Times New Roman"/>
                <w:color w:val="000000"/>
                <w:sz w:val="24"/>
                <w:szCs w:val="24"/>
              </w:rPr>
              <w:t>egulas Nr.996/2012 3</w:t>
            </w:r>
            <w:r w:rsidR="00155E81">
              <w:rPr>
                <w:rFonts w:ascii="Times New Roman" w:hAnsi="Times New Roman"/>
                <w:color w:val="000000"/>
                <w:sz w:val="24"/>
                <w:szCs w:val="24"/>
              </w:rPr>
              <w:t>3</w:t>
            </w:r>
            <w:r w:rsidRPr="007F5AE9">
              <w:rPr>
                <w:rFonts w:ascii="Times New Roman" w:hAnsi="Times New Roman"/>
                <w:color w:val="000000"/>
                <w:sz w:val="24"/>
                <w:szCs w:val="24"/>
              </w:rPr>
              <w:t>.pants</w:t>
            </w:r>
          </w:p>
        </w:tc>
        <w:tc>
          <w:tcPr>
            <w:tcW w:w="2413" w:type="dxa"/>
            <w:tcBorders>
              <w:top w:val="single" w:sz="4" w:space="0" w:color="auto"/>
              <w:left w:val="single" w:sz="4" w:space="0" w:color="auto"/>
              <w:bottom w:val="single" w:sz="12" w:space="0" w:color="auto"/>
              <w:right w:val="single" w:sz="4" w:space="0" w:color="auto"/>
            </w:tcBorders>
          </w:tcPr>
          <w:p w14:paraId="2F6E8D53" w14:textId="65B9D39E" w:rsidR="00CE4152" w:rsidRPr="007F5AE9" w:rsidRDefault="00CE4152" w:rsidP="00CE4152">
            <w:pPr>
              <w:spacing w:after="0" w:line="240" w:lineRule="auto"/>
              <w:contextualSpacing/>
              <w:rPr>
                <w:rFonts w:ascii="Times New Roman" w:hAnsi="Times New Roman"/>
                <w:color w:val="000000"/>
                <w:sz w:val="24"/>
                <w:szCs w:val="24"/>
              </w:rPr>
            </w:pPr>
            <w:r w:rsidRPr="007F5AE9">
              <w:rPr>
                <w:rFonts w:ascii="Times New Roman" w:hAnsi="Times New Roman"/>
                <w:iCs/>
                <w:color w:val="000000"/>
                <w:sz w:val="24"/>
                <w:szCs w:val="24"/>
              </w:rPr>
              <w:t>Noteikumu projekta 28.3.apakšpunkts</w:t>
            </w:r>
          </w:p>
        </w:tc>
        <w:tc>
          <w:tcPr>
            <w:tcW w:w="2274" w:type="dxa"/>
            <w:tcBorders>
              <w:top w:val="single" w:sz="4" w:space="0" w:color="auto"/>
              <w:left w:val="single" w:sz="4" w:space="0" w:color="auto"/>
              <w:bottom w:val="single" w:sz="12" w:space="0" w:color="auto"/>
              <w:right w:val="single" w:sz="4" w:space="0" w:color="auto"/>
            </w:tcBorders>
          </w:tcPr>
          <w:p w14:paraId="3F30731B" w14:textId="24F84DDC" w:rsidR="00CE4152" w:rsidRPr="007F5AE9" w:rsidRDefault="00CE4152" w:rsidP="00CE4152">
            <w:pPr>
              <w:spacing w:after="0" w:line="240" w:lineRule="auto"/>
              <w:contextualSpacing/>
              <w:rPr>
                <w:rFonts w:ascii="Times New Roman" w:hAnsi="Times New Roman"/>
                <w:color w:val="000000"/>
                <w:sz w:val="24"/>
                <w:szCs w:val="24"/>
              </w:rPr>
            </w:pPr>
            <w:r w:rsidRPr="00276343">
              <w:rPr>
                <w:rFonts w:ascii="Times New Roman" w:hAnsi="Times New Roman"/>
                <w:sz w:val="24"/>
                <w:szCs w:val="24"/>
              </w:rPr>
              <w:t>Pārņemts pilnībā</w:t>
            </w:r>
          </w:p>
        </w:tc>
        <w:tc>
          <w:tcPr>
            <w:tcW w:w="2117" w:type="dxa"/>
            <w:tcBorders>
              <w:top w:val="single" w:sz="4" w:space="0" w:color="auto"/>
              <w:left w:val="single" w:sz="4" w:space="0" w:color="auto"/>
              <w:bottom w:val="single" w:sz="12" w:space="0" w:color="auto"/>
              <w:right w:val="single" w:sz="4" w:space="0" w:color="auto"/>
            </w:tcBorders>
          </w:tcPr>
          <w:p w14:paraId="40BCB75D" w14:textId="64CFB541" w:rsidR="00CE4152" w:rsidRPr="007F5AE9" w:rsidRDefault="00CE4152" w:rsidP="00CE4152">
            <w:pPr>
              <w:spacing w:after="0" w:line="240" w:lineRule="auto"/>
              <w:contextualSpacing/>
              <w:rPr>
                <w:rFonts w:ascii="Times New Roman" w:hAnsi="Times New Roman"/>
                <w:color w:val="000000"/>
                <w:sz w:val="24"/>
                <w:szCs w:val="24"/>
              </w:rPr>
            </w:pPr>
            <w:r w:rsidRPr="00276343">
              <w:rPr>
                <w:rFonts w:ascii="Times New Roman" w:hAnsi="Times New Roman"/>
                <w:sz w:val="24"/>
                <w:szCs w:val="24"/>
              </w:rPr>
              <w:t>Neparedz stingrākas prasības</w:t>
            </w:r>
          </w:p>
        </w:tc>
      </w:tr>
      <w:tr w:rsidR="00CE4152" w:rsidRPr="007F5AE9" w14:paraId="0A21218F" w14:textId="77777777" w:rsidTr="00A221D1">
        <w:tc>
          <w:tcPr>
            <w:tcW w:w="2552" w:type="dxa"/>
            <w:tcBorders>
              <w:top w:val="single" w:sz="12" w:space="0" w:color="auto"/>
              <w:left w:val="single" w:sz="4" w:space="0" w:color="auto"/>
              <w:bottom w:val="single" w:sz="4" w:space="0" w:color="auto"/>
              <w:right w:val="single" w:sz="4" w:space="0" w:color="auto"/>
            </w:tcBorders>
          </w:tcPr>
          <w:p w14:paraId="23683FD1" w14:textId="29A47F71" w:rsidR="00CE4152" w:rsidRPr="007F5AE9" w:rsidRDefault="00CE4152" w:rsidP="00CE4152">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tcPr>
          <w:p w14:paraId="6AB703FE" w14:textId="0B3D3F4B" w:rsidR="00CE4152" w:rsidRPr="007F5AE9" w:rsidRDefault="00CE4152" w:rsidP="00CE4152">
            <w:pPr>
              <w:pStyle w:val="naiskr"/>
              <w:spacing w:before="0" w:beforeAutospacing="0" w:after="0" w:afterAutospacing="0"/>
              <w:contextualSpacing/>
              <w:jc w:val="both"/>
              <w:rPr>
                <w:color w:val="000000"/>
                <w:lang w:eastAsia="en-US"/>
              </w:rPr>
            </w:pPr>
            <w:r w:rsidRPr="007F5AE9">
              <w:rPr>
                <w:color w:val="000000"/>
                <w:lang w:eastAsia="en-US"/>
              </w:rPr>
              <w:t>Komisijas regula Nr.</w:t>
            </w:r>
            <w:r w:rsidRPr="007F5AE9">
              <w:rPr>
                <w:bCs/>
              </w:rPr>
              <w:t>651/2014</w:t>
            </w:r>
          </w:p>
        </w:tc>
      </w:tr>
      <w:tr w:rsidR="00CE4152" w:rsidRPr="007F5AE9" w14:paraId="36A8F1B1" w14:textId="77777777" w:rsidTr="00CE4152">
        <w:tc>
          <w:tcPr>
            <w:tcW w:w="2552" w:type="dxa"/>
            <w:tcBorders>
              <w:top w:val="single" w:sz="4" w:space="0" w:color="auto"/>
              <w:left w:val="single" w:sz="4" w:space="0" w:color="auto"/>
              <w:bottom w:val="single" w:sz="4" w:space="0" w:color="auto"/>
              <w:right w:val="single" w:sz="4" w:space="0" w:color="auto"/>
            </w:tcBorders>
            <w:vAlign w:val="center"/>
          </w:tcPr>
          <w:p w14:paraId="0E687358" w14:textId="2DA82863" w:rsidR="00CE4152" w:rsidRPr="007F5AE9" w:rsidRDefault="00CE4152" w:rsidP="00CE4152">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vAlign w:val="center"/>
          </w:tcPr>
          <w:p w14:paraId="581DB6F5" w14:textId="27221F3B" w:rsidR="00CE4152" w:rsidRPr="007F5AE9" w:rsidRDefault="00CE4152" w:rsidP="00CE4152">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vAlign w:val="center"/>
          </w:tcPr>
          <w:p w14:paraId="0700B37E" w14:textId="78D02249" w:rsidR="00CE4152" w:rsidRPr="007F5AE9" w:rsidRDefault="00CE4152" w:rsidP="00CE4152">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vAlign w:val="center"/>
          </w:tcPr>
          <w:p w14:paraId="40F29E1F" w14:textId="626433F0" w:rsidR="00CE4152" w:rsidRPr="007F5AE9" w:rsidRDefault="00CE4152" w:rsidP="00CE4152">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D</w:t>
            </w:r>
          </w:p>
        </w:tc>
      </w:tr>
      <w:tr w:rsidR="00CE4152" w:rsidRPr="007F5AE9" w14:paraId="17812CC0" w14:textId="77777777" w:rsidTr="0090527E">
        <w:tc>
          <w:tcPr>
            <w:tcW w:w="2552" w:type="dxa"/>
            <w:tcBorders>
              <w:top w:val="single" w:sz="4" w:space="0" w:color="auto"/>
              <w:left w:val="single" w:sz="4" w:space="0" w:color="auto"/>
              <w:bottom w:val="single" w:sz="4" w:space="0" w:color="auto"/>
              <w:right w:val="single" w:sz="4" w:space="0" w:color="auto"/>
            </w:tcBorders>
          </w:tcPr>
          <w:p w14:paraId="654F7FEC" w14:textId="77777777"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1.pielikuma 3.panta 3.punkts</w:t>
            </w:r>
          </w:p>
        </w:tc>
        <w:tc>
          <w:tcPr>
            <w:tcW w:w="2413" w:type="dxa"/>
            <w:tcBorders>
              <w:top w:val="single" w:sz="4" w:space="0" w:color="auto"/>
              <w:left w:val="single" w:sz="4" w:space="0" w:color="auto"/>
              <w:bottom w:val="single" w:sz="4" w:space="0" w:color="auto"/>
              <w:right w:val="single" w:sz="4" w:space="0" w:color="auto"/>
            </w:tcBorders>
          </w:tcPr>
          <w:p w14:paraId="35EB6211" w14:textId="1302BD1E"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7.punkts</w:t>
            </w:r>
          </w:p>
        </w:tc>
        <w:tc>
          <w:tcPr>
            <w:tcW w:w="2274" w:type="dxa"/>
            <w:tcBorders>
              <w:top w:val="single" w:sz="4" w:space="0" w:color="auto"/>
              <w:left w:val="single" w:sz="4" w:space="0" w:color="auto"/>
              <w:bottom w:val="single" w:sz="4" w:space="0" w:color="auto"/>
              <w:right w:val="single" w:sz="4" w:space="0" w:color="auto"/>
            </w:tcBorders>
          </w:tcPr>
          <w:p w14:paraId="221DFE25" w14:textId="7574C7EB" w:rsidR="00CE4152" w:rsidRPr="007F5AE9" w:rsidRDefault="00CE4152" w:rsidP="0090527E">
            <w:pPr>
              <w:spacing w:after="0" w:line="240" w:lineRule="auto"/>
              <w:contextualSpacing/>
              <w:jc w:val="center"/>
              <w:rPr>
                <w:rFonts w:ascii="Times New Roman" w:hAnsi="Times New Roman"/>
                <w:i/>
                <w:iCs/>
                <w:color w:val="000000"/>
                <w:sz w:val="24"/>
                <w:szCs w:val="24"/>
              </w:rPr>
            </w:pPr>
            <w:r>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tcPr>
          <w:p w14:paraId="73AB8E5B" w14:textId="6F0E1E0E"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4F3DB5FE" w14:textId="77777777" w:rsidTr="0090527E">
        <w:tc>
          <w:tcPr>
            <w:tcW w:w="2552" w:type="dxa"/>
            <w:tcBorders>
              <w:top w:val="single" w:sz="4" w:space="0" w:color="auto"/>
              <w:left w:val="single" w:sz="4" w:space="0" w:color="auto"/>
              <w:bottom w:val="single" w:sz="4" w:space="0" w:color="auto"/>
              <w:right w:val="single" w:sz="4" w:space="0" w:color="auto"/>
            </w:tcBorders>
          </w:tcPr>
          <w:p w14:paraId="519E869C" w14:textId="77777777"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Komisijas regulas Nr.651/2014 38.panta 4., 5. un 6.punkts</w:t>
            </w:r>
          </w:p>
        </w:tc>
        <w:tc>
          <w:tcPr>
            <w:tcW w:w="2413" w:type="dxa"/>
            <w:tcBorders>
              <w:top w:val="single" w:sz="4" w:space="0" w:color="auto"/>
              <w:left w:val="single" w:sz="4" w:space="0" w:color="auto"/>
              <w:bottom w:val="single" w:sz="4" w:space="0" w:color="auto"/>
              <w:right w:val="single" w:sz="4" w:space="0" w:color="auto"/>
            </w:tcBorders>
          </w:tcPr>
          <w:p w14:paraId="499EE5BD" w14:textId="2613791A"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8.punkts</w:t>
            </w:r>
          </w:p>
        </w:tc>
        <w:tc>
          <w:tcPr>
            <w:tcW w:w="2274" w:type="dxa"/>
            <w:tcBorders>
              <w:top w:val="single" w:sz="4" w:space="0" w:color="auto"/>
              <w:left w:val="single" w:sz="4" w:space="0" w:color="auto"/>
              <w:bottom w:val="single" w:sz="4" w:space="0" w:color="auto"/>
              <w:right w:val="single" w:sz="4" w:space="0" w:color="auto"/>
            </w:tcBorders>
          </w:tcPr>
          <w:p w14:paraId="6FE0600B" w14:textId="5133143B" w:rsidR="00CE4152" w:rsidRPr="0090527E" w:rsidRDefault="00CE4152" w:rsidP="0090527E">
            <w:pPr>
              <w:spacing w:after="0" w:line="240" w:lineRule="auto"/>
              <w:contextualSpacing/>
              <w:jc w:val="center"/>
              <w:rPr>
                <w:rFonts w:ascii="Times New Roman" w:hAnsi="Times New Roman"/>
                <w:color w:val="000000"/>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tcPr>
          <w:p w14:paraId="0DD184C7" w14:textId="77777777" w:rsidR="00CE4152" w:rsidRPr="0090527E" w:rsidRDefault="00CE4152" w:rsidP="0090527E">
            <w:pPr>
              <w:spacing w:after="0" w:line="240" w:lineRule="auto"/>
              <w:contextualSpacing/>
              <w:jc w:val="center"/>
              <w:rPr>
                <w:rFonts w:ascii="Times New Roman" w:hAnsi="Times New Roman"/>
                <w:color w:val="000000"/>
                <w:sz w:val="24"/>
              </w:rPr>
            </w:pPr>
            <w:r w:rsidRPr="0090527E">
              <w:rPr>
                <w:rFonts w:ascii="Times New Roman" w:hAnsi="Times New Roman"/>
                <w:color w:val="000000"/>
                <w:sz w:val="24"/>
              </w:rPr>
              <w:t>Paredz stingrākas prasības</w:t>
            </w:r>
          </w:p>
          <w:p w14:paraId="39DF86A8" w14:textId="77777777" w:rsidR="00CE4152" w:rsidRPr="007F5AE9" w:rsidRDefault="00CE4152" w:rsidP="0090527E">
            <w:pPr>
              <w:spacing w:after="0" w:line="240" w:lineRule="auto"/>
              <w:contextualSpacing/>
              <w:jc w:val="both"/>
              <w:rPr>
                <w:rFonts w:ascii="Times New Roman" w:hAnsi="Times New Roman"/>
                <w:iCs/>
                <w:color w:val="000000"/>
                <w:sz w:val="24"/>
                <w:szCs w:val="24"/>
              </w:rPr>
            </w:pPr>
            <w:r w:rsidRPr="007F5AE9">
              <w:rPr>
                <w:rFonts w:ascii="Times New Roman" w:hAnsi="Times New Roman"/>
                <w:iCs/>
                <w:color w:val="000000"/>
                <w:sz w:val="24"/>
                <w:szCs w:val="24"/>
              </w:rPr>
              <w:t xml:space="preserve">Izstrādājot SAM 4.1.1. sākotnējo novērtējumu, kura ietvaros tika analizētas tirgus nepilnības attiecībā uz to, vai SAM 4.1.1. ietvaros efektīvākais atbalsta veids būtu finanšu instruments vai grants, tika secināts, ka finanšu instruments nav efektīvākais atbalsta veids energoefektivitātes projektos apstrādes rūpniecībās, kas ir saistīts ar apstrādes rūpniecības produktu ciklu, kas ir stipri īsāks par tradicionālo aizdevumu atmaksas periodu. Ņemot vērā ierobežotos ES fondu līdzekļus, efektīvākais veids, kā spējam vienlaikus atbalstīt pēc iespējas vairāk apstrādes rūpniecības komersantus un tajā pat laikā nodrošināt izvirzīto iznākuma rādītāju sasniegšanu, ir noteikt vienu atbalsta intensitāti </w:t>
            </w:r>
            <w:proofErr w:type="spellStart"/>
            <w:r w:rsidRPr="007F5AE9">
              <w:rPr>
                <w:rFonts w:ascii="Times New Roman" w:hAnsi="Times New Roman"/>
                <w:iCs/>
                <w:color w:val="000000"/>
                <w:sz w:val="24"/>
                <w:szCs w:val="24"/>
              </w:rPr>
              <w:t>grantam</w:t>
            </w:r>
            <w:proofErr w:type="spellEnd"/>
            <w:r w:rsidRPr="007F5AE9">
              <w:rPr>
                <w:rFonts w:ascii="Times New Roman" w:hAnsi="Times New Roman"/>
                <w:iCs/>
                <w:color w:val="000000"/>
                <w:sz w:val="24"/>
                <w:szCs w:val="24"/>
              </w:rPr>
              <w:t xml:space="preserve"> visu lielumu komersantiem – 30%. Vienlaikus norādām, ka intensitātes nosacījumi, kas noteikti Komisijas regulas Nr.651/2014 38.panta 5. un 6.punktos, tiek </w:t>
            </w:r>
            <w:r w:rsidRPr="007F5AE9">
              <w:rPr>
                <w:rFonts w:ascii="Times New Roman" w:hAnsi="Times New Roman"/>
                <w:iCs/>
                <w:color w:val="000000"/>
                <w:sz w:val="24"/>
                <w:szCs w:val="24"/>
              </w:rPr>
              <w:lastRenderedPageBreak/>
              <w:t>attiecināti uz atbalsta kumulāciju, kas ir pieļaujama SAM 4.1.1. ietvaros.</w:t>
            </w:r>
          </w:p>
        </w:tc>
      </w:tr>
      <w:tr w:rsidR="00CE4152" w:rsidRPr="007F5AE9" w14:paraId="56E0170D" w14:textId="77777777" w:rsidTr="0090527E">
        <w:tc>
          <w:tcPr>
            <w:tcW w:w="2552" w:type="dxa"/>
            <w:tcBorders>
              <w:top w:val="single" w:sz="4" w:space="0" w:color="auto"/>
              <w:left w:val="single" w:sz="4" w:space="0" w:color="auto"/>
              <w:bottom w:val="single" w:sz="4" w:space="0" w:color="auto"/>
              <w:right w:val="single" w:sz="4" w:space="0" w:color="auto"/>
            </w:tcBorders>
          </w:tcPr>
          <w:p w14:paraId="0D7BBEBF" w14:textId="77777777"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 xml:space="preserve">Komisijas regulas Nr.651/2014 1.panta 4.punkts </w:t>
            </w:r>
          </w:p>
        </w:tc>
        <w:tc>
          <w:tcPr>
            <w:tcW w:w="2413" w:type="dxa"/>
            <w:tcBorders>
              <w:top w:val="single" w:sz="4" w:space="0" w:color="auto"/>
              <w:left w:val="single" w:sz="4" w:space="0" w:color="auto"/>
              <w:bottom w:val="single" w:sz="4" w:space="0" w:color="auto"/>
              <w:right w:val="single" w:sz="4" w:space="0" w:color="auto"/>
            </w:tcBorders>
          </w:tcPr>
          <w:p w14:paraId="5F516752" w14:textId="10718E23"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22.2.apakšpunkts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0F5AEFF" w14:textId="0F718C50"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C47504A" w14:textId="59EB15E2"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0FB015A3" w14:textId="77777777" w:rsidTr="0090527E">
        <w:tc>
          <w:tcPr>
            <w:tcW w:w="2552" w:type="dxa"/>
            <w:tcBorders>
              <w:top w:val="single" w:sz="4" w:space="0" w:color="auto"/>
              <w:left w:val="single" w:sz="4" w:space="0" w:color="auto"/>
              <w:bottom w:val="single" w:sz="4" w:space="0" w:color="auto"/>
              <w:right w:val="single" w:sz="4" w:space="0" w:color="auto"/>
            </w:tcBorders>
          </w:tcPr>
          <w:p w14:paraId="6DE1246A" w14:textId="77777777"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2.panta 18.punkts</w:t>
            </w:r>
          </w:p>
        </w:tc>
        <w:tc>
          <w:tcPr>
            <w:tcW w:w="2413" w:type="dxa"/>
            <w:tcBorders>
              <w:top w:val="single" w:sz="4" w:space="0" w:color="auto"/>
              <w:left w:val="single" w:sz="4" w:space="0" w:color="auto"/>
              <w:bottom w:val="single" w:sz="4" w:space="0" w:color="auto"/>
              <w:right w:val="single" w:sz="4" w:space="0" w:color="auto"/>
            </w:tcBorders>
          </w:tcPr>
          <w:p w14:paraId="713ED66A" w14:textId="0BF36706"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22.2.apakšpunkts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2B48D88" w14:textId="7A3429D8"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3A658F9" w14:textId="62D69712"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5002CDD" w14:textId="77777777" w:rsidTr="0090527E">
        <w:tc>
          <w:tcPr>
            <w:tcW w:w="2552" w:type="dxa"/>
            <w:tcBorders>
              <w:top w:val="single" w:sz="4" w:space="0" w:color="auto"/>
              <w:left w:val="single" w:sz="4" w:space="0" w:color="auto"/>
              <w:bottom w:val="single" w:sz="4" w:space="0" w:color="auto"/>
              <w:right w:val="single" w:sz="4" w:space="0" w:color="auto"/>
            </w:tcBorders>
          </w:tcPr>
          <w:p w14:paraId="5EF3B19A" w14:textId="1FF5B953"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w:t>
            </w:r>
            <w:r>
              <w:rPr>
                <w:rFonts w:ascii="Times New Roman" w:hAnsi="Times New Roman"/>
                <w:color w:val="000000"/>
                <w:sz w:val="24"/>
                <w:szCs w:val="24"/>
              </w:rPr>
              <w:t>s</w:t>
            </w:r>
            <w:r w:rsidRPr="007F5AE9">
              <w:rPr>
                <w:rFonts w:ascii="Times New Roman" w:hAnsi="Times New Roman"/>
                <w:color w:val="000000"/>
                <w:sz w:val="24"/>
                <w:szCs w:val="24"/>
              </w:rPr>
              <w:t xml:space="preserve"> Nr.651/2014 1.panta 2. un 3.punkts</w:t>
            </w:r>
          </w:p>
        </w:tc>
        <w:tc>
          <w:tcPr>
            <w:tcW w:w="2413" w:type="dxa"/>
            <w:tcBorders>
              <w:top w:val="single" w:sz="4" w:space="0" w:color="auto"/>
              <w:left w:val="single" w:sz="4" w:space="0" w:color="auto"/>
              <w:bottom w:val="single" w:sz="4" w:space="0" w:color="auto"/>
              <w:right w:val="single" w:sz="4" w:space="0" w:color="auto"/>
            </w:tcBorders>
          </w:tcPr>
          <w:p w14:paraId="45F15994" w14:textId="4DD4E855"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23.punkts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7066D8A" w14:textId="05D0EEDC"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CA51AC1" w14:textId="4A572B98"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7EFE94BA" w14:textId="77777777" w:rsidTr="0090527E">
        <w:tc>
          <w:tcPr>
            <w:tcW w:w="2552" w:type="dxa"/>
            <w:tcBorders>
              <w:top w:val="single" w:sz="4" w:space="0" w:color="auto"/>
              <w:left w:val="single" w:sz="4" w:space="0" w:color="auto"/>
              <w:bottom w:val="single" w:sz="4" w:space="0" w:color="auto"/>
              <w:right w:val="single" w:sz="4" w:space="0" w:color="auto"/>
            </w:tcBorders>
          </w:tcPr>
          <w:p w14:paraId="2CCB0E8A" w14:textId="3E663531"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38.panta 2.punkts</w:t>
            </w:r>
          </w:p>
        </w:tc>
        <w:tc>
          <w:tcPr>
            <w:tcW w:w="2413" w:type="dxa"/>
            <w:tcBorders>
              <w:top w:val="single" w:sz="4" w:space="0" w:color="auto"/>
              <w:left w:val="single" w:sz="4" w:space="0" w:color="auto"/>
              <w:bottom w:val="single" w:sz="4" w:space="0" w:color="auto"/>
              <w:right w:val="single" w:sz="4" w:space="0" w:color="auto"/>
            </w:tcBorders>
          </w:tcPr>
          <w:p w14:paraId="04F99642" w14:textId="67D7B2DD"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25.punkts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6061872" w14:textId="6F93C365"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2E4CFA3" w14:textId="0DDB7C8F"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77BC3915" w14:textId="77777777" w:rsidTr="0090527E">
        <w:tc>
          <w:tcPr>
            <w:tcW w:w="2552" w:type="dxa"/>
            <w:tcBorders>
              <w:top w:val="single" w:sz="4" w:space="0" w:color="auto"/>
              <w:left w:val="single" w:sz="4" w:space="0" w:color="auto"/>
              <w:bottom w:val="single" w:sz="4" w:space="0" w:color="auto"/>
              <w:right w:val="single" w:sz="4" w:space="0" w:color="auto"/>
            </w:tcBorders>
          </w:tcPr>
          <w:p w14:paraId="1D3E1936" w14:textId="0CB60340"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2.panta 23.punkts</w:t>
            </w:r>
          </w:p>
        </w:tc>
        <w:tc>
          <w:tcPr>
            <w:tcW w:w="2413" w:type="dxa"/>
            <w:tcBorders>
              <w:top w:val="single" w:sz="4" w:space="0" w:color="auto"/>
              <w:left w:val="single" w:sz="4" w:space="0" w:color="auto"/>
              <w:bottom w:val="single" w:sz="4" w:space="0" w:color="auto"/>
              <w:right w:val="single" w:sz="4" w:space="0" w:color="auto"/>
            </w:tcBorders>
          </w:tcPr>
          <w:p w14:paraId="7259EAE1" w14:textId="7ADC7BD6"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33.punkts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E94B7C4" w14:textId="2096F4BC"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A5AC820" w14:textId="3334D253"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3868FC6" w14:textId="77777777" w:rsidTr="00276343">
        <w:tc>
          <w:tcPr>
            <w:tcW w:w="2552" w:type="dxa"/>
            <w:tcBorders>
              <w:top w:val="single" w:sz="4" w:space="0" w:color="auto"/>
              <w:left w:val="single" w:sz="4" w:space="0" w:color="auto"/>
              <w:bottom w:val="single" w:sz="4" w:space="0" w:color="auto"/>
              <w:right w:val="single" w:sz="4" w:space="0" w:color="auto"/>
            </w:tcBorders>
          </w:tcPr>
          <w:p w14:paraId="362FCD98" w14:textId="77777777" w:rsidR="00CE4152" w:rsidRPr="007F5AE9" w:rsidRDefault="00CE4152" w:rsidP="00CE4152">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38.pants</w:t>
            </w:r>
          </w:p>
        </w:tc>
        <w:tc>
          <w:tcPr>
            <w:tcW w:w="2413" w:type="dxa"/>
            <w:tcBorders>
              <w:top w:val="single" w:sz="4" w:space="0" w:color="auto"/>
              <w:left w:val="single" w:sz="4" w:space="0" w:color="auto"/>
              <w:bottom w:val="single" w:sz="4" w:space="0" w:color="auto"/>
              <w:right w:val="single" w:sz="4" w:space="0" w:color="auto"/>
            </w:tcBorders>
          </w:tcPr>
          <w:p w14:paraId="62EF0BF8" w14:textId="6E1BFD9C" w:rsidR="00CE4152" w:rsidRPr="007F5AE9" w:rsidRDefault="00CE4152" w:rsidP="00CE4152">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Vispārīgā atsauce 43.punktā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7AB1B70" w14:textId="600919D6" w:rsidR="00CE4152" w:rsidRPr="007F5AE9" w:rsidDel="00A1353F" w:rsidRDefault="00CE4152" w:rsidP="00CE4152">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A485235" w14:textId="6AAE08C6" w:rsidR="00CE4152" w:rsidRPr="007F5AE9" w:rsidDel="00A1353F" w:rsidRDefault="00CE4152" w:rsidP="00CE4152">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Neparedz stingrākas prasības</w:t>
            </w:r>
          </w:p>
        </w:tc>
      </w:tr>
      <w:tr w:rsidR="00CE4152" w:rsidRPr="007F5AE9" w14:paraId="437DE417" w14:textId="77777777" w:rsidTr="0090527E">
        <w:tc>
          <w:tcPr>
            <w:tcW w:w="2552" w:type="dxa"/>
            <w:tcBorders>
              <w:top w:val="single" w:sz="4" w:space="0" w:color="auto"/>
              <w:left w:val="single" w:sz="4" w:space="0" w:color="auto"/>
              <w:bottom w:val="single" w:sz="4" w:space="0" w:color="auto"/>
              <w:right w:val="single" w:sz="4" w:space="0" w:color="auto"/>
            </w:tcBorders>
          </w:tcPr>
          <w:p w14:paraId="266A6D08" w14:textId="45F73CA1"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38.panta 3.punkts</w:t>
            </w:r>
          </w:p>
        </w:tc>
        <w:tc>
          <w:tcPr>
            <w:tcW w:w="2413" w:type="dxa"/>
            <w:tcBorders>
              <w:top w:val="single" w:sz="4" w:space="0" w:color="auto"/>
              <w:left w:val="single" w:sz="4" w:space="0" w:color="auto"/>
              <w:bottom w:val="single" w:sz="4" w:space="0" w:color="auto"/>
              <w:right w:val="single" w:sz="4" w:space="0" w:color="auto"/>
            </w:tcBorders>
          </w:tcPr>
          <w:p w14:paraId="5BE58992" w14:textId="6BE6A527"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45.punkts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FDB92B0" w14:textId="304F6C02" w:rsidR="00CE4152" w:rsidRPr="00276343"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5972BF2" w14:textId="446F8C37" w:rsidR="00CE4152" w:rsidRPr="00276343"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7546A58F" w14:textId="77777777" w:rsidTr="0090527E">
        <w:tc>
          <w:tcPr>
            <w:tcW w:w="2552" w:type="dxa"/>
            <w:tcBorders>
              <w:top w:val="single" w:sz="4" w:space="0" w:color="auto"/>
              <w:left w:val="single" w:sz="4" w:space="0" w:color="auto"/>
              <w:bottom w:val="single" w:sz="4" w:space="0" w:color="auto"/>
              <w:right w:val="single" w:sz="4" w:space="0" w:color="auto"/>
            </w:tcBorders>
          </w:tcPr>
          <w:p w14:paraId="4FA425E3" w14:textId="6B23C11E"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1.pielikums</w:t>
            </w:r>
          </w:p>
        </w:tc>
        <w:tc>
          <w:tcPr>
            <w:tcW w:w="2413" w:type="dxa"/>
            <w:tcBorders>
              <w:top w:val="single" w:sz="4" w:space="0" w:color="auto"/>
              <w:left w:val="single" w:sz="4" w:space="0" w:color="auto"/>
              <w:bottom w:val="single" w:sz="4" w:space="0" w:color="auto"/>
              <w:right w:val="single" w:sz="4" w:space="0" w:color="auto"/>
            </w:tcBorders>
          </w:tcPr>
          <w:p w14:paraId="674E6601" w14:textId="7E8FFF56"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46.punkts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5AC2DD2" w14:textId="6D4ED416" w:rsidR="00CE4152" w:rsidRPr="00276343"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966BBFC" w14:textId="67F934BA" w:rsidR="00CE4152" w:rsidRPr="00276343"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D3398CB" w14:textId="77777777" w:rsidTr="0090527E">
        <w:tc>
          <w:tcPr>
            <w:tcW w:w="2552" w:type="dxa"/>
            <w:tcBorders>
              <w:top w:val="single" w:sz="4" w:space="0" w:color="auto"/>
              <w:left w:val="single" w:sz="4" w:space="0" w:color="auto"/>
              <w:bottom w:val="single" w:sz="4" w:space="0" w:color="auto"/>
              <w:right w:val="single" w:sz="4" w:space="0" w:color="auto"/>
            </w:tcBorders>
          </w:tcPr>
          <w:p w14:paraId="324A5842" w14:textId="68E95CB6"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2.panta 24.punkts</w:t>
            </w:r>
          </w:p>
        </w:tc>
        <w:tc>
          <w:tcPr>
            <w:tcW w:w="2413" w:type="dxa"/>
            <w:tcBorders>
              <w:top w:val="single" w:sz="4" w:space="0" w:color="auto"/>
              <w:left w:val="single" w:sz="4" w:space="0" w:color="auto"/>
              <w:bottom w:val="single" w:sz="4" w:space="0" w:color="auto"/>
              <w:right w:val="single" w:sz="4" w:space="0" w:color="auto"/>
            </w:tcBorders>
          </w:tcPr>
          <w:p w14:paraId="6928B8CF" w14:textId="537B3BE4"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47.punkts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A46DF6C" w14:textId="19F3CFBF" w:rsidR="00CE4152" w:rsidRPr="00276343"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BF62698" w14:textId="429F28B3" w:rsidR="00CE4152" w:rsidRPr="00276343"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3D3A5CC8" w14:textId="77777777" w:rsidTr="0090527E">
        <w:tc>
          <w:tcPr>
            <w:tcW w:w="2552" w:type="dxa"/>
            <w:tcBorders>
              <w:top w:val="single" w:sz="4" w:space="0" w:color="auto"/>
              <w:left w:val="single" w:sz="4" w:space="0" w:color="auto"/>
              <w:bottom w:val="single" w:sz="4" w:space="0" w:color="auto"/>
              <w:right w:val="single" w:sz="4" w:space="0" w:color="auto"/>
            </w:tcBorders>
          </w:tcPr>
          <w:p w14:paraId="1F797C17" w14:textId="18984507"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Nr.1407/2013 3.panta 2., 8. un 9.punkts</w:t>
            </w:r>
          </w:p>
        </w:tc>
        <w:tc>
          <w:tcPr>
            <w:tcW w:w="2413" w:type="dxa"/>
            <w:tcBorders>
              <w:top w:val="single" w:sz="4" w:space="0" w:color="auto"/>
              <w:left w:val="single" w:sz="4" w:space="0" w:color="auto"/>
              <w:bottom w:val="single" w:sz="4" w:space="0" w:color="auto"/>
              <w:right w:val="single" w:sz="4" w:space="0" w:color="auto"/>
            </w:tcBorders>
          </w:tcPr>
          <w:p w14:paraId="129A37C1" w14:textId="3E220D97"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48.punkts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1599FD6" w14:textId="68ED6014" w:rsidR="00CE4152" w:rsidRPr="00276343"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6559B7A" w14:textId="3EC394A3" w:rsidR="00CE4152" w:rsidRPr="00276343"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A221D1" w:rsidRPr="007F5AE9" w14:paraId="13100A5B" w14:textId="77777777" w:rsidTr="0090527E">
        <w:tc>
          <w:tcPr>
            <w:tcW w:w="2552" w:type="dxa"/>
            <w:tcBorders>
              <w:top w:val="single" w:sz="4" w:space="0" w:color="auto"/>
              <w:left w:val="single" w:sz="4" w:space="0" w:color="auto"/>
              <w:bottom w:val="single" w:sz="4" w:space="0" w:color="auto"/>
              <w:right w:val="single" w:sz="4" w:space="0" w:color="auto"/>
            </w:tcBorders>
          </w:tcPr>
          <w:p w14:paraId="6524A25F" w14:textId="243E8ACB" w:rsidR="00A221D1" w:rsidRPr="007F5AE9" w:rsidRDefault="00A221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38.panta 4., 5. un 6.punkts</w:t>
            </w:r>
          </w:p>
        </w:tc>
        <w:tc>
          <w:tcPr>
            <w:tcW w:w="2413" w:type="dxa"/>
            <w:tcBorders>
              <w:top w:val="single" w:sz="4" w:space="0" w:color="auto"/>
              <w:left w:val="single" w:sz="4" w:space="0" w:color="auto"/>
              <w:bottom w:val="single" w:sz="4" w:space="0" w:color="auto"/>
              <w:right w:val="single" w:sz="4" w:space="0" w:color="auto"/>
            </w:tcBorders>
          </w:tcPr>
          <w:p w14:paraId="4975FB11" w14:textId="3885F41A" w:rsidR="00A221D1" w:rsidRPr="007F5AE9" w:rsidRDefault="00A221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50.punkts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E2D8BDF" w14:textId="7B4993D6" w:rsidR="00A221D1" w:rsidRPr="0090527E" w:rsidRDefault="00A221D1" w:rsidP="0090527E">
            <w:pPr>
              <w:spacing w:after="0" w:line="240" w:lineRule="auto"/>
              <w:contextualSpacing/>
              <w:jc w:val="center"/>
              <w:rPr>
                <w:rFonts w:ascii="Times New Roman" w:hAnsi="Times New Roman"/>
                <w:color w:val="000000"/>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224462F" w14:textId="301F7857" w:rsidR="00A221D1" w:rsidRPr="00276343" w:rsidRDefault="00A221D1" w:rsidP="00A221D1">
            <w:pPr>
              <w:spacing w:after="0" w:line="240" w:lineRule="auto"/>
              <w:contextualSpacing/>
              <w:jc w:val="center"/>
              <w:rPr>
                <w:rFonts w:ascii="Times New Roman" w:hAnsi="Times New Roman"/>
                <w:iCs/>
                <w:color w:val="000000"/>
                <w:sz w:val="24"/>
                <w:szCs w:val="24"/>
              </w:rPr>
            </w:pPr>
            <w:r w:rsidRPr="00276343">
              <w:rPr>
                <w:rFonts w:ascii="Times New Roman" w:hAnsi="Times New Roman"/>
                <w:iCs/>
                <w:color w:val="000000"/>
                <w:sz w:val="24"/>
                <w:szCs w:val="24"/>
              </w:rPr>
              <w:t>Paredz</w:t>
            </w:r>
            <w:r w:rsidRPr="0090527E">
              <w:rPr>
                <w:rFonts w:ascii="Times New Roman" w:hAnsi="Times New Roman"/>
                <w:color w:val="000000"/>
                <w:sz w:val="24"/>
              </w:rPr>
              <w:t xml:space="preserve"> stingrākas prasības</w:t>
            </w:r>
          </w:p>
          <w:p w14:paraId="445BDBE7" w14:textId="04A54C53" w:rsidR="00A221D1" w:rsidRPr="0090527E" w:rsidRDefault="00A221D1" w:rsidP="0090527E">
            <w:pPr>
              <w:spacing w:after="0" w:line="240" w:lineRule="auto"/>
              <w:contextualSpacing/>
              <w:jc w:val="both"/>
              <w:rPr>
                <w:rFonts w:ascii="Times New Roman" w:hAnsi="Times New Roman"/>
                <w:color w:val="000000"/>
                <w:sz w:val="24"/>
              </w:rPr>
            </w:pPr>
            <w:r w:rsidRPr="007F5AE9">
              <w:rPr>
                <w:rFonts w:ascii="Times New Roman" w:hAnsi="Times New Roman"/>
                <w:iCs/>
                <w:color w:val="000000"/>
                <w:sz w:val="24"/>
                <w:szCs w:val="24"/>
              </w:rPr>
              <w:t xml:space="preserve">Izstrādājot SAM 4.1.1. sākotnējo novērtējumu, kura ietvaros tika analizētas tirgus nepilnības attiecībā uz to, vai SAM 4.1.1. ietvaros efektīvākais atbalsta veids būtu finanšu instruments vai grants, tika secināts, ka finanšu instruments nav efektīvākais atbalsta veids energoefektivitātes projektos apstrādes </w:t>
            </w:r>
            <w:r w:rsidRPr="007F5AE9">
              <w:rPr>
                <w:rFonts w:ascii="Times New Roman" w:hAnsi="Times New Roman"/>
                <w:iCs/>
                <w:color w:val="000000"/>
                <w:sz w:val="24"/>
                <w:szCs w:val="24"/>
              </w:rPr>
              <w:lastRenderedPageBreak/>
              <w:t xml:space="preserve">rūpniecībās, kas ir saistīts ar apstrādes rūpniecības produktu ciklu, kas ir stipri īsāks par tradicionālo aizdevumu atmaksas periodu. Ņemot vērā ierobežotos ES fondu līdzekļus, efektīvākais veids, kā spējam vienlaikus atbalstīt pēc iespējas vairāk apstrādes rūpniecības komersantus un tajā pat laikā nodrošināt izvirzīto iznākuma rādītāju sasniegšanu, ir noteikt vienu atbalsta intensitāti </w:t>
            </w:r>
            <w:proofErr w:type="spellStart"/>
            <w:r w:rsidRPr="007F5AE9">
              <w:rPr>
                <w:rFonts w:ascii="Times New Roman" w:hAnsi="Times New Roman"/>
                <w:iCs/>
                <w:color w:val="000000"/>
                <w:sz w:val="24"/>
                <w:szCs w:val="24"/>
              </w:rPr>
              <w:t>grantam</w:t>
            </w:r>
            <w:proofErr w:type="spellEnd"/>
            <w:r w:rsidRPr="007F5AE9">
              <w:rPr>
                <w:rFonts w:ascii="Times New Roman" w:hAnsi="Times New Roman"/>
                <w:iCs/>
                <w:color w:val="000000"/>
                <w:sz w:val="24"/>
                <w:szCs w:val="24"/>
              </w:rPr>
              <w:t xml:space="preserve"> visu lielumu komersantiem – 30%. Vienlaikus norādām, ka intensitātes nosacījumi, kas noteikti Komisijas regulas Nr.651/2014 38.panta 5. un 6.punktos, tiek attiecināti uz atbalsta kumulāciju, kas ir pieļaujama SAM 4.1.1. ietvaros.</w:t>
            </w:r>
          </w:p>
        </w:tc>
      </w:tr>
      <w:tr w:rsidR="00CE4152" w:rsidRPr="007F5AE9" w14:paraId="35313A1E" w14:textId="77777777" w:rsidTr="0090527E">
        <w:tc>
          <w:tcPr>
            <w:tcW w:w="2552" w:type="dxa"/>
            <w:tcBorders>
              <w:top w:val="single" w:sz="4" w:space="0" w:color="auto"/>
              <w:left w:val="single" w:sz="4" w:space="0" w:color="auto"/>
              <w:bottom w:val="single" w:sz="4" w:space="0" w:color="auto"/>
              <w:right w:val="single" w:sz="4" w:space="0" w:color="auto"/>
            </w:tcBorders>
          </w:tcPr>
          <w:p w14:paraId="696A0BF0" w14:textId="6318077E"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Komisijas Regulas Nr. 651/2014 8.panta 3.punkt</w:t>
            </w:r>
            <w:r>
              <w:rPr>
                <w:rFonts w:ascii="Times New Roman" w:hAnsi="Times New Roman"/>
                <w:color w:val="000000"/>
                <w:sz w:val="24"/>
                <w:szCs w:val="24"/>
              </w:rPr>
              <w:t>s</w:t>
            </w:r>
          </w:p>
        </w:tc>
        <w:tc>
          <w:tcPr>
            <w:tcW w:w="2413" w:type="dxa"/>
            <w:tcBorders>
              <w:top w:val="single" w:sz="4" w:space="0" w:color="auto"/>
              <w:left w:val="single" w:sz="4" w:space="0" w:color="auto"/>
              <w:bottom w:val="single" w:sz="4" w:space="0" w:color="auto"/>
              <w:right w:val="single" w:sz="4" w:space="0" w:color="auto"/>
            </w:tcBorders>
          </w:tcPr>
          <w:p w14:paraId="2458EFF3" w14:textId="70673BD7"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50.punkts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2F9F720" w14:textId="436FA5F6" w:rsidR="00CE4152" w:rsidRPr="0090527E" w:rsidRDefault="00CE4152" w:rsidP="0090527E">
            <w:pPr>
              <w:spacing w:after="0" w:line="240" w:lineRule="auto"/>
              <w:contextualSpacing/>
              <w:jc w:val="center"/>
              <w:rPr>
                <w:rFonts w:ascii="Times New Roman" w:hAnsi="Times New Roman"/>
                <w:color w:val="000000"/>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A8A42CB" w14:textId="08152545" w:rsidR="00CE4152" w:rsidRPr="0090527E" w:rsidRDefault="00CE4152" w:rsidP="0090527E">
            <w:pPr>
              <w:spacing w:after="0" w:line="240" w:lineRule="auto"/>
              <w:contextualSpacing/>
              <w:jc w:val="center"/>
              <w:rPr>
                <w:rFonts w:ascii="Times New Roman" w:hAnsi="Times New Roman"/>
                <w:color w:val="000000"/>
                <w:sz w:val="24"/>
              </w:rPr>
            </w:pPr>
            <w:r w:rsidRPr="0090527E">
              <w:rPr>
                <w:rFonts w:ascii="Times New Roman" w:hAnsi="Times New Roman"/>
                <w:sz w:val="24"/>
              </w:rPr>
              <w:t>Neparedz stingrākas prasības</w:t>
            </w:r>
          </w:p>
        </w:tc>
      </w:tr>
      <w:tr w:rsidR="00CE4152" w:rsidRPr="007F5AE9" w14:paraId="62532CFB" w14:textId="77777777" w:rsidTr="0090527E">
        <w:tc>
          <w:tcPr>
            <w:tcW w:w="2552" w:type="dxa"/>
            <w:tcBorders>
              <w:top w:val="single" w:sz="4" w:space="0" w:color="auto"/>
              <w:left w:val="single" w:sz="4" w:space="0" w:color="auto"/>
              <w:bottom w:val="single" w:sz="4" w:space="0" w:color="auto"/>
              <w:right w:val="single" w:sz="4" w:space="0" w:color="auto"/>
            </w:tcBorders>
          </w:tcPr>
          <w:p w14:paraId="3C8F6F9C" w14:textId="2D3E95C6"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 xml:space="preserve">Komisijas regulas Nr.651/2014 8.panta 4.punkts </w:t>
            </w:r>
          </w:p>
        </w:tc>
        <w:tc>
          <w:tcPr>
            <w:tcW w:w="2413" w:type="dxa"/>
            <w:tcBorders>
              <w:top w:val="single" w:sz="4" w:space="0" w:color="auto"/>
              <w:left w:val="single" w:sz="4" w:space="0" w:color="auto"/>
              <w:bottom w:val="single" w:sz="4" w:space="0" w:color="auto"/>
              <w:right w:val="single" w:sz="4" w:space="0" w:color="auto"/>
            </w:tcBorders>
          </w:tcPr>
          <w:p w14:paraId="65B97DED" w14:textId="2F16FE63"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51.punkts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820C72A" w14:textId="733A4403"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C855679" w14:textId="5B65B608"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A221D1" w:rsidRPr="007F5AE9" w14:paraId="3B3675BC" w14:textId="77777777" w:rsidTr="0090527E">
        <w:tc>
          <w:tcPr>
            <w:tcW w:w="2552" w:type="dxa"/>
            <w:tcBorders>
              <w:top w:val="single" w:sz="4" w:space="0" w:color="auto"/>
              <w:left w:val="single" w:sz="4" w:space="0" w:color="auto"/>
              <w:bottom w:val="single" w:sz="4" w:space="0" w:color="auto"/>
              <w:right w:val="single" w:sz="4" w:space="0" w:color="auto"/>
            </w:tcBorders>
          </w:tcPr>
          <w:p w14:paraId="2BF18EE6" w14:textId="74855D01" w:rsidR="00A221D1" w:rsidRPr="007F5AE9" w:rsidRDefault="00A221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38.panta 4., 5. un 6.punkts</w:t>
            </w:r>
          </w:p>
        </w:tc>
        <w:tc>
          <w:tcPr>
            <w:tcW w:w="2413" w:type="dxa"/>
            <w:tcBorders>
              <w:top w:val="single" w:sz="4" w:space="0" w:color="auto"/>
              <w:left w:val="single" w:sz="4" w:space="0" w:color="auto"/>
              <w:bottom w:val="single" w:sz="4" w:space="0" w:color="auto"/>
              <w:right w:val="single" w:sz="4" w:space="0" w:color="auto"/>
            </w:tcBorders>
          </w:tcPr>
          <w:p w14:paraId="6D03CEBD" w14:textId="4C9DFEEE" w:rsidR="00A221D1" w:rsidRPr="007F5AE9" w:rsidRDefault="00A221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51.punkts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61F29E9" w14:textId="793AEEA6" w:rsidR="00A221D1" w:rsidRPr="007F5AE9" w:rsidRDefault="00A221D1"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CBC227A" w14:textId="1120CC31" w:rsidR="00A221D1" w:rsidRPr="00276343" w:rsidRDefault="00A221D1" w:rsidP="00A221D1">
            <w:pPr>
              <w:spacing w:after="0" w:line="240" w:lineRule="auto"/>
              <w:contextualSpacing/>
              <w:jc w:val="center"/>
              <w:rPr>
                <w:rFonts w:ascii="Times New Roman" w:hAnsi="Times New Roman"/>
                <w:iCs/>
                <w:color w:val="000000"/>
                <w:sz w:val="24"/>
                <w:szCs w:val="24"/>
              </w:rPr>
            </w:pPr>
            <w:r w:rsidRPr="00276343">
              <w:rPr>
                <w:rFonts w:ascii="Times New Roman" w:hAnsi="Times New Roman"/>
                <w:iCs/>
                <w:color w:val="000000"/>
                <w:sz w:val="24"/>
                <w:szCs w:val="24"/>
              </w:rPr>
              <w:t>Paredz</w:t>
            </w:r>
            <w:r w:rsidRPr="0090527E">
              <w:rPr>
                <w:rFonts w:ascii="Times New Roman" w:hAnsi="Times New Roman"/>
                <w:color w:val="000000"/>
                <w:sz w:val="24"/>
              </w:rPr>
              <w:t xml:space="preserve"> stingrākas prasības</w:t>
            </w:r>
          </w:p>
          <w:p w14:paraId="3497B639" w14:textId="188370A0" w:rsidR="00A221D1" w:rsidRPr="007F5AE9" w:rsidRDefault="00A221D1" w:rsidP="0090527E">
            <w:pPr>
              <w:spacing w:after="0" w:line="240" w:lineRule="auto"/>
              <w:contextualSpacing/>
              <w:jc w:val="both"/>
              <w:rPr>
                <w:rFonts w:ascii="Times New Roman" w:hAnsi="Times New Roman"/>
                <w:i/>
                <w:iCs/>
                <w:color w:val="000000"/>
                <w:sz w:val="24"/>
                <w:szCs w:val="24"/>
              </w:rPr>
            </w:pPr>
            <w:r w:rsidRPr="007F5AE9">
              <w:rPr>
                <w:rFonts w:ascii="Times New Roman" w:hAnsi="Times New Roman"/>
                <w:iCs/>
                <w:color w:val="000000"/>
                <w:sz w:val="24"/>
                <w:szCs w:val="24"/>
              </w:rPr>
              <w:t xml:space="preserve">Izstrādājot SAM 4.1.1. sākotnējo novērtējumu, kura ietvaros tika analizētas tirgus nepilnības attiecībā uz to, vai SAM 4.1.1. ietvaros </w:t>
            </w:r>
            <w:r w:rsidRPr="007F5AE9">
              <w:rPr>
                <w:rFonts w:ascii="Times New Roman" w:hAnsi="Times New Roman"/>
                <w:iCs/>
                <w:color w:val="000000"/>
                <w:sz w:val="24"/>
                <w:szCs w:val="24"/>
              </w:rPr>
              <w:lastRenderedPageBreak/>
              <w:t xml:space="preserve">efektīvākais atbalsta veids būtu finanšu instruments vai grants, tika secināts, ka finanšu instruments nav efektīvākais atbalsta veids energoefektivitātes projektos apstrādes rūpniecībās, kas ir saistīts ar apstrādes rūpniecības produktu ciklu, kas ir stipri īsāks par tradicionālo aizdevumu atmaksas periodu. Ņemot vērā ierobežotos ES fondu līdzekļus, efektīvākais veids, kā spējam vienlaikus atbalstīt pēc iespējas vairāk apstrādes rūpniecības komersantus un tajā pat laikā nodrošināt izvirzīto iznākuma rādītāju sasniegšanu, ir noteikt vienu atbalsta intensitāti </w:t>
            </w:r>
            <w:proofErr w:type="spellStart"/>
            <w:r w:rsidRPr="007F5AE9">
              <w:rPr>
                <w:rFonts w:ascii="Times New Roman" w:hAnsi="Times New Roman"/>
                <w:iCs/>
                <w:color w:val="000000"/>
                <w:sz w:val="24"/>
                <w:szCs w:val="24"/>
              </w:rPr>
              <w:t>grantam</w:t>
            </w:r>
            <w:proofErr w:type="spellEnd"/>
            <w:r w:rsidRPr="007F5AE9">
              <w:rPr>
                <w:rFonts w:ascii="Times New Roman" w:hAnsi="Times New Roman"/>
                <w:iCs/>
                <w:color w:val="000000"/>
                <w:sz w:val="24"/>
                <w:szCs w:val="24"/>
              </w:rPr>
              <w:t xml:space="preserve"> visu lielumu komersantiem – 30%. Vienlaikus norādām, ka intensitātes nosacījumi, kas noteikti Komisijas regulas Nr.651/2014 38.panta 5. un 6.punktos, tiek attiecināti uz atbalsta kumulāciju, kas ir pieļaujama SAM 4.1.1. ietvaros.</w:t>
            </w:r>
          </w:p>
        </w:tc>
      </w:tr>
      <w:tr w:rsidR="00CE4152" w:rsidRPr="007F5AE9" w14:paraId="218AEF9D" w14:textId="77777777" w:rsidTr="0090527E">
        <w:tc>
          <w:tcPr>
            <w:tcW w:w="2552" w:type="dxa"/>
            <w:tcBorders>
              <w:top w:val="single" w:sz="4" w:space="0" w:color="auto"/>
              <w:left w:val="single" w:sz="4" w:space="0" w:color="auto"/>
              <w:bottom w:val="single" w:sz="4" w:space="0" w:color="auto"/>
              <w:right w:val="single" w:sz="4" w:space="0" w:color="auto"/>
            </w:tcBorders>
          </w:tcPr>
          <w:p w14:paraId="334F7CA6" w14:textId="02765299"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Komisijas regulas Nr.651/2014 12.panta 1.punkts</w:t>
            </w:r>
          </w:p>
        </w:tc>
        <w:tc>
          <w:tcPr>
            <w:tcW w:w="2413" w:type="dxa"/>
            <w:tcBorders>
              <w:top w:val="single" w:sz="4" w:space="0" w:color="auto"/>
              <w:left w:val="single" w:sz="4" w:space="0" w:color="auto"/>
              <w:bottom w:val="single" w:sz="4" w:space="0" w:color="auto"/>
              <w:right w:val="single" w:sz="4" w:space="0" w:color="auto"/>
            </w:tcBorders>
          </w:tcPr>
          <w:p w14:paraId="0B6DAD7F" w14:textId="35F58B8B"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53.punkts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9A595AA" w14:textId="27F714D6"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06B5AE6" w14:textId="5B8BB815"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CE7A483" w14:textId="77777777" w:rsidTr="0090527E">
        <w:tc>
          <w:tcPr>
            <w:tcW w:w="2552" w:type="dxa"/>
            <w:tcBorders>
              <w:top w:val="single" w:sz="4" w:space="0" w:color="auto"/>
              <w:left w:val="single" w:sz="4" w:space="0" w:color="auto"/>
              <w:bottom w:val="single" w:sz="4" w:space="0" w:color="auto"/>
              <w:right w:val="single" w:sz="4" w:space="0" w:color="auto"/>
            </w:tcBorders>
          </w:tcPr>
          <w:p w14:paraId="373B4455" w14:textId="558417DB"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9.panta 1. un 4.punkts</w:t>
            </w:r>
          </w:p>
        </w:tc>
        <w:tc>
          <w:tcPr>
            <w:tcW w:w="2413" w:type="dxa"/>
            <w:tcBorders>
              <w:top w:val="single" w:sz="4" w:space="0" w:color="auto"/>
              <w:left w:val="single" w:sz="4" w:space="0" w:color="auto"/>
              <w:bottom w:val="single" w:sz="4" w:space="0" w:color="auto"/>
              <w:right w:val="single" w:sz="4" w:space="0" w:color="auto"/>
            </w:tcBorders>
          </w:tcPr>
          <w:p w14:paraId="77B94BFD" w14:textId="158F7FAD"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55.punkts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AA52452" w14:textId="4AD56132"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C6F178F" w14:textId="797BF2BD"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0338AA3B" w14:textId="77777777" w:rsidTr="0090527E">
        <w:tc>
          <w:tcPr>
            <w:tcW w:w="2552" w:type="dxa"/>
            <w:tcBorders>
              <w:top w:val="single" w:sz="4" w:space="0" w:color="auto"/>
              <w:left w:val="single" w:sz="4" w:space="0" w:color="auto"/>
              <w:bottom w:val="single" w:sz="4" w:space="0" w:color="auto"/>
              <w:right w:val="single" w:sz="4" w:space="0" w:color="auto"/>
            </w:tcBorders>
          </w:tcPr>
          <w:p w14:paraId="29426B0F" w14:textId="12CBA3A4" w:rsidR="00CE4152" w:rsidRPr="007F5AE9" w:rsidRDefault="00CE4152"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Komisijas regulas Nr.651/2014 38.pants</w:t>
            </w:r>
          </w:p>
        </w:tc>
        <w:tc>
          <w:tcPr>
            <w:tcW w:w="2413" w:type="dxa"/>
            <w:tcBorders>
              <w:top w:val="single" w:sz="4" w:space="0" w:color="auto"/>
              <w:left w:val="single" w:sz="4" w:space="0" w:color="auto"/>
              <w:bottom w:val="single" w:sz="4" w:space="0" w:color="auto"/>
              <w:right w:val="single" w:sz="4" w:space="0" w:color="auto"/>
            </w:tcBorders>
          </w:tcPr>
          <w:p w14:paraId="7411D898" w14:textId="15351BD5"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Vispārīga atsauce 58.punktā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BAF25A5" w14:textId="31797965"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9441078" w14:textId="4FFA7859"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3438D1" w:rsidRPr="007F5AE9" w14:paraId="15B87AA7" w14:textId="77777777" w:rsidTr="0090527E">
        <w:tc>
          <w:tcPr>
            <w:tcW w:w="2552" w:type="dxa"/>
            <w:tcBorders>
              <w:top w:val="single" w:sz="4" w:space="0" w:color="auto"/>
              <w:left w:val="single" w:sz="4" w:space="0" w:color="auto"/>
              <w:bottom w:val="single" w:sz="4" w:space="0" w:color="auto"/>
              <w:right w:val="single" w:sz="4" w:space="0" w:color="auto"/>
            </w:tcBorders>
          </w:tcPr>
          <w:p w14:paraId="21F09DB4" w14:textId="616B3039"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 xml:space="preserve">Komisijas regulas Nr.651/2014 </w:t>
            </w:r>
            <w:r>
              <w:rPr>
                <w:rFonts w:ascii="Times New Roman" w:hAnsi="Times New Roman"/>
                <w:color w:val="000000"/>
                <w:sz w:val="24"/>
                <w:szCs w:val="24"/>
              </w:rPr>
              <w:t>58.panta 4.punkts</w:t>
            </w:r>
          </w:p>
        </w:tc>
        <w:tc>
          <w:tcPr>
            <w:tcW w:w="2413" w:type="dxa"/>
            <w:tcBorders>
              <w:top w:val="single" w:sz="4" w:space="0" w:color="auto"/>
              <w:left w:val="single" w:sz="4" w:space="0" w:color="auto"/>
              <w:bottom w:val="single" w:sz="4" w:space="0" w:color="auto"/>
              <w:right w:val="single" w:sz="4" w:space="0" w:color="auto"/>
            </w:tcBorders>
          </w:tcPr>
          <w:p w14:paraId="26DED410" w14:textId="0F0FC842" w:rsidR="003438D1" w:rsidRPr="007F5AE9" w:rsidRDefault="003438D1" w:rsidP="0090527E">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58.punkts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D7A4334" w14:textId="3AA3BDA0" w:rsidR="003438D1" w:rsidRPr="0090527E" w:rsidRDefault="003438D1" w:rsidP="0090527E">
            <w:pPr>
              <w:spacing w:after="0" w:line="240" w:lineRule="auto"/>
              <w:contextualSpacing/>
              <w:jc w:val="center"/>
              <w:rPr>
                <w:rFonts w:ascii="Times New Roman" w:hAnsi="Times New Roman"/>
                <w:sz w:val="24"/>
              </w:rPr>
            </w:pPr>
            <w:r>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670F01D" w14:textId="4020C95F"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6ABE5736" w14:textId="77777777" w:rsidTr="0090527E">
        <w:tc>
          <w:tcPr>
            <w:tcW w:w="2552" w:type="dxa"/>
            <w:tcBorders>
              <w:top w:val="single" w:sz="4" w:space="0" w:color="auto"/>
              <w:left w:val="single" w:sz="4" w:space="0" w:color="auto"/>
              <w:bottom w:val="single" w:sz="12" w:space="0" w:color="auto"/>
              <w:right w:val="single" w:sz="4" w:space="0" w:color="auto"/>
            </w:tcBorders>
          </w:tcPr>
          <w:p w14:paraId="2FE75CB8" w14:textId="41F2489C"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Nr.651/2014 59.pants</w:t>
            </w:r>
          </w:p>
        </w:tc>
        <w:tc>
          <w:tcPr>
            <w:tcW w:w="2413" w:type="dxa"/>
            <w:tcBorders>
              <w:top w:val="single" w:sz="4" w:space="0" w:color="auto"/>
              <w:left w:val="single" w:sz="4" w:space="0" w:color="auto"/>
              <w:bottom w:val="single" w:sz="12" w:space="0" w:color="auto"/>
              <w:right w:val="single" w:sz="4" w:space="0" w:color="auto"/>
            </w:tcBorders>
          </w:tcPr>
          <w:p w14:paraId="59DCDD08" w14:textId="4DB1239D"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58.punkts</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091852C0" w14:textId="2EB9F985" w:rsidR="003438D1" w:rsidRPr="007F5AE9" w:rsidRDefault="003438D1"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12" w:space="0" w:color="auto"/>
              <w:right w:val="single" w:sz="4" w:space="0" w:color="auto"/>
            </w:tcBorders>
            <w:shd w:val="clear" w:color="auto" w:fill="auto"/>
          </w:tcPr>
          <w:p w14:paraId="052B573C" w14:textId="11A41B23" w:rsidR="003438D1" w:rsidRPr="007F5AE9" w:rsidRDefault="003438D1"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3438D1" w:rsidRPr="007F5AE9" w14:paraId="20D16933" w14:textId="77777777" w:rsidTr="00A221D1">
        <w:tc>
          <w:tcPr>
            <w:tcW w:w="2552" w:type="dxa"/>
            <w:tcBorders>
              <w:top w:val="single" w:sz="12" w:space="0" w:color="auto"/>
              <w:left w:val="single" w:sz="4" w:space="0" w:color="auto"/>
              <w:bottom w:val="single" w:sz="4" w:space="0" w:color="auto"/>
              <w:right w:val="single" w:sz="4" w:space="0" w:color="auto"/>
            </w:tcBorders>
          </w:tcPr>
          <w:p w14:paraId="7F18F247" w14:textId="7BDC623D" w:rsidR="003438D1" w:rsidRPr="007F5AE9" w:rsidRDefault="003438D1" w:rsidP="003438D1">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tcPr>
          <w:p w14:paraId="3C1E050B" w14:textId="28B226C0" w:rsidR="003438D1" w:rsidRPr="00276343" w:rsidRDefault="003438D1" w:rsidP="003438D1">
            <w:pPr>
              <w:pStyle w:val="naiskr"/>
              <w:tabs>
                <w:tab w:val="left" w:pos="2628"/>
              </w:tabs>
              <w:spacing w:before="0" w:beforeAutospacing="0" w:after="0" w:afterAutospacing="0"/>
              <w:ind w:firstLine="114"/>
              <w:contextualSpacing/>
              <w:jc w:val="both"/>
            </w:pPr>
            <w:r w:rsidRPr="007F5AE9">
              <w:rPr>
                <w:color w:val="000000"/>
                <w:lang w:eastAsia="en-US"/>
              </w:rPr>
              <w:t>Komisijas regula Nr.</w:t>
            </w:r>
            <w:r w:rsidRPr="007F5AE9">
              <w:rPr>
                <w:bCs/>
                <w:color w:val="000000"/>
              </w:rPr>
              <w:t>1407/2013</w:t>
            </w:r>
          </w:p>
          <w:p w14:paraId="3E857474" w14:textId="352DA02D" w:rsidR="003438D1" w:rsidRPr="00276343" w:rsidRDefault="003438D1" w:rsidP="003438D1">
            <w:pPr>
              <w:spacing w:after="0" w:line="240" w:lineRule="auto"/>
              <w:contextualSpacing/>
              <w:jc w:val="center"/>
              <w:rPr>
                <w:rFonts w:ascii="Times New Roman" w:hAnsi="Times New Roman"/>
                <w:sz w:val="24"/>
                <w:szCs w:val="24"/>
              </w:rPr>
            </w:pPr>
          </w:p>
        </w:tc>
      </w:tr>
      <w:tr w:rsidR="003438D1" w:rsidRPr="007F5AE9" w14:paraId="337FBDF7" w14:textId="77777777" w:rsidTr="00CE4152">
        <w:tc>
          <w:tcPr>
            <w:tcW w:w="2552" w:type="dxa"/>
            <w:tcBorders>
              <w:top w:val="single" w:sz="4" w:space="0" w:color="auto"/>
              <w:left w:val="single" w:sz="4" w:space="0" w:color="auto"/>
              <w:bottom w:val="single" w:sz="4" w:space="0" w:color="auto"/>
              <w:right w:val="single" w:sz="4" w:space="0" w:color="auto"/>
            </w:tcBorders>
          </w:tcPr>
          <w:p w14:paraId="426A49DF" w14:textId="65A6425A" w:rsidR="003438D1" w:rsidRPr="007F5AE9" w:rsidRDefault="003438D1" w:rsidP="003438D1">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tcPr>
          <w:p w14:paraId="02A0C1C3" w14:textId="364C6524" w:rsidR="003438D1" w:rsidRPr="007F5AE9" w:rsidRDefault="003438D1" w:rsidP="003438D1">
            <w:pPr>
              <w:spacing w:after="0" w:line="240" w:lineRule="auto"/>
              <w:contextualSpacing/>
              <w:jc w:val="center"/>
              <w:rPr>
                <w:rFonts w:ascii="Times New Roman" w:hAnsi="Times New Roman"/>
                <w:iCs/>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C360FD5" w14:textId="01F7B829"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10A4ED9" w14:textId="710DB8B2"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D</w:t>
            </w:r>
          </w:p>
        </w:tc>
      </w:tr>
      <w:tr w:rsidR="003438D1" w:rsidRPr="007F5AE9" w14:paraId="2DF79D69" w14:textId="77777777" w:rsidTr="0090527E">
        <w:tc>
          <w:tcPr>
            <w:tcW w:w="2552" w:type="dxa"/>
            <w:tcBorders>
              <w:top w:val="single" w:sz="4" w:space="0" w:color="auto"/>
              <w:left w:val="single" w:sz="4" w:space="0" w:color="auto"/>
              <w:bottom w:val="single" w:sz="4" w:space="0" w:color="auto"/>
              <w:right w:val="single" w:sz="4" w:space="0" w:color="auto"/>
            </w:tcBorders>
          </w:tcPr>
          <w:p w14:paraId="6455C801" w14:textId="4A6459F1"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Nr.1407/2013 1.panta 1.punkts</w:t>
            </w:r>
          </w:p>
        </w:tc>
        <w:tc>
          <w:tcPr>
            <w:tcW w:w="2413" w:type="dxa"/>
            <w:tcBorders>
              <w:top w:val="single" w:sz="4" w:space="0" w:color="auto"/>
              <w:left w:val="single" w:sz="4" w:space="0" w:color="auto"/>
              <w:bottom w:val="single" w:sz="4" w:space="0" w:color="auto"/>
              <w:right w:val="single" w:sz="4" w:space="0" w:color="auto"/>
            </w:tcBorders>
          </w:tcPr>
          <w:p w14:paraId="49E6C31A" w14:textId="24F7AD8D"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23.punkts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4D79623" w14:textId="4CC9B44B"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DA78073" w14:textId="36281196"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72B68E07" w14:textId="77777777" w:rsidTr="0090527E">
        <w:tc>
          <w:tcPr>
            <w:tcW w:w="2552" w:type="dxa"/>
            <w:tcBorders>
              <w:top w:val="single" w:sz="4" w:space="0" w:color="auto"/>
              <w:left w:val="single" w:sz="4" w:space="0" w:color="auto"/>
              <w:bottom w:val="single" w:sz="4" w:space="0" w:color="auto"/>
              <w:right w:val="single" w:sz="4" w:space="0" w:color="auto"/>
            </w:tcBorders>
          </w:tcPr>
          <w:p w14:paraId="7660AE8B" w14:textId="052C7BCD"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Pr>
          <w:p w14:paraId="761514BC" w14:textId="63B8A160"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Vispārīga atsauce 44.punktā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1C97572" w14:textId="3D13CC86"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8AB67B6" w14:textId="667495DE"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color w:val="000000"/>
                <w:sz w:val="24"/>
              </w:rPr>
              <w:t>Neparedz stingrākas prasības</w:t>
            </w:r>
          </w:p>
        </w:tc>
      </w:tr>
      <w:tr w:rsidR="003438D1" w:rsidRPr="007F5AE9" w14:paraId="30551077" w14:textId="77777777" w:rsidTr="0090527E">
        <w:tc>
          <w:tcPr>
            <w:tcW w:w="2552" w:type="dxa"/>
            <w:tcBorders>
              <w:top w:val="single" w:sz="4" w:space="0" w:color="auto"/>
              <w:left w:val="single" w:sz="4" w:space="0" w:color="auto"/>
              <w:bottom w:val="single" w:sz="4" w:space="0" w:color="auto"/>
              <w:right w:val="single" w:sz="4" w:space="0" w:color="auto"/>
            </w:tcBorders>
          </w:tcPr>
          <w:p w14:paraId="0CB31304" w14:textId="1C004B1E"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Nr.1407/2013 2.panta 2.punkts</w:t>
            </w:r>
          </w:p>
        </w:tc>
        <w:tc>
          <w:tcPr>
            <w:tcW w:w="2413" w:type="dxa"/>
            <w:tcBorders>
              <w:top w:val="single" w:sz="4" w:space="0" w:color="auto"/>
              <w:left w:val="single" w:sz="4" w:space="0" w:color="auto"/>
              <w:bottom w:val="single" w:sz="4" w:space="0" w:color="auto"/>
              <w:right w:val="single" w:sz="4" w:space="0" w:color="auto"/>
            </w:tcBorders>
          </w:tcPr>
          <w:p w14:paraId="4CED3461" w14:textId="7E743899"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48.punkts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2FF425B" w14:textId="27A2885D"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5A18416" w14:textId="4475C222" w:rsidR="003438D1" w:rsidRPr="0090527E" w:rsidRDefault="003438D1" w:rsidP="0090527E">
            <w:pPr>
              <w:spacing w:after="0" w:line="240" w:lineRule="auto"/>
              <w:contextualSpacing/>
              <w:jc w:val="center"/>
              <w:rPr>
                <w:rFonts w:ascii="Times New Roman" w:hAnsi="Times New Roman"/>
                <w:color w:val="000000"/>
                <w:sz w:val="24"/>
              </w:rPr>
            </w:pPr>
            <w:r w:rsidRPr="0090527E">
              <w:rPr>
                <w:rFonts w:ascii="Times New Roman" w:hAnsi="Times New Roman"/>
                <w:sz w:val="24"/>
              </w:rPr>
              <w:t>Neparedz stingrākas prasības</w:t>
            </w:r>
          </w:p>
        </w:tc>
      </w:tr>
      <w:tr w:rsidR="003438D1" w:rsidRPr="007F5AE9" w14:paraId="42D840FE" w14:textId="77777777" w:rsidTr="0090527E">
        <w:tc>
          <w:tcPr>
            <w:tcW w:w="2552" w:type="dxa"/>
            <w:tcBorders>
              <w:top w:val="single" w:sz="4" w:space="0" w:color="auto"/>
              <w:left w:val="single" w:sz="4" w:space="0" w:color="auto"/>
              <w:bottom w:val="single" w:sz="4" w:space="0" w:color="auto"/>
              <w:right w:val="single" w:sz="4" w:space="0" w:color="auto"/>
            </w:tcBorders>
          </w:tcPr>
          <w:p w14:paraId="64F4A00A" w14:textId="5B97FEB2"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 xml:space="preserve">Komisijas regula Nr.1407/2013 </w:t>
            </w:r>
          </w:p>
        </w:tc>
        <w:tc>
          <w:tcPr>
            <w:tcW w:w="2413" w:type="dxa"/>
            <w:tcBorders>
              <w:top w:val="single" w:sz="4" w:space="0" w:color="auto"/>
              <w:left w:val="single" w:sz="4" w:space="0" w:color="auto"/>
              <w:bottom w:val="single" w:sz="4" w:space="0" w:color="auto"/>
              <w:right w:val="single" w:sz="4" w:space="0" w:color="auto"/>
            </w:tcBorders>
          </w:tcPr>
          <w:p w14:paraId="17AC8A7C" w14:textId="31F6AE93"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Vispārīgā atsauce 50.punktā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1496B45" w14:textId="6A1BFA59"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8A52710" w14:textId="5C0E385F" w:rsidR="003438D1" w:rsidRPr="0090527E" w:rsidRDefault="003438D1" w:rsidP="0090527E">
            <w:pPr>
              <w:spacing w:after="0" w:line="240" w:lineRule="auto"/>
              <w:contextualSpacing/>
              <w:jc w:val="center"/>
              <w:rPr>
                <w:rFonts w:ascii="Times New Roman" w:hAnsi="Times New Roman"/>
                <w:color w:val="000000"/>
                <w:sz w:val="24"/>
              </w:rPr>
            </w:pPr>
            <w:r w:rsidRPr="0090527E">
              <w:rPr>
                <w:rFonts w:ascii="Times New Roman" w:hAnsi="Times New Roman"/>
                <w:color w:val="000000"/>
                <w:sz w:val="24"/>
              </w:rPr>
              <w:t>Neparedz stingrākas prasības</w:t>
            </w:r>
          </w:p>
        </w:tc>
      </w:tr>
      <w:tr w:rsidR="003438D1" w:rsidRPr="007F5AE9" w14:paraId="43475C22" w14:textId="77777777" w:rsidTr="0090527E">
        <w:tc>
          <w:tcPr>
            <w:tcW w:w="2552" w:type="dxa"/>
            <w:tcBorders>
              <w:top w:val="single" w:sz="4" w:space="0" w:color="auto"/>
              <w:left w:val="single" w:sz="4" w:space="0" w:color="auto"/>
              <w:bottom w:val="single" w:sz="4" w:space="0" w:color="auto"/>
              <w:right w:val="single" w:sz="4" w:space="0" w:color="auto"/>
            </w:tcBorders>
          </w:tcPr>
          <w:p w14:paraId="5A029FCA" w14:textId="09C73EC9"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Nr.1407/2013 6.panta 4.punkts</w:t>
            </w:r>
          </w:p>
        </w:tc>
        <w:tc>
          <w:tcPr>
            <w:tcW w:w="2413" w:type="dxa"/>
            <w:tcBorders>
              <w:top w:val="single" w:sz="4" w:space="0" w:color="auto"/>
              <w:left w:val="single" w:sz="4" w:space="0" w:color="auto"/>
              <w:bottom w:val="single" w:sz="4" w:space="0" w:color="auto"/>
              <w:right w:val="single" w:sz="4" w:space="0" w:color="auto"/>
            </w:tcBorders>
          </w:tcPr>
          <w:p w14:paraId="31B8F302" w14:textId="1461BB35"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53.punkts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F4F596A" w14:textId="78C4FD72"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225E823" w14:textId="2CDB72DC" w:rsidR="003438D1" w:rsidRPr="0090527E" w:rsidRDefault="003438D1" w:rsidP="0090527E">
            <w:pPr>
              <w:spacing w:after="0" w:line="240" w:lineRule="auto"/>
              <w:contextualSpacing/>
              <w:jc w:val="center"/>
              <w:rPr>
                <w:rFonts w:ascii="Times New Roman" w:hAnsi="Times New Roman"/>
                <w:color w:val="000000"/>
                <w:sz w:val="24"/>
              </w:rPr>
            </w:pPr>
            <w:r w:rsidRPr="0090527E">
              <w:rPr>
                <w:rFonts w:ascii="Times New Roman" w:hAnsi="Times New Roman"/>
                <w:sz w:val="24"/>
              </w:rPr>
              <w:t>Neparedz stingrākas prasības</w:t>
            </w:r>
          </w:p>
        </w:tc>
      </w:tr>
      <w:tr w:rsidR="003438D1" w:rsidRPr="007F5AE9" w14:paraId="3FF2F884" w14:textId="77777777" w:rsidTr="0090527E">
        <w:tc>
          <w:tcPr>
            <w:tcW w:w="2552" w:type="dxa"/>
            <w:tcBorders>
              <w:top w:val="single" w:sz="4" w:space="0" w:color="auto"/>
              <w:left w:val="single" w:sz="4" w:space="0" w:color="auto"/>
              <w:bottom w:val="single" w:sz="4" w:space="0" w:color="auto"/>
              <w:right w:val="single" w:sz="4" w:space="0" w:color="auto"/>
            </w:tcBorders>
          </w:tcPr>
          <w:p w14:paraId="1A28A0D9" w14:textId="17DE2E97"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Pr>
          <w:p w14:paraId="23AF626D" w14:textId="383539A4"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Vispārīga atsauce 56.punktā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A5FAEEA" w14:textId="6CF11839"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3C60D24" w14:textId="2A122724"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color w:val="000000"/>
                <w:sz w:val="24"/>
              </w:rPr>
              <w:t>Neparedz stingrākas prasības</w:t>
            </w:r>
          </w:p>
        </w:tc>
      </w:tr>
      <w:tr w:rsidR="003438D1" w:rsidRPr="007F5AE9" w14:paraId="2272B81E" w14:textId="77777777" w:rsidTr="0090527E">
        <w:tc>
          <w:tcPr>
            <w:tcW w:w="2552" w:type="dxa"/>
            <w:tcBorders>
              <w:top w:val="single" w:sz="4" w:space="0" w:color="auto"/>
              <w:left w:val="single" w:sz="4" w:space="0" w:color="auto"/>
              <w:bottom w:val="single" w:sz="4" w:space="0" w:color="auto"/>
              <w:right w:val="single" w:sz="4" w:space="0" w:color="auto"/>
            </w:tcBorders>
          </w:tcPr>
          <w:p w14:paraId="6F4824D0" w14:textId="15746773"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Nr.1407/2013 6.panta 1. un 3.punkts</w:t>
            </w:r>
          </w:p>
        </w:tc>
        <w:tc>
          <w:tcPr>
            <w:tcW w:w="2413" w:type="dxa"/>
            <w:tcBorders>
              <w:top w:val="single" w:sz="4" w:space="0" w:color="auto"/>
              <w:left w:val="single" w:sz="4" w:space="0" w:color="auto"/>
              <w:bottom w:val="single" w:sz="4" w:space="0" w:color="auto"/>
              <w:right w:val="single" w:sz="4" w:space="0" w:color="auto"/>
            </w:tcBorders>
          </w:tcPr>
          <w:p w14:paraId="3DB92F6E" w14:textId="464C2F2D"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56.punkts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45D7026" w14:textId="73BAB11A"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FA40579" w14:textId="180D8E80"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4D866430" w14:textId="77777777" w:rsidTr="0090527E">
        <w:tc>
          <w:tcPr>
            <w:tcW w:w="2552" w:type="dxa"/>
            <w:tcBorders>
              <w:top w:val="single" w:sz="4" w:space="0" w:color="auto"/>
              <w:left w:val="single" w:sz="4" w:space="0" w:color="auto"/>
              <w:bottom w:val="single" w:sz="4" w:space="0" w:color="auto"/>
              <w:right w:val="single" w:sz="4" w:space="0" w:color="auto"/>
            </w:tcBorders>
          </w:tcPr>
          <w:p w14:paraId="00713BB1" w14:textId="5B209160"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Pr>
          <w:p w14:paraId="130BABED" w14:textId="5C2937E4"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Vispārīga atsauce 57.punktā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1CF6689" w14:textId="34521300"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C9D6707" w14:textId="74A71838"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color w:val="000000"/>
                <w:sz w:val="24"/>
              </w:rPr>
              <w:t>Neparedz stingrākas prasības</w:t>
            </w:r>
          </w:p>
        </w:tc>
      </w:tr>
      <w:tr w:rsidR="003438D1" w:rsidRPr="007F5AE9" w14:paraId="78F8030C" w14:textId="77777777" w:rsidTr="0090527E">
        <w:tc>
          <w:tcPr>
            <w:tcW w:w="2552" w:type="dxa"/>
            <w:tcBorders>
              <w:top w:val="single" w:sz="4" w:space="0" w:color="auto"/>
              <w:left w:val="single" w:sz="4" w:space="0" w:color="auto"/>
              <w:bottom w:val="single" w:sz="12" w:space="0" w:color="auto"/>
              <w:right w:val="single" w:sz="4" w:space="0" w:color="auto"/>
            </w:tcBorders>
          </w:tcPr>
          <w:p w14:paraId="7558DE3F" w14:textId="495909E4"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Komisijas regulas Nr.1407/2013 8.pants</w:t>
            </w:r>
          </w:p>
        </w:tc>
        <w:tc>
          <w:tcPr>
            <w:tcW w:w="2413" w:type="dxa"/>
            <w:tcBorders>
              <w:top w:val="single" w:sz="4" w:space="0" w:color="auto"/>
              <w:left w:val="single" w:sz="4" w:space="0" w:color="auto"/>
              <w:bottom w:val="single" w:sz="12" w:space="0" w:color="auto"/>
              <w:right w:val="single" w:sz="4" w:space="0" w:color="auto"/>
            </w:tcBorders>
          </w:tcPr>
          <w:p w14:paraId="6D530196" w14:textId="4BAFB36D"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57.punkts</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2470BB39" w14:textId="2E8340EE"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12" w:space="0" w:color="auto"/>
              <w:right w:val="single" w:sz="4" w:space="0" w:color="auto"/>
            </w:tcBorders>
            <w:shd w:val="clear" w:color="auto" w:fill="auto"/>
          </w:tcPr>
          <w:p w14:paraId="13CB4A8F" w14:textId="21EEFBC7"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5A4C12B8" w14:textId="77777777" w:rsidTr="00A221D1">
        <w:tc>
          <w:tcPr>
            <w:tcW w:w="2552" w:type="dxa"/>
            <w:tcBorders>
              <w:top w:val="single" w:sz="12" w:space="0" w:color="auto"/>
              <w:left w:val="single" w:sz="4" w:space="0" w:color="auto"/>
              <w:bottom w:val="single" w:sz="4" w:space="0" w:color="auto"/>
              <w:right w:val="single" w:sz="4" w:space="0" w:color="auto"/>
            </w:tcBorders>
          </w:tcPr>
          <w:p w14:paraId="61998D30" w14:textId="743DD953" w:rsidR="003438D1" w:rsidRPr="007F5AE9" w:rsidRDefault="003438D1" w:rsidP="003438D1">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tcPr>
          <w:p w14:paraId="1CAE0AA6" w14:textId="061276CF" w:rsidR="003438D1" w:rsidRPr="00276343" w:rsidRDefault="003438D1" w:rsidP="003438D1">
            <w:pPr>
              <w:pStyle w:val="naiskr"/>
              <w:tabs>
                <w:tab w:val="left" w:pos="2628"/>
              </w:tabs>
              <w:spacing w:before="0" w:beforeAutospacing="0" w:after="0" w:afterAutospacing="0"/>
              <w:ind w:firstLine="114"/>
              <w:contextualSpacing/>
              <w:jc w:val="both"/>
            </w:pPr>
            <w:r>
              <w:rPr>
                <w:color w:val="000000"/>
                <w:lang w:eastAsia="en-US"/>
              </w:rPr>
              <w:t>R</w:t>
            </w:r>
            <w:r w:rsidRPr="007F5AE9">
              <w:rPr>
                <w:color w:val="000000"/>
                <w:lang w:eastAsia="en-US"/>
              </w:rPr>
              <w:t>egula Nr.1300/2013</w:t>
            </w:r>
          </w:p>
          <w:p w14:paraId="74396E5E" w14:textId="2DCEE15E" w:rsidR="003438D1" w:rsidRPr="00276343" w:rsidRDefault="003438D1" w:rsidP="003438D1">
            <w:pPr>
              <w:spacing w:after="0" w:line="240" w:lineRule="auto"/>
              <w:contextualSpacing/>
              <w:jc w:val="center"/>
              <w:rPr>
                <w:rFonts w:ascii="Times New Roman" w:hAnsi="Times New Roman"/>
                <w:sz w:val="24"/>
                <w:szCs w:val="24"/>
              </w:rPr>
            </w:pPr>
          </w:p>
        </w:tc>
      </w:tr>
      <w:tr w:rsidR="003438D1" w:rsidRPr="007F5AE9" w14:paraId="66D9222F" w14:textId="77777777" w:rsidTr="00CE4152">
        <w:tc>
          <w:tcPr>
            <w:tcW w:w="2552" w:type="dxa"/>
            <w:tcBorders>
              <w:top w:val="single" w:sz="4" w:space="0" w:color="auto"/>
              <w:left w:val="single" w:sz="4" w:space="0" w:color="auto"/>
              <w:bottom w:val="single" w:sz="4" w:space="0" w:color="auto"/>
              <w:right w:val="single" w:sz="4" w:space="0" w:color="auto"/>
            </w:tcBorders>
            <w:vAlign w:val="center"/>
          </w:tcPr>
          <w:p w14:paraId="17F89340" w14:textId="54BF0265" w:rsidR="003438D1" w:rsidRPr="007F5AE9" w:rsidRDefault="003438D1" w:rsidP="003438D1">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tcPr>
          <w:p w14:paraId="3635AB0F" w14:textId="3ECBAF6A" w:rsidR="003438D1" w:rsidRPr="007F5AE9" w:rsidRDefault="003438D1" w:rsidP="003438D1">
            <w:pPr>
              <w:spacing w:after="0" w:line="240" w:lineRule="auto"/>
              <w:contextualSpacing/>
              <w:jc w:val="center"/>
              <w:rPr>
                <w:rFonts w:ascii="Times New Roman" w:hAnsi="Times New Roman"/>
                <w:iCs/>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3F029C1" w14:textId="27153D5E"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F7E99A4" w14:textId="74DFFA0A"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D</w:t>
            </w:r>
          </w:p>
        </w:tc>
      </w:tr>
      <w:tr w:rsidR="003438D1" w:rsidRPr="007F5AE9" w14:paraId="7D10EA7E" w14:textId="77777777" w:rsidTr="0090527E">
        <w:tc>
          <w:tcPr>
            <w:tcW w:w="2552" w:type="dxa"/>
            <w:tcBorders>
              <w:top w:val="single" w:sz="4" w:space="0" w:color="auto"/>
              <w:left w:val="single" w:sz="4" w:space="0" w:color="auto"/>
              <w:bottom w:val="single" w:sz="12" w:space="0" w:color="auto"/>
              <w:right w:val="single" w:sz="4" w:space="0" w:color="auto"/>
            </w:tcBorders>
          </w:tcPr>
          <w:p w14:paraId="31C36DC4" w14:textId="3545A9F8" w:rsidR="003438D1" w:rsidRPr="007F5AE9" w:rsidRDefault="003438D1" w:rsidP="0090527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R</w:t>
            </w:r>
            <w:r w:rsidRPr="007F5AE9">
              <w:rPr>
                <w:rFonts w:ascii="Times New Roman" w:hAnsi="Times New Roman"/>
                <w:color w:val="000000"/>
                <w:sz w:val="24"/>
                <w:szCs w:val="24"/>
              </w:rPr>
              <w:t>egulas Nr.1300/2013 2.panta 2.punkts</w:t>
            </w:r>
          </w:p>
        </w:tc>
        <w:tc>
          <w:tcPr>
            <w:tcW w:w="2413" w:type="dxa"/>
            <w:tcBorders>
              <w:top w:val="single" w:sz="4" w:space="0" w:color="auto"/>
              <w:left w:val="single" w:sz="4" w:space="0" w:color="auto"/>
              <w:bottom w:val="single" w:sz="12" w:space="0" w:color="auto"/>
              <w:right w:val="single" w:sz="4" w:space="0" w:color="auto"/>
            </w:tcBorders>
          </w:tcPr>
          <w:p w14:paraId="3156B92B" w14:textId="68D6F269"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23.punkts</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670A6C9A" w14:textId="5A758FF2"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12" w:space="0" w:color="auto"/>
              <w:right w:val="single" w:sz="4" w:space="0" w:color="auto"/>
            </w:tcBorders>
            <w:shd w:val="clear" w:color="auto" w:fill="auto"/>
          </w:tcPr>
          <w:p w14:paraId="15F542D0" w14:textId="60E52106"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5F1FD749" w14:textId="77777777" w:rsidTr="00A221D1">
        <w:tc>
          <w:tcPr>
            <w:tcW w:w="2552" w:type="dxa"/>
            <w:tcBorders>
              <w:top w:val="single" w:sz="12" w:space="0" w:color="auto"/>
              <w:left w:val="single" w:sz="4" w:space="0" w:color="auto"/>
              <w:bottom w:val="single" w:sz="4" w:space="0" w:color="auto"/>
              <w:right w:val="single" w:sz="2" w:space="0" w:color="auto"/>
            </w:tcBorders>
          </w:tcPr>
          <w:p w14:paraId="448ECA71" w14:textId="43F7EEC4" w:rsidR="003438D1" w:rsidRPr="007F5AE9" w:rsidRDefault="003438D1" w:rsidP="003438D1">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2" w:space="0" w:color="auto"/>
              <w:bottom w:val="single" w:sz="4" w:space="0" w:color="auto"/>
              <w:right w:val="single" w:sz="4" w:space="0" w:color="auto"/>
            </w:tcBorders>
          </w:tcPr>
          <w:p w14:paraId="79EEF452" w14:textId="7DE58BC3" w:rsidR="003438D1" w:rsidRPr="00276343" w:rsidRDefault="003438D1" w:rsidP="003438D1">
            <w:pPr>
              <w:pStyle w:val="naiskr"/>
              <w:spacing w:before="0" w:beforeAutospacing="0" w:after="0" w:afterAutospacing="0"/>
              <w:ind w:firstLine="114"/>
              <w:contextualSpacing/>
              <w:jc w:val="both"/>
            </w:pPr>
            <w:r>
              <w:rPr>
                <w:color w:val="000000"/>
                <w:lang w:eastAsia="en-US"/>
              </w:rPr>
              <w:t>R</w:t>
            </w:r>
            <w:r w:rsidRPr="007F5AE9">
              <w:rPr>
                <w:color w:val="000000"/>
                <w:lang w:eastAsia="en-US"/>
              </w:rPr>
              <w:t>egula Nr.1303/2013</w:t>
            </w:r>
          </w:p>
        </w:tc>
      </w:tr>
      <w:tr w:rsidR="003438D1" w:rsidRPr="007F5AE9" w14:paraId="65768CCA" w14:textId="77777777" w:rsidTr="00A221D1">
        <w:tc>
          <w:tcPr>
            <w:tcW w:w="2552" w:type="dxa"/>
            <w:tcBorders>
              <w:top w:val="single" w:sz="4" w:space="0" w:color="auto"/>
              <w:left w:val="single" w:sz="4" w:space="0" w:color="auto"/>
              <w:bottom w:val="single" w:sz="4" w:space="0" w:color="auto"/>
              <w:right w:val="single" w:sz="2" w:space="0" w:color="auto"/>
            </w:tcBorders>
            <w:vAlign w:val="center"/>
          </w:tcPr>
          <w:p w14:paraId="12754313" w14:textId="1A60D8C3" w:rsidR="003438D1" w:rsidRPr="007F5AE9" w:rsidRDefault="003438D1" w:rsidP="003438D1">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A</w:t>
            </w:r>
          </w:p>
        </w:tc>
        <w:tc>
          <w:tcPr>
            <w:tcW w:w="2413" w:type="dxa"/>
            <w:tcBorders>
              <w:top w:val="single" w:sz="4" w:space="0" w:color="auto"/>
              <w:left w:val="single" w:sz="2" w:space="0" w:color="auto"/>
              <w:bottom w:val="single" w:sz="4" w:space="0" w:color="auto"/>
              <w:right w:val="single" w:sz="4" w:space="0" w:color="auto"/>
            </w:tcBorders>
          </w:tcPr>
          <w:p w14:paraId="379AE088" w14:textId="1068630C" w:rsidR="003438D1" w:rsidRPr="007F5AE9" w:rsidRDefault="003438D1" w:rsidP="003438D1">
            <w:pPr>
              <w:spacing w:after="0" w:line="240" w:lineRule="auto"/>
              <w:contextualSpacing/>
              <w:jc w:val="center"/>
              <w:rPr>
                <w:rFonts w:ascii="Times New Roman" w:hAnsi="Times New Roman"/>
                <w:iCs/>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BA496D3" w14:textId="0FAC6B4D"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43AF931" w14:textId="649D1554"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D</w:t>
            </w:r>
          </w:p>
        </w:tc>
      </w:tr>
      <w:tr w:rsidR="003438D1" w:rsidRPr="007F5AE9" w14:paraId="00D482BE" w14:textId="77777777" w:rsidTr="0090527E">
        <w:tc>
          <w:tcPr>
            <w:tcW w:w="2552" w:type="dxa"/>
            <w:tcBorders>
              <w:top w:val="single" w:sz="4" w:space="0" w:color="auto"/>
              <w:left w:val="single" w:sz="4" w:space="0" w:color="auto"/>
              <w:bottom w:val="single" w:sz="12" w:space="0" w:color="auto"/>
              <w:right w:val="single" w:sz="4" w:space="0" w:color="auto"/>
            </w:tcBorders>
          </w:tcPr>
          <w:p w14:paraId="443C801C" w14:textId="798CBC38" w:rsidR="003438D1" w:rsidRPr="007F5AE9" w:rsidRDefault="003438D1" w:rsidP="0090527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R</w:t>
            </w:r>
            <w:r w:rsidRPr="007F5AE9">
              <w:rPr>
                <w:rFonts w:ascii="Times New Roman" w:hAnsi="Times New Roman"/>
                <w:color w:val="000000"/>
                <w:sz w:val="24"/>
                <w:szCs w:val="24"/>
              </w:rPr>
              <w:t>egulas Nr.1303/2013 XII pielikuma 2.2.apakšpunkts</w:t>
            </w:r>
          </w:p>
        </w:tc>
        <w:tc>
          <w:tcPr>
            <w:tcW w:w="2413" w:type="dxa"/>
            <w:tcBorders>
              <w:top w:val="single" w:sz="4" w:space="0" w:color="auto"/>
              <w:left w:val="single" w:sz="4" w:space="0" w:color="auto"/>
              <w:bottom w:val="single" w:sz="12" w:space="0" w:color="auto"/>
              <w:right w:val="single" w:sz="4" w:space="0" w:color="auto"/>
            </w:tcBorders>
          </w:tcPr>
          <w:p w14:paraId="600B98F9" w14:textId="5B9180EB"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39.punkts</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37F86A64" w14:textId="55A34726"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12" w:space="0" w:color="auto"/>
              <w:right w:val="single" w:sz="4" w:space="0" w:color="auto"/>
            </w:tcBorders>
            <w:shd w:val="clear" w:color="auto" w:fill="auto"/>
          </w:tcPr>
          <w:p w14:paraId="50164150" w14:textId="1C0718D2"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59DB91B8" w14:textId="77777777" w:rsidTr="0090527E">
        <w:tc>
          <w:tcPr>
            <w:tcW w:w="4965" w:type="dxa"/>
            <w:gridSpan w:val="2"/>
            <w:tcBorders>
              <w:top w:val="single" w:sz="4" w:space="0" w:color="auto"/>
              <w:left w:val="single" w:sz="4" w:space="0" w:color="auto"/>
              <w:bottom w:val="single" w:sz="4" w:space="0" w:color="auto"/>
              <w:right w:val="single" w:sz="4" w:space="0" w:color="auto"/>
            </w:tcBorders>
            <w:hideMark/>
          </w:tcPr>
          <w:p w14:paraId="23249839" w14:textId="77777777"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Kā ir izmantota ES tiesību aktā paredzētā rīcības brīvība dalībvalstij pārņemt vai ieviest noteiktas ES tiesību akta normas?</w:t>
            </w:r>
          </w:p>
          <w:p w14:paraId="4DF081DF" w14:textId="77777777" w:rsidR="003438D1" w:rsidRPr="007F5AE9" w:rsidRDefault="003438D1" w:rsidP="0090527E">
            <w:pPr>
              <w:spacing w:after="0" w:line="240" w:lineRule="auto"/>
              <w:contextualSpacing/>
              <w:rPr>
                <w:rFonts w:ascii="Times New Roman" w:hAnsi="Times New Roman"/>
                <w:i/>
                <w:color w:val="000000"/>
                <w:sz w:val="24"/>
                <w:szCs w:val="24"/>
              </w:rPr>
            </w:pPr>
            <w:r w:rsidRPr="007F5AE9">
              <w:rPr>
                <w:rFonts w:ascii="Times New Roman" w:hAnsi="Times New Roman"/>
                <w:color w:val="000000"/>
                <w:sz w:val="24"/>
                <w:szCs w:val="24"/>
              </w:rPr>
              <w:t>Kādēļ?</w:t>
            </w:r>
          </w:p>
        </w:tc>
        <w:tc>
          <w:tcPr>
            <w:tcW w:w="4391" w:type="dxa"/>
            <w:gridSpan w:val="2"/>
            <w:tcBorders>
              <w:top w:val="single" w:sz="4" w:space="0" w:color="auto"/>
              <w:left w:val="single" w:sz="4" w:space="0" w:color="auto"/>
              <w:bottom w:val="single" w:sz="4" w:space="0" w:color="auto"/>
              <w:right w:val="single" w:sz="4" w:space="0" w:color="auto"/>
            </w:tcBorders>
            <w:hideMark/>
          </w:tcPr>
          <w:p w14:paraId="1EB32693" w14:textId="1EE6F227" w:rsidR="003438D1" w:rsidRPr="007F5AE9" w:rsidRDefault="003438D1" w:rsidP="0090527E">
            <w:pPr>
              <w:spacing w:after="0" w:line="240" w:lineRule="auto"/>
              <w:contextualSpacing/>
              <w:rPr>
                <w:rFonts w:ascii="Times New Roman" w:hAnsi="Times New Roman"/>
                <w:color w:val="000000"/>
                <w:sz w:val="24"/>
                <w:szCs w:val="24"/>
              </w:rPr>
            </w:pPr>
            <w:r>
              <w:rPr>
                <w:rFonts w:ascii="Times New Roman" w:hAnsi="Times New Roman"/>
                <w:iCs/>
                <w:color w:val="000000"/>
                <w:sz w:val="24"/>
                <w:szCs w:val="24"/>
              </w:rPr>
              <w:t>P</w:t>
            </w:r>
            <w:r w:rsidRPr="007F5AE9">
              <w:rPr>
                <w:rFonts w:ascii="Times New Roman" w:hAnsi="Times New Roman"/>
                <w:iCs/>
                <w:color w:val="000000"/>
                <w:sz w:val="24"/>
                <w:szCs w:val="24"/>
              </w:rPr>
              <w:t>rojekts šo jomu neskar.</w:t>
            </w:r>
          </w:p>
        </w:tc>
      </w:tr>
      <w:tr w:rsidR="003438D1" w:rsidRPr="007F5AE9" w14:paraId="7D06A7EB" w14:textId="77777777" w:rsidTr="0090527E">
        <w:tc>
          <w:tcPr>
            <w:tcW w:w="4965" w:type="dxa"/>
            <w:gridSpan w:val="2"/>
            <w:tcBorders>
              <w:top w:val="single" w:sz="4" w:space="0" w:color="auto"/>
              <w:left w:val="single" w:sz="4" w:space="0" w:color="auto"/>
              <w:bottom w:val="single" w:sz="4" w:space="0" w:color="auto"/>
              <w:right w:val="single" w:sz="4" w:space="0" w:color="auto"/>
            </w:tcBorders>
            <w:hideMark/>
          </w:tcPr>
          <w:p w14:paraId="57722226" w14:textId="77777777" w:rsidR="003438D1" w:rsidRPr="007F5AE9" w:rsidRDefault="003438D1" w:rsidP="0090527E">
            <w:pPr>
              <w:spacing w:after="0" w:line="240" w:lineRule="auto"/>
              <w:contextualSpacing/>
              <w:rPr>
                <w:rFonts w:ascii="Times New Roman" w:hAnsi="Times New Roman"/>
                <w:i/>
                <w:color w:val="000000"/>
                <w:sz w:val="24"/>
                <w:szCs w:val="24"/>
              </w:rPr>
            </w:pPr>
            <w:r w:rsidRPr="007F5AE9">
              <w:rPr>
                <w:rFonts w:ascii="Times New Roman" w:hAnsi="Times New Roman"/>
                <w:color w:val="000000"/>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391" w:type="dxa"/>
            <w:gridSpan w:val="2"/>
            <w:tcBorders>
              <w:top w:val="single" w:sz="4" w:space="0" w:color="auto"/>
              <w:left w:val="single" w:sz="4" w:space="0" w:color="auto"/>
              <w:bottom w:val="single" w:sz="4" w:space="0" w:color="auto"/>
              <w:right w:val="single" w:sz="4" w:space="0" w:color="auto"/>
            </w:tcBorders>
            <w:hideMark/>
          </w:tcPr>
          <w:p w14:paraId="5094F1A2" w14:textId="33CB5192" w:rsidR="003438D1" w:rsidRPr="007F5AE9" w:rsidRDefault="003438D1" w:rsidP="0090527E">
            <w:pPr>
              <w:spacing w:after="0" w:line="240" w:lineRule="auto"/>
              <w:contextualSpacing/>
              <w:jc w:val="both"/>
              <w:rPr>
                <w:rFonts w:ascii="Times New Roman" w:hAnsi="Times New Roman"/>
                <w:color w:val="000000"/>
                <w:sz w:val="24"/>
                <w:szCs w:val="24"/>
              </w:rPr>
            </w:pPr>
            <w:r w:rsidRPr="007F5AE9">
              <w:rPr>
                <w:rFonts w:ascii="Times New Roman" w:eastAsia="Times New Roman" w:hAnsi="Times New Roman"/>
                <w:sz w:val="24"/>
                <w:szCs w:val="24"/>
              </w:rPr>
              <w:t xml:space="preserve">Saskaņā ar Komisijas Regulas Nr.651/2014 11.pantu </w:t>
            </w:r>
            <w:r>
              <w:rPr>
                <w:rFonts w:ascii="Times New Roman" w:eastAsia="Times New Roman" w:hAnsi="Times New Roman"/>
                <w:sz w:val="24"/>
                <w:szCs w:val="24"/>
              </w:rPr>
              <w:t>Ekonomikas ministrija</w:t>
            </w:r>
            <w:r w:rsidRPr="007F5AE9">
              <w:rPr>
                <w:rFonts w:ascii="Times New Roman" w:eastAsia="Times New Roman" w:hAnsi="Times New Roman"/>
                <w:sz w:val="24"/>
                <w:szCs w:val="24"/>
              </w:rPr>
              <w:t xml:space="preserve"> 20 darba dienu laikā pēc šī Ministru kabineta noteikumu projekta apstiprināšanas </w:t>
            </w:r>
            <w:proofErr w:type="spellStart"/>
            <w:r>
              <w:rPr>
                <w:rFonts w:ascii="Times New Roman" w:eastAsia="Times New Roman" w:hAnsi="Times New Roman"/>
                <w:sz w:val="24"/>
                <w:szCs w:val="24"/>
              </w:rPr>
              <w:t>nosūta</w:t>
            </w:r>
            <w:proofErr w:type="spellEnd"/>
            <w:r w:rsidRPr="007F5AE9">
              <w:rPr>
                <w:rFonts w:ascii="Times New Roman" w:eastAsia="Times New Roman" w:hAnsi="Times New Roman"/>
                <w:sz w:val="24"/>
                <w:szCs w:val="24"/>
              </w:rPr>
              <w:t xml:space="preserve"> </w:t>
            </w:r>
            <w:r>
              <w:rPr>
                <w:rFonts w:ascii="Times New Roman" w:eastAsia="Times New Roman" w:hAnsi="Times New Roman"/>
                <w:sz w:val="24"/>
                <w:szCs w:val="24"/>
              </w:rPr>
              <w:t xml:space="preserve">Eiropas Komisijai </w:t>
            </w:r>
            <w:r w:rsidRPr="007F5AE9">
              <w:rPr>
                <w:rFonts w:ascii="Times New Roman" w:eastAsia="Times New Roman" w:hAnsi="Times New Roman"/>
                <w:sz w:val="24"/>
                <w:szCs w:val="24"/>
              </w:rPr>
              <w:t>kopsavilkuma informācij</w:t>
            </w:r>
            <w:r>
              <w:rPr>
                <w:rFonts w:ascii="Times New Roman" w:eastAsia="Times New Roman" w:hAnsi="Times New Roman"/>
                <w:sz w:val="24"/>
                <w:szCs w:val="24"/>
              </w:rPr>
              <w:t>u</w:t>
            </w:r>
            <w:r w:rsidRPr="007F5AE9">
              <w:rPr>
                <w:rFonts w:ascii="Times New Roman" w:eastAsia="Times New Roman" w:hAnsi="Times New Roman"/>
                <w:sz w:val="24"/>
                <w:szCs w:val="24"/>
              </w:rPr>
              <w:t xml:space="preserve"> par šo atbalsta pasākumu.</w:t>
            </w:r>
          </w:p>
        </w:tc>
      </w:tr>
      <w:tr w:rsidR="003438D1" w:rsidRPr="007F5AE9" w14:paraId="75F2A850" w14:textId="77777777" w:rsidTr="0090527E">
        <w:tc>
          <w:tcPr>
            <w:tcW w:w="4965" w:type="dxa"/>
            <w:gridSpan w:val="2"/>
            <w:tcBorders>
              <w:top w:val="single" w:sz="4" w:space="0" w:color="auto"/>
              <w:left w:val="single" w:sz="4" w:space="0" w:color="auto"/>
              <w:bottom w:val="single" w:sz="4" w:space="0" w:color="auto"/>
              <w:right w:val="single" w:sz="4" w:space="0" w:color="auto"/>
            </w:tcBorders>
            <w:hideMark/>
          </w:tcPr>
          <w:p w14:paraId="0364DAEF" w14:textId="77777777" w:rsidR="003438D1" w:rsidRPr="007F5AE9" w:rsidRDefault="003438D1" w:rsidP="0090527E">
            <w:pPr>
              <w:pStyle w:val="naiskr"/>
              <w:spacing w:before="0" w:beforeAutospacing="0" w:after="0" w:afterAutospacing="0"/>
              <w:contextualSpacing/>
              <w:rPr>
                <w:i/>
                <w:color w:val="000000"/>
                <w:lang w:eastAsia="en-US"/>
              </w:rPr>
            </w:pPr>
            <w:r w:rsidRPr="007F5AE9">
              <w:rPr>
                <w:color w:val="000000"/>
                <w:lang w:eastAsia="en-US"/>
              </w:rPr>
              <w:t>Cita informācija</w:t>
            </w:r>
          </w:p>
        </w:tc>
        <w:tc>
          <w:tcPr>
            <w:tcW w:w="4391" w:type="dxa"/>
            <w:gridSpan w:val="2"/>
            <w:tcBorders>
              <w:top w:val="single" w:sz="4" w:space="0" w:color="auto"/>
              <w:left w:val="single" w:sz="4" w:space="0" w:color="auto"/>
              <w:bottom w:val="single" w:sz="4" w:space="0" w:color="auto"/>
              <w:right w:val="single" w:sz="4" w:space="0" w:color="auto"/>
            </w:tcBorders>
            <w:hideMark/>
          </w:tcPr>
          <w:p w14:paraId="4F2FC057" w14:textId="1A050EEE"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Nav</w:t>
            </w:r>
          </w:p>
        </w:tc>
      </w:tr>
    </w:tbl>
    <w:p w14:paraId="3FF0EE5A" w14:textId="77777777" w:rsidR="00F7481B" w:rsidRPr="0090527E" w:rsidRDefault="00F7481B" w:rsidP="0090527E">
      <w:pPr>
        <w:spacing w:after="0" w:line="240" w:lineRule="auto"/>
        <w:contextualSpacing/>
        <w:rPr>
          <w:rFonts w:ascii="Times New Roman" w:hAnsi="Times New Roman"/>
          <w:sz w:val="24"/>
        </w:rPr>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426"/>
        <w:gridCol w:w="3543"/>
        <w:gridCol w:w="5387"/>
      </w:tblGrid>
      <w:tr w:rsidR="009A312E" w:rsidRPr="007F5AE9" w14:paraId="051EE9BB" w14:textId="77777777" w:rsidTr="0090527E">
        <w:tc>
          <w:tcPr>
            <w:tcW w:w="9356" w:type="dxa"/>
            <w:gridSpan w:val="3"/>
            <w:tcBorders>
              <w:top w:val="single" w:sz="4" w:space="0" w:color="auto"/>
              <w:left w:val="single" w:sz="4" w:space="0" w:color="auto"/>
              <w:bottom w:val="single" w:sz="4" w:space="0" w:color="auto"/>
              <w:right w:val="single" w:sz="4" w:space="0" w:color="auto"/>
            </w:tcBorders>
            <w:hideMark/>
          </w:tcPr>
          <w:p w14:paraId="372AEEFB" w14:textId="77777777" w:rsidR="009A312E" w:rsidRPr="007F5AE9" w:rsidRDefault="009A312E" w:rsidP="0090527E">
            <w:pPr>
              <w:spacing w:after="0" w:line="240" w:lineRule="auto"/>
              <w:contextualSpacing/>
              <w:jc w:val="center"/>
              <w:rPr>
                <w:rFonts w:ascii="Times New Roman" w:eastAsia="Times New Roman" w:hAnsi="Times New Roman"/>
                <w:b/>
                <w:sz w:val="24"/>
                <w:szCs w:val="24"/>
                <w:lang w:eastAsia="lv-LV"/>
              </w:rPr>
            </w:pPr>
            <w:r w:rsidRPr="007F5AE9">
              <w:rPr>
                <w:rFonts w:ascii="Times New Roman" w:hAnsi="Times New Roman"/>
                <w:b/>
                <w:bCs/>
                <w:sz w:val="24"/>
                <w:szCs w:val="24"/>
              </w:rPr>
              <w:t>VI. Sabiedrības līdzdalība un komunikācijas aktivitātes</w:t>
            </w:r>
          </w:p>
        </w:tc>
      </w:tr>
      <w:tr w:rsidR="00F7481B" w:rsidRPr="007F5AE9" w14:paraId="500C365C" w14:textId="77777777" w:rsidTr="0090527E">
        <w:tc>
          <w:tcPr>
            <w:tcW w:w="426" w:type="dxa"/>
            <w:tcBorders>
              <w:top w:val="single" w:sz="4" w:space="0" w:color="auto"/>
              <w:left w:val="single" w:sz="4" w:space="0" w:color="auto"/>
              <w:bottom w:val="single" w:sz="4" w:space="0" w:color="auto"/>
              <w:right w:val="single" w:sz="4" w:space="0" w:color="auto"/>
            </w:tcBorders>
            <w:hideMark/>
          </w:tcPr>
          <w:p w14:paraId="0DF9568C"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1.</w:t>
            </w:r>
          </w:p>
        </w:tc>
        <w:tc>
          <w:tcPr>
            <w:tcW w:w="3543" w:type="dxa"/>
            <w:tcBorders>
              <w:top w:val="single" w:sz="4" w:space="0" w:color="auto"/>
              <w:left w:val="single" w:sz="4" w:space="0" w:color="auto"/>
              <w:bottom w:val="single" w:sz="4" w:space="0" w:color="auto"/>
              <w:right w:val="single" w:sz="4" w:space="0" w:color="auto"/>
            </w:tcBorders>
            <w:hideMark/>
          </w:tcPr>
          <w:p w14:paraId="3179E166" w14:textId="77777777" w:rsidR="00F7481B" w:rsidRPr="007F5AE9" w:rsidRDefault="00F7481B" w:rsidP="0090527E">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hAnsi="Times New Roman"/>
                <w:sz w:val="24"/>
                <w:szCs w:val="24"/>
              </w:rPr>
              <w:t>Plānotās sabiedrības līdzdalības un komunikācijas aktivitātes saistībā ar projektu</w:t>
            </w:r>
          </w:p>
        </w:tc>
        <w:tc>
          <w:tcPr>
            <w:tcW w:w="5387" w:type="dxa"/>
            <w:tcBorders>
              <w:top w:val="single" w:sz="4" w:space="0" w:color="auto"/>
              <w:left w:val="single" w:sz="4" w:space="0" w:color="auto"/>
              <w:bottom w:val="single" w:sz="4" w:space="0" w:color="auto"/>
              <w:right w:val="single" w:sz="4" w:space="0" w:color="auto"/>
            </w:tcBorders>
          </w:tcPr>
          <w:p w14:paraId="6282983E" w14:textId="56FD3E83" w:rsidR="00F7481B" w:rsidRDefault="00F7481B" w:rsidP="0090527E">
            <w:pPr>
              <w:spacing w:after="0" w:line="240" w:lineRule="auto"/>
              <w:ind w:firstLine="223"/>
              <w:contextualSpacing/>
              <w:jc w:val="both"/>
              <w:rPr>
                <w:rFonts w:ascii="Times New Roman" w:hAnsi="Times New Roman"/>
                <w:sz w:val="24"/>
                <w:szCs w:val="24"/>
              </w:rPr>
            </w:pPr>
            <w:r w:rsidRPr="007F5AE9">
              <w:rPr>
                <w:rFonts w:ascii="Times New Roman" w:hAnsi="Times New Roman"/>
                <w:sz w:val="24"/>
                <w:szCs w:val="24"/>
              </w:rPr>
              <w:t>Atbilstoši normatīvo aktu prasībām informācij</w:t>
            </w:r>
            <w:r w:rsidR="006B4EF7">
              <w:rPr>
                <w:rFonts w:ascii="Times New Roman" w:hAnsi="Times New Roman"/>
                <w:sz w:val="24"/>
                <w:szCs w:val="24"/>
              </w:rPr>
              <w:t>a</w:t>
            </w:r>
            <w:r w:rsidRPr="007F5AE9">
              <w:rPr>
                <w:rFonts w:ascii="Times New Roman" w:hAnsi="Times New Roman"/>
                <w:sz w:val="24"/>
                <w:szCs w:val="24"/>
              </w:rPr>
              <w:t xml:space="preserve"> par noteikumu projektu un tā virzību</w:t>
            </w:r>
            <w:r w:rsidR="00534C65">
              <w:rPr>
                <w:rFonts w:ascii="Times New Roman" w:hAnsi="Times New Roman"/>
                <w:sz w:val="24"/>
                <w:szCs w:val="24"/>
              </w:rPr>
              <w:t xml:space="preserve"> </w:t>
            </w:r>
            <w:r w:rsidR="005B7262">
              <w:rPr>
                <w:rFonts w:ascii="Times New Roman" w:hAnsi="Times New Roman"/>
                <w:sz w:val="24"/>
                <w:szCs w:val="24"/>
              </w:rPr>
              <w:t xml:space="preserve">tiek </w:t>
            </w:r>
            <w:r w:rsidR="005B7262" w:rsidRPr="007F5AE9">
              <w:rPr>
                <w:rFonts w:ascii="Times New Roman" w:hAnsi="Times New Roman"/>
                <w:sz w:val="24"/>
                <w:szCs w:val="24"/>
              </w:rPr>
              <w:t>publicē</w:t>
            </w:r>
            <w:r w:rsidR="005B7262">
              <w:rPr>
                <w:rFonts w:ascii="Times New Roman" w:hAnsi="Times New Roman"/>
                <w:sz w:val="24"/>
                <w:szCs w:val="24"/>
              </w:rPr>
              <w:t>ta</w:t>
            </w:r>
            <w:r w:rsidR="005B7262" w:rsidRPr="007F5AE9">
              <w:rPr>
                <w:rFonts w:ascii="Times New Roman" w:hAnsi="Times New Roman"/>
                <w:sz w:val="24"/>
                <w:szCs w:val="24"/>
              </w:rPr>
              <w:t xml:space="preserve"> </w:t>
            </w:r>
            <w:r w:rsidR="00534C65" w:rsidRPr="007F5AE9">
              <w:rPr>
                <w:rFonts w:ascii="Times New Roman" w:hAnsi="Times New Roman"/>
                <w:sz w:val="24"/>
                <w:szCs w:val="24"/>
              </w:rPr>
              <w:t>Ekonomikas ministrija</w:t>
            </w:r>
            <w:r w:rsidR="00534C65">
              <w:rPr>
                <w:rFonts w:ascii="Times New Roman" w:hAnsi="Times New Roman"/>
                <w:sz w:val="24"/>
                <w:szCs w:val="24"/>
              </w:rPr>
              <w:t>s</w:t>
            </w:r>
            <w:r w:rsidR="00534C65" w:rsidRPr="007F5AE9">
              <w:rPr>
                <w:rFonts w:ascii="Times New Roman" w:hAnsi="Times New Roman"/>
                <w:sz w:val="24"/>
                <w:szCs w:val="24"/>
              </w:rPr>
              <w:t xml:space="preserve"> </w:t>
            </w:r>
            <w:r w:rsidR="00534C65" w:rsidRPr="007F5AE9">
              <w:rPr>
                <w:rFonts w:ascii="Times New Roman" w:hAnsi="Times New Roman"/>
                <w:iCs/>
                <w:color w:val="000000"/>
                <w:sz w:val="24"/>
                <w:szCs w:val="24"/>
              </w:rPr>
              <w:t>tīmekļa</w:t>
            </w:r>
            <w:r w:rsidR="00534C65" w:rsidRPr="007F5AE9">
              <w:rPr>
                <w:rFonts w:ascii="Times New Roman" w:hAnsi="Times New Roman"/>
                <w:sz w:val="24"/>
                <w:szCs w:val="24"/>
              </w:rPr>
              <w:t xml:space="preserve"> vietnē</w:t>
            </w:r>
            <w:r w:rsidRPr="007F5AE9">
              <w:rPr>
                <w:rFonts w:ascii="Times New Roman" w:hAnsi="Times New Roman"/>
                <w:sz w:val="24"/>
                <w:szCs w:val="24"/>
              </w:rPr>
              <w:t>.</w:t>
            </w:r>
          </w:p>
          <w:p w14:paraId="185EA008" w14:textId="77777777" w:rsidR="005422DA" w:rsidRDefault="00343B6A" w:rsidP="005422DA">
            <w:pPr>
              <w:spacing w:after="0" w:line="240" w:lineRule="auto"/>
              <w:ind w:right="130" w:firstLine="170"/>
              <w:contextualSpacing/>
              <w:jc w:val="both"/>
              <w:rPr>
                <w:rFonts w:ascii="Times New Roman" w:eastAsia="Times New Roman" w:hAnsi="Times New Roman"/>
                <w:iCs/>
                <w:sz w:val="24"/>
                <w:szCs w:val="24"/>
                <w:lang w:eastAsia="lv-LV"/>
              </w:rPr>
            </w:pPr>
            <w:hyperlink r:id="rId8" w:history="1">
              <w:r w:rsidR="005422DA" w:rsidRPr="000E36D8">
                <w:rPr>
                  <w:rStyle w:val="Hyperlink"/>
                  <w:rFonts w:ascii="Times New Roman" w:eastAsia="Times New Roman" w:hAnsi="Times New Roman"/>
                  <w:iCs/>
                  <w:sz w:val="24"/>
                  <w:szCs w:val="24"/>
                  <w:lang w:eastAsia="lv-LV"/>
                </w:rPr>
                <w:t>https://em.gov.lv/lv/par_ministriju/sabiedribas_lidzdaliba/diskusiju_dokumenti/</w:t>
              </w:r>
            </w:hyperlink>
          </w:p>
          <w:p w14:paraId="012E1872" w14:textId="0F3A8CF2" w:rsidR="005422DA" w:rsidRDefault="005422DA" w:rsidP="005422DA">
            <w:pPr>
              <w:spacing w:after="0" w:line="240" w:lineRule="auto"/>
              <w:ind w:right="130" w:firstLine="17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Tāpat </w:t>
            </w:r>
            <w:r w:rsidRPr="008D6DF4">
              <w:rPr>
                <w:rFonts w:ascii="Times New Roman" w:eastAsia="Times New Roman" w:hAnsi="Times New Roman"/>
                <w:iCs/>
                <w:sz w:val="24"/>
                <w:szCs w:val="24"/>
                <w:lang w:eastAsia="lv-LV"/>
              </w:rPr>
              <w:t xml:space="preserve">Noteikumu projekts ir publicēts </w:t>
            </w:r>
            <w:r>
              <w:rPr>
                <w:rFonts w:ascii="Times New Roman" w:eastAsia="Times New Roman" w:hAnsi="Times New Roman"/>
                <w:iCs/>
                <w:sz w:val="24"/>
                <w:szCs w:val="24"/>
                <w:lang w:eastAsia="lv-LV"/>
              </w:rPr>
              <w:t xml:space="preserve">Ministru kabineta </w:t>
            </w:r>
            <w:r w:rsidRPr="008D6DF4">
              <w:rPr>
                <w:rFonts w:ascii="Times New Roman" w:hAnsi="Times New Roman"/>
                <w:sz w:val="24"/>
                <w:szCs w:val="24"/>
              </w:rPr>
              <w:t>tīmekļa</w:t>
            </w:r>
            <w:r w:rsidRPr="008D6DF4">
              <w:rPr>
                <w:rFonts w:ascii="Times New Roman" w:eastAsia="Times New Roman" w:hAnsi="Times New Roman"/>
                <w:iCs/>
                <w:sz w:val="24"/>
                <w:szCs w:val="24"/>
                <w:lang w:eastAsia="lv-LV"/>
              </w:rPr>
              <w:t xml:space="preserve"> vietnē</w:t>
            </w:r>
            <w:r>
              <w:rPr>
                <w:rFonts w:ascii="Times New Roman" w:eastAsia="Times New Roman" w:hAnsi="Times New Roman"/>
                <w:iCs/>
                <w:sz w:val="24"/>
                <w:szCs w:val="24"/>
                <w:lang w:eastAsia="lv-LV"/>
              </w:rPr>
              <w:t>:</w:t>
            </w:r>
          </w:p>
          <w:p w14:paraId="2BC8C3CC" w14:textId="159C4E84" w:rsidR="00F7481B" w:rsidRPr="007F5AE9" w:rsidRDefault="00343B6A" w:rsidP="0090527E">
            <w:pPr>
              <w:spacing w:after="0" w:line="240" w:lineRule="auto"/>
              <w:ind w:firstLine="223"/>
              <w:contextualSpacing/>
              <w:jc w:val="both"/>
              <w:rPr>
                <w:rFonts w:ascii="Times New Roman" w:hAnsi="Times New Roman"/>
                <w:sz w:val="24"/>
                <w:szCs w:val="24"/>
              </w:rPr>
            </w:pPr>
            <w:hyperlink r:id="rId9" w:history="1">
              <w:r w:rsidR="005422DA" w:rsidRPr="000E36D8">
                <w:rPr>
                  <w:rStyle w:val="Hyperlink"/>
                  <w:rFonts w:ascii="Times New Roman" w:eastAsia="Times New Roman" w:hAnsi="Times New Roman"/>
                  <w:iCs/>
                  <w:sz w:val="24"/>
                  <w:szCs w:val="24"/>
                  <w:lang w:eastAsia="lv-LV"/>
                </w:rPr>
                <w:t>https://www.mk.gov.lv/content/ministru-kabineta-diskusiju-dokumenti</w:t>
              </w:r>
            </w:hyperlink>
          </w:p>
        </w:tc>
      </w:tr>
      <w:tr w:rsidR="00F7481B" w:rsidRPr="007F5AE9" w14:paraId="2F9C45F7" w14:textId="77777777" w:rsidTr="0090527E">
        <w:tc>
          <w:tcPr>
            <w:tcW w:w="426" w:type="dxa"/>
            <w:tcBorders>
              <w:top w:val="single" w:sz="4" w:space="0" w:color="auto"/>
              <w:left w:val="single" w:sz="4" w:space="0" w:color="auto"/>
              <w:bottom w:val="single" w:sz="4" w:space="0" w:color="auto"/>
              <w:right w:val="single" w:sz="4" w:space="0" w:color="auto"/>
            </w:tcBorders>
            <w:hideMark/>
          </w:tcPr>
          <w:p w14:paraId="7F8E4BAC"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2.</w:t>
            </w:r>
          </w:p>
        </w:tc>
        <w:tc>
          <w:tcPr>
            <w:tcW w:w="3543" w:type="dxa"/>
            <w:tcBorders>
              <w:top w:val="single" w:sz="4" w:space="0" w:color="auto"/>
              <w:left w:val="single" w:sz="4" w:space="0" w:color="auto"/>
              <w:bottom w:val="single" w:sz="4" w:space="0" w:color="auto"/>
              <w:right w:val="single" w:sz="4" w:space="0" w:color="auto"/>
            </w:tcBorders>
            <w:hideMark/>
          </w:tcPr>
          <w:p w14:paraId="10FA070A" w14:textId="77777777" w:rsidR="00F7481B" w:rsidRPr="007F5AE9" w:rsidRDefault="00F7481B" w:rsidP="0090527E">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hAnsi="Times New Roman"/>
                <w:sz w:val="24"/>
                <w:szCs w:val="24"/>
              </w:rPr>
              <w:t>Sabiedrības līdzdalība projekta izstrādē</w:t>
            </w:r>
          </w:p>
        </w:tc>
        <w:tc>
          <w:tcPr>
            <w:tcW w:w="5387" w:type="dxa"/>
            <w:tcBorders>
              <w:top w:val="single" w:sz="4" w:space="0" w:color="auto"/>
              <w:left w:val="single" w:sz="4" w:space="0" w:color="auto"/>
              <w:bottom w:val="single" w:sz="4" w:space="0" w:color="auto"/>
              <w:right w:val="single" w:sz="4" w:space="0" w:color="auto"/>
            </w:tcBorders>
          </w:tcPr>
          <w:p w14:paraId="383F307E" w14:textId="07C9CCC7" w:rsidR="00EC4BDA" w:rsidRDefault="00EC4BDA" w:rsidP="00EC4BDA">
            <w:pPr>
              <w:spacing w:after="0" w:line="240" w:lineRule="auto"/>
              <w:ind w:firstLine="225"/>
              <w:contextualSpacing/>
              <w:jc w:val="both"/>
              <w:rPr>
                <w:rFonts w:ascii="Times New Roman" w:eastAsia="Times New Roman" w:hAnsi="Times New Roman"/>
                <w:iCs/>
                <w:sz w:val="24"/>
                <w:szCs w:val="24"/>
                <w:lang w:eastAsia="lv-LV"/>
              </w:rPr>
            </w:pPr>
            <w:r w:rsidRPr="007F5AE9">
              <w:rPr>
                <w:rFonts w:ascii="Times New Roman" w:hAnsi="Times New Roman"/>
                <w:sz w:val="24"/>
                <w:szCs w:val="24"/>
              </w:rPr>
              <w:t>SAM 4.1.1. projektu iesniegumu vērtēšanas kritēriji tiks saskaņoti Eiropas Savienības struktūrfondu un Kohēzijas fonda 2014.–2020.gada plānošanas perioda Uzraudzības komitejā, kuras sastāvā ir iekļauti arī sociālie, nevalstiskā sektora un reģionālie partneri.</w:t>
            </w:r>
          </w:p>
          <w:p w14:paraId="62ECC05B" w14:textId="06D5197B" w:rsidR="00F7481B" w:rsidRPr="007F5AE9" w:rsidRDefault="002B2408" w:rsidP="0090527E">
            <w:pPr>
              <w:spacing w:after="0" w:line="240" w:lineRule="auto"/>
              <w:ind w:firstLine="225"/>
              <w:contextualSpacing/>
              <w:jc w:val="both"/>
              <w:rPr>
                <w:rFonts w:ascii="Times New Roman" w:eastAsia="Times New Roman" w:hAnsi="Times New Roman"/>
                <w:iCs/>
                <w:sz w:val="24"/>
                <w:szCs w:val="24"/>
                <w:highlight w:val="yellow"/>
                <w:lang w:eastAsia="lv-LV"/>
              </w:rPr>
            </w:pPr>
            <w:r w:rsidRPr="007F5AE9">
              <w:rPr>
                <w:rFonts w:ascii="Times New Roman" w:eastAsia="Times New Roman" w:hAnsi="Times New Roman"/>
                <w:iCs/>
                <w:sz w:val="24"/>
                <w:szCs w:val="24"/>
                <w:lang w:eastAsia="lv-LV"/>
              </w:rPr>
              <w:t xml:space="preserve">Noteikumu projekts ir publicēts Ekonomikas ministrijas </w:t>
            </w:r>
            <w:r w:rsidR="00467648">
              <w:rPr>
                <w:rFonts w:ascii="Times New Roman" w:eastAsia="Times New Roman" w:hAnsi="Times New Roman"/>
                <w:iCs/>
                <w:sz w:val="24"/>
                <w:szCs w:val="24"/>
                <w:lang w:eastAsia="lv-LV"/>
              </w:rPr>
              <w:t xml:space="preserve">un Ministru kabineta </w:t>
            </w:r>
            <w:r w:rsidRPr="007F5AE9">
              <w:rPr>
                <w:rFonts w:ascii="Times New Roman" w:hAnsi="Times New Roman"/>
                <w:sz w:val="24"/>
                <w:szCs w:val="24"/>
              </w:rPr>
              <w:t>tīmekļa</w:t>
            </w:r>
            <w:r w:rsidRPr="007F5AE9">
              <w:rPr>
                <w:rFonts w:ascii="Times New Roman" w:eastAsia="Times New Roman" w:hAnsi="Times New Roman"/>
                <w:iCs/>
                <w:sz w:val="24"/>
                <w:szCs w:val="24"/>
                <w:lang w:eastAsia="lv-LV"/>
              </w:rPr>
              <w:t xml:space="preserve"> vietnē, sabiedrībai ir dota iespēja informēt par iebildumiem un priekšlikumiem, ja tādi rodas.</w:t>
            </w:r>
          </w:p>
        </w:tc>
      </w:tr>
      <w:tr w:rsidR="00F7481B" w:rsidRPr="007F5AE9" w14:paraId="1D285C1F" w14:textId="77777777" w:rsidTr="0090527E">
        <w:trPr>
          <w:trHeight w:val="488"/>
        </w:trPr>
        <w:tc>
          <w:tcPr>
            <w:tcW w:w="426" w:type="dxa"/>
            <w:tcBorders>
              <w:top w:val="single" w:sz="4" w:space="0" w:color="auto"/>
              <w:left w:val="single" w:sz="4" w:space="0" w:color="auto"/>
              <w:bottom w:val="single" w:sz="4" w:space="0" w:color="auto"/>
              <w:right w:val="single" w:sz="4" w:space="0" w:color="auto"/>
            </w:tcBorders>
            <w:hideMark/>
          </w:tcPr>
          <w:p w14:paraId="1934E595"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3.</w:t>
            </w:r>
          </w:p>
        </w:tc>
        <w:tc>
          <w:tcPr>
            <w:tcW w:w="3543" w:type="dxa"/>
            <w:tcBorders>
              <w:top w:val="single" w:sz="4" w:space="0" w:color="auto"/>
              <w:left w:val="single" w:sz="4" w:space="0" w:color="auto"/>
              <w:bottom w:val="single" w:sz="4" w:space="0" w:color="auto"/>
              <w:right w:val="single" w:sz="4" w:space="0" w:color="auto"/>
            </w:tcBorders>
            <w:hideMark/>
          </w:tcPr>
          <w:p w14:paraId="1D58383C" w14:textId="77777777" w:rsidR="00F7481B" w:rsidRPr="007F5AE9" w:rsidRDefault="00F7481B" w:rsidP="0090527E">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hAnsi="Times New Roman"/>
                <w:sz w:val="24"/>
                <w:szCs w:val="24"/>
              </w:rPr>
              <w:t xml:space="preserve">Sabiedrības </w:t>
            </w:r>
            <w:r w:rsidRPr="007F5AE9">
              <w:rPr>
                <w:rFonts w:ascii="Times New Roman" w:eastAsia="Times New Roman" w:hAnsi="Times New Roman"/>
                <w:sz w:val="24"/>
                <w:szCs w:val="24"/>
                <w:lang w:eastAsia="lv-LV"/>
              </w:rPr>
              <w:t>līdzdalības</w:t>
            </w:r>
            <w:r w:rsidRPr="007F5AE9">
              <w:rPr>
                <w:rFonts w:ascii="Times New Roman" w:hAnsi="Times New Roman"/>
                <w:sz w:val="24"/>
                <w:szCs w:val="24"/>
              </w:rPr>
              <w:t xml:space="preserve"> rezultāti</w:t>
            </w:r>
          </w:p>
        </w:tc>
        <w:tc>
          <w:tcPr>
            <w:tcW w:w="5387" w:type="dxa"/>
            <w:tcBorders>
              <w:top w:val="single" w:sz="4" w:space="0" w:color="auto"/>
              <w:left w:val="single" w:sz="4" w:space="0" w:color="auto"/>
              <w:bottom w:val="single" w:sz="4" w:space="0" w:color="auto"/>
              <w:right w:val="single" w:sz="4" w:space="0" w:color="auto"/>
            </w:tcBorders>
          </w:tcPr>
          <w:p w14:paraId="6FD60735" w14:textId="3C220C0C" w:rsidR="00F7481B" w:rsidRPr="007F5AE9" w:rsidRDefault="00F7481B" w:rsidP="0090527E">
            <w:pPr>
              <w:spacing w:after="0" w:line="240" w:lineRule="auto"/>
              <w:ind w:firstLine="223"/>
              <w:contextualSpacing/>
              <w:jc w:val="both"/>
              <w:rPr>
                <w:rFonts w:ascii="Times New Roman" w:hAnsi="Times New Roman"/>
                <w:sz w:val="24"/>
                <w:szCs w:val="24"/>
              </w:rPr>
            </w:pPr>
            <w:r w:rsidRPr="007F5AE9">
              <w:rPr>
                <w:rFonts w:ascii="Times New Roman" w:hAnsi="Times New Roman"/>
                <w:sz w:val="24"/>
                <w:szCs w:val="24"/>
              </w:rPr>
              <w:t xml:space="preserve">Izstrādāti </w:t>
            </w:r>
            <w:r w:rsidR="006104FC">
              <w:rPr>
                <w:rFonts w:ascii="Times New Roman" w:hAnsi="Times New Roman"/>
                <w:sz w:val="24"/>
                <w:szCs w:val="24"/>
              </w:rPr>
              <w:t xml:space="preserve">šādi </w:t>
            </w:r>
            <w:r w:rsidRPr="007F5AE9">
              <w:rPr>
                <w:rFonts w:ascii="Times New Roman" w:hAnsi="Times New Roman"/>
                <w:sz w:val="24"/>
                <w:szCs w:val="24"/>
              </w:rPr>
              <w:t>dokumenti</w:t>
            </w:r>
            <w:r w:rsidR="00FC16AE">
              <w:rPr>
                <w:rFonts w:ascii="Times New Roman" w:hAnsi="Times New Roman"/>
                <w:sz w:val="24"/>
                <w:szCs w:val="24"/>
              </w:rPr>
              <w:t xml:space="preserve">, </w:t>
            </w:r>
            <w:r w:rsidR="00FC16AE" w:rsidRPr="007F5AE9">
              <w:rPr>
                <w:rFonts w:ascii="Times New Roman" w:hAnsi="Times New Roman"/>
                <w:sz w:val="24"/>
                <w:szCs w:val="24"/>
              </w:rPr>
              <w:t>kas tiks saskaņoti Eiropas Savienības struktūrfondu un Kohēzijas fonda 2014.–2020.gada plānošanas perioda Uzraudzības komitejā</w:t>
            </w:r>
            <w:r w:rsidRPr="007F5AE9">
              <w:rPr>
                <w:rFonts w:ascii="Times New Roman" w:hAnsi="Times New Roman"/>
                <w:sz w:val="24"/>
                <w:szCs w:val="24"/>
              </w:rPr>
              <w:t>:</w:t>
            </w:r>
          </w:p>
          <w:p w14:paraId="3756193A" w14:textId="73ED577C" w:rsidR="00791AD0" w:rsidRDefault="00F7481B" w:rsidP="00382E06">
            <w:pPr>
              <w:numPr>
                <w:ilvl w:val="0"/>
                <w:numId w:val="24"/>
              </w:numPr>
              <w:shd w:val="clear" w:color="auto" w:fill="FFFFFF"/>
              <w:tabs>
                <w:tab w:val="left" w:pos="506"/>
              </w:tabs>
              <w:spacing w:after="0" w:line="240" w:lineRule="auto"/>
              <w:ind w:left="0" w:firstLine="223"/>
              <w:contextualSpacing/>
              <w:jc w:val="both"/>
              <w:rPr>
                <w:rFonts w:ascii="Times New Roman" w:hAnsi="Times New Roman"/>
                <w:sz w:val="24"/>
                <w:szCs w:val="24"/>
              </w:rPr>
            </w:pPr>
            <w:r w:rsidRPr="007F5AE9">
              <w:rPr>
                <w:rFonts w:ascii="Times New Roman" w:hAnsi="Times New Roman"/>
                <w:sz w:val="24"/>
                <w:szCs w:val="24"/>
              </w:rPr>
              <w:t xml:space="preserve">SAM 4.1.1. projektu iesniegumu vērtēšanas kritēriji </w:t>
            </w:r>
            <w:r w:rsidR="002B2408" w:rsidRPr="007F5AE9">
              <w:rPr>
                <w:rFonts w:ascii="Times New Roman" w:hAnsi="Times New Roman"/>
                <w:sz w:val="24"/>
                <w:szCs w:val="24"/>
              </w:rPr>
              <w:t>un</w:t>
            </w:r>
          </w:p>
          <w:p w14:paraId="00DF7784" w14:textId="7DEDFEFF" w:rsidR="00F7481B" w:rsidRDefault="002B2408" w:rsidP="00382E06">
            <w:pPr>
              <w:numPr>
                <w:ilvl w:val="0"/>
                <w:numId w:val="24"/>
              </w:numPr>
              <w:shd w:val="clear" w:color="auto" w:fill="FFFFFF"/>
              <w:tabs>
                <w:tab w:val="left" w:pos="506"/>
              </w:tabs>
              <w:spacing w:after="0" w:line="240" w:lineRule="auto"/>
              <w:ind w:left="0" w:firstLine="223"/>
              <w:contextualSpacing/>
              <w:jc w:val="both"/>
              <w:rPr>
                <w:rFonts w:ascii="Times New Roman" w:hAnsi="Times New Roman"/>
                <w:sz w:val="24"/>
                <w:szCs w:val="24"/>
              </w:rPr>
            </w:pPr>
            <w:r w:rsidRPr="007F5AE9">
              <w:rPr>
                <w:rFonts w:ascii="Times New Roman" w:hAnsi="Times New Roman"/>
                <w:sz w:val="24"/>
                <w:szCs w:val="24"/>
              </w:rPr>
              <w:t>kritēriju piemērošanas metodika</w:t>
            </w:r>
            <w:r w:rsidR="00B4171E">
              <w:rPr>
                <w:rFonts w:ascii="Times New Roman" w:hAnsi="Times New Roman"/>
                <w:sz w:val="24"/>
                <w:szCs w:val="24"/>
              </w:rPr>
              <w:t xml:space="preserve"> un</w:t>
            </w:r>
          </w:p>
          <w:p w14:paraId="64071E8A" w14:textId="6D1C7F61" w:rsidR="00B4171E" w:rsidRDefault="00C34570" w:rsidP="00382E06">
            <w:pPr>
              <w:numPr>
                <w:ilvl w:val="0"/>
                <w:numId w:val="24"/>
              </w:numPr>
              <w:shd w:val="clear" w:color="auto" w:fill="FFFFFF"/>
              <w:tabs>
                <w:tab w:val="left" w:pos="506"/>
              </w:tabs>
              <w:spacing w:after="0" w:line="240" w:lineRule="auto"/>
              <w:ind w:left="0" w:firstLine="223"/>
              <w:contextualSpacing/>
              <w:jc w:val="both"/>
              <w:rPr>
                <w:rFonts w:ascii="Times New Roman" w:hAnsi="Times New Roman"/>
                <w:sz w:val="24"/>
                <w:szCs w:val="24"/>
              </w:rPr>
            </w:pPr>
            <w:r>
              <w:rPr>
                <w:rFonts w:ascii="Times New Roman" w:hAnsi="Times New Roman"/>
                <w:sz w:val="24"/>
                <w:szCs w:val="24"/>
              </w:rPr>
              <w:t>n</w:t>
            </w:r>
            <w:r w:rsidR="00B4171E">
              <w:rPr>
                <w:rFonts w:ascii="Times New Roman" w:hAnsi="Times New Roman"/>
                <w:sz w:val="24"/>
                <w:szCs w:val="24"/>
              </w:rPr>
              <w:t>oteikumu projekts</w:t>
            </w:r>
            <w:r w:rsidR="00B4740F">
              <w:rPr>
                <w:rFonts w:ascii="Times New Roman" w:hAnsi="Times New Roman"/>
                <w:sz w:val="24"/>
                <w:szCs w:val="24"/>
              </w:rPr>
              <w:t>.</w:t>
            </w:r>
          </w:p>
          <w:p w14:paraId="5C7204A0" w14:textId="2F739DA4" w:rsidR="00F7481B" w:rsidRPr="007F5AE9" w:rsidRDefault="002B2408" w:rsidP="00794E57">
            <w:pPr>
              <w:spacing w:after="0" w:line="240" w:lineRule="auto"/>
              <w:ind w:firstLine="223"/>
              <w:contextualSpacing/>
              <w:jc w:val="both"/>
              <w:rPr>
                <w:rFonts w:ascii="Times New Roman" w:eastAsia="Times New Roman" w:hAnsi="Times New Roman"/>
                <w:b/>
                <w:sz w:val="24"/>
                <w:szCs w:val="24"/>
                <w:highlight w:val="yellow"/>
                <w:lang w:eastAsia="lv-LV"/>
              </w:rPr>
            </w:pPr>
            <w:r w:rsidRPr="007F5AE9">
              <w:rPr>
                <w:rFonts w:ascii="Times New Roman" w:hAnsi="Times New Roman"/>
                <w:sz w:val="24"/>
                <w:szCs w:val="24"/>
              </w:rPr>
              <w:t>Papildus iebildumi un priekšlikumi izstrādes procesā nav saņemti.</w:t>
            </w:r>
            <w:r w:rsidRPr="007F5AE9">
              <w:rPr>
                <w:rFonts w:ascii="Times New Roman" w:eastAsia="Times New Roman" w:hAnsi="Times New Roman"/>
                <w:b/>
                <w:sz w:val="24"/>
                <w:szCs w:val="24"/>
                <w:lang w:eastAsia="lv-LV"/>
              </w:rPr>
              <w:t xml:space="preserve"> </w:t>
            </w:r>
          </w:p>
        </w:tc>
      </w:tr>
      <w:tr w:rsidR="00F7481B" w:rsidRPr="007F5AE9" w14:paraId="3C8DBE9C" w14:textId="77777777" w:rsidTr="0090527E">
        <w:trPr>
          <w:trHeight w:val="233"/>
        </w:trPr>
        <w:tc>
          <w:tcPr>
            <w:tcW w:w="426" w:type="dxa"/>
            <w:tcBorders>
              <w:top w:val="single" w:sz="4" w:space="0" w:color="auto"/>
              <w:left w:val="single" w:sz="4" w:space="0" w:color="auto"/>
              <w:bottom w:val="single" w:sz="4" w:space="0" w:color="auto"/>
              <w:right w:val="single" w:sz="4" w:space="0" w:color="auto"/>
            </w:tcBorders>
            <w:hideMark/>
          </w:tcPr>
          <w:p w14:paraId="3062DD9D"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4.</w:t>
            </w:r>
          </w:p>
        </w:tc>
        <w:tc>
          <w:tcPr>
            <w:tcW w:w="3543" w:type="dxa"/>
            <w:tcBorders>
              <w:top w:val="single" w:sz="4" w:space="0" w:color="auto"/>
              <w:left w:val="single" w:sz="4" w:space="0" w:color="auto"/>
              <w:bottom w:val="single" w:sz="4" w:space="0" w:color="auto"/>
              <w:right w:val="single" w:sz="4" w:space="0" w:color="auto"/>
            </w:tcBorders>
            <w:hideMark/>
          </w:tcPr>
          <w:p w14:paraId="5BDCAD65" w14:textId="77777777" w:rsidR="00F7481B" w:rsidRPr="007F5AE9" w:rsidRDefault="00F7481B" w:rsidP="0090527E">
            <w:pPr>
              <w:spacing w:after="0" w:line="240" w:lineRule="auto"/>
              <w:ind w:right="128"/>
              <w:contextualSpacing/>
              <w:jc w:val="both"/>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 xml:space="preserve">Cita </w:t>
            </w:r>
            <w:r w:rsidRPr="007F5AE9">
              <w:rPr>
                <w:rFonts w:ascii="Times New Roman" w:hAnsi="Times New Roman"/>
                <w:sz w:val="24"/>
                <w:szCs w:val="24"/>
              </w:rPr>
              <w:t>informācija</w:t>
            </w:r>
          </w:p>
        </w:tc>
        <w:tc>
          <w:tcPr>
            <w:tcW w:w="5387" w:type="dxa"/>
            <w:tcBorders>
              <w:top w:val="single" w:sz="4" w:space="0" w:color="auto"/>
              <w:left w:val="single" w:sz="4" w:space="0" w:color="auto"/>
              <w:bottom w:val="single" w:sz="4" w:space="0" w:color="auto"/>
              <w:right w:val="single" w:sz="4" w:space="0" w:color="auto"/>
            </w:tcBorders>
          </w:tcPr>
          <w:p w14:paraId="3BF4E1F8" w14:textId="5134113C" w:rsidR="00F7481B" w:rsidRPr="007F5AE9" w:rsidRDefault="00F7481B" w:rsidP="0090527E">
            <w:pPr>
              <w:spacing w:after="0" w:line="240" w:lineRule="auto"/>
              <w:contextualSpacing/>
              <w:jc w:val="both"/>
              <w:rPr>
                <w:rFonts w:ascii="Times New Roman" w:eastAsia="Times New Roman" w:hAnsi="Times New Roman"/>
                <w:iCs/>
                <w:sz w:val="24"/>
                <w:szCs w:val="24"/>
                <w:lang w:eastAsia="lv-LV"/>
              </w:rPr>
            </w:pPr>
            <w:r w:rsidRPr="007F5AE9">
              <w:rPr>
                <w:rFonts w:ascii="Times New Roman" w:hAnsi="Times New Roman"/>
                <w:sz w:val="24"/>
                <w:szCs w:val="24"/>
              </w:rPr>
              <w:t>Nav</w:t>
            </w:r>
          </w:p>
        </w:tc>
      </w:tr>
    </w:tbl>
    <w:p w14:paraId="24D64682" w14:textId="28ACFCB1" w:rsidR="009A312E" w:rsidRPr="0090527E" w:rsidRDefault="009A312E" w:rsidP="0090527E">
      <w:pPr>
        <w:tabs>
          <w:tab w:val="left" w:pos="7655"/>
        </w:tabs>
        <w:spacing w:after="0" w:line="240" w:lineRule="auto"/>
        <w:contextualSpacing/>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3543"/>
        <w:gridCol w:w="5387"/>
      </w:tblGrid>
      <w:tr w:rsidR="009A312E" w:rsidRPr="007F5AE9" w14:paraId="166C01FC" w14:textId="77777777" w:rsidTr="0090527E">
        <w:tc>
          <w:tcPr>
            <w:tcW w:w="9356" w:type="dxa"/>
            <w:gridSpan w:val="3"/>
            <w:hideMark/>
          </w:tcPr>
          <w:p w14:paraId="4B5BA8EA" w14:textId="77777777" w:rsidR="009A312E" w:rsidRPr="007F5AE9" w:rsidRDefault="009A312E" w:rsidP="0090527E">
            <w:pPr>
              <w:spacing w:after="0" w:line="240" w:lineRule="auto"/>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VII. Tiesību akta projekta izpildes nodrošināšana un tās ietekme uz institūcijām</w:t>
            </w:r>
          </w:p>
        </w:tc>
      </w:tr>
      <w:tr w:rsidR="00F7481B" w:rsidRPr="007F5AE9" w14:paraId="37B4D165" w14:textId="77777777" w:rsidTr="0090527E">
        <w:trPr>
          <w:trHeight w:val="558"/>
        </w:trPr>
        <w:tc>
          <w:tcPr>
            <w:tcW w:w="426" w:type="dxa"/>
            <w:hideMark/>
          </w:tcPr>
          <w:p w14:paraId="4894E661"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1.</w:t>
            </w:r>
          </w:p>
        </w:tc>
        <w:tc>
          <w:tcPr>
            <w:tcW w:w="3543" w:type="dxa"/>
            <w:hideMark/>
          </w:tcPr>
          <w:p w14:paraId="1356FC2B"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hAnsi="Times New Roman"/>
                <w:bCs/>
                <w:sz w:val="24"/>
                <w:szCs w:val="24"/>
              </w:rPr>
              <w:t>Projekta</w:t>
            </w:r>
            <w:r w:rsidRPr="007F5AE9">
              <w:rPr>
                <w:rFonts w:ascii="Times New Roman" w:eastAsia="Times New Roman" w:hAnsi="Times New Roman"/>
                <w:sz w:val="24"/>
                <w:szCs w:val="24"/>
                <w:lang w:eastAsia="lv-LV"/>
              </w:rPr>
              <w:t xml:space="preserve"> izpildē iesaistītās institūcijas</w:t>
            </w:r>
          </w:p>
        </w:tc>
        <w:tc>
          <w:tcPr>
            <w:tcW w:w="5387" w:type="dxa"/>
          </w:tcPr>
          <w:p w14:paraId="0B14CACD" w14:textId="1FC836EA" w:rsidR="00F7481B" w:rsidRPr="007F5AE9" w:rsidRDefault="00F7481B" w:rsidP="0090527E">
            <w:pPr>
              <w:spacing w:after="0" w:line="240" w:lineRule="auto"/>
              <w:contextualSpacing/>
              <w:jc w:val="both"/>
              <w:rPr>
                <w:rFonts w:ascii="Times New Roman" w:hAnsi="Times New Roman"/>
                <w:sz w:val="24"/>
                <w:szCs w:val="24"/>
                <w:highlight w:val="yellow"/>
                <w:lang w:eastAsia="lv-LV"/>
              </w:rPr>
            </w:pPr>
            <w:r w:rsidRPr="007F5AE9">
              <w:rPr>
                <w:rFonts w:ascii="Times New Roman" w:hAnsi="Times New Roman"/>
                <w:sz w:val="24"/>
                <w:szCs w:val="24"/>
              </w:rPr>
              <w:t>Ekonomikas ministrija kā atbildīgā iestāde, Centrālā finanšu un līgumu aģentūra kā sadarbības iestāde.</w:t>
            </w:r>
          </w:p>
        </w:tc>
      </w:tr>
      <w:tr w:rsidR="00F7481B" w:rsidRPr="007F5AE9" w14:paraId="678718AA" w14:textId="77777777" w:rsidTr="0090527E">
        <w:tc>
          <w:tcPr>
            <w:tcW w:w="426" w:type="dxa"/>
            <w:hideMark/>
          </w:tcPr>
          <w:p w14:paraId="2ED1EF00"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2.</w:t>
            </w:r>
          </w:p>
        </w:tc>
        <w:tc>
          <w:tcPr>
            <w:tcW w:w="3543" w:type="dxa"/>
            <w:hideMark/>
          </w:tcPr>
          <w:p w14:paraId="46CAAEA3"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Projekta izpildes ietekme uz pārvaldes </w:t>
            </w:r>
            <w:r w:rsidRPr="007F5AE9">
              <w:rPr>
                <w:rFonts w:ascii="Times New Roman" w:hAnsi="Times New Roman"/>
                <w:bCs/>
                <w:sz w:val="24"/>
                <w:szCs w:val="24"/>
              </w:rPr>
              <w:t>funkcijām</w:t>
            </w:r>
            <w:r w:rsidRPr="007F5AE9">
              <w:rPr>
                <w:rFonts w:ascii="Times New Roman" w:eastAsia="Times New Roman" w:hAnsi="Times New Roman"/>
                <w:sz w:val="24"/>
                <w:szCs w:val="24"/>
                <w:lang w:eastAsia="lv-LV"/>
              </w:rPr>
              <w:t xml:space="preserve"> un institucionālo struktūru.</w:t>
            </w:r>
          </w:p>
          <w:p w14:paraId="689A82AC"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Jaunu </w:t>
            </w:r>
            <w:r w:rsidRPr="007F5AE9">
              <w:rPr>
                <w:rFonts w:ascii="Times New Roman" w:hAnsi="Times New Roman"/>
                <w:bCs/>
                <w:sz w:val="24"/>
                <w:szCs w:val="24"/>
              </w:rPr>
              <w:t>institūciju</w:t>
            </w:r>
            <w:r w:rsidRPr="007F5AE9">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387" w:type="dxa"/>
          </w:tcPr>
          <w:p w14:paraId="1DD0DB58" w14:textId="341117D4" w:rsidR="00F7481B" w:rsidRDefault="00F7481B" w:rsidP="006F418C">
            <w:pPr>
              <w:spacing w:after="0" w:line="240" w:lineRule="auto"/>
              <w:contextualSpacing/>
              <w:jc w:val="both"/>
              <w:rPr>
                <w:rFonts w:ascii="Times New Roman" w:hAnsi="Times New Roman"/>
                <w:sz w:val="24"/>
                <w:szCs w:val="24"/>
              </w:rPr>
            </w:pPr>
            <w:r w:rsidRPr="007F5AE9">
              <w:rPr>
                <w:rFonts w:ascii="Times New Roman" w:hAnsi="Times New Roman"/>
                <w:sz w:val="24"/>
                <w:szCs w:val="24"/>
              </w:rPr>
              <w:t>Nav plānota jaunu institūciju izveide, esošu institūciju likvidācija vai reorganizācija.</w:t>
            </w:r>
          </w:p>
          <w:p w14:paraId="0A93EA10" w14:textId="5E225F25" w:rsidR="00DC3546" w:rsidRPr="007F5AE9" w:rsidRDefault="00DC3546" w:rsidP="0090527E">
            <w:pPr>
              <w:spacing w:after="0" w:line="240" w:lineRule="auto"/>
              <w:contextualSpacing/>
              <w:jc w:val="both"/>
              <w:rPr>
                <w:rFonts w:ascii="Times New Roman" w:eastAsia="Times New Roman" w:hAnsi="Times New Roman"/>
                <w:iCs/>
                <w:sz w:val="24"/>
                <w:szCs w:val="24"/>
                <w:lang w:eastAsia="lv-LV"/>
              </w:rPr>
            </w:pPr>
            <w:r>
              <w:rPr>
                <w:rFonts w:ascii="Times New Roman" w:hAnsi="Times New Roman"/>
                <w:iCs/>
                <w:sz w:val="24"/>
                <w:szCs w:val="24"/>
              </w:rPr>
              <w:t>Noteikumu projekta</w:t>
            </w:r>
            <w:r w:rsidRPr="00AB5823">
              <w:rPr>
                <w:rFonts w:ascii="Times New Roman" w:hAnsi="Times New Roman"/>
                <w:iCs/>
                <w:sz w:val="24"/>
                <w:szCs w:val="24"/>
              </w:rPr>
              <w:t xml:space="preserve"> izpild</w:t>
            </w:r>
            <w:r>
              <w:rPr>
                <w:rFonts w:ascii="Times New Roman" w:hAnsi="Times New Roman"/>
                <w:iCs/>
                <w:sz w:val="24"/>
                <w:szCs w:val="24"/>
              </w:rPr>
              <w:t>e tiks</w:t>
            </w:r>
            <w:r w:rsidRPr="00AB5823">
              <w:rPr>
                <w:rFonts w:ascii="Times New Roman" w:hAnsi="Times New Roman"/>
                <w:iCs/>
                <w:sz w:val="24"/>
                <w:szCs w:val="24"/>
              </w:rPr>
              <w:t xml:space="preserve"> </w:t>
            </w:r>
            <w:r w:rsidRPr="00AB5823">
              <w:rPr>
                <w:rFonts w:ascii="Times New Roman" w:eastAsia="Times New Roman" w:hAnsi="Times New Roman"/>
                <w:sz w:val="24"/>
                <w:szCs w:val="24"/>
                <w:lang w:eastAsia="lv-LV"/>
              </w:rPr>
              <w:t>organizē</w:t>
            </w:r>
            <w:r>
              <w:rPr>
                <w:rFonts w:ascii="Times New Roman" w:eastAsia="Times New Roman" w:hAnsi="Times New Roman"/>
                <w:sz w:val="24"/>
                <w:szCs w:val="24"/>
                <w:lang w:eastAsia="lv-LV"/>
              </w:rPr>
              <w:t>ta</w:t>
            </w:r>
            <w:r w:rsidRPr="00AB5823">
              <w:rPr>
                <w:rFonts w:ascii="Times New Roman" w:eastAsia="Times New Roman" w:hAnsi="Times New Roman"/>
                <w:sz w:val="24"/>
                <w:szCs w:val="24"/>
                <w:lang w:eastAsia="lv-LV"/>
              </w:rPr>
              <w:t xml:space="preserve"> esošo </w:t>
            </w:r>
            <w:r>
              <w:rPr>
                <w:rFonts w:ascii="Times New Roman" w:eastAsia="Times New Roman" w:hAnsi="Times New Roman"/>
                <w:sz w:val="24"/>
                <w:szCs w:val="24"/>
                <w:lang w:eastAsia="lv-LV"/>
              </w:rPr>
              <w:t>cilvēk</w:t>
            </w:r>
            <w:r w:rsidRPr="00AB5823">
              <w:rPr>
                <w:rFonts w:ascii="Times New Roman" w:eastAsia="Times New Roman" w:hAnsi="Times New Roman"/>
                <w:sz w:val="24"/>
                <w:szCs w:val="24"/>
                <w:lang w:eastAsia="lv-LV"/>
              </w:rPr>
              <w:t>resursu ietvaros.</w:t>
            </w:r>
          </w:p>
        </w:tc>
      </w:tr>
      <w:tr w:rsidR="00F7481B" w:rsidRPr="007F5AE9" w14:paraId="17DEEA33" w14:textId="77777777" w:rsidTr="0090527E">
        <w:tc>
          <w:tcPr>
            <w:tcW w:w="426" w:type="dxa"/>
            <w:hideMark/>
          </w:tcPr>
          <w:p w14:paraId="44CA1C15"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3.</w:t>
            </w:r>
          </w:p>
        </w:tc>
        <w:tc>
          <w:tcPr>
            <w:tcW w:w="3543" w:type="dxa"/>
            <w:hideMark/>
          </w:tcPr>
          <w:p w14:paraId="18A421CE"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Cita informācija</w:t>
            </w:r>
          </w:p>
        </w:tc>
        <w:tc>
          <w:tcPr>
            <w:tcW w:w="5387" w:type="dxa"/>
          </w:tcPr>
          <w:p w14:paraId="6BB19CF2" w14:textId="63A85AAB"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hAnsi="Times New Roman"/>
                <w:sz w:val="24"/>
                <w:szCs w:val="24"/>
              </w:rPr>
              <w:t>Nav.</w:t>
            </w:r>
          </w:p>
        </w:tc>
      </w:tr>
    </w:tbl>
    <w:p w14:paraId="5FCC8D11" w14:textId="77777777" w:rsidR="009A312E" w:rsidRPr="007F5AE9" w:rsidRDefault="009A312E" w:rsidP="0090527E">
      <w:pPr>
        <w:tabs>
          <w:tab w:val="right" w:pos="9071"/>
        </w:tabs>
        <w:spacing w:after="0" w:line="240" w:lineRule="auto"/>
        <w:contextualSpacing/>
        <w:jc w:val="both"/>
        <w:rPr>
          <w:rFonts w:ascii="Times New Roman" w:eastAsia="Times New Roman" w:hAnsi="Times New Roman"/>
          <w:sz w:val="24"/>
          <w:szCs w:val="24"/>
          <w:lang w:eastAsia="lv-LV"/>
        </w:rPr>
      </w:pPr>
    </w:p>
    <w:p w14:paraId="1592FFC4" w14:textId="39D14701" w:rsidR="00BA3C6C" w:rsidRPr="007F5AE9" w:rsidRDefault="00BA3C6C" w:rsidP="0090527E">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743AEF49" w:rsidR="009A312E" w:rsidRPr="0090527E" w:rsidRDefault="004B3904" w:rsidP="0090527E">
      <w:pPr>
        <w:tabs>
          <w:tab w:val="right" w:pos="9071"/>
        </w:tabs>
        <w:spacing w:after="0" w:line="240" w:lineRule="auto"/>
        <w:contextualSpacing/>
        <w:jc w:val="both"/>
        <w:rPr>
          <w:rFonts w:ascii="Times New Roman" w:hAnsi="Times New Roman"/>
          <w:color w:val="000000"/>
          <w:sz w:val="24"/>
        </w:rPr>
      </w:pPr>
      <w:r w:rsidRPr="0090527E">
        <w:rPr>
          <w:rFonts w:ascii="Times New Roman" w:hAnsi="Times New Roman"/>
          <w:color w:val="000000"/>
          <w:sz w:val="24"/>
        </w:rPr>
        <w:t>Ekonomikas ministrs</w:t>
      </w:r>
      <w:r w:rsidR="009A312E" w:rsidRPr="0090527E">
        <w:rPr>
          <w:rFonts w:ascii="Times New Roman" w:hAnsi="Times New Roman"/>
          <w:sz w:val="24"/>
        </w:rPr>
        <w:t xml:space="preserve"> </w:t>
      </w:r>
      <w:r w:rsidR="009A312E" w:rsidRPr="0090527E">
        <w:rPr>
          <w:rFonts w:ascii="Times New Roman" w:hAnsi="Times New Roman"/>
          <w:sz w:val="24"/>
        </w:rPr>
        <w:tab/>
      </w:r>
      <w:r w:rsidRPr="0090527E">
        <w:rPr>
          <w:rFonts w:ascii="Times New Roman" w:hAnsi="Times New Roman"/>
          <w:color w:val="000000"/>
          <w:sz w:val="24"/>
        </w:rPr>
        <w:t xml:space="preserve">R. </w:t>
      </w:r>
      <w:proofErr w:type="spellStart"/>
      <w:r w:rsidRPr="0090527E">
        <w:rPr>
          <w:rFonts w:ascii="Times New Roman" w:hAnsi="Times New Roman"/>
          <w:color w:val="000000"/>
          <w:sz w:val="24"/>
        </w:rPr>
        <w:t>Nemiro</w:t>
      </w:r>
      <w:proofErr w:type="spellEnd"/>
    </w:p>
    <w:p w14:paraId="2EBECC9D" w14:textId="77777777" w:rsidR="003A21F2" w:rsidRPr="0090527E" w:rsidRDefault="003A21F2" w:rsidP="0090527E">
      <w:pPr>
        <w:tabs>
          <w:tab w:val="right" w:pos="9071"/>
        </w:tabs>
        <w:spacing w:after="0" w:line="240" w:lineRule="auto"/>
        <w:contextualSpacing/>
        <w:jc w:val="both"/>
        <w:rPr>
          <w:rFonts w:ascii="Times New Roman" w:hAnsi="Times New Roman"/>
          <w:color w:val="000000"/>
          <w:sz w:val="24"/>
        </w:rPr>
      </w:pPr>
    </w:p>
    <w:p w14:paraId="29EBA32C" w14:textId="77777777" w:rsidR="009A312E" w:rsidRPr="0090527E" w:rsidRDefault="009A312E" w:rsidP="0090527E">
      <w:pPr>
        <w:tabs>
          <w:tab w:val="right" w:pos="9071"/>
        </w:tabs>
        <w:spacing w:after="0" w:line="240" w:lineRule="auto"/>
        <w:contextualSpacing/>
        <w:jc w:val="both"/>
        <w:rPr>
          <w:rFonts w:ascii="Times New Roman" w:hAnsi="Times New Roman"/>
          <w:color w:val="000000"/>
          <w:sz w:val="24"/>
        </w:rPr>
      </w:pPr>
    </w:p>
    <w:p w14:paraId="72E19F9F" w14:textId="1B754891" w:rsidR="00864ED5" w:rsidRPr="005D67BD" w:rsidRDefault="009A312E" w:rsidP="00011701">
      <w:pPr>
        <w:tabs>
          <w:tab w:val="right" w:pos="9071"/>
        </w:tabs>
        <w:spacing w:after="0" w:line="240" w:lineRule="auto"/>
        <w:contextualSpacing/>
        <w:jc w:val="both"/>
        <w:rPr>
          <w:rFonts w:ascii="Times New Roman" w:hAnsi="Times New Roman"/>
          <w:color w:val="000000"/>
          <w:sz w:val="24"/>
          <w:szCs w:val="24"/>
        </w:rPr>
      </w:pPr>
      <w:r w:rsidRPr="0090527E">
        <w:rPr>
          <w:rFonts w:ascii="Times New Roman" w:hAnsi="Times New Roman"/>
          <w:color w:val="000000"/>
          <w:sz w:val="24"/>
        </w:rPr>
        <w:t>Vīza:</w:t>
      </w:r>
    </w:p>
    <w:p w14:paraId="4FDF8EF9" w14:textId="0FC89F61" w:rsidR="009A312E" w:rsidRPr="0090527E" w:rsidRDefault="009A312E" w:rsidP="0090527E">
      <w:pPr>
        <w:tabs>
          <w:tab w:val="right" w:pos="9071"/>
        </w:tabs>
        <w:spacing w:after="0" w:line="240" w:lineRule="auto"/>
        <w:contextualSpacing/>
        <w:jc w:val="both"/>
        <w:rPr>
          <w:rFonts w:ascii="Times New Roman" w:hAnsi="Times New Roman"/>
          <w:color w:val="000000"/>
          <w:sz w:val="24"/>
        </w:rPr>
      </w:pPr>
      <w:r w:rsidRPr="0090527E">
        <w:rPr>
          <w:rFonts w:ascii="Times New Roman" w:hAnsi="Times New Roman"/>
          <w:color w:val="000000"/>
          <w:sz w:val="24"/>
        </w:rPr>
        <w:t>Valsts sekretār</w:t>
      </w:r>
      <w:r w:rsidR="00E2719F" w:rsidRPr="0090527E">
        <w:rPr>
          <w:rFonts w:ascii="Times New Roman" w:hAnsi="Times New Roman"/>
          <w:color w:val="000000"/>
          <w:sz w:val="24"/>
        </w:rPr>
        <w:t>s</w:t>
      </w:r>
      <w:r w:rsidR="00E2719F" w:rsidRPr="0090527E">
        <w:rPr>
          <w:rFonts w:ascii="Times New Roman" w:hAnsi="Times New Roman"/>
          <w:color w:val="000000"/>
          <w:sz w:val="24"/>
        </w:rPr>
        <w:tab/>
      </w:r>
      <w:proofErr w:type="spellStart"/>
      <w:r w:rsidR="00E2719F" w:rsidRPr="0090527E">
        <w:rPr>
          <w:rFonts w:ascii="Times New Roman" w:hAnsi="Times New Roman"/>
          <w:color w:val="000000"/>
          <w:sz w:val="24"/>
        </w:rPr>
        <w:t>Ē.Eglītis</w:t>
      </w:r>
      <w:proofErr w:type="spellEnd"/>
    </w:p>
    <w:p w14:paraId="4E7CC4F1" w14:textId="4F1A6AB6" w:rsidR="00CC6E1B" w:rsidRPr="0090527E" w:rsidRDefault="00CC6E1B" w:rsidP="0090527E">
      <w:pPr>
        <w:tabs>
          <w:tab w:val="right" w:pos="9071"/>
        </w:tabs>
        <w:spacing w:after="0" w:line="240" w:lineRule="auto"/>
        <w:contextualSpacing/>
        <w:jc w:val="both"/>
        <w:rPr>
          <w:rFonts w:ascii="Times New Roman" w:hAnsi="Times New Roman"/>
          <w:color w:val="000000"/>
          <w:sz w:val="20"/>
        </w:rPr>
      </w:pPr>
    </w:p>
    <w:p w14:paraId="437CA3D4" w14:textId="4AF3C25B" w:rsidR="009A2938" w:rsidRPr="0090527E" w:rsidRDefault="009A2938" w:rsidP="0090527E">
      <w:pPr>
        <w:tabs>
          <w:tab w:val="right" w:pos="9071"/>
        </w:tabs>
        <w:spacing w:after="0" w:line="240" w:lineRule="auto"/>
        <w:contextualSpacing/>
        <w:jc w:val="both"/>
        <w:rPr>
          <w:rFonts w:ascii="Times New Roman" w:hAnsi="Times New Roman"/>
          <w:color w:val="000000"/>
          <w:sz w:val="20"/>
        </w:rPr>
      </w:pPr>
    </w:p>
    <w:p w14:paraId="04740656" w14:textId="2C7A4BA3" w:rsidR="00D85523" w:rsidRPr="0090527E" w:rsidRDefault="00D85523" w:rsidP="0090527E">
      <w:pPr>
        <w:tabs>
          <w:tab w:val="right" w:pos="9071"/>
        </w:tabs>
        <w:spacing w:after="0" w:line="240" w:lineRule="auto"/>
        <w:contextualSpacing/>
        <w:jc w:val="both"/>
        <w:rPr>
          <w:rFonts w:ascii="Times New Roman" w:hAnsi="Times New Roman"/>
          <w:color w:val="000000"/>
          <w:sz w:val="20"/>
        </w:rPr>
      </w:pPr>
    </w:p>
    <w:p w14:paraId="51F280F2" w14:textId="23217E81" w:rsidR="008F36E1" w:rsidRPr="00864ED5" w:rsidRDefault="004B3904" w:rsidP="0090527E">
      <w:pPr>
        <w:widowControl w:val="0"/>
        <w:spacing w:after="0" w:line="240" w:lineRule="auto"/>
        <w:contextualSpacing/>
        <w:jc w:val="both"/>
        <w:rPr>
          <w:rFonts w:ascii="Times New Roman" w:eastAsia="Times New Roman" w:hAnsi="Times New Roman"/>
          <w:sz w:val="20"/>
          <w:szCs w:val="20"/>
          <w:lang w:eastAsia="lv-LV"/>
        </w:rPr>
      </w:pPr>
      <w:r w:rsidRPr="00864ED5">
        <w:rPr>
          <w:rFonts w:ascii="Times New Roman" w:eastAsia="Times New Roman" w:hAnsi="Times New Roman"/>
          <w:sz w:val="20"/>
          <w:szCs w:val="20"/>
          <w:lang w:eastAsia="lv-LV"/>
        </w:rPr>
        <w:t>Matisone</w:t>
      </w:r>
      <w:r w:rsidR="008F36E1" w:rsidRPr="00864ED5">
        <w:rPr>
          <w:rFonts w:ascii="Times New Roman" w:eastAsia="Times New Roman" w:hAnsi="Times New Roman"/>
          <w:sz w:val="20"/>
          <w:szCs w:val="20"/>
          <w:lang w:eastAsia="lv-LV"/>
        </w:rPr>
        <w:t>; 67013241</w:t>
      </w:r>
    </w:p>
    <w:p w14:paraId="5F49A53F" w14:textId="32BDD301" w:rsidR="008F36E1" w:rsidRPr="0090527E" w:rsidRDefault="008F36E1" w:rsidP="0090527E">
      <w:pPr>
        <w:widowControl w:val="0"/>
        <w:spacing w:after="0" w:line="240" w:lineRule="auto"/>
        <w:contextualSpacing/>
        <w:jc w:val="both"/>
        <w:rPr>
          <w:rFonts w:ascii="Times New Roman" w:hAnsi="Times New Roman"/>
          <w:sz w:val="20"/>
        </w:rPr>
      </w:pPr>
      <w:r w:rsidRPr="00864ED5">
        <w:rPr>
          <w:rFonts w:ascii="Times New Roman" w:eastAsia="Times New Roman" w:hAnsi="Times New Roman"/>
          <w:sz w:val="20"/>
          <w:szCs w:val="20"/>
          <w:lang w:eastAsia="lv-LV"/>
        </w:rPr>
        <w:t>Evelina.</w:t>
      </w:r>
      <w:r w:rsidR="004B3904" w:rsidRPr="00864ED5">
        <w:rPr>
          <w:rFonts w:ascii="Times New Roman" w:eastAsia="Times New Roman" w:hAnsi="Times New Roman"/>
          <w:sz w:val="20"/>
          <w:szCs w:val="20"/>
          <w:lang w:eastAsia="lv-LV"/>
        </w:rPr>
        <w:t>Matison</w:t>
      </w:r>
      <w:r w:rsidRPr="00864ED5">
        <w:rPr>
          <w:rFonts w:ascii="Times New Roman" w:eastAsia="Times New Roman" w:hAnsi="Times New Roman"/>
          <w:sz w:val="20"/>
          <w:szCs w:val="20"/>
          <w:lang w:eastAsia="lv-LV"/>
        </w:rPr>
        <w:t>e@em.gov.lv</w:t>
      </w:r>
    </w:p>
    <w:sectPr w:rsidR="008F36E1" w:rsidRPr="0090527E" w:rsidSect="00BF2718">
      <w:headerReference w:type="default" r:id="rId10"/>
      <w:footerReference w:type="default" r:id="rId11"/>
      <w:footerReference w:type="first" r:id="rId12"/>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58DE" w14:textId="77777777" w:rsidR="007059C9" w:rsidRDefault="007059C9">
      <w:pPr>
        <w:spacing w:after="0" w:line="240" w:lineRule="auto"/>
      </w:pPr>
      <w:r>
        <w:separator/>
      </w:r>
    </w:p>
  </w:endnote>
  <w:endnote w:type="continuationSeparator" w:id="0">
    <w:p w14:paraId="16537EE0" w14:textId="77777777" w:rsidR="007059C9" w:rsidRDefault="007059C9">
      <w:pPr>
        <w:spacing w:after="0" w:line="240" w:lineRule="auto"/>
      </w:pPr>
      <w:r>
        <w:continuationSeparator/>
      </w:r>
    </w:p>
  </w:endnote>
  <w:endnote w:type="continuationNotice" w:id="1">
    <w:p w14:paraId="15845ECD" w14:textId="77777777" w:rsidR="007059C9" w:rsidRDefault="00705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10B6236E" w:rsidR="007059C9" w:rsidRPr="00B61820" w:rsidRDefault="007059C9"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B2081C">
      <w:rPr>
        <w:rFonts w:ascii="Times New Roman" w:eastAsia="Times New Roman" w:hAnsi="Times New Roman"/>
        <w:sz w:val="20"/>
        <w:szCs w:val="20"/>
        <w:lang w:eastAsia="lv-LV"/>
      </w:rPr>
      <w:t>31</w:t>
    </w:r>
    <w:r>
      <w:rPr>
        <w:rFonts w:ascii="Times New Roman" w:eastAsia="Times New Roman" w:hAnsi="Times New Roman"/>
        <w:sz w:val="20"/>
        <w:szCs w:val="20"/>
        <w:lang w:eastAsia="lv-LV"/>
      </w:rPr>
      <w:t>0519_SAM411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0F5F64BD" w:rsidR="007059C9" w:rsidRPr="002973CD" w:rsidRDefault="007059C9"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B2081C">
      <w:rPr>
        <w:rFonts w:ascii="Times New Roman" w:eastAsia="Times New Roman" w:hAnsi="Times New Roman"/>
        <w:sz w:val="20"/>
        <w:szCs w:val="20"/>
        <w:lang w:eastAsia="lv-LV"/>
      </w:rPr>
      <w:t>31</w:t>
    </w:r>
    <w:r>
      <w:rPr>
        <w:rFonts w:ascii="Times New Roman" w:eastAsia="Times New Roman" w:hAnsi="Times New Roman"/>
        <w:sz w:val="20"/>
        <w:szCs w:val="20"/>
        <w:lang w:eastAsia="lv-LV"/>
      </w:rPr>
      <w:t>0519_SAM411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B730" w14:textId="77777777" w:rsidR="007059C9" w:rsidRDefault="007059C9">
      <w:pPr>
        <w:spacing w:after="0" w:line="240" w:lineRule="auto"/>
      </w:pPr>
      <w:r>
        <w:separator/>
      </w:r>
    </w:p>
  </w:footnote>
  <w:footnote w:type="continuationSeparator" w:id="0">
    <w:p w14:paraId="7D4AE131" w14:textId="77777777" w:rsidR="007059C9" w:rsidRDefault="007059C9">
      <w:pPr>
        <w:spacing w:after="0" w:line="240" w:lineRule="auto"/>
      </w:pPr>
      <w:r>
        <w:continuationSeparator/>
      </w:r>
    </w:p>
  </w:footnote>
  <w:footnote w:type="continuationNotice" w:id="1">
    <w:p w14:paraId="61AD9151" w14:textId="77777777" w:rsidR="007059C9" w:rsidRDefault="007059C9">
      <w:pPr>
        <w:spacing w:after="0" w:line="240" w:lineRule="auto"/>
      </w:pPr>
    </w:p>
  </w:footnote>
  <w:footnote w:id="2">
    <w:p w14:paraId="3F2383BC" w14:textId="0AC3DFF2" w:rsidR="007059C9" w:rsidRPr="00E316F9" w:rsidRDefault="007059C9">
      <w:pPr>
        <w:pStyle w:val="FootnoteText"/>
        <w:rPr>
          <w:rFonts w:ascii="Times New Roman" w:hAnsi="Times New Roman"/>
        </w:rPr>
      </w:pPr>
      <w:r w:rsidRPr="00E316F9">
        <w:rPr>
          <w:rStyle w:val="FootnoteReference"/>
          <w:rFonts w:ascii="Times New Roman" w:hAnsi="Times New Roman"/>
        </w:rPr>
        <w:footnoteRef/>
      </w:r>
      <w:r w:rsidRPr="00E316F9">
        <w:rPr>
          <w:rFonts w:ascii="Times New Roman" w:hAnsi="Times New Roman"/>
        </w:rPr>
        <w:t xml:space="preserve"> https://www.em.gov.lv/files/es_fondi/411_SAM_ExAnte_190716.docx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03452C07" w:rsidR="007059C9" w:rsidRPr="00BF2718" w:rsidRDefault="007059C9" w:rsidP="00BF2718">
    <w:pPr>
      <w:pStyle w:val="Header"/>
      <w:jc w:val="center"/>
      <w:rPr>
        <w:rFonts w:ascii="Times New Roman" w:hAnsi="Times New Roman"/>
        <w:sz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42F1ADB"/>
    <w:multiLevelType w:val="hybridMultilevel"/>
    <w:tmpl w:val="955A31AA"/>
    <w:lvl w:ilvl="0" w:tplc="DDD6E0B8">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12" w15:restartNumberingAfterBreak="0">
    <w:nsid w:val="39511F4D"/>
    <w:multiLevelType w:val="hybridMultilevel"/>
    <w:tmpl w:val="5C4ADDAE"/>
    <w:lvl w:ilvl="0" w:tplc="1C647DEC">
      <w:start w:val="5"/>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7" w15:restartNumberingAfterBreak="0">
    <w:nsid w:val="656A6A0C"/>
    <w:multiLevelType w:val="hybridMultilevel"/>
    <w:tmpl w:val="460A6DA0"/>
    <w:lvl w:ilvl="0" w:tplc="1C647DEC">
      <w:start w:val="5"/>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0"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3"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3"/>
  </w:num>
  <w:num w:numId="2">
    <w:abstractNumId w:val="22"/>
  </w:num>
  <w:num w:numId="3">
    <w:abstractNumId w:val="16"/>
  </w:num>
  <w:num w:numId="4">
    <w:abstractNumId w:val="20"/>
  </w:num>
  <w:num w:numId="5">
    <w:abstractNumId w:val="1"/>
  </w:num>
  <w:num w:numId="6">
    <w:abstractNumId w:val="3"/>
  </w:num>
  <w:num w:numId="7">
    <w:abstractNumId w:val="19"/>
  </w:num>
  <w:num w:numId="8">
    <w:abstractNumId w:val="2"/>
  </w:num>
  <w:num w:numId="9">
    <w:abstractNumId w:val="24"/>
  </w:num>
  <w:num w:numId="10">
    <w:abstractNumId w:val="6"/>
  </w:num>
  <w:num w:numId="11">
    <w:abstractNumId w:val="25"/>
  </w:num>
  <w:num w:numId="12">
    <w:abstractNumId w:val="21"/>
  </w:num>
  <w:num w:numId="13">
    <w:abstractNumId w:val="18"/>
  </w:num>
  <w:num w:numId="14">
    <w:abstractNumId w:val="9"/>
  </w:num>
  <w:num w:numId="15">
    <w:abstractNumId w:val="10"/>
  </w:num>
  <w:num w:numId="16">
    <w:abstractNumId w:val="8"/>
  </w:num>
  <w:num w:numId="17">
    <w:abstractNumId w:val="14"/>
  </w:num>
  <w:num w:numId="18">
    <w:abstractNumId w:val="15"/>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13"/>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90B"/>
    <w:rsid w:val="00001B65"/>
    <w:rsid w:val="00003AF3"/>
    <w:rsid w:val="000053C9"/>
    <w:rsid w:val="00006DC5"/>
    <w:rsid w:val="00010797"/>
    <w:rsid w:val="00011701"/>
    <w:rsid w:val="00012A2F"/>
    <w:rsid w:val="000133EB"/>
    <w:rsid w:val="00024CCD"/>
    <w:rsid w:val="00024D1B"/>
    <w:rsid w:val="00031648"/>
    <w:rsid w:val="000318AE"/>
    <w:rsid w:val="00034471"/>
    <w:rsid w:val="000357F1"/>
    <w:rsid w:val="0004161D"/>
    <w:rsid w:val="0004420B"/>
    <w:rsid w:val="0004745F"/>
    <w:rsid w:val="0005552C"/>
    <w:rsid w:val="000617F8"/>
    <w:rsid w:val="00063B82"/>
    <w:rsid w:val="00064A63"/>
    <w:rsid w:val="00067839"/>
    <w:rsid w:val="00072F1D"/>
    <w:rsid w:val="00074096"/>
    <w:rsid w:val="00075FD5"/>
    <w:rsid w:val="00077241"/>
    <w:rsid w:val="000774CA"/>
    <w:rsid w:val="00077E7D"/>
    <w:rsid w:val="00080C88"/>
    <w:rsid w:val="00082788"/>
    <w:rsid w:val="00086D8B"/>
    <w:rsid w:val="000A0351"/>
    <w:rsid w:val="000A12B9"/>
    <w:rsid w:val="000A5B3A"/>
    <w:rsid w:val="000B4E36"/>
    <w:rsid w:val="000B4FA8"/>
    <w:rsid w:val="000B5668"/>
    <w:rsid w:val="000B5DE9"/>
    <w:rsid w:val="000C2427"/>
    <w:rsid w:val="000C3C87"/>
    <w:rsid w:val="000E1202"/>
    <w:rsid w:val="000E595D"/>
    <w:rsid w:val="000E5AA6"/>
    <w:rsid w:val="000F72AE"/>
    <w:rsid w:val="00101DB2"/>
    <w:rsid w:val="00101FC4"/>
    <w:rsid w:val="0010496B"/>
    <w:rsid w:val="00104DF7"/>
    <w:rsid w:val="00114E00"/>
    <w:rsid w:val="00115BD6"/>
    <w:rsid w:val="001243B9"/>
    <w:rsid w:val="0012675A"/>
    <w:rsid w:val="00127EAE"/>
    <w:rsid w:val="001305B9"/>
    <w:rsid w:val="001312A1"/>
    <w:rsid w:val="00133291"/>
    <w:rsid w:val="001358BE"/>
    <w:rsid w:val="00147EC5"/>
    <w:rsid w:val="001518B5"/>
    <w:rsid w:val="0015517D"/>
    <w:rsid w:val="00155E81"/>
    <w:rsid w:val="00156578"/>
    <w:rsid w:val="00156BAC"/>
    <w:rsid w:val="00160574"/>
    <w:rsid w:val="00161AD3"/>
    <w:rsid w:val="00164527"/>
    <w:rsid w:val="00164E69"/>
    <w:rsid w:val="00176C49"/>
    <w:rsid w:val="00182C25"/>
    <w:rsid w:val="001874A7"/>
    <w:rsid w:val="00187BE3"/>
    <w:rsid w:val="00196785"/>
    <w:rsid w:val="0019733D"/>
    <w:rsid w:val="001A67CD"/>
    <w:rsid w:val="001A6DE0"/>
    <w:rsid w:val="001B0ADF"/>
    <w:rsid w:val="001B78C5"/>
    <w:rsid w:val="001C1EF8"/>
    <w:rsid w:val="001C3799"/>
    <w:rsid w:val="001C4BBF"/>
    <w:rsid w:val="001C5253"/>
    <w:rsid w:val="001C6666"/>
    <w:rsid w:val="001C680A"/>
    <w:rsid w:val="001C799D"/>
    <w:rsid w:val="001C7F2C"/>
    <w:rsid w:val="001D209B"/>
    <w:rsid w:val="001D77A4"/>
    <w:rsid w:val="001E6B6F"/>
    <w:rsid w:val="001F0F74"/>
    <w:rsid w:val="001F1876"/>
    <w:rsid w:val="001F1B7D"/>
    <w:rsid w:val="001F4028"/>
    <w:rsid w:val="001F44B8"/>
    <w:rsid w:val="001F7E38"/>
    <w:rsid w:val="00201EC3"/>
    <w:rsid w:val="00204019"/>
    <w:rsid w:val="00210CCC"/>
    <w:rsid w:val="00214D3D"/>
    <w:rsid w:val="002171A4"/>
    <w:rsid w:val="002171C9"/>
    <w:rsid w:val="0022054E"/>
    <w:rsid w:val="00220849"/>
    <w:rsid w:val="00220DF0"/>
    <w:rsid w:val="00222673"/>
    <w:rsid w:val="002247CD"/>
    <w:rsid w:val="002319EF"/>
    <w:rsid w:val="00235779"/>
    <w:rsid w:val="00242068"/>
    <w:rsid w:val="00242585"/>
    <w:rsid w:val="00244FFB"/>
    <w:rsid w:val="00247D36"/>
    <w:rsid w:val="0025259B"/>
    <w:rsid w:val="00260ACA"/>
    <w:rsid w:val="002634FF"/>
    <w:rsid w:val="002635BA"/>
    <w:rsid w:val="002668BD"/>
    <w:rsid w:val="00271CD9"/>
    <w:rsid w:val="00271E94"/>
    <w:rsid w:val="00273253"/>
    <w:rsid w:val="002732E3"/>
    <w:rsid w:val="002733DE"/>
    <w:rsid w:val="00276343"/>
    <w:rsid w:val="0027659A"/>
    <w:rsid w:val="00276DA9"/>
    <w:rsid w:val="002809A6"/>
    <w:rsid w:val="00282DEF"/>
    <w:rsid w:val="00282F19"/>
    <w:rsid w:val="00282F81"/>
    <w:rsid w:val="00287382"/>
    <w:rsid w:val="00287576"/>
    <w:rsid w:val="002919BA"/>
    <w:rsid w:val="00294EC8"/>
    <w:rsid w:val="00297054"/>
    <w:rsid w:val="002A1C23"/>
    <w:rsid w:val="002A240F"/>
    <w:rsid w:val="002A4CFD"/>
    <w:rsid w:val="002A627C"/>
    <w:rsid w:val="002B2408"/>
    <w:rsid w:val="002B28B8"/>
    <w:rsid w:val="002B4E1B"/>
    <w:rsid w:val="002C0301"/>
    <w:rsid w:val="002C14E1"/>
    <w:rsid w:val="002C25DA"/>
    <w:rsid w:val="002C2C5D"/>
    <w:rsid w:val="002C4EE2"/>
    <w:rsid w:val="002C6FC1"/>
    <w:rsid w:val="002D0D05"/>
    <w:rsid w:val="002D28B5"/>
    <w:rsid w:val="002D44FB"/>
    <w:rsid w:val="002D456C"/>
    <w:rsid w:val="002D4F16"/>
    <w:rsid w:val="002D65AE"/>
    <w:rsid w:val="002D733C"/>
    <w:rsid w:val="002D73C4"/>
    <w:rsid w:val="002E1F44"/>
    <w:rsid w:val="002E49FF"/>
    <w:rsid w:val="002F10D3"/>
    <w:rsid w:val="002F11BC"/>
    <w:rsid w:val="002F2C5B"/>
    <w:rsid w:val="002F469D"/>
    <w:rsid w:val="002F542C"/>
    <w:rsid w:val="002F72B3"/>
    <w:rsid w:val="00304DD4"/>
    <w:rsid w:val="003053D5"/>
    <w:rsid w:val="003076BA"/>
    <w:rsid w:val="00307BF9"/>
    <w:rsid w:val="00311B8E"/>
    <w:rsid w:val="003123AC"/>
    <w:rsid w:val="003129D2"/>
    <w:rsid w:val="00313A70"/>
    <w:rsid w:val="00314236"/>
    <w:rsid w:val="00317BF1"/>
    <w:rsid w:val="00320FC7"/>
    <w:rsid w:val="00322D1B"/>
    <w:rsid w:val="00323189"/>
    <w:rsid w:val="0033091B"/>
    <w:rsid w:val="00331D41"/>
    <w:rsid w:val="00336B4E"/>
    <w:rsid w:val="00343578"/>
    <w:rsid w:val="003438D1"/>
    <w:rsid w:val="00343B6A"/>
    <w:rsid w:val="00346B19"/>
    <w:rsid w:val="00352025"/>
    <w:rsid w:val="00354A2B"/>
    <w:rsid w:val="003564F7"/>
    <w:rsid w:val="003623D6"/>
    <w:rsid w:val="00362873"/>
    <w:rsid w:val="00362EDA"/>
    <w:rsid w:val="003673E5"/>
    <w:rsid w:val="00372DC6"/>
    <w:rsid w:val="00374FD3"/>
    <w:rsid w:val="003806D2"/>
    <w:rsid w:val="00382E06"/>
    <w:rsid w:val="003839FF"/>
    <w:rsid w:val="00385BDB"/>
    <w:rsid w:val="00390E8D"/>
    <w:rsid w:val="00392234"/>
    <w:rsid w:val="003937F2"/>
    <w:rsid w:val="003949A1"/>
    <w:rsid w:val="00396735"/>
    <w:rsid w:val="00397AC2"/>
    <w:rsid w:val="003A21F2"/>
    <w:rsid w:val="003A330D"/>
    <w:rsid w:val="003A3570"/>
    <w:rsid w:val="003B3ECC"/>
    <w:rsid w:val="003B5FC4"/>
    <w:rsid w:val="003C1F82"/>
    <w:rsid w:val="003D07E7"/>
    <w:rsid w:val="003D0D9E"/>
    <w:rsid w:val="003D1E38"/>
    <w:rsid w:val="003D205C"/>
    <w:rsid w:val="003D3BB6"/>
    <w:rsid w:val="003D451F"/>
    <w:rsid w:val="003E03CC"/>
    <w:rsid w:val="003E1F77"/>
    <w:rsid w:val="003E4096"/>
    <w:rsid w:val="003E786A"/>
    <w:rsid w:val="003F4760"/>
    <w:rsid w:val="003F5F93"/>
    <w:rsid w:val="00400792"/>
    <w:rsid w:val="00405E29"/>
    <w:rsid w:val="0041103E"/>
    <w:rsid w:val="004111C9"/>
    <w:rsid w:val="00411582"/>
    <w:rsid w:val="00413694"/>
    <w:rsid w:val="00414819"/>
    <w:rsid w:val="004163F7"/>
    <w:rsid w:val="0042491D"/>
    <w:rsid w:val="004278AE"/>
    <w:rsid w:val="00430F31"/>
    <w:rsid w:val="00434199"/>
    <w:rsid w:val="004353AF"/>
    <w:rsid w:val="00437DC7"/>
    <w:rsid w:val="00441200"/>
    <w:rsid w:val="00446511"/>
    <w:rsid w:val="00452E2F"/>
    <w:rsid w:val="00453E63"/>
    <w:rsid w:val="00455AC2"/>
    <w:rsid w:val="004578C9"/>
    <w:rsid w:val="00460FE5"/>
    <w:rsid w:val="00461CC9"/>
    <w:rsid w:val="004620FF"/>
    <w:rsid w:val="00462353"/>
    <w:rsid w:val="00462FE7"/>
    <w:rsid w:val="00464059"/>
    <w:rsid w:val="0046558E"/>
    <w:rsid w:val="00467648"/>
    <w:rsid w:val="00473A9B"/>
    <w:rsid w:val="00475884"/>
    <w:rsid w:val="004763A8"/>
    <w:rsid w:val="00482EA1"/>
    <w:rsid w:val="00483A21"/>
    <w:rsid w:val="00486698"/>
    <w:rsid w:val="0049163F"/>
    <w:rsid w:val="004A0076"/>
    <w:rsid w:val="004A0213"/>
    <w:rsid w:val="004A18B6"/>
    <w:rsid w:val="004A2782"/>
    <w:rsid w:val="004A38FA"/>
    <w:rsid w:val="004A77E7"/>
    <w:rsid w:val="004B05E0"/>
    <w:rsid w:val="004B0E09"/>
    <w:rsid w:val="004B11BD"/>
    <w:rsid w:val="004B3904"/>
    <w:rsid w:val="004B3956"/>
    <w:rsid w:val="004C2262"/>
    <w:rsid w:val="004C3774"/>
    <w:rsid w:val="004C44CD"/>
    <w:rsid w:val="004C47F2"/>
    <w:rsid w:val="004C7C7A"/>
    <w:rsid w:val="004D0101"/>
    <w:rsid w:val="004D1D4A"/>
    <w:rsid w:val="004D393D"/>
    <w:rsid w:val="004D5D02"/>
    <w:rsid w:val="004D5E36"/>
    <w:rsid w:val="004E0872"/>
    <w:rsid w:val="004E0FE2"/>
    <w:rsid w:val="004E44F3"/>
    <w:rsid w:val="004E560E"/>
    <w:rsid w:val="004E6D2A"/>
    <w:rsid w:val="004E6EA5"/>
    <w:rsid w:val="004F18E1"/>
    <w:rsid w:val="004F4131"/>
    <w:rsid w:val="0050427E"/>
    <w:rsid w:val="00505230"/>
    <w:rsid w:val="00505345"/>
    <w:rsid w:val="0050621F"/>
    <w:rsid w:val="00510012"/>
    <w:rsid w:val="005267EE"/>
    <w:rsid w:val="0053354D"/>
    <w:rsid w:val="00534C65"/>
    <w:rsid w:val="00536D5A"/>
    <w:rsid w:val="005422DA"/>
    <w:rsid w:val="005439AB"/>
    <w:rsid w:val="00545F6C"/>
    <w:rsid w:val="005463CD"/>
    <w:rsid w:val="005503D4"/>
    <w:rsid w:val="00550B8B"/>
    <w:rsid w:val="00550C02"/>
    <w:rsid w:val="00551781"/>
    <w:rsid w:val="00551783"/>
    <w:rsid w:val="005519C0"/>
    <w:rsid w:val="00552A99"/>
    <w:rsid w:val="00553EF2"/>
    <w:rsid w:val="005545D7"/>
    <w:rsid w:val="00557E84"/>
    <w:rsid w:val="00560866"/>
    <w:rsid w:val="00562FE6"/>
    <w:rsid w:val="005630E5"/>
    <w:rsid w:val="0056492C"/>
    <w:rsid w:val="0056559A"/>
    <w:rsid w:val="00574833"/>
    <w:rsid w:val="0057759C"/>
    <w:rsid w:val="00577A22"/>
    <w:rsid w:val="00584EF9"/>
    <w:rsid w:val="00586E9C"/>
    <w:rsid w:val="00587678"/>
    <w:rsid w:val="005909DD"/>
    <w:rsid w:val="0059104A"/>
    <w:rsid w:val="00592403"/>
    <w:rsid w:val="00594127"/>
    <w:rsid w:val="0059564C"/>
    <w:rsid w:val="0059697B"/>
    <w:rsid w:val="00597404"/>
    <w:rsid w:val="00597D13"/>
    <w:rsid w:val="005A0A82"/>
    <w:rsid w:val="005A150F"/>
    <w:rsid w:val="005A1673"/>
    <w:rsid w:val="005A1B80"/>
    <w:rsid w:val="005A2487"/>
    <w:rsid w:val="005A49F2"/>
    <w:rsid w:val="005A5BA6"/>
    <w:rsid w:val="005B115F"/>
    <w:rsid w:val="005B5BEB"/>
    <w:rsid w:val="005B7224"/>
    <w:rsid w:val="005B7262"/>
    <w:rsid w:val="005C01F7"/>
    <w:rsid w:val="005C1C05"/>
    <w:rsid w:val="005C6DF5"/>
    <w:rsid w:val="005D17B5"/>
    <w:rsid w:val="005D1A16"/>
    <w:rsid w:val="005D2895"/>
    <w:rsid w:val="005D67BD"/>
    <w:rsid w:val="005D7CA4"/>
    <w:rsid w:val="005E1B08"/>
    <w:rsid w:val="005E272D"/>
    <w:rsid w:val="005E704C"/>
    <w:rsid w:val="00600F61"/>
    <w:rsid w:val="00603E9E"/>
    <w:rsid w:val="00605F9E"/>
    <w:rsid w:val="00606264"/>
    <w:rsid w:val="00607E8B"/>
    <w:rsid w:val="006104FC"/>
    <w:rsid w:val="00611285"/>
    <w:rsid w:val="00615F7B"/>
    <w:rsid w:val="006229F3"/>
    <w:rsid w:val="0062499A"/>
    <w:rsid w:val="00624B3B"/>
    <w:rsid w:val="00626664"/>
    <w:rsid w:val="00626791"/>
    <w:rsid w:val="006272F2"/>
    <w:rsid w:val="00637E07"/>
    <w:rsid w:val="00641928"/>
    <w:rsid w:val="00642A85"/>
    <w:rsid w:val="006460D7"/>
    <w:rsid w:val="006559CA"/>
    <w:rsid w:val="00657039"/>
    <w:rsid w:val="006624BC"/>
    <w:rsid w:val="00666251"/>
    <w:rsid w:val="00667785"/>
    <w:rsid w:val="00676665"/>
    <w:rsid w:val="006778EB"/>
    <w:rsid w:val="006810E0"/>
    <w:rsid w:val="006858B3"/>
    <w:rsid w:val="006876EB"/>
    <w:rsid w:val="00687C74"/>
    <w:rsid w:val="00692505"/>
    <w:rsid w:val="006949C3"/>
    <w:rsid w:val="006A0B03"/>
    <w:rsid w:val="006A0F68"/>
    <w:rsid w:val="006A2B13"/>
    <w:rsid w:val="006A30B4"/>
    <w:rsid w:val="006A66B2"/>
    <w:rsid w:val="006A76BE"/>
    <w:rsid w:val="006A7FB6"/>
    <w:rsid w:val="006B3E89"/>
    <w:rsid w:val="006B3EAF"/>
    <w:rsid w:val="006B4EF7"/>
    <w:rsid w:val="006C65D2"/>
    <w:rsid w:val="006D143F"/>
    <w:rsid w:val="006D3730"/>
    <w:rsid w:val="006D5F4A"/>
    <w:rsid w:val="006D7ED9"/>
    <w:rsid w:val="006E0049"/>
    <w:rsid w:val="006E1CC9"/>
    <w:rsid w:val="006E4BC7"/>
    <w:rsid w:val="006E78DF"/>
    <w:rsid w:val="006F0A3F"/>
    <w:rsid w:val="006F3E60"/>
    <w:rsid w:val="006F4146"/>
    <w:rsid w:val="006F418C"/>
    <w:rsid w:val="006F48F3"/>
    <w:rsid w:val="006F6C62"/>
    <w:rsid w:val="00700016"/>
    <w:rsid w:val="0070163B"/>
    <w:rsid w:val="00702024"/>
    <w:rsid w:val="00702B4B"/>
    <w:rsid w:val="007040B1"/>
    <w:rsid w:val="007059C9"/>
    <w:rsid w:val="007062F5"/>
    <w:rsid w:val="00706319"/>
    <w:rsid w:val="00707967"/>
    <w:rsid w:val="00710358"/>
    <w:rsid w:val="00711036"/>
    <w:rsid w:val="00714546"/>
    <w:rsid w:val="00717EC1"/>
    <w:rsid w:val="007200F3"/>
    <w:rsid w:val="00723B5A"/>
    <w:rsid w:val="007279DF"/>
    <w:rsid w:val="00730C09"/>
    <w:rsid w:val="00741D2B"/>
    <w:rsid w:val="0074288D"/>
    <w:rsid w:val="0074295E"/>
    <w:rsid w:val="00742A68"/>
    <w:rsid w:val="00744E9C"/>
    <w:rsid w:val="007452D2"/>
    <w:rsid w:val="00745B8C"/>
    <w:rsid w:val="007538D9"/>
    <w:rsid w:val="00755571"/>
    <w:rsid w:val="007561BC"/>
    <w:rsid w:val="0076511B"/>
    <w:rsid w:val="00765516"/>
    <w:rsid w:val="00777603"/>
    <w:rsid w:val="0078071C"/>
    <w:rsid w:val="00780CA3"/>
    <w:rsid w:val="00786D03"/>
    <w:rsid w:val="00791AD0"/>
    <w:rsid w:val="00792A2C"/>
    <w:rsid w:val="00794E57"/>
    <w:rsid w:val="007970D0"/>
    <w:rsid w:val="007A0278"/>
    <w:rsid w:val="007A0D45"/>
    <w:rsid w:val="007A108E"/>
    <w:rsid w:val="007A1A25"/>
    <w:rsid w:val="007A4051"/>
    <w:rsid w:val="007A6F3A"/>
    <w:rsid w:val="007B21AA"/>
    <w:rsid w:val="007B3495"/>
    <w:rsid w:val="007C12BC"/>
    <w:rsid w:val="007C3465"/>
    <w:rsid w:val="007C37DC"/>
    <w:rsid w:val="007C576D"/>
    <w:rsid w:val="007C5DAE"/>
    <w:rsid w:val="007D604C"/>
    <w:rsid w:val="007E400F"/>
    <w:rsid w:val="007F5AE9"/>
    <w:rsid w:val="007F5B44"/>
    <w:rsid w:val="00800639"/>
    <w:rsid w:val="00802730"/>
    <w:rsid w:val="00807582"/>
    <w:rsid w:val="00812190"/>
    <w:rsid w:val="00813E2D"/>
    <w:rsid w:val="008165FF"/>
    <w:rsid w:val="008175E3"/>
    <w:rsid w:val="00817E08"/>
    <w:rsid w:val="00820B02"/>
    <w:rsid w:val="00821983"/>
    <w:rsid w:val="00824CB2"/>
    <w:rsid w:val="008256A2"/>
    <w:rsid w:val="00826F1D"/>
    <w:rsid w:val="00831971"/>
    <w:rsid w:val="00831DA3"/>
    <w:rsid w:val="00837B43"/>
    <w:rsid w:val="00840AFC"/>
    <w:rsid w:val="00841680"/>
    <w:rsid w:val="00842B0D"/>
    <w:rsid w:val="008430BF"/>
    <w:rsid w:val="00843D51"/>
    <w:rsid w:val="0084473A"/>
    <w:rsid w:val="0084685E"/>
    <w:rsid w:val="00850193"/>
    <w:rsid w:val="00850703"/>
    <w:rsid w:val="0085251D"/>
    <w:rsid w:val="00853512"/>
    <w:rsid w:val="0085378E"/>
    <w:rsid w:val="0085564E"/>
    <w:rsid w:val="00855EB2"/>
    <w:rsid w:val="00861701"/>
    <w:rsid w:val="008618D6"/>
    <w:rsid w:val="00864ED5"/>
    <w:rsid w:val="00870CEC"/>
    <w:rsid w:val="00886371"/>
    <w:rsid w:val="00886B9D"/>
    <w:rsid w:val="00886D94"/>
    <w:rsid w:val="0089276D"/>
    <w:rsid w:val="00894D2B"/>
    <w:rsid w:val="0089783D"/>
    <w:rsid w:val="008A02EE"/>
    <w:rsid w:val="008A1461"/>
    <w:rsid w:val="008A1F76"/>
    <w:rsid w:val="008A3AC7"/>
    <w:rsid w:val="008B0AA7"/>
    <w:rsid w:val="008B23A8"/>
    <w:rsid w:val="008B2AC0"/>
    <w:rsid w:val="008B5ED6"/>
    <w:rsid w:val="008C32FE"/>
    <w:rsid w:val="008C4C6D"/>
    <w:rsid w:val="008C7456"/>
    <w:rsid w:val="008D032B"/>
    <w:rsid w:val="008D36AB"/>
    <w:rsid w:val="008E5906"/>
    <w:rsid w:val="008E5E6A"/>
    <w:rsid w:val="008E7F13"/>
    <w:rsid w:val="008F1587"/>
    <w:rsid w:val="008F257A"/>
    <w:rsid w:val="008F36E1"/>
    <w:rsid w:val="008F41B4"/>
    <w:rsid w:val="008F7393"/>
    <w:rsid w:val="00900196"/>
    <w:rsid w:val="0090361D"/>
    <w:rsid w:val="0090527E"/>
    <w:rsid w:val="00905362"/>
    <w:rsid w:val="009076DC"/>
    <w:rsid w:val="00912D79"/>
    <w:rsid w:val="00915852"/>
    <w:rsid w:val="0091683D"/>
    <w:rsid w:val="009230A6"/>
    <w:rsid w:val="00926157"/>
    <w:rsid w:val="00927594"/>
    <w:rsid w:val="00927E8B"/>
    <w:rsid w:val="00930B7A"/>
    <w:rsid w:val="0093655D"/>
    <w:rsid w:val="009440D7"/>
    <w:rsid w:val="009443B9"/>
    <w:rsid w:val="00954101"/>
    <w:rsid w:val="009569DF"/>
    <w:rsid w:val="0096066B"/>
    <w:rsid w:val="00966B6C"/>
    <w:rsid w:val="0097254E"/>
    <w:rsid w:val="009747F5"/>
    <w:rsid w:val="00975DD2"/>
    <w:rsid w:val="00976644"/>
    <w:rsid w:val="0098148A"/>
    <w:rsid w:val="00983599"/>
    <w:rsid w:val="009867E1"/>
    <w:rsid w:val="009A2573"/>
    <w:rsid w:val="009A2938"/>
    <w:rsid w:val="009A312E"/>
    <w:rsid w:val="009A5AA3"/>
    <w:rsid w:val="009B0586"/>
    <w:rsid w:val="009B2F49"/>
    <w:rsid w:val="009B68F6"/>
    <w:rsid w:val="009C18E8"/>
    <w:rsid w:val="009C1FFE"/>
    <w:rsid w:val="009C28F8"/>
    <w:rsid w:val="009C2A1D"/>
    <w:rsid w:val="009C3311"/>
    <w:rsid w:val="009C3C6F"/>
    <w:rsid w:val="009C47B0"/>
    <w:rsid w:val="009C4969"/>
    <w:rsid w:val="009C799C"/>
    <w:rsid w:val="009D06AE"/>
    <w:rsid w:val="009D706F"/>
    <w:rsid w:val="009E0967"/>
    <w:rsid w:val="009E3163"/>
    <w:rsid w:val="009E658B"/>
    <w:rsid w:val="009E6AFD"/>
    <w:rsid w:val="009F13DA"/>
    <w:rsid w:val="009F2FA5"/>
    <w:rsid w:val="009F4186"/>
    <w:rsid w:val="009F5B84"/>
    <w:rsid w:val="00A01391"/>
    <w:rsid w:val="00A01E47"/>
    <w:rsid w:val="00A047EF"/>
    <w:rsid w:val="00A0485D"/>
    <w:rsid w:val="00A06684"/>
    <w:rsid w:val="00A133DF"/>
    <w:rsid w:val="00A1429A"/>
    <w:rsid w:val="00A2098D"/>
    <w:rsid w:val="00A2193A"/>
    <w:rsid w:val="00A221D1"/>
    <w:rsid w:val="00A2526D"/>
    <w:rsid w:val="00A30171"/>
    <w:rsid w:val="00A309AF"/>
    <w:rsid w:val="00A330A2"/>
    <w:rsid w:val="00A349D2"/>
    <w:rsid w:val="00A35B44"/>
    <w:rsid w:val="00A42447"/>
    <w:rsid w:val="00A44DBD"/>
    <w:rsid w:val="00A47456"/>
    <w:rsid w:val="00A526D8"/>
    <w:rsid w:val="00A57869"/>
    <w:rsid w:val="00A57A20"/>
    <w:rsid w:val="00A6259F"/>
    <w:rsid w:val="00A6455B"/>
    <w:rsid w:val="00A67EE3"/>
    <w:rsid w:val="00A76336"/>
    <w:rsid w:val="00A80856"/>
    <w:rsid w:val="00A94A64"/>
    <w:rsid w:val="00A95B85"/>
    <w:rsid w:val="00A9644F"/>
    <w:rsid w:val="00A9747E"/>
    <w:rsid w:val="00AA7956"/>
    <w:rsid w:val="00AA7AA2"/>
    <w:rsid w:val="00AB0B37"/>
    <w:rsid w:val="00AB2C1B"/>
    <w:rsid w:val="00AB3CAE"/>
    <w:rsid w:val="00AB40C4"/>
    <w:rsid w:val="00AB6C0B"/>
    <w:rsid w:val="00AC0047"/>
    <w:rsid w:val="00AC3A06"/>
    <w:rsid w:val="00AC3BF5"/>
    <w:rsid w:val="00AC5EEC"/>
    <w:rsid w:val="00AE10A7"/>
    <w:rsid w:val="00AE2582"/>
    <w:rsid w:val="00AE356A"/>
    <w:rsid w:val="00AE6E05"/>
    <w:rsid w:val="00AF172B"/>
    <w:rsid w:val="00AF5D97"/>
    <w:rsid w:val="00B00A5E"/>
    <w:rsid w:val="00B01402"/>
    <w:rsid w:val="00B01E6C"/>
    <w:rsid w:val="00B07BB3"/>
    <w:rsid w:val="00B10727"/>
    <w:rsid w:val="00B2081C"/>
    <w:rsid w:val="00B21181"/>
    <w:rsid w:val="00B2343F"/>
    <w:rsid w:val="00B27579"/>
    <w:rsid w:val="00B32CA1"/>
    <w:rsid w:val="00B33EFB"/>
    <w:rsid w:val="00B33F0A"/>
    <w:rsid w:val="00B373BD"/>
    <w:rsid w:val="00B4109B"/>
    <w:rsid w:val="00B4171E"/>
    <w:rsid w:val="00B43025"/>
    <w:rsid w:val="00B4740F"/>
    <w:rsid w:val="00B51003"/>
    <w:rsid w:val="00B56593"/>
    <w:rsid w:val="00B57DDB"/>
    <w:rsid w:val="00B61820"/>
    <w:rsid w:val="00B6430E"/>
    <w:rsid w:val="00B7178A"/>
    <w:rsid w:val="00B719FC"/>
    <w:rsid w:val="00B742CC"/>
    <w:rsid w:val="00B758B4"/>
    <w:rsid w:val="00B7667A"/>
    <w:rsid w:val="00B7752B"/>
    <w:rsid w:val="00B8037C"/>
    <w:rsid w:val="00B81964"/>
    <w:rsid w:val="00B83C91"/>
    <w:rsid w:val="00B86A4D"/>
    <w:rsid w:val="00B90F84"/>
    <w:rsid w:val="00B93841"/>
    <w:rsid w:val="00B94698"/>
    <w:rsid w:val="00B95A86"/>
    <w:rsid w:val="00B97B97"/>
    <w:rsid w:val="00B97D0F"/>
    <w:rsid w:val="00BA075C"/>
    <w:rsid w:val="00BA1712"/>
    <w:rsid w:val="00BA3C6C"/>
    <w:rsid w:val="00BA6136"/>
    <w:rsid w:val="00BB3056"/>
    <w:rsid w:val="00BB4E2D"/>
    <w:rsid w:val="00BB6C2D"/>
    <w:rsid w:val="00BB71D6"/>
    <w:rsid w:val="00BC1915"/>
    <w:rsid w:val="00BC3239"/>
    <w:rsid w:val="00BD6B32"/>
    <w:rsid w:val="00BD6DDA"/>
    <w:rsid w:val="00BE068D"/>
    <w:rsid w:val="00BE1FEE"/>
    <w:rsid w:val="00BE28E7"/>
    <w:rsid w:val="00BE4388"/>
    <w:rsid w:val="00BE6343"/>
    <w:rsid w:val="00BE68EB"/>
    <w:rsid w:val="00BE6CB3"/>
    <w:rsid w:val="00BE7B48"/>
    <w:rsid w:val="00BE7D32"/>
    <w:rsid w:val="00BF0D38"/>
    <w:rsid w:val="00BF2718"/>
    <w:rsid w:val="00BF332A"/>
    <w:rsid w:val="00BF4EF6"/>
    <w:rsid w:val="00BF5FFB"/>
    <w:rsid w:val="00BF6FB6"/>
    <w:rsid w:val="00BF7667"/>
    <w:rsid w:val="00C013D2"/>
    <w:rsid w:val="00C03A89"/>
    <w:rsid w:val="00C074FB"/>
    <w:rsid w:val="00C1009E"/>
    <w:rsid w:val="00C10D69"/>
    <w:rsid w:val="00C113C2"/>
    <w:rsid w:val="00C11532"/>
    <w:rsid w:val="00C13F47"/>
    <w:rsid w:val="00C17442"/>
    <w:rsid w:val="00C20237"/>
    <w:rsid w:val="00C265E2"/>
    <w:rsid w:val="00C27743"/>
    <w:rsid w:val="00C344D5"/>
    <w:rsid w:val="00C34570"/>
    <w:rsid w:val="00C34864"/>
    <w:rsid w:val="00C37066"/>
    <w:rsid w:val="00C442FC"/>
    <w:rsid w:val="00C4560B"/>
    <w:rsid w:val="00C50EFD"/>
    <w:rsid w:val="00C5417C"/>
    <w:rsid w:val="00C55A29"/>
    <w:rsid w:val="00C6181C"/>
    <w:rsid w:val="00C64BA0"/>
    <w:rsid w:val="00C677B6"/>
    <w:rsid w:val="00C67E4B"/>
    <w:rsid w:val="00C74DCD"/>
    <w:rsid w:val="00C7522F"/>
    <w:rsid w:val="00C76D2C"/>
    <w:rsid w:val="00C770D6"/>
    <w:rsid w:val="00C77AE8"/>
    <w:rsid w:val="00C82EF0"/>
    <w:rsid w:val="00C865F5"/>
    <w:rsid w:val="00C92242"/>
    <w:rsid w:val="00C93263"/>
    <w:rsid w:val="00C96EA1"/>
    <w:rsid w:val="00CA115C"/>
    <w:rsid w:val="00CA23FD"/>
    <w:rsid w:val="00CA4565"/>
    <w:rsid w:val="00CA6220"/>
    <w:rsid w:val="00CA7A80"/>
    <w:rsid w:val="00CB166C"/>
    <w:rsid w:val="00CB2925"/>
    <w:rsid w:val="00CC46D3"/>
    <w:rsid w:val="00CC6E1B"/>
    <w:rsid w:val="00CD1AFC"/>
    <w:rsid w:val="00CD38CB"/>
    <w:rsid w:val="00CD53C6"/>
    <w:rsid w:val="00CD71BB"/>
    <w:rsid w:val="00CE1E1D"/>
    <w:rsid w:val="00CE3D70"/>
    <w:rsid w:val="00CE4152"/>
    <w:rsid w:val="00CE6582"/>
    <w:rsid w:val="00CE7A28"/>
    <w:rsid w:val="00CF14E5"/>
    <w:rsid w:val="00CF19F8"/>
    <w:rsid w:val="00CF2D1E"/>
    <w:rsid w:val="00CF39AF"/>
    <w:rsid w:val="00CF4F4F"/>
    <w:rsid w:val="00D03FE1"/>
    <w:rsid w:val="00D04D73"/>
    <w:rsid w:val="00D05DC4"/>
    <w:rsid w:val="00D11E01"/>
    <w:rsid w:val="00D13707"/>
    <w:rsid w:val="00D16330"/>
    <w:rsid w:val="00D22AB7"/>
    <w:rsid w:val="00D23C78"/>
    <w:rsid w:val="00D24883"/>
    <w:rsid w:val="00D270FC"/>
    <w:rsid w:val="00D37993"/>
    <w:rsid w:val="00D432EB"/>
    <w:rsid w:val="00D4765A"/>
    <w:rsid w:val="00D51314"/>
    <w:rsid w:val="00D52F29"/>
    <w:rsid w:val="00D53625"/>
    <w:rsid w:val="00D55941"/>
    <w:rsid w:val="00D571C9"/>
    <w:rsid w:val="00D6038F"/>
    <w:rsid w:val="00D61012"/>
    <w:rsid w:val="00D644C0"/>
    <w:rsid w:val="00D655D5"/>
    <w:rsid w:val="00D67976"/>
    <w:rsid w:val="00D71954"/>
    <w:rsid w:val="00D72D48"/>
    <w:rsid w:val="00D747D8"/>
    <w:rsid w:val="00D74C09"/>
    <w:rsid w:val="00D801CF"/>
    <w:rsid w:val="00D8313D"/>
    <w:rsid w:val="00D84DA8"/>
    <w:rsid w:val="00D84F42"/>
    <w:rsid w:val="00D85523"/>
    <w:rsid w:val="00D86725"/>
    <w:rsid w:val="00D878E9"/>
    <w:rsid w:val="00D904FD"/>
    <w:rsid w:val="00D90C86"/>
    <w:rsid w:val="00D91A91"/>
    <w:rsid w:val="00DA1360"/>
    <w:rsid w:val="00DA3723"/>
    <w:rsid w:val="00DB0225"/>
    <w:rsid w:val="00DC3546"/>
    <w:rsid w:val="00DC77D1"/>
    <w:rsid w:val="00DD11B5"/>
    <w:rsid w:val="00DD1681"/>
    <w:rsid w:val="00DD2519"/>
    <w:rsid w:val="00DD25E2"/>
    <w:rsid w:val="00DD316E"/>
    <w:rsid w:val="00DD365A"/>
    <w:rsid w:val="00DD559B"/>
    <w:rsid w:val="00DD59BA"/>
    <w:rsid w:val="00DD62DC"/>
    <w:rsid w:val="00DD6A91"/>
    <w:rsid w:val="00DD7C9C"/>
    <w:rsid w:val="00DE294B"/>
    <w:rsid w:val="00DF1FB1"/>
    <w:rsid w:val="00DF3710"/>
    <w:rsid w:val="00DF41EB"/>
    <w:rsid w:val="00DF62F1"/>
    <w:rsid w:val="00DF7F03"/>
    <w:rsid w:val="00E02C1E"/>
    <w:rsid w:val="00E04395"/>
    <w:rsid w:val="00E04404"/>
    <w:rsid w:val="00E05E02"/>
    <w:rsid w:val="00E10E88"/>
    <w:rsid w:val="00E16638"/>
    <w:rsid w:val="00E26CFB"/>
    <w:rsid w:val="00E2719F"/>
    <w:rsid w:val="00E316F9"/>
    <w:rsid w:val="00E34816"/>
    <w:rsid w:val="00E3578E"/>
    <w:rsid w:val="00E359A2"/>
    <w:rsid w:val="00E35E5E"/>
    <w:rsid w:val="00E4106B"/>
    <w:rsid w:val="00E42C2F"/>
    <w:rsid w:val="00E42D3C"/>
    <w:rsid w:val="00E474CD"/>
    <w:rsid w:val="00E52551"/>
    <w:rsid w:val="00E54D7E"/>
    <w:rsid w:val="00E54FFF"/>
    <w:rsid w:val="00E56962"/>
    <w:rsid w:val="00E5753A"/>
    <w:rsid w:val="00E66395"/>
    <w:rsid w:val="00E6704D"/>
    <w:rsid w:val="00E67701"/>
    <w:rsid w:val="00E67F25"/>
    <w:rsid w:val="00E70396"/>
    <w:rsid w:val="00E71B46"/>
    <w:rsid w:val="00E7210B"/>
    <w:rsid w:val="00E76B61"/>
    <w:rsid w:val="00E76E31"/>
    <w:rsid w:val="00E77FF3"/>
    <w:rsid w:val="00E86AA4"/>
    <w:rsid w:val="00E8770C"/>
    <w:rsid w:val="00E87998"/>
    <w:rsid w:val="00E9197B"/>
    <w:rsid w:val="00E959F5"/>
    <w:rsid w:val="00E95B0E"/>
    <w:rsid w:val="00EA0744"/>
    <w:rsid w:val="00EA21CA"/>
    <w:rsid w:val="00EA3860"/>
    <w:rsid w:val="00EB256D"/>
    <w:rsid w:val="00EB2919"/>
    <w:rsid w:val="00EB33F9"/>
    <w:rsid w:val="00EB3B78"/>
    <w:rsid w:val="00EB67CA"/>
    <w:rsid w:val="00EB7215"/>
    <w:rsid w:val="00EB7FA7"/>
    <w:rsid w:val="00EC103F"/>
    <w:rsid w:val="00EC1C0C"/>
    <w:rsid w:val="00EC4BDA"/>
    <w:rsid w:val="00EC7BC7"/>
    <w:rsid w:val="00ED5177"/>
    <w:rsid w:val="00EE46A6"/>
    <w:rsid w:val="00EE7C8B"/>
    <w:rsid w:val="00EF0932"/>
    <w:rsid w:val="00EF1A55"/>
    <w:rsid w:val="00EF3540"/>
    <w:rsid w:val="00EF3C7C"/>
    <w:rsid w:val="00EF4DFF"/>
    <w:rsid w:val="00F0049D"/>
    <w:rsid w:val="00F0557C"/>
    <w:rsid w:val="00F05A7B"/>
    <w:rsid w:val="00F114EE"/>
    <w:rsid w:val="00F11E6B"/>
    <w:rsid w:val="00F15454"/>
    <w:rsid w:val="00F2058A"/>
    <w:rsid w:val="00F214BB"/>
    <w:rsid w:val="00F21A78"/>
    <w:rsid w:val="00F2267F"/>
    <w:rsid w:val="00F24C8B"/>
    <w:rsid w:val="00F24CD3"/>
    <w:rsid w:val="00F304EE"/>
    <w:rsid w:val="00F36F4E"/>
    <w:rsid w:val="00F4015C"/>
    <w:rsid w:val="00F40204"/>
    <w:rsid w:val="00F43919"/>
    <w:rsid w:val="00F44AEA"/>
    <w:rsid w:val="00F45C28"/>
    <w:rsid w:val="00F46C60"/>
    <w:rsid w:val="00F47004"/>
    <w:rsid w:val="00F513D9"/>
    <w:rsid w:val="00F52368"/>
    <w:rsid w:val="00F528C9"/>
    <w:rsid w:val="00F538C0"/>
    <w:rsid w:val="00F55331"/>
    <w:rsid w:val="00F5679E"/>
    <w:rsid w:val="00F56F74"/>
    <w:rsid w:val="00F628CC"/>
    <w:rsid w:val="00F64226"/>
    <w:rsid w:val="00F648C4"/>
    <w:rsid w:val="00F649D1"/>
    <w:rsid w:val="00F6570D"/>
    <w:rsid w:val="00F67FA6"/>
    <w:rsid w:val="00F705F9"/>
    <w:rsid w:val="00F7481B"/>
    <w:rsid w:val="00F76002"/>
    <w:rsid w:val="00F76B57"/>
    <w:rsid w:val="00F7740E"/>
    <w:rsid w:val="00F838D5"/>
    <w:rsid w:val="00F83E0C"/>
    <w:rsid w:val="00F845E2"/>
    <w:rsid w:val="00F8547F"/>
    <w:rsid w:val="00F86A4A"/>
    <w:rsid w:val="00F87243"/>
    <w:rsid w:val="00F90584"/>
    <w:rsid w:val="00F92597"/>
    <w:rsid w:val="00F97E65"/>
    <w:rsid w:val="00FA161B"/>
    <w:rsid w:val="00FA328A"/>
    <w:rsid w:val="00FA4B15"/>
    <w:rsid w:val="00FA724D"/>
    <w:rsid w:val="00FB587F"/>
    <w:rsid w:val="00FB6F01"/>
    <w:rsid w:val="00FC0E3F"/>
    <w:rsid w:val="00FC14C5"/>
    <w:rsid w:val="00FC16AE"/>
    <w:rsid w:val="00FC1DC0"/>
    <w:rsid w:val="00FC6561"/>
    <w:rsid w:val="00FC68DA"/>
    <w:rsid w:val="00FC7689"/>
    <w:rsid w:val="00FC7E42"/>
    <w:rsid w:val="00FD0797"/>
    <w:rsid w:val="00FD17B4"/>
    <w:rsid w:val="00FD239B"/>
    <w:rsid w:val="00FD3423"/>
    <w:rsid w:val="00FD68CD"/>
    <w:rsid w:val="00FD798F"/>
    <w:rsid w:val="00FE0684"/>
    <w:rsid w:val="00FE24C4"/>
    <w:rsid w:val="00FE3A9B"/>
    <w:rsid w:val="00FE41D3"/>
    <w:rsid w:val="00FE4A45"/>
    <w:rsid w:val="00FE5264"/>
    <w:rsid w:val="00FF576E"/>
    <w:rsid w:val="00FF5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9443B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A04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7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47EF"/>
    <w:rPr>
      <w:vertAlign w:val="superscript"/>
    </w:rPr>
  </w:style>
  <w:style w:type="character" w:styleId="FollowedHyperlink">
    <w:name w:val="FollowedHyperlink"/>
    <w:basedOn w:val="DefaultParagraphFont"/>
    <w:uiPriority w:val="99"/>
    <w:semiHidden/>
    <w:unhideWhenUsed/>
    <w:rsid w:val="00615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747120581">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FA66-7F46-4A4F-BBB3-D581F0CB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17</Pages>
  <Words>5479</Words>
  <Characters>31234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4.1.1. specifiskā atbalsta mērķa “Veicināt efektīvu energoresursu izmantošanu, enerģijas patēriņa samazināšanu un pāreju uz AER apstrādes rūpniecības nozarē” trešās proj</vt:lpstr>
    </vt:vector>
  </TitlesOfParts>
  <Company>Ekonomikas ministrija</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Evelīna Matisone</cp:lastModifiedBy>
  <cp:revision>9</cp:revision>
  <cp:lastPrinted>2019-02-12T09:20:00Z</cp:lastPrinted>
  <dcterms:created xsi:type="dcterms:W3CDTF">2019-05-07T11:50:00Z</dcterms:created>
  <dcterms:modified xsi:type="dcterms:W3CDTF">2019-05-31T07:47:00Z</dcterms:modified>
</cp:coreProperties>
</file>