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3403"/>
      </w:tblGrid>
      <w:tr w:rsidR="007116C7" w:rsidRPr="00712B66" w:rsidTr="00B301E7">
        <w:trPr>
          <w:trHeight w:val="1153"/>
        </w:trPr>
        <w:tc>
          <w:tcPr>
            <w:tcW w:w="13403" w:type="dxa"/>
          </w:tcPr>
          <w:p w:rsidR="007116C7" w:rsidRPr="00712B66" w:rsidRDefault="00B301E7" w:rsidP="00B301E7">
            <w:pPr>
              <w:jc w:val="both"/>
            </w:pPr>
            <w:r>
              <w:rPr>
                <w:b/>
                <w:bCs/>
                <w:sz w:val="28"/>
                <w:szCs w:val="28"/>
              </w:rPr>
              <w:t xml:space="preserve">          </w:t>
            </w:r>
            <w:r w:rsidRPr="00B301E7">
              <w:rPr>
                <w:b/>
                <w:bCs/>
                <w:sz w:val="28"/>
                <w:szCs w:val="28"/>
              </w:rPr>
              <w:t>Izziņa par atzinumos sniegtajiem iebildumiem</w:t>
            </w:r>
            <w:r>
              <w:rPr>
                <w:b/>
                <w:bCs/>
                <w:sz w:val="28"/>
                <w:szCs w:val="28"/>
              </w:rPr>
              <w:t xml:space="preserve"> par </w:t>
            </w:r>
            <w:r w:rsidR="0017310D" w:rsidRPr="0017310D">
              <w:rPr>
                <w:b/>
                <w:bCs/>
                <w:sz w:val="28"/>
                <w:szCs w:val="28"/>
              </w:rPr>
              <w:t>Ministru kabineta noteikumu projektu “Grozījumi Ministru kabineta 2009. gada 27. oktobra noteikumos Nr.1227 “Noteikumi par regulējamiem sabiedrisko pakalpojumu veidiem”” (VSS-63)</w:t>
            </w:r>
          </w:p>
        </w:tc>
      </w:tr>
    </w:tbl>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66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1"/>
        <w:gridCol w:w="3086"/>
        <w:gridCol w:w="3118"/>
        <w:gridCol w:w="2977"/>
        <w:gridCol w:w="2459"/>
        <w:gridCol w:w="1920"/>
      </w:tblGrid>
      <w:tr w:rsidR="005F4BFD" w:rsidRPr="00712B66" w:rsidTr="003C6B07">
        <w:tc>
          <w:tcPr>
            <w:tcW w:w="1101"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C6B07">
            <w:pPr>
              <w:pStyle w:val="naisc"/>
              <w:spacing w:before="0" w:after="0"/>
              <w:jc w:val="left"/>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C32AF8">
            <w:pPr>
              <w:pStyle w:val="naisc"/>
              <w:spacing w:before="0" w:after="0"/>
              <w:ind w:right="3"/>
              <w:jc w:val="left"/>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3C6B07">
        <w:tc>
          <w:tcPr>
            <w:tcW w:w="1101" w:type="dxa"/>
            <w:tcBorders>
              <w:top w:val="single" w:sz="6" w:space="0" w:color="000000"/>
              <w:left w:val="single" w:sz="6" w:space="0" w:color="000000"/>
              <w:bottom w:val="single" w:sz="6" w:space="0" w:color="000000"/>
              <w:right w:val="single" w:sz="6" w:space="0" w:color="000000"/>
            </w:tcBorders>
          </w:tcPr>
          <w:p w:rsidR="005F4BFD" w:rsidRPr="008A36C9" w:rsidRDefault="008A36C9" w:rsidP="003C6B07">
            <w:pPr>
              <w:pStyle w:val="naisc"/>
              <w:spacing w:before="0" w:after="0"/>
              <w:jc w:val="left"/>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C32AF8">
            <w:pPr>
              <w:pStyle w:val="naisc"/>
              <w:spacing w:before="0" w:after="0"/>
              <w:ind w:firstLine="720"/>
              <w:jc w:val="left"/>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8A36C9" w:rsidRPr="00712B66" w:rsidTr="003C6B07">
        <w:tc>
          <w:tcPr>
            <w:tcW w:w="1101" w:type="dxa"/>
            <w:tcBorders>
              <w:left w:val="single" w:sz="6" w:space="0" w:color="000000"/>
              <w:bottom w:val="single" w:sz="4" w:space="0" w:color="auto"/>
              <w:right w:val="single" w:sz="6" w:space="0" w:color="000000"/>
            </w:tcBorders>
          </w:tcPr>
          <w:p w:rsidR="008A36C9" w:rsidRPr="00712B66" w:rsidRDefault="008A36C9" w:rsidP="00986CB0">
            <w:pPr>
              <w:pStyle w:val="naisc"/>
              <w:spacing w:before="0" w:after="0"/>
              <w:jc w:val="left"/>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C32AF8">
            <w:pPr>
              <w:pStyle w:val="naisc"/>
              <w:spacing w:before="0" w:after="0"/>
              <w:ind w:firstLine="720"/>
              <w:jc w:val="left"/>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B4C0F" w:rsidP="0036160E">
            <w:pPr>
              <w:pStyle w:val="NormalWeb"/>
              <w:spacing w:before="0" w:beforeAutospacing="0" w:after="0" w:afterAutospacing="0"/>
              <w:ind w:firstLine="720"/>
            </w:pP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B47D83" w:rsidP="00B47D83">
            <w:pPr>
              <w:pStyle w:val="NormalWeb"/>
              <w:spacing w:before="0" w:beforeAutospacing="0" w:after="0" w:afterAutospacing="0"/>
            </w:pPr>
            <w:r>
              <w:t>Finanšu ministrija, Tieslietu ministrija, Valsts kanceleja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B47D83" w:rsidP="00B47D83">
            <w:pPr>
              <w:pStyle w:val="naiskr"/>
              <w:spacing w:before="0" w:after="0"/>
            </w:pPr>
            <w:r>
              <w:t>Sabiedrisko pakalpojumu regulēšanas komisija, Latvijas Pašvaldību savienība</w:t>
            </w: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7B4C0F" w:rsidP="0036160E">
            <w:pPr>
              <w:pStyle w:val="naiskr"/>
              <w:spacing w:before="0" w:after="0"/>
              <w:ind w:firstLine="12"/>
            </w:pP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bookmarkStart w:id="0" w:name="_GoBack"/>
      <w:bookmarkEnd w:id="0"/>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01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1"/>
        <w:gridCol w:w="2429"/>
        <w:gridCol w:w="686"/>
        <w:gridCol w:w="4388"/>
        <w:gridCol w:w="1099"/>
        <w:gridCol w:w="1316"/>
        <w:gridCol w:w="151"/>
        <w:gridCol w:w="97"/>
        <w:gridCol w:w="142"/>
        <w:gridCol w:w="3018"/>
        <w:gridCol w:w="15"/>
      </w:tblGrid>
      <w:tr w:rsidR="00134188" w:rsidRPr="00712B66" w:rsidTr="00BB16C5">
        <w:trPr>
          <w:gridAfter w:val="1"/>
          <w:wAfter w:w="15" w:type="dxa"/>
        </w:trPr>
        <w:tc>
          <w:tcPr>
            <w:tcW w:w="671"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115"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38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566" w:type="dxa"/>
            <w:gridSpan w:val="3"/>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57" w:type="dxa"/>
            <w:gridSpan w:val="3"/>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BB16C5">
        <w:trPr>
          <w:gridAfter w:val="1"/>
          <w:wAfter w:w="15" w:type="dxa"/>
        </w:trPr>
        <w:tc>
          <w:tcPr>
            <w:tcW w:w="671"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115"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38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2566" w:type="dxa"/>
            <w:gridSpan w:val="3"/>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257" w:type="dxa"/>
            <w:gridSpan w:val="3"/>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771440" w:rsidRPr="00712B66" w:rsidTr="00BB16C5">
        <w:tc>
          <w:tcPr>
            <w:tcW w:w="671" w:type="dxa"/>
            <w:tcBorders>
              <w:left w:val="single" w:sz="6" w:space="0" w:color="000000"/>
              <w:bottom w:val="single" w:sz="4" w:space="0" w:color="auto"/>
              <w:right w:val="single" w:sz="6" w:space="0" w:color="000000"/>
            </w:tcBorders>
          </w:tcPr>
          <w:p w:rsidR="0002410A" w:rsidRPr="00712B66" w:rsidRDefault="0002410A" w:rsidP="00B733C5">
            <w:pPr>
              <w:pStyle w:val="naisc"/>
              <w:spacing w:before="0" w:after="0"/>
              <w:jc w:val="left"/>
            </w:pPr>
            <w:r>
              <w:t>1.</w:t>
            </w:r>
          </w:p>
        </w:tc>
        <w:tc>
          <w:tcPr>
            <w:tcW w:w="3115" w:type="dxa"/>
            <w:gridSpan w:val="2"/>
            <w:tcBorders>
              <w:left w:val="single" w:sz="6" w:space="0" w:color="000000"/>
              <w:bottom w:val="single" w:sz="4" w:space="0" w:color="auto"/>
              <w:right w:val="single" w:sz="6" w:space="0" w:color="000000"/>
            </w:tcBorders>
          </w:tcPr>
          <w:p w:rsidR="0002410A" w:rsidRPr="00712B66" w:rsidRDefault="0002410A" w:rsidP="006C18E3">
            <w:pPr>
              <w:pStyle w:val="naisc"/>
              <w:spacing w:before="0" w:after="0"/>
              <w:ind w:hanging="107"/>
            </w:pPr>
          </w:p>
        </w:tc>
        <w:tc>
          <w:tcPr>
            <w:tcW w:w="4388" w:type="dxa"/>
            <w:tcBorders>
              <w:left w:val="single" w:sz="6" w:space="0" w:color="000000"/>
              <w:bottom w:val="single" w:sz="4" w:space="0" w:color="auto"/>
              <w:right w:val="single" w:sz="6" w:space="0" w:color="000000"/>
            </w:tcBorders>
          </w:tcPr>
          <w:p w:rsidR="0002410A" w:rsidRPr="00D61B49" w:rsidRDefault="0002410A" w:rsidP="00B733C5">
            <w:pPr>
              <w:pStyle w:val="ListParagraph"/>
              <w:widowControl w:val="0"/>
              <w:autoSpaceDE w:val="0"/>
              <w:autoSpaceDN w:val="0"/>
              <w:adjustRightInd w:val="0"/>
              <w:spacing w:after="0" w:line="240" w:lineRule="auto"/>
              <w:ind w:left="0"/>
              <w:jc w:val="both"/>
              <w:rPr>
                <w:rFonts w:ascii="Times New Roman" w:hAnsi="Times New Roman"/>
                <w:b/>
                <w:sz w:val="24"/>
                <w:szCs w:val="24"/>
                <w:lang w:eastAsia="lv-LV"/>
              </w:rPr>
            </w:pPr>
            <w:r>
              <w:rPr>
                <w:rFonts w:ascii="Times New Roman" w:hAnsi="Times New Roman"/>
                <w:b/>
                <w:sz w:val="24"/>
                <w:szCs w:val="24"/>
                <w:lang w:eastAsia="lv-LV"/>
              </w:rPr>
              <w:t>Sabiedrisko pakalpojumu regulēšanas komisija</w:t>
            </w:r>
          </w:p>
          <w:p w:rsidR="0002410A" w:rsidRPr="005C4C31" w:rsidRDefault="0002410A" w:rsidP="00B733C5">
            <w:pPr>
              <w:spacing w:after="40"/>
              <w:jc w:val="both"/>
            </w:pPr>
            <w:r w:rsidRPr="00D41700">
              <w:rPr>
                <w:bCs/>
              </w:rPr>
              <w:t xml:space="preserve">Papildināt Projekta 1.3.apakšpunktu ar grozījumu </w:t>
            </w:r>
            <w:r w:rsidRPr="00D41700">
              <w:t xml:space="preserve">Ministru kabineta 2009.gada 27.oktobra noteikumu Nr.1227 “Noteikumi par regulējamiem sabiedrisko pakalpojumu veidiem” </w:t>
            </w:r>
            <w:r w:rsidR="00DC4604">
              <w:t xml:space="preserve">(turpmāk - Noteikumu) </w:t>
            </w:r>
            <w:r w:rsidRPr="00D41700">
              <w:rPr>
                <w:bCs/>
              </w:rPr>
              <w:t>3.punktā, aizstājot vārd</w:t>
            </w:r>
            <w:r>
              <w:rPr>
                <w:bCs/>
              </w:rPr>
              <w:t>kopu</w:t>
            </w:r>
            <w:r w:rsidRPr="00D41700">
              <w:rPr>
                <w:bCs/>
              </w:rPr>
              <w:t xml:space="preserve"> “siltumenerģijas apgādē” ar vārdu “siltumapgādē”.</w:t>
            </w:r>
            <w:r w:rsidRPr="00D41700" w:rsidDel="00C06054">
              <w:rPr>
                <w:bCs/>
              </w:rPr>
              <w:t xml:space="preserve"> </w:t>
            </w:r>
          </w:p>
          <w:p w:rsidR="0002410A" w:rsidRPr="00D41700" w:rsidRDefault="0002410A" w:rsidP="00B733C5">
            <w:pPr>
              <w:spacing w:after="40"/>
            </w:pPr>
            <w:r w:rsidRPr="00D41700">
              <w:t xml:space="preserve">Šāda </w:t>
            </w:r>
            <w:r>
              <w:t>grozījuma</w:t>
            </w:r>
            <w:r w:rsidRPr="00D41700">
              <w:t xml:space="preserve"> mērķis ir salāgot un precizēt </w:t>
            </w:r>
            <w:r>
              <w:t xml:space="preserve">Noteikumu </w:t>
            </w:r>
            <w:r w:rsidRPr="00D41700">
              <w:t xml:space="preserve">tiesisko regulējumu ar Enerģētikas likumu, jo Enerģētikas likumā </w:t>
            </w:r>
            <w:r w:rsidRPr="00D41700">
              <w:lastRenderedPageBreak/>
              <w:t>attiecībā uz siltumenerģijas apgādes pakalpojumiem tiek lietots jēdziens – “siltumapgāde”</w:t>
            </w:r>
            <w:r w:rsidRPr="00A23733">
              <w:t xml:space="preserve"> </w:t>
            </w:r>
            <w:r w:rsidRPr="00D41700">
              <w:t xml:space="preserve">(piemēram, Enerģētikas likuma </w:t>
            </w:r>
            <w:r>
              <w:t>46</w:t>
            </w:r>
            <w:r w:rsidRPr="00D41700">
              <w:t>.</w:t>
            </w:r>
            <w:r>
              <w:t xml:space="preserve"> un 47.</w:t>
            </w:r>
            <w:r w:rsidRPr="00D41700">
              <w:t>pant</w:t>
            </w:r>
            <w:r>
              <w:t>s</w:t>
            </w:r>
            <w:r w:rsidRPr="00D41700">
              <w:t xml:space="preserve">). </w:t>
            </w:r>
          </w:p>
          <w:p w:rsidR="0002410A" w:rsidRPr="00712B66" w:rsidRDefault="0002410A" w:rsidP="00B733C5">
            <w:pPr>
              <w:pStyle w:val="naisc"/>
              <w:spacing w:before="0" w:after="0"/>
              <w:ind w:firstLine="720"/>
              <w:jc w:val="left"/>
            </w:pPr>
          </w:p>
        </w:tc>
        <w:tc>
          <w:tcPr>
            <w:tcW w:w="2415" w:type="dxa"/>
            <w:gridSpan w:val="2"/>
            <w:tcBorders>
              <w:top w:val="single" w:sz="4" w:space="0" w:color="auto"/>
              <w:left w:val="single" w:sz="6" w:space="0" w:color="000000"/>
              <w:bottom w:val="single" w:sz="4" w:space="0" w:color="auto"/>
              <w:right w:val="nil"/>
            </w:tcBorders>
          </w:tcPr>
          <w:p w:rsidR="00184807" w:rsidRPr="0053378B" w:rsidRDefault="0002410A" w:rsidP="00184807">
            <w:pPr>
              <w:pStyle w:val="naisc"/>
              <w:tabs>
                <w:tab w:val="left" w:pos="316"/>
              </w:tabs>
              <w:spacing w:before="0" w:after="0"/>
              <w:ind w:right="-111"/>
              <w:jc w:val="left"/>
              <w:rPr>
                <w:b/>
              </w:rPr>
            </w:pPr>
            <w:r w:rsidRPr="0053378B">
              <w:rPr>
                <w:b/>
              </w:rPr>
              <w:lastRenderedPageBreak/>
              <w:t>Ņemts vērā</w:t>
            </w:r>
          </w:p>
          <w:p w:rsidR="0053378B" w:rsidRPr="0053378B" w:rsidRDefault="0053378B" w:rsidP="00184807">
            <w:pPr>
              <w:pStyle w:val="naisc"/>
              <w:tabs>
                <w:tab w:val="left" w:pos="316"/>
              </w:tabs>
              <w:spacing w:before="0" w:after="0"/>
              <w:ind w:right="-111"/>
              <w:jc w:val="left"/>
            </w:pPr>
          </w:p>
          <w:p w:rsidR="0053378B" w:rsidRPr="0053378B" w:rsidRDefault="0053378B" w:rsidP="00184807">
            <w:pPr>
              <w:pStyle w:val="naisc"/>
              <w:tabs>
                <w:tab w:val="left" w:pos="316"/>
              </w:tabs>
              <w:spacing w:before="0" w:after="0"/>
              <w:ind w:right="-111"/>
              <w:jc w:val="left"/>
            </w:pPr>
            <w:r w:rsidRPr="0053378B">
              <w:t>Projekt</w:t>
            </w:r>
            <w:r w:rsidR="00D3360A">
              <w:t>s</w:t>
            </w:r>
            <w:r w:rsidRPr="0053378B">
              <w:t xml:space="preserve"> </w:t>
            </w:r>
            <w:r w:rsidR="00D3360A" w:rsidRPr="0053378B">
              <w:t>papildināt</w:t>
            </w:r>
            <w:r w:rsidR="00D3360A">
              <w:t>s</w:t>
            </w:r>
            <w:r w:rsidR="00D3360A" w:rsidRPr="0053378B">
              <w:t xml:space="preserve"> </w:t>
            </w:r>
            <w:r w:rsidRPr="0053378B">
              <w:t>ar grozījumu</w:t>
            </w:r>
            <w:r w:rsidR="00D3360A">
              <w:t xml:space="preserve"> Noteikumu 3.punktā</w:t>
            </w:r>
            <w:r w:rsidRPr="0053378B">
              <w:t xml:space="preserve">. </w:t>
            </w:r>
          </w:p>
          <w:p w:rsidR="00184807" w:rsidRPr="0053378B" w:rsidRDefault="0002410A" w:rsidP="00184807">
            <w:pPr>
              <w:pStyle w:val="naisc"/>
              <w:tabs>
                <w:tab w:val="left" w:pos="316"/>
              </w:tabs>
              <w:spacing w:before="0" w:after="0"/>
              <w:ind w:right="-111"/>
              <w:jc w:val="left"/>
            </w:pPr>
            <w:r w:rsidRPr="0053378B">
              <w:t xml:space="preserve"> </w:t>
            </w:r>
          </w:p>
          <w:p w:rsidR="0002410A" w:rsidRPr="00712B66" w:rsidRDefault="0002410A" w:rsidP="00184807">
            <w:pPr>
              <w:pStyle w:val="naisc"/>
              <w:spacing w:before="0" w:after="0"/>
              <w:jc w:val="both"/>
            </w:pPr>
            <w:r w:rsidRPr="0053378B">
              <w:t xml:space="preserve">              </w:t>
            </w:r>
          </w:p>
        </w:tc>
        <w:tc>
          <w:tcPr>
            <w:tcW w:w="248" w:type="dxa"/>
            <w:gridSpan w:val="2"/>
            <w:tcBorders>
              <w:top w:val="single" w:sz="4" w:space="0" w:color="auto"/>
              <w:left w:val="nil"/>
              <w:bottom w:val="single" w:sz="4" w:space="0" w:color="auto"/>
              <w:right w:val="single" w:sz="4" w:space="0" w:color="auto"/>
            </w:tcBorders>
          </w:tcPr>
          <w:p w:rsidR="0002410A" w:rsidRPr="00712B66" w:rsidRDefault="0002410A" w:rsidP="00B733C5"/>
        </w:tc>
        <w:tc>
          <w:tcPr>
            <w:tcW w:w="3175" w:type="dxa"/>
            <w:gridSpan w:val="3"/>
            <w:tcBorders>
              <w:top w:val="single" w:sz="4" w:space="0" w:color="auto"/>
              <w:left w:val="single" w:sz="4" w:space="0" w:color="auto"/>
              <w:bottom w:val="single" w:sz="4" w:space="0" w:color="auto"/>
            </w:tcBorders>
          </w:tcPr>
          <w:p w:rsidR="00184807" w:rsidRDefault="00184807" w:rsidP="00B733C5">
            <w:pPr>
              <w:rPr>
                <w:rFonts w:ascii="Arial" w:hAnsi="Arial" w:cs="Arial"/>
              </w:rPr>
            </w:pPr>
          </w:p>
          <w:p w:rsidR="00D3360A" w:rsidRDefault="00666D79" w:rsidP="00B733C5">
            <w:pPr>
              <w:rPr>
                <w:bCs/>
              </w:rPr>
            </w:pPr>
            <w:bookmarkStart w:id="1" w:name="_Hlk1570346"/>
            <w:r>
              <w:rPr>
                <w:bCs/>
              </w:rPr>
              <w:t xml:space="preserve">2. </w:t>
            </w:r>
            <w:r w:rsidR="00184807">
              <w:rPr>
                <w:bCs/>
              </w:rPr>
              <w:t xml:space="preserve"> 3.punktā</w:t>
            </w:r>
          </w:p>
          <w:p w:rsidR="00184807" w:rsidRDefault="00D3360A" w:rsidP="00BB16C5">
            <w:pPr>
              <w:jc w:val="both"/>
              <w:rPr>
                <w:bCs/>
              </w:rPr>
            </w:pPr>
            <w:r>
              <w:rPr>
                <w:bCs/>
              </w:rPr>
              <w:t>aizstāt</w:t>
            </w:r>
            <w:r w:rsidR="00184807" w:rsidRPr="00D41700">
              <w:rPr>
                <w:bCs/>
              </w:rPr>
              <w:t xml:space="preserve"> vārd</w:t>
            </w:r>
            <w:r>
              <w:rPr>
                <w:bCs/>
              </w:rPr>
              <w:t>us</w:t>
            </w:r>
            <w:r w:rsidR="00184807" w:rsidRPr="00D41700">
              <w:rPr>
                <w:bCs/>
              </w:rPr>
              <w:t xml:space="preserve"> “siltumenerģijas apgādē” ar vārdu “siltumapgādē”</w:t>
            </w:r>
            <w:r w:rsidR="00184807">
              <w:rPr>
                <w:bCs/>
              </w:rPr>
              <w:t>.</w:t>
            </w:r>
          </w:p>
          <w:bookmarkEnd w:id="1"/>
          <w:p w:rsidR="00184807" w:rsidRDefault="00184807" w:rsidP="00B733C5"/>
          <w:p w:rsidR="00184807" w:rsidRPr="00712B66" w:rsidRDefault="00184807" w:rsidP="00B733C5"/>
        </w:tc>
      </w:tr>
      <w:tr w:rsidR="00771440"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2.</w:t>
            </w:r>
          </w:p>
        </w:tc>
        <w:tc>
          <w:tcPr>
            <w:tcW w:w="3115" w:type="dxa"/>
            <w:gridSpan w:val="2"/>
            <w:tcBorders>
              <w:left w:val="single" w:sz="6" w:space="0" w:color="000000"/>
              <w:bottom w:val="single" w:sz="4" w:space="0" w:color="auto"/>
              <w:right w:val="single" w:sz="6" w:space="0" w:color="000000"/>
            </w:tcBorders>
          </w:tcPr>
          <w:p w:rsidR="00184807" w:rsidRPr="004F79FC" w:rsidRDefault="00184807" w:rsidP="00184807">
            <w:pPr>
              <w:spacing w:before="120" w:after="120"/>
              <w:ind w:hanging="107"/>
              <w:jc w:val="both"/>
            </w:pPr>
            <w:bookmarkStart w:id="2" w:name="_Hlk518456329"/>
            <w:r w:rsidRPr="00CA0722">
              <w:t>1.</w:t>
            </w:r>
            <w:r>
              <w:t>3</w:t>
            </w:r>
            <w:r w:rsidRPr="00CA0722">
              <w:t xml:space="preserve">. </w:t>
            </w:r>
            <w:r>
              <w:t>i</w:t>
            </w:r>
            <w:r w:rsidRPr="004F79FC">
              <w:t xml:space="preserve">zteikt </w:t>
            </w:r>
            <w:r>
              <w:t>3.2. un 3.3. apakšpunktu</w:t>
            </w:r>
            <w:r w:rsidRPr="004F79FC">
              <w:t xml:space="preserve"> šādā redakcijā:</w:t>
            </w:r>
          </w:p>
          <w:p w:rsidR="00184807" w:rsidRPr="004F79FC" w:rsidRDefault="00184807" w:rsidP="00184807">
            <w:pPr>
              <w:spacing w:before="120" w:after="120"/>
              <w:ind w:left="177" w:hanging="107"/>
              <w:jc w:val="both"/>
            </w:pPr>
            <w:r w:rsidRPr="0094380F">
              <w:t>“</w:t>
            </w:r>
            <w:r w:rsidRPr="0094380F">
              <w:rPr>
                <w:bCs/>
              </w:rPr>
              <w:t>3.2. siltumenerģijas pārvadi un sadali galalietotājiem, ja starp tiem ir mājsaimniecības lietotāji un ja kopējais pārvadītās un sadalītās siltumenerģijas apjoms pārsniedz 5000 megavatstundu gadā, izņemot gadījumos, kad autonomā ražotāja vai neatkarīgā ražotāja saražoto siltumenerģiju piegādā  līdz licencēta siltumenerģijas pārvades un sadales komersanta siltumtīkliem</w:t>
            </w:r>
            <w:r w:rsidRPr="0094380F">
              <w:t>”</w:t>
            </w:r>
            <w:r>
              <w:t>;</w:t>
            </w:r>
          </w:p>
          <w:p w:rsidR="00184807" w:rsidRPr="00CA0722" w:rsidRDefault="00184807" w:rsidP="00184807">
            <w:pPr>
              <w:spacing w:before="120" w:after="120"/>
              <w:ind w:left="177" w:hanging="107"/>
              <w:jc w:val="both"/>
            </w:pPr>
            <w:r w:rsidRPr="00225A7C" w:rsidDel="00276DEE">
              <w:t xml:space="preserve"> </w:t>
            </w:r>
            <w:r w:rsidRPr="00276DEE">
              <w:t>“</w:t>
            </w:r>
            <w:r>
              <w:t xml:space="preserve">3.3. </w:t>
            </w:r>
            <w:r w:rsidRPr="00276DEE">
              <w:t xml:space="preserve">siltumenerģijas tirdzniecību </w:t>
            </w:r>
            <w:r>
              <w:t xml:space="preserve">enerģijas </w:t>
            </w:r>
            <w:r w:rsidRPr="00276DEE">
              <w:t>lietotājiem, ja tirgot</w:t>
            </w:r>
            <w:r>
              <w:t>o</w:t>
            </w:r>
            <w:r w:rsidRPr="00276DEE">
              <w:t xml:space="preserve"> siltumenerģij</w:t>
            </w:r>
            <w:r>
              <w:t>u piegādā</w:t>
            </w:r>
            <w:r w:rsidRPr="00276DEE">
              <w:t xml:space="preserve"> pa licencēta siltumenerģijas pārvades un sadales komersanta siltumtīkliem”.</w:t>
            </w:r>
          </w:p>
          <w:bookmarkEnd w:id="2"/>
          <w:p w:rsidR="00184807" w:rsidRPr="00712B66" w:rsidRDefault="00184807" w:rsidP="00184807">
            <w:pPr>
              <w:pStyle w:val="naisc"/>
              <w:spacing w:before="0" w:after="0"/>
              <w:ind w:hanging="107"/>
            </w:pPr>
          </w:p>
        </w:tc>
        <w:tc>
          <w:tcPr>
            <w:tcW w:w="4388" w:type="dxa"/>
            <w:tcBorders>
              <w:left w:val="single" w:sz="6" w:space="0" w:color="000000"/>
              <w:bottom w:val="single" w:sz="4" w:space="0" w:color="auto"/>
              <w:right w:val="single" w:sz="6" w:space="0" w:color="000000"/>
            </w:tcBorders>
          </w:tcPr>
          <w:p w:rsidR="00184807" w:rsidRPr="00D61B49" w:rsidRDefault="00184807" w:rsidP="00184807">
            <w:pPr>
              <w:pStyle w:val="ListParagraph"/>
              <w:widowControl w:val="0"/>
              <w:autoSpaceDE w:val="0"/>
              <w:autoSpaceDN w:val="0"/>
              <w:adjustRightInd w:val="0"/>
              <w:spacing w:after="0" w:line="240" w:lineRule="auto"/>
              <w:ind w:left="0"/>
              <w:jc w:val="both"/>
              <w:rPr>
                <w:rFonts w:ascii="Times New Roman" w:hAnsi="Times New Roman"/>
                <w:b/>
                <w:sz w:val="24"/>
                <w:szCs w:val="24"/>
                <w:lang w:eastAsia="lv-LV"/>
              </w:rPr>
            </w:pPr>
            <w:r>
              <w:rPr>
                <w:rFonts w:ascii="Times New Roman" w:hAnsi="Times New Roman"/>
                <w:b/>
                <w:sz w:val="24"/>
                <w:szCs w:val="24"/>
                <w:lang w:eastAsia="lv-LV"/>
              </w:rPr>
              <w:t>Sabiedrisko pakalpojumu regulēšanas komisija</w:t>
            </w:r>
          </w:p>
          <w:p w:rsidR="00184807" w:rsidRPr="005C4C31" w:rsidRDefault="00184807" w:rsidP="00184807">
            <w:pPr>
              <w:spacing w:after="40"/>
              <w:jc w:val="both"/>
            </w:pPr>
            <w:r w:rsidRPr="00D41700">
              <w:rPr>
                <w:bCs/>
              </w:rPr>
              <w:t>Projekta 1.3.apakšpunktā</w:t>
            </w:r>
            <w:r w:rsidRPr="00D41700" w:rsidDel="00C06054">
              <w:rPr>
                <w:bCs/>
              </w:rPr>
              <w:t xml:space="preserve"> </w:t>
            </w:r>
            <w:r w:rsidRPr="00D41700">
              <w:rPr>
                <w:bCs/>
              </w:rPr>
              <w:t xml:space="preserve">ietvertajā Noteikumu </w:t>
            </w:r>
            <w:r w:rsidRPr="00D41700">
              <w:t xml:space="preserve">3.2. un 3.3.apakšpunkta </w:t>
            </w:r>
            <w:r w:rsidRPr="00D41700">
              <w:rPr>
                <w:bCs/>
              </w:rPr>
              <w:t xml:space="preserve">grozījumu redakcijā </w:t>
            </w:r>
            <w:r w:rsidRPr="00D41700">
              <w:t>aizstāt vārdkopu “licencēta siltumenerģijas pārvades un sadales komersanta” ar vārdkopu “</w:t>
            </w:r>
            <w:bookmarkStart w:id="3" w:name="_Hlk1570300"/>
            <w:r w:rsidRPr="00D41700">
              <w:t>regulējama siltumapgādes sistēmas operatora</w:t>
            </w:r>
            <w:bookmarkEnd w:id="3"/>
            <w:r w:rsidRPr="00D41700">
              <w:t xml:space="preserve">”. </w:t>
            </w:r>
          </w:p>
          <w:p w:rsidR="00184807" w:rsidRPr="0034232A" w:rsidRDefault="00184807" w:rsidP="00184807">
            <w:pPr>
              <w:spacing w:after="40"/>
            </w:pPr>
            <w:r w:rsidRPr="00D41700">
              <w:t xml:space="preserve">Šāda precizējuma mērķis ir pilnveidot un salāgot </w:t>
            </w:r>
            <w:r>
              <w:t xml:space="preserve">Noteikumu </w:t>
            </w:r>
            <w:r w:rsidRPr="00D41700">
              <w:t>tiesisko regulējumu ar Enerģētikas likumu</w:t>
            </w:r>
            <w:r>
              <w:t>, jo, pirmkārt,</w:t>
            </w:r>
            <w:r w:rsidRPr="00D41700">
              <w:t xml:space="preserve"> Enerģētikas likuma izpratnē enerģijas pārvades </w:t>
            </w:r>
            <w:r>
              <w:t>un</w:t>
            </w:r>
            <w:r w:rsidRPr="00D41700">
              <w:t xml:space="preserve"> sadales pakalpojumu </w:t>
            </w:r>
            <w:r w:rsidRPr="0034232A">
              <w:t>sniedzējs ir sistēmas operators</w:t>
            </w:r>
            <w:r>
              <w:t xml:space="preserve"> </w:t>
            </w:r>
            <w:r w:rsidRPr="0034232A">
              <w:t>(piemēram, Enerģētikas likuma 1.panta 45.punkts</w:t>
            </w:r>
            <w:r>
              <w:t>, 15.panta 1.</w:t>
            </w:r>
            <w:r w:rsidRPr="00B445F2">
              <w:rPr>
                <w:vertAlign w:val="superscript"/>
              </w:rPr>
              <w:t>1</w:t>
            </w:r>
            <w:r>
              <w:t xml:space="preserve">daļa), otrkārt, Enerģētikas likums satur jēdzienu </w:t>
            </w:r>
            <w:r w:rsidRPr="00D41700">
              <w:t>– “</w:t>
            </w:r>
            <w:r w:rsidRPr="0034232A">
              <w:t xml:space="preserve">siltumapgādes sistēmas operators” (piemēram, Enerģētikas likuma </w:t>
            </w:r>
            <w:r w:rsidRPr="0034232A">
              <w:rPr>
                <w:bCs/>
              </w:rPr>
              <w:t>9.</w:t>
            </w:r>
            <w:r w:rsidRPr="0034232A">
              <w:rPr>
                <w:bCs/>
                <w:vertAlign w:val="superscript"/>
              </w:rPr>
              <w:t>2</w:t>
            </w:r>
            <w:r w:rsidRPr="0034232A">
              <w:rPr>
                <w:bCs/>
              </w:rPr>
              <w:t> pant</w:t>
            </w:r>
            <w:r>
              <w:rPr>
                <w:bCs/>
              </w:rPr>
              <w:t>a pirmās daļas 1. un 2.punkts, 47.panta pirmā un otrā daļa) un</w:t>
            </w:r>
            <w:r>
              <w:t xml:space="preserve">, treškārt, </w:t>
            </w:r>
            <w:r w:rsidRPr="00D41700">
              <w:t xml:space="preserve">Enerģētikas likuma izpratnē </w:t>
            </w:r>
            <w:r w:rsidRPr="0034232A">
              <w:t xml:space="preserve">regulēts komersants ir energoapgādes komersants, kas ir saņēmis licenci </w:t>
            </w:r>
            <w:r>
              <w:t xml:space="preserve">sabiedrisko pakalpojumu sniegšanai </w:t>
            </w:r>
            <w:r w:rsidRPr="0034232A">
              <w:t xml:space="preserve">vai </w:t>
            </w:r>
            <w:r>
              <w:t xml:space="preserve">ir </w:t>
            </w:r>
            <w:r w:rsidRPr="0034232A">
              <w:t xml:space="preserve">reģistrēts attiecīgajā sabiedrisko pakalpojumu reģistrā (piemēram, Enerģētikas likuma 1.panta 9.punkts, </w:t>
            </w:r>
            <w:r w:rsidRPr="0034232A">
              <w:lastRenderedPageBreak/>
              <w:t>5.panta pirmā daļa).</w:t>
            </w:r>
          </w:p>
          <w:p w:rsidR="00184807" w:rsidRPr="00712B66" w:rsidRDefault="00184807" w:rsidP="00184807">
            <w:pPr>
              <w:pStyle w:val="naisc"/>
              <w:spacing w:before="0" w:after="0"/>
              <w:ind w:firstLine="720"/>
              <w:jc w:val="left"/>
            </w:pPr>
          </w:p>
        </w:tc>
        <w:tc>
          <w:tcPr>
            <w:tcW w:w="2415" w:type="dxa"/>
            <w:gridSpan w:val="2"/>
            <w:tcBorders>
              <w:top w:val="single" w:sz="4" w:space="0" w:color="auto"/>
              <w:left w:val="single" w:sz="6" w:space="0" w:color="000000"/>
              <w:bottom w:val="single" w:sz="4" w:space="0" w:color="auto"/>
              <w:right w:val="nil"/>
            </w:tcBorders>
          </w:tcPr>
          <w:p w:rsidR="00812BE1" w:rsidRDefault="00184807" w:rsidP="0014339C">
            <w:pPr>
              <w:pStyle w:val="naisc"/>
              <w:spacing w:before="0" w:after="0"/>
              <w:jc w:val="left"/>
              <w:rPr>
                <w:b/>
              </w:rPr>
            </w:pPr>
            <w:r w:rsidRPr="00B7765E">
              <w:rPr>
                <w:b/>
              </w:rPr>
              <w:lastRenderedPageBreak/>
              <w:t>Ņemts</w:t>
            </w:r>
            <w:r>
              <w:rPr>
                <w:b/>
              </w:rPr>
              <w:t xml:space="preserve"> </w:t>
            </w:r>
            <w:r w:rsidRPr="00B7765E">
              <w:rPr>
                <w:b/>
              </w:rPr>
              <w:t>vērā</w:t>
            </w:r>
            <w:r>
              <w:rPr>
                <w:b/>
              </w:rPr>
              <w:t xml:space="preserve">   </w:t>
            </w:r>
          </w:p>
          <w:p w:rsidR="00812BE1" w:rsidRDefault="00812BE1" w:rsidP="0014339C">
            <w:pPr>
              <w:pStyle w:val="naisc"/>
              <w:spacing w:before="0" w:after="0"/>
              <w:jc w:val="left"/>
              <w:rPr>
                <w:b/>
              </w:rPr>
            </w:pPr>
          </w:p>
          <w:p w:rsidR="00184807" w:rsidRPr="00812BE1" w:rsidRDefault="00812BE1" w:rsidP="0014339C">
            <w:pPr>
              <w:pStyle w:val="naisc"/>
              <w:spacing w:before="0" w:after="0"/>
              <w:jc w:val="left"/>
            </w:pPr>
            <w:r w:rsidRPr="00BB16C5">
              <w:t xml:space="preserve">Precizēta Projektā paredzētā Noteikumu 3.2. un 3.3.apakšpunkta redakcija </w:t>
            </w:r>
            <w:r w:rsidR="00184807" w:rsidRPr="00BB16C5">
              <w:t xml:space="preserve">            </w:t>
            </w:r>
          </w:p>
        </w:tc>
        <w:tc>
          <w:tcPr>
            <w:tcW w:w="248"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175" w:type="dxa"/>
            <w:gridSpan w:val="3"/>
            <w:tcBorders>
              <w:top w:val="single" w:sz="4" w:space="0" w:color="auto"/>
              <w:left w:val="single" w:sz="4" w:space="0" w:color="auto"/>
              <w:bottom w:val="single" w:sz="4" w:space="0" w:color="auto"/>
            </w:tcBorders>
          </w:tcPr>
          <w:p w:rsidR="00812BE1" w:rsidRDefault="00812BE1" w:rsidP="00184807">
            <w:pPr>
              <w:spacing w:before="120" w:after="120"/>
              <w:ind w:hanging="107"/>
              <w:jc w:val="both"/>
            </w:pPr>
            <w:r>
              <w:t>2. 3.punktā</w:t>
            </w:r>
          </w:p>
          <w:p w:rsidR="00184807" w:rsidRPr="004F79FC" w:rsidRDefault="00184807" w:rsidP="00184807">
            <w:pPr>
              <w:spacing w:before="120" w:after="120"/>
              <w:ind w:hanging="107"/>
              <w:jc w:val="both"/>
            </w:pPr>
            <w:r w:rsidRPr="00CA0722">
              <w:t xml:space="preserve"> </w:t>
            </w:r>
            <w:r>
              <w:t>i</w:t>
            </w:r>
            <w:r w:rsidRPr="004F79FC">
              <w:t xml:space="preserve">zteikt </w:t>
            </w:r>
            <w:r>
              <w:t>3.2. un 3.3. apakšpunktu</w:t>
            </w:r>
            <w:r w:rsidRPr="004F79FC">
              <w:t xml:space="preserve"> šādā redakcijā:</w:t>
            </w:r>
          </w:p>
          <w:p w:rsidR="00184807" w:rsidRPr="004F79FC" w:rsidRDefault="00184807" w:rsidP="00184807">
            <w:pPr>
              <w:spacing w:before="120" w:after="120"/>
              <w:ind w:left="177" w:hanging="107"/>
              <w:jc w:val="both"/>
            </w:pPr>
            <w:r w:rsidRPr="0094380F">
              <w:t>“</w:t>
            </w:r>
            <w:r w:rsidRPr="0094380F">
              <w:rPr>
                <w:bCs/>
              </w:rPr>
              <w:t xml:space="preserve">3.2. siltumenerģijas pārvadi un sadali galalietotājiem, ja starp tiem ir mājsaimniecības lietotāji un ja kopējais pārvadītās un sadalītās siltumenerģijas apjoms pārsniedz 5000 megavatstundu gadā, izņemot gadījumos, kad autonomā ražotāja vai neatkarīgā ražotāja saražoto siltumenerģiju piegādā  līdz </w:t>
            </w:r>
            <w:r w:rsidR="00771440" w:rsidRPr="00D41700">
              <w:t>regulējama siltumapgādes sistēmas operatora</w:t>
            </w:r>
            <w:r w:rsidR="00771440" w:rsidRPr="0094380F">
              <w:rPr>
                <w:bCs/>
              </w:rPr>
              <w:t xml:space="preserve"> </w:t>
            </w:r>
            <w:r w:rsidRPr="0094380F">
              <w:rPr>
                <w:bCs/>
              </w:rPr>
              <w:t>siltumtīkliem</w:t>
            </w:r>
            <w:r w:rsidRPr="0094380F">
              <w:t>”</w:t>
            </w:r>
            <w:r>
              <w:t>;</w:t>
            </w:r>
          </w:p>
          <w:p w:rsidR="00184807" w:rsidRPr="00CA0722" w:rsidRDefault="00184807" w:rsidP="00184807">
            <w:pPr>
              <w:spacing w:before="120" w:after="120"/>
              <w:ind w:left="177" w:hanging="107"/>
              <w:jc w:val="both"/>
            </w:pPr>
            <w:r w:rsidRPr="00225A7C" w:rsidDel="00276DEE">
              <w:t xml:space="preserve"> </w:t>
            </w:r>
            <w:r w:rsidRPr="00276DEE">
              <w:t>“</w:t>
            </w:r>
            <w:r>
              <w:t xml:space="preserve">3.3. </w:t>
            </w:r>
            <w:r w:rsidRPr="00276DEE">
              <w:t xml:space="preserve">siltumenerģijas tirdzniecību </w:t>
            </w:r>
            <w:r>
              <w:t xml:space="preserve">enerģijas </w:t>
            </w:r>
            <w:r w:rsidRPr="00276DEE">
              <w:t>lietotājiem, ja tirgot</w:t>
            </w:r>
            <w:r>
              <w:t>o</w:t>
            </w:r>
            <w:r w:rsidRPr="00276DEE">
              <w:t xml:space="preserve"> siltumenerģij</w:t>
            </w:r>
            <w:r>
              <w:t>u piegādā</w:t>
            </w:r>
            <w:r w:rsidRPr="00276DEE">
              <w:t xml:space="preserve"> pa </w:t>
            </w:r>
            <w:r w:rsidR="00D3185D" w:rsidRPr="00D41700">
              <w:t>regulējama siltumapgādes sistēmas operatora</w:t>
            </w:r>
            <w:r w:rsidRPr="00276DEE">
              <w:t xml:space="preserve"> siltumtīkliem”.</w:t>
            </w:r>
          </w:p>
          <w:p w:rsidR="00184807" w:rsidRPr="00712B66" w:rsidRDefault="00184807" w:rsidP="00184807"/>
        </w:tc>
      </w:tr>
      <w:tr w:rsidR="00771440" w:rsidRPr="00712B66" w:rsidTr="00BB16C5">
        <w:tc>
          <w:tcPr>
            <w:tcW w:w="671" w:type="dxa"/>
            <w:tcBorders>
              <w:left w:val="single" w:sz="6" w:space="0" w:color="000000"/>
              <w:bottom w:val="single" w:sz="4" w:space="0" w:color="auto"/>
              <w:right w:val="single" w:sz="6" w:space="0" w:color="000000"/>
            </w:tcBorders>
          </w:tcPr>
          <w:p w:rsidR="00184807" w:rsidRPr="003C6B07" w:rsidRDefault="00184807" w:rsidP="00184807">
            <w:r>
              <w:t>3.</w:t>
            </w:r>
          </w:p>
        </w:tc>
        <w:tc>
          <w:tcPr>
            <w:tcW w:w="3115" w:type="dxa"/>
            <w:gridSpan w:val="2"/>
            <w:tcBorders>
              <w:left w:val="single" w:sz="6" w:space="0" w:color="000000"/>
              <w:bottom w:val="single" w:sz="4" w:space="0" w:color="auto"/>
              <w:right w:val="single" w:sz="6" w:space="0" w:color="000000"/>
            </w:tcBorders>
          </w:tcPr>
          <w:p w:rsidR="00184807" w:rsidRPr="00B7765E" w:rsidRDefault="00184807" w:rsidP="00184807">
            <w:pPr>
              <w:pStyle w:val="ListParagraph"/>
              <w:spacing w:before="120" w:after="120"/>
              <w:ind w:left="177"/>
              <w:rPr>
                <w:rFonts w:ascii="Times New Roman" w:hAnsi="Times New Roman"/>
              </w:rPr>
            </w:pPr>
            <w:r w:rsidRPr="00B7765E">
              <w:rPr>
                <w:rFonts w:ascii="Times New Roman" w:hAnsi="Times New Roman"/>
              </w:rPr>
              <w:t>1.4. papildināt noteikumus ar 10.</w:t>
            </w:r>
            <w:r w:rsidRPr="00B7765E">
              <w:rPr>
                <w:rFonts w:ascii="Times New Roman" w:hAnsi="Times New Roman"/>
                <w:vertAlign w:val="superscript"/>
              </w:rPr>
              <w:t>1</w:t>
            </w:r>
            <w:r w:rsidRPr="00B7765E">
              <w:rPr>
                <w:rFonts w:ascii="Times New Roman" w:hAnsi="Times New Roman"/>
              </w:rPr>
              <w:t xml:space="preserve"> punktu šādā redakcijā:</w:t>
            </w:r>
          </w:p>
          <w:p w:rsidR="00184807" w:rsidRPr="00B7765E" w:rsidRDefault="00184807" w:rsidP="00184807">
            <w:pPr>
              <w:spacing w:before="120" w:after="120"/>
              <w:ind w:left="177"/>
            </w:pPr>
            <w:r w:rsidRPr="00B7765E">
              <w:t>“10.</w:t>
            </w:r>
            <w:r w:rsidRPr="00B7765E">
              <w:rPr>
                <w:vertAlign w:val="superscript"/>
              </w:rPr>
              <w:t>1</w:t>
            </w:r>
            <w:r w:rsidRPr="00B7765E">
              <w:t xml:space="preserve"> Regulators sešu mēnešu laikā no grozījumu spēkā stāšanās dienas šo noteikumu 3.1., 3.2. un 3.3. apakšpunktā anulē (atceļ) izsniegtās licences siltumenerģijas pārvadei un sadalei komersantiem, kuru sniegtais pakalpojums nav regulējams saskaņā ar šo noteikumu 3.2. apakšpunktu, un izslēdz no siltumenerģijas ražotāju reģistra un no siltumenerģijas tirgotāju reģistra komersantus, kuru sniegtie siltumapgādes pakalpojumi nav regulējami saskaņā ar šo noteikumu 3.1. un 3.3. apakšpunktu.”</w:t>
            </w:r>
          </w:p>
          <w:p w:rsidR="00184807" w:rsidRPr="00B7765E" w:rsidRDefault="00184807" w:rsidP="00184807">
            <w:pPr>
              <w:pStyle w:val="naisc"/>
              <w:spacing w:before="0" w:after="0"/>
              <w:ind w:left="177"/>
              <w:jc w:val="left"/>
            </w:pPr>
          </w:p>
        </w:tc>
        <w:tc>
          <w:tcPr>
            <w:tcW w:w="4388" w:type="dxa"/>
            <w:tcBorders>
              <w:left w:val="single" w:sz="6" w:space="0" w:color="000000"/>
              <w:bottom w:val="single" w:sz="4" w:space="0" w:color="auto"/>
              <w:right w:val="single" w:sz="6" w:space="0" w:color="000000"/>
            </w:tcBorders>
          </w:tcPr>
          <w:p w:rsidR="00184807" w:rsidRPr="00C32AF8" w:rsidRDefault="00184807" w:rsidP="00184807">
            <w:pPr>
              <w:rPr>
                <w:b/>
              </w:rPr>
            </w:pPr>
            <w:r w:rsidRPr="00C32AF8">
              <w:rPr>
                <w:b/>
              </w:rPr>
              <w:t>Tieslietu ministrija</w:t>
            </w:r>
          </w:p>
          <w:p w:rsidR="00184807" w:rsidRDefault="00184807" w:rsidP="00184807">
            <w:r w:rsidRPr="007E45DE">
              <w:t xml:space="preserve">Projekta </w:t>
            </w:r>
            <w:r>
              <w:t>1.4. apakšpunkts paredz papildināt noteikumus ar 10.</w:t>
            </w:r>
            <w:r w:rsidRPr="00E91375">
              <w:rPr>
                <w:vertAlign w:val="superscript"/>
              </w:rPr>
              <w:t>1</w:t>
            </w:r>
            <w:r>
              <w:t> punktu šādā redakcijā: "Regulators sešu mēnešu laikā no grozījumu spēkā stāšanās dienas šo noteikumu 3.1., 3.2. un 3.3. apakšpunktā anulē (atceļ) izsniegtās licences siltumenerģijas pārvadei un sadalei komersantiem, kuru sniegtais pakalpojums nav regulējams saskaņā ar šo noteikumu 3.2. apakšpunktu, un izslēdz no siltumenerģijas ražotāju reģistra un no siltumenerģijas tirgotāju reģistra komersantus, kuru sniegtie siltumapgādes pakalpojumi nav regulējami saskaņā ar šo noteikumu 3.1. un 3.3. apakšpunktu."</w:t>
            </w:r>
          </w:p>
          <w:p w:rsidR="00184807" w:rsidRDefault="00184807" w:rsidP="00184807">
            <w:r>
              <w:t>Likuma "</w:t>
            </w:r>
            <w:r w:rsidRPr="00ED1494">
              <w:t>Par sabiedrisko pakalpojumu regulatoriem</w:t>
            </w:r>
            <w:r>
              <w:t>" 2. panta ceturtā daļa noteic: "</w:t>
            </w:r>
            <w:r w:rsidRPr="00C0716E">
              <w:t>To sabiedrisko pakalpojumu veidus, kuru sniegšanu nepieciešams regulēt,</w:t>
            </w:r>
            <w:r>
              <w:t xml:space="preserve"> </w:t>
            </w:r>
            <w:r w:rsidRPr="00C0716E">
              <w:t>regulējamās nozarēs nosaka Ministru kabinets.</w:t>
            </w:r>
            <w:r>
              <w:t>" Tādējādi likumā ir ietverts pilnvarojums Ministru kabinetam noteikt tikai sabiedrisko pakalpojumu veidus. Licencēšanas jautājumi ir risināmi atbilstoši nozaru likumos paredzētajam regulējumam un Administratīvā procesa likumam. Līdz ar to lūdzam svītrot projekta 1.4. apakšpunktu. Ja nepieciešams, varētu paredzēt vēlāku projekta spēkā stāšanās laiku.</w:t>
            </w:r>
          </w:p>
          <w:p w:rsidR="00184807" w:rsidRPr="00712B66" w:rsidRDefault="00184807" w:rsidP="00184807">
            <w:pPr>
              <w:pStyle w:val="naisc"/>
              <w:spacing w:before="0" w:after="0"/>
              <w:ind w:firstLine="720"/>
              <w:jc w:val="left"/>
            </w:pPr>
          </w:p>
        </w:tc>
        <w:tc>
          <w:tcPr>
            <w:tcW w:w="2566" w:type="dxa"/>
            <w:gridSpan w:val="3"/>
            <w:tcBorders>
              <w:left w:val="single" w:sz="6" w:space="0" w:color="000000"/>
              <w:bottom w:val="single" w:sz="4" w:space="0" w:color="auto"/>
              <w:right w:val="nil"/>
            </w:tcBorders>
          </w:tcPr>
          <w:p w:rsidR="00184807" w:rsidRDefault="00184807" w:rsidP="00184807">
            <w:pPr>
              <w:pStyle w:val="naisc"/>
              <w:spacing w:before="0" w:after="0"/>
              <w:jc w:val="left"/>
              <w:rPr>
                <w:b/>
              </w:rPr>
            </w:pPr>
            <w:r w:rsidRPr="00B7765E">
              <w:rPr>
                <w:b/>
              </w:rPr>
              <w:lastRenderedPageBreak/>
              <w:t>Ņemts</w:t>
            </w:r>
            <w:r>
              <w:rPr>
                <w:b/>
              </w:rPr>
              <w:t xml:space="preserve"> </w:t>
            </w:r>
            <w:r w:rsidRPr="00B7765E">
              <w:rPr>
                <w:b/>
              </w:rPr>
              <w:t>vērā</w:t>
            </w:r>
          </w:p>
          <w:p w:rsidR="00DD1887" w:rsidRPr="00BB16C5" w:rsidRDefault="00DD1887" w:rsidP="00184807">
            <w:pPr>
              <w:pStyle w:val="naisc"/>
              <w:spacing w:before="0" w:after="0"/>
              <w:jc w:val="left"/>
            </w:pPr>
            <w:r w:rsidRPr="00BB16C5">
              <w:t>Norma no Projekta izslēgta.</w:t>
            </w:r>
          </w:p>
        </w:tc>
        <w:tc>
          <w:tcPr>
            <w:tcW w:w="239" w:type="dxa"/>
            <w:gridSpan w:val="2"/>
            <w:tcBorders>
              <w:top w:val="single" w:sz="4" w:space="0" w:color="auto"/>
              <w:left w:val="nil"/>
              <w:bottom w:val="single" w:sz="4" w:space="0" w:color="auto"/>
              <w:right w:val="single" w:sz="4" w:space="0" w:color="auto"/>
            </w:tcBorders>
          </w:tcPr>
          <w:p w:rsidR="00184807" w:rsidRPr="00B7765E" w:rsidRDefault="00184807" w:rsidP="00184807">
            <w:pPr>
              <w:rPr>
                <w:b/>
              </w:rPr>
            </w:pPr>
          </w:p>
        </w:tc>
        <w:tc>
          <w:tcPr>
            <w:tcW w:w="3033" w:type="dxa"/>
            <w:gridSpan w:val="2"/>
            <w:tcBorders>
              <w:top w:val="single" w:sz="4" w:space="0" w:color="auto"/>
              <w:left w:val="single" w:sz="4" w:space="0" w:color="auto"/>
              <w:bottom w:val="single" w:sz="4" w:space="0" w:color="auto"/>
            </w:tcBorders>
          </w:tcPr>
          <w:p w:rsidR="00184807" w:rsidRPr="00712B66" w:rsidRDefault="00184807" w:rsidP="00771440">
            <w:pPr>
              <w:ind w:firstLine="67"/>
            </w:pPr>
          </w:p>
        </w:tc>
      </w:tr>
      <w:tr w:rsidR="00184807"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4.</w:t>
            </w:r>
          </w:p>
        </w:tc>
        <w:tc>
          <w:tcPr>
            <w:tcW w:w="3115" w:type="dxa"/>
            <w:gridSpan w:val="2"/>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ind w:firstLine="720"/>
            </w:pPr>
          </w:p>
        </w:tc>
        <w:tc>
          <w:tcPr>
            <w:tcW w:w="4388" w:type="dxa"/>
            <w:tcBorders>
              <w:left w:val="single" w:sz="6" w:space="0" w:color="000000"/>
              <w:bottom w:val="single" w:sz="4" w:space="0" w:color="auto"/>
              <w:right w:val="single" w:sz="6" w:space="0" w:color="000000"/>
            </w:tcBorders>
          </w:tcPr>
          <w:p w:rsidR="00184807" w:rsidRPr="00C32AF8" w:rsidRDefault="00184807" w:rsidP="00184807">
            <w:pPr>
              <w:rPr>
                <w:b/>
              </w:rPr>
            </w:pPr>
            <w:r w:rsidRPr="00C32AF8">
              <w:rPr>
                <w:b/>
              </w:rPr>
              <w:t>Tieslietu ministrija</w:t>
            </w:r>
          </w:p>
          <w:p w:rsidR="00184807" w:rsidRDefault="00184807" w:rsidP="00184807">
            <w:r>
              <w:t>No projekta anotācijas nav saprotams, kādi pienākumi, kopsakarā ar projekta 1.4. apakšpunktā paredzēto regulējumu, būs attiecīgajiem komersantiem šajā apakšpunktā minēto sešu mēnešu laikā. No vienas puses, projekta anotācijas I sadaļas 2. punktā norādīts, ka "</w:t>
            </w:r>
            <w:r w:rsidRPr="00B81894">
              <w:t>Sabiedrisko pakalpojumu regulēšanas komisijai ir nepieciešams izvērtēt regulējamo komersantu sniegto pakalpojumu atbilstību precizētajiem siltumenerģijas apgādes pakalpojumu veidiem un gadījumā, ja tiek konstatēts, ka komersanta sniegtie pakalpojumi nav jāregulē,</w:t>
            </w:r>
            <w:r>
              <w:t xml:space="preserve"> </w:t>
            </w:r>
            <w:r w:rsidRPr="00B81894">
              <w:t>veikt nepieciešamās darbības, lai minētajiem komersantiem turpmāk nav jāpilda</w:t>
            </w:r>
            <w:r>
              <w:t xml:space="preserve"> </w:t>
            </w:r>
            <w:r w:rsidRPr="00B81894">
              <w:t>regulējamam siltumenerģijas apgādes pakalpojumu sniedzējam noteiktos pienākumus</w:t>
            </w:r>
            <w:r>
              <w:t>". Tajā pašā laikā projekta anotācijas II sadaļas 2. punktā skaidrots, ka "s</w:t>
            </w:r>
            <w:r w:rsidRPr="009A38ED">
              <w:t>iltumenerģijas apgādes pakalpojumu sniedzējiem, kuru sniegtie pakalpojumi pēc grozījumu Noteikumos spēkā stāšanās dienas vairs nebūs jāregulē, turpmāk nebūs jāpilda regulējamam siltumenerģijas apgādes komersantam no normatīvajiem aktiem izrietošie pienākumi, tostarp regulāri sniegt Sabiedrisko pakalpojumu regulēšanas komisijai informāciju par šo komersantu darbību un maksāt valsts nodevu</w:t>
            </w:r>
            <w:r>
              <w:t>".</w:t>
            </w:r>
          </w:p>
          <w:p w:rsidR="00184807" w:rsidRDefault="00184807" w:rsidP="00184807">
            <w:r>
              <w:lastRenderedPageBreak/>
              <w:t>Ievērojot minēto, lūdzam projekta anotācijā precīzi norādīt, kādi pienākumi būs komersantam pēc projekta spēkā stāšanās līdz formālajam licences anulēšanas (atcelšanas) brīdim un kāds ir šo pienākumu tiesiskais pamatojums. Ja Sabiedrisko pakalpojumu regulēšanas komisijai ir nepieciešams laiks, lai sagatavotos pārejai uz jauno tiesisko regulējumu, tad apsverama iespēja noteikt vēlāku projekta spēkā stāšanās laiku.</w:t>
            </w:r>
          </w:p>
          <w:p w:rsidR="00184807" w:rsidRPr="00712B66" w:rsidRDefault="00184807" w:rsidP="00184807">
            <w:pPr>
              <w:pStyle w:val="naisc"/>
              <w:spacing w:before="0" w:after="0"/>
              <w:ind w:firstLine="720"/>
              <w:jc w:val="left"/>
            </w:pPr>
          </w:p>
        </w:tc>
        <w:tc>
          <w:tcPr>
            <w:tcW w:w="2566" w:type="dxa"/>
            <w:gridSpan w:val="3"/>
            <w:tcBorders>
              <w:top w:val="single" w:sz="4" w:space="0" w:color="auto"/>
              <w:left w:val="single" w:sz="6" w:space="0" w:color="000000"/>
              <w:bottom w:val="single" w:sz="4" w:space="0" w:color="auto"/>
              <w:right w:val="nil"/>
            </w:tcBorders>
          </w:tcPr>
          <w:p w:rsidR="003B2784" w:rsidRDefault="00184807" w:rsidP="00184807">
            <w:pPr>
              <w:pStyle w:val="naisc"/>
              <w:spacing w:before="0" w:after="0"/>
              <w:jc w:val="left"/>
              <w:rPr>
                <w:b/>
              </w:rPr>
            </w:pPr>
            <w:r w:rsidRPr="00B7765E">
              <w:rPr>
                <w:b/>
              </w:rPr>
              <w:lastRenderedPageBreak/>
              <w:t>Ņemts</w:t>
            </w:r>
            <w:r>
              <w:rPr>
                <w:b/>
              </w:rPr>
              <w:t xml:space="preserve"> </w:t>
            </w:r>
            <w:r w:rsidRPr="00B7765E">
              <w:rPr>
                <w:b/>
              </w:rPr>
              <w:t>vērā</w:t>
            </w:r>
            <w:r>
              <w:rPr>
                <w:b/>
              </w:rPr>
              <w:t xml:space="preserve">    </w:t>
            </w:r>
          </w:p>
          <w:p w:rsidR="003B2784" w:rsidRDefault="003B2784" w:rsidP="00184807">
            <w:pPr>
              <w:pStyle w:val="naisc"/>
              <w:spacing w:before="0" w:after="0"/>
              <w:jc w:val="left"/>
            </w:pPr>
            <w:r w:rsidRPr="006A6C70">
              <w:t>Norma no Projekta izslēgta</w:t>
            </w:r>
            <w:r>
              <w:t>.</w:t>
            </w:r>
          </w:p>
          <w:p w:rsidR="003B2784" w:rsidRDefault="003B2784" w:rsidP="00184807">
            <w:pPr>
              <w:pStyle w:val="naisc"/>
              <w:spacing w:before="0" w:after="0"/>
              <w:jc w:val="left"/>
              <w:rPr>
                <w:b/>
              </w:rPr>
            </w:pPr>
          </w:p>
          <w:p w:rsidR="00184807" w:rsidRPr="003D7268" w:rsidRDefault="00184807" w:rsidP="00184807">
            <w:pPr>
              <w:pStyle w:val="naisc"/>
              <w:spacing w:before="0" w:after="0"/>
              <w:jc w:val="left"/>
              <w:rPr>
                <w:i/>
              </w:rPr>
            </w:pPr>
          </w:p>
        </w:tc>
        <w:tc>
          <w:tcPr>
            <w:tcW w:w="239"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033" w:type="dxa"/>
            <w:gridSpan w:val="2"/>
            <w:tcBorders>
              <w:top w:val="single" w:sz="4" w:space="0" w:color="auto"/>
              <w:left w:val="single" w:sz="4" w:space="0" w:color="auto"/>
              <w:bottom w:val="single" w:sz="4" w:space="0" w:color="auto"/>
            </w:tcBorders>
          </w:tcPr>
          <w:p w:rsidR="00184807" w:rsidRPr="00712B66" w:rsidRDefault="00184807" w:rsidP="00184807"/>
        </w:tc>
      </w:tr>
      <w:tr w:rsidR="00184807"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5.</w:t>
            </w:r>
          </w:p>
        </w:tc>
        <w:tc>
          <w:tcPr>
            <w:tcW w:w="3115" w:type="dxa"/>
            <w:gridSpan w:val="2"/>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ind w:firstLine="720"/>
            </w:pPr>
          </w:p>
        </w:tc>
        <w:tc>
          <w:tcPr>
            <w:tcW w:w="4388" w:type="dxa"/>
            <w:tcBorders>
              <w:left w:val="single" w:sz="6" w:space="0" w:color="000000"/>
              <w:bottom w:val="single" w:sz="4" w:space="0" w:color="auto"/>
              <w:right w:val="single" w:sz="6" w:space="0" w:color="000000"/>
            </w:tcBorders>
          </w:tcPr>
          <w:p w:rsidR="00184807" w:rsidRPr="00C32AF8" w:rsidRDefault="00184807" w:rsidP="00184807">
            <w:pPr>
              <w:rPr>
                <w:b/>
              </w:rPr>
            </w:pPr>
            <w:r w:rsidRPr="00C32AF8">
              <w:rPr>
                <w:b/>
              </w:rPr>
              <w:t>Tieslietu ministrija</w:t>
            </w:r>
          </w:p>
          <w:p w:rsidR="00184807" w:rsidRPr="007E45DE" w:rsidRDefault="00184807" w:rsidP="00184807">
            <w:r>
              <w:t>Projekta 2. punktā paredzēts, ka projekts stājas spēkā 2019. gada 1. martā. Lūdzam papildināt projekta anotācijas I sadaļas 2. punktu ar pamatojumu šāda spēkā stāšanās laika noteikšanai.</w:t>
            </w:r>
          </w:p>
          <w:p w:rsidR="00184807" w:rsidRPr="00712B66" w:rsidRDefault="00184807" w:rsidP="00184807">
            <w:pPr>
              <w:pStyle w:val="naisc"/>
              <w:spacing w:before="0" w:after="0"/>
              <w:ind w:firstLine="720"/>
              <w:jc w:val="left"/>
            </w:pPr>
          </w:p>
        </w:tc>
        <w:tc>
          <w:tcPr>
            <w:tcW w:w="2415" w:type="dxa"/>
            <w:gridSpan w:val="2"/>
            <w:tcBorders>
              <w:top w:val="single" w:sz="4" w:space="0" w:color="auto"/>
              <w:left w:val="single" w:sz="6" w:space="0" w:color="000000"/>
              <w:bottom w:val="single" w:sz="4" w:space="0" w:color="auto"/>
              <w:right w:val="nil"/>
            </w:tcBorders>
          </w:tcPr>
          <w:p w:rsidR="00741BF7" w:rsidRDefault="00184807" w:rsidP="00184807">
            <w:pPr>
              <w:pStyle w:val="naisc"/>
              <w:spacing w:before="0" w:after="0"/>
              <w:jc w:val="left"/>
              <w:rPr>
                <w:b/>
              </w:rPr>
            </w:pPr>
            <w:r w:rsidRPr="00B7765E">
              <w:rPr>
                <w:b/>
              </w:rPr>
              <w:t>Ņemts</w:t>
            </w:r>
            <w:r>
              <w:rPr>
                <w:b/>
              </w:rPr>
              <w:t xml:space="preserve"> </w:t>
            </w:r>
            <w:r w:rsidRPr="00B7765E">
              <w:rPr>
                <w:b/>
              </w:rPr>
              <w:t>vērā</w:t>
            </w:r>
            <w:r>
              <w:rPr>
                <w:b/>
              </w:rPr>
              <w:t xml:space="preserve"> </w:t>
            </w:r>
          </w:p>
          <w:p w:rsidR="00184807" w:rsidRPr="00741BF7" w:rsidRDefault="00741BF7" w:rsidP="00184807">
            <w:pPr>
              <w:pStyle w:val="naisc"/>
              <w:spacing w:before="0" w:after="0"/>
              <w:jc w:val="left"/>
            </w:pPr>
            <w:r w:rsidRPr="00741BF7">
              <w:t xml:space="preserve">No </w:t>
            </w:r>
            <w:r w:rsidR="00962AA4">
              <w:t>P</w:t>
            </w:r>
            <w:r w:rsidRPr="00741BF7">
              <w:t>roje</w:t>
            </w:r>
            <w:r>
              <w:t>k</w:t>
            </w:r>
            <w:r w:rsidRPr="00741BF7">
              <w:t xml:space="preserve">ta izslēgta norma par spēkā stāšanās laiku, paredzot, ka grozījumi </w:t>
            </w:r>
            <w:r w:rsidR="00D86D86">
              <w:t>N</w:t>
            </w:r>
            <w:r w:rsidR="00785837" w:rsidRPr="00741BF7">
              <w:t>oteikum</w:t>
            </w:r>
            <w:r w:rsidR="00785837">
              <w:t>o</w:t>
            </w:r>
            <w:r w:rsidR="00785837" w:rsidRPr="00741BF7">
              <w:t xml:space="preserve">s </w:t>
            </w:r>
            <w:r w:rsidRPr="00741BF7">
              <w:t>stāsies spēkā vispārējā kārtībā – nākamajā dienā pēc to izsludināšanas.</w:t>
            </w:r>
            <w:r w:rsidR="00184807" w:rsidRPr="00741BF7">
              <w:t xml:space="preserve">              </w:t>
            </w:r>
          </w:p>
        </w:tc>
        <w:tc>
          <w:tcPr>
            <w:tcW w:w="248"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175" w:type="dxa"/>
            <w:gridSpan w:val="3"/>
            <w:tcBorders>
              <w:top w:val="single" w:sz="4" w:space="0" w:color="auto"/>
              <w:left w:val="single" w:sz="4" w:space="0" w:color="auto"/>
              <w:bottom w:val="single" w:sz="4" w:space="0" w:color="auto"/>
            </w:tcBorders>
          </w:tcPr>
          <w:p w:rsidR="00184807" w:rsidRPr="0002410A" w:rsidRDefault="00184807" w:rsidP="00184807">
            <w:pPr>
              <w:rPr>
                <w:i/>
                <w:color w:val="FF0000"/>
              </w:rPr>
            </w:pPr>
          </w:p>
        </w:tc>
      </w:tr>
      <w:tr w:rsidR="00184807"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6.</w:t>
            </w:r>
          </w:p>
        </w:tc>
        <w:tc>
          <w:tcPr>
            <w:tcW w:w="3115" w:type="dxa"/>
            <w:gridSpan w:val="2"/>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ind w:firstLine="720"/>
            </w:pPr>
          </w:p>
        </w:tc>
        <w:tc>
          <w:tcPr>
            <w:tcW w:w="4388" w:type="dxa"/>
            <w:tcBorders>
              <w:left w:val="single" w:sz="6" w:space="0" w:color="000000"/>
              <w:bottom w:val="single" w:sz="4" w:space="0" w:color="auto"/>
              <w:right w:val="single" w:sz="6" w:space="0" w:color="000000"/>
            </w:tcBorders>
          </w:tcPr>
          <w:p w:rsidR="00184807" w:rsidRPr="00D61B49" w:rsidRDefault="00184807" w:rsidP="00184807">
            <w:pPr>
              <w:pStyle w:val="ListParagraph"/>
              <w:widowControl w:val="0"/>
              <w:autoSpaceDE w:val="0"/>
              <w:autoSpaceDN w:val="0"/>
              <w:adjustRightInd w:val="0"/>
              <w:spacing w:after="0" w:line="240" w:lineRule="auto"/>
              <w:ind w:left="0"/>
              <w:jc w:val="both"/>
              <w:rPr>
                <w:rFonts w:ascii="Times New Roman" w:hAnsi="Times New Roman"/>
                <w:b/>
                <w:sz w:val="24"/>
                <w:szCs w:val="24"/>
                <w:lang w:eastAsia="lv-LV"/>
              </w:rPr>
            </w:pPr>
            <w:r w:rsidRPr="00D61B49">
              <w:rPr>
                <w:rFonts w:ascii="Times New Roman" w:hAnsi="Times New Roman"/>
                <w:b/>
                <w:sz w:val="24"/>
                <w:szCs w:val="24"/>
                <w:lang w:eastAsia="lv-LV"/>
              </w:rPr>
              <w:t>Valsts kanceleja</w:t>
            </w:r>
          </w:p>
          <w:p w:rsidR="00184807" w:rsidRPr="00D61B49" w:rsidRDefault="00184807" w:rsidP="00184807">
            <w:pPr>
              <w:pStyle w:val="ListParagraph"/>
              <w:widowControl w:val="0"/>
              <w:autoSpaceDE w:val="0"/>
              <w:autoSpaceDN w:val="0"/>
              <w:adjustRightInd w:val="0"/>
              <w:spacing w:after="0" w:line="240" w:lineRule="auto"/>
              <w:ind w:left="0"/>
              <w:jc w:val="both"/>
              <w:rPr>
                <w:rFonts w:ascii="Times New Roman" w:hAnsi="Times New Roman"/>
                <w:sz w:val="24"/>
                <w:szCs w:val="24"/>
                <w:lang w:eastAsia="lv-LV"/>
              </w:rPr>
            </w:pPr>
            <w:r w:rsidRPr="00D61B49">
              <w:rPr>
                <w:rFonts w:ascii="Times New Roman" w:hAnsi="Times New Roman"/>
                <w:sz w:val="24"/>
                <w:szCs w:val="24"/>
                <w:lang w:eastAsia="lv-LV"/>
              </w:rPr>
              <w:t xml:space="preserve">Ņemot vērā, ka noteikumu projekts paredz izmaiņas pienākumos elektroenerģijas tirgotājiem un siltumenerģijas apgādes pakalpojumu sniedzējiem, kā arī ievērojot 2009. gada 25. augusta Ministru kabineta noteikumu Nr.970 “Sabiedrības līdzdalības kārtība attīstības plānošanas procesā” 2., 3. un 5. punktā noteikto, lūdzam nodrošināt pilnvērtīgu noteikumu projektā paredzēto izmaiņu saskaņošanu ar ietekmējamo </w:t>
            </w:r>
            <w:r w:rsidRPr="00D61B49">
              <w:rPr>
                <w:rFonts w:ascii="Times New Roman" w:hAnsi="Times New Roman"/>
                <w:sz w:val="24"/>
                <w:szCs w:val="24"/>
                <w:lang w:eastAsia="lv-LV"/>
              </w:rPr>
              <w:lastRenderedPageBreak/>
              <w:t>uzņēmēju grupu intereses pārstāvošajām organizācijām, atspoguļojot sabiedrības līdzdalības procesu un tā rezultātus anotācijas VI sadaļā “Sabiedrības līdzdalība un komunikācijas aktivitātes”</w:t>
            </w:r>
            <w:r>
              <w:rPr>
                <w:rFonts w:ascii="Times New Roman" w:hAnsi="Times New Roman"/>
                <w:sz w:val="24"/>
                <w:szCs w:val="24"/>
                <w:lang w:eastAsia="lv-LV"/>
              </w:rPr>
              <w:t>.</w:t>
            </w:r>
          </w:p>
          <w:p w:rsidR="00184807" w:rsidRPr="00712B66" w:rsidRDefault="00184807" w:rsidP="00184807">
            <w:pPr>
              <w:pStyle w:val="naisc"/>
              <w:spacing w:before="0" w:after="0"/>
              <w:ind w:firstLine="720"/>
              <w:jc w:val="left"/>
            </w:pPr>
          </w:p>
        </w:tc>
        <w:tc>
          <w:tcPr>
            <w:tcW w:w="2415" w:type="dxa"/>
            <w:gridSpan w:val="2"/>
            <w:tcBorders>
              <w:top w:val="single" w:sz="4" w:space="0" w:color="auto"/>
              <w:left w:val="single" w:sz="6" w:space="0" w:color="000000"/>
              <w:bottom w:val="single" w:sz="4" w:space="0" w:color="auto"/>
              <w:right w:val="nil"/>
            </w:tcBorders>
          </w:tcPr>
          <w:p w:rsidR="003860CA" w:rsidRDefault="00184807" w:rsidP="00493684">
            <w:pPr>
              <w:pStyle w:val="naisc"/>
              <w:spacing w:before="0" w:after="0"/>
              <w:jc w:val="left"/>
              <w:rPr>
                <w:b/>
              </w:rPr>
            </w:pPr>
            <w:r>
              <w:rPr>
                <w:b/>
              </w:rPr>
              <w:lastRenderedPageBreak/>
              <w:t xml:space="preserve"> </w:t>
            </w:r>
            <w:r w:rsidRPr="003860CA">
              <w:rPr>
                <w:b/>
              </w:rPr>
              <w:t>Ņemts vērā</w:t>
            </w:r>
            <w:r>
              <w:rPr>
                <w:b/>
              </w:rPr>
              <w:t xml:space="preserve">  </w:t>
            </w:r>
          </w:p>
          <w:p w:rsidR="00F8496E" w:rsidRDefault="003860CA" w:rsidP="00493684">
            <w:pPr>
              <w:pStyle w:val="naisc"/>
              <w:spacing w:before="0" w:after="0"/>
              <w:jc w:val="left"/>
              <w:rPr>
                <w:b/>
              </w:rPr>
            </w:pPr>
            <w:r>
              <w:t>Anotācijas VI sadaļa papildināta ar informāciju par sabiedrības līdzdalību un komunikācijas aktivitātēm</w:t>
            </w:r>
            <w:r w:rsidR="00741BF7" w:rsidRPr="00741BF7">
              <w:t>.</w:t>
            </w:r>
          </w:p>
          <w:p w:rsidR="00184807" w:rsidRPr="00712B66" w:rsidRDefault="00184807" w:rsidP="00493684">
            <w:pPr>
              <w:pStyle w:val="naisc"/>
              <w:spacing w:before="0" w:after="0"/>
              <w:jc w:val="left"/>
            </w:pPr>
            <w:r>
              <w:rPr>
                <w:b/>
              </w:rPr>
              <w:t xml:space="preserve">            </w:t>
            </w:r>
          </w:p>
        </w:tc>
        <w:tc>
          <w:tcPr>
            <w:tcW w:w="248"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175" w:type="dxa"/>
            <w:gridSpan w:val="3"/>
            <w:tcBorders>
              <w:top w:val="single" w:sz="4" w:space="0" w:color="auto"/>
              <w:left w:val="single" w:sz="4" w:space="0" w:color="auto"/>
              <w:bottom w:val="single" w:sz="4" w:space="0" w:color="auto"/>
            </w:tcBorders>
          </w:tcPr>
          <w:p w:rsidR="00184807" w:rsidRPr="0002410A" w:rsidRDefault="00184807" w:rsidP="00184807">
            <w:pPr>
              <w:rPr>
                <w:i/>
                <w:color w:val="FF0000"/>
              </w:rPr>
            </w:pPr>
          </w:p>
        </w:tc>
      </w:tr>
      <w:tr w:rsidR="00184807"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7.</w:t>
            </w:r>
          </w:p>
        </w:tc>
        <w:tc>
          <w:tcPr>
            <w:tcW w:w="3115" w:type="dxa"/>
            <w:gridSpan w:val="2"/>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ind w:firstLine="720"/>
            </w:pPr>
          </w:p>
        </w:tc>
        <w:tc>
          <w:tcPr>
            <w:tcW w:w="4388" w:type="dxa"/>
            <w:tcBorders>
              <w:left w:val="single" w:sz="6" w:space="0" w:color="000000"/>
              <w:bottom w:val="single" w:sz="4" w:space="0" w:color="auto"/>
              <w:right w:val="single" w:sz="6" w:space="0" w:color="000000"/>
            </w:tcBorders>
          </w:tcPr>
          <w:p w:rsidR="00184807" w:rsidRPr="00D61B49" w:rsidRDefault="00184807" w:rsidP="00184807">
            <w:pPr>
              <w:pStyle w:val="ListParagraph"/>
              <w:widowControl w:val="0"/>
              <w:autoSpaceDE w:val="0"/>
              <w:autoSpaceDN w:val="0"/>
              <w:adjustRightInd w:val="0"/>
              <w:spacing w:after="0" w:line="240" w:lineRule="auto"/>
              <w:ind w:left="0"/>
              <w:jc w:val="both"/>
              <w:rPr>
                <w:rFonts w:ascii="Times New Roman" w:hAnsi="Times New Roman"/>
                <w:b/>
                <w:sz w:val="24"/>
                <w:szCs w:val="24"/>
                <w:lang w:eastAsia="lv-LV"/>
              </w:rPr>
            </w:pPr>
            <w:r w:rsidRPr="00D61B49">
              <w:rPr>
                <w:rFonts w:ascii="Times New Roman" w:hAnsi="Times New Roman"/>
                <w:b/>
                <w:sz w:val="24"/>
                <w:szCs w:val="24"/>
                <w:lang w:eastAsia="lv-LV"/>
              </w:rPr>
              <w:t>Valsts kanceleja</w:t>
            </w:r>
          </w:p>
          <w:p w:rsidR="00184807" w:rsidRPr="00D61B49" w:rsidRDefault="00184807" w:rsidP="00184807">
            <w:pPr>
              <w:pStyle w:val="ListParagraph"/>
              <w:widowControl w:val="0"/>
              <w:spacing w:after="0" w:line="240" w:lineRule="auto"/>
              <w:ind w:left="0"/>
              <w:jc w:val="both"/>
              <w:rPr>
                <w:rFonts w:ascii="Times New Roman" w:hAnsi="Times New Roman"/>
                <w:sz w:val="24"/>
                <w:szCs w:val="24"/>
                <w:lang w:eastAsia="lv-LV"/>
              </w:rPr>
            </w:pPr>
            <w:r w:rsidRPr="00D61B49">
              <w:rPr>
                <w:rFonts w:ascii="Times New Roman" w:hAnsi="Times New Roman"/>
                <w:sz w:val="24"/>
                <w:szCs w:val="24"/>
                <w:lang w:eastAsia="lv-LV"/>
              </w:rPr>
              <w:t>Ņemot vērā, ka anotācijas II sadaļas 2. punktā minēts, ka noteikumu projekta rezultātā administratīvais slogs elektroenerģijas tirgotājiem palielināsies, savukārt siltumenerģijas apgādes pakalpojumu sniedzējiem - samazināsies, lūgums papildināt minēto anotācijas punktu ar detalizēto aprakstu par paredzamo ietekmi, iekļaujot prognozi par ietekmējamo komersantu skaitu, kā arī aprēķinus par administratīvo izmaksu palielināšanas un samazināšanas apjomiem</w:t>
            </w:r>
            <w:r>
              <w:rPr>
                <w:rFonts w:ascii="Times New Roman" w:hAnsi="Times New Roman"/>
                <w:sz w:val="24"/>
                <w:szCs w:val="24"/>
                <w:lang w:eastAsia="lv-LV"/>
              </w:rPr>
              <w:t>.</w:t>
            </w:r>
          </w:p>
          <w:p w:rsidR="00184807" w:rsidRPr="00712B66" w:rsidRDefault="00184807" w:rsidP="00184807">
            <w:pPr>
              <w:pStyle w:val="naisc"/>
              <w:spacing w:before="0" w:after="0"/>
              <w:ind w:firstLine="720"/>
              <w:jc w:val="left"/>
            </w:pPr>
          </w:p>
        </w:tc>
        <w:tc>
          <w:tcPr>
            <w:tcW w:w="2415" w:type="dxa"/>
            <w:gridSpan w:val="2"/>
            <w:tcBorders>
              <w:top w:val="single" w:sz="4" w:space="0" w:color="auto"/>
              <w:left w:val="single" w:sz="6" w:space="0" w:color="000000"/>
              <w:bottom w:val="single" w:sz="4" w:space="0" w:color="auto"/>
              <w:right w:val="nil"/>
            </w:tcBorders>
          </w:tcPr>
          <w:p w:rsidR="00F8496E" w:rsidRDefault="00184807" w:rsidP="003A056B">
            <w:pPr>
              <w:pStyle w:val="naisc"/>
              <w:spacing w:before="0" w:after="0"/>
              <w:jc w:val="left"/>
              <w:rPr>
                <w:b/>
              </w:rPr>
            </w:pPr>
            <w:r w:rsidRPr="00B7765E">
              <w:rPr>
                <w:b/>
              </w:rPr>
              <w:t>Ņemts</w:t>
            </w:r>
            <w:r>
              <w:rPr>
                <w:b/>
              </w:rPr>
              <w:t xml:space="preserve"> </w:t>
            </w:r>
            <w:r w:rsidRPr="00B7765E">
              <w:rPr>
                <w:b/>
              </w:rPr>
              <w:t>vērā</w:t>
            </w:r>
            <w:r>
              <w:rPr>
                <w:b/>
              </w:rPr>
              <w:t xml:space="preserve"> </w:t>
            </w:r>
          </w:p>
          <w:p w:rsidR="00184807" w:rsidRPr="00712B66" w:rsidRDefault="00F8496E" w:rsidP="003A056B">
            <w:pPr>
              <w:pStyle w:val="naisc"/>
              <w:spacing w:before="0" w:after="0"/>
              <w:jc w:val="left"/>
            </w:pPr>
            <w:r>
              <w:t>Anotācija</w:t>
            </w:r>
            <w:r w:rsidR="00962AA4">
              <w:t>s II sadaļa</w:t>
            </w:r>
            <w:r w:rsidR="00EC48F3">
              <w:t>s 2.punkts</w:t>
            </w:r>
            <w:r w:rsidR="00962AA4">
              <w:t xml:space="preserve"> papildināt</w:t>
            </w:r>
            <w:r w:rsidR="00EC48F3">
              <w:t>s</w:t>
            </w:r>
            <w:r w:rsidR="00962AA4">
              <w:t xml:space="preserve"> ar vērtējumu par t</w:t>
            </w:r>
            <w:r w:rsidR="00962AA4" w:rsidRPr="00DD3C89">
              <w:t>iesiskā regulējuma ietekm</w:t>
            </w:r>
            <w:r w:rsidR="00962AA4">
              <w:t>i</w:t>
            </w:r>
            <w:r w:rsidR="00962AA4" w:rsidRPr="00DD3C89">
              <w:t xml:space="preserve"> uz tautsaimniecību un administratīvo slogu</w:t>
            </w:r>
            <w:r>
              <w:t>.</w:t>
            </w:r>
            <w:r w:rsidR="00962AA4">
              <w:t xml:space="preserve"> </w:t>
            </w:r>
            <w:r w:rsidR="00795B57">
              <w:t>P</w:t>
            </w:r>
            <w:r w:rsidR="00962AA4">
              <w:t xml:space="preserve">rojekts šobrīd varētu ietekmēt </w:t>
            </w:r>
            <w:r w:rsidR="00785837">
              <w:t xml:space="preserve">apmēram </w:t>
            </w:r>
            <w:r w:rsidR="00962AA4">
              <w:t xml:space="preserve">piecus elektroenerģijas tirgotājus un </w:t>
            </w:r>
            <w:r w:rsidR="003D7268">
              <w:t>dažus</w:t>
            </w:r>
            <w:r w:rsidR="009434BA">
              <w:t xml:space="preserve"> regulējamus</w:t>
            </w:r>
            <w:r w:rsidR="003D7268">
              <w:t xml:space="preserve"> </w:t>
            </w:r>
            <w:r w:rsidR="009434BA">
              <w:t xml:space="preserve">siltumapgādes </w:t>
            </w:r>
            <w:r w:rsidR="003D7268">
              <w:t>komersantus.</w:t>
            </w:r>
            <w:r w:rsidR="00962AA4">
              <w:t xml:space="preserve"> Kopumā nav paredzamas ievērojamas administratīvā sloga izmaiņas.  </w:t>
            </w:r>
            <w:r>
              <w:rPr>
                <w:i/>
                <w:color w:val="FF0000"/>
              </w:rPr>
              <w:t xml:space="preserve"> </w:t>
            </w:r>
          </w:p>
        </w:tc>
        <w:tc>
          <w:tcPr>
            <w:tcW w:w="248"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175" w:type="dxa"/>
            <w:gridSpan w:val="3"/>
            <w:tcBorders>
              <w:top w:val="single" w:sz="4" w:space="0" w:color="auto"/>
              <w:left w:val="single" w:sz="4" w:space="0" w:color="auto"/>
              <w:bottom w:val="single" w:sz="4" w:space="0" w:color="auto"/>
            </w:tcBorders>
          </w:tcPr>
          <w:p w:rsidR="00184807" w:rsidRPr="00712B66" w:rsidRDefault="00184807" w:rsidP="00184807"/>
        </w:tc>
      </w:tr>
      <w:tr w:rsidR="00184807" w:rsidRPr="00712B66" w:rsidTr="00BB16C5">
        <w:tc>
          <w:tcPr>
            <w:tcW w:w="671" w:type="dxa"/>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jc w:val="left"/>
            </w:pPr>
            <w:r>
              <w:t>8.</w:t>
            </w:r>
          </w:p>
        </w:tc>
        <w:tc>
          <w:tcPr>
            <w:tcW w:w="3115" w:type="dxa"/>
            <w:gridSpan w:val="2"/>
            <w:tcBorders>
              <w:left w:val="single" w:sz="6" w:space="0" w:color="000000"/>
              <w:bottom w:val="single" w:sz="4" w:space="0" w:color="auto"/>
              <w:right w:val="single" w:sz="6" w:space="0" w:color="000000"/>
            </w:tcBorders>
          </w:tcPr>
          <w:p w:rsidR="00184807" w:rsidRPr="00712B66" w:rsidRDefault="00184807" w:rsidP="00184807">
            <w:pPr>
              <w:pStyle w:val="naisc"/>
              <w:spacing w:before="0" w:after="0"/>
              <w:ind w:firstLine="720"/>
            </w:pPr>
          </w:p>
        </w:tc>
        <w:tc>
          <w:tcPr>
            <w:tcW w:w="4388" w:type="dxa"/>
            <w:tcBorders>
              <w:left w:val="single" w:sz="6" w:space="0" w:color="000000"/>
              <w:bottom w:val="single" w:sz="4" w:space="0" w:color="auto"/>
              <w:right w:val="single" w:sz="6" w:space="0" w:color="000000"/>
            </w:tcBorders>
          </w:tcPr>
          <w:p w:rsidR="00184807" w:rsidRPr="00D61B49" w:rsidRDefault="00184807" w:rsidP="00184807">
            <w:pPr>
              <w:pStyle w:val="ListParagraph"/>
              <w:widowControl w:val="0"/>
              <w:autoSpaceDE w:val="0"/>
              <w:autoSpaceDN w:val="0"/>
              <w:adjustRightInd w:val="0"/>
              <w:spacing w:after="0" w:line="240" w:lineRule="auto"/>
              <w:ind w:left="0"/>
              <w:jc w:val="both"/>
              <w:rPr>
                <w:rFonts w:ascii="Times New Roman" w:hAnsi="Times New Roman"/>
                <w:b/>
                <w:sz w:val="24"/>
                <w:szCs w:val="24"/>
                <w:lang w:eastAsia="lv-LV"/>
              </w:rPr>
            </w:pPr>
            <w:r w:rsidRPr="00D61B49">
              <w:rPr>
                <w:rFonts w:ascii="Times New Roman" w:hAnsi="Times New Roman"/>
                <w:b/>
                <w:sz w:val="24"/>
                <w:szCs w:val="24"/>
                <w:lang w:eastAsia="lv-LV"/>
              </w:rPr>
              <w:t>Valsts kanceleja</w:t>
            </w:r>
          </w:p>
          <w:p w:rsidR="00184807" w:rsidRPr="00D61B49" w:rsidRDefault="00184807" w:rsidP="00184807">
            <w:pPr>
              <w:pStyle w:val="ListParagraph"/>
              <w:widowControl w:val="0"/>
              <w:spacing w:after="0" w:line="240" w:lineRule="auto"/>
              <w:ind w:left="0"/>
              <w:jc w:val="both"/>
              <w:rPr>
                <w:rFonts w:ascii="Times New Roman" w:hAnsi="Times New Roman"/>
                <w:sz w:val="24"/>
                <w:szCs w:val="24"/>
                <w:lang w:eastAsia="lv-LV"/>
              </w:rPr>
            </w:pPr>
            <w:r w:rsidRPr="00D61B49">
              <w:rPr>
                <w:rFonts w:ascii="Times New Roman" w:hAnsi="Times New Roman"/>
                <w:sz w:val="24"/>
                <w:szCs w:val="24"/>
                <w:lang w:eastAsia="lv-LV"/>
              </w:rPr>
              <w:t xml:space="preserve">Saskaņā ar Ministru kabineta 2009. gada 15. decembra instrukcijas Nr. 19 "Tiesību akta projekta sākotnējās ietekmes izvērtēšanas kārtība” 25. punktā noteikto, administratīvās izmaksas ir izmaksas, ko tiesiskais regulējums rada saistībā ar informācijas pieņemšanas, apstrādes un </w:t>
            </w:r>
            <w:r w:rsidRPr="00D61B49">
              <w:rPr>
                <w:rFonts w:ascii="Times New Roman" w:hAnsi="Times New Roman"/>
                <w:sz w:val="24"/>
                <w:szCs w:val="24"/>
                <w:lang w:eastAsia="lv-LV"/>
              </w:rPr>
              <w:lastRenderedPageBreak/>
              <w:t xml:space="preserve">uzglabāšanas pienākumiem, līdz ar to, aicinām pārskatīt un aizpildīt anotācijas II sadaļas 3. punktu atbilstoši noteiktajai administratīvo izmaksu definīcijai. Vēršam Jūsu uzmanību, ka valsts nodevas nav uzskatāmas par  administratīvajām izmaksām. </w:t>
            </w:r>
          </w:p>
        </w:tc>
        <w:tc>
          <w:tcPr>
            <w:tcW w:w="2415" w:type="dxa"/>
            <w:gridSpan w:val="2"/>
            <w:tcBorders>
              <w:top w:val="single" w:sz="4" w:space="0" w:color="auto"/>
              <w:left w:val="single" w:sz="6" w:space="0" w:color="000000"/>
              <w:bottom w:val="single" w:sz="4" w:space="0" w:color="auto"/>
              <w:right w:val="nil"/>
            </w:tcBorders>
          </w:tcPr>
          <w:p w:rsidR="00F8496E" w:rsidRDefault="00184807" w:rsidP="003A056B">
            <w:pPr>
              <w:pStyle w:val="naisc"/>
              <w:spacing w:before="0" w:after="0"/>
              <w:jc w:val="left"/>
              <w:rPr>
                <w:b/>
              </w:rPr>
            </w:pPr>
            <w:r w:rsidRPr="00B7765E">
              <w:rPr>
                <w:b/>
              </w:rPr>
              <w:lastRenderedPageBreak/>
              <w:t>Ņemts</w:t>
            </w:r>
            <w:r>
              <w:rPr>
                <w:b/>
              </w:rPr>
              <w:t xml:space="preserve"> </w:t>
            </w:r>
            <w:r w:rsidRPr="00B7765E">
              <w:rPr>
                <w:b/>
              </w:rPr>
              <w:t>vērā</w:t>
            </w:r>
          </w:p>
          <w:p w:rsidR="00184807" w:rsidRPr="00712B66" w:rsidRDefault="00F8496E" w:rsidP="003A056B">
            <w:pPr>
              <w:pStyle w:val="naisc"/>
              <w:spacing w:before="0" w:after="0"/>
              <w:jc w:val="left"/>
            </w:pPr>
            <w:r>
              <w:t>Anotācija</w:t>
            </w:r>
            <w:r w:rsidR="00EC48F3">
              <w:t xml:space="preserve">s II sadaļas 3.punkts pārskatīts. Projekts neparedz būtisku administratīvo izmaksu pieaugumu.  </w:t>
            </w:r>
          </w:p>
        </w:tc>
        <w:tc>
          <w:tcPr>
            <w:tcW w:w="248" w:type="dxa"/>
            <w:gridSpan w:val="2"/>
            <w:tcBorders>
              <w:top w:val="single" w:sz="4" w:space="0" w:color="auto"/>
              <w:left w:val="nil"/>
              <w:bottom w:val="single" w:sz="4" w:space="0" w:color="auto"/>
              <w:right w:val="single" w:sz="4" w:space="0" w:color="auto"/>
            </w:tcBorders>
          </w:tcPr>
          <w:p w:rsidR="00184807" w:rsidRPr="00712B66" w:rsidRDefault="00184807" w:rsidP="00184807"/>
        </w:tc>
        <w:tc>
          <w:tcPr>
            <w:tcW w:w="3175" w:type="dxa"/>
            <w:gridSpan w:val="3"/>
            <w:tcBorders>
              <w:top w:val="single" w:sz="4" w:space="0" w:color="auto"/>
              <w:left w:val="single" w:sz="4" w:space="0" w:color="auto"/>
              <w:bottom w:val="single" w:sz="4" w:space="0" w:color="auto"/>
            </w:tcBorders>
          </w:tcPr>
          <w:p w:rsidR="00184807" w:rsidRDefault="00184807" w:rsidP="00184807"/>
          <w:p w:rsidR="00184807" w:rsidRPr="00712B66" w:rsidRDefault="00184807" w:rsidP="00184807"/>
        </w:tc>
      </w:tr>
      <w:tr w:rsidR="00184807" w:rsidRPr="00712B66" w:rsidTr="00BB16C5">
        <w:tblPrEx>
          <w:tblBorders>
            <w:top w:val="none" w:sz="0" w:space="0" w:color="auto"/>
            <w:left w:val="none" w:sz="0" w:space="0" w:color="auto"/>
            <w:bottom w:val="none" w:sz="0" w:space="0" w:color="auto"/>
            <w:right w:val="none" w:sz="0" w:space="0" w:color="auto"/>
          </w:tblBorders>
        </w:tblPrEx>
        <w:trPr>
          <w:gridAfter w:val="6"/>
          <w:wAfter w:w="4739" w:type="dxa"/>
        </w:trPr>
        <w:tc>
          <w:tcPr>
            <w:tcW w:w="3100" w:type="dxa"/>
            <w:gridSpan w:val="2"/>
          </w:tcPr>
          <w:p w:rsidR="00184807" w:rsidRDefault="00184807" w:rsidP="00184807">
            <w:pPr>
              <w:pStyle w:val="naiskr"/>
              <w:spacing w:before="0" w:after="0"/>
            </w:pPr>
          </w:p>
          <w:p w:rsidR="00184807" w:rsidRPr="00712B66" w:rsidRDefault="00184807" w:rsidP="00184807">
            <w:pPr>
              <w:pStyle w:val="naiskr"/>
              <w:spacing w:before="0" w:after="0"/>
            </w:pPr>
          </w:p>
          <w:p w:rsidR="00184807" w:rsidRPr="00712B66" w:rsidRDefault="00184807" w:rsidP="00184807">
            <w:pPr>
              <w:pStyle w:val="naiskr"/>
              <w:spacing w:before="0" w:after="0"/>
            </w:pPr>
            <w:r w:rsidRPr="00712B66">
              <w:t>Atbildīgā amatpersona</w:t>
            </w:r>
          </w:p>
        </w:tc>
        <w:tc>
          <w:tcPr>
            <w:tcW w:w="6173" w:type="dxa"/>
            <w:gridSpan w:val="3"/>
          </w:tcPr>
          <w:p w:rsidR="00184807" w:rsidRPr="00712B66" w:rsidRDefault="00184807" w:rsidP="00184807">
            <w:pPr>
              <w:pStyle w:val="naiskr"/>
              <w:spacing w:before="0" w:after="0"/>
              <w:ind w:firstLine="720"/>
            </w:pPr>
            <w:r w:rsidRPr="00712B66">
              <w:t>  </w:t>
            </w:r>
          </w:p>
        </w:tc>
      </w:tr>
      <w:tr w:rsidR="00184807" w:rsidRPr="00712B66" w:rsidTr="00BB16C5">
        <w:tblPrEx>
          <w:tblBorders>
            <w:top w:val="none" w:sz="0" w:space="0" w:color="auto"/>
            <w:left w:val="none" w:sz="0" w:space="0" w:color="auto"/>
            <w:bottom w:val="none" w:sz="0" w:space="0" w:color="auto"/>
            <w:right w:val="none" w:sz="0" w:space="0" w:color="auto"/>
          </w:tblBorders>
        </w:tblPrEx>
        <w:trPr>
          <w:gridAfter w:val="6"/>
          <w:wAfter w:w="4739" w:type="dxa"/>
        </w:trPr>
        <w:tc>
          <w:tcPr>
            <w:tcW w:w="3100" w:type="dxa"/>
            <w:gridSpan w:val="2"/>
          </w:tcPr>
          <w:p w:rsidR="00184807" w:rsidRPr="00712B66" w:rsidRDefault="00184807" w:rsidP="00184807">
            <w:pPr>
              <w:pStyle w:val="naiskr"/>
              <w:spacing w:before="0" w:after="0"/>
              <w:ind w:firstLine="720"/>
            </w:pPr>
          </w:p>
        </w:tc>
        <w:tc>
          <w:tcPr>
            <w:tcW w:w="6173" w:type="dxa"/>
            <w:gridSpan w:val="3"/>
            <w:tcBorders>
              <w:top w:val="single" w:sz="6" w:space="0" w:color="000000"/>
            </w:tcBorders>
          </w:tcPr>
          <w:p w:rsidR="00184807" w:rsidRPr="00712B66" w:rsidRDefault="00184807" w:rsidP="00184807">
            <w:pPr>
              <w:pStyle w:val="naisc"/>
              <w:spacing w:before="0" w:after="0"/>
              <w:ind w:firstLine="72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C85EBB" w:rsidRPr="00712B66" w:rsidRDefault="00C85EBB" w:rsidP="00DB7395">
      <w:pPr>
        <w:pStyle w:val="naisf"/>
        <w:spacing w:before="0" w:after="0"/>
        <w:ind w:firstLine="720"/>
      </w:pPr>
    </w:p>
    <w:p w:rsidR="004373E1" w:rsidRPr="00712B66" w:rsidRDefault="00B47D83" w:rsidP="00B47D83">
      <w:pPr>
        <w:pStyle w:val="naisf"/>
        <w:spacing w:before="0" w:after="0"/>
        <w:ind w:firstLine="0"/>
      </w:pPr>
      <w:r>
        <w:t>Dainis Dravnieks</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8655A2" w:rsidRPr="00712B66" w:rsidRDefault="00B47D83" w:rsidP="0036160E">
            <w:r>
              <w:t xml:space="preserve">Vecākais eksperts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C85EBB" w:rsidP="0036160E">
            <w:r>
              <w:t>67013128</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C85EBB" w:rsidP="0036160E">
            <w:hyperlink r:id="rId7" w:history="1">
              <w:r w:rsidRPr="002E2CAE">
                <w:rPr>
                  <w:rStyle w:val="Hyperlink"/>
                </w:rPr>
                <w:t>Dainis.Dravnieks@em.gov.lv</w:t>
              </w:r>
            </w:hyperlink>
            <w:r>
              <w:t xml:space="preserve">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C9" w:rsidRDefault="004D75C9">
      <w:r>
        <w:separator/>
      </w:r>
    </w:p>
  </w:endnote>
  <w:endnote w:type="continuationSeparator" w:id="0">
    <w:p w:rsidR="004D75C9" w:rsidRDefault="004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Default="003D7268">
    <w:pPr>
      <w:pStyle w:val="Footer"/>
    </w:pPr>
    <w:r>
      <w:rPr>
        <w:sz w:val="20"/>
        <w:szCs w:val="20"/>
      </w:rPr>
      <w:t>EMI</w:t>
    </w:r>
    <w:r w:rsidR="00561D3C" w:rsidRPr="00015C84">
      <w:rPr>
        <w:sz w:val="20"/>
        <w:szCs w:val="20"/>
      </w:rPr>
      <w:t>zz_</w:t>
    </w:r>
    <w:r w:rsidR="0023224E">
      <w:rPr>
        <w:sz w:val="20"/>
        <w:szCs w:val="20"/>
      </w:rPr>
      <w:t>120319_sprk_regul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23224E" w:rsidP="00364BB6">
    <w:pPr>
      <w:pStyle w:val="Footer"/>
      <w:rPr>
        <w:sz w:val="20"/>
        <w:szCs w:val="20"/>
      </w:rPr>
    </w:pPr>
    <w:r>
      <w:rPr>
        <w:sz w:val="20"/>
        <w:szCs w:val="20"/>
      </w:rPr>
      <w:t>EMIzz_120319_sprk_regul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C9" w:rsidRDefault="004D75C9">
      <w:r>
        <w:separator/>
      </w:r>
    </w:p>
  </w:footnote>
  <w:footnote w:type="continuationSeparator" w:id="0">
    <w:p w:rsidR="004D75C9" w:rsidRDefault="004D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7B78"/>
    <w:multiLevelType w:val="hybridMultilevel"/>
    <w:tmpl w:val="A29A5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A269E8"/>
    <w:multiLevelType w:val="multilevel"/>
    <w:tmpl w:val="071621C0"/>
    <w:lvl w:ilvl="0">
      <w:start w:val="1"/>
      <w:numFmt w:val="decimal"/>
      <w:lvlText w:val="%1."/>
      <w:lvlJc w:val="left"/>
      <w:pPr>
        <w:ind w:left="1070" w:hanging="360"/>
      </w:pPr>
      <w:rPr>
        <w:rFonts w:ascii="Times New Roman" w:eastAsia="Times New Roman" w:hAnsi="Times New Roman" w:cs="Times New Roman"/>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0A"/>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3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10D"/>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07"/>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EDF"/>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24E"/>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26E6"/>
    <w:rsid w:val="002830F5"/>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5217"/>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0CA"/>
    <w:rsid w:val="003A056B"/>
    <w:rsid w:val="003A157A"/>
    <w:rsid w:val="003A283F"/>
    <w:rsid w:val="003A2A16"/>
    <w:rsid w:val="003A2FDD"/>
    <w:rsid w:val="003A3C43"/>
    <w:rsid w:val="003A5CCC"/>
    <w:rsid w:val="003A70FF"/>
    <w:rsid w:val="003A74D2"/>
    <w:rsid w:val="003A756B"/>
    <w:rsid w:val="003A7902"/>
    <w:rsid w:val="003B23D7"/>
    <w:rsid w:val="003B2784"/>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B07"/>
    <w:rsid w:val="003C7897"/>
    <w:rsid w:val="003D0937"/>
    <w:rsid w:val="003D17E6"/>
    <w:rsid w:val="003D1A20"/>
    <w:rsid w:val="003D1AC9"/>
    <w:rsid w:val="003D2AC9"/>
    <w:rsid w:val="003D2CD8"/>
    <w:rsid w:val="003D3724"/>
    <w:rsid w:val="003D46A7"/>
    <w:rsid w:val="003D6376"/>
    <w:rsid w:val="003D7268"/>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CFF"/>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68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5C9"/>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266"/>
    <w:rsid w:val="005205AB"/>
    <w:rsid w:val="00523378"/>
    <w:rsid w:val="0052550F"/>
    <w:rsid w:val="00526C0F"/>
    <w:rsid w:val="0052702A"/>
    <w:rsid w:val="00530397"/>
    <w:rsid w:val="00530F73"/>
    <w:rsid w:val="0053378B"/>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3F22"/>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1676"/>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D79"/>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27E6"/>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8E3"/>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BF7"/>
    <w:rsid w:val="00741DD8"/>
    <w:rsid w:val="00741E49"/>
    <w:rsid w:val="0074250D"/>
    <w:rsid w:val="007433B3"/>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1440"/>
    <w:rsid w:val="007722ED"/>
    <w:rsid w:val="0077408B"/>
    <w:rsid w:val="00774AF6"/>
    <w:rsid w:val="00774EC8"/>
    <w:rsid w:val="00776781"/>
    <w:rsid w:val="007776CC"/>
    <w:rsid w:val="00777CE9"/>
    <w:rsid w:val="00780D05"/>
    <w:rsid w:val="00783C7B"/>
    <w:rsid w:val="0078556C"/>
    <w:rsid w:val="007855C5"/>
    <w:rsid w:val="007856D3"/>
    <w:rsid w:val="00785837"/>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B5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96B"/>
    <w:rsid w:val="007E7AD3"/>
    <w:rsid w:val="007F0070"/>
    <w:rsid w:val="007F0441"/>
    <w:rsid w:val="007F0E99"/>
    <w:rsid w:val="007F20F1"/>
    <w:rsid w:val="007F4224"/>
    <w:rsid w:val="007F4DD2"/>
    <w:rsid w:val="007F4FB9"/>
    <w:rsid w:val="007F7022"/>
    <w:rsid w:val="007F7690"/>
    <w:rsid w:val="008011CC"/>
    <w:rsid w:val="00801203"/>
    <w:rsid w:val="00801404"/>
    <w:rsid w:val="008017AA"/>
    <w:rsid w:val="00801CBA"/>
    <w:rsid w:val="00801D92"/>
    <w:rsid w:val="00804BCF"/>
    <w:rsid w:val="00804FA4"/>
    <w:rsid w:val="00805275"/>
    <w:rsid w:val="00806A62"/>
    <w:rsid w:val="00806E55"/>
    <w:rsid w:val="008075CE"/>
    <w:rsid w:val="00812179"/>
    <w:rsid w:val="008124E2"/>
    <w:rsid w:val="00812BE1"/>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6DC0"/>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3022"/>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4BA"/>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2AA4"/>
    <w:rsid w:val="009631C8"/>
    <w:rsid w:val="00963AE4"/>
    <w:rsid w:val="00963C14"/>
    <w:rsid w:val="009645CD"/>
    <w:rsid w:val="00965940"/>
    <w:rsid w:val="00965A4E"/>
    <w:rsid w:val="00966BE5"/>
    <w:rsid w:val="00966EB0"/>
    <w:rsid w:val="00971116"/>
    <w:rsid w:val="00972E28"/>
    <w:rsid w:val="00973030"/>
    <w:rsid w:val="009733F3"/>
    <w:rsid w:val="0097431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B0"/>
    <w:rsid w:val="00987BAB"/>
    <w:rsid w:val="009906BF"/>
    <w:rsid w:val="009913F3"/>
    <w:rsid w:val="00991DA1"/>
    <w:rsid w:val="009927F1"/>
    <w:rsid w:val="009936C4"/>
    <w:rsid w:val="009948ED"/>
    <w:rsid w:val="00995ADA"/>
    <w:rsid w:val="0099643A"/>
    <w:rsid w:val="009976E9"/>
    <w:rsid w:val="00997959"/>
    <w:rsid w:val="009A0731"/>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87A"/>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3A"/>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AED"/>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E2B"/>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01E7"/>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47D83"/>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3C5"/>
    <w:rsid w:val="00B734C2"/>
    <w:rsid w:val="00B73BDA"/>
    <w:rsid w:val="00B74053"/>
    <w:rsid w:val="00B765A0"/>
    <w:rsid w:val="00B76C02"/>
    <w:rsid w:val="00B7765E"/>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6C5"/>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05F"/>
    <w:rsid w:val="00C2325C"/>
    <w:rsid w:val="00C239ED"/>
    <w:rsid w:val="00C24D9D"/>
    <w:rsid w:val="00C25CF3"/>
    <w:rsid w:val="00C263E9"/>
    <w:rsid w:val="00C2775A"/>
    <w:rsid w:val="00C3063A"/>
    <w:rsid w:val="00C30BAD"/>
    <w:rsid w:val="00C31E8F"/>
    <w:rsid w:val="00C32AF8"/>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5EBB"/>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185D"/>
    <w:rsid w:val="00D3257F"/>
    <w:rsid w:val="00D3360A"/>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1B49"/>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D86"/>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048"/>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604"/>
    <w:rsid w:val="00DC4AFD"/>
    <w:rsid w:val="00DC4D87"/>
    <w:rsid w:val="00DC4D8A"/>
    <w:rsid w:val="00DC6DF6"/>
    <w:rsid w:val="00DC7BFE"/>
    <w:rsid w:val="00DD08C7"/>
    <w:rsid w:val="00DD188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4D6E"/>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0B5"/>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1728"/>
    <w:rsid w:val="00EC2E07"/>
    <w:rsid w:val="00EC43C7"/>
    <w:rsid w:val="00EC465D"/>
    <w:rsid w:val="00EC48F3"/>
    <w:rsid w:val="00EC5C89"/>
    <w:rsid w:val="00EC66D2"/>
    <w:rsid w:val="00EC67E7"/>
    <w:rsid w:val="00ED0A1B"/>
    <w:rsid w:val="00ED21BC"/>
    <w:rsid w:val="00ED2FEC"/>
    <w:rsid w:val="00ED3F67"/>
    <w:rsid w:val="00ED440A"/>
    <w:rsid w:val="00ED4BF7"/>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57C31"/>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96E"/>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62F"/>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FED24"/>
  <w15:chartTrackingRefBased/>
  <w15:docId w15:val="{CB2371E3-B796-4C09-8287-3E14F3DF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C8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nis.Dravniek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7192</Words>
  <Characters>4101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Dainis Dravnieks</cp:lastModifiedBy>
  <cp:revision>4</cp:revision>
  <cp:lastPrinted>2019-03-12T07:53:00Z</cp:lastPrinted>
  <dcterms:created xsi:type="dcterms:W3CDTF">2019-03-12T08:52:00Z</dcterms:created>
  <dcterms:modified xsi:type="dcterms:W3CDTF">2019-03-12T13:43:00Z</dcterms:modified>
</cp:coreProperties>
</file>