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933B" w14:textId="3381E6D2" w:rsidR="00751337" w:rsidRPr="0096051A" w:rsidRDefault="00FB2B22" w:rsidP="00857FC0">
      <w:pPr>
        <w:spacing w:after="0" w:line="240" w:lineRule="auto"/>
        <w:jc w:val="center"/>
        <w:rPr>
          <w:b/>
          <w:sz w:val="28"/>
          <w:szCs w:val="28"/>
        </w:rPr>
      </w:pPr>
      <w:r w:rsidRPr="0096051A">
        <w:rPr>
          <w:b/>
          <w:sz w:val="28"/>
          <w:szCs w:val="28"/>
        </w:rPr>
        <w:t>Informatīvais ziņojums</w:t>
      </w:r>
      <w:r w:rsidR="00857FC0">
        <w:rPr>
          <w:b/>
          <w:sz w:val="28"/>
          <w:szCs w:val="28"/>
        </w:rPr>
        <w:br/>
        <w:t>p</w:t>
      </w:r>
      <w:r w:rsidR="00751337" w:rsidRPr="00751337">
        <w:rPr>
          <w:b/>
          <w:sz w:val="28"/>
          <w:szCs w:val="28"/>
        </w:rPr>
        <w:t xml:space="preserve">ar </w:t>
      </w:r>
      <w:r w:rsidR="00751337">
        <w:rPr>
          <w:b/>
          <w:sz w:val="28"/>
          <w:szCs w:val="28"/>
        </w:rPr>
        <w:t xml:space="preserve">saistību uzņemšanos </w:t>
      </w:r>
      <w:proofErr w:type="spellStart"/>
      <w:r w:rsidR="00751337">
        <w:rPr>
          <w:b/>
          <w:sz w:val="28"/>
          <w:szCs w:val="28"/>
        </w:rPr>
        <w:t>Horizon</w:t>
      </w:r>
      <w:proofErr w:type="spellEnd"/>
      <w:r w:rsidR="00751337">
        <w:rPr>
          <w:b/>
          <w:sz w:val="28"/>
          <w:szCs w:val="28"/>
        </w:rPr>
        <w:t xml:space="preserve"> 2020 programmas 2018.-2020.gadam </w:t>
      </w:r>
      <w:r w:rsidR="00751337" w:rsidRPr="00646D0D">
        <w:rPr>
          <w:b/>
          <w:i/>
          <w:sz w:val="28"/>
          <w:szCs w:val="28"/>
        </w:rPr>
        <w:t>Droša, tīra un efektīva enerģija</w:t>
      </w:r>
      <w:r w:rsidR="00751337">
        <w:rPr>
          <w:b/>
          <w:sz w:val="28"/>
          <w:szCs w:val="28"/>
        </w:rPr>
        <w:t xml:space="preserve"> “</w:t>
      </w:r>
      <w:bookmarkStart w:id="0" w:name="_Hlk9237632"/>
      <w:r w:rsidR="00751337">
        <w:rPr>
          <w:b/>
          <w:sz w:val="28"/>
          <w:szCs w:val="28"/>
        </w:rPr>
        <w:t>Atbalsts dalībvalstu tirgus uzraudzībai produktu energoefektivitātes tiesību aktu jomā</w:t>
      </w:r>
      <w:bookmarkEnd w:id="0"/>
      <w:r w:rsidR="00751337">
        <w:rPr>
          <w:b/>
          <w:sz w:val="28"/>
          <w:szCs w:val="28"/>
        </w:rPr>
        <w:t>” projekta “EEPLIANT3” īstenošanai</w:t>
      </w:r>
    </w:p>
    <w:p w14:paraId="7230F3DB" w14:textId="77777777" w:rsidR="00410F95" w:rsidRDefault="00410F95" w:rsidP="00497962">
      <w:pPr>
        <w:spacing w:afterLines="60" w:after="144" w:line="240" w:lineRule="auto"/>
        <w:ind w:firstLine="567"/>
        <w:jc w:val="both"/>
        <w:rPr>
          <w:sz w:val="28"/>
          <w:szCs w:val="28"/>
        </w:rPr>
      </w:pPr>
    </w:p>
    <w:p w14:paraId="5DD942F9" w14:textId="77777777" w:rsidR="00CA08FB" w:rsidRPr="0096051A" w:rsidRDefault="0034696A" w:rsidP="00857FC0">
      <w:pPr>
        <w:spacing w:after="120" w:line="240" w:lineRule="auto"/>
        <w:ind w:firstLine="567"/>
        <w:jc w:val="both"/>
        <w:rPr>
          <w:b/>
          <w:sz w:val="28"/>
          <w:szCs w:val="28"/>
        </w:rPr>
      </w:pPr>
      <w:r w:rsidRPr="0096051A">
        <w:rPr>
          <w:b/>
          <w:sz w:val="28"/>
          <w:szCs w:val="28"/>
        </w:rPr>
        <w:t>1.</w:t>
      </w:r>
      <w:r w:rsidR="0038521E" w:rsidRPr="0096051A">
        <w:rPr>
          <w:b/>
          <w:sz w:val="28"/>
          <w:szCs w:val="28"/>
        </w:rPr>
        <w:t xml:space="preserve"> Pamatojums i</w:t>
      </w:r>
      <w:r w:rsidR="00CA08FB" w:rsidRPr="0096051A">
        <w:rPr>
          <w:b/>
          <w:sz w:val="28"/>
          <w:szCs w:val="28"/>
        </w:rPr>
        <w:t>nformatīvā ziņojuma virzībai</w:t>
      </w:r>
    </w:p>
    <w:p w14:paraId="72EB226C" w14:textId="77777777" w:rsidR="00C111B3" w:rsidRDefault="001E200E" w:rsidP="00857FC0">
      <w:pPr>
        <w:spacing w:after="120" w:line="240" w:lineRule="auto"/>
        <w:ind w:firstLine="562"/>
        <w:jc w:val="both"/>
        <w:rPr>
          <w:sz w:val="28"/>
          <w:szCs w:val="28"/>
        </w:rPr>
      </w:pPr>
      <w:r>
        <w:rPr>
          <w:sz w:val="28"/>
          <w:szCs w:val="28"/>
        </w:rPr>
        <w:t>Vienotā</w:t>
      </w:r>
      <w:r w:rsidR="00C111B3" w:rsidRPr="00C111B3">
        <w:rPr>
          <w:sz w:val="28"/>
          <w:szCs w:val="28"/>
        </w:rPr>
        <w:t xml:space="preserve"> tirgus izveide nodrošina brīvu preču apriti </w:t>
      </w:r>
      <w:r w:rsidR="005C3879">
        <w:rPr>
          <w:sz w:val="28"/>
          <w:szCs w:val="28"/>
        </w:rPr>
        <w:t xml:space="preserve">Eiropas </w:t>
      </w:r>
      <w:r w:rsidR="00C111B3" w:rsidRPr="00C111B3">
        <w:rPr>
          <w:sz w:val="28"/>
          <w:szCs w:val="28"/>
        </w:rPr>
        <w:t>Savienībā</w:t>
      </w:r>
      <w:r w:rsidR="0040273A">
        <w:rPr>
          <w:sz w:val="28"/>
          <w:szCs w:val="28"/>
        </w:rPr>
        <w:t xml:space="preserve"> (turpmāk – ES)</w:t>
      </w:r>
      <w:r w:rsidR="005C3879">
        <w:rPr>
          <w:sz w:val="28"/>
          <w:szCs w:val="28"/>
        </w:rPr>
        <w:t xml:space="preserve">, tomēr </w:t>
      </w:r>
      <w:r w:rsidR="00C111B3" w:rsidRPr="00C111B3">
        <w:rPr>
          <w:sz w:val="28"/>
          <w:szCs w:val="28"/>
        </w:rPr>
        <w:t>daudzi tirgus uzraudzības pasākumi</w:t>
      </w:r>
      <w:r w:rsidR="009E38DA">
        <w:rPr>
          <w:sz w:val="28"/>
          <w:szCs w:val="28"/>
        </w:rPr>
        <w:t>, tai skaitā ekodizaina jomā</w:t>
      </w:r>
      <w:r w:rsidR="00C111B3" w:rsidRPr="00C111B3">
        <w:rPr>
          <w:sz w:val="28"/>
          <w:szCs w:val="28"/>
        </w:rPr>
        <w:t xml:space="preserve"> joprojām notiek tikai </w:t>
      </w:r>
      <w:r w:rsidR="00B60C1C">
        <w:rPr>
          <w:sz w:val="28"/>
          <w:szCs w:val="28"/>
        </w:rPr>
        <w:t>dalīb</w:t>
      </w:r>
      <w:r w:rsidR="00C111B3" w:rsidRPr="00C111B3">
        <w:rPr>
          <w:sz w:val="28"/>
          <w:szCs w:val="28"/>
        </w:rPr>
        <w:t xml:space="preserve">valstu teritorijās un to rezultāti ne vienmēr ir pieejami </w:t>
      </w:r>
      <w:r w:rsidR="00B60C1C">
        <w:rPr>
          <w:sz w:val="28"/>
          <w:szCs w:val="28"/>
        </w:rPr>
        <w:t xml:space="preserve">uzraudzības </w:t>
      </w:r>
      <w:r w:rsidR="00C111B3" w:rsidRPr="00C111B3">
        <w:rPr>
          <w:sz w:val="28"/>
          <w:szCs w:val="28"/>
        </w:rPr>
        <w:t>iestādēm</w:t>
      </w:r>
      <w:r w:rsidR="00AF1FD4">
        <w:rPr>
          <w:sz w:val="28"/>
          <w:szCs w:val="28"/>
        </w:rPr>
        <w:t xml:space="preserve"> citās ES dalībvalstīs</w:t>
      </w:r>
      <w:r w:rsidR="00C111B3" w:rsidRPr="00C111B3">
        <w:rPr>
          <w:sz w:val="28"/>
          <w:szCs w:val="28"/>
        </w:rPr>
        <w:t>. Lielāka praktisk</w:t>
      </w:r>
      <w:r w:rsidR="005C3879">
        <w:rPr>
          <w:sz w:val="28"/>
          <w:szCs w:val="28"/>
        </w:rPr>
        <w:t xml:space="preserve">i īstenoto </w:t>
      </w:r>
      <w:r w:rsidR="003928AF">
        <w:rPr>
          <w:sz w:val="28"/>
          <w:szCs w:val="28"/>
        </w:rPr>
        <w:t xml:space="preserve">tirgus </w:t>
      </w:r>
      <w:r w:rsidR="005C3879">
        <w:rPr>
          <w:sz w:val="28"/>
          <w:szCs w:val="28"/>
        </w:rPr>
        <w:t>uzraudzības darbību</w:t>
      </w:r>
      <w:r w:rsidR="00AF1FD4">
        <w:rPr>
          <w:sz w:val="28"/>
          <w:szCs w:val="28"/>
        </w:rPr>
        <w:t xml:space="preserve"> savstarpēja</w:t>
      </w:r>
      <w:r w:rsidR="005C3879">
        <w:rPr>
          <w:sz w:val="28"/>
          <w:szCs w:val="28"/>
        </w:rPr>
        <w:t xml:space="preserve"> </w:t>
      </w:r>
      <w:r w:rsidR="00C111B3" w:rsidRPr="00C111B3">
        <w:rPr>
          <w:sz w:val="28"/>
          <w:szCs w:val="28"/>
        </w:rPr>
        <w:t xml:space="preserve">saskaņošana ir ļoti svarīga līdzvērtīgu apstākļu radīšanai saimnieciskās darbības veicējiem un vienāda patērētāju aizsardzības līmeņa sasniegšanai </w:t>
      </w:r>
      <w:r w:rsidR="0040273A">
        <w:rPr>
          <w:sz w:val="28"/>
          <w:szCs w:val="28"/>
        </w:rPr>
        <w:t>ES</w:t>
      </w:r>
      <w:r w:rsidR="00C111B3" w:rsidRPr="00C111B3">
        <w:rPr>
          <w:sz w:val="28"/>
          <w:szCs w:val="28"/>
        </w:rPr>
        <w:t>.</w:t>
      </w:r>
    </w:p>
    <w:p w14:paraId="41946C84" w14:textId="77777777" w:rsidR="00DD15E6" w:rsidRDefault="00DD15E6" w:rsidP="00857FC0">
      <w:pPr>
        <w:spacing w:after="120" w:line="240" w:lineRule="auto"/>
        <w:ind w:firstLine="562"/>
        <w:jc w:val="both"/>
        <w:rPr>
          <w:sz w:val="28"/>
          <w:szCs w:val="28"/>
        </w:rPr>
      </w:pPr>
      <w:r w:rsidRPr="00DD15E6">
        <w:rPr>
          <w:sz w:val="28"/>
          <w:szCs w:val="28"/>
        </w:rPr>
        <w:t>Ekodizaina regulējums liek ražotājiem samazināt to preču enerģijas patēriņu, nosakot minimālos energoefektivitātes standartus. Nosakot šādus standartus Eiropas Savienības līmenī, ražotājiem vairs nav nepieciešams savu preču laišanai tirgū orientēties katras dalībvalsts nacionālajos tiesību aktos.</w:t>
      </w:r>
    </w:p>
    <w:p w14:paraId="7613D15A" w14:textId="77777777" w:rsidR="00E2649C" w:rsidRPr="00286C1B" w:rsidRDefault="00093724" w:rsidP="00857FC0">
      <w:pPr>
        <w:widowControl w:val="0"/>
        <w:spacing w:after="120" w:line="240" w:lineRule="auto"/>
        <w:ind w:firstLine="562"/>
        <w:jc w:val="both"/>
        <w:rPr>
          <w:sz w:val="28"/>
        </w:rPr>
      </w:pPr>
      <w:r w:rsidRPr="00286C1B">
        <w:rPr>
          <w:sz w:val="28"/>
        </w:rPr>
        <w:t>ES</w:t>
      </w:r>
      <w:r w:rsidR="00E2649C" w:rsidRPr="00286C1B">
        <w:rPr>
          <w:sz w:val="28"/>
        </w:rPr>
        <w:t xml:space="preserve"> tiesisko regulējumu ar enerģijas patēriņu saistīto ražojumu ekodizaina prasībām nosaka Eiropas Parlamenta un Padomes 2009.gada 21.oktobra Direktīva 2009/125/EK, </w:t>
      </w:r>
      <w:r w:rsidR="00E2649C" w:rsidRPr="00286C1B">
        <w:rPr>
          <w:i/>
          <w:sz w:val="28"/>
        </w:rPr>
        <w:t>ar ko izveido sistēmu, lai noteiktu ekodizaina prasības ar enerģiju saistītiem ražojumiem</w:t>
      </w:r>
      <w:r w:rsidR="00E2649C" w:rsidRPr="00286C1B">
        <w:rPr>
          <w:sz w:val="28"/>
        </w:rPr>
        <w:t>.</w:t>
      </w:r>
      <w:r w:rsidR="00E46ACA">
        <w:rPr>
          <w:sz w:val="28"/>
        </w:rPr>
        <w:t xml:space="preserve"> </w:t>
      </w:r>
      <w:r w:rsidR="00E2649C" w:rsidRPr="00286C1B">
        <w:rPr>
          <w:sz w:val="28"/>
        </w:rPr>
        <w:t>Ekodizaina mērķis ir uzlabot ražojumu energoefektivitātes un vides draudzīguma sniegumu visā to dzīves ciklā, sistemātiski integrējot vides aspektus visos ražojumu dzīves cikla posmos, tādējādi efektīvā un rentablā veidā virzoties pretim mērķiem klimata un enerģētikas jomā uz 2020.gadu 20/20/20 mērķiem</w:t>
      </w:r>
      <w:r w:rsidR="00E2649C" w:rsidRPr="00286C1B">
        <w:rPr>
          <w:rStyle w:val="FootnoteReference"/>
          <w:sz w:val="28"/>
        </w:rPr>
        <w:footnoteReference w:id="1"/>
      </w:r>
      <w:r w:rsidR="00E2649C" w:rsidRPr="00286C1B">
        <w:rPr>
          <w:sz w:val="28"/>
        </w:rPr>
        <w:t xml:space="preserve"> un Klimata un enerģētikas politikas satvara līdz 2030.gadam (KEPS 2030) 40/27/27 mērķiem</w:t>
      </w:r>
      <w:r w:rsidR="00E2649C" w:rsidRPr="00286C1B">
        <w:rPr>
          <w:rStyle w:val="FootnoteReference"/>
          <w:sz w:val="28"/>
        </w:rPr>
        <w:footnoteReference w:id="2"/>
      </w:r>
      <w:r w:rsidR="00E2649C" w:rsidRPr="00286C1B">
        <w:rPr>
          <w:sz w:val="28"/>
        </w:rPr>
        <w:t>.</w:t>
      </w:r>
      <w:r w:rsidR="004E7D13">
        <w:rPr>
          <w:sz w:val="28"/>
        </w:rPr>
        <w:t xml:space="preserve"> Ar </w:t>
      </w:r>
      <w:proofErr w:type="spellStart"/>
      <w:r w:rsidR="004E7D13">
        <w:rPr>
          <w:sz w:val="28"/>
        </w:rPr>
        <w:t>ekodizainu</w:t>
      </w:r>
      <w:proofErr w:type="spellEnd"/>
      <w:r w:rsidR="004E7D13">
        <w:rPr>
          <w:sz w:val="28"/>
        </w:rPr>
        <w:t xml:space="preserve"> saistīto </w:t>
      </w:r>
      <w:r w:rsidR="004E7D13" w:rsidRPr="004E7D13">
        <w:rPr>
          <w:sz w:val="28"/>
        </w:rPr>
        <w:t>preču grupu un iekārtu tirgus uzraudzību</w:t>
      </w:r>
      <w:r w:rsidR="00BB147F">
        <w:rPr>
          <w:sz w:val="28"/>
        </w:rPr>
        <w:t xml:space="preserve"> Latvijā</w:t>
      </w:r>
      <w:r w:rsidR="004E7D13" w:rsidRPr="004E7D13">
        <w:rPr>
          <w:sz w:val="28"/>
        </w:rPr>
        <w:t xml:space="preserve"> veic Patērētāju tiesību aizsardzības centrs</w:t>
      </w:r>
      <w:r w:rsidR="00125C61">
        <w:rPr>
          <w:sz w:val="28"/>
        </w:rPr>
        <w:t xml:space="preserve"> (turpmāk – PTAC)</w:t>
      </w:r>
      <w:r w:rsidR="00DD15E6">
        <w:rPr>
          <w:sz w:val="28"/>
        </w:rPr>
        <w:t>.</w:t>
      </w:r>
    </w:p>
    <w:p w14:paraId="71535BE2" w14:textId="77777777" w:rsidR="003813A5" w:rsidRDefault="00286C1B" w:rsidP="00857FC0">
      <w:pPr>
        <w:spacing w:after="120" w:line="240" w:lineRule="auto"/>
        <w:ind w:firstLine="562"/>
        <w:jc w:val="both"/>
        <w:rPr>
          <w:sz w:val="28"/>
          <w:szCs w:val="28"/>
        </w:rPr>
      </w:pPr>
      <w:r w:rsidRPr="00286C1B">
        <w:rPr>
          <w:sz w:val="28"/>
        </w:rPr>
        <w:t xml:space="preserve">2016.gada 30.novembrī publicēts </w:t>
      </w:r>
      <w:r w:rsidRPr="00D27B3D">
        <w:rPr>
          <w:sz w:val="28"/>
        </w:rPr>
        <w:t>Komisijas</w:t>
      </w:r>
      <w:r w:rsidRPr="00286C1B">
        <w:rPr>
          <w:sz w:val="28"/>
        </w:rPr>
        <w:t xml:space="preserve"> Paziņojums </w:t>
      </w:r>
      <w:r w:rsidRPr="00286C1B">
        <w:rPr>
          <w:i/>
          <w:sz w:val="28"/>
        </w:rPr>
        <w:t>Ekodizaina darba plāns 2016.-2019.gadam</w:t>
      </w:r>
      <w:r w:rsidRPr="00286C1B">
        <w:rPr>
          <w:sz w:val="28"/>
        </w:rPr>
        <w:t xml:space="preserve"> (COM(2016) 773 </w:t>
      </w:r>
      <w:proofErr w:type="spellStart"/>
      <w:r w:rsidRPr="00286C1B">
        <w:rPr>
          <w:sz w:val="28"/>
        </w:rPr>
        <w:t>final</w:t>
      </w:r>
      <w:proofErr w:type="spellEnd"/>
      <w:r w:rsidRPr="00286C1B">
        <w:rPr>
          <w:sz w:val="28"/>
        </w:rPr>
        <w:t xml:space="preserve">)) (turpmāk – Darba plāns). Darba plāns izklāsta </w:t>
      </w:r>
      <w:r w:rsidR="00F22813">
        <w:rPr>
          <w:sz w:val="28"/>
        </w:rPr>
        <w:t>Eiropas Komisijas</w:t>
      </w:r>
      <w:r w:rsidRPr="00286C1B">
        <w:rPr>
          <w:sz w:val="28"/>
        </w:rPr>
        <w:t xml:space="preserve"> darba prioritātes saskaņā ar ekodizaina un </w:t>
      </w:r>
      <w:proofErr w:type="spellStart"/>
      <w:r w:rsidRPr="00286C1B">
        <w:rPr>
          <w:sz w:val="28"/>
        </w:rPr>
        <w:t>energomarķēšanas</w:t>
      </w:r>
      <w:proofErr w:type="spellEnd"/>
      <w:r w:rsidRPr="00286C1B">
        <w:rPr>
          <w:sz w:val="28"/>
        </w:rPr>
        <w:t xml:space="preserve"> pamatprogrammu 2016.–2019. gadam.</w:t>
      </w:r>
      <w:r w:rsidR="007E079A">
        <w:rPr>
          <w:sz w:val="28"/>
        </w:rPr>
        <w:t xml:space="preserve"> </w:t>
      </w:r>
      <w:r w:rsidR="00E46ACA">
        <w:rPr>
          <w:sz w:val="28"/>
          <w:szCs w:val="28"/>
        </w:rPr>
        <w:t>D</w:t>
      </w:r>
      <w:r w:rsidR="006F623C">
        <w:rPr>
          <w:sz w:val="28"/>
          <w:szCs w:val="28"/>
        </w:rPr>
        <w:t>arba plāna ietvaros</w:t>
      </w:r>
      <w:r w:rsidR="001D00FC">
        <w:rPr>
          <w:sz w:val="28"/>
          <w:szCs w:val="28"/>
        </w:rPr>
        <w:t xml:space="preserve"> šobrīd </w:t>
      </w:r>
      <w:r w:rsidR="006F623C">
        <w:rPr>
          <w:sz w:val="28"/>
          <w:szCs w:val="28"/>
        </w:rPr>
        <w:t xml:space="preserve">notiek attiecīgo ES tiesību aktu un tiem atbilstošo produktu </w:t>
      </w:r>
      <w:r w:rsidR="006F623C">
        <w:rPr>
          <w:sz w:val="28"/>
          <w:szCs w:val="28"/>
        </w:rPr>
        <w:lastRenderedPageBreak/>
        <w:t>pārskatīšana,</w:t>
      </w:r>
      <w:r w:rsidR="001D00FC">
        <w:rPr>
          <w:sz w:val="28"/>
          <w:szCs w:val="28"/>
        </w:rPr>
        <w:t xml:space="preserve"> un ir būtiska to vienveidīga un efektīva ieviešana visā </w:t>
      </w:r>
      <w:r w:rsidR="001E200E">
        <w:rPr>
          <w:sz w:val="28"/>
          <w:szCs w:val="28"/>
        </w:rPr>
        <w:t>Vienotajā</w:t>
      </w:r>
      <w:r w:rsidR="001D00FC">
        <w:rPr>
          <w:sz w:val="28"/>
          <w:szCs w:val="28"/>
        </w:rPr>
        <w:t xml:space="preserve"> tirgū.</w:t>
      </w:r>
    </w:p>
    <w:p w14:paraId="25F8E66A" w14:textId="77777777" w:rsidR="00DA5112" w:rsidRPr="009E5359" w:rsidRDefault="003813A5" w:rsidP="00857FC0">
      <w:pPr>
        <w:spacing w:after="120" w:line="240" w:lineRule="auto"/>
        <w:ind w:firstLine="562"/>
        <w:jc w:val="both"/>
        <w:rPr>
          <w:sz w:val="28"/>
          <w:szCs w:val="28"/>
        </w:rPr>
      </w:pPr>
      <w:bookmarkStart w:id="1" w:name="_Hlk9602587"/>
      <w:r w:rsidRPr="00D27B3D">
        <w:rPr>
          <w:sz w:val="28"/>
          <w:szCs w:val="28"/>
        </w:rPr>
        <w:t>E</w:t>
      </w:r>
      <w:r w:rsidR="00306C5B" w:rsidRPr="00D27B3D">
        <w:rPr>
          <w:sz w:val="28"/>
          <w:szCs w:val="28"/>
        </w:rPr>
        <w:t xml:space="preserve">iropas Komisijas </w:t>
      </w:r>
      <w:r w:rsidR="00306C5B" w:rsidRPr="00107091">
        <w:rPr>
          <w:sz w:val="28"/>
          <w:szCs w:val="28"/>
        </w:rPr>
        <w:t>2018.gada 24.jūlija</w:t>
      </w:r>
      <w:r w:rsidR="002139CC">
        <w:rPr>
          <w:sz w:val="28"/>
          <w:szCs w:val="28"/>
        </w:rPr>
        <w:t xml:space="preserve"> Īstenošanas</w:t>
      </w:r>
      <w:r w:rsidR="00306C5B" w:rsidRPr="00107091">
        <w:rPr>
          <w:sz w:val="28"/>
          <w:szCs w:val="28"/>
        </w:rPr>
        <w:t xml:space="preserve"> </w:t>
      </w:r>
      <w:r w:rsidR="002139CC">
        <w:rPr>
          <w:sz w:val="28"/>
          <w:szCs w:val="28"/>
        </w:rPr>
        <w:t>lēmum</w:t>
      </w:r>
      <w:r w:rsidR="00B81850">
        <w:rPr>
          <w:sz w:val="28"/>
          <w:szCs w:val="28"/>
        </w:rPr>
        <w:t>a</w:t>
      </w:r>
      <w:r w:rsidR="002139CC">
        <w:rPr>
          <w:sz w:val="28"/>
          <w:szCs w:val="28"/>
        </w:rPr>
        <w:t xml:space="preserve"> </w:t>
      </w:r>
      <w:r w:rsidR="00306C5B" w:rsidRPr="00FA3821">
        <w:rPr>
          <w:sz w:val="28"/>
          <w:szCs w:val="28"/>
        </w:rPr>
        <w:t>Nr.</w:t>
      </w:r>
      <w:r w:rsidR="00695C8C" w:rsidRPr="00FA3821">
        <w:rPr>
          <w:sz w:val="28"/>
          <w:szCs w:val="28"/>
        </w:rPr>
        <w:t> </w:t>
      </w:r>
      <w:r w:rsidR="00306C5B" w:rsidRPr="00FA3821">
        <w:rPr>
          <w:sz w:val="28"/>
          <w:szCs w:val="28"/>
        </w:rPr>
        <w:t>C(2018)</w:t>
      </w:r>
      <w:r w:rsidR="008C4B5D" w:rsidRPr="00FA3821">
        <w:rPr>
          <w:sz w:val="28"/>
          <w:szCs w:val="28"/>
        </w:rPr>
        <w:t> </w:t>
      </w:r>
      <w:r w:rsidR="00306C5B" w:rsidRPr="00FA3821">
        <w:rPr>
          <w:sz w:val="28"/>
          <w:szCs w:val="28"/>
        </w:rPr>
        <w:t>4708</w:t>
      </w:r>
      <w:r w:rsidR="00A1549B">
        <w:rPr>
          <w:sz w:val="28"/>
          <w:szCs w:val="28"/>
        </w:rPr>
        <w:t>,</w:t>
      </w:r>
      <w:r w:rsidR="00107091" w:rsidRPr="00FA3821">
        <w:rPr>
          <w:sz w:val="28"/>
          <w:szCs w:val="28"/>
        </w:rPr>
        <w:t xml:space="preserve"> </w:t>
      </w:r>
      <w:proofErr w:type="spellStart"/>
      <w:r w:rsidR="009E5359" w:rsidRPr="00107091">
        <w:rPr>
          <w:sz w:val="28"/>
          <w:szCs w:val="28"/>
        </w:rPr>
        <w:t>Horizon</w:t>
      </w:r>
      <w:proofErr w:type="spellEnd"/>
      <w:r w:rsidR="00A72FFC" w:rsidRPr="00107091">
        <w:rPr>
          <w:sz w:val="28"/>
          <w:szCs w:val="28"/>
        </w:rPr>
        <w:t> </w:t>
      </w:r>
      <w:r w:rsidR="009E5359" w:rsidRPr="00107091">
        <w:rPr>
          <w:sz w:val="28"/>
          <w:szCs w:val="28"/>
        </w:rPr>
        <w:t>2020 programmas 10.</w:t>
      </w:r>
      <w:r w:rsidR="0048155B" w:rsidRPr="00107091">
        <w:rPr>
          <w:sz w:val="28"/>
          <w:szCs w:val="28"/>
        </w:rPr>
        <w:t xml:space="preserve"> </w:t>
      </w:r>
      <w:r w:rsidR="009E5359" w:rsidRPr="00107091">
        <w:rPr>
          <w:sz w:val="28"/>
          <w:szCs w:val="28"/>
        </w:rPr>
        <w:t>sadaļ</w:t>
      </w:r>
      <w:r w:rsidR="00B81850">
        <w:rPr>
          <w:sz w:val="28"/>
          <w:szCs w:val="28"/>
        </w:rPr>
        <w:t>a</w:t>
      </w:r>
      <w:r w:rsidR="009E5359" w:rsidRPr="009E5359">
        <w:rPr>
          <w:sz w:val="28"/>
          <w:szCs w:val="28"/>
        </w:rPr>
        <w:t xml:space="preserve"> </w:t>
      </w:r>
      <w:r w:rsidR="009E5359" w:rsidRPr="0048155B">
        <w:rPr>
          <w:i/>
          <w:sz w:val="28"/>
          <w:szCs w:val="28"/>
        </w:rPr>
        <w:t>Droša tīra un efektīva enerģija</w:t>
      </w:r>
      <w:r w:rsidR="009E5359" w:rsidRPr="009E5359">
        <w:rPr>
          <w:sz w:val="28"/>
          <w:szCs w:val="28"/>
        </w:rPr>
        <w:t xml:space="preserve"> paredz atbalst</w:t>
      </w:r>
      <w:r w:rsidR="005D05E1">
        <w:rPr>
          <w:sz w:val="28"/>
          <w:szCs w:val="28"/>
        </w:rPr>
        <w:t>u</w:t>
      </w:r>
      <w:r w:rsidR="009E5359" w:rsidRPr="009E5359">
        <w:rPr>
          <w:sz w:val="28"/>
          <w:szCs w:val="28"/>
        </w:rPr>
        <w:t xml:space="preserve"> ES dalībvalstīm tirgus uzraudzības darbību īstenošanai produktu energoefektivitātes regulējuma ieviešanai. </w:t>
      </w:r>
      <w:r w:rsidR="00306C5B" w:rsidRPr="009E5359">
        <w:rPr>
          <w:sz w:val="28"/>
          <w:szCs w:val="28"/>
        </w:rPr>
        <w:t xml:space="preserve"> </w:t>
      </w:r>
    </w:p>
    <w:bookmarkEnd w:id="1"/>
    <w:p w14:paraId="58AC26FB" w14:textId="77777777" w:rsidR="001C00C5" w:rsidRPr="0096051A" w:rsidRDefault="00EF6C5D" w:rsidP="00857FC0">
      <w:pPr>
        <w:spacing w:after="120" w:line="240" w:lineRule="auto"/>
        <w:ind w:firstLine="562"/>
        <w:jc w:val="both"/>
        <w:rPr>
          <w:sz w:val="28"/>
          <w:szCs w:val="28"/>
        </w:rPr>
      </w:pPr>
      <w:r>
        <w:rPr>
          <w:sz w:val="28"/>
          <w:szCs w:val="28"/>
        </w:rPr>
        <w:t xml:space="preserve">Attiecīgi </w:t>
      </w:r>
      <w:r w:rsidR="00E93DC6">
        <w:rPr>
          <w:sz w:val="28"/>
          <w:szCs w:val="28"/>
        </w:rPr>
        <w:t>PTAC</w:t>
      </w:r>
      <w:r w:rsidR="001C00C5">
        <w:rPr>
          <w:sz w:val="28"/>
          <w:szCs w:val="28"/>
        </w:rPr>
        <w:t xml:space="preserve"> </w:t>
      </w:r>
      <w:r>
        <w:rPr>
          <w:sz w:val="28"/>
          <w:szCs w:val="28"/>
        </w:rPr>
        <w:t xml:space="preserve">kā uzraudzības iestādei ir būtiska kompetences celšana un pieredzes stiprināšana ne tikai sadarbībā ar citām ES valstu iestādēm, bet arī dalība </w:t>
      </w:r>
      <w:r w:rsidR="003928AF">
        <w:rPr>
          <w:sz w:val="28"/>
          <w:szCs w:val="28"/>
        </w:rPr>
        <w:t xml:space="preserve">starptautisku </w:t>
      </w:r>
      <w:r w:rsidR="001C00C5">
        <w:rPr>
          <w:sz w:val="28"/>
          <w:szCs w:val="28"/>
        </w:rPr>
        <w:t>projektu īstenošan</w:t>
      </w:r>
      <w:r>
        <w:rPr>
          <w:sz w:val="28"/>
          <w:szCs w:val="28"/>
        </w:rPr>
        <w:t>ā</w:t>
      </w:r>
      <w:r w:rsidR="003928AF">
        <w:rPr>
          <w:sz w:val="28"/>
          <w:szCs w:val="28"/>
        </w:rPr>
        <w:t xml:space="preserve"> tirgus uzraudzības jomā</w:t>
      </w:r>
      <w:r w:rsidR="009B5E35">
        <w:rPr>
          <w:sz w:val="28"/>
          <w:szCs w:val="28"/>
        </w:rPr>
        <w:t>,</w:t>
      </w:r>
      <w:r w:rsidR="008B149A">
        <w:rPr>
          <w:sz w:val="28"/>
          <w:szCs w:val="28"/>
        </w:rPr>
        <w:t xml:space="preserve"> lai</w:t>
      </w:r>
      <w:r w:rsidR="0033149D">
        <w:rPr>
          <w:sz w:val="28"/>
          <w:szCs w:val="28"/>
        </w:rPr>
        <w:t>,</w:t>
      </w:r>
      <w:r w:rsidR="009B5E35">
        <w:rPr>
          <w:sz w:val="28"/>
          <w:szCs w:val="28"/>
        </w:rPr>
        <w:t xml:space="preserve"> piesaistot </w:t>
      </w:r>
      <w:r w:rsidR="009B5E35" w:rsidRPr="0096051A">
        <w:rPr>
          <w:sz w:val="28"/>
          <w:szCs w:val="28"/>
        </w:rPr>
        <w:t xml:space="preserve">ārvalstu finanšu </w:t>
      </w:r>
      <w:r w:rsidR="009B5E35">
        <w:rPr>
          <w:sz w:val="28"/>
          <w:szCs w:val="28"/>
        </w:rPr>
        <w:t xml:space="preserve">resursus, </w:t>
      </w:r>
      <w:r w:rsidR="008344B0">
        <w:rPr>
          <w:sz w:val="28"/>
          <w:szCs w:val="28"/>
        </w:rPr>
        <w:t>realizētu</w:t>
      </w:r>
      <w:r w:rsidR="009B5E35">
        <w:rPr>
          <w:sz w:val="28"/>
          <w:szCs w:val="28"/>
        </w:rPr>
        <w:t xml:space="preserve"> </w:t>
      </w:r>
      <w:r w:rsidR="001C00C5">
        <w:rPr>
          <w:sz w:val="28"/>
          <w:szCs w:val="28"/>
        </w:rPr>
        <w:t xml:space="preserve">iespējas </w:t>
      </w:r>
      <w:r w:rsidR="009E5359">
        <w:rPr>
          <w:sz w:val="28"/>
          <w:szCs w:val="28"/>
        </w:rPr>
        <w:t xml:space="preserve">stiprināt </w:t>
      </w:r>
      <w:r w:rsidR="009B5E35">
        <w:rPr>
          <w:sz w:val="28"/>
          <w:szCs w:val="28"/>
        </w:rPr>
        <w:t>tirgus uzraudzīb</w:t>
      </w:r>
      <w:r>
        <w:rPr>
          <w:sz w:val="28"/>
          <w:szCs w:val="28"/>
        </w:rPr>
        <w:t>as pasākumus</w:t>
      </w:r>
      <w:r w:rsidR="003D2DA2">
        <w:rPr>
          <w:sz w:val="28"/>
          <w:szCs w:val="28"/>
        </w:rPr>
        <w:t xml:space="preserve"> nacionālā līmenī</w:t>
      </w:r>
      <w:r w:rsidR="009E5359">
        <w:rPr>
          <w:sz w:val="28"/>
          <w:szCs w:val="28"/>
        </w:rPr>
        <w:t xml:space="preserve">, </w:t>
      </w:r>
      <w:r w:rsidR="008344B0">
        <w:rPr>
          <w:sz w:val="28"/>
          <w:szCs w:val="28"/>
        </w:rPr>
        <w:t>veikt</w:t>
      </w:r>
      <w:r w:rsidR="009E5359">
        <w:rPr>
          <w:sz w:val="28"/>
          <w:szCs w:val="28"/>
        </w:rPr>
        <w:t>u</w:t>
      </w:r>
      <w:r w:rsidR="001C00C5">
        <w:rPr>
          <w:sz w:val="28"/>
          <w:szCs w:val="28"/>
        </w:rPr>
        <w:t xml:space="preserve"> </w:t>
      </w:r>
      <w:r w:rsidR="00FC4B40">
        <w:rPr>
          <w:sz w:val="28"/>
          <w:szCs w:val="28"/>
        </w:rPr>
        <w:t>paraugu testēšanu laboratorijā</w:t>
      </w:r>
      <w:r w:rsidR="003D2DA2">
        <w:rPr>
          <w:sz w:val="28"/>
          <w:szCs w:val="28"/>
        </w:rPr>
        <w:t>s</w:t>
      </w:r>
      <w:r w:rsidR="00B60C1C">
        <w:rPr>
          <w:sz w:val="28"/>
          <w:szCs w:val="28"/>
        </w:rPr>
        <w:t xml:space="preserve">, lai novērtētu </w:t>
      </w:r>
      <w:r w:rsidR="000D447E">
        <w:rPr>
          <w:sz w:val="28"/>
          <w:szCs w:val="28"/>
        </w:rPr>
        <w:t xml:space="preserve">to atbilstību </w:t>
      </w:r>
      <w:r w:rsidR="009E5359">
        <w:rPr>
          <w:sz w:val="28"/>
          <w:szCs w:val="28"/>
        </w:rPr>
        <w:t>energoefektivitāti</w:t>
      </w:r>
      <w:r w:rsidR="000D447E">
        <w:rPr>
          <w:sz w:val="28"/>
          <w:szCs w:val="28"/>
        </w:rPr>
        <w:t xml:space="preserve"> reglamentējošo normatīvo aktu prasībām</w:t>
      </w:r>
      <w:r w:rsidR="009E5359">
        <w:rPr>
          <w:sz w:val="28"/>
          <w:szCs w:val="28"/>
        </w:rPr>
        <w:t>, kā arī aktīvi līdzdarbotos šīs jomas uzraudzības pilnveidošanā ES līmenī</w:t>
      </w:r>
      <w:r w:rsidR="008B149A">
        <w:rPr>
          <w:sz w:val="28"/>
          <w:szCs w:val="28"/>
        </w:rPr>
        <w:t>, vienlaikus veicinot arī iesaistīto darbinieku profesionālo izaugsmi un pieredzi.</w:t>
      </w:r>
    </w:p>
    <w:p w14:paraId="5F60470B" w14:textId="77777777" w:rsidR="00E12EDA" w:rsidRDefault="007F1392" w:rsidP="00857FC0">
      <w:pPr>
        <w:spacing w:after="120" w:line="240" w:lineRule="auto"/>
        <w:ind w:firstLine="561"/>
        <w:jc w:val="both"/>
        <w:rPr>
          <w:sz w:val="28"/>
          <w:szCs w:val="28"/>
        </w:rPr>
      </w:pPr>
      <w:r>
        <w:rPr>
          <w:sz w:val="28"/>
          <w:szCs w:val="28"/>
        </w:rPr>
        <w:t xml:space="preserve">Ņemot vērā iepriekš minēto, </w:t>
      </w:r>
      <w:r w:rsidR="00B328FB">
        <w:rPr>
          <w:sz w:val="28"/>
          <w:szCs w:val="28"/>
        </w:rPr>
        <w:t>PTAC ir iesniedzis pieteikumu dalībai projektā</w:t>
      </w:r>
      <w:r w:rsidR="00B328FB" w:rsidRPr="00346F8F">
        <w:rPr>
          <w:sz w:val="28"/>
          <w:szCs w:val="28"/>
        </w:rPr>
        <w:t xml:space="preserve"> </w:t>
      </w:r>
      <w:r w:rsidR="00B328FB" w:rsidRPr="00857FC0">
        <w:rPr>
          <w:i/>
          <w:sz w:val="28"/>
          <w:szCs w:val="28"/>
        </w:rPr>
        <w:t>“</w:t>
      </w:r>
      <w:proofErr w:type="spellStart"/>
      <w:r w:rsidR="00B328FB" w:rsidRPr="00857FC0">
        <w:rPr>
          <w:i/>
          <w:sz w:val="28"/>
          <w:szCs w:val="28"/>
        </w:rPr>
        <w:t>Energy</w:t>
      </w:r>
      <w:proofErr w:type="spellEnd"/>
      <w:r w:rsidR="00B328FB" w:rsidRPr="00857FC0">
        <w:rPr>
          <w:i/>
          <w:sz w:val="28"/>
          <w:szCs w:val="28"/>
        </w:rPr>
        <w:t xml:space="preserve"> </w:t>
      </w:r>
      <w:proofErr w:type="spellStart"/>
      <w:r w:rsidR="00B328FB" w:rsidRPr="00857FC0">
        <w:rPr>
          <w:i/>
          <w:sz w:val="28"/>
          <w:szCs w:val="28"/>
        </w:rPr>
        <w:t>Efficiency</w:t>
      </w:r>
      <w:proofErr w:type="spellEnd"/>
      <w:r w:rsidR="00B328FB" w:rsidRPr="00857FC0">
        <w:rPr>
          <w:i/>
          <w:sz w:val="28"/>
          <w:szCs w:val="28"/>
        </w:rPr>
        <w:t xml:space="preserve"> </w:t>
      </w:r>
      <w:proofErr w:type="spellStart"/>
      <w:r w:rsidR="00B328FB" w:rsidRPr="00857FC0">
        <w:rPr>
          <w:i/>
          <w:sz w:val="28"/>
          <w:szCs w:val="28"/>
        </w:rPr>
        <w:t>Compliant</w:t>
      </w:r>
      <w:proofErr w:type="spellEnd"/>
      <w:r w:rsidR="00B328FB" w:rsidRPr="00857FC0">
        <w:rPr>
          <w:i/>
          <w:sz w:val="28"/>
          <w:szCs w:val="28"/>
        </w:rPr>
        <w:t xml:space="preserve"> </w:t>
      </w:r>
      <w:proofErr w:type="spellStart"/>
      <w:r w:rsidR="00B328FB" w:rsidRPr="00857FC0">
        <w:rPr>
          <w:i/>
          <w:sz w:val="28"/>
          <w:szCs w:val="28"/>
        </w:rPr>
        <w:t>products</w:t>
      </w:r>
      <w:proofErr w:type="spellEnd"/>
      <w:r w:rsidR="00B328FB" w:rsidRPr="00857FC0">
        <w:rPr>
          <w:i/>
          <w:sz w:val="28"/>
          <w:szCs w:val="28"/>
        </w:rPr>
        <w:t xml:space="preserve"> 2018”</w:t>
      </w:r>
      <w:r w:rsidR="00B328FB" w:rsidRPr="00346F8F">
        <w:rPr>
          <w:sz w:val="28"/>
          <w:szCs w:val="28"/>
        </w:rPr>
        <w:t xml:space="preserve"> </w:t>
      </w:r>
      <w:r w:rsidR="00B328FB">
        <w:rPr>
          <w:sz w:val="28"/>
          <w:szCs w:val="28"/>
        </w:rPr>
        <w:t>(turpmāk – projekts „EEPLIANT3”)</w:t>
      </w:r>
      <w:r w:rsidR="00C816F1">
        <w:rPr>
          <w:sz w:val="28"/>
          <w:szCs w:val="28"/>
        </w:rPr>
        <w:t xml:space="preserve"> </w:t>
      </w:r>
      <w:r w:rsidR="00B328FB">
        <w:rPr>
          <w:sz w:val="28"/>
          <w:szCs w:val="28"/>
        </w:rPr>
        <w:t>un ir saņēmis akceptu projektu</w:t>
      </w:r>
      <w:r w:rsidR="00B328FB" w:rsidRPr="0096051A">
        <w:rPr>
          <w:sz w:val="28"/>
          <w:szCs w:val="28"/>
        </w:rPr>
        <w:t xml:space="preserve"> konkursā</w:t>
      </w:r>
      <w:r w:rsidR="00B328FB">
        <w:rPr>
          <w:sz w:val="28"/>
          <w:szCs w:val="28"/>
        </w:rPr>
        <w:t xml:space="preserve">. Projekts tiek organizēts, sadarbojoties ar STICHTING PROSAFE </w:t>
      </w:r>
      <w:r w:rsidR="00B328FB" w:rsidRPr="00857FC0">
        <w:rPr>
          <w:i/>
          <w:sz w:val="28"/>
          <w:szCs w:val="28"/>
        </w:rPr>
        <w:t>(</w:t>
      </w:r>
      <w:proofErr w:type="spellStart"/>
      <w:r w:rsidR="00B328FB" w:rsidRPr="00857FC0">
        <w:rPr>
          <w:i/>
          <w:sz w:val="28"/>
          <w:szCs w:val="28"/>
        </w:rPr>
        <w:t>The</w:t>
      </w:r>
      <w:proofErr w:type="spellEnd"/>
      <w:r w:rsidR="00B328FB" w:rsidRPr="00857FC0">
        <w:rPr>
          <w:i/>
          <w:sz w:val="28"/>
          <w:szCs w:val="28"/>
        </w:rPr>
        <w:t xml:space="preserve"> </w:t>
      </w:r>
      <w:proofErr w:type="spellStart"/>
      <w:r w:rsidR="00B328FB" w:rsidRPr="00857FC0">
        <w:rPr>
          <w:i/>
          <w:sz w:val="28"/>
          <w:szCs w:val="28"/>
        </w:rPr>
        <w:t>Product</w:t>
      </w:r>
      <w:proofErr w:type="spellEnd"/>
      <w:r w:rsidR="00B328FB" w:rsidRPr="00857FC0">
        <w:rPr>
          <w:i/>
          <w:sz w:val="28"/>
          <w:szCs w:val="28"/>
        </w:rPr>
        <w:t xml:space="preserve"> </w:t>
      </w:r>
      <w:proofErr w:type="spellStart"/>
      <w:r w:rsidR="00B328FB" w:rsidRPr="00857FC0">
        <w:rPr>
          <w:i/>
          <w:sz w:val="28"/>
          <w:szCs w:val="28"/>
        </w:rPr>
        <w:t>Safety</w:t>
      </w:r>
      <w:proofErr w:type="spellEnd"/>
      <w:r w:rsidR="00B328FB" w:rsidRPr="00857FC0">
        <w:rPr>
          <w:i/>
          <w:sz w:val="28"/>
          <w:szCs w:val="28"/>
        </w:rPr>
        <w:t xml:space="preserve"> </w:t>
      </w:r>
      <w:proofErr w:type="spellStart"/>
      <w:r w:rsidR="00B328FB" w:rsidRPr="00857FC0">
        <w:rPr>
          <w:i/>
          <w:sz w:val="28"/>
          <w:szCs w:val="28"/>
        </w:rPr>
        <w:t>Enforcement</w:t>
      </w:r>
      <w:proofErr w:type="spellEnd"/>
      <w:r w:rsidR="00B328FB" w:rsidRPr="00857FC0">
        <w:rPr>
          <w:i/>
          <w:sz w:val="28"/>
          <w:szCs w:val="28"/>
        </w:rPr>
        <w:t xml:space="preserve"> Forum </w:t>
      </w:r>
      <w:proofErr w:type="spellStart"/>
      <w:r w:rsidR="00B328FB" w:rsidRPr="00857FC0">
        <w:rPr>
          <w:i/>
          <w:sz w:val="28"/>
          <w:szCs w:val="28"/>
        </w:rPr>
        <w:t>of</w:t>
      </w:r>
      <w:proofErr w:type="spellEnd"/>
      <w:r w:rsidR="00B328FB" w:rsidRPr="00857FC0">
        <w:rPr>
          <w:i/>
          <w:sz w:val="28"/>
          <w:szCs w:val="28"/>
        </w:rPr>
        <w:t xml:space="preserve"> </w:t>
      </w:r>
      <w:proofErr w:type="spellStart"/>
      <w:r w:rsidR="00B328FB" w:rsidRPr="00857FC0">
        <w:rPr>
          <w:i/>
          <w:sz w:val="28"/>
          <w:szCs w:val="28"/>
        </w:rPr>
        <w:t>Europe</w:t>
      </w:r>
      <w:proofErr w:type="spellEnd"/>
      <w:r w:rsidR="00B328FB" w:rsidRPr="00857FC0">
        <w:rPr>
          <w:i/>
          <w:sz w:val="28"/>
          <w:szCs w:val="28"/>
        </w:rPr>
        <w:t>)</w:t>
      </w:r>
      <w:r w:rsidR="00B328FB">
        <w:rPr>
          <w:sz w:val="28"/>
          <w:szCs w:val="28"/>
        </w:rPr>
        <w:t>, Austrijas Enerģētikas aģentūru un Dānijas konsultāciju uzņēmumu “</w:t>
      </w:r>
      <w:proofErr w:type="spellStart"/>
      <w:r w:rsidR="00B328FB">
        <w:rPr>
          <w:sz w:val="28"/>
          <w:szCs w:val="28"/>
        </w:rPr>
        <w:t>Vores</w:t>
      </w:r>
      <w:proofErr w:type="spellEnd"/>
      <w:r w:rsidR="00B328FB">
        <w:rPr>
          <w:sz w:val="28"/>
          <w:szCs w:val="28"/>
        </w:rPr>
        <w:t xml:space="preserve"> </w:t>
      </w:r>
      <w:proofErr w:type="spellStart"/>
      <w:r w:rsidR="00B328FB">
        <w:rPr>
          <w:sz w:val="28"/>
          <w:szCs w:val="28"/>
        </w:rPr>
        <w:t>Bureau</w:t>
      </w:r>
      <w:proofErr w:type="spellEnd"/>
      <w:r w:rsidR="00B328FB">
        <w:rPr>
          <w:sz w:val="28"/>
          <w:szCs w:val="28"/>
        </w:rPr>
        <w:t xml:space="preserve"> </w:t>
      </w:r>
      <w:proofErr w:type="spellStart"/>
      <w:r w:rsidR="00B328FB">
        <w:rPr>
          <w:sz w:val="28"/>
          <w:szCs w:val="28"/>
        </w:rPr>
        <w:t>ApS</w:t>
      </w:r>
      <w:proofErr w:type="spellEnd"/>
      <w:r w:rsidR="00B328FB">
        <w:rPr>
          <w:sz w:val="28"/>
          <w:szCs w:val="28"/>
        </w:rPr>
        <w:t xml:space="preserve">”. Projektā kopā ir </w:t>
      </w:r>
      <w:r w:rsidR="00F8725A">
        <w:rPr>
          <w:sz w:val="28"/>
          <w:szCs w:val="28"/>
        </w:rPr>
        <w:t>iesaistītas</w:t>
      </w:r>
      <w:r w:rsidR="00B328FB">
        <w:rPr>
          <w:sz w:val="28"/>
          <w:szCs w:val="28"/>
        </w:rPr>
        <w:t xml:space="preserve"> 20 ES dalībvalstu institūcijas un Turcijas atbildīgā ministrija.</w:t>
      </w:r>
      <w:r w:rsidR="00EA7F0F">
        <w:rPr>
          <w:sz w:val="28"/>
          <w:szCs w:val="28"/>
        </w:rPr>
        <w:t xml:space="preserve"> </w:t>
      </w:r>
    </w:p>
    <w:p w14:paraId="0B92655D" w14:textId="77777777" w:rsidR="00346F8F" w:rsidRPr="0096051A" w:rsidRDefault="0096551F" w:rsidP="00857FC0">
      <w:pPr>
        <w:spacing w:after="120" w:line="240" w:lineRule="auto"/>
        <w:ind w:firstLine="561"/>
        <w:jc w:val="both"/>
        <w:rPr>
          <w:sz w:val="28"/>
          <w:szCs w:val="28"/>
        </w:rPr>
      </w:pPr>
      <w:r w:rsidRPr="00B328FB">
        <w:rPr>
          <w:sz w:val="28"/>
          <w:szCs w:val="28"/>
        </w:rPr>
        <w:t>Ekonomikas ministrija</w:t>
      </w:r>
      <w:r w:rsidR="00346F8F" w:rsidRPr="00B328FB">
        <w:rPr>
          <w:sz w:val="28"/>
          <w:szCs w:val="28"/>
        </w:rPr>
        <w:t>, ievērojot nacionālā regulējuma</w:t>
      </w:r>
      <w:r w:rsidR="00346F8F" w:rsidRPr="00B328FB">
        <w:rPr>
          <w:rStyle w:val="FootnoteReference"/>
          <w:sz w:val="28"/>
          <w:szCs w:val="28"/>
        </w:rPr>
        <w:footnoteReference w:id="3"/>
      </w:r>
      <w:r w:rsidR="00346F8F" w:rsidRPr="00B328FB">
        <w:rPr>
          <w:sz w:val="28"/>
          <w:szCs w:val="28"/>
        </w:rPr>
        <w:t xml:space="preserve"> noteikto kārtību, kādā budžeta iestādes var uzņemties papildu saistības ES politikas instrumentu un pārējās ārvalstu finanšu palīdzības līdzfinansētos projektos un pasākumos, ir sagatavojusi informatīvo ziņojumu, lai tiktu pieņemts Ministru kabineta lēmums par</w:t>
      </w:r>
      <w:r w:rsidR="00E12EDA" w:rsidRPr="00B328FB">
        <w:rPr>
          <w:sz w:val="28"/>
          <w:szCs w:val="28"/>
        </w:rPr>
        <w:t xml:space="preserve"> tiesībām uzņemties jaunas valsts budžeta ilgtermiņa saistības 201</w:t>
      </w:r>
      <w:r w:rsidR="00EA7F0F" w:rsidRPr="00B328FB">
        <w:rPr>
          <w:sz w:val="28"/>
          <w:szCs w:val="28"/>
        </w:rPr>
        <w:t>9</w:t>
      </w:r>
      <w:r w:rsidR="00E12EDA" w:rsidRPr="00B328FB">
        <w:rPr>
          <w:sz w:val="28"/>
          <w:szCs w:val="28"/>
        </w:rPr>
        <w:t>.</w:t>
      </w:r>
      <w:r w:rsidR="00EA7F0F" w:rsidRPr="00B328FB">
        <w:rPr>
          <w:sz w:val="28"/>
          <w:szCs w:val="28"/>
        </w:rPr>
        <w:t xml:space="preserve">, </w:t>
      </w:r>
      <w:r w:rsidR="00E12EDA" w:rsidRPr="00B328FB">
        <w:rPr>
          <w:sz w:val="28"/>
          <w:szCs w:val="28"/>
        </w:rPr>
        <w:t>20</w:t>
      </w:r>
      <w:r w:rsidR="00EA7F0F" w:rsidRPr="00B328FB">
        <w:rPr>
          <w:sz w:val="28"/>
          <w:szCs w:val="28"/>
        </w:rPr>
        <w:t>20</w:t>
      </w:r>
      <w:r w:rsidR="00E12EDA" w:rsidRPr="00B328FB">
        <w:rPr>
          <w:sz w:val="28"/>
          <w:szCs w:val="28"/>
        </w:rPr>
        <w:t>.</w:t>
      </w:r>
      <w:r w:rsidR="00EA7F0F" w:rsidRPr="00B328FB">
        <w:rPr>
          <w:sz w:val="28"/>
          <w:szCs w:val="28"/>
        </w:rPr>
        <w:t>, 2021. un 2022</w:t>
      </w:r>
      <w:r w:rsidR="00843BFF" w:rsidRPr="00B328FB">
        <w:rPr>
          <w:sz w:val="28"/>
          <w:szCs w:val="28"/>
        </w:rPr>
        <w:t>.</w:t>
      </w:r>
      <w:r w:rsidR="00346F8F" w:rsidRPr="00B328FB">
        <w:rPr>
          <w:sz w:val="28"/>
          <w:szCs w:val="28"/>
        </w:rPr>
        <w:t xml:space="preserve"> </w:t>
      </w:r>
      <w:r w:rsidR="00EA7F0F" w:rsidRPr="00B328FB">
        <w:rPr>
          <w:sz w:val="28"/>
          <w:szCs w:val="28"/>
        </w:rPr>
        <w:t>gadā.</w:t>
      </w:r>
    </w:p>
    <w:p w14:paraId="0A4757A3" w14:textId="77777777" w:rsidR="00780435" w:rsidRDefault="00780435" w:rsidP="000827B6">
      <w:pPr>
        <w:spacing w:after="0" w:line="240" w:lineRule="auto"/>
        <w:ind w:firstLine="562"/>
        <w:jc w:val="both"/>
        <w:rPr>
          <w:sz w:val="28"/>
          <w:szCs w:val="28"/>
        </w:rPr>
      </w:pPr>
    </w:p>
    <w:p w14:paraId="2068C990" w14:textId="77777777" w:rsidR="008E665E" w:rsidRDefault="00E323BB" w:rsidP="00857FC0">
      <w:pPr>
        <w:spacing w:after="120" w:line="240" w:lineRule="auto"/>
        <w:ind w:firstLine="561"/>
        <w:jc w:val="both"/>
        <w:rPr>
          <w:b/>
          <w:sz w:val="28"/>
          <w:szCs w:val="28"/>
        </w:rPr>
      </w:pPr>
      <w:r w:rsidRPr="0096051A">
        <w:rPr>
          <w:b/>
          <w:sz w:val="28"/>
          <w:szCs w:val="28"/>
        </w:rPr>
        <w:t>2</w:t>
      </w:r>
      <w:r w:rsidR="008E665E" w:rsidRPr="0096051A">
        <w:rPr>
          <w:b/>
          <w:sz w:val="28"/>
          <w:szCs w:val="28"/>
        </w:rPr>
        <w:t>. Pro</w:t>
      </w:r>
      <w:r w:rsidR="00E93770">
        <w:rPr>
          <w:b/>
          <w:sz w:val="28"/>
          <w:szCs w:val="28"/>
        </w:rPr>
        <w:t>jekta</w:t>
      </w:r>
      <w:r w:rsidR="008E665E" w:rsidRPr="0096051A">
        <w:rPr>
          <w:b/>
          <w:sz w:val="28"/>
          <w:szCs w:val="28"/>
        </w:rPr>
        <w:t xml:space="preserve"> finansēšanai iesniegtais projekta pieteikums</w:t>
      </w:r>
    </w:p>
    <w:p w14:paraId="6F09522E" w14:textId="77777777" w:rsidR="002A385D" w:rsidRPr="00323980" w:rsidRDefault="002A385D" w:rsidP="00857FC0">
      <w:pPr>
        <w:pStyle w:val="NormalWeb"/>
        <w:spacing w:before="0" w:beforeAutospacing="0" w:after="120" w:afterAutospacing="0"/>
        <w:ind w:firstLine="561"/>
        <w:jc w:val="both"/>
        <w:rPr>
          <w:sz w:val="28"/>
          <w:szCs w:val="28"/>
        </w:rPr>
      </w:pPr>
      <w:r w:rsidRPr="00323980">
        <w:rPr>
          <w:sz w:val="28"/>
          <w:szCs w:val="28"/>
        </w:rPr>
        <w:t xml:space="preserve">Projekts </w:t>
      </w:r>
      <w:r w:rsidR="000A03D3" w:rsidRPr="00323980">
        <w:rPr>
          <w:sz w:val="28"/>
          <w:szCs w:val="28"/>
        </w:rPr>
        <w:t>„</w:t>
      </w:r>
      <w:r w:rsidR="00EA7F0F" w:rsidRPr="00323980">
        <w:rPr>
          <w:sz w:val="28"/>
          <w:szCs w:val="28"/>
        </w:rPr>
        <w:t>EEPLIANT3</w:t>
      </w:r>
      <w:r w:rsidRPr="00323980">
        <w:rPr>
          <w:sz w:val="28"/>
          <w:szCs w:val="28"/>
        </w:rPr>
        <w:t xml:space="preserve">” </w:t>
      </w:r>
      <w:r w:rsidR="000A03D3" w:rsidRPr="00323980">
        <w:rPr>
          <w:sz w:val="28"/>
          <w:szCs w:val="28"/>
        </w:rPr>
        <w:t xml:space="preserve">izstrādāts, </w:t>
      </w:r>
      <w:r w:rsidRPr="00323980">
        <w:rPr>
          <w:sz w:val="28"/>
          <w:szCs w:val="28"/>
        </w:rPr>
        <w:t xml:space="preserve">ņemot vērā </w:t>
      </w:r>
      <w:r w:rsidR="00EA7F0F" w:rsidRPr="00323980">
        <w:rPr>
          <w:sz w:val="28"/>
          <w:szCs w:val="28"/>
        </w:rPr>
        <w:t xml:space="preserve">dalībvalstu saistības </w:t>
      </w:r>
      <w:r w:rsidRPr="00323980">
        <w:rPr>
          <w:sz w:val="28"/>
          <w:szCs w:val="28"/>
        </w:rPr>
        <w:t>Eiropas Parlamenta un Padomes Regulā (EK) Nr. 765</w:t>
      </w:r>
      <w:r w:rsidR="0048327A" w:rsidRPr="00323980">
        <w:rPr>
          <w:sz w:val="28"/>
          <w:szCs w:val="28"/>
        </w:rPr>
        <w:t>/2008 (</w:t>
      </w:r>
      <w:r w:rsidRPr="00323980">
        <w:rPr>
          <w:sz w:val="28"/>
          <w:szCs w:val="28"/>
        </w:rPr>
        <w:t>2008.</w:t>
      </w:r>
      <w:r w:rsidR="008B2246">
        <w:rPr>
          <w:sz w:val="28"/>
          <w:szCs w:val="28"/>
        </w:rPr>
        <w:t> </w:t>
      </w:r>
      <w:r w:rsidRPr="00323980">
        <w:rPr>
          <w:sz w:val="28"/>
          <w:szCs w:val="28"/>
        </w:rPr>
        <w:t>gada 9.</w:t>
      </w:r>
      <w:r w:rsidR="006A1DA4">
        <w:rPr>
          <w:sz w:val="28"/>
          <w:szCs w:val="28"/>
        </w:rPr>
        <w:t> </w:t>
      </w:r>
      <w:r w:rsidRPr="00323980">
        <w:rPr>
          <w:sz w:val="28"/>
          <w:szCs w:val="28"/>
        </w:rPr>
        <w:t xml:space="preserve">jūlijs) </w:t>
      </w:r>
      <w:r w:rsidRPr="00A65A14">
        <w:rPr>
          <w:i/>
          <w:sz w:val="28"/>
          <w:szCs w:val="28"/>
        </w:rPr>
        <w:t>ar ko nosaka akreditācijas un tirgus uzraudzības prasības attiecībā uz produktu tirdzniecību un atceļ Regulu (EEK) Nr. 339/93</w:t>
      </w:r>
      <w:r w:rsidR="003F0FFC" w:rsidRPr="00323980">
        <w:rPr>
          <w:sz w:val="28"/>
          <w:szCs w:val="28"/>
        </w:rPr>
        <w:t xml:space="preserve"> (turpmāk – REGULA)</w:t>
      </w:r>
      <w:r w:rsidRPr="00323980">
        <w:rPr>
          <w:sz w:val="28"/>
          <w:szCs w:val="28"/>
        </w:rPr>
        <w:t>, norādīto mērķi</w:t>
      </w:r>
      <w:r w:rsidR="00317A8F" w:rsidRPr="00323980">
        <w:rPr>
          <w:sz w:val="28"/>
          <w:szCs w:val="28"/>
        </w:rPr>
        <w:t xml:space="preserve"> (26)</w:t>
      </w:r>
      <w:r w:rsidRPr="00323980">
        <w:rPr>
          <w:sz w:val="28"/>
          <w:szCs w:val="28"/>
        </w:rPr>
        <w:t xml:space="preserve"> nodrošināt Kopienas saskaņošanas tiesību aktu vienlīdzīgu un pastāvīgu izpildi</w:t>
      </w:r>
      <w:r w:rsidR="00A65A14">
        <w:rPr>
          <w:sz w:val="28"/>
          <w:szCs w:val="28"/>
        </w:rPr>
        <w:t>,</w:t>
      </w:r>
      <w:r w:rsidR="00EA7F0F" w:rsidRPr="00323980">
        <w:rPr>
          <w:sz w:val="28"/>
          <w:szCs w:val="28"/>
        </w:rPr>
        <w:t xml:space="preserve"> un Eiropas Parlamenta un Padomes direktīva Nr. 2009/125/EK (2009. gada 21. oktobris) </w:t>
      </w:r>
      <w:r w:rsidR="00EA7F0F" w:rsidRPr="00A65A14">
        <w:rPr>
          <w:i/>
          <w:sz w:val="28"/>
          <w:szCs w:val="28"/>
        </w:rPr>
        <w:t>ar ko izveido sistēmu, lai noteiktu ekodizaina prasības ar enerģiju saistītiem ražojumiem</w:t>
      </w:r>
      <w:r w:rsidR="00EA7F0F" w:rsidRPr="00323980">
        <w:rPr>
          <w:sz w:val="28"/>
          <w:szCs w:val="28"/>
        </w:rPr>
        <w:t xml:space="preserve">, kā arī </w:t>
      </w:r>
      <w:r w:rsidR="00323980" w:rsidRPr="00323980">
        <w:rPr>
          <w:sz w:val="28"/>
          <w:szCs w:val="28"/>
        </w:rPr>
        <w:t>Eiropas Parlamenta un</w:t>
      </w:r>
      <w:r w:rsidR="00EA7F0F" w:rsidRPr="00323980">
        <w:rPr>
          <w:sz w:val="28"/>
          <w:szCs w:val="28"/>
        </w:rPr>
        <w:t xml:space="preserve"> </w:t>
      </w:r>
      <w:r w:rsidR="00323980" w:rsidRPr="00323980">
        <w:rPr>
          <w:sz w:val="28"/>
          <w:szCs w:val="28"/>
        </w:rPr>
        <w:t>Padomes</w:t>
      </w:r>
      <w:r w:rsidR="00EA7F0F" w:rsidRPr="00323980">
        <w:rPr>
          <w:sz w:val="28"/>
          <w:szCs w:val="28"/>
        </w:rPr>
        <w:t xml:space="preserve"> </w:t>
      </w:r>
      <w:r w:rsidR="00323980" w:rsidRPr="00323980">
        <w:rPr>
          <w:sz w:val="28"/>
          <w:szCs w:val="28"/>
        </w:rPr>
        <w:t>regula</w:t>
      </w:r>
      <w:r w:rsidR="00EA7F0F" w:rsidRPr="00323980">
        <w:rPr>
          <w:sz w:val="28"/>
          <w:szCs w:val="28"/>
        </w:rPr>
        <w:t xml:space="preserve"> </w:t>
      </w:r>
      <w:r w:rsidR="00EA7F0F" w:rsidRPr="00323980">
        <w:rPr>
          <w:sz w:val="28"/>
          <w:szCs w:val="28"/>
        </w:rPr>
        <w:lastRenderedPageBreak/>
        <w:t xml:space="preserve">(ES) </w:t>
      </w:r>
      <w:r w:rsidR="00323980" w:rsidRPr="00323980">
        <w:rPr>
          <w:sz w:val="28"/>
          <w:szCs w:val="28"/>
        </w:rPr>
        <w:t xml:space="preserve">Nr. </w:t>
      </w:r>
      <w:r w:rsidR="00EA7F0F" w:rsidRPr="00323980">
        <w:rPr>
          <w:sz w:val="28"/>
          <w:szCs w:val="28"/>
        </w:rPr>
        <w:t xml:space="preserve">2017/1369 (2017. gada 4. jūlijs) </w:t>
      </w:r>
      <w:r w:rsidR="00EA7F0F" w:rsidRPr="00A65A14">
        <w:rPr>
          <w:i/>
          <w:sz w:val="28"/>
          <w:szCs w:val="28"/>
        </w:rPr>
        <w:t xml:space="preserve">ar ko izveido </w:t>
      </w:r>
      <w:proofErr w:type="spellStart"/>
      <w:r w:rsidR="00EA7F0F" w:rsidRPr="00A65A14">
        <w:rPr>
          <w:i/>
          <w:sz w:val="28"/>
          <w:szCs w:val="28"/>
        </w:rPr>
        <w:t>energomarķējuma</w:t>
      </w:r>
      <w:proofErr w:type="spellEnd"/>
      <w:r w:rsidR="00EA7F0F" w:rsidRPr="00A65A14">
        <w:rPr>
          <w:i/>
          <w:sz w:val="28"/>
          <w:szCs w:val="28"/>
        </w:rPr>
        <w:t xml:space="preserve"> satvaru un atceļ Direktīvu 2010/30/ES</w:t>
      </w:r>
      <w:r w:rsidRPr="00323980">
        <w:rPr>
          <w:sz w:val="28"/>
          <w:szCs w:val="28"/>
        </w:rPr>
        <w:t>.</w:t>
      </w:r>
    </w:p>
    <w:p w14:paraId="53A2A9BE" w14:textId="77777777" w:rsidR="00784243" w:rsidRDefault="002F5461" w:rsidP="00857FC0">
      <w:pPr>
        <w:spacing w:after="120" w:line="240" w:lineRule="auto"/>
        <w:ind w:firstLine="567"/>
        <w:jc w:val="both"/>
        <w:rPr>
          <w:sz w:val="28"/>
          <w:szCs w:val="28"/>
        </w:rPr>
      </w:pPr>
      <w:r>
        <w:rPr>
          <w:sz w:val="28"/>
          <w:szCs w:val="28"/>
        </w:rPr>
        <w:t>P</w:t>
      </w:r>
      <w:r w:rsidR="00E559A5" w:rsidRPr="0096051A">
        <w:rPr>
          <w:sz w:val="28"/>
          <w:szCs w:val="28"/>
        </w:rPr>
        <w:t>rojekta</w:t>
      </w:r>
      <w:r w:rsidR="00305437" w:rsidRPr="0096051A">
        <w:rPr>
          <w:sz w:val="28"/>
          <w:szCs w:val="28"/>
        </w:rPr>
        <w:t xml:space="preserve"> </w:t>
      </w:r>
      <w:r w:rsidR="000A03D3">
        <w:rPr>
          <w:sz w:val="28"/>
          <w:szCs w:val="28"/>
        </w:rPr>
        <w:t>„</w:t>
      </w:r>
      <w:r w:rsidR="00323980">
        <w:rPr>
          <w:sz w:val="28"/>
          <w:szCs w:val="28"/>
        </w:rPr>
        <w:t>EEPLIANT3</w:t>
      </w:r>
      <w:r w:rsidR="00535A1F" w:rsidRPr="00535A1F">
        <w:rPr>
          <w:sz w:val="28"/>
          <w:szCs w:val="28"/>
        </w:rPr>
        <w:t>”</w:t>
      </w:r>
      <w:r w:rsidR="00305437" w:rsidRPr="0096051A">
        <w:rPr>
          <w:sz w:val="28"/>
          <w:szCs w:val="28"/>
        </w:rPr>
        <w:t xml:space="preserve"> </w:t>
      </w:r>
      <w:r>
        <w:rPr>
          <w:sz w:val="28"/>
          <w:szCs w:val="28"/>
        </w:rPr>
        <w:t xml:space="preserve">ietvaros ir paredzēts īstenot </w:t>
      </w:r>
      <w:r w:rsidR="002A385D">
        <w:rPr>
          <w:sz w:val="28"/>
          <w:szCs w:val="28"/>
        </w:rPr>
        <w:t>dalībvalstu</w:t>
      </w:r>
      <w:r w:rsidR="00A645B0">
        <w:rPr>
          <w:sz w:val="28"/>
          <w:szCs w:val="28"/>
        </w:rPr>
        <w:t xml:space="preserve"> kompetento iestāžu</w:t>
      </w:r>
      <w:r w:rsidR="002A385D">
        <w:rPr>
          <w:sz w:val="28"/>
          <w:szCs w:val="28"/>
        </w:rPr>
        <w:t xml:space="preserve"> </w:t>
      </w:r>
      <w:r w:rsidR="00A645B0">
        <w:rPr>
          <w:sz w:val="28"/>
          <w:szCs w:val="28"/>
        </w:rPr>
        <w:t xml:space="preserve">kopīgus </w:t>
      </w:r>
      <w:r w:rsidR="009B5E35">
        <w:rPr>
          <w:sz w:val="28"/>
          <w:szCs w:val="28"/>
        </w:rPr>
        <w:t>tirgus uzraudzības</w:t>
      </w:r>
      <w:r w:rsidR="00A645B0">
        <w:rPr>
          <w:sz w:val="28"/>
          <w:szCs w:val="28"/>
        </w:rPr>
        <w:t xml:space="preserve"> pasākumus</w:t>
      </w:r>
      <w:r w:rsidR="00784243">
        <w:rPr>
          <w:sz w:val="28"/>
          <w:szCs w:val="28"/>
        </w:rPr>
        <w:t>, ieviešot projektu šādās apakšprogrammās:</w:t>
      </w:r>
    </w:p>
    <w:p w14:paraId="2256C1C1" w14:textId="77777777" w:rsidR="00784243" w:rsidRDefault="00784243" w:rsidP="00461276">
      <w:pPr>
        <w:spacing w:after="0" w:line="240" w:lineRule="auto"/>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4536"/>
        <w:gridCol w:w="1712"/>
      </w:tblGrid>
      <w:tr w:rsidR="00784243" w:rsidRPr="00BD4443" w14:paraId="2EE16225" w14:textId="77777777" w:rsidTr="00BD4443">
        <w:tc>
          <w:tcPr>
            <w:tcW w:w="675" w:type="dxa"/>
            <w:shd w:val="clear" w:color="auto" w:fill="auto"/>
          </w:tcPr>
          <w:p w14:paraId="7553D9E2" w14:textId="77777777" w:rsidR="00784243" w:rsidRPr="00BD4443" w:rsidRDefault="00830E3F" w:rsidP="00BD4443">
            <w:pPr>
              <w:spacing w:after="0" w:line="240" w:lineRule="auto"/>
              <w:jc w:val="both"/>
              <w:rPr>
                <w:b/>
                <w:sz w:val="28"/>
                <w:szCs w:val="28"/>
              </w:rPr>
            </w:pPr>
            <w:r w:rsidRPr="00BD4443">
              <w:rPr>
                <w:b/>
                <w:sz w:val="28"/>
                <w:szCs w:val="28"/>
              </w:rPr>
              <w:t>Nr.</w:t>
            </w:r>
          </w:p>
        </w:tc>
        <w:tc>
          <w:tcPr>
            <w:tcW w:w="2268" w:type="dxa"/>
            <w:shd w:val="clear" w:color="auto" w:fill="auto"/>
          </w:tcPr>
          <w:p w14:paraId="2CDAABF6" w14:textId="77777777" w:rsidR="00784243" w:rsidRPr="00BD4443" w:rsidRDefault="00784243" w:rsidP="00BD4443">
            <w:pPr>
              <w:spacing w:after="0" w:line="240" w:lineRule="auto"/>
              <w:jc w:val="both"/>
              <w:rPr>
                <w:b/>
                <w:sz w:val="28"/>
                <w:szCs w:val="28"/>
              </w:rPr>
            </w:pPr>
            <w:r w:rsidRPr="00BD4443">
              <w:rPr>
                <w:b/>
                <w:sz w:val="28"/>
                <w:szCs w:val="28"/>
              </w:rPr>
              <w:t>Nosaukums</w:t>
            </w:r>
          </w:p>
        </w:tc>
        <w:tc>
          <w:tcPr>
            <w:tcW w:w="4536" w:type="dxa"/>
            <w:shd w:val="clear" w:color="auto" w:fill="auto"/>
          </w:tcPr>
          <w:p w14:paraId="5C03D5C1" w14:textId="77777777" w:rsidR="00784243" w:rsidRPr="00BD4443" w:rsidRDefault="00784243" w:rsidP="00BD4443">
            <w:pPr>
              <w:spacing w:after="0" w:line="240" w:lineRule="auto"/>
              <w:jc w:val="both"/>
              <w:rPr>
                <w:b/>
                <w:sz w:val="28"/>
                <w:szCs w:val="28"/>
              </w:rPr>
            </w:pPr>
            <w:r w:rsidRPr="00BD4443">
              <w:rPr>
                <w:b/>
                <w:sz w:val="28"/>
                <w:szCs w:val="28"/>
              </w:rPr>
              <w:t>Apraksts</w:t>
            </w:r>
          </w:p>
        </w:tc>
        <w:tc>
          <w:tcPr>
            <w:tcW w:w="1712" w:type="dxa"/>
            <w:shd w:val="clear" w:color="auto" w:fill="auto"/>
          </w:tcPr>
          <w:p w14:paraId="1A2C41B4" w14:textId="77777777" w:rsidR="00784243" w:rsidRPr="00BD4443" w:rsidRDefault="00F353A4" w:rsidP="00857FC0">
            <w:pPr>
              <w:spacing w:after="0" w:line="240" w:lineRule="auto"/>
              <w:jc w:val="center"/>
              <w:rPr>
                <w:b/>
                <w:sz w:val="28"/>
                <w:szCs w:val="28"/>
              </w:rPr>
            </w:pPr>
            <w:r w:rsidRPr="00BD4443">
              <w:rPr>
                <w:b/>
                <w:sz w:val="28"/>
                <w:szCs w:val="28"/>
              </w:rPr>
              <w:t>PTAC</w:t>
            </w:r>
            <w:r w:rsidR="00784243" w:rsidRPr="00BD4443">
              <w:rPr>
                <w:b/>
                <w:sz w:val="28"/>
                <w:szCs w:val="28"/>
              </w:rPr>
              <w:t xml:space="preserve"> </w:t>
            </w:r>
            <w:r w:rsidRPr="00BD4443">
              <w:rPr>
                <w:b/>
                <w:sz w:val="28"/>
                <w:szCs w:val="28"/>
              </w:rPr>
              <w:t>darbinieka</w:t>
            </w:r>
            <w:r w:rsidR="00784243" w:rsidRPr="00BD4443">
              <w:rPr>
                <w:b/>
                <w:sz w:val="28"/>
                <w:szCs w:val="28"/>
              </w:rPr>
              <w:t xml:space="preserve"> darbs</w:t>
            </w:r>
            <w:r w:rsidR="00DE0ABF">
              <w:rPr>
                <w:b/>
                <w:sz w:val="28"/>
                <w:szCs w:val="28"/>
              </w:rPr>
              <w:t>,</w:t>
            </w:r>
            <w:r w:rsidR="00784243" w:rsidRPr="00BD4443">
              <w:rPr>
                <w:b/>
                <w:sz w:val="28"/>
                <w:szCs w:val="28"/>
              </w:rPr>
              <w:t xml:space="preserve"> mēnešos</w:t>
            </w:r>
          </w:p>
        </w:tc>
      </w:tr>
      <w:tr w:rsidR="00784243" w:rsidRPr="00BD4443" w14:paraId="6A7D0D36" w14:textId="77777777" w:rsidTr="00BD4443">
        <w:tc>
          <w:tcPr>
            <w:tcW w:w="675" w:type="dxa"/>
            <w:shd w:val="clear" w:color="auto" w:fill="auto"/>
          </w:tcPr>
          <w:p w14:paraId="177EF16C" w14:textId="77777777" w:rsidR="00784243" w:rsidRPr="00BD4443" w:rsidRDefault="00784243" w:rsidP="00BD4443">
            <w:pPr>
              <w:spacing w:after="0" w:line="240" w:lineRule="auto"/>
              <w:jc w:val="both"/>
              <w:rPr>
                <w:sz w:val="28"/>
                <w:szCs w:val="28"/>
              </w:rPr>
            </w:pPr>
            <w:r w:rsidRPr="00BD4443">
              <w:rPr>
                <w:sz w:val="28"/>
                <w:szCs w:val="28"/>
              </w:rPr>
              <w:t>1.</w:t>
            </w:r>
          </w:p>
        </w:tc>
        <w:tc>
          <w:tcPr>
            <w:tcW w:w="2268" w:type="dxa"/>
            <w:shd w:val="clear" w:color="auto" w:fill="auto"/>
          </w:tcPr>
          <w:p w14:paraId="7C0076C0" w14:textId="77777777" w:rsidR="00784243" w:rsidRPr="00BD4443" w:rsidRDefault="00830E3F" w:rsidP="00BD4443">
            <w:pPr>
              <w:spacing w:after="0" w:line="240" w:lineRule="auto"/>
              <w:jc w:val="both"/>
              <w:rPr>
                <w:b/>
                <w:sz w:val="28"/>
                <w:szCs w:val="28"/>
              </w:rPr>
            </w:pPr>
            <w:r w:rsidRPr="00BD4443">
              <w:rPr>
                <w:b/>
                <w:sz w:val="28"/>
                <w:szCs w:val="28"/>
              </w:rPr>
              <w:t>Projekta vadība, komunikācija un vienotas projekta ieviešanas metodika</w:t>
            </w:r>
          </w:p>
        </w:tc>
        <w:tc>
          <w:tcPr>
            <w:tcW w:w="4536" w:type="dxa"/>
            <w:shd w:val="clear" w:color="auto" w:fill="auto"/>
          </w:tcPr>
          <w:p w14:paraId="38D89EA2" w14:textId="77777777" w:rsidR="00784243" w:rsidRPr="00BD4443" w:rsidRDefault="00830E3F" w:rsidP="00BD4443">
            <w:pPr>
              <w:spacing w:after="0" w:line="240" w:lineRule="auto"/>
              <w:jc w:val="both"/>
              <w:rPr>
                <w:sz w:val="28"/>
                <w:szCs w:val="28"/>
              </w:rPr>
            </w:pPr>
            <w:r w:rsidRPr="00BD4443">
              <w:rPr>
                <w:sz w:val="28"/>
                <w:szCs w:val="28"/>
              </w:rPr>
              <w:t>Projekta dalībniekiem nepieciešams aktīvi iesaistīties projekta efektīvā vadīšanā, koordinācijā, administrēšanā, aktivitāšu saskaņošanā un stratēģisko virzienu noteikšanā.</w:t>
            </w:r>
          </w:p>
        </w:tc>
        <w:tc>
          <w:tcPr>
            <w:tcW w:w="1712" w:type="dxa"/>
            <w:shd w:val="clear" w:color="auto" w:fill="auto"/>
          </w:tcPr>
          <w:p w14:paraId="694A827E" w14:textId="77777777" w:rsidR="00784243" w:rsidRPr="00BD4443" w:rsidRDefault="00830E3F" w:rsidP="00857FC0">
            <w:pPr>
              <w:spacing w:after="0" w:line="240" w:lineRule="auto"/>
              <w:jc w:val="center"/>
              <w:rPr>
                <w:sz w:val="28"/>
                <w:szCs w:val="28"/>
              </w:rPr>
            </w:pPr>
            <w:r w:rsidRPr="00BD4443">
              <w:rPr>
                <w:sz w:val="28"/>
                <w:szCs w:val="28"/>
              </w:rPr>
              <w:t>3</w:t>
            </w:r>
          </w:p>
        </w:tc>
      </w:tr>
      <w:tr w:rsidR="00784243" w:rsidRPr="00BD4443" w14:paraId="1AF4F6E2" w14:textId="77777777" w:rsidTr="00BD4443">
        <w:tc>
          <w:tcPr>
            <w:tcW w:w="675" w:type="dxa"/>
            <w:shd w:val="clear" w:color="auto" w:fill="auto"/>
          </w:tcPr>
          <w:p w14:paraId="5A70D0F8" w14:textId="77777777" w:rsidR="00784243" w:rsidRPr="00BD4443" w:rsidRDefault="00784243" w:rsidP="00BD4443">
            <w:pPr>
              <w:spacing w:after="0" w:line="240" w:lineRule="auto"/>
              <w:jc w:val="both"/>
              <w:rPr>
                <w:sz w:val="28"/>
                <w:szCs w:val="28"/>
              </w:rPr>
            </w:pPr>
            <w:r w:rsidRPr="00BD4443">
              <w:rPr>
                <w:sz w:val="28"/>
                <w:szCs w:val="28"/>
              </w:rPr>
              <w:t>2.</w:t>
            </w:r>
          </w:p>
        </w:tc>
        <w:tc>
          <w:tcPr>
            <w:tcW w:w="2268" w:type="dxa"/>
            <w:shd w:val="clear" w:color="auto" w:fill="auto"/>
          </w:tcPr>
          <w:p w14:paraId="350D99B4" w14:textId="77777777" w:rsidR="00784243" w:rsidRPr="00BD4443" w:rsidRDefault="00830E3F" w:rsidP="00BD4443">
            <w:pPr>
              <w:spacing w:after="0" w:line="240" w:lineRule="auto"/>
              <w:jc w:val="both"/>
              <w:rPr>
                <w:b/>
                <w:sz w:val="28"/>
                <w:szCs w:val="28"/>
              </w:rPr>
            </w:pPr>
            <w:r w:rsidRPr="00BD4443">
              <w:rPr>
                <w:b/>
                <w:sz w:val="28"/>
                <w:szCs w:val="28"/>
              </w:rPr>
              <w:t>IT instrumentu izstrāde</w:t>
            </w:r>
          </w:p>
        </w:tc>
        <w:tc>
          <w:tcPr>
            <w:tcW w:w="4536" w:type="dxa"/>
            <w:shd w:val="clear" w:color="auto" w:fill="auto"/>
          </w:tcPr>
          <w:p w14:paraId="65CE5F89" w14:textId="77777777" w:rsidR="00784243" w:rsidRPr="00BD4443" w:rsidRDefault="00830E3F" w:rsidP="00BD4443">
            <w:pPr>
              <w:spacing w:after="0" w:line="240" w:lineRule="auto"/>
              <w:jc w:val="both"/>
              <w:rPr>
                <w:sz w:val="28"/>
                <w:szCs w:val="28"/>
              </w:rPr>
            </w:pPr>
            <w:r w:rsidRPr="00BD4443">
              <w:rPr>
                <w:sz w:val="28"/>
                <w:szCs w:val="28"/>
              </w:rPr>
              <w:t>Esošo un nepieciešamo IT instrumentu analīze tirgus uzraudzībai.</w:t>
            </w:r>
          </w:p>
        </w:tc>
        <w:tc>
          <w:tcPr>
            <w:tcW w:w="1712" w:type="dxa"/>
            <w:shd w:val="clear" w:color="auto" w:fill="auto"/>
          </w:tcPr>
          <w:p w14:paraId="3934001C" w14:textId="77777777" w:rsidR="00784243" w:rsidRPr="00BD4443" w:rsidRDefault="00830E3F" w:rsidP="00857FC0">
            <w:pPr>
              <w:spacing w:after="0" w:line="240" w:lineRule="auto"/>
              <w:jc w:val="center"/>
              <w:rPr>
                <w:sz w:val="28"/>
                <w:szCs w:val="28"/>
              </w:rPr>
            </w:pPr>
            <w:r w:rsidRPr="00BD4443">
              <w:rPr>
                <w:sz w:val="28"/>
                <w:szCs w:val="28"/>
              </w:rPr>
              <w:t>1</w:t>
            </w:r>
          </w:p>
        </w:tc>
      </w:tr>
      <w:tr w:rsidR="00784243" w:rsidRPr="00BD4443" w14:paraId="737453E7" w14:textId="77777777" w:rsidTr="00BD4443">
        <w:tc>
          <w:tcPr>
            <w:tcW w:w="675" w:type="dxa"/>
            <w:shd w:val="clear" w:color="auto" w:fill="auto"/>
          </w:tcPr>
          <w:p w14:paraId="42B0053B" w14:textId="77777777" w:rsidR="00784243" w:rsidRPr="00BD4443" w:rsidRDefault="00784243" w:rsidP="00BD4443">
            <w:pPr>
              <w:spacing w:after="0" w:line="240" w:lineRule="auto"/>
              <w:jc w:val="both"/>
              <w:rPr>
                <w:sz w:val="28"/>
                <w:szCs w:val="28"/>
              </w:rPr>
            </w:pPr>
            <w:r w:rsidRPr="00BD4443">
              <w:rPr>
                <w:sz w:val="28"/>
                <w:szCs w:val="28"/>
              </w:rPr>
              <w:t>3.</w:t>
            </w:r>
          </w:p>
        </w:tc>
        <w:tc>
          <w:tcPr>
            <w:tcW w:w="2268" w:type="dxa"/>
            <w:shd w:val="clear" w:color="auto" w:fill="auto"/>
          </w:tcPr>
          <w:p w14:paraId="75C58D0F" w14:textId="77777777" w:rsidR="00784243" w:rsidRPr="00BD4443" w:rsidRDefault="00830E3F" w:rsidP="00BD4443">
            <w:pPr>
              <w:spacing w:after="0" w:line="240" w:lineRule="auto"/>
              <w:jc w:val="both"/>
              <w:rPr>
                <w:b/>
                <w:sz w:val="28"/>
                <w:szCs w:val="28"/>
              </w:rPr>
            </w:pPr>
            <w:r w:rsidRPr="00BD4443">
              <w:rPr>
                <w:b/>
                <w:sz w:val="28"/>
                <w:szCs w:val="28"/>
              </w:rPr>
              <w:t>Sadarbība ar muitas iestādēm</w:t>
            </w:r>
          </w:p>
        </w:tc>
        <w:tc>
          <w:tcPr>
            <w:tcW w:w="4536" w:type="dxa"/>
            <w:shd w:val="clear" w:color="auto" w:fill="auto"/>
          </w:tcPr>
          <w:p w14:paraId="36C1767B" w14:textId="77777777" w:rsidR="00784243" w:rsidRPr="00BD4443" w:rsidRDefault="00830E3F" w:rsidP="00BD4443">
            <w:pPr>
              <w:spacing w:after="0" w:line="240" w:lineRule="auto"/>
              <w:jc w:val="both"/>
              <w:rPr>
                <w:sz w:val="28"/>
                <w:szCs w:val="28"/>
              </w:rPr>
            </w:pPr>
            <w:r w:rsidRPr="00BD4443">
              <w:rPr>
                <w:sz w:val="28"/>
                <w:szCs w:val="28"/>
              </w:rPr>
              <w:t>Stiprināt un veicināt tirgus uzraudzības iestāžu sadarbību ar muitas iestādēm, lai palielinātu uzraudzību uz robežas.</w:t>
            </w:r>
          </w:p>
        </w:tc>
        <w:tc>
          <w:tcPr>
            <w:tcW w:w="1712" w:type="dxa"/>
            <w:shd w:val="clear" w:color="auto" w:fill="auto"/>
          </w:tcPr>
          <w:p w14:paraId="36EB143E" w14:textId="77777777" w:rsidR="00784243" w:rsidRPr="00BD4443" w:rsidRDefault="00830E3F" w:rsidP="00857FC0">
            <w:pPr>
              <w:spacing w:after="0" w:line="240" w:lineRule="auto"/>
              <w:jc w:val="center"/>
              <w:rPr>
                <w:sz w:val="28"/>
                <w:szCs w:val="28"/>
              </w:rPr>
            </w:pPr>
            <w:r w:rsidRPr="00BD4443">
              <w:rPr>
                <w:sz w:val="28"/>
                <w:szCs w:val="28"/>
              </w:rPr>
              <w:t>1</w:t>
            </w:r>
          </w:p>
        </w:tc>
      </w:tr>
      <w:tr w:rsidR="00784243" w:rsidRPr="00BD4443" w14:paraId="1739ECDA" w14:textId="77777777" w:rsidTr="00BD4443">
        <w:tc>
          <w:tcPr>
            <w:tcW w:w="675" w:type="dxa"/>
            <w:shd w:val="clear" w:color="auto" w:fill="auto"/>
          </w:tcPr>
          <w:p w14:paraId="50C3CCC3" w14:textId="77777777" w:rsidR="00784243" w:rsidRPr="00BD4443" w:rsidRDefault="00784243" w:rsidP="00BD4443">
            <w:pPr>
              <w:spacing w:after="0" w:line="240" w:lineRule="auto"/>
              <w:jc w:val="both"/>
              <w:rPr>
                <w:sz w:val="28"/>
                <w:szCs w:val="28"/>
              </w:rPr>
            </w:pPr>
            <w:r w:rsidRPr="00BD4443">
              <w:rPr>
                <w:sz w:val="28"/>
                <w:szCs w:val="28"/>
              </w:rPr>
              <w:t>4</w:t>
            </w:r>
            <w:r w:rsidR="00830E3F" w:rsidRPr="00BD4443">
              <w:rPr>
                <w:sz w:val="28"/>
                <w:szCs w:val="28"/>
              </w:rPr>
              <w:t>.</w:t>
            </w:r>
          </w:p>
        </w:tc>
        <w:tc>
          <w:tcPr>
            <w:tcW w:w="2268" w:type="dxa"/>
            <w:shd w:val="clear" w:color="auto" w:fill="auto"/>
          </w:tcPr>
          <w:p w14:paraId="02933AD2" w14:textId="77777777" w:rsidR="00784243" w:rsidRPr="00BD4443" w:rsidRDefault="00830E3F" w:rsidP="00BD4443">
            <w:pPr>
              <w:spacing w:after="0" w:line="240" w:lineRule="auto"/>
              <w:jc w:val="both"/>
              <w:rPr>
                <w:b/>
                <w:sz w:val="28"/>
                <w:szCs w:val="28"/>
              </w:rPr>
            </w:pPr>
            <w:r w:rsidRPr="00BD4443">
              <w:rPr>
                <w:b/>
                <w:sz w:val="28"/>
                <w:szCs w:val="28"/>
              </w:rPr>
              <w:t>Izcilības centru izveide</w:t>
            </w:r>
          </w:p>
        </w:tc>
        <w:tc>
          <w:tcPr>
            <w:tcW w:w="4536" w:type="dxa"/>
            <w:shd w:val="clear" w:color="auto" w:fill="auto"/>
          </w:tcPr>
          <w:p w14:paraId="654445EE" w14:textId="77777777" w:rsidR="00784243" w:rsidRPr="00BD4443" w:rsidRDefault="00830E3F" w:rsidP="00BD4443">
            <w:pPr>
              <w:spacing w:after="0" w:line="240" w:lineRule="auto"/>
              <w:jc w:val="both"/>
              <w:rPr>
                <w:sz w:val="28"/>
                <w:szCs w:val="28"/>
              </w:rPr>
            </w:pPr>
            <w:r w:rsidRPr="00BD4443">
              <w:rPr>
                <w:sz w:val="28"/>
                <w:szCs w:val="28"/>
              </w:rPr>
              <w:t>Atbalstīt tirgus uzraudzības iestāžu iespējas izmantot neatkarīgas un profesionālas laboratorijas.</w:t>
            </w:r>
          </w:p>
        </w:tc>
        <w:tc>
          <w:tcPr>
            <w:tcW w:w="1712" w:type="dxa"/>
            <w:shd w:val="clear" w:color="auto" w:fill="auto"/>
          </w:tcPr>
          <w:p w14:paraId="073BABC9" w14:textId="77777777" w:rsidR="00784243" w:rsidRPr="00BD4443" w:rsidRDefault="00830E3F" w:rsidP="00857FC0">
            <w:pPr>
              <w:spacing w:after="0" w:line="240" w:lineRule="auto"/>
              <w:jc w:val="center"/>
              <w:rPr>
                <w:sz w:val="28"/>
                <w:szCs w:val="28"/>
              </w:rPr>
            </w:pPr>
            <w:r w:rsidRPr="00BD4443">
              <w:rPr>
                <w:sz w:val="28"/>
                <w:szCs w:val="28"/>
              </w:rPr>
              <w:t>1</w:t>
            </w:r>
          </w:p>
        </w:tc>
      </w:tr>
      <w:tr w:rsidR="00784243" w:rsidRPr="00BD4443" w14:paraId="45E79761" w14:textId="77777777" w:rsidTr="00BD4443">
        <w:tc>
          <w:tcPr>
            <w:tcW w:w="675" w:type="dxa"/>
            <w:shd w:val="clear" w:color="auto" w:fill="auto"/>
          </w:tcPr>
          <w:p w14:paraId="24402ED4" w14:textId="77777777" w:rsidR="00784243" w:rsidRPr="00BD4443" w:rsidRDefault="00830E3F" w:rsidP="00BD4443">
            <w:pPr>
              <w:spacing w:after="0" w:line="240" w:lineRule="auto"/>
              <w:jc w:val="both"/>
              <w:rPr>
                <w:sz w:val="28"/>
                <w:szCs w:val="28"/>
              </w:rPr>
            </w:pPr>
            <w:r w:rsidRPr="00BD4443">
              <w:rPr>
                <w:sz w:val="28"/>
                <w:szCs w:val="28"/>
              </w:rPr>
              <w:t>5.</w:t>
            </w:r>
          </w:p>
        </w:tc>
        <w:tc>
          <w:tcPr>
            <w:tcW w:w="2268" w:type="dxa"/>
            <w:shd w:val="clear" w:color="auto" w:fill="auto"/>
          </w:tcPr>
          <w:p w14:paraId="4D51475E" w14:textId="77777777" w:rsidR="00784243" w:rsidRPr="00BD4443" w:rsidRDefault="00830E3F" w:rsidP="00BD4443">
            <w:pPr>
              <w:spacing w:after="0" w:line="240" w:lineRule="auto"/>
              <w:jc w:val="both"/>
              <w:rPr>
                <w:b/>
                <w:sz w:val="28"/>
                <w:szCs w:val="28"/>
              </w:rPr>
            </w:pPr>
            <w:r w:rsidRPr="00BD4443">
              <w:rPr>
                <w:b/>
                <w:sz w:val="28"/>
                <w:szCs w:val="28"/>
              </w:rPr>
              <w:t>Apmācības apmaiņas programmu ieviešana</w:t>
            </w:r>
          </w:p>
        </w:tc>
        <w:tc>
          <w:tcPr>
            <w:tcW w:w="4536" w:type="dxa"/>
            <w:shd w:val="clear" w:color="auto" w:fill="auto"/>
          </w:tcPr>
          <w:p w14:paraId="422BBE82" w14:textId="77777777" w:rsidR="00784243" w:rsidRPr="00BD4443" w:rsidRDefault="00830E3F" w:rsidP="00BD4443">
            <w:pPr>
              <w:spacing w:after="0" w:line="240" w:lineRule="auto"/>
              <w:jc w:val="both"/>
              <w:rPr>
                <w:sz w:val="28"/>
                <w:szCs w:val="28"/>
              </w:rPr>
            </w:pPr>
            <w:r w:rsidRPr="00BD4443">
              <w:rPr>
                <w:sz w:val="28"/>
                <w:szCs w:val="28"/>
              </w:rPr>
              <w:t xml:space="preserve">Pēc nepieciešamības sniegt apmācības tirgus uzraudzības iestādēm, lai paaugstinātu iestāžu kapacitāti šajā jomā. </w:t>
            </w:r>
          </w:p>
        </w:tc>
        <w:tc>
          <w:tcPr>
            <w:tcW w:w="1712" w:type="dxa"/>
            <w:shd w:val="clear" w:color="auto" w:fill="auto"/>
          </w:tcPr>
          <w:p w14:paraId="23386781" w14:textId="77777777" w:rsidR="00784243" w:rsidRPr="00BD4443" w:rsidRDefault="00830E3F" w:rsidP="00857FC0">
            <w:pPr>
              <w:spacing w:after="0" w:line="240" w:lineRule="auto"/>
              <w:jc w:val="center"/>
              <w:rPr>
                <w:sz w:val="28"/>
                <w:szCs w:val="28"/>
              </w:rPr>
            </w:pPr>
            <w:r w:rsidRPr="00BD4443">
              <w:rPr>
                <w:sz w:val="28"/>
                <w:szCs w:val="28"/>
              </w:rPr>
              <w:t>3</w:t>
            </w:r>
          </w:p>
        </w:tc>
      </w:tr>
      <w:tr w:rsidR="00784243" w:rsidRPr="00BD4443" w14:paraId="119B568C" w14:textId="77777777" w:rsidTr="00BD4443">
        <w:tc>
          <w:tcPr>
            <w:tcW w:w="675" w:type="dxa"/>
            <w:shd w:val="clear" w:color="auto" w:fill="auto"/>
          </w:tcPr>
          <w:p w14:paraId="60A74412" w14:textId="77777777" w:rsidR="00784243" w:rsidRPr="00BD4443" w:rsidRDefault="00830E3F" w:rsidP="00BD4443">
            <w:pPr>
              <w:spacing w:after="0" w:line="240" w:lineRule="auto"/>
              <w:jc w:val="both"/>
              <w:rPr>
                <w:sz w:val="28"/>
                <w:szCs w:val="28"/>
              </w:rPr>
            </w:pPr>
            <w:r w:rsidRPr="00BD4443">
              <w:rPr>
                <w:sz w:val="28"/>
                <w:szCs w:val="28"/>
              </w:rPr>
              <w:t>6.</w:t>
            </w:r>
          </w:p>
        </w:tc>
        <w:tc>
          <w:tcPr>
            <w:tcW w:w="2268" w:type="dxa"/>
            <w:shd w:val="clear" w:color="auto" w:fill="auto"/>
          </w:tcPr>
          <w:p w14:paraId="0BEB4C98" w14:textId="77777777" w:rsidR="00784243" w:rsidRPr="00BD4443" w:rsidRDefault="00830E3F" w:rsidP="00BD4443">
            <w:pPr>
              <w:spacing w:after="0" w:line="240" w:lineRule="auto"/>
              <w:jc w:val="both"/>
              <w:rPr>
                <w:b/>
                <w:sz w:val="28"/>
                <w:szCs w:val="28"/>
              </w:rPr>
            </w:pPr>
            <w:r w:rsidRPr="00BD4443">
              <w:rPr>
                <w:b/>
                <w:sz w:val="28"/>
                <w:szCs w:val="28"/>
              </w:rPr>
              <w:t>Jaunu izaicinājumu un prioritāšu noteikšana</w:t>
            </w:r>
          </w:p>
        </w:tc>
        <w:tc>
          <w:tcPr>
            <w:tcW w:w="4536" w:type="dxa"/>
            <w:shd w:val="clear" w:color="auto" w:fill="auto"/>
          </w:tcPr>
          <w:p w14:paraId="5CE625D4" w14:textId="77777777" w:rsidR="00784243" w:rsidRPr="00BD4443" w:rsidRDefault="00830E3F" w:rsidP="00BD4443">
            <w:pPr>
              <w:spacing w:after="0" w:line="240" w:lineRule="auto"/>
              <w:jc w:val="both"/>
              <w:rPr>
                <w:sz w:val="28"/>
                <w:szCs w:val="28"/>
              </w:rPr>
            </w:pPr>
            <w:r w:rsidRPr="00BD4443">
              <w:rPr>
                <w:sz w:val="28"/>
                <w:szCs w:val="28"/>
              </w:rPr>
              <w:t>Jaunu risku vai problēmu zonu apzināšana, t.sk. standartu, normatīvo aktu nepilnības, jauno tehnoloģiju un jauno produktu attīstība.</w:t>
            </w:r>
          </w:p>
        </w:tc>
        <w:tc>
          <w:tcPr>
            <w:tcW w:w="1712" w:type="dxa"/>
            <w:shd w:val="clear" w:color="auto" w:fill="auto"/>
          </w:tcPr>
          <w:p w14:paraId="04462237" w14:textId="77777777" w:rsidR="00784243" w:rsidRPr="00BD4443" w:rsidRDefault="00830E3F" w:rsidP="00857FC0">
            <w:pPr>
              <w:spacing w:after="0" w:line="240" w:lineRule="auto"/>
              <w:jc w:val="center"/>
              <w:rPr>
                <w:sz w:val="28"/>
                <w:szCs w:val="28"/>
              </w:rPr>
            </w:pPr>
            <w:r w:rsidRPr="00BD4443">
              <w:rPr>
                <w:sz w:val="28"/>
                <w:szCs w:val="28"/>
              </w:rPr>
              <w:t>3,5</w:t>
            </w:r>
          </w:p>
        </w:tc>
      </w:tr>
      <w:tr w:rsidR="00784243" w:rsidRPr="00BD4443" w14:paraId="0F2F6A7A" w14:textId="77777777" w:rsidTr="00BD4443">
        <w:tc>
          <w:tcPr>
            <w:tcW w:w="675" w:type="dxa"/>
            <w:shd w:val="clear" w:color="auto" w:fill="auto"/>
          </w:tcPr>
          <w:p w14:paraId="0F54060A" w14:textId="77777777" w:rsidR="00784243" w:rsidRPr="00BD4443" w:rsidRDefault="00830E3F" w:rsidP="00BD4443">
            <w:pPr>
              <w:spacing w:after="0" w:line="240" w:lineRule="auto"/>
              <w:jc w:val="both"/>
              <w:rPr>
                <w:sz w:val="28"/>
                <w:szCs w:val="28"/>
              </w:rPr>
            </w:pPr>
            <w:r w:rsidRPr="00BD4443">
              <w:rPr>
                <w:sz w:val="28"/>
                <w:szCs w:val="28"/>
              </w:rPr>
              <w:t>7.</w:t>
            </w:r>
          </w:p>
        </w:tc>
        <w:tc>
          <w:tcPr>
            <w:tcW w:w="2268" w:type="dxa"/>
            <w:shd w:val="clear" w:color="auto" w:fill="auto"/>
          </w:tcPr>
          <w:p w14:paraId="2578648F" w14:textId="77777777" w:rsidR="00784243" w:rsidRPr="00BD4443" w:rsidRDefault="00830E3F" w:rsidP="00BD4443">
            <w:pPr>
              <w:spacing w:after="0" w:line="240" w:lineRule="auto"/>
              <w:jc w:val="both"/>
              <w:rPr>
                <w:b/>
                <w:sz w:val="28"/>
                <w:szCs w:val="28"/>
              </w:rPr>
            </w:pPr>
            <w:r w:rsidRPr="00BD4443">
              <w:rPr>
                <w:b/>
                <w:sz w:val="28"/>
                <w:szCs w:val="28"/>
              </w:rPr>
              <w:t>Gaisa kondicionier</w:t>
            </w:r>
            <w:r w:rsidR="00F353A4" w:rsidRPr="00BD4443">
              <w:rPr>
                <w:b/>
                <w:sz w:val="28"/>
                <w:szCs w:val="28"/>
              </w:rPr>
              <w:t>i</w:t>
            </w:r>
            <w:r w:rsidRPr="00BD4443">
              <w:rPr>
                <w:b/>
                <w:sz w:val="28"/>
                <w:szCs w:val="28"/>
              </w:rPr>
              <w:t xml:space="preserve"> </w:t>
            </w:r>
          </w:p>
        </w:tc>
        <w:tc>
          <w:tcPr>
            <w:tcW w:w="4536" w:type="dxa"/>
            <w:shd w:val="clear" w:color="auto" w:fill="auto"/>
          </w:tcPr>
          <w:p w14:paraId="16B67AE6" w14:textId="77777777" w:rsidR="00784243" w:rsidRPr="00BD4443" w:rsidRDefault="00830E3F" w:rsidP="00BD4443">
            <w:pPr>
              <w:spacing w:after="0" w:line="240" w:lineRule="auto"/>
              <w:jc w:val="both"/>
              <w:rPr>
                <w:sz w:val="28"/>
                <w:szCs w:val="28"/>
              </w:rPr>
            </w:pPr>
            <w:r w:rsidRPr="00BD4443">
              <w:rPr>
                <w:sz w:val="28"/>
                <w:szCs w:val="28"/>
              </w:rPr>
              <w:t>Gaisa kondicionieru tirgus uzraudzība, t.sk. produktu priekš-testēšana, administratīvās pārbaudes</w:t>
            </w:r>
            <w:r w:rsidR="00F353A4" w:rsidRPr="00BD4443">
              <w:rPr>
                <w:sz w:val="28"/>
                <w:szCs w:val="28"/>
              </w:rPr>
              <w:t>, testēšana laboratorijās, e-komercijas vietņu pārbaude.</w:t>
            </w:r>
            <w:r w:rsidRPr="00BD4443">
              <w:rPr>
                <w:sz w:val="28"/>
                <w:szCs w:val="28"/>
              </w:rPr>
              <w:t xml:space="preserve"> </w:t>
            </w:r>
          </w:p>
        </w:tc>
        <w:tc>
          <w:tcPr>
            <w:tcW w:w="1712" w:type="dxa"/>
            <w:shd w:val="clear" w:color="auto" w:fill="auto"/>
          </w:tcPr>
          <w:p w14:paraId="71957ED3" w14:textId="77777777" w:rsidR="00784243" w:rsidRPr="00BD4443" w:rsidRDefault="00F353A4" w:rsidP="00857FC0">
            <w:pPr>
              <w:spacing w:after="0" w:line="240" w:lineRule="auto"/>
              <w:jc w:val="center"/>
              <w:rPr>
                <w:sz w:val="28"/>
                <w:szCs w:val="28"/>
              </w:rPr>
            </w:pPr>
            <w:r w:rsidRPr="00BD4443">
              <w:rPr>
                <w:sz w:val="28"/>
                <w:szCs w:val="28"/>
              </w:rPr>
              <w:t>3,5</w:t>
            </w:r>
          </w:p>
        </w:tc>
      </w:tr>
      <w:tr w:rsidR="00830E3F" w:rsidRPr="00BD4443" w14:paraId="255E7079" w14:textId="77777777" w:rsidTr="00BD4443">
        <w:tc>
          <w:tcPr>
            <w:tcW w:w="675" w:type="dxa"/>
            <w:shd w:val="clear" w:color="auto" w:fill="auto"/>
          </w:tcPr>
          <w:p w14:paraId="29148DAF" w14:textId="77777777" w:rsidR="00830E3F" w:rsidRPr="00BD4443" w:rsidRDefault="00830E3F" w:rsidP="00857FC0">
            <w:pPr>
              <w:keepNext/>
              <w:keepLines/>
              <w:spacing w:after="0" w:line="240" w:lineRule="auto"/>
              <w:jc w:val="both"/>
              <w:rPr>
                <w:sz w:val="28"/>
                <w:szCs w:val="28"/>
              </w:rPr>
            </w:pPr>
            <w:r w:rsidRPr="00BD4443">
              <w:rPr>
                <w:sz w:val="28"/>
                <w:szCs w:val="28"/>
              </w:rPr>
              <w:lastRenderedPageBreak/>
              <w:t>8.</w:t>
            </w:r>
          </w:p>
        </w:tc>
        <w:tc>
          <w:tcPr>
            <w:tcW w:w="2268" w:type="dxa"/>
            <w:shd w:val="clear" w:color="auto" w:fill="auto"/>
          </w:tcPr>
          <w:p w14:paraId="148C315E" w14:textId="77777777" w:rsidR="00830E3F" w:rsidRPr="00BD4443" w:rsidRDefault="00F353A4" w:rsidP="00857FC0">
            <w:pPr>
              <w:keepNext/>
              <w:keepLines/>
              <w:spacing w:after="0" w:line="240" w:lineRule="auto"/>
              <w:jc w:val="both"/>
              <w:rPr>
                <w:b/>
                <w:sz w:val="28"/>
                <w:szCs w:val="28"/>
              </w:rPr>
            </w:pPr>
            <w:r w:rsidRPr="00BD4443">
              <w:rPr>
                <w:b/>
                <w:sz w:val="28"/>
                <w:szCs w:val="28"/>
              </w:rPr>
              <w:t>Žāvēšanas iekārtas</w:t>
            </w:r>
            <w:r w:rsidR="00830E3F" w:rsidRPr="00BD4443">
              <w:rPr>
                <w:b/>
                <w:sz w:val="28"/>
                <w:szCs w:val="28"/>
              </w:rPr>
              <w:t xml:space="preserve"> </w:t>
            </w:r>
          </w:p>
        </w:tc>
        <w:tc>
          <w:tcPr>
            <w:tcW w:w="4536" w:type="dxa"/>
            <w:shd w:val="clear" w:color="auto" w:fill="auto"/>
          </w:tcPr>
          <w:p w14:paraId="614E9EDD" w14:textId="5C8399A4" w:rsidR="00830E3F" w:rsidRPr="00BD4443" w:rsidRDefault="00F353A4" w:rsidP="00857FC0">
            <w:pPr>
              <w:keepNext/>
              <w:keepLines/>
              <w:spacing w:after="0" w:line="240" w:lineRule="auto"/>
              <w:jc w:val="both"/>
              <w:rPr>
                <w:sz w:val="28"/>
                <w:szCs w:val="28"/>
              </w:rPr>
            </w:pPr>
            <w:r w:rsidRPr="00BD4443">
              <w:rPr>
                <w:sz w:val="28"/>
                <w:szCs w:val="28"/>
              </w:rPr>
              <w:t xml:space="preserve">Žāvēšanas iekārtu tirgus uzraudzība, t.sk. produktu priekš-testēšana, administratīvās pārbaudes, testēšana laboratorijās, e-komercijas vietņu pārbaude. </w:t>
            </w:r>
          </w:p>
        </w:tc>
        <w:tc>
          <w:tcPr>
            <w:tcW w:w="1712" w:type="dxa"/>
            <w:shd w:val="clear" w:color="auto" w:fill="auto"/>
          </w:tcPr>
          <w:p w14:paraId="20317B93" w14:textId="77777777" w:rsidR="00830E3F" w:rsidRPr="00BD4443" w:rsidRDefault="00F353A4" w:rsidP="00857FC0">
            <w:pPr>
              <w:keepNext/>
              <w:keepLines/>
              <w:spacing w:after="0" w:line="240" w:lineRule="auto"/>
              <w:jc w:val="center"/>
              <w:rPr>
                <w:sz w:val="28"/>
                <w:szCs w:val="28"/>
              </w:rPr>
            </w:pPr>
            <w:r w:rsidRPr="00BD4443">
              <w:rPr>
                <w:sz w:val="28"/>
                <w:szCs w:val="28"/>
              </w:rPr>
              <w:t>3,5</w:t>
            </w:r>
          </w:p>
        </w:tc>
      </w:tr>
      <w:tr w:rsidR="00830E3F" w:rsidRPr="00BD4443" w14:paraId="469A3612" w14:textId="77777777" w:rsidTr="00BD4443">
        <w:tc>
          <w:tcPr>
            <w:tcW w:w="675" w:type="dxa"/>
            <w:shd w:val="clear" w:color="auto" w:fill="auto"/>
          </w:tcPr>
          <w:p w14:paraId="330DA308" w14:textId="77777777" w:rsidR="00830E3F" w:rsidRPr="00BD4443" w:rsidRDefault="00830E3F" w:rsidP="00BD4443">
            <w:pPr>
              <w:spacing w:after="0" w:line="240" w:lineRule="auto"/>
              <w:jc w:val="both"/>
              <w:rPr>
                <w:sz w:val="28"/>
                <w:szCs w:val="28"/>
              </w:rPr>
            </w:pPr>
            <w:r w:rsidRPr="00BD4443">
              <w:rPr>
                <w:sz w:val="28"/>
                <w:szCs w:val="28"/>
              </w:rPr>
              <w:t>9.</w:t>
            </w:r>
          </w:p>
        </w:tc>
        <w:tc>
          <w:tcPr>
            <w:tcW w:w="2268" w:type="dxa"/>
            <w:shd w:val="clear" w:color="auto" w:fill="auto"/>
          </w:tcPr>
          <w:p w14:paraId="2D3431EA" w14:textId="77777777" w:rsidR="00830E3F" w:rsidRPr="00BD4443" w:rsidRDefault="00830E3F" w:rsidP="00BD4443">
            <w:pPr>
              <w:spacing w:after="0" w:line="240" w:lineRule="auto"/>
              <w:jc w:val="both"/>
              <w:rPr>
                <w:b/>
                <w:sz w:val="28"/>
                <w:szCs w:val="28"/>
              </w:rPr>
            </w:pPr>
            <w:r w:rsidRPr="00BD4443">
              <w:rPr>
                <w:b/>
                <w:sz w:val="28"/>
                <w:szCs w:val="28"/>
              </w:rPr>
              <w:t>Ūdens sildītāj</w:t>
            </w:r>
            <w:r w:rsidR="00F353A4" w:rsidRPr="00BD4443">
              <w:rPr>
                <w:b/>
                <w:sz w:val="28"/>
                <w:szCs w:val="28"/>
              </w:rPr>
              <w:t>i</w:t>
            </w:r>
          </w:p>
        </w:tc>
        <w:tc>
          <w:tcPr>
            <w:tcW w:w="4536" w:type="dxa"/>
            <w:shd w:val="clear" w:color="auto" w:fill="auto"/>
          </w:tcPr>
          <w:p w14:paraId="466BA6D7" w14:textId="77777777" w:rsidR="00830E3F" w:rsidRPr="00BD4443" w:rsidRDefault="00F353A4" w:rsidP="00BD4443">
            <w:pPr>
              <w:spacing w:after="0" w:line="240" w:lineRule="auto"/>
              <w:jc w:val="both"/>
              <w:rPr>
                <w:sz w:val="28"/>
                <w:szCs w:val="28"/>
              </w:rPr>
            </w:pPr>
            <w:r w:rsidRPr="00BD4443">
              <w:rPr>
                <w:sz w:val="28"/>
                <w:szCs w:val="28"/>
              </w:rPr>
              <w:t>Ūdens sildītāju tirgus uzraudzība, t.sk. produ</w:t>
            </w:r>
            <w:bookmarkStart w:id="2" w:name="_GoBack"/>
            <w:bookmarkEnd w:id="2"/>
            <w:r w:rsidRPr="00BD4443">
              <w:rPr>
                <w:sz w:val="28"/>
                <w:szCs w:val="28"/>
              </w:rPr>
              <w:t xml:space="preserve">ktu priekš-testēšana, administratīvās pārbaudes, testēšana laboratorijās, e-komercijas vietņu pārbaude, produktu reģistrācijas pārbaudes ES vienotajā sistēmā. </w:t>
            </w:r>
            <w:r w:rsidRPr="00BD4443">
              <w:rPr>
                <w:sz w:val="28"/>
                <w:szCs w:val="28"/>
              </w:rPr>
              <w:tab/>
            </w:r>
          </w:p>
        </w:tc>
        <w:tc>
          <w:tcPr>
            <w:tcW w:w="1712" w:type="dxa"/>
            <w:shd w:val="clear" w:color="auto" w:fill="auto"/>
          </w:tcPr>
          <w:p w14:paraId="2AEC4EDD" w14:textId="77777777" w:rsidR="00830E3F" w:rsidRPr="00BD4443" w:rsidRDefault="00F353A4" w:rsidP="00857FC0">
            <w:pPr>
              <w:spacing w:after="0" w:line="240" w:lineRule="auto"/>
              <w:jc w:val="center"/>
              <w:rPr>
                <w:sz w:val="28"/>
                <w:szCs w:val="28"/>
              </w:rPr>
            </w:pPr>
            <w:r w:rsidRPr="00BD4443">
              <w:rPr>
                <w:sz w:val="28"/>
                <w:szCs w:val="28"/>
              </w:rPr>
              <w:t>4</w:t>
            </w:r>
          </w:p>
        </w:tc>
      </w:tr>
      <w:tr w:rsidR="00830E3F" w:rsidRPr="00BD4443" w14:paraId="7D1BE3A9" w14:textId="77777777" w:rsidTr="00BD4443">
        <w:tc>
          <w:tcPr>
            <w:tcW w:w="675" w:type="dxa"/>
            <w:shd w:val="clear" w:color="auto" w:fill="auto"/>
          </w:tcPr>
          <w:p w14:paraId="25193CD0" w14:textId="77777777" w:rsidR="00830E3F" w:rsidRPr="00BD4443" w:rsidRDefault="00830E3F" w:rsidP="00BD4443">
            <w:pPr>
              <w:spacing w:after="0" w:line="240" w:lineRule="auto"/>
              <w:jc w:val="both"/>
              <w:rPr>
                <w:sz w:val="28"/>
                <w:szCs w:val="28"/>
              </w:rPr>
            </w:pPr>
            <w:r w:rsidRPr="00BD4443">
              <w:rPr>
                <w:sz w:val="28"/>
                <w:szCs w:val="28"/>
              </w:rPr>
              <w:t>10.</w:t>
            </w:r>
          </w:p>
        </w:tc>
        <w:tc>
          <w:tcPr>
            <w:tcW w:w="2268" w:type="dxa"/>
            <w:shd w:val="clear" w:color="auto" w:fill="auto"/>
          </w:tcPr>
          <w:p w14:paraId="543EBD18" w14:textId="77777777" w:rsidR="00830E3F" w:rsidRPr="00BD4443" w:rsidRDefault="00830E3F" w:rsidP="00BD4443">
            <w:pPr>
              <w:spacing w:after="0" w:line="240" w:lineRule="auto"/>
              <w:jc w:val="both"/>
              <w:rPr>
                <w:b/>
                <w:sz w:val="28"/>
                <w:szCs w:val="28"/>
              </w:rPr>
            </w:pPr>
            <w:r w:rsidRPr="00BD4443">
              <w:rPr>
                <w:b/>
                <w:sz w:val="28"/>
                <w:szCs w:val="28"/>
              </w:rPr>
              <w:t>Ventilator</w:t>
            </w:r>
            <w:r w:rsidR="00F353A4" w:rsidRPr="00BD4443">
              <w:rPr>
                <w:b/>
                <w:sz w:val="28"/>
                <w:szCs w:val="28"/>
              </w:rPr>
              <w:t>i</w:t>
            </w:r>
            <w:r w:rsidRPr="00BD4443">
              <w:rPr>
                <w:b/>
                <w:sz w:val="28"/>
                <w:szCs w:val="28"/>
              </w:rPr>
              <w:t xml:space="preserve"> </w:t>
            </w:r>
          </w:p>
        </w:tc>
        <w:tc>
          <w:tcPr>
            <w:tcW w:w="4536" w:type="dxa"/>
            <w:shd w:val="clear" w:color="auto" w:fill="auto"/>
          </w:tcPr>
          <w:p w14:paraId="05E93124" w14:textId="77777777" w:rsidR="00830E3F" w:rsidRPr="00BD4443" w:rsidRDefault="00F353A4" w:rsidP="00BD4443">
            <w:pPr>
              <w:spacing w:after="0" w:line="240" w:lineRule="auto"/>
              <w:jc w:val="both"/>
              <w:rPr>
                <w:sz w:val="28"/>
                <w:szCs w:val="28"/>
              </w:rPr>
            </w:pPr>
            <w:r w:rsidRPr="00BD4443">
              <w:rPr>
                <w:sz w:val="28"/>
                <w:szCs w:val="28"/>
              </w:rPr>
              <w:t xml:space="preserve">Ventilatoru tirgus uzraudzība, t.sk. produktu priekš-testēšana, administratīvās pārbaudes, testēšana laboratorijās, e-komercijas vietņu pārbaude, produktu reģistrācijas pārbaudes ES vienotajā sistēmā. </w:t>
            </w:r>
            <w:r w:rsidRPr="00BD4443">
              <w:rPr>
                <w:sz w:val="28"/>
                <w:szCs w:val="28"/>
              </w:rPr>
              <w:tab/>
            </w:r>
          </w:p>
        </w:tc>
        <w:tc>
          <w:tcPr>
            <w:tcW w:w="1712" w:type="dxa"/>
            <w:shd w:val="clear" w:color="auto" w:fill="auto"/>
          </w:tcPr>
          <w:p w14:paraId="5E0EE960" w14:textId="77777777" w:rsidR="00830E3F" w:rsidRPr="00BD4443" w:rsidRDefault="00F353A4" w:rsidP="00857FC0">
            <w:pPr>
              <w:spacing w:after="0" w:line="240" w:lineRule="auto"/>
              <w:jc w:val="center"/>
              <w:rPr>
                <w:sz w:val="28"/>
                <w:szCs w:val="28"/>
              </w:rPr>
            </w:pPr>
            <w:r w:rsidRPr="00BD4443">
              <w:rPr>
                <w:sz w:val="28"/>
                <w:szCs w:val="28"/>
              </w:rPr>
              <w:t>3,5</w:t>
            </w:r>
          </w:p>
        </w:tc>
      </w:tr>
      <w:tr w:rsidR="00F353A4" w:rsidRPr="00BD4443" w14:paraId="65B31AFD" w14:textId="77777777" w:rsidTr="00BD4443">
        <w:tc>
          <w:tcPr>
            <w:tcW w:w="675" w:type="dxa"/>
            <w:shd w:val="clear" w:color="auto" w:fill="auto"/>
          </w:tcPr>
          <w:p w14:paraId="31F9B7CB" w14:textId="77777777" w:rsidR="00F353A4" w:rsidRPr="00BD4443" w:rsidRDefault="00F353A4" w:rsidP="00BD4443">
            <w:pPr>
              <w:spacing w:after="0" w:line="240" w:lineRule="auto"/>
              <w:jc w:val="both"/>
              <w:rPr>
                <w:sz w:val="28"/>
                <w:szCs w:val="28"/>
              </w:rPr>
            </w:pPr>
            <w:r w:rsidRPr="00BD4443">
              <w:rPr>
                <w:sz w:val="28"/>
                <w:szCs w:val="28"/>
              </w:rPr>
              <w:t>11.</w:t>
            </w:r>
          </w:p>
        </w:tc>
        <w:tc>
          <w:tcPr>
            <w:tcW w:w="2268" w:type="dxa"/>
            <w:shd w:val="clear" w:color="auto" w:fill="auto"/>
          </w:tcPr>
          <w:p w14:paraId="540CA1B7" w14:textId="77777777" w:rsidR="00F353A4" w:rsidRPr="00BD4443" w:rsidRDefault="00F353A4" w:rsidP="00BD4443">
            <w:pPr>
              <w:spacing w:after="0" w:line="240" w:lineRule="auto"/>
              <w:jc w:val="both"/>
              <w:rPr>
                <w:b/>
                <w:sz w:val="28"/>
                <w:szCs w:val="28"/>
              </w:rPr>
            </w:pPr>
            <w:r w:rsidRPr="00BD4443">
              <w:rPr>
                <w:b/>
                <w:sz w:val="28"/>
                <w:szCs w:val="28"/>
              </w:rPr>
              <w:t>Apgaismes ierīces</w:t>
            </w:r>
          </w:p>
        </w:tc>
        <w:tc>
          <w:tcPr>
            <w:tcW w:w="4536" w:type="dxa"/>
            <w:shd w:val="clear" w:color="auto" w:fill="auto"/>
          </w:tcPr>
          <w:p w14:paraId="03A4C173" w14:textId="77777777" w:rsidR="00F353A4" w:rsidRPr="00BD4443" w:rsidRDefault="00F353A4" w:rsidP="00BD4443">
            <w:pPr>
              <w:spacing w:after="0" w:line="240" w:lineRule="auto"/>
              <w:jc w:val="both"/>
              <w:rPr>
                <w:sz w:val="28"/>
                <w:szCs w:val="28"/>
              </w:rPr>
            </w:pPr>
            <w:r w:rsidRPr="00BD4443">
              <w:rPr>
                <w:sz w:val="28"/>
                <w:szCs w:val="28"/>
              </w:rPr>
              <w:t xml:space="preserve">Apgaismes ierīču tirgus uzraudzība, t.sk. produktu priekš-testēšana, administratīvās pārbaudes, testēšana laboratorijās, e-komercijas vietņu pārbaude. </w:t>
            </w:r>
            <w:r w:rsidRPr="00BD4443">
              <w:rPr>
                <w:sz w:val="28"/>
                <w:szCs w:val="28"/>
              </w:rPr>
              <w:tab/>
            </w:r>
          </w:p>
        </w:tc>
        <w:tc>
          <w:tcPr>
            <w:tcW w:w="1712" w:type="dxa"/>
            <w:shd w:val="clear" w:color="auto" w:fill="auto"/>
          </w:tcPr>
          <w:p w14:paraId="629E15B1" w14:textId="77777777" w:rsidR="00F353A4" w:rsidRPr="00BD4443" w:rsidRDefault="00F353A4" w:rsidP="00857FC0">
            <w:pPr>
              <w:spacing w:after="0" w:line="240" w:lineRule="auto"/>
              <w:jc w:val="center"/>
              <w:rPr>
                <w:sz w:val="28"/>
                <w:szCs w:val="28"/>
              </w:rPr>
            </w:pPr>
            <w:r w:rsidRPr="00BD4443">
              <w:rPr>
                <w:sz w:val="28"/>
                <w:szCs w:val="28"/>
              </w:rPr>
              <w:t>3,5</w:t>
            </w:r>
          </w:p>
        </w:tc>
      </w:tr>
      <w:tr w:rsidR="00F353A4" w:rsidRPr="00BD4443" w14:paraId="7532B50E" w14:textId="77777777" w:rsidTr="00BD4443">
        <w:tc>
          <w:tcPr>
            <w:tcW w:w="675" w:type="dxa"/>
            <w:shd w:val="clear" w:color="auto" w:fill="auto"/>
          </w:tcPr>
          <w:p w14:paraId="231F4722" w14:textId="77777777" w:rsidR="00F353A4" w:rsidRPr="00BD4443" w:rsidRDefault="00F353A4" w:rsidP="00BD4443">
            <w:pPr>
              <w:spacing w:after="0" w:line="240" w:lineRule="auto"/>
              <w:jc w:val="both"/>
              <w:rPr>
                <w:sz w:val="28"/>
                <w:szCs w:val="28"/>
              </w:rPr>
            </w:pPr>
            <w:r w:rsidRPr="00BD4443">
              <w:rPr>
                <w:sz w:val="28"/>
                <w:szCs w:val="28"/>
              </w:rPr>
              <w:t>12.</w:t>
            </w:r>
          </w:p>
        </w:tc>
        <w:tc>
          <w:tcPr>
            <w:tcW w:w="2268" w:type="dxa"/>
            <w:shd w:val="clear" w:color="auto" w:fill="auto"/>
          </w:tcPr>
          <w:p w14:paraId="01F8BA6C" w14:textId="77777777" w:rsidR="00F353A4" w:rsidRPr="00BD4443" w:rsidRDefault="00F353A4" w:rsidP="00BD4443">
            <w:pPr>
              <w:spacing w:after="0" w:line="240" w:lineRule="auto"/>
              <w:jc w:val="both"/>
              <w:rPr>
                <w:b/>
                <w:sz w:val="28"/>
                <w:szCs w:val="28"/>
              </w:rPr>
            </w:pPr>
            <w:r w:rsidRPr="00BD4443">
              <w:rPr>
                <w:b/>
                <w:sz w:val="28"/>
                <w:szCs w:val="28"/>
              </w:rPr>
              <w:t>Telpu sildītāji</w:t>
            </w:r>
          </w:p>
        </w:tc>
        <w:tc>
          <w:tcPr>
            <w:tcW w:w="4536" w:type="dxa"/>
            <w:shd w:val="clear" w:color="auto" w:fill="auto"/>
          </w:tcPr>
          <w:p w14:paraId="3E147742" w14:textId="77777777" w:rsidR="00F353A4" w:rsidRPr="00BD4443" w:rsidRDefault="00F353A4" w:rsidP="00BD4443">
            <w:pPr>
              <w:spacing w:after="0" w:line="240" w:lineRule="auto"/>
              <w:jc w:val="both"/>
              <w:rPr>
                <w:sz w:val="28"/>
                <w:szCs w:val="28"/>
              </w:rPr>
            </w:pPr>
            <w:r w:rsidRPr="00BD4443">
              <w:rPr>
                <w:sz w:val="28"/>
                <w:szCs w:val="28"/>
              </w:rPr>
              <w:t xml:space="preserve">Telpu sildītāju tirgus uzraudzība, t.sk. produktu priekš-testēšana, administratīvās pārbaudes, testēšana laboratorijās, e-komercijas vietņu pārbaude, produktu reģistrācijas pārbaudes ES vienotajā sistēmā. </w:t>
            </w:r>
            <w:r w:rsidRPr="00BD4443">
              <w:rPr>
                <w:sz w:val="28"/>
                <w:szCs w:val="28"/>
              </w:rPr>
              <w:tab/>
            </w:r>
          </w:p>
        </w:tc>
        <w:tc>
          <w:tcPr>
            <w:tcW w:w="1712" w:type="dxa"/>
            <w:shd w:val="clear" w:color="auto" w:fill="auto"/>
          </w:tcPr>
          <w:p w14:paraId="322FF765" w14:textId="77777777" w:rsidR="00F353A4" w:rsidRPr="00BD4443" w:rsidRDefault="00F353A4" w:rsidP="00857FC0">
            <w:pPr>
              <w:spacing w:after="0" w:line="240" w:lineRule="auto"/>
              <w:jc w:val="center"/>
              <w:rPr>
                <w:sz w:val="28"/>
                <w:szCs w:val="28"/>
              </w:rPr>
            </w:pPr>
            <w:r w:rsidRPr="00BD4443">
              <w:rPr>
                <w:sz w:val="28"/>
                <w:szCs w:val="28"/>
              </w:rPr>
              <w:t>3,5</w:t>
            </w:r>
          </w:p>
        </w:tc>
      </w:tr>
      <w:tr w:rsidR="00F353A4" w:rsidRPr="00BD4443" w14:paraId="10A56E47" w14:textId="77777777" w:rsidTr="00BD4443">
        <w:tc>
          <w:tcPr>
            <w:tcW w:w="675" w:type="dxa"/>
            <w:shd w:val="clear" w:color="auto" w:fill="auto"/>
          </w:tcPr>
          <w:p w14:paraId="3558D259" w14:textId="77777777" w:rsidR="00F353A4" w:rsidRPr="00BD4443" w:rsidRDefault="00F353A4" w:rsidP="00BD4443">
            <w:pPr>
              <w:spacing w:after="0" w:line="240" w:lineRule="auto"/>
              <w:jc w:val="both"/>
              <w:rPr>
                <w:sz w:val="28"/>
                <w:szCs w:val="28"/>
              </w:rPr>
            </w:pPr>
          </w:p>
        </w:tc>
        <w:tc>
          <w:tcPr>
            <w:tcW w:w="2268" w:type="dxa"/>
            <w:shd w:val="clear" w:color="auto" w:fill="auto"/>
          </w:tcPr>
          <w:p w14:paraId="2B8A6857" w14:textId="77777777" w:rsidR="00F353A4" w:rsidRPr="00BD4443" w:rsidRDefault="00F353A4" w:rsidP="00BD4443">
            <w:pPr>
              <w:spacing w:after="0" w:line="240" w:lineRule="auto"/>
              <w:jc w:val="both"/>
              <w:rPr>
                <w:b/>
                <w:sz w:val="28"/>
                <w:szCs w:val="28"/>
              </w:rPr>
            </w:pPr>
          </w:p>
        </w:tc>
        <w:tc>
          <w:tcPr>
            <w:tcW w:w="4536" w:type="dxa"/>
            <w:shd w:val="clear" w:color="auto" w:fill="auto"/>
          </w:tcPr>
          <w:p w14:paraId="77D19A6F" w14:textId="77777777" w:rsidR="00F353A4" w:rsidRPr="00BD4443" w:rsidRDefault="00F353A4" w:rsidP="00BD4443">
            <w:pPr>
              <w:spacing w:after="0" w:line="240" w:lineRule="auto"/>
              <w:jc w:val="both"/>
              <w:rPr>
                <w:b/>
                <w:sz w:val="28"/>
                <w:szCs w:val="28"/>
              </w:rPr>
            </w:pPr>
            <w:r w:rsidRPr="00BD4443">
              <w:rPr>
                <w:b/>
                <w:sz w:val="28"/>
                <w:szCs w:val="28"/>
              </w:rPr>
              <w:t>Kopā:</w:t>
            </w:r>
          </w:p>
        </w:tc>
        <w:tc>
          <w:tcPr>
            <w:tcW w:w="1712" w:type="dxa"/>
            <w:shd w:val="clear" w:color="auto" w:fill="auto"/>
          </w:tcPr>
          <w:p w14:paraId="3F1E8371" w14:textId="77777777" w:rsidR="00F353A4" w:rsidRPr="00BD4443" w:rsidRDefault="00F353A4" w:rsidP="00857FC0">
            <w:pPr>
              <w:spacing w:after="0" w:line="240" w:lineRule="auto"/>
              <w:jc w:val="center"/>
              <w:rPr>
                <w:b/>
                <w:sz w:val="28"/>
                <w:szCs w:val="28"/>
              </w:rPr>
            </w:pPr>
            <w:r w:rsidRPr="00BD4443">
              <w:rPr>
                <w:b/>
                <w:sz w:val="28"/>
                <w:szCs w:val="28"/>
              </w:rPr>
              <w:t>34 mēneši</w:t>
            </w:r>
          </w:p>
        </w:tc>
      </w:tr>
    </w:tbl>
    <w:p w14:paraId="358466AC" w14:textId="77777777" w:rsidR="00784243" w:rsidRDefault="00784243" w:rsidP="00461276">
      <w:pPr>
        <w:spacing w:after="0" w:line="240" w:lineRule="auto"/>
        <w:ind w:firstLine="567"/>
        <w:jc w:val="both"/>
        <w:rPr>
          <w:sz w:val="28"/>
          <w:szCs w:val="28"/>
        </w:rPr>
      </w:pPr>
    </w:p>
    <w:p w14:paraId="336395E6" w14:textId="06963F47" w:rsidR="00B84BC4" w:rsidRDefault="00B328FB" w:rsidP="00857FC0">
      <w:pPr>
        <w:spacing w:after="120" w:line="240" w:lineRule="auto"/>
        <w:ind w:firstLine="567"/>
        <w:jc w:val="both"/>
        <w:rPr>
          <w:sz w:val="28"/>
          <w:szCs w:val="28"/>
        </w:rPr>
      </w:pPr>
      <w:r>
        <w:rPr>
          <w:sz w:val="28"/>
          <w:szCs w:val="28"/>
        </w:rPr>
        <w:t xml:space="preserve">Projekts tiks uzsākts 2019.gada jūnijā un ilgs 4 gadus, t.i. līdz 2022.gada 31.maijam. Projektā tiks pilnībā apmaksāts PTAC darbinieku darbs 34 mēnešu apmērā (skatīt tabulu augstāk), kā arī darbinieku komandējumu izdevumi dalībai sanāksmēs un produktu testēšanas izdevumi. </w:t>
      </w:r>
      <w:r w:rsidR="001F2577">
        <w:rPr>
          <w:sz w:val="28"/>
          <w:szCs w:val="28"/>
        </w:rPr>
        <w:t>Lai sekmīgi ieviestu projektā noteiktās aktivitātes, kā arī ņ</w:t>
      </w:r>
      <w:r>
        <w:rPr>
          <w:sz w:val="28"/>
          <w:szCs w:val="28"/>
        </w:rPr>
        <w:t xml:space="preserve">emot vērā nozīmīgo finansējumu darbinieku atlīdzībai, ko paredz “EEPLIANT3” projekts, </w:t>
      </w:r>
      <w:r w:rsidR="00BB10D2">
        <w:rPr>
          <w:sz w:val="28"/>
          <w:szCs w:val="28"/>
        </w:rPr>
        <w:t>ir</w:t>
      </w:r>
      <w:r>
        <w:rPr>
          <w:sz w:val="28"/>
          <w:szCs w:val="28"/>
        </w:rPr>
        <w:t xml:space="preserve"> nepieciešams izveidot PTAC amata vietu Preču un pakalpojumu uzraudzības departamentā – vecākais eksperts uz projekta īstenošanas laiku</w:t>
      </w:r>
      <w:r w:rsidR="00673B7D">
        <w:rPr>
          <w:sz w:val="28"/>
          <w:szCs w:val="28"/>
        </w:rPr>
        <w:t>, kas tiks daļēji finansēta no projektā iegūtajiem līdzekļiem un PTAC līdzekļiem esošā budžeta ietvaros.</w:t>
      </w:r>
    </w:p>
    <w:p w14:paraId="0E7A61FD" w14:textId="77777777" w:rsidR="00673B7D" w:rsidRDefault="00673B7D" w:rsidP="00857FC0">
      <w:pPr>
        <w:spacing w:after="120" w:line="240" w:lineRule="auto"/>
        <w:ind w:firstLine="567"/>
        <w:jc w:val="both"/>
        <w:rPr>
          <w:sz w:val="28"/>
          <w:szCs w:val="28"/>
        </w:rPr>
      </w:pPr>
    </w:p>
    <w:p w14:paraId="168B591F" w14:textId="77777777" w:rsidR="00CC3F20" w:rsidRPr="0096051A" w:rsidRDefault="00203A52" w:rsidP="00857FC0">
      <w:pPr>
        <w:tabs>
          <w:tab w:val="left" w:pos="0"/>
        </w:tabs>
        <w:spacing w:after="120" w:line="240" w:lineRule="auto"/>
        <w:ind w:firstLine="539"/>
        <w:jc w:val="both"/>
        <w:rPr>
          <w:b/>
          <w:sz w:val="28"/>
          <w:szCs w:val="28"/>
        </w:rPr>
      </w:pPr>
      <w:r w:rsidRPr="0096051A">
        <w:rPr>
          <w:b/>
          <w:sz w:val="28"/>
          <w:szCs w:val="28"/>
        </w:rPr>
        <w:t>3</w:t>
      </w:r>
      <w:r w:rsidR="00FA58F6" w:rsidRPr="0096051A">
        <w:rPr>
          <w:b/>
          <w:sz w:val="28"/>
          <w:szCs w:val="28"/>
        </w:rPr>
        <w:t>.</w:t>
      </w:r>
      <w:r w:rsidR="00CC3F20" w:rsidRPr="0096051A">
        <w:rPr>
          <w:b/>
          <w:sz w:val="28"/>
          <w:szCs w:val="28"/>
        </w:rPr>
        <w:t xml:space="preserve"> Turpmākā rīcība</w:t>
      </w:r>
    </w:p>
    <w:p w14:paraId="7AE6C32A" w14:textId="77777777" w:rsidR="00C00A1B" w:rsidRPr="0096051A" w:rsidRDefault="00EE25EC" w:rsidP="00857FC0">
      <w:pPr>
        <w:tabs>
          <w:tab w:val="left" w:pos="0"/>
        </w:tabs>
        <w:spacing w:after="120" w:line="240" w:lineRule="auto"/>
        <w:ind w:firstLine="540"/>
        <w:jc w:val="both"/>
        <w:rPr>
          <w:sz w:val="28"/>
          <w:szCs w:val="28"/>
        </w:rPr>
      </w:pPr>
      <w:r w:rsidRPr="0096051A">
        <w:rPr>
          <w:sz w:val="28"/>
          <w:szCs w:val="28"/>
        </w:rPr>
        <w:t xml:space="preserve">Ņemot vērā, ka dalība </w:t>
      </w:r>
      <w:r>
        <w:rPr>
          <w:sz w:val="28"/>
          <w:szCs w:val="28"/>
        </w:rPr>
        <w:t>tirgus uzraudzības sadarbības projektā ir</w:t>
      </w:r>
      <w:r w:rsidRPr="0096051A">
        <w:rPr>
          <w:sz w:val="28"/>
          <w:szCs w:val="28"/>
        </w:rPr>
        <w:t xml:space="preserve"> </w:t>
      </w:r>
      <w:r>
        <w:rPr>
          <w:sz w:val="28"/>
          <w:szCs w:val="28"/>
        </w:rPr>
        <w:t xml:space="preserve">būtisks </w:t>
      </w:r>
      <w:r w:rsidR="00D70170">
        <w:rPr>
          <w:sz w:val="28"/>
          <w:szCs w:val="28"/>
        </w:rPr>
        <w:t>ieguldījums</w:t>
      </w:r>
      <w:r>
        <w:rPr>
          <w:sz w:val="28"/>
          <w:szCs w:val="28"/>
        </w:rPr>
        <w:t xml:space="preserve"> </w:t>
      </w:r>
      <w:r w:rsidR="00E93770" w:rsidRPr="00E93770">
        <w:rPr>
          <w:sz w:val="28"/>
          <w:szCs w:val="28"/>
        </w:rPr>
        <w:t>PTAC</w:t>
      </w:r>
      <w:r w:rsidR="00D70170">
        <w:rPr>
          <w:sz w:val="28"/>
          <w:szCs w:val="28"/>
        </w:rPr>
        <w:t xml:space="preserve"> </w:t>
      </w:r>
      <w:r w:rsidR="00501B9D">
        <w:rPr>
          <w:sz w:val="28"/>
          <w:szCs w:val="28"/>
        </w:rPr>
        <w:t xml:space="preserve">veiktās </w:t>
      </w:r>
      <w:r w:rsidR="00D70170">
        <w:rPr>
          <w:sz w:val="28"/>
          <w:szCs w:val="28"/>
        </w:rPr>
        <w:t xml:space="preserve">tirgus uzraudzības efektivitātes uzlabošanai, </w:t>
      </w:r>
      <w:r>
        <w:rPr>
          <w:sz w:val="28"/>
          <w:szCs w:val="28"/>
        </w:rPr>
        <w:t>sekmē</w:t>
      </w:r>
      <w:r w:rsidR="00501B9D">
        <w:rPr>
          <w:sz w:val="28"/>
          <w:szCs w:val="28"/>
        </w:rPr>
        <w:t>jot</w:t>
      </w:r>
      <w:r w:rsidR="00E93770" w:rsidRPr="00E93770">
        <w:rPr>
          <w:sz w:val="28"/>
          <w:szCs w:val="28"/>
        </w:rPr>
        <w:t xml:space="preserve"> </w:t>
      </w:r>
      <w:r w:rsidR="000410EC">
        <w:rPr>
          <w:sz w:val="28"/>
          <w:szCs w:val="28"/>
        </w:rPr>
        <w:lastRenderedPageBreak/>
        <w:t>produktu energoefektivitātes prasību ieviešanu</w:t>
      </w:r>
      <w:r w:rsidR="00E93770" w:rsidRPr="00E93770">
        <w:rPr>
          <w:sz w:val="28"/>
          <w:szCs w:val="28"/>
        </w:rPr>
        <w:t xml:space="preserve"> Latvijas Republikā</w:t>
      </w:r>
      <w:r w:rsidR="004249BB">
        <w:rPr>
          <w:sz w:val="28"/>
          <w:szCs w:val="28"/>
        </w:rPr>
        <w:t xml:space="preserve"> un tādējādi </w:t>
      </w:r>
      <w:r w:rsidR="000410EC">
        <w:rPr>
          <w:sz w:val="28"/>
          <w:szCs w:val="28"/>
        </w:rPr>
        <w:t>veicinot</w:t>
      </w:r>
      <w:r w:rsidR="00E93770" w:rsidRPr="00E93770">
        <w:rPr>
          <w:sz w:val="28"/>
          <w:szCs w:val="28"/>
        </w:rPr>
        <w:t xml:space="preserve"> </w:t>
      </w:r>
      <w:r w:rsidR="000410EC">
        <w:rPr>
          <w:sz w:val="28"/>
          <w:szCs w:val="28"/>
        </w:rPr>
        <w:t>energoefektīvu patēriņu</w:t>
      </w:r>
      <w:r w:rsidR="00501B9D">
        <w:rPr>
          <w:sz w:val="28"/>
          <w:szCs w:val="28"/>
        </w:rPr>
        <w:t>,</w:t>
      </w:r>
      <w:r>
        <w:rPr>
          <w:sz w:val="28"/>
          <w:szCs w:val="28"/>
        </w:rPr>
        <w:t xml:space="preserve"> </w:t>
      </w:r>
      <w:r w:rsidR="00D84A6A" w:rsidRPr="0096051A">
        <w:rPr>
          <w:sz w:val="28"/>
          <w:szCs w:val="28"/>
        </w:rPr>
        <w:t>iepriekš minēt</w:t>
      </w:r>
      <w:r w:rsidR="009B4E9D" w:rsidRPr="0096051A">
        <w:rPr>
          <w:sz w:val="28"/>
          <w:szCs w:val="28"/>
        </w:rPr>
        <w:t>ā</w:t>
      </w:r>
      <w:r w:rsidR="00D84A6A" w:rsidRPr="0096051A">
        <w:rPr>
          <w:sz w:val="28"/>
          <w:szCs w:val="28"/>
        </w:rPr>
        <w:t xml:space="preserve"> projekt</w:t>
      </w:r>
      <w:r w:rsidR="009B4E9D" w:rsidRPr="0096051A">
        <w:rPr>
          <w:sz w:val="28"/>
          <w:szCs w:val="28"/>
        </w:rPr>
        <w:t>a</w:t>
      </w:r>
      <w:r w:rsidR="00D84A6A" w:rsidRPr="0096051A">
        <w:rPr>
          <w:sz w:val="28"/>
          <w:szCs w:val="28"/>
        </w:rPr>
        <w:t xml:space="preserve"> īstenošanai nepieciešams:</w:t>
      </w:r>
      <w:r w:rsidR="009706D0" w:rsidRPr="0096051A">
        <w:rPr>
          <w:sz w:val="28"/>
          <w:szCs w:val="28"/>
        </w:rPr>
        <w:t xml:space="preserve"> </w:t>
      </w:r>
    </w:p>
    <w:p w14:paraId="01DA1859" w14:textId="77777777" w:rsidR="00B328FB" w:rsidRDefault="00B328FB" w:rsidP="00857FC0">
      <w:pPr>
        <w:numPr>
          <w:ilvl w:val="0"/>
          <w:numId w:val="20"/>
        </w:numPr>
        <w:tabs>
          <w:tab w:val="left" w:pos="0"/>
        </w:tabs>
        <w:spacing w:after="120" w:line="240" w:lineRule="auto"/>
        <w:jc w:val="both"/>
        <w:rPr>
          <w:sz w:val="28"/>
          <w:szCs w:val="28"/>
        </w:rPr>
      </w:pPr>
      <w:bookmarkStart w:id="3" w:name="_Hlk10122230"/>
      <w:r w:rsidRPr="005D5052">
        <w:rPr>
          <w:sz w:val="28"/>
          <w:szCs w:val="28"/>
        </w:rPr>
        <w:t xml:space="preserve">Apstiprināt PTAC tiesības īstenot projektu </w:t>
      </w:r>
      <w:r>
        <w:rPr>
          <w:sz w:val="28"/>
          <w:szCs w:val="28"/>
        </w:rPr>
        <w:t>“EEPLIANT 3”</w:t>
      </w:r>
      <w:r w:rsidRPr="005D5052">
        <w:rPr>
          <w:sz w:val="28"/>
          <w:szCs w:val="28"/>
        </w:rPr>
        <w:t xml:space="preserve"> “</w:t>
      </w:r>
      <w:proofErr w:type="spellStart"/>
      <w:r w:rsidRPr="000410EC">
        <w:rPr>
          <w:sz w:val="28"/>
          <w:szCs w:val="28"/>
        </w:rPr>
        <w:t>Horizon</w:t>
      </w:r>
      <w:proofErr w:type="spellEnd"/>
      <w:r w:rsidRPr="000410EC">
        <w:rPr>
          <w:sz w:val="28"/>
          <w:szCs w:val="28"/>
        </w:rPr>
        <w:t xml:space="preserve"> 2020 programmas 2018.-2020.gadam </w:t>
      </w:r>
      <w:r w:rsidRPr="000410EC">
        <w:rPr>
          <w:i/>
          <w:sz w:val="28"/>
          <w:szCs w:val="28"/>
        </w:rPr>
        <w:t>Droša, tīra un efektīva enerģija</w:t>
      </w:r>
      <w:r w:rsidRPr="000410EC">
        <w:rPr>
          <w:sz w:val="28"/>
          <w:szCs w:val="28"/>
        </w:rPr>
        <w:t xml:space="preserve"> projekta “Atbalsts dalībvalstu tirgus uzraudzībai produktu energoefektivitātes tiesību aktu jomā</w:t>
      </w:r>
      <w:r w:rsidRPr="005D5052">
        <w:rPr>
          <w:sz w:val="28"/>
          <w:szCs w:val="28"/>
        </w:rPr>
        <w:t xml:space="preserve">” ietvaros un </w:t>
      </w:r>
      <w:r w:rsidR="008957BF">
        <w:rPr>
          <w:sz w:val="28"/>
          <w:szCs w:val="28"/>
        </w:rPr>
        <w:t xml:space="preserve">ļaut </w:t>
      </w:r>
      <w:r w:rsidRPr="005D5052">
        <w:rPr>
          <w:sz w:val="28"/>
          <w:szCs w:val="28"/>
        </w:rPr>
        <w:t xml:space="preserve">uzņemties </w:t>
      </w:r>
      <w:r w:rsidRPr="0057438F">
        <w:rPr>
          <w:sz w:val="28"/>
          <w:szCs w:val="28"/>
        </w:rPr>
        <w:t xml:space="preserve">saistības </w:t>
      </w:r>
      <w:r>
        <w:rPr>
          <w:sz w:val="28"/>
          <w:szCs w:val="28"/>
        </w:rPr>
        <w:t>no 2019.-2022</w:t>
      </w:r>
      <w:r w:rsidRPr="0057438F">
        <w:rPr>
          <w:sz w:val="28"/>
          <w:szCs w:val="28"/>
        </w:rPr>
        <w:t>.</w:t>
      </w:r>
      <w:r>
        <w:rPr>
          <w:sz w:val="28"/>
          <w:szCs w:val="28"/>
        </w:rPr>
        <w:t> </w:t>
      </w:r>
      <w:r w:rsidRPr="0057438F">
        <w:rPr>
          <w:sz w:val="28"/>
          <w:szCs w:val="28"/>
        </w:rPr>
        <w:t>gad</w:t>
      </w:r>
      <w:r>
        <w:rPr>
          <w:sz w:val="28"/>
          <w:szCs w:val="28"/>
        </w:rPr>
        <w:t>am</w:t>
      </w:r>
      <w:r w:rsidRPr="0057438F">
        <w:rPr>
          <w:sz w:val="28"/>
          <w:szCs w:val="28"/>
        </w:rPr>
        <w:t>.</w:t>
      </w:r>
      <w:r w:rsidRPr="0096051A">
        <w:rPr>
          <w:sz w:val="28"/>
          <w:szCs w:val="28"/>
        </w:rPr>
        <w:t xml:space="preserve"> </w:t>
      </w:r>
    </w:p>
    <w:p w14:paraId="26E4CC00" w14:textId="77777777" w:rsidR="000410EC" w:rsidRPr="000410EC" w:rsidRDefault="00B328FB" w:rsidP="00857FC0">
      <w:pPr>
        <w:numPr>
          <w:ilvl w:val="0"/>
          <w:numId w:val="20"/>
        </w:numPr>
        <w:tabs>
          <w:tab w:val="left" w:pos="0"/>
        </w:tabs>
        <w:spacing w:after="120" w:line="240" w:lineRule="auto"/>
        <w:jc w:val="both"/>
        <w:rPr>
          <w:sz w:val="28"/>
          <w:szCs w:val="28"/>
        </w:rPr>
      </w:pPr>
      <w:r>
        <w:rPr>
          <w:sz w:val="28"/>
          <w:szCs w:val="28"/>
        </w:rPr>
        <w:t>Izveidot amata vietu – vecākais eksperts PTAC Preču un pakalpojumu uzraudzības departamentā uz projekta “EEPLIANT3” īstenošanas laiku.</w:t>
      </w:r>
    </w:p>
    <w:bookmarkEnd w:id="3"/>
    <w:p w14:paraId="3272E249" w14:textId="77777777" w:rsidR="00350160" w:rsidRDefault="00350160" w:rsidP="002B6B7D">
      <w:pPr>
        <w:tabs>
          <w:tab w:val="left" w:pos="0"/>
        </w:tabs>
        <w:spacing w:afterLines="60" w:after="144" w:line="240" w:lineRule="auto"/>
        <w:ind w:firstLine="540"/>
        <w:jc w:val="both"/>
        <w:rPr>
          <w:sz w:val="28"/>
          <w:szCs w:val="28"/>
        </w:rPr>
      </w:pPr>
    </w:p>
    <w:p w14:paraId="7C5FE388" w14:textId="77777777" w:rsidR="00305437" w:rsidRPr="0096051A" w:rsidRDefault="00305437" w:rsidP="00305437">
      <w:pPr>
        <w:tabs>
          <w:tab w:val="left" w:pos="0"/>
        </w:tabs>
        <w:spacing w:afterLines="60" w:after="144" w:line="240" w:lineRule="auto"/>
        <w:ind w:firstLine="540"/>
        <w:jc w:val="both"/>
        <w:rPr>
          <w:sz w:val="28"/>
          <w:szCs w:val="28"/>
        </w:rPr>
      </w:pPr>
    </w:p>
    <w:p w14:paraId="05A8D085" w14:textId="66FBBB08" w:rsidR="00B03460" w:rsidRPr="0096051A" w:rsidRDefault="00DA43F0" w:rsidP="00857FC0">
      <w:pPr>
        <w:tabs>
          <w:tab w:val="right" w:pos="8931"/>
        </w:tabs>
        <w:spacing w:after="0" w:line="240" w:lineRule="auto"/>
        <w:rPr>
          <w:sz w:val="28"/>
          <w:szCs w:val="28"/>
        </w:rPr>
      </w:pPr>
      <w:r>
        <w:rPr>
          <w:sz w:val="28"/>
          <w:szCs w:val="28"/>
        </w:rPr>
        <w:t>Ekonomikas</w:t>
      </w:r>
      <w:r w:rsidR="00203A52" w:rsidRPr="0096051A">
        <w:rPr>
          <w:sz w:val="28"/>
          <w:szCs w:val="28"/>
        </w:rPr>
        <w:t xml:space="preserve"> ministr</w:t>
      </w:r>
      <w:r w:rsidR="00861F3A">
        <w:rPr>
          <w:sz w:val="28"/>
          <w:szCs w:val="28"/>
        </w:rPr>
        <w:t>s</w:t>
      </w:r>
      <w:r w:rsidR="002260DB" w:rsidRPr="00F028B7">
        <w:rPr>
          <w:sz w:val="26"/>
          <w:szCs w:val="26"/>
        </w:rPr>
        <w:tab/>
      </w:r>
      <w:proofErr w:type="spellStart"/>
      <w:r w:rsidR="00861F3A">
        <w:rPr>
          <w:sz w:val="28"/>
          <w:szCs w:val="28"/>
        </w:rPr>
        <w:t>R.Nemiro</w:t>
      </w:r>
      <w:proofErr w:type="spellEnd"/>
    </w:p>
    <w:p w14:paraId="38543863" w14:textId="77777777" w:rsidR="002260DB" w:rsidRDefault="002260DB" w:rsidP="00305437">
      <w:pPr>
        <w:tabs>
          <w:tab w:val="left" w:pos="6096"/>
        </w:tabs>
        <w:spacing w:afterLines="60" w:after="144" w:line="240" w:lineRule="auto"/>
        <w:ind w:firstLine="567"/>
        <w:rPr>
          <w:sz w:val="28"/>
          <w:szCs w:val="28"/>
        </w:rPr>
      </w:pPr>
    </w:p>
    <w:p w14:paraId="1203FF0A" w14:textId="62430B54" w:rsidR="00305437" w:rsidRPr="0096051A" w:rsidRDefault="003A58BD" w:rsidP="00857FC0">
      <w:pPr>
        <w:tabs>
          <w:tab w:val="right" w:pos="8931"/>
        </w:tabs>
        <w:spacing w:after="0" w:line="240" w:lineRule="auto"/>
        <w:rPr>
          <w:sz w:val="28"/>
          <w:szCs w:val="28"/>
        </w:rPr>
      </w:pPr>
      <w:r w:rsidRPr="0096051A">
        <w:rPr>
          <w:sz w:val="28"/>
          <w:szCs w:val="28"/>
        </w:rPr>
        <w:t xml:space="preserve">Vīza: Valsts </w:t>
      </w:r>
      <w:r w:rsidR="001254FC">
        <w:rPr>
          <w:sz w:val="28"/>
          <w:szCs w:val="28"/>
        </w:rPr>
        <w:t>sekretārs</w:t>
      </w:r>
      <w:r w:rsidR="00D930D6">
        <w:rPr>
          <w:sz w:val="28"/>
          <w:szCs w:val="28"/>
        </w:rPr>
        <w:tab/>
      </w:r>
      <w:proofErr w:type="spellStart"/>
      <w:r w:rsidR="00861F3A">
        <w:rPr>
          <w:sz w:val="28"/>
          <w:szCs w:val="28"/>
        </w:rPr>
        <w:t>Ē.Eglītis</w:t>
      </w:r>
      <w:proofErr w:type="spellEnd"/>
    </w:p>
    <w:p w14:paraId="3E5BEAA4" w14:textId="77777777" w:rsidR="00604891" w:rsidRDefault="00604891" w:rsidP="007F4416">
      <w:pPr>
        <w:pStyle w:val="BodyTextIndent"/>
        <w:suppressAutoHyphens/>
        <w:ind w:left="0" w:right="-341"/>
        <w:jc w:val="both"/>
        <w:rPr>
          <w:sz w:val="20"/>
          <w:lang w:val="lv-LV"/>
        </w:rPr>
      </w:pPr>
    </w:p>
    <w:p w14:paraId="67455E68" w14:textId="77777777" w:rsidR="00D722A1" w:rsidRDefault="00D722A1" w:rsidP="007F4416">
      <w:pPr>
        <w:pStyle w:val="BodyTextIndent"/>
        <w:suppressAutoHyphens/>
        <w:ind w:left="0" w:right="-341"/>
        <w:jc w:val="both"/>
        <w:rPr>
          <w:sz w:val="20"/>
          <w:lang w:val="lv-LV"/>
        </w:rPr>
      </w:pPr>
    </w:p>
    <w:p w14:paraId="6B43AAE6" w14:textId="77777777" w:rsidR="007F4416" w:rsidRPr="00082E15" w:rsidRDefault="00845D0E" w:rsidP="007F4416">
      <w:pPr>
        <w:pStyle w:val="BodyTextIndent"/>
        <w:suppressAutoHyphens/>
        <w:ind w:left="0" w:right="-341"/>
        <w:jc w:val="both"/>
        <w:rPr>
          <w:sz w:val="20"/>
        </w:rPr>
      </w:pPr>
      <w:r>
        <w:rPr>
          <w:sz w:val="20"/>
          <w:lang w:val="lv-LV"/>
        </w:rPr>
        <w:t>05</w:t>
      </w:r>
      <w:r w:rsidR="00942360">
        <w:rPr>
          <w:sz w:val="20"/>
          <w:lang w:val="lv-LV"/>
        </w:rPr>
        <w:t>.</w:t>
      </w:r>
      <w:r w:rsidR="00861F3A">
        <w:rPr>
          <w:sz w:val="20"/>
          <w:lang w:val="lv-LV"/>
        </w:rPr>
        <w:t>0</w:t>
      </w:r>
      <w:r>
        <w:rPr>
          <w:sz w:val="20"/>
          <w:lang w:val="lv-LV"/>
        </w:rPr>
        <w:t>6</w:t>
      </w:r>
      <w:r w:rsidR="007F4416">
        <w:rPr>
          <w:sz w:val="20"/>
        </w:rPr>
        <w:t>.201</w:t>
      </w:r>
      <w:r w:rsidR="00861F3A">
        <w:rPr>
          <w:sz w:val="20"/>
          <w:lang w:val="lv-LV"/>
        </w:rPr>
        <w:t>9</w:t>
      </w:r>
      <w:r w:rsidR="007F4416">
        <w:rPr>
          <w:sz w:val="20"/>
        </w:rPr>
        <w:t xml:space="preserve">. </w:t>
      </w:r>
    </w:p>
    <w:p w14:paraId="1E0021B5" w14:textId="77777777" w:rsidR="007F4416" w:rsidRPr="00540C7C" w:rsidRDefault="00845D0E" w:rsidP="007F4416">
      <w:pPr>
        <w:pStyle w:val="BodyTextIndent"/>
        <w:suppressAutoHyphens/>
        <w:ind w:left="0" w:right="-341"/>
        <w:jc w:val="both"/>
        <w:rPr>
          <w:sz w:val="20"/>
          <w:lang w:val="lv-LV"/>
        </w:rPr>
      </w:pPr>
      <w:r>
        <w:rPr>
          <w:sz w:val="20"/>
          <w:lang w:val="lv-LV"/>
        </w:rPr>
        <w:t>105</w:t>
      </w:r>
      <w:r w:rsidR="007F35C7">
        <w:rPr>
          <w:sz w:val="20"/>
          <w:lang w:val="lv-LV"/>
        </w:rPr>
        <w:t>5</w:t>
      </w:r>
    </w:p>
    <w:p w14:paraId="0619E2D1" w14:textId="77777777" w:rsidR="007F4416" w:rsidRDefault="007F4416" w:rsidP="007F4416">
      <w:pPr>
        <w:pStyle w:val="BodyTextIndent"/>
        <w:suppressAutoHyphens/>
        <w:ind w:left="0" w:right="-341"/>
        <w:jc w:val="both"/>
        <w:rPr>
          <w:sz w:val="20"/>
        </w:rPr>
      </w:pPr>
      <w:r w:rsidRPr="000A46E6">
        <w:rPr>
          <w:sz w:val="20"/>
        </w:rPr>
        <w:t>67013</w:t>
      </w:r>
      <w:r w:rsidR="008966EB" w:rsidRPr="000A46E6">
        <w:rPr>
          <w:sz w:val="20"/>
          <w:lang w:val="lv-LV"/>
        </w:rPr>
        <w:t>145</w:t>
      </w:r>
      <w:r w:rsidRPr="000A46E6">
        <w:rPr>
          <w:sz w:val="20"/>
        </w:rPr>
        <w:t xml:space="preserve">; </w:t>
      </w:r>
      <w:hyperlink r:id="rId8" w:history="1">
        <w:r w:rsidR="008966EB" w:rsidRPr="00A67CB5">
          <w:rPr>
            <w:rStyle w:val="Hyperlink"/>
            <w:sz w:val="20"/>
            <w:lang w:val="lv-LV"/>
          </w:rPr>
          <w:t>Viktors.Laizans@em.gov.lv</w:t>
        </w:r>
      </w:hyperlink>
      <w:r w:rsidR="008966EB">
        <w:rPr>
          <w:sz w:val="20"/>
          <w:lang w:val="lv-LV"/>
        </w:rPr>
        <w:t xml:space="preserve"> </w:t>
      </w:r>
    </w:p>
    <w:sectPr w:rsidR="007F4416" w:rsidSect="00857FC0">
      <w:headerReference w:type="default" r:id="rId9"/>
      <w:footerReference w:type="default" r:id="rId10"/>
      <w:footerReference w:type="first" r:id="rId11"/>
      <w:pgSz w:w="11906" w:h="16838" w:code="9"/>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E06D" w14:textId="77777777" w:rsidR="00284973" w:rsidRDefault="00284973">
      <w:r>
        <w:separator/>
      </w:r>
    </w:p>
  </w:endnote>
  <w:endnote w:type="continuationSeparator" w:id="0">
    <w:p w14:paraId="18FFFC2E" w14:textId="77777777" w:rsidR="00284973" w:rsidRDefault="0028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3223" w14:textId="77777777" w:rsidR="007C4BD7" w:rsidRDefault="00A16587" w:rsidP="00AF257F">
    <w:pPr>
      <w:pStyle w:val="Footer"/>
      <w:jc w:val="both"/>
    </w:pPr>
    <w:r>
      <w:rPr>
        <w:sz w:val="20"/>
        <w:szCs w:val="20"/>
      </w:rPr>
      <w:t>EMZino_</w:t>
    </w:r>
    <w:r w:rsidR="00A03582">
      <w:rPr>
        <w:sz w:val="20"/>
        <w:szCs w:val="20"/>
      </w:rPr>
      <w:t>050619_</w:t>
    </w:r>
    <w:r w:rsidR="00D44ADF">
      <w:rPr>
        <w:sz w:val="20"/>
        <w:szCs w:val="20"/>
      </w:rPr>
      <w:t>EEPLIANT3</w:t>
    </w:r>
    <w:r>
      <w:rPr>
        <w:sz w:val="20"/>
        <w:szCs w:val="20"/>
      </w:rPr>
      <w:t xml:space="preserve">; </w:t>
    </w:r>
    <w:r w:rsidR="00AF257F" w:rsidRPr="00AF257F">
      <w:rPr>
        <w:sz w:val="20"/>
        <w:szCs w:val="20"/>
      </w:rPr>
      <w:t>Informatīvais ziņojums</w:t>
    </w:r>
    <w:r w:rsidR="00AF257F">
      <w:rPr>
        <w:sz w:val="20"/>
        <w:szCs w:val="20"/>
      </w:rPr>
      <w:t xml:space="preserve"> </w:t>
    </w:r>
    <w:r w:rsidR="00246E5B" w:rsidRPr="00246E5B">
      <w:rPr>
        <w:sz w:val="20"/>
        <w:szCs w:val="20"/>
      </w:rPr>
      <w:t xml:space="preserve">Par saistību uzņemšanos </w:t>
    </w:r>
    <w:proofErr w:type="spellStart"/>
    <w:r w:rsidR="00246E5B" w:rsidRPr="00246E5B">
      <w:rPr>
        <w:sz w:val="20"/>
        <w:szCs w:val="20"/>
      </w:rPr>
      <w:t>Horizon</w:t>
    </w:r>
    <w:proofErr w:type="spellEnd"/>
    <w:r w:rsidR="00246E5B" w:rsidRPr="00246E5B">
      <w:rPr>
        <w:sz w:val="20"/>
        <w:szCs w:val="20"/>
      </w:rPr>
      <w:t xml:space="preserve"> 2020 programmas 2018.-</w:t>
    </w:r>
    <w:r w:rsidR="00246E5B">
      <w:rPr>
        <w:sz w:val="20"/>
        <w:szCs w:val="20"/>
      </w:rPr>
      <w:t>2</w:t>
    </w:r>
    <w:r w:rsidR="00246E5B" w:rsidRPr="00246E5B">
      <w:rPr>
        <w:sz w:val="20"/>
        <w:szCs w:val="20"/>
      </w:rPr>
      <w:t>020.gadam Droša, tīra un efektīva enerģija “Atbalsts dalībvalstu tirgus uzraudzībai produktu energoefektivitātes tiesību aktu jomā” projekta “EEPLIANT3”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D753" w14:textId="77777777" w:rsidR="00DA43F0" w:rsidRDefault="00DA43F0" w:rsidP="00F62C76">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1909" w14:textId="77777777" w:rsidR="00284973" w:rsidRDefault="00284973">
      <w:r>
        <w:separator/>
      </w:r>
    </w:p>
  </w:footnote>
  <w:footnote w:type="continuationSeparator" w:id="0">
    <w:p w14:paraId="35EB170A" w14:textId="77777777" w:rsidR="00284973" w:rsidRDefault="00284973">
      <w:r>
        <w:continuationSeparator/>
      </w:r>
    </w:p>
  </w:footnote>
  <w:footnote w:id="1">
    <w:p w14:paraId="4BBC721E" w14:textId="77777777" w:rsidR="00E2649C" w:rsidRPr="0030230A" w:rsidRDefault="00E2649C" w:rsidP="00857FC0">
      <w:pPr>
        <w:pStyle w:val="FootnoteText"/>
        <w:ind w:left="142" w:hanging="142"/>
        <w:jc w:val="both"/>
        <w:rPr>
          <w:rFonts w:ascii="Calibri Light" w:hAnsi="Calibri Light"/>
        </w:rPr>
      </w:pPr>
      <w:r w:rsidRPr="008B3223">
        <w:rPr>
          <w:rStyle w:val="FootnoteReference"/>
        </w:rPr>
        <w:footnoteRef/>
      </w:r>
      <w:r w:rsidRPr="008B3223">
        <w:t xml:space="preserve"> Samazināt siltumnīcas efektu izraisošo gāzu emisijas vismaz par 20% salīdzinājumā ar 1990.gada līmeni; palielināt atjaunojamo enerģijas avotu izmantošanu galīgajā enerģijas patēriņā līdz 20%; kā arī par 20% </w:t>
      </w:r>
      <w:r w:rsidRPr="0030230A">
        <w:t>palielināt energoefektivitāti.</w:t>
      </w:r>
      <w:r w:rsidRPr="0030230A">
        <w:rPr>
          <w:rFonts w:ascii="Calibri Light" w:hAnsi="Calibri Light"/>
        </w:rPr>
        <w:t xml:space="preserve"> </w:t>
      </w:r>
    </w:p>
  </w:footnote>
  <w:footnote w:id="2">
    <w:p w14:paraId="1772D64C" w14:textId="77777777" w:rsidR="00E2649C" w:rsidRPr="00E00458" w:rsidRDefault="00E2649C" w:rsidP="00286C1B">
      <w:pPr>
        <w:spacing w:after="0"/>
        <w:ind w:left="142" w:hanging="142"/>
        <w:jc w:val="both"/>
      </w:pPr>
      <w:r>
        <w:rPr>
          <w:rStyle w:val="FootnoteReference"/>
        </w:rPr>
        <w:footnoteRef/>
      </w:r>
      <w:r w:rsidRPr="00903FA8">
        <w:t xml:space="preserve"> </w:t>
      </w:r>
      <w:r w:rsidRPr="0002247C">
        <w:rPr>
          <w:sz w:val="20"/>
          <w:szCs w:val="20"/>
        </w:rPr>
        <w:t>2014.gada 23.–24.oktobrī Eiropadome pieņēma lēmumu par klimata un enerģētikas mērķiem laika posmam pēc 2020.gada, un tie ir šādi:  Samazināt iekšēji SEG emisijas vismaz par 40% salīdzinājumā ar 1990.gada līmeni (saistošs ES dalībvalstīm); Palielināt atjaunojamās enerģijas īpatsvaru kopējā patērētajā enerģijā vismaz 27% apmērā (saistošs ES līmenī); Paaugstināt energoefektivitātes mērķi vismaz 27% apmērā salīdzinājumā ar aplēsēm par enerģijas patēriņu nākotnē, pamatojoties uz 2015.gada kritērijiem (indikatīvs ES līmenī).</w:t>
      </w:r>
    </w:p>
  </w:footnote>
  <w:footnote w:id="3">
    <w:p w14:paraId="2B93DC94" w14:textId="77777777" w:rsidR="00346F8F" w:rsidRDefault="00346F8F" w:rsidP="00346F8F">
      <w:pPr>
        <w:pStyle w:val="FootnoteText"/>
        <w:jc w:val="both"/>
      </w:pPr>
      <w:r>
        <w:rPr>
          <w:rStyle w:val="FootnoteReference"/>
        </w:rPr>
        <w:footnoteRef/>
      </w:r>
      <w:r>
        <w:t xml:space="preserve"> </w:t>
      </w:r>
      <w:r w:rsidRPr="00203A52">
        <w:t>Ministru kabineta 201</w:t>
      </w:r>
      <w:r w:rsidR="00E12EDA">
        <w:t>2</w:t>
      </w:r>
      <w:r w:rsidRPr="00203A52">
        <w:t>.</w:t>
      </w:r>
      <w:r>
        <w:t xml:space="preserve"> </w:t>
      </w:r>
      <w:r w:rsidRPr="00203A52">
        <w:t xml:space="preserve">gada </w:t>
      </w:r>
      <w:r w:rsidR="00E12EDA">
        <w:t>31</w:t>
      </w:r>
      <w:r w:rsidRPr="00203A52">
        <w:t>.</w:t>
      </w:r>
      <w:r>
        <w:t xml:space="preserve"> </w:t>
      </w:r>
      <w:r w:rsidR="00E12EDA">
        <w:t>jūlija</w:t>
      </w:r>
      <w:r w:rsidRPr="00203A52">
        <w:t xml:space="preserve"> noteikumu Nr. </w:t>
      </w:r>
      <w:r w:rsidR="00E12EDA">
        <w:t>523</w:t>
      </w:r>
      <w:r w:rsidRPr="00203A52">
        <w:t xml:space="preserve"> „Noteikumi par </w:t>
      </w:r>
      <w:r w:rsidR="00E12EDA">
        <w:t>bud</w:t>
      </w:r>
      <w:r w:rsidR="00C157EF">
        <w:t>že</w:t>
      </w:r>
      <w:r w:rsidR="00E12EDA">
        <w:t>ta pieprasījumu izstrādāšanas un iesniegšanas pamatprincipiem”</w:t>
      </w:r>
      <w:r w:rsidRPr="00203A52">
        <w:t xml:space="preserve"> </w:t>
      </w:r>
      <w:r w:rsidR="00E12EDA">
        <w:t>34.5.apakš</w:t>
      </w:r>
      <w:r w:rsidRPr="00203A52">
        <w:t>punkts</w:t>
      </w:r>
      <w:r>
        <w:t xml:space="preserve">; </w:t>
      </w:r>
      <w:r w:rsidR="00C157EF">
        <w:t>„</w:t>
      </w:r>
      <w:r w:rsidRPr="00EA4C68">
        <w:t>Likums</w:t>
      </w:r>
      <w:r>
        <w:t xml:space="preserve"> par budžetu un finanšu vadību</w:t>
      </w:r>
      <w:r w:rsidR="00C157EF">
        <w:t>”</w:t>
      </w:r>
      <w:r>
        <w:t xml:space="preserve"> </w:t>
      </w:r>
      <w:r w:rsidRPr="00203A52">
        <w:t>24</w:t>
      </w:r>
      <w:r>
        <w:t>. panta trešā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ED90" w14:textId="28E851DD" w:rsidR="00DA43F0" w:rsidRDefault="00DA43F0" w:rsidP="00857FC0">
    <w:pPr>
      <w:pStyle w:val="Header"/>
      <w:jc w:val="center"/>
    </w:pPr>
    <w:r>
      <w:fldChar w:fldCharType="begin"/>
    </w:r>
    <w:r>
      <w:instrText xml:space="preserve"> PAGE   \* MERGEFORMAT </w:instrText>
    </w:r>
    <w:r>
      <w:fldChar w:fldCharType="separate"/>
    </w:r>
    <w:r w:rsidR="002B66F3">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8C6AF1"/>
    <w:multiLevelType w:val="hybridMultilevel"/>
    <w:tmpl w:val="6E5E9918"/>
    <w:lvl w:ilvl="0" w:tplc="86504E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9"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0"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7"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8" w15:restartNumberingAfterBreak="0">
    <w:nsid w:val="71435B2D"/>
    <w:multiLevelType w:val="hybridMultilevel"/>
    <w:tmpl w:val="8FC278FE"/>
    <w:lvl w:ilvl="0" w:tplc="C494EF64">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9"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9"/>
  </w:num>
  <w:num w:numId="5">
    <w:abstractNumId w:val="16"/>
  </w:num>
  <w:num w:numId="6">
    <w:abstractNumId w:val="0"/>
    <w:lvlOverride w:ilvl="0">
      <w:lvl w:ilvl="0">
        <w:numFmt w:val="bullet"/>
        <w:lvlText w:val="•"/>
        <w:legacy w:legacy="1" w:legacySpace="0" w:legacyIndent="0"/>
        <w:lvlJc w:val="left"/>
        <w:rPr>
          <w:rFonts w:ascii="Helv" w:hAnsi="Helv" w:hint="default"/>
        </w:rPr>
      </w:lvl>
    </w:lvlOverride>
  </w:num>
  <w:num w:numId="7">
    <w:abstractNumId w:val="15"/>
  </w:num>
  <w:num w:numId="8">
    <w:abstractNumId w:val="11"/>
  </w:num>
  <w:num w:numId="9">
    <w:abstractNumId w:val="7"/>
  </w:num>
  <w:num w:numId="10">
    <w:abstractNumId w:val="10"/>
  </w:num>
  <w:num w:numId="11">
    <w:abstractNumId w:val="2"/>
  </w:num>
  <w:num w:numId="12">
    <w:abstractNumId w:val="14"/>
  </w:num>
  <w:num w:numId="13">
    <w:abstractNumId w:val="1"/>
  </w:num>
  <w:num w:numId="14">
    <w:abstractNumId w:val="19"/>
  </w:num>
  <w:num w:numId="15">
    <w:abstractNumId w:val="8"/>
  </w:num>
  <w:num w:numId="16">
    <w:abstractNumId w:val="4"/>
  </w:num>
  <w:num w:numId="17">
    <w:abstractNumId w:val="3"/>
  </w:num>
  <w:num w:numId="18">
    <w:abstractNumId w:val="1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B22"/>
    <w:rsid w:val="00004246"/>
    <w:rsid w:val="0000579D"/>
    <w:rsid w:val="000135BB"/>
    <w:rsid w:val="00022EB4"/>
    <w:rsid w:val="00023DCF"/>
    <w:rsid w:val="0002649A"/>
    <w:rsid w:val="00032217"/>
    <w:rsid w:val="00033561"/>
    <w:rsid w:val="00034032"/>
    <w:rsid w:val="00036E15"/>
    <w:rsid w:val="000410EC"/>
    <w:rsid w:val="00042C7D"/>
    <w:rsid w:val="00043277"/>
    <w:rsid w:val="00047FA7"/>
    <w:rsid w:val="00050319"/>
    <w:rsid w:val="00051AB9"/>
    <w:rsid w:val="00053B58"/>
    <w:rsid w:val="0005690B"/>
    <w:rsid w:val="00057902"/>
    <w:rsid w:val="000630BE"/>
    <w:rsid w:val="000659AE"/>
    <w:rsid w:val="00066E31"/>
    <w:rsid w:val="00072FA6"/>
    <w:rsid w:val="00074827"/>
    <w:rsid w:val="00074DF7"/>
    <w:rsid w:val="00075C00"/>
    <w:rsid w:val="000775EA"/>
    <w:rsid w:val="00081603"/>
    <w:rsid w:val="00081CBC"/>
    <w:rsid w:val="000827B6"/>
    <w:rsid w:val="00093724"/>
    <w:rsid w:val="000938F2"/>
    <w:rsid w:val="00096FEB"/>
    <w:rsid w:val="000A03D3"/>
    <w:rsid w:val="000A444B"/>
    <w:rsid w:val="000A46E6"/>
    <w:rsid w:val="000B10E0"/>
    <w:rsid w:val="000B1AD6"/>
    <w:rsid w:val="000B2C82"/>
    <w:rsid w:val="000B366A"/>
    <w:rsid w:val="000C0E6A"/>
    <w:rsid w:val="000C489C"/>
    <w:rsid w:val="000C72F9"/>
    <w:rsid w:val="000D0094"/>
    <w:rsid w:val="000D447E"/>
    <w:rsid w:val="000E0AA3"/>
    <w:rsid w:val="000F3667"/>
    <w:rsid w:val="000F530D"/>
    <w:rsid w:val="000F5E1F"/>
    <w:rsid w:val="00100BAC"/>
    <w:rsid w:val="0010248A"/>
    <w:rsid w:val="0010390D"/>
    <w:rsid w:val="00104EE9"/>
    <w:rsid w:val="00107091"/>
    <w:rsid w:val="001135C7"/>
    <w:rsid w:val="0011403E"/>
    <w:rsid w:val="00120059"/>
    <w:rsid w:val="00121138"/>
    <w:rsid w:val="001228C2"/>
    <w:rsid w:val="00124EE2"/>
    <w:rsid w:val="001254FC"/>
    <w:rsid w:val="00125569"/>
    <w:rsid w:val="00125C61"/>
    <w:rsid w:val="0012610E"/>
    <w:rsid w:val="00126463"/>
    <w:rsid w:val="00130C8F"/>
    <w:rsid w:val="00130CD7"/>
    <w:rsid w:val="00136111"/>
    <w:rsid w:val="00140595"/>
    <w:rsid w:val="001408A0"/>
    <w:rsid w:val="00140A37"/>
    <w:rsid w:val="00145AE3"/>
    <w:rsid w:val="001506BE"/>
    <w:rsid w:val="001511F7"/>
    <w:rsid w:val="001668E2"/>
    <w:rsid w:val="00166C4C"/>
    <w:rsid w:val="0016776B"/>
    <w:rsid w:val="00174742"/>
    <w:rsid w:val="00181E29"/>
    <w:rsid w:val="00184B4D"/>
    <w:rsid w:val="001855A9"/>
    <w:rsid w:val="001900AA"/>
    <w:rsid w:val="00194499"/>
    <w:rsid w:val="00194EB9"/>
    <w:rsid w:val="001960D1"/>
    <w:rsid w:val="00196D3C"/>
    <w:rsid w:val="001A2871"/>
    <w:rsid w:val="001A6213"/>
    <w:rsid w:val="001B2731"/>
    <w:rsid w:val="001C00C5"/>
    <w:rsid w:val="001C1533"/>
    <w:rsid w:val="001C2FEC"/>
    <w:rsid w:val="001C32A1"/>
    <w:rsid w:val="001D00FC"/>
    <w:rsid w:val="001D1825"/>
    <w:rsid w:val="001D2717"/>
    <w:rsid w:val="001E200E"/>
    <w:rsid w:val="001E6416"/>
    <w:rsid w:val="001F2577"/>
    <w:rsid w:val="001F34DF"/>
    <w:rsid w:val="00201A64"/>
    <w:rsid w:val="00203A52"/>
    <w:rsid w:val="002071EE"/>
    <w:rsid w:val="00213440"/>
    <w:rsid w:val="002139CC"/>
    <w:rsid w:val="002143A5"/>
    <w:rsid w:val="00222615"/>
    <w:rsid w:val="002260DB"/>
    <w:rsid w:val="00235DF6"/>
    <w:rsid w:val="00237FC9"/>
    <w:rsid w:val="00246E5B"/>
    <w:rsid w:val="002504F3"/>
    <w:rsid w:val="00250FC7"/>
    <w:rsid w:val="00255277"/>
    <w:rsid w:val="00260882"/>
    <w:rsid w:val="002631C3"/>
    <w:rsid w:val="00274527"/>
    <w:rsid w:val="00275227"/>
    <w:rsid w:val="00276D71"/>
    <w:rsid w:val="00277FF1"/>
    <w:rsid w:val="00280371"/>
    <w:rsid w:val="00284973"/>
    <w:rsid w:val="00284F34"/>
    <w:rsid w:val="00286C1B"/>
    <w:rsid w:val="00287843"/>
    <w:rsid w:val="00287F07"/>
    <w:rsid w:val="00291A9B"/>
    <w:rsid w:val="0029297C"/>
    <w:rsid w:val="00293085"/>
    <w:rsid w:val="00293885"/>
    <w:rsid w:val="00296896"/>
    <w:rsid w:val="002A385D"/>
    <w:rsid w:val="002A5876"/>
    <w:rsid w:val="002B66F3"/>
    <w:rsid w:val="002B6808"/>
    <w:rsid w:val="002B6B7D"/>
    <w:rsid w:val="002C397D"/>
    <w:rsid w:val="002D106B"/>
    <w:rsid w:val="002D1988"/>
    <w:rsid w:val="002D307F"/>
    <w:rsid w:val="002D53BF"/>
    <w:rsid w:val="002D7785"/>
    <w:rsid w:val="002E1F97"/>
    <w:rsid w:val="002E3236"/>
    <w:rsid w:val="002E6312"/>
    <w:rsid w:val="002E7B54"/>
    <w:rsid w:val="002F0401"/>
    <w:rsid w:val="002F5461"/>
    <w:rsid w:val="002F5A69"/>
    <w:rsid w:val="002F6E31"/>
    <w:rsid w:val="002F7C6E"/>
    <w:rsid w:val="00305437"/>
    <w:rsid w:val="00305665"/>
    <w:rsid w:val="00306C5B"/>
    <w:rsid w:val="003112DB"/>
    <w:rsid w:val="00312ABA"/>
    <w:rsid w:val="00317A8F"/>
    <w:rsid w:val="00321B10"/>
    <w:rsid w:val="00323980"/>
    <w:rsid w:val="003244ED"/>
    <w:rsid w:val="003310E8"/>
    <w:rsid w:val="0033149D"/>
    <w:rsid w:val="003319CA"/>
    <w:rsid w:val="00341791"/>
    <w:rsid w:val="00343ADF"/>
    <w:rsid w:val="0034696A"/>
    <w:rsid w:val="00346F8F"/>
    <w:rsid w:val="00347F67"/>
    <w:rsid w:val="00350160"/>
    <w:rsid w:val="00350E29"/>
    <w:rsid w:val="003570E7"/>
    <w:rsid w:val="0036399F"/>
    <w:rsid w:val="003653FF"/>
    <w:rsid w:val="003671E1"/>
    <w:rsid w:val="003704C6"/>
    <w:rsid w:val="003712A7"/>
    <w:rsid w:val="003713DC"/>
    <w:rsid w:val="00371A88"/>
    <w:rsid w:val="00371B95"/>
    <w:rsid w:val="00374604"/>
    <w:rsid w:val="003812D0"/>
    <w:rsid w:val="003813A5"/>
    <w:rsid w:val="00382E71"/>
    <w:rsid w:val="0038521E"/>
    <w:rsid w:val="00386CC2"/>
    <w:rsid w:val="003928AF"/>
    <w:rsid w:val="00394AB2"/>
    <w:rsid w:val="0039594E"/>
    <w:rsid w:val="003A3E26"/>
    <w:rsid w:val="003A58BD"/>
    <w:rsid w:val="003A6554"/>
    <w:rsid w:val="003A7E5D"/>
    <w:rsid w:val="003B1C74"/>
    <w:rsid w:val="003B21E5"/>
    <w:rsid w:val="003B4AF1"/>
    <w:rsid w:val="003B4C32"/>
    <w:rsid w:val="003B6318"/>
    <w:rsid w:val="003B6320"/>
    <w:rsid w:val="003C0D2E"/>
    <w:rsid w:val="003C15AA"/>
    <w:rsid w:val="003C3B5B"/>
    <w:rsid w:val="003C3D2C"/>
    <w:rsid w:val="003C49FC"/>
    <w:rsid w:val="003C53CB"/>
    <w:rsid w:val="003D2162"/>
    <w:rsid w:val="003D2DA2"/>
    <w:rsid w:val="003D434E"/>
    <w:rsid w:val="003D68AF"/>
    <w:rsid w:val="003E2E6D"/>
    <w:rsid w:val="003E5F68"/>
    <w:rsid w:val="003F0FFC"/>
    <w:rsid w:val="003F620A"/>
    <w:rsid w:val="003F6CE2"/>
    <w:rsid w:val="003F6E47"/>
    <w:rsid w:val="00401783"/>
    <w:rsid w:val="0040273A"/>
    <w:rsid w:val="00410F95"/>
    <w:rsid w:val="00411320"/>
    <w:rsid w:val="00413729"/>
    <w:rsid w:val="004137AB"/>
    <w:rsid w:val="00417C46"/>
    <w:rsid w:val="00417F62"/>
    <w:rsid w:val="004249BB"/>
    <w:rsid w:val="00430915"/>
    <w:rsid w:val="004368C3"/>
    <w:rsid w:val="004418DF"/>
    <w:rsid w:val="004422C9"/>
    <w:rsid w:val="0044484D"/>
    <w:rsid w:val="004448F3"/>
    <w:rsid w:val="00446226"/>
    <w:rsid w:val="00453866"/>
    <w:rsid w:val="00454F2E"/>
    <w:rsid w:val="004553F7"/>
    <w:rsid w:val="00455901"/>
    <w:rsid w:val="00457B87"/>
    <w:rsid w:val="00457FB7"/>
    <w:rsid w:val="00461213"/>
    <w:rsid w:val="00461276"/>
    <w:rsid w:val="00463539"/>
    <w:rsid w:val="00464C87"/>
    <w:rsid w:val="00472B3D"/>
    <w:rsid w:val="00476795"/>
    <w:rsid w:val="0048155B"/>
    <w:rsid w:val="004824C9"/>
    <w:rsid w:val="0048327A"/>
    <w:rsid w:val="00490C47"/>
    <w:rsid w:val="004939D9"/>
    <w:rsid w:val="0049709E"/>
    <w:rsid w:val="00497962"/>
    <w:rsid w:val="004A4196"/>
    <w:rsid w:val="004A55A6"/>
    <w:rsid w:val="004B21C1"/>
    <w:rsid w:val="004B312C"/>
    <w:rsid w:val="004B3685"/>
    <w:rsid w:val="004B43D3"/>
    <w:rsid w:val="004B5831"/>
    <w:rsid w:val="004C16B7"/>
    <w:rsid w:val="004C43D5"/>
    <w:rsid w:val="004C55B1"/>
    <w:rsid w:val="004C6125"/>
    <w:rsid w:val="004D3153"/>
    <w:rsid w:val="004D48C1"/>
    <w:rsid w:val="004D6ED1"/>
    <w:rsid w:val="004E1A0D"/>
    <w:rsid w:val="004E2DAE"/>
    <w:rsid w:val="004E4560"/>
    <w:rsid w:val="004E4B81"/>
    <w:rsid w:val="004E7BF1"/>
    <w:rsid w:val="004E7D13"/>
    <w:rsid w:val="004F3322"/>
    <w:rsid w:val="004F338F"/>
    <w:rsid w:val="004F4513"/>
    <w:rsid w:val="004F6D04"/>
    <w:rsid w:val="00501B9D"/>
    <w:rsid w:val="00504E77"/>
    <w:rsid w:val="00504FA4"/>
    <w:rsid w:val="0051031E"/>
    <w:rsid w:val="00512530"/>
    <w:rsid w:val="00513214"/>
    <w:rsid w:val="005138EB"/>
    <w:rsid w:val="00517D06"/>
    <w:rsid w:val="0053334E"/>
    <w:rsid w:val="00533CA6"/>
    <w:rsid w:val="00534018"/>
    <w:rsid w:val="00535922"/>
    <w:rsid w:val="00535A1F"/>
    <w:rsid w:val="00535B2E"/>
    <w:rsid w:val="00540C7C"/>
    <w:rsid w:val="00550D92"/>
    <w:rsid w:val="00555B5B"/>
    <w:rsid w:val="005571C0"/>
    <w:rsid w:val="0056155C"/>
    <w:rsid w:val="00564ECA"/>
    <w:rsid w:val="00565A63"/>
    <w:rsid w:val="00566896"/>
    <w:rsid w:val="005676B9"/>
    <w:rsid w:val="00571D54"/>
    <w:rsid w:val="00572DA7"/>
    <w:rsid w:val="00573BA3"/>
    <w:rsid w:val="0057438F"/>
    <w:rsid w:val="00576AE4"/>
    <w:rsid w:val="005775D2"/>
    <w:rsid w:val="00581135"/>
    <w:rsid w:val="00581F20"/>
    <w:rsid w:val="00591502"/>
    <w:rsid w:val="00595DD4"/>
    <w:rsid w:val="005A2592"/>
    <w:rsid w:val="005A37B5"/>
    <w:rsid w:val="005A3859"/>
    <w:rsid w:val="005B166E"/>
    <w:rsid w:val="005B2D4B"/>
    <w:rsid w:val="005B4EA4"/>
    <w:rsid w:val="005B568A"/>
    <w:rsid w:val="005C1D23"/>
    <w:rsid w:val="005C3879"/>
    <w:rsid w:val="005D05E1"/>
    <w:rsid w:val="005D29A3"/>
    <w:rsid w:val="005D3C1B"/>
    <w:rsid w:val="005D5052"/>
    <w:rsid w:val="005D56E4"/>
    <w:rsid w:val="005D682B"/>
    <w:rsid w:val="005D7809"/>
    <w:rsid w:val="005D7AD4"/>
    <w:rsid w:val="005E5328"/>
    <w:rsid w:val="005E5F61"/>
    <w:rsid w:val="005F2D06"/>
    <w:rsid w:val="005F4B9B"/>
    <w:rsid w:val="005F5D13"/>
    <w:rsid w:val="00600304"/>
    <w:rsid w:val="00601635"/>
    <w:rsid w:val="00604891"/>
    <w:rsid w:val="006122BC"/>
    <w:rsid w:val="00613231"/>
    <w:rsid w:val="00615297"/>
    <w:rsid w:val="006209EE"/>
    <w:rsid w:val="0062246F"/>
    <w:rsid w:val="006254BF"/>
    <w:rsid w:val="00627378"/>
    <w:rsid w:val="00631B48"/>
    <w:rsid w:val="00634BCA"/>
    <w:rsid w:val="006364BD"/>
    <w:rsid w:val="00637943"/>
    <w:rsid w:val="0064087F"/>
    <w:rsid w:val="00642C37"/>
    <w:rsid w:val="00642FB3"/>
    <w:rsid w:val="006441E3"/>
    <w:rsid w:val="00646D0D"/>
    <w:rsid w:val="00663B09"/>
    <w:rsid w:val="00664A47"/>
    <w:rsid w:val="00667204"/>
    <w:rsid w:val="0066775B"/>
    <w:rsid w:val="00670F03"/>
    <w:rsid w:val="00673B7D"/>
    <w:rsid w:val="006748DF"/>
    <w:rsid w:val="00674B80"/>
    <w:rsid w:val="00675960"/>
    <w:rsid w:val="00682DD9"/>
    <w:rsid w:val="00683FBA"/>
    <w:rsid w:val="006840BB"/>
    <w:rsid w:val="00685DD3"/>
    <w:rsid w:val="00691100"/>
    <w:rsid w:val="00691414"/>
    <w:rsid w:val="00693B32"/>
    <w:rsid w:val="00693CCF"/>
    <w:rsid w:val="00695C8C"/>
    <w:rsid w:val="00696867"/>
    <w:rsid w:val="006A0E3F"/>
    <w:rsid w:val="006A1DA4"/>
    <w:rsid w:val="006B2695"/>
    <w:rsid w:val="006B2AAF"/>
    <w:rsid w:val="006B60F4"/>
    <w:rsid w:val="006C6AFB"/>
    <w:rsid w:val="006D176C"/>
    <w:rsid w:val="006D52C5"/>
    <w:rsid w:val="006E524F"/>
    <w:rsid w:val="006F0088"/>
    <w:rsid w:val="006F35C4"/>
    <w:rsid w:val="006F5946"/>
    <w:rsid w:val="006F623C"/>
    <w:rsid w:val="0070010C"/>
    <w:rsid w:val="00700608"/>
    <w:rsid w:val="00701B95"/>
    <w:rsid w:val="007029FE"/>
    <w:rsid w:val="00704DF8"/>
    <w:rsid w:val="0070527E"/>
    <w:rsid w:val="00705ED6"/>
    <w:rsid w:val="00713B7B"/>
    <w:rsid w:val="007167CF"/>
    <w:rsid w:val="0072640D"/>
    <w:rsid w:val="00735C43"/>
    <w:rsid w:val="00743403"/>
    <w:rsid w:val="0074366B"/>
    <w:rsid w:val="00743F40"/>
    <w:rsid w:val="0074527B"/>
    <w:rsid w:val="00745A43"/>
    <w:rsid w:val="00746E85"/>
    <w:rsid w:val="00751337"/>
    <w:rsid w:val="00756B10"/>
    <w:rsid w:val="00756F25"/>
    <w:rsid w:val="0075763B"/>
    <w:rsid w:val="00761212"/>
    <w:rsid w:val="00762A8C"/>
    <w:rsid w:val="0076422C"/>
    <w:rsid w:val="00767707"/>
    <w:rsid w:val="00776177"/>
    <w:rsid w:val="00780435"/>
    <w:rsid w:val="007806BB"/>
    <w:rsid w:val="00784243"/>
    <w:rsid w:val="00785EF1"/>
    <w:rsid w:val="00791AA3"/>
    <w:rsid w:val="007A14C7"/>
    <w:rsid w:val="007A79FB"/>
    <w:rsid w:val="007B0009"/>
    <w:rsid w:val="007B01B9"/>
    <w:rsid w:val="007B1B6D"/>
    <w:rsid w:val="007B57B1"/>
    <w:rsid w:val="007C1451"/>
    <w:rsid w:val="007C313B"/>
    <w:rsid w:val="007C3AE8"/>
    <w:rsid w:val="007C4BD7"/>
    <w:rsid w:val="007C641D"/>
    <w:rsid w:val="007C64CA"/>
    <w:rsid w:val="007C6895"/>
    <w:rsid w:val="007D0062"/>
    <w:rsid w:val="007D02B0"/>
    <w:rsid w:val="007D2CF7"/>
    <w:rsid w:val="007D62F1"/>
    <w:rsid w:val="007D6523"/>
    <w:rsid w:val="007D7592"/>
    <w:rsid w:val="007E079A"/>
    <w:rsid w:val="007E1BDF"/>
    <w:rsid w:val="007E3EB0"/>
    <w:rsid w:val="007E61E8"/>
    <w:rsid w:val="007E70DE"/>
    <w:rsid w:val="007F025E"/>
    <w:rsid w:val="007F0FFC"/>
    <w:rsid w:val="007F1140"/>
    <w:rsid w:val="007F1392"/>
    <w:rsid w:val="007F35C7"/>
    <w:rsid w:val="007F4416"/>
    <w:rsid w:val="007F52E3"/>
    <w:rsid w:val="007F53CA"/>
    <w:rsid w:val="007F7209"/>
    <w:rsid w:val="007F7D0B"/>
    <w:rsid w:val="00803260"/>
    <w:rsid w:val="008032BC"/>
    <w:rsid w:val="00803F94"/>
    <w:rsid w:val="00804BCD"/>
    <w:rsid w:val="008052DE"/>
    <w:rsid w:val="008057BA"/>
    <w:rsid w:val="0080587F"/>
    <w:rsid w:val="00805FF2"/>
    <w:rsid w:val="00812A7E"/>
    <w:rsid w:val="008150EE"/>
    <w:rsid w:val="00826336"/>
    <w:rsid w:val="008305DC"/>
    <w:rsid w:val="00830E3F"/>
    <w:rsid w:val="008344B0"/>
    <w:rsid w:val="0083795C"/>
    <w:rsid w:val="00843BFF"/>
    <w:rsid w:val="00845D0E"/>
    <w:rsid w:val="0084677D"/>
    <w:rsid w:val="00850C4F"/>
    <w:rsid w:val="0085143F"/>
    <w:rsid w:val="00853CDC"/>
    <w:rsid w:val="008558D5"/>
    <w:rsid w:val="00857FC0"/>
    <w:rsid w:val="00861F3A"/>
    <w:rsid w:val="00862193"/>
    <w:rsid w:val="0087540B"/>
    <w:rsid w:val="00875D43"/>
    <w:rsid w:val="00885D27"/>
    <w:rsid w:val="008902AE"/>
    <w:rsid w:val="008957BF"/>
    <w:rsid w:val="00896056"/>
    <w:rsid w:val="008966EB"/>
    <w:rsid w:val="008A6EBB"/>
    <w:rsid w:val="008B149A"/>
    <w:rsid w:val="008B2246"/>
    <w:rsid w:val="008B3BB8"/>
    <w:rsid w:val="008B4686"/>
    <w:rsid w:val="008B505E"/>
    <w:rsid w:val="008B555D"/>
    <w:rsid w:val="008B6969"/>
    <w:rsid w:val="008C1B56"/>
    <w:rsid w:val="008C1D30"/>
    <w:rsid w:val="008C392F"/>
    <w:rsid w:val="008C4B5D"/>
    <w:rsid w:val="008D25E2"/>
    <w:rsid w:val="008D2994"/>
    <w:rsid w:val="008D317B"/>
    <w:rsid w:val="008D66C2"/>
    <w:rsid w:val="008E30D1"/>
    <w:rsid w:val="008E515D"/>
    <w:rsid w:val="008E543A"/>
    <w:rsid w:val="008E665E"/>
    <w:rsid w:val="008F5687"/>
    <w:rsid w:val="008F7E11"/>
    <w:rsid w:val="009022FB"/>
    <w:rsid w:val="00902C9B"/>
    <w:rsid w:val="00903D31"/>
    <w:rsid w:val="0090463B"/>
    <w:rsid w:val="00904F42"/>
    <w:rsid w:val="00905FE1"/>
    <w:rsid w:val="0090688C"/>
    <w:rsid w:val="00907A07"/>
    <w:rsid w:val="009115B4"/>
    <w:rsid w:val="00913400"/>
    <w:rsid w:val="00913FBB"/>
    <w:rsid w:val="009146B4"/>
    <w:rsid w:val="00915426"/>
    <w:rsid w:val="009274E7"/>
    <w:rsid w:val="00936160"/>
    <w:rsid w:val="009371E7"/>
    <w:rsid w:val="009378E2"/>
    <w:rsid w:val="00942360"/>
    <w:rsid w:val="0094515C"/>
    <w:rsid w:val="00945B16"/>
    <w:rsid w:val="00952333"/>
    <w:rsid w:val="00957BA0"/>
    <w:rsid w:val="0096051A"/>
    <w:rsid w:val="00960CD0"/>
    <w:rsid w:val="009624C0"/>
    <w:rsid w:val="009637DD"/>
    <w:rsid w:val="00963B8D"/>
    <w:rsid w:val="0096551F"/>
    <w:rsid w:val="009706D0"/>
    <w:rsid w:val="00970CB1"/>
    <w:rsid w:val="00970F9E"/>
    <w:rsid w:val="00975149"/>
    <w:rsid w:val="00975EB7"/>
    <w:rsid w:val="009777B6"/>
    <w:rsid w:val="00980C9A"/>
    <w:rsid w:val="00984A5F"/>
    <w:rsid w:val="009854CF"/>
    <w:rsid w:val="009903D8"/>
    <w:rsid w:val="009905E1"/>
    <w:rsid w:val="009963A5"/>
    <w:rsid w:val="009A008B"/>
    <w:rsid w:val="009B2628"/>
    <w:rsid w:val="009B4E9D"/>
    <w:rsid w:val="009B5E35"/>
    <w:rsid w:val="009C2F48"/>
    <w:rsid w:val="009C5D51"/>
    <w:rsid w:val="009D3966"/>
    <w:rsid w:val="009D4A0B"/>
    <w:rsid w:val="009D4EF3"/>
    <w:rsid w:val="009E2176"/>
    <w:rsid w:val="009E244B"/>
    <w:rsid w:val="009E2CF1"/>
    <w:rsid w:val="009E38DA"/>
    <w:rsid w:val="009E5359"/>
    <w:rsid w:val="009E694A"/>
    <w:rsid w:val="009E6C3E"/>
    <w:rsid w:val="009F03A2"/>
    <w:rsid w:val="009F1F08"/>
    <w:rsid w:val="009F426E"/>
    <w:rsid w:val="009F4B1B"/>
    <w:rsid w:val="009F7B1B"/>
    <w:rsid w:val="00A03350"/>
    <w:rsid w:val="00A03582"/>
    <w:rsid w:val="00A077CF"/>
    <w:rsid w:val="00A0793F"/>
    <w:rsid w:val="00A11C76"/>
    <w:rsid w:val="00A1549B"/>
    <w:rsid w:val="00A154A9"/>
    <w:rsid w:val="00A16587"/>
    <w:rsid w:val="00A20115"/>
    <w:rsid w:val="00A43FFB"/>
    <w:rsid w:val="00A475C3"/>
    <w:rsid w:val="00A53A5F"/>
    <w:rsid w:val="00A53EDD"/>
    <w:rsid w:val="00A645B0"/>
    <w:rsid w:val="00A65A14"/>
    <w:rsid w:val="00A6634A"/>
    <w:rsid w:val="00A726CA"/>
    <w:rsid w:val="00A72FFC"/>
    <w:rsid w:val="00A75DE6"/>
    <w:rsid w:val="00A7766F"/>
    <w:rsid w:val="00A8600E"/>
    <w:rsid w:val="00A93A8D"/>
    <w:rsid w:val="00A95BB7"/>
    <w:rsid w:val="00A96211"/>
    <w:rsid w:val="00AA0B92"/>
    <w:rsid w:val="00AA3572"/>
    <w:rsid w:val="00AB38ED"/>
    <w:rsid w:val="00AD0149"/>
    <w:rsid w:val="00AD1168"/>
    <w:rsid w:val="00AD1FC1"/>
    <w:rsid w:val="00AD39BA"/>
    <w:rsid w:val="00AE3A7B"/>
    <w:rsid w:val="00AE6934"/>
    <w:rsid w:val="00AF0BD9"/>
    <w:rsid w:val="00AF18C5"/>
    <w:rsid w:val="00AF1FD4"/>
    <w:rsid w:val="00AF257F"/>
    <w:rsid w:val="00B03460"/>
    <w:rsid w:val="00B12BFB"/>
    <w:rsid w:val="00B21B64"/>
    <w:rsid w:val="00B22716"/>
    <w:rsid w:val="00B23F6A"/>
    <w:rsid w:val="00B303F6"/>
    <w:rsid w:val="00B3094F"/>
    <w:rsid w:val="00B328FB"/>
    <w:rsid w:val="00B34B84"/>
    <w:rsid w:val="00B40926"/>
    <w:rsid w:val="00B4339F"/>
    <w:rsid w:val="00B55BA5"/>
    <w:rsid w:val="00B56FE8"/>
    <w:rsid w:val="00B60C1C"/>
    <w:rsid w:val="00B62835"/>
    <w:rsid w:val="00B653C8"/>
    <w:rsid w:val="00B70B58"/>
    <w:rsid w:val="00B71668"/>
    <w:rsid w:val="00B72274"/>
    <w:rsid w:val="00B75BC3"/>
    <w:rsid w:val="00B75DF4"/>
    <w:rsid w:val="00B80740"/>
    <w:rsid w:val="00B81850"/>
    <w:rsid w:val="00B83365"/>
    <w:rsid w:val="00B84BC4"/>
    <w:rsid w:val="00B8535E"/>
    <w:rsid w:val="00B9204B"/>
    <w:rsid w:val="00B926BE"/>
    <w:rsid w:val="00B945AF"/>
    <w:rsid w:val="00B978E1"/>
    <w:rsid w:val="00BA14F1"/>
    <w:rsid w:val="00BA2BC4"/>
    <w:rsid w:val="00BA51D4"/>
    <w:rsid w:val="00BA645A"/>
    <w:rsid w:val="00BB10D2"/>
    <w:rsid w:val="00BB147F"/>
    <w:rsid w:val="00BC02B7"/>
    <w:rsid w:val="00BC0D9F"/>
    <w:rsid w:val="00BC3744"/>
    <w:rsid w:val="00BC37C4"/>
    <w:rsid w:val="00BC3A10"/>
    <w:rsid w:val="00BD0DB7"/>
    <w:rsid w:val="00BD2564"/>
    <w:rsid w:val="00BD29C5"/>
    <w:rsid w:val="00BD4443"/>
    <w:rsid w:val="00BD7457"/>
    <w:rsid w:val="00BE12FE"/>
    <w:rsid w:val="00BE3F64"/>
    <w:rsid w:val="00BE431E"/>
    <w:rsid w:val="00BE4561"/>
    <w:rsid w:val="00BE585D"/>
    <w:rsid w:val="00BF1A22"/>
    <w:rsid w:val="00BF1AA1"/>
    <w:rsid w:val="00BF6DD6"/>
    <w:rsid w:val="00C00757"/>
    <w:rsid w:val="00C00A1B"/>
    <w:rsid w:val="00C00BAC"/>
    <w:rsid w:val="00C06A83"/>
    <w:rsid w:val="00C111B3"/>
    <w:rsid w:val="00C13276"/>
    <w:rsid w:val="00C135B4"/>
    <w:rsid w:val="00C157EF"/>
    <w:rsid w:val="00C161C6"/>
    <w:rsid w:val="00C1674F"/>
    <w:rsid w:val="00C17A42"/>
    <w:rsid w:val="00C21B55"/>
    <w:rsid w:val="00C2341E"/>
    <w:rsid w:val="00C26F86"/>
    <w:rsid w:val="00C27CBB"/>
    <w:rsid w:val="00C335F5"/>
    <w:rsid w:val="00C34D04"/>
    <w:rsid w:val="00C3563B"/>
    <w:rsid w:val="00C41151"/>
    <w:rsid w:val="00C41D43"/>
    <w:rsid w:val="00C42CCE"/>
    <w:rsid w:val="00C45BDF"/>
    <w:rsid w:val="00C53EBD"/>
    <w:rsid w:val="00C654B1"/>
    <w:rsid w:val="00C66545"/>
    <w:rsid w:val="00C67705"/>
    <w:rsid w:val="00C67CC5"/>
    <w:rsid w:val="00C704D8"/>
    <w:rsid w:val="00C714C9"/>
    <w:rsid w:val="00C7221D"/>
    <w:rsid w:val="00C72F7D"/>
    <w:rsid w:val="00C75A36"/>
    <w:rsid w:val="00C76304"/>
    <w:rsid w:val="00C76C46"/>
    <w:rsid w:val="00C77FE2"/>
    <w:rsid w:val="00C808FB"/>
    <w:rsid w:val="00C816F1"/>
    <w:rsid w:val="00C82164"/>
    <w:rsid w:val="00C95452"/>
    <w:rsid w:val="00C95DA6"/>
    <w:rsid w:val="00C96980"/>
    <w:rsid w:val="00CA08FB"/>
    <w:rsid w:val="00CA7DD4"/>
    <w:rsid w:val="00CB0ECD"/>
    <w:rsid w:val="00CB37E8"/>
    <w:rsid w:val="00CB7179"/>
    <w:rsid w:val="00CB76E7"/>
    <w:rsid w:val="00CC3F20"/>
    <w:rsid w:val="00CD2E81"/>
    <w:rsid w:val="00CD6510"/>
    <w:rsid w:val="00CE0643"/>
    <w:rsid w:val="00CE1D67"/>
    <w:rsid w:val="00CE40B4"/>
    <w:rsid w:val="00CF0CD1"/>
    <w:rsid w:val="00CF1AB5"/>
    <w:rsid w:val="00CF2355"/>
    <w:rsid w:val="00CF5FE5"/>
    <w:rsid w:val="00D01C76"/>
    <w:rsid w:val="00D044F4"/>
    <w:rsid w:val="00D113FA"/>
    <w:rsid w:val="00D144D3"/>
    <w:rsid w:val="00D17568"/>
    <w:rsid w:val="00D22D6D"/>
    <w:rsid w:val="00D260C3"/>
    <w:rsid w:val="00D267DB"/>
    <w:rsid w:val="00D27B3D"/>
    <w:rsid w:val="00D319EE"/>
    <w:rsid w:val="00D338DB"/>
    <w:rsid w:val="00D35B08"/>
    <w:rsid w:val="00D36C96"/>
    <w:rsid w:val="00D41243"/>
    <w:rsid w:val="00D44ADF"/>
    <w:rsid w:val="00D535E5"/>
    <w:rsid w:val="00D542D1"/>
    <w:rsid w:val="00D54903"/>
    <w:rsid w:val="00D61503"/>
    <w:rsid w:val="00D6181F"/>
    <w:rsid w:val="00D70170"/>
    <w:rsid w:val="00D7166B"/>
    <w:rsid w:val="00D718C2"/>
    <w:rsid w:val="00D722A1"/>
    <w:rsid w:val="00D72DB6"/>
    <w:rsid w:val="00D8067C"/>
    <w:rsid w:val="00D8071D"/>
    <w:rsid w:val="00D84A6A"/>
    <w:rsid w:val="00D91598"/>
    <w:rsid w:val="00D91922"/>
    <w:rsid w:val="00D91D0A"/>
    <w:rsid w:val="00D92DCD"/>
    <w:rsid w:val="00D930D6"/>
    <w:rsid w:val="00D96A8E"/>
    <w:rsid w:val="00DA0FDE"/>
    <w:rsid w:val="00DA2974"/>
    <w:rsid w:val="00DA43F0"/>
    <w:rsid w:val="00DA5112"/>
    <w:rsid w:val="00DA7BF8"/>
    <w:rsid w:val="00DC18DF"/>
    <w:rsid w:val="00DC2858"/>
    <w:rsid w:val="00DD15E6"/>
    <w:rsid w:val="00DD1BB3"/>
    <w:rsid w:val="00DD7AC7"/>
    <w:rsid w:val="00DE0ABF"/>
    <w:rsid w:val="00DE677B"/>
    <w:rsid w:val="00DE74D5"/>
    <w:rsid w:val="00DF0567"/>
    <w:rsid w:val="00DF08AD"/>
    <w:rsid w:val="00DF540C"/>
    <w:rsid w:val="00DF76FB"/>
    <w:rsid w:val="00E01578"/>
    <w:rsid w:val="00E0685D"/>
    <w:rsid w:val="00E11EB9"/>
    <w:rsid w:val="00E12EDA"/>
    <w:rsid w:val="00E1550E"/>
    <w:rsid w:val="00E23DE6"/>
    <w:rsid w:val="00E24EB0"/>
    <w:rsid w:val="00E2649C"/>
    <w:rsid w:val="00E323BB"/>
    <w:rsid w:val="00E46296"/>
    <w:rsid w:val="00E46ACA"/>
    <w:rsid w:val="00E51CAE"/>
    <w:rsid w:val="00E559A5"/>
    <w:rsid w:val="00E575F9"/>
    <w:rsid w:val="00E620E1"/>
    <w:rsid w:val="00E726CB"/>
    <w:rsid w:val="00E76341"/>
    <w:rsid w:val="00E93770"/>
    <w:rsid w:val="00E93DC6"/>
    <w:rsid w:val="00E9784C"/>
    <w:rsid w:val="00EA2B45"/>
    <w:rsid w:val="00EA2DDC"/>
    <w:rsid w:val="00EA4C68"/>
    <w:rsid w:val="00EA5A29"/>
    <w:rsid w:val="00EA7F0F"/>
    <w:rsid w:val="00EB08FA"/>
    <w:rsid w:val="00EB0D3B"/>
    <w:rsid w:val="00EB22ED"/>
    <w:rsid w:val="00EC00BE"/>
    <w:rsid w:val="00EC0A65"/>
    <w:rsid w:val="00EC1634"/>
    <w:rsid w:val="00EC5934"/>
    <w:rsid w:val="00ED26FF"/>
    <w:rsid w:val="00ED3CBE"/>
    <w:rsid w:val="00EE09D1"/>
    <w:rsid w:val="00EE11F6"/>
    <w:rsid w:val="00EE25EC"/>
    <w:rsid w:val="00EE39A1"/>
    <w:rsid w:val="00EE65E0"/>
    <w:rsid w:val="00EF3C04"/>
    <w:rsid w:val="00EF647F"/>
    <w:rsid w:val="00EF6C5D"/>
    <w:rsid w:val="00F00A00"/>
    <w:rsid w:val="00F00EB3"/>
    <w:rsid w:val="00F03E53"/>
    <w:rsid w:val="00F045CE"/>
    <w:rsid w:val="00F049E1"/>
    <w:rsid w:val="00F1767B"/>
    <w:rsid w:val="00F17CBA"/>
    <w:rsid w:val="00F22813"/>
    <w:rsid w:val="00F22B4A"/>
    <w:rsid w:val="00F26B4D"/>
    <w:rsid w:val="00F32121"/>
    <w:rsid w:val="00F34153"/>
    <w:rsid w:val="00F353A4"/>
    <w:rsid w:val="00F40972"/>
    <w:rsid w:val="00F41128"/>
    <w:rsid w:val="00F423A0"/>
    <w:rsid w:val="00F46976"/>
    <w:rsid w:val="00F53A85"/>
    <w:rsid w:val="00F56AE0"/>
    <w:rsid w:val="00F62C76"/>
    <w:rsid w:val="00F62C86"/>
    <w:rsid w:val="00F62DC5"/>
    <w:rsid w:val="00F669B6"/>
    <w:rsid w:val="00F7345C"/>
    <w:rsid w:val="00F76659"/>
    <w:rsid w:val="00F8216B"/>
    <w:rsid w:val="00F852B2"/>
    <w:rsid w:val="00F8725A"/>
    <w:rsid w:val="00F901E9"/>
    <w:rsid w:val="00F967B3"/>
    <w:rsid w:val="00FA0759"/>
    <w:rsid w:val="00FA0D64"/>
    <w:rsid w:val="00FA3821"/>
    <w:rsid w:val="00FA45E3"/>
    <w:rsid w:val="00FA58F6"/>
    <w:rsid w:val="00FB2B22"/>
    <w:rsid w:val="00FB6FE7"/>
    <w:rsid w:val="00FC1249"/>
    <w:rsid w:val="00FC16F1"/>
    <w:rsid w:val="00FC388D"/>
    <w:rsid w:val="00FC4A8E"/>
    <w:rsid w:val="00FC4B40"/>
    <w:rsid w:val="00FC6FB4"/>
    <w:rsid w:val="00FC7D82"/>
    <w:rsid w:val="00FD393B"/>
    <w:rsid w:val="00FD4185"/>
    <w:rsid w:val="00FE6113"/>
    <w:rsid w:val="00FE7260"/>
    <w:rsid w:val="00FF4E9C"/>
    <w:rsid w:val="00FF50A4"/>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7AE94F"/>
  <w15:chartTrackingRefBased/>
  <w15:docId w15:val="{3DCD3245-C313-4B9B-8C97-827EF4BA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Body Text Inden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B22"/>
    <w:pPr>
      <w:spacing w:after="200" w:line="276" w:lineRule="auto"/>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qFormat/>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uiPriority w:val="99"/>
    <w:qFormat/>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paragraph" w:styleId="BodyTextIndent">
    <w:name w:val="Body Text Indent"/>
    <w:basedOn w:val="Normal"/>
    <w:link w:val="BodyTextIndentChar"/>
    <w:uiPriority w:val="99"/>
    <w:rsid w:val="007F4416"/>
    <w:pPr>
      <w:spacing w:after="0" w:line="240" w:lineRule="auto"/>
      <w:ind w:left="5760"/>
    </w:pPr>
    <w:rPr>
      <w:rFonts w:eastAsia="Times New Roman"/>
      <w:szCs w:val="20"/>
      <w:lang w:val="x-none" w:eastAsia="lv-LV"/>
    </w:rPr>
  </w:style>
  <w:style w:type="character" w:customStyle="1" w:styleId="BodyTextIndentChar">
    <w:name w:val="Body Text Indent Char"/>
    <w:link w:val="BodyTextIndent"/>
    <w:uiPriority w:val="99"/>
    <w:rsid w:val="007F4416"/>
    <w:rPr>
      <w:sz w:val="24"/>
      <w:lang w:val="x-none"/>
    </w:rPr>
  </w:style>
  <w:style w:type="table" w:styleId="TableGrid">
    <w:name w:val="Table Grid"/>
    <w:basedOn w:val="TableNormal"/>
    <w:rsid w:val="0078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A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5537">
      <w:bodyDiv w:val="1"/>
      <w:marLeft w:val="0"/>
      <w:marRight w:val="0"/>
      <w:marTop w:val="0"/>
      <w:marBottom w:val="0"/>
      <w:divBdr>
        <w:top w:val="none" w:sz="0" w:space="0" w:color="auto"/>
        <w:left w:val="none" w:sz="0" w:space="0" w:color="auto"/>
        <w:bottom w:val="none" w:sz="0" w:space="0" w:color="auto"/>
        <w:right w:val="none" w:sz="0" w:space="0" w:color="auto"/>
      </w:divBdr>
    </w:div>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293171733">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633822342">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804419744">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s.Laiza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E0F6-B955-48A4-9667-BD215CC2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5678</Words>
  <Characters>3237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Informatīvais ziņojums „Par papildu valsts budžeta saistību uzņemšanos Eiropas Komisijas līdzfinansētā projekta “Kopīgas darbības mērinstrumentu tirgus uzraudzībā – MarketSurv MID” īstenošanai”</vt:lpstr>
    </vt:vector>
  </TitlesOfParts>
  <Company>lm</Company>
  <LinksUpToDate>false</LinksUpToDate>
  <CharactersWithSpaces>8898</CharactersWithSpaces>
  <SharedDoc>false</SharedDoc>
  <HLinks>
    <vt:vector size="6" baseType="variant">
      <vt:variant>
        <vt:i4>524334</vt:i4>
      </vt:variant>
      <vt:variant>
        <vt:i4>0</vt:i4>
      </vt:variant>
      <vt:variant>
        <vt:i4>0</vt:i4>
      </vt:variant>
      <vt:variant>
        <vt:i4>5</vt:i4>
      </vt:variant>
      <vt:variant>
        <vt:lpwstr>mailto:Viktors.Laizans@em.gov.lv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Eiropas Komisijas līdzfinansētā projekta “Kopīgas darbības mērinstrumentu tirgus uzraudzībā – MarketSurv MID” īstenošanai”</dc:title>
  <dc:subject>Informatīvais ziņojums</dc:subject>
  <dc:creator>Ināra Stikāne</dc:creator>
  <cp:keywords/>
  <cp:lastModifiedBy>Lita Stauvere</cp:lastModifiedBy>
  <cp:revision>3</cp:revision>
  <cp:lastPrinted>2019-05-27T09:04:00Z</cp:lastPrinted>
  <dcterms:created xsi:type="dcterms:W3CDTF">2019-06-05T08:39:00Z</dcterms:created>
  <dcterms:modified xsi:type="dcterms:W3CDTF">2019-06-06T15:05:00Z</dcterms:modified>
</cp:coreProperties>
</file>