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AD28F" w14:textId="22BF7AB0" w:rsidR="003D6921" w:rsidRDefault="000B1C70" w:rsidP="0067577B">
      <w:pPr>
        <w:rPr>
          <w:b/>
          <w:bCs/>
          <w:sz w:val="28"/>
          <w:szCs w:val="28"/>
        </w:rPr>
      </w:pPr>
      <w:bookmarkStart w:id="0" w:name="_GoBack"/>
      <w:bookmarkEnd w:id="0"/>
      <w:r>
        <w:rPr>
          <w:b/>
          <w:bCs/>
          <w:sz w:val="28"/>
          <w:szCs w:val="28"/>
        </w:rPr>
        <w:t xml:space="preserve"> </w:t>
      </w:r>
    </w:p>
    <w:p w14:paraId="7BECA0C5" w14:textId="7A3FCC9C" w:rsidR="00056D68" w:rsidRDefault="00142973" w:rsidP="00056D68">
      <w:pPr>
        <w:jc w:val="center"/>
        <w:rPr>
          <w:b/>
          <w:bCs/>
          <w:sz w:val="28"/>
          <w:szCs w:val="28"/>
        </w:rPr>
      </w:pPr>
      <w:r>
        <w:rPr>
          <w:b/>
          <w:bCs/>
          <w:sz w:val="28"/>
          <w:szCs w:val="28"/>
        </w:rPr>
        <w:t>Informatīvais ziņojums</w:t>
      </w:r>
      <w:r w:rsidR="00056D68">
        <w:rPr>
          <w:b/>
          <w:bCs/>
          <w:sz w:val="28"/>
          <w:szCs w:val="28"/>
        </w:rPr>
        <w:t xml:space="preserve"> par Eiropas Reģionālās attīstības fonda, Eiropas Soci</w:t>
      </w:r>
      <w:r w:rsidR="00D473B8">
        <w:rPr>
          <w:b/>
          <w:bCs/>
          <w:sz w:val="28"/>
          <w:szCs w:val="28"/>
        </w:rPr>
        <w:t>ālā fonda plus un Kohēzijas fonda</w:t>
      </w:r>
      <w:r w:rsidR="00056D68">
        <w:rPr>
          <w:b/>
          <w:bCs/>
          <w:sz w:val="28"/>
          <w:szCs w:val="28"/>
        </w:rPr>
        <w:t xml:space="preserve"> ieviešanu 2021.</w:t>
      </w:r>
      <w:r w:rsidR="000A0B11">
        <w:rPr>
          <w:b/>
          <w:bCs/>
          <w:sz w:val="28"/>
          <w:szCs w:val="28"/>
        </w:rPr>
        <w:t xml:space="preserve"> </w:t>
      </w:r>
      <w:r w:rsidR="008C392D">
        <w:rPr>
          <w:b/>
          <w:bCs/>
          <w:sz w:val="28"/>
          <w:szCs w:val="28"/>
        </w:rPr>
        <w:t>–</w:t>
      </w:r>
      <w:r w:rsidR="000A0B11">
        <w:rPr>
          <w:b/>
          <w:bCs/>
          <w:sz w:val="28"/>
          <w:szCs w:val="28"/>
        </w:rPr>
        <w:t xml:space="preserve"> </w:t>
      </w:r>
      <w:r w:rsidR="00056D68">
        <w:rPr>
          <w:b/>
          <w:bCs/>
          <w:sz w:val="28"/>
          <w:szCs w:val="28"/>
        </w:rPr>
        <w:t>2027.</w:t>
      </w:r>
      <w:r w:rsidR="000A0B11">
        <w:rPr>
          <w:b/>
          <w:bCs/>
          <w:sz w:val="28"/>
          <w:szCs w:val="28"/>
        </w:rPr>
        <w:t> </w:t>
      </w:r>
      <w:r w:rsidR="00056D68">
        <w:rPr>
          <w:b/>
          <w:bCs/>
          <w:sz w:val="28"/>
          <w:szCs w:val="28"/>
        </w:rPr>
        <w:t>gadā Latvijā</w:t>
      </w:r>
    </w:p>
    <w:p w14:paraId="3FE0AA31" w14:textId="77777777" w:rsidR="00056D68" w:rsidRDefault="00056D68" w:rsidP="0067577B">
      <w:pPr>
        <w:rPr>
          <w:b/>
          <w:bCs/>
          <w:sz w:val="28"/>
          <w:szCs w:val="28"/>
        </w:rPr>
      </w:pPr>
    </w:p>
    <w:p w14:paraId="7B27033C" w14:textId="3AC73AFB" w:rsidR="00130B8F" w:rsidRDefault="00130B8F" w:rsidP="00CF3C5D">
      <w:pPr>
        <w:pStyle w:val="ListParagraph"/>
        <w:tabs>
          <w:tab w:val="left" w:pos="426"/>
        </w:tabs>
        <w:spacing w:after="120"/>
        <w:ind w:left="0"/>
        <w:jc w:val="both"/>
        <w:rPr>
          <w:rFonts w:cs="Times New Roman"/>
          <w:color w:val="000000"/>
          <w:szCs w:val="28"/>
        </w:rPr>
      </w:pPr>
      <w:r>
        <w:rPr>
          <w:rFonts w:cs="Times New Roman"/>
          <w:color w:val="000000"/>
          <w:szCs w:val="28"/>
        </w:rPr>
        <w:t xml:space="preserve">Informatīvais ziņojums sagatavots, ņemot vērā Eiropas Komisijas (turpmāk – EK) </w:t>
      </w:r>
      <w:r w:rsidR="00B2365D">
        <w:rPr>
          <w:rFonts w:cs="Times New Roman"/>
          <w:color w:val="000000"/>
          <w:szCs w:val="28"/>
        </w:rPr>
        <w:t>2019.</w:t>
      </w:r>
      <w:r w:rsidR="000A0B11">
        <w:rPr>
          <w:rFonts w:cs="Times New Roman"/>
          <w:color w:val="000000"/>
          <w:szCs w:val="28"/>
        </w:rPr>
        <w:t> </w:t>
      </w:r>
      <w:r w:rsidR="00B2365D">
        <w:rPr>
          <w:rFonts w:cs="Times New Roman"/>
          <w:color w:val="000000"/>
          <w:szCs w:val="28"/>
        </w:rPr>
        <w:t>gada</w:t>
      </w:r>
      <w:r>
        <w:rPr>
          <w:rFonts w:cs="Times New Roman"/>
          <w:color w:val="000000"/>
          <w:szCs w:val="28"/>
        </w:rPr>
        <w:t xml:space="preserve"> 17.</w:t>
      </w:r>
      <w:r w:rsidR="000A0B11">
        <w:rPr>
          <w:rFonts w:cs="Times New Roman"/>
          <w:color w:val="000000"/>
          <w:szCs w:val="28"/>
        </w:rPr>
        <w:t> </w:t>
      </w:r>
      <w:r>
        <w:rPr>
          <w:rFonts w:cs="Times New Roman"/>
          <w:color w:val="000000"/>
          <w:szCs w:val="28"/>
        </w:rPr>
        <w:t xml:space="preserve">aprīļa vēstuli Nr. (2019)2684683 ar lūgumu līdz </w:t>
      </w:r>
      <w:r w:rsidR="00B2365D">
        <w:rPr>
          <w:rFonts w:cs="Times New Roman"/>
          <w:color w:val="000000"/>
          <w:szCs w:val="28"/>
        </w:rPr>
        <w:t>2019.</w:t>
      </w:r>
      <w:r w:rsidR="000A0B11">
        <w:rPr>
          <w:rFonts w:cs="Times New Roman"/>
          <w:color w:val="000000"/>
          <w:szCs w:val="28"/>
        </w:rPr>
        <w:t> </w:t>
      </w:r>
      <w:r w:rsidR="00B2365D">
        <w:rPr>
          <w:rFonts w:cs="Times New Roman"/>
          <w:color w:val="000000"/>
          <w:szCs w:val="28"/>
        </w:rPr>
        <w:t>gada</w:t>
      </w:r>
      <w:r>
        <w:rPr>
          <w:rFonts w:cs="Times New Roman"/>
          <w:color w:val="000000"/>
          <w:szCs w:val="28"/>
        </w:rPr>
        <w:t xml:space="preserve"> 30.</w:t>
      </w:r>
      <w:r w:rsidR="000A0B11">
        <w:rPr>
          <w:rFonts w:cs="Times New Roman"/>
          <w:color w:val="000000"/>
          <w:szCs w:val="28"/>
        </w:rPr>
        <w:t> </w:t>
      </w:r>
      <w:r>
        <w:rPr>
          <w:rFonts w:cs="Times New Roman"/>
          <w:color w:val="000000"/>
          <w:szCs w:val="28"/>
        </w:rPr>
        <w:t>jūnijam iesniegt EK 2021. – 2027.</w:t>
      </w:r>
      <w:r w:rsidR="000A0B11">
        <w:rPr>
          <w:rFonts w:cs="Times New Roman"/>
          <w:color w:val="000000"/>
          <w:szCs w:val="28"/>
        </w:rPr>
        <w:t> </w:t>
      </w:r>
      <w:r>
        <w:rPr>
          <w:rFonts w:cs="Times New Roman"/>
          <w:color w:val="000000"/>
          <w:szCs w:val="28"/>
        </w:rPr>
        <w:t>gada plānošanas perioda darāmo darbu laika grafiku, galvenokārt</w:t>
      </w:r>
      <w:r w:rsidR="006408EF">
        <w:rPr>
          <w:rFonts w:cs="Times New Roman"/>
          <w:color w:val="000000"/>
          <w:szCs w:val="28"/>
        </w:rPr>
        <w:t>,</w:t>
      </w:r>
      <w:r>
        <w:rPr>
          <w:rFonts w:cs="Times New Roman"/>
          <w:color w:val="000000"/>
          <w:szCs w:val="28"/>
        </w:rPr>
        <w:t xml:space="preserve"> norādot laiku, kad plānots iesniegt plānošanas dokumentu projektus un to oficiālās versijas apstiprināšanai EK. </w:t>
      </w:r>
    </w:p>
    <w:p w14:paraId="6A22965F" w14:textId="77777777" w:rsidR="00130B8F" w:rsidRDefault="00130B8F" w:rsidP="00CF3C5D">
      <w:pPr>
        <w:pStyle w:val="ListParagraph"/>
        <w:tabs>
          <w:tab w:val="left" w:pos="426"/>
        </w:tabs>
        <w:spacing w:after="120"/>
        <w:ind w:left="0"/>
        <w:jc w:val="both"/>
        <w:rPr>
          <w:rFonts w:cs="Times New Roman"/>
          <w:color w:val="000000"/>
          <w:szCs w:val="28"/>
        </w:rPr>
      </w:pPr>
    </w:p>
    <w:p w14:paraId="7B69D6F7" w14:textId="568F806B" w:rsidR="00653EED" w:rsidRPr="00CF3C5D" w:rsidRDefault="00653EED" w:rsidP="00CF3C5D">
      <w:pPr>
        <w:pStyle w:val="ListParagraph"/>
        <w:tabs>
          <w:tab w:val="left" w:pos="426"/>
        </w:tabs>
        <w:spacing w:after="120"/>
        <w:ind w:left="0"/>
        <w:jc w:val="both"/>
        <w:rPr>
          <w:rFonts w:cs="Times New Roman"/>
          <w:szCs w:val="28"/>
        </w:rPr>
      </w:pPr>
      <w:r w:rsidRPr="00C1334F">
        <w:rPr>
          <w:rFonts w:cs="Times New Roman"/>
          <w:color w:val="000000"/>
          <w:szCs w:val="28"/>
        </w:rPr>
        <w:t>Informatīvā ziņojuma</w:t>
      </w:r>
      <w:r w:rsidRPr="00C1334F">
        <w:rPr>
          <w:rFonts w:cs="Times New Roman"/>
          <w:szCs w:val="28"/>
        </w:rPr>
        <w:t xml:space="preserve"> mērķis ir informēt par pasākumiem</w:t>
      </w:r>
      <w:r w:rsidR="00C1334F" w:rsidRPr="00C1334F">
        <w:rPr>
          <w:rFonts w:cs="Times New Roman"/>
          <w:szCs w:val="28"/>
        </w:rPr>
        <w:t xml:space="preserve"> </w:t>
      </w:r>
      <w:r w:rsidR="00C1334F" w:rsidRPr="00C1334F">
        <w:rPr>
          <w:bCs/>
          <w:szCs w:val="28"/>
        </w:rPr>
        <w:t>Eiropas Reģionālās attīstības fonda</w:t>
      </w:r>
      <w:r w:rsidR="00D02103">
        <w:rPr>
          <w:bCs/>
          <w:szCs w:val="28"/>
        </w:rPr>
        <w:t xml:space="preserve"> </w:t>
      </w:r>
      <w:r w:rsidR="00D02103" w:rsidRPr="00D158F5">
        <w:rPr>
          <w:rFonts w:eastAsia="Calibri"/>
          <w:szCs w:val="28"/>
        </w:rPr>
        <w:t>(turpmāk - ERAF)</w:t>
      </w:r>
      <w:r w:rsidR="00C1334F" w:rsidRPr="00C1334F">
        <w:rPr>
          <w:bCs/>
          <w:szCs w:val="28"/>
        </w:rPr>
        <w:t xml:space="preserve">, Eiropas Sociālā fonda plus </w:t>
      </w:r>
      <w:r w:rsidR="00D02103" w:rsidRPr="00D158F5">
        <w:rPr>
          <w:rFonts w:eastAsia="Calibri"/>
          <w:szCs w:val="28"/>
        </w:rPr>
        <w:t xml:space="preserve">(turpmāk - ESF+) </w:t>
      </w:r>
      <w:r w:rsidR="00C1334F" w:rsidRPr="00C1334F">
        <w:rPr>
          <w:bCs/>
          <w:szCs w:val="28"/>
        </w:rPr>
        <w:t>un Kohēzijas fonda</w:t>
      </w:r>
      <w:r w:rsidR="00D02103">
        <w:rPr>
          <w:bCs/>
          <w:szCs w:val="28"/>
        </w:rPr>
        <w:t xml:space="preserve"> </w:t>
      </w:r>
      <w:r w:rsidR="00D02103" w:rsidRPr="00D158F5">
        <w:rPr>
          <w:rFonts w:eastAsia="Calibri"/>
          <w:szCs w:val="28"/>
        </w:rPr>
        <w:t xml:space="preserve">(turpmāk - KF) </w:t>
      </w:r>
      <w:r w:rsidR="00E60DCB">
        <w:rPr>
          <w:bCs/>
          <w:szCs w:val="28"/>
        </w:rPr>
        <w:t>(turpmāk</w:t>
      </w:r>
      <w:r w:rsidR="00D02103">
        <w:rPr>
          <w:bCs/>
          <w:szCs w:val="28"/>
        </w:rPr>
        <w:t xml:space="preserve"> kopā</w:t>
      </w:r>
      <w:r w:rsidR="00E60DCB">
        <w:rPr>
          <w:bCs/>
          <w:szCs w:val="28"/>
        </w:rPr>
        <w:t xml:space="preserve"> – ES KP fondi)</w:t>
      </w:r>
      <w:r w:rsidR="00526DF2">
        <w:rPr>
          <w:rStyle w:val="FootnoteReference"/>
          <w:bCs/>
          <w:szCs w:val="28"/>
        </w:rPr>
        <w:footnoteReference w:id="1"/>
      </w:r>
      <w:r w:rsidR="00C1334F" w:rsidRPr="00C1334F">
        <w:rPr>
          <w:rFonts w:cs="Times New Roman"/>
          <w:szCs w:val="28"/>
        </w:rPr>
        <w:t xml:space="preserve"> 2021.</w:t>
      </w:r>
      <w:r w:rsidR="000A0B11">
        <w:rPr>
          <w:rFonts w:cs="Times New Roman"/>
          <w:szCs w:val="28"/>
        </w:rPr>
        <w:t xml:space="preserve"> </w:t>
      </w:r>
      <w:r w:rsidR="00C1334F" w:rsidRPr="00C1334F">
        <w:rPr>
          <w:rFonts w:cs="Times New Roman"/>
          <w:szCs w:val="28"/>
        </w:rPr>
        <w:t>–</w:t>
      </w:r>
      <w:r w:rsidR="000A0B11">
        <w:rPr>
          <w:rFonts w:cs="Times New Roman"/>
          <w:szCs w:val="28"/>
        </w:rPr>
        <w:t xml:space="preserve"> </w:t>
      </w:r>
      <w:r w:rsidR="00C1334F" w:rsidRPr="00C1334F">
        <w:rPr>
          <w:rFonts w:cs="Times New Roman"/>
          <w:szCs w:val="28"/>
        </w:rPr>
        <w:t>2027.</w:t>
      </w:r>
      <w:r w:rsidR="000A0B11">
        <w:rPr>
          <w:rFonts w:cs="Times New Roman"/>
          <w:szCs w:val="28"/>
        </w:rPr>
        <w:t> </w:t>
      </w:r>
      <w:r w:rsidR="00C1334F" w:rsidRPr="00C1334F">
        <w:rPr>
          <w:rFonts w:cs="Times New Roman"/>
          <w:szCs w:val="28"/>
        </w:rPr>
        <w:t>gada plānošanas perioda uzsākšanai</w:t>
      </w:r>
      <w:r w:rsidRPr="00C1334F">
        <w:rPr>
          <w:rFonts w:cs="Times New Roman"/>
          <w:szCs w:val="28"/>
        </w:rPr>
        <w:t>.</w:t>
      </w:r>
    </w:p>
    <w:p w14:paraId="71C6AAFF" w14:textId="5FE6F4C9" w:rsidR="00E60DCB" w:rsidRPr="00D158F5" w:rsidRDefault="0080340E" w:rsidP="00CF3C5D">
      <w:pPr>
        <w:spacing w:after="120"/>
        <w:jc w:val="both"/>
        <w:rPr>
          <w:rFonts w:eastAsia="Calibri"/>
          <w:sz w:val="28"/>
          <w:szCs w:val="28"/>
        </w:rPr>
      </w:pPr>
      <w:r w:rsidRPr="00D158F5">
        <w:rPr>
          <w:rFonts w:eastAsia="Calibri"/>
          <w:sz w:val="28"/>
          <w:szCs w:val="28"/>
        </w:rPr>
        <w:t xml:space="preserve">2018. gada 29. un 31. maijā </w:t>
      </w:r>
      <w:r w:rsidR="00130B8F">
        <w:rPr>
          <w:rFonts w:eastAsia="Calibri"/>
          <w:sz w:val="28"/>
          <w:szCs w:val="28"/>
        </w:rPr>
        <w:t>EK</w:t>
      </w:r>
      <w:r w:rsidRPr="00D158F5">
        <w:rPr>
          <w:rFonts w:eastAsia="Calibri"/>
          <w:sz w:val="28"/>
          <w:szCs w:val="28"/>
        </w:rPr>
        <w:t xml:space="preserve"> publicēja regulu priekšlikumus, kas nosaka Kohēzijas politikas ieguldījumu principus un paredzēto finansējuma apjomu konkrētiem fondiem. Kohēzijas politikas kontekstā saistošs ir publicētais kopīgo noteikumu regulas priekšlikums 2018/0196(COD)</w:t>
      </w:r>
      <w:r w:rsidRPr="00D158F5">
        <w:rPr>
          <w:rStyle w:val="FootnoteReference"/>
          <w:rFonts w:eastAsia="Calibri"/>
          <w:sz w:val="28"/>
          <w:szCs w:val="28"/>
        </w:rPr>
        <w:footnoteReference w:id="2"/>
      </w:r>
      <w:r w:rsidR="00B53D69" w:rsidRPr="00D158F5">
        <w:rPr>
          <w:rFonts w:eastAsia="Calibri"/>
          <w:sz w:val="28"/>
          <w:szCs w:val="28"/>
        </w:rPr>
        <w:t xml:space="preserve"> (turpmāk - Kopējā</w:t>
      </w:r>
      <w:r w:rsidR="0031638D">
        <w:rPr>
          <w:rFonts w:eastAsia="Calibri"/>
          <w:sz w:val="28"/>
          <w:szCs w:val="28"/>
        </w:rPr>
        <w:t>s</w:t>
      </w:r>
      <w:r w:rsidR="00B53D69" w:rsidRPr="00D158F5">
        <w:rPr>
          <w:rFonts w:eastAsia="Calibri"/>
          <w:sz w:val="28"/>
          <w:szCs w:val="28"/>
        </w:rPr>
        <w:t xml:space="preserve"> fondu regula</w:t>
      </w:r>
      <w:r w:rsidR="0031638D">
        <w:rPr>
          <w:rFonts w:eastAsia="Calibri"/>
          <w:sz w:val="28"/>
          <w:szCs w:val="28"/>
        </w:rPr>
        <w:t>s priekšlikums</w:t>
      </w:r>
      <w:r w:rsidR="00B53D69" w:rsidRPr="00D158F5">
        <w:rPr>
          <w:rFonts w:eastAsia="Calibri"/>
          <w:sz w:val="28"/>
          <w:szCs w:val="28"/>
        </w:rPr>
        <w:t>)</w:t>
      </w:r>
      <w:r w:rsidRPr="00D158F5">
        <w:rPr>
          <w:rFonts w:eastAsia="Calibri"/>
          <w:sz w:val="28"/>
          <w:szCs w:val="28"/>
        </w:rPr>
        <w:t>, ERAF un KF regulas priekšlikums</w:t>
      </w:r>
      <w:r w:rsidRPr="00D158F5">
        <w:rPr>
          <w:rStyle w:val="FootnoteReference"/>
          <w:rFonts w:eastAsia="Calibri"/>
          <w:sz w:val="28"/>
          <w:szCs w:val="28"/>
        </w:rPr>
        <w:footnoteReference w:id="3"/>
      </w:r>
      <w:r w:rsidRPr="00D158F5">
        <w:rPr>
          <w:rFonts w:eastAsia="Calibri"/>
          <w:sz w:val="28"/>
          <w:szCs w:val="28"/>
        </w:rPr>
        <w:t>, ESF+ regulas priekšlikums</w:t>
      </w:r>
      <w:r w:rsidRPr="00D158F5">
        <w:rPr>
          <w:rStyle w:val="FootnoteReference"/>
          <w:rFonts w:eastAsia="Calibri"/>
          <w:sz w:val="28"/>
          <w:szCs w:val="28"/>
        </w:rPr>
        <w:footnoteReference w:id="4"/>
      </w:r>
      <w:r w:rsidRPr="00D158F5">
        <w:rPr>
          <w:rFonts w:eastAsia="Calibri"/>
          <w:sz w:val="28"/>
          <w:szCs w:val="28"/>
        </w:rPr>
        <w:t>, kā arī Eiropas Teritoriālās sadarbības (</w:t>
      </w:r>
      <w:r w:rsidRPr="00BB7FEC">
        <w:rPr>
          <w:rFonts w:eastAsia="Calibri"/>
          <w:sz w:val="28"/>
          <w:szCs w:val="28"/>
        </w:rPr>
        <w:t xml:space="preserve">turpmāk - ETS) </w:t>
      </w:r>
      <w:r w:rsidR="00124D38">
        <w:rPr>
          <w:rFonts w:eastAsia="Calibri"/>
          <w:sz w:val="28"/>
          <w:szCs w:val="28"/>
        </w:rPr>
        <w:t>mērķa</w:t>
      </w:r>
      <w:r w:rsidR="00124D38" w:rsidRPr="00BB7FEC">
        <w:rPr>
          <w:rFonts w:eastAsia="Calibri"/>
          <w:sz w:val="28"/>
          <w:szCs w:val="28"/>
        </w:rPr>
        <w:t xml:space="preserve"> </w:t>
      </w:r>
      <w:r w:rsidRPr="00BB7FEC">
        <w:rPr>
          <w:rFonts w:eastAsia="Calibri"/>
          <w:sz w:val="28"/>
          <w:szCs w:val="28"/>
        </w:rPr>
        <w:t>regulas priekšlikums</w:t>
      </w:r>
      <w:r w:rsidRPr="00BB7FEC">
        <w:rPr>
          <w:rStyle w:val="FootnoteReference"/>
          <w:rFonts w:eastAsia="Calibri"/>
          <w:sz w:val="28"/>
          <w:szCs w:val="28"/>
        </w:rPr>
        <w:footnoteReference w:id="5"/>
      </w:r>
      <w:r w:rsidRPr="00BB7FEC">
        <w:rPr>
          <w:rFonts w:eastAsia="Calibri"/>
          <w:sz w:val="28"/>
          <w:szCs w:val="28"/>
        </w:rPr>
        <w:t>.</w:t>
      </w:r>
      <w:r w:rsidR="00B7054B" w:rsidRPr="00BB7FEC">
        <w:rPr>
          <w:rFonts w:eastAsia="Calibri"/>
          <w:sz w:val="28"/>
          <w:szCs w:val="28"/>
        </w:rPr>
        <w:t xml:space="preserve"> ESF+ regulējuma ietvaros ir integrēts </w:t>
      </w:r>
      <w:r w:rsidR="00FC09FD">
        <w:rPr>
          <w:sz w:val="28"/>
          <w:szCs w:val="28"/>
        </w:rPr>
        <w:t>Eiropas Atbalsta fonds vistrūcīgākajām personām</w:t>
      </w:r>
      <w:r w:rsidR="00FC09FD" w:rsidRPr="00BB7FEC">
        <w:rPr>
          <w:sz w:val="28"/>
          <w:szCs w:val="28"/>
        </w:rPr>
        <w:t xml:space="preserve"> </w:t>
      </w:r>
      <w:r w:rsidR="00B7054B" w:rsidRPr="00BB7FEC">
        <w:rPr>
          <w:rFonts w:eastAsia="Calibri"/>
          <w:sz w:val="28"/>
          <w:szCs w:val="28"/>
        </w:rPr>
        <w:t>(turpmāk - FEAD)</w:t>
      </w:r>
      <w:r w:rsidR="000A2DED">
        <w:rPr>
          <w:rFonts w:eastAsia="Calibri"/>
          <w:sz w:val="28"/>
          <w:szCs w:val="28"/>
        </w:rPr>
        <w:t>, Nodarbinātības un sociālo inovāciju programma un veselības programma</w:t>
      </w:r>
      <w:r w:rsidR="00B7054B" w:rsidRPr="00BB7FEC">
        <w:rPr>
          <w:rFonts w:eastAsia="Calibri"/>
          <w:sz w:val="28"/>
          <w:szCs w:val="28"/>
        </w:rPr>
        <w:t>.</w:t>
      </w:r>
      <w:r w:rsidR="00E60DCB">
        <w:rPr>
          <w:rFonts w:eastAsia="Calibri"/>
          <w:sz w:val="28"/>
          <w:szCs w:val="28"/>
        </w:rPr>
        <w:t xml:space="preserve"> </w:t>
      </w:r>
    </w:p>
    <w:p w14:paraId="48D44CD7" w14:textId="42B2E580" w:rsidR="0080340E" w:rsidRPr="00D158F5" w:rsidRDefault="0080340E" w:rsidP="00CF3C5D">
      <w:pPr>
        <w:spacing w:after="120"/>
        <w:jc w:val="both"/>
        <w:rPr>
          <w:rFonts w:eastAsiaTheme="minorEastAsia"/>
          <w:sz w:val="28"/>
          <w:szCs w:val="28"/>
        </w:rPr>
      </w:pPr>
      <w:r w:rsidRPr="00D158F5">
        <w:rPr>
          <w:rFonts w:eastAsia="Calibri"/>
          <w:sz w:val="28"/>
          <w:szCs w:val="28"/>
        </w:rPr>
        <w:t>2021.</w:t>
      </w:r>
      <w:r w:rsidR="000A0B11">
        <w:rPr>
          <w:rFonts w:eastAsia="Calibri"/>
          <w:sz w:val="28"/>
          <w:szCs w:val="28"/>
        </w:rPr>
        <w:t xml:space="preserve"> </w:t>
      </w:r>
      <w:r w:rsidR="008C392D">
        <w:rPr>
          <w:rFonts w:eastAsia="Calibri"/>
          <w:sz w:val="28"/>
          <w:szCs w:val="28"/>
        </w:rPr>
        <w:t>–</w:t>
      </w:r>
      <w:r w:rsidR="000A0B11">
        <w:rPr>
          <w:rFonts w:eastAsia="Calibri"/>
          <w:sz w:val="28"/>
          <w:szCs w:val="28"/>
        </w:rPr>
        <w:t xml:space="preserve"> </w:t>
      </w:r>
      <w:r w:rsidRPr="00D158F5">
        <w:rPr>
          <w:rFonts w:eastAsia="Calibri"/>
          <w:sz w:val="28"/>
          <w:szCs w:val="28"/>
        </w:rPr>
        <w:t xml:space="preserve">2027. gada budžeta periodā </w:t>
      </w:r>
      <w:r w:rsidR="0031638D">
        <w:rPr>
          <w:rFonts w:eastAsia="Calibri"/>
          <w:sz w:val="28"/>
          <w:szCs w:val="28"/>
        </w:rPr>
        <w:t>K</w:t>
      </w:r>
      <w:r w:rsidR="0031638D" w:rsidRPr="00D158F5">
        <w:rPr>
          <w:rFonts w:eastAsia="Calibri"/>
          <w:sz w:val="28"/>
          <w:szCs w:val="28"/>
        </w:rPr>
        <w:t>op</w:t>
      </w:r>
      <w:r w:rsidR="0031638D">
        <w:rPr>
          <w:rFonts w:eastAsia="Calibri"/>
          <w:sz w:val="28"/>
          <w:szCs w:val="28"/>
        </w:rPr>
        <w:t xml:space="preserve">ējās </w:t>
      </w:r>
      <w:r w:rsidR="00641558">
        <w:rPr>
          <w:rFonts w:eastAsia="Calibri"/>
          <w:sz w:val="28"/>
          <w:szCs w:val="28"/>
        </w:rPr>
        <w:t xml:space="preserve">fondu </w:t>
      </w:r>
      <w:r w:rsidRPr="00D158F5">
        <w:rPr>
          <w:rFonts w:eastAsia="Calibri"/>
          <w:sz w:val="28"/>
          <w:szCs w:val="28"/>
        </w:rPr>
        <w:t>regula</w:t>
      </w:r>
      <w:r w:rsidR="0031638D">
        <w:rPr>
          <w:rFonts w:eastAsia="Calibri"/>
          <w:sz w:val="28"/>
          <w:szCs w:val="28"/>
        </w:rPr>
        <w:t>s priekšlikumā</w:t>
      </w:r>
      <w:r w:rsidRPr="00D158F5">
        <w:rPr>
          <w:rFonts w:eastAsia="Calibri"/>
          <w:sz w:val="28"/>
          <w:szCs w:val="28"/>
        </w:rPr>
        <w:t xml:space="preserve"> ir veiktas būtiskas izmaiņas attiecībā uz tajā iekļautajiem fondiem. Atšķirībā no 2014.</w:t>
      </w:r>
      <w:r w:rsidR="000A0B11">
        <w:rPr>
          <w:rFonts w:eastAsia="Calibri"/>
          <w:sz w:val="28"/>
          <w:szCs w:val="28"/>
        </w:rPr>
        <w:t xml:space="preserve"> </w:t>
      </w:r>
      <w:r w:rsidRPr="00D158F5">
        <w:rPr>
          <w:rFonts w:eastAsia="Calibri"/>
          <w:sz w:val="28"/>
          <w:szCs w:val="28"/>
        </w:rPr>
        <w:t>-</w:t>
      </w:r>
      <w:r w:rsidR="000A0B11">
        <w:rPr>
          <w:rFonts w:eastAsia="Calibri"/>
          <w:sz w:val="28"/>
          <w:szCs w:val="28"/>
        </w:rPr>
        <w:t xml:space="preserve"> </w:t>
      </w:r>
      <w:r w:rsidRPr="00D158F5">
        <w:rPr>
          <w:rFonts w:eastAsia="Calibri"/>
          <w:sz w:val="28"/>
          <w:szCs w:val="28"/>
        </w:rPr>
        <w:t xml:space="preserve">2020. gada plānošanas perioda regulējumā kopā ar </w:t>
      </w:r>
      <w:r w:rsidR="00E60DCB">
        <w:rPr>
          <w:rFonts w:eastAsia="Calibri"/>
          <w:sz w:val="28"/>
          <w:szCs w:val="28"/>
        </w:rPr>
        <w:t>ES KP fondiem</w:t>
      </w:r>
      <w:r w:rsidR="00B53D69" w:rsidRPr="00D158F5">
        <w:rPr>
          <w:rFonts w:eastAsia="Calibri"/>
          <w:sz w:val="28"/>
          <w:szCs w:val="28"/>
        </w:rPr>
        <w:t xml:space="preserve"> </w:t>
      </w:r>
      <w:r w:rsidRPr="00D158F5">
        <w:rPr>
          <w:rFonts w:eastAsia="Calibri"/>
          <w:sz w:val="28"/>
          <w:szCs w:val="28"/>
        </w:rPr>
        <w:t>vairs netiek iekļauts Eiropas Lauksaimniecības Fonds lauku attīstībai</w:t>
      </w:r>
      <w:r w:rsidR="00DD6B43" w:rsidRPr="00D158F5">
        <w:rPr>
          <w:rFonts w:eastAsia="Calibri"/>
          <w:sz w:val="28"/>
          <w:szCs w:val="28"/>
        </w:rPr>
        <w:t xml:space="preserve"> (</w:t>
      </w:r>
      <w:r w:rsidR="00DD6B43" w:rsidRPr="00D158F5">
        <w:rPr>
          <w:sz w:val="28"/>
          <w:szCs w:val="28"/>
        </w:rPr>
        <w:t>ELFLA)</w:t>
      </w:r>
      <w:r w:rsidRPr="00D158F5">
        <w:rPr>
          <w:rFonts w:eastAsia="Calibri"/>
          <w:sz w:val="28"/>
          <w:szCs w:val="28"/>
        </w:rPr>
        <w:t xml:space="preserve">, bet papildus ir iekļauti </w:t>
      </w:r>
      <w:r w:rsidRPr="00D158F5">
        <w:rPr>
          <w:rFonts w:eastAsiaTheme="minorEastAsia"/>
          <w:sz w:val="28"/>
          <w:szCs w:val="28"/>
        </w:rPr>
        <w:t>Patvēruma</w:t>
      </w:r>
      <w:r w:rsidR="008F7342" w:rsidRPr="00D158F5">
        <w:rPr>
          <w:rFonts w:eastAsiaTheme="minorEastAsia"/>
          <w:sz w:val="28"/>
          <w:szCs w:val="28"/>
        </w:rPr>
        <w:t xml:space="preserve"> un</w:t>
      </w:r>
      <w:r w:rsidRPr="00D158F5">
        <w:rPr>
          <w:rFonts w:eastAsiaTheme="minorEastAsia"/>
          <w:sz w:val="28"/>
          <w:szCs w:val="28"/>
        </w:rPr>
        <w:t xml:space="preserve"> migrācijas fonds</w:t>
      </w:r>
      <w:r w:rsidR="00DD6B43" w:rsidRPr="00D158F5">
        <w:rPr>
          <w:rFonts w:eastAsiaTheme="minorEastAsia"/>
          <w:sz w:val="28"/>
          <w:szCs w:val="28"/>
        </w:rPr>
        <w:t xml:space="preserve"> </w:t>
      </w:r>
      <w:r w:rsidR="00DD6B43" w:rsidRPr="00D158F5">
        <w:rPr>
          <w:sz w:val="28"/>
          <w:szCs w:val="28"/>
        </w:rPr>
        <w:t>(AMIF)</w:t>
      </w:r>
      <w:r w:rsidRPr="00D158F5">
        <w:rPr>
          <w:rFonts w:eastAsiaTheme="minorEastAsia"/>
          <w:sz w:val="28"/>
          <w:szCs w:val="28"/>
        </w:rPr>
        <w:t>, Iekšējās drošības fonds</w:t>
      </w:r>
      <w:r w:rsidR="00DD6B43" w:rsidRPr="00D158F5">
        <w:rPr>
          <w:rFonts w:eastAsiaTheme="minorEastAsia"/>
          <w:sz w:val="28"/>
          <w:szCs w:val="28"/>
        </w:rPr>
        <w:t xml:space="preserve"> </w:t>
      </w:r>
      <w:r w:rsidR="00DD6B43" w:rsidRPr="00D158F5">
        <w:rPr>
          <w:sz w:val="28"/>
          <w:szCs w:val="28"/>
        </w:rPr>
        <w:t>(IDF)</w:t>
      </w:r>
      <w:r w:rsidR="006357F3" w:rsidRPr="00D158F5">
        <w:rPr>
          <w:rFonts w:eastAsiaTheme="minorEastAsia"/>
          <w:sz w:val="28"/>
          <w:szCs w:val="28"/>
        </w:rPr>
        <w:t xml:space="preserve"> un Robežu pārvaldības un vīzu instruments</w:t>
      </w:r>
      <w:r w:rsidR="00DD6B43" w:rsidRPr="00D158F5">
        <w:rPr>
          <w:rFonts w:eastAsiaTheme="minorEastAsia"/>
          <w:sz w:val="28"/>
          <w:szCs w:val="28"/>
        </w:rPr>
        <w:t xml:space="preserve"> </w:t>
      </w:r>
      <w:r w:rsidR="00DD6B43" w:rsidRPr="00D158F5">
        <w:rPr>
          <w:sz w:val="28"/>
          <w:szCs w:val="28"/>
        </w:rPr>
        <w:t>(BMVI)</w:t>
      </w:r>
      <w:r w:rsidRPr="00D158F5">
        <w:rPr>
          <w:rFonts w:eastAsiaTheme="minorEastAsia"/>
          <w:sz w:val="28"/>
          <w:szCs w:val="28"/>
        </w:rPr>
        <w:t>.</w:t>
      </w:r>
    </w:p>
    <w:p w14:paraId="1394B032" w14:textId="10011A32" w:rsidR="00795234" w:rsidRPr="00D158F5" w:rsidRDefault="00641558" w:rsidP="00CF3C5D">
      <w:pPr>
        <w:spacing w:after="120"/>
        <w:jc w:val="both"/>
        <w:rPr>
          <w:rFonts w:eastAsiaTheme="minorEastAsia"/>
          <w:sz w:val="28"/>
          <w:szCs w:val="28"/>
        </w:rPr>
      </w:pPr>
      <w:r>
        <w:rPr>
          <w:rFonts w:eastAsiaTheme="minorEastAsia"/>
          <w:sz w:val="28"/>
          <w:szCs w:val="28"/>
        </w:rPr>
        <w:lastRenderedPageBreak/>
        <w:t>Kopēj</w:t>
      </w:r>
      <w:r w:rsidR="00D51300">
        <w:rPr>
          <w:rFonts w:eastAsiaTheme="minorEastAsia"/>
          <w:sz w:val="28"/>
          <w:szCs w:val="28"/>
        </w:rPr>
        <w:t>ās fondu</w:t>
      </w:r>
      <w:r w:rsidR="00ED08FC" w:rsidRPr="00D158F5">
        <w:rPr>
          <w:rFonts w:eastAsiaTheme="minorEastAsia"/>
          <w:sz w:val="28"/>
          <w:szCs w:val="28"/>
        </w:rPr>
        <w:t xml:space="preserve"> regulas</w:t>
      </w:r>
      <w:r w:rsidR="0031638D">
        <w:rPr>
          <w:rFonts w:eastAsiaTheme="minorEastAsia"/>
          <w:sz w:val="28"/>
          <w:szCs w:val="28"/>
        </w:rPr>
        <w:t xml:space="preserve"> priekšlikuma</w:t>
      </w:r>
      <w:r w:rsidR="00ED08FC" w:rsidRPr="00D158F5">
        <w:rPr>
          <w:rFonts w:eastAsiaTheme="minorEastAsia"/>
          <w:sz w:val="28"/>
          <w:szCs w:val="28"/>
        </w:rPr>
        <w:t xml:space="preserve"> tvērums ir atspoguļots 1. attēlā.</w:t>
      </w:r>
    </w:p>
    <w:p w14:paraId="4A382AB5" w14:textId="25C5AF88" w:rsidR="00ED08FC" w:rsidRPr="008F7342" w:rsidRDefault="00ED08FC" w:rsidP="00ED08FC">
      <w:pPr>
        <w:pStyle w:val="Caption"/>
        <w:keepNext/>
        <w:spacing w:before="60" w:after="60"/>
        <w:jc w:val="both"/>
        <w:rPr>
          <w:b/>
          <w:color w:val="auto"/>
          <w:sz w:val="28"/>
          <w:szCs w:val="28"/>
          <w:lang w:val="lv-LV"/>
        </w:rPr>
      </w:pPr>
      <w:r w:rsidRPr="008F7342">
        <w:rPr>
          <w:b/>
          <w:color w:val="auto"/>
          <w:sz w:val="28"/>
          <w:szCs w:val="28"/>
          <w:lang w:val="lv-LV"/>
        </w:rPr>
        <w:t>1. attēls Kop</w:t>
      </w:r>
      <w:r w:rsidR="00320154">
        <w:rPr>
          <w:b/>
          <w:color w:val="auto"/>
          <w:sz w:val="28"/>
          <w:szCs w:val="28"/>
          <w:lang w:val="lv-LV"/>
        </w:rPr>
        <w:t>ējās fondu</w:t>
      </w:r>
      <w:r w:rsidRPr="008F7342">
        <w:rPr>
          <w:b/>
          <w:color w:val="auto"/>
          <w:sz w:val="28"/>
          <w:szCs w:val="28"/>
          <w:lang w:val="lv-LV"/>
        </w:rPr>
        <w:t xml:space="preserve"> regulas </w:t>
      </w:r>
      <w:r w:rsidR="0031638D">
        <w:rPr>
          <w:b/>
          <w:color w:val="auto"/>
          <w:sz w:val="28"/>
          <w:szCs w:val="28"/>
          <w:lang w:val="lv-LV"/>
        </w:rPr>
        <w:t xml:space="preserve">priekšlikuma </w:t>
      </w:r>
      <w:r w:rsidRPr="008F7342">
        <w:rPr>
          <w:b/>
          <w:color w:val="auto"/>
          <w:sz w:val="28"/>
          <w:szCs w:val="28"/>
          <w:lang w:val="lv-LV"/>
        </w:rPr>
        <w:t>tvērums 2021.</w:t>
      </w:r>
      <w:r w:rsidR="000A0B11">
        <w:rPr>
          <w:b/>
          <w:color w:val="auto"/>
          <w:sz w:val="28"/>
          <w:szCs w:val="28"/>
          <w:lang w:val="lv-LV"/>
        </w:rPr>
        <w:t xml:space="preserve"> </w:t>
      </w:r>
      <w:r w:rsidR="008C392D">
        <w:rPr>
          <w:b/>
          <w:color w:val="auto"/>
          <w:sz w:val="28"/>
          <w:szCs w:val="28"/>
          <w:lang w:val="lv-LV"/>
        </w:rPr>
        <w:t>–</w:t>
      </w:r>
      <w:r w:rsidR="000A0B11">
        <w:rPr>
          <w:b/>
          <w:color w:val="auto"/>
          <w:sz w:val="28"/>
          <w:szCs w:val="28"/>
          <w:lang w:val="lv-LV"/>
        </w:rPr>
        <w:t xml:space="preserve"> </w:t>
      </w:r>
      <w:r w:rsidRPr="008F7342">
        <w:rPr>
          <w:b/>
          <w:color w:val="auto"/>
          <w:sz w:val="28"/>
          <w:szCs w:val="28"/>
          <w:lang w:val="lv-LV"/>
        </w:rPr>
        <w:t>2027. gada plānošanas periodam</w:t>
      </w:r>
    </w:p>
    <w:p w14:paraId="67CB3299" w14:textId="77777777" w:rsidR="00ED08FC" w:rsidRDefault="00ED08FC" w:rsidP="0080340E">
      <w:pPr>
        <w:rPr>
          <w:rFonts w:eastAsiaTheme="minorEastAsia"/>
        </w:rPr>
      </w:pPr>
      <w:r w:rsidRPr="00614316">
        <w:rPr>
          <w:rFonts w:eastAsia="Calibri"/>
          <w:noProof/>
          <w:lang w:eastAsia="lv-LV"/>
        </w:rPr>
        <w:drawing>
          <wp:inline distT="0" distB="0" distL="0" distR="0" wp14:anchorId="68923D42" wp14:editId="40CBE229">
            <wp:extent cx="5909095" cy="1802921"/>
            <wp:effectExtent l="95250" t="57150" r="730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9611768" w14:textId="77777777" w:rsidR="00ED08FC" w:rsidRDefault="00ED08FC" w:rsidP="0080340E">
      <w:pPr>
        <w:rPr>
          <w:rFonts w:eastAsiaTheme="minorEastAsia"/>
        </w:rPr>
      </w:pPr>
    </w:p>
    <w:p w14:paraId="1CCBEC57" w14:textId="564112D7" w:rsidR="00ED08FC" w:rsidRDefault="00E60DCB" w:rsidP="00E60DCB">
      <w:pPr>
        <w:jc w:val="both"/>
        <w:rPr>
          <w:rFonts w:eastAsiaTheme="minorEastAsia"/>
        </w:rPr>
      </w:pPr>
      <w:r>
        <w:rPr>
          <w:rFonts w:eastAsia="Calibri"/>
          <w:sz w:val="28"/>
          <w:szCs w:val="28"/>
        </w:rPr>
        <w:t>Informatīvā ziņojuma ietvaros tiek ņemts vērā sākotnējais regulu priekšlikums, neskatot Padomes darba grupās un Parlamentā uzsāktās sarunas vai vienošanās par atsevišķiem regulu pantiem. Papildus minētajam, netiek vērtēti EK tiešās pārvaldības fondi</w:t>
      </w:r>
      <w:r w:rsidR="00BE57B6">
        <w:rPr>
          <w:rFonts w:eastAsia="Calibri"/>
          <w:sz w:val="28"/>
          <w:szCs w:val="28"/>
        </w:rPr>
        <w:t xml:space="preserve"> vai programmas</w:t>
      </w:r>
      <w:r>
        <w:rPr>
          <w:rFonts w:eastAsia="Calibri"/>
          <w:sz w:val="28"/>
          <w:szCs w:val="28"/>
        </w:rPr>
        <w:t xml:space="preserve"> (piemēram, ESF + ietvaros veselības programma). </w:t>
      </w:r>
    </w:p>
    <w:p w14:paraId="4DCDF85E" w14:textId="77777777" w:rsidR="00056D68" w:rsidRDefault="00056D68" w:rsidP="00056D68">
      <w:pPr>
        <w:pStyle w:val="ListParagraph"/>
        <w:tabs>
          <w:tab w:val="left" w:pos="426"/>
        </w:tabs>
        <w:ind w:left="0"/>
        <w:jc w:val="both"/>
        <w:rPr>
          <w:rFonts w:cs="Times New Roman"/>
          <w:sz w:val="24"/>
          <w:szCs w:val="24"/>
        </w:rPr>
      </w:pPr>
    </w:p>
    <w:p w14:paraId="71BE000B" w14:textId="77777777" w:rsidR="00142973" w:rsidRDefault="00142973" w:rsidP="00904B66">
      <w:pPr>
        <w:pStyle w:val="ListParagraph"/>
        <w:tabs>
          <w:tab w:val="left" w:pos="426"/>
        </w:tabs>
        <w:ind w:left="0"/>
        <w:jc w:val="both"/>
        <w:rPr>
          <w:rFonts w:cs="Times New Roman"/>
          <w:sz w:val="24"/>
          <w:szCs w:val="24"/>
        </w:rPr>
      </w:pPr>
    </w:p>
    <w:p w14:paraId="2114944B" w14:textId="77777777" w:rsidR="00142973" w:rsidRPr="00CC0FB3" w:rsidRDefault="00142973" w:rsidP="00142973">
      <w:pPr>
        <w:pStyle w:val="ListParagraph"/>
        <w:numPr>
          <w:ilvl w:val="0"/>
          <w:numId w:val="11"/>
        </w:numPr>
        <w:tabs>
          <w:tab w:val="left" w:pos="426"/>
        </w:tabs>
        <w:jc w:val="both"/>
        <w:rPr>
          <w:rFonts w:cs="Times New Roman"/>
          <w:b/>
          <w:szCs w:val="28"/>
        </w:rPr>
      </w:pPr>
      <w:r w:rsidRPr="00CC0FB3">
        <w:rPr>
          <w:rFonts w:cs="Times New Roman"/>
          <w:b/>
          <w:szCs w:val="28"/>
        </w:rPr>
        <w:t>Plānošanas dokumenti un to koordinācija</w:t>
      </w:r>
    </w:p>
    <w:p w14:paraId="2D89C31C" w14:textId="77777777" w:rsidR="00ED08FC" w:rsidRPr="00CC0FB3" w:rsidRDefault="00ED08FC" w:rsidP="00904B66">
      <w:pPr>
        <w:pStyle w:val="ListParagraph"/>
        <w:tabs>
          <w:tab w:val="left" w:pos="426"/>
        </w:tabs>
        <w:ind w:left="0"/>
        <w:jc w:val="both"/>
        <w:rPr>
          <w:i/>
          <w:szCs w:val="28"/>
          <w:u w:val="single"/>
        </w:rPr>
      </w:pPr>
    </w:p>
    <w:p w14:paraId="190ED60D" w14:textId="641B4540" w:rsidR="00142973" w:rsidRPr="00CC0FB3" w:rsidRDefault="00B53D69" w:rsidP="00CF3C5D">
      <w:pPr>
        <w:pStyle w:val="ListParagraph"/>
        <w:tabs>
          <w:tab w:val="left" w:pos="426"/>
        </w:tabs>
        <w:spacing w:after="120"/>
        <w:ind w:left="0"/>
        <w:jc w:val="both"/>
        <w:rPr>
          <w:rFonts w:cs="Times New Roman"/>
          <w:szCs w:val="28"/>
        </w:rPr>
      </w:pPr>
      <w:r w:rsidRPr="00CC0FB3">
        <w:rPr>
          <w:szCs w:val="28"/>
        </w:rPr>
        <w:t>Kopējā</w:t>
      </w:r>
      <w:r w:rsidR="0031638D">
        <w:rPr>
          <w:szCs w:val="28"/>
        </w:rPr>
        <w:t>s</w:t>
      </w:r>
      <w:r w:rsidRPr="00CC0FB3">
        <w:rPr>
          <w:szCs w:val="28"/>
        </w:rPr>
        <w:t xml:space="preserve"> fondu regul</w:t>
      </w:r>
      <w:r w:rsidR="0031638D">
        <w:rPr>
          <w:szCs w:val="28"/>
        </w:rPr>
        <w:t>as priekšlikumā</w:t>
      </w:r>
      <w:r w:rsidRPr="00CC0FB3">
        <w:rPr>
          <w:szCs w:val="28"/>
        </w:rPr>
        <w:t xml:space="preserve"> </w:t>
      </w:r>
      <w:r w:rsidR="00ED08FC" w:rsidRPr="00CC0FB3">
        <w:rPr>
          <w:szCs w:val="28"/>
        </w:rPr>
        <w:t>2021.</w:t>
      </w:r>
      <w:r w:rsidR="000A0B11">
        <w:rPr>
          <w:szCs w:val="28"/>
        </w:rPr>
        <w:t xml:space="preserve"> </w:t>
      </w:r>
      <w:r w:rsidR="008C392D">
        <w:rPr>
          <w:szCs w:val="28"/>
        </w:rPr>
        <w:t>–</w:t>
      </w:r>
      <w:r w:rsidR="000A0B11">
        <w:rPr>
          <w:szCs w:val="28"/>
        </w:rPr>
        <w:t xml:space="preserve"> </w:t>
      </w:r>
      <w:r w:rsidR="00ED08FC" w:rsidRPr="00CC0FB3">
        <w:rPr>
          <w:szCs w:val="28"/>
        </w:rPr>
        <w:t xml:space="preserve">2027. gada plānošanas periodā kā pamata dokumenti ieguldījumu stratēģiju aprakstam un finansējuma sadalījuma noteikšanai būs </w:t>
      </w:r>
      <w:r w:rsidR="00D00B47">
        <w:rPr>
          <w:szCs w:val="28"/>
        </w:rPr>
        <w:t>P</w:t>
      </w:r>
      <w:r w:rsidR="00D00B47" w:rsidRPr="00CC0FB3">
        <w:rPr>
          <w:szCs w:val="28"/>
        </w:rPr>
        <w:t xml:space="preserve">artnerības </w:t>
      </w:r>
      <w:r w:rsidR="00ED08FC" w:rsidRPr="00CC0FB3">
        <w:rPr>
          <w:szCs w:val="28"/>
        </w:rPr>
        <w:t xml:space="preserve">līgums un darbības programmas. </w:t>
      </w:r>
      <w:r w:rsidR="00D02103">
        <w:rPr>
          <w:szCs w:val="28"/>
        </w:rPr>
        <w:t>A</w:t>
      </w:r>
      <w:r w:rsidR="00ED08FC" w:rsidRPr="00CC0FB3">
        <w:rPr>
          <w:szCs w:val="28"/>
        </w:rPr>
        <w:t>tšķirībā no 2014.</w:t>
      </w:r>
      <w:r w:rsidR="000A0B11">
        <w:rPr>
          <w:szCs w:val="28"/>
        </w:rPr>
        <w:t xml:space="preserve"> </w:t>
      </w:r>
      <w:r w:rsidR="008C392D">
        <w:rPr>
          <w:szCs w:val="28"/>
        </w:rPr>
        <w:t>–</w:t>
      </w:r>
      <w:r w:rsidR="000A0B11">
        <w:rPr>
          <w:szCs w:val="28"/>
        </w:rPr>
        <w:t xml:space="preserve"> </w:t>
      </w:r>
      <w:r w:rsidR="00ED08FC" w:rsidRPr="00CC0FB3">
        <w:rPr>
          <w:szCs w:val="28"/>
        </w:rPr>
        <w:t>2020. gada regulējuma dalībvalstis varēs integrēt partnerības līguma saturu kādā no tās darbības programmām</w:t>
      </w:r>
      <w:r w:rsidRPr="00CC0FB3">
        <w:rPr>
          <w:szCs w:val="28"/>
        </w:rPr>
        <w:t>, iesniedzot noteiktu informācijas apkopojumu atbilstoši regulas prasībām</w:t>
      </w:r>
      <w:r w:rsidR="00ED08FC" w:rsidRPr="00CC0FB3">
        <w:rPr>
          <w:szCs w:val="28"/>
        </w:rPr>
        <w:t>. Tāpat tiek paredzēta iespēja ETS mērķa programmas iesniegt pirms partnerības līguma.</w:t>
      </w:r>
    </w:p>
    <w:p w14:paraId="69367222" w14:textId="77777777" w:rsidR="00ED08FC" w:rsidRPr="00CC0FB3" w:rsidRDefault="00ED08FC" w:rsidP="00CF3C5D">
      <w:pPr>
        <w:pStyle w:val="ListParagraph"/>
        <w:tabs>
          <w:tab w:val="left" w:pos="426"/>
        </w:tabs>
        <w:spacing w:after="120"/>
        <w:ind w:left="0"/>
        <w:jc w:val="both"/>
        <w:rPr>
          <w:rFonts w:cs="Times New Roman"/>
          <w:szCs w:val="28"/>
        </w:rPr>
      </w:pPr>
    </w:p>
    <w:p w14:paraId="68C57224" w14:textId="5B1C00E9" w:rsidR="00142973" w:rsidRPr="00CC0FB3" w:rsidRDefault="00056D68" w:rsidP="00CF3C5D">
      <w:pPr>
        <w:pStyle w:val="ListParagraph"/>
        <w:tabs>
          <w:tab w:val="left" w:pos="426"/>
        </w:tabs>
        <w:spacing w:after="120"/>
        <w:ind w:left="0"/>
        <w:jc w:val="both"/>
        <w:rPr>
          <w:rFonts w:cs="Times New Roman"/>
          <w:szCs w:val="28"/>
        </w:rPr>
      </w:pPr>
      <w:r w:rsidRPr="00CC0FB3">
        <w:rPr>
          <w:rFonts w:cs="Times New Roman"/>
          <w:szCs w:val="28"/>
        </w:rPr>
        <w:t>Kopējā</w:t>
      </w:r>
      <w:r w:rsidR="0031638D">
        <w:rPr>
          <w:rFonts w:cs="Times New Roman"/>
          <w:szCs w:val="28"/>
        </w:rPr>
        <w:t>s</w:t>
      </w:r>
      <w:r w:rsidRPr="00CC0FB3">
        <w:rPr>
          <w:rFonts w:cs="Times New Roman"/>
          <w:szCs w:val="28"/>
        </w:rPr>
        <w:t xml:space="preserve"> </w:t>
      </w:r>
      <w:r w:rsidR="004B7C2C">
        <w:rPr>
          <w:rFonts w:cs="Times New Roman"/>
          <w:szCs w:val="28"/>
        </w:rPr>
        <w:t xml:space="preserve">fondu </w:t>
      </w:r>
      <w:r w:rsidR="00B53D69" w:rsidRPr="00CC0FB3">
        <w:rPr>
          <w:rFonts w:cs="Times New Roman"/>
          <w:szCs w:val="28"/>
        </w:rPr>
        <w:t>r</w:t>
      </w:r>
      <w:r w:rsidRPr="00CC0FB3">
        <w:rPr>
          <w:rFonts w:cs="Times New Roman"/>
          <w:szCs w:val="28"/>
        </w:rPr>
        <w:t>egula</w:t>
      </w:r>
      <w:r w:rsidR="0031638D">
        <w:rPr>
          <w:rFonts w:cs="Times New Roman"/>
          <w:szCs w:val="28"/>
        </w:rPr>
        <w:t>s priekšlikums</w:t>
      </w:r>
      <w:r w:rsidRPr="00CC0FB3">
        <w:rPr>
          <w:rFonts w:cs="Times New Roman"/>
          <w:szCs w:val="28"/>
        </w:rPr>
        <w:t xml:space="preserve"> nosaka, ka Partnerības līgums </w:t>
      </w:r>
      <w:r w:rsidR="00904B66" w:rsidRPr="00CC0FB3">
        <w:rPr>
          <w:rFonts w:cs="Times New Roman"/>
          <w:szCs w:val="28"/>
        </w:rPr>
        <w:t>ietver</w:t>
      </w:r>
      <w:r w:rsidR="00904B66" w:rsidRPr="00CC0FB3">
        <w:rPr>
          <w:szCs w:val="28"/>
        </w:rPr>
        <w:t xml:space="preserve"> izvēlētos politikas mērķus, </w:t>
      </w:r>
      <w:r w:rsidR="00D02103">
        <w:rPr>
          <w:szCs w:val="28"/>
        </w:rPr>
        <w:t>t.i.</w:t>
      </w:r>
      <w:r w:rsidR="00904B66" w:rsidRPr="00CC0FB3">
        <w:rPr>
          <w:szCs w:val="28"/>
        </w:rPr>
        <w:t xml:space="preserve"> saskaņā ar kuriem fondiem un programmām tie tiks īstenoti, kā arī fondu koordināciju, norobežošanu un papildināmību.</w:t>
      </w:r>
      <w:r w:rsidR="00505AB0" w:rsidRPr="00CC0FB3">
        <w:rPr>
          <w:szCs w:val="28"/>
        </w:rPr>
        <w:t xml:space="preserve"> </w:t>
      </w:r>
      <w:r w:rsidR="00505AB0" w:rsidRPr="00CC0FB3">
        <w:rPr>
          <w:rFonts w:cs="Times New Roman"/>
          <w:szCs w:val="28"/>
        </w:rPr>
        <w:t xml:space="preserve">Attiecīgi </w:t>
      </w:r>
      <w:r w:rsidR="00B53D69" w:rsidRPr="00CC0FB3">
        <w:rPr>
          <w:rFonts w:cs="Times New Roman"/>
          <w:szCs w:val="28"/>
        </w:rPr>
        <w:t xml:space="preserve">Partnerības līguma sagatavošana ietver septiņu </w:t>
      </w:r>
      <w:r w:rsidR="00D85E4A">
        <w:rPr>
          <w:rFonts w:cs="Times New Roman"/>
          <w:szCs w:val="28"/>
        </w:rPr>
        <w:t xml:space="preserve">Eiropas Savienības (turpmāk – </w:t>
      </w:r>
      <w:r w:rsidR="00B53D69" w:rsidRPr="00CC0FB3">
        <w:rPr>
          <w:rFonts w:cs="Times New Roman"/>
          <w:szCs w:val="28"/>
        </w:rPr>
        <w:t>ES</w:t>
      </w:r>
      <w:r w:rsidR="00D85E4A">
        <w:rPr>
          <w:rFonts w:cs="Times New Roman"/>
          <w:szCs w:val="28"/>
        </w:rPr>
        <w:t>)</w:t>
      </w:r>
      <w:r w:rsidR="00B53D69" w:rsidRPr="00CC0FB3">
        <w:rPr>
          <w:rFonts w:cs="Times New Roman"/>
          <w:szCs w:val="28"/>
        </w:rPr>
        <w:t xml:space="preserve"> fondu</w:t>
      </w:r>
      <w:r w:rsidR="00526DF2">
        <w:rPr>
          <w:rStyle w:val="FootnoteReference"/>
          <w:rFonts w:cs="Times New Roman"/>
          <w:szCs w:val="28"/>
        </w:rPr>
        <w:footnoteReference w:id="6"/>
      </w:r>
      <w:r w:rsidR="00B53D69" w:rsidRPr="00CC0FB3">
        <w:rPr>
          <w:rFonts w:cs="Times New Roman"/>
          <w:szCs w:val="28"/>
        </w:rPr>
        <w:t xml:space="preserve"> –</w:t>
      </w:r>
      <w:r w:rsidR="00DD6B43">
        <w:rPr>
          <w:rFonts w:cs="Times New Roman"/>
          <w:szCs w:val="28"/>
        </w:rPr>
        <w:t xml:space="preserve"> </w:t>
      </w:r>
      <w:r w:rsidR="00B53D69" w:rsidRPr="00CC0FB3">
        <w:rPr>
          <w:rFonts w:cs="Times New Roman"/>
          <w:szCs w:val="28"/>
        </w:rPr>
        <w:t xml:space="preserve">ERAF, ESF+, KF, </w:t>
      </w:r>
      <w:r w:rsidR="005E6538" w:rsidRPr="00CC0FB3">
        <w:rPr>
          <w:rFonts w:cs="Times New Roman"/>
          <w:szCs w:val="28"/>
        </w:rPr>
        <w:t>Eiropas Jūrlietu un Zivsaimniecības fonda (</w:t>
      </w:r>
      <w:r w:rsidR="000334C8">
        <w:rPr>
          <w:rFonts w:cs="Times New Roman"/>
          <w:szCs w:val="28"/>
        </w:rPr>
        <w:t xml:space="preserve">turpmāk - </w:t>
      </w:r>
      <w:r w:rsidR="00B53D69" w:rsidRPr="00CC0FB3">
        <w:rPr>
          <w:rFonts w:cs="Times New Roman"/>
          <w:szCs w:val="28"/>
        </w:rPr>
        <w:t>EJZF</w:t>
      </w:r>
      <w:r w:rsidR="005E6538" w:rsidRPr="00CC0FB3">
        <w:rPr>
          <w:rFonts w:cs="Times New Roman"/>
          <w:szCs w:val="28"/>
        </w:rPr>
        <w:t>)</w:t>
      </w:r>
      <w:r w:rsidR="00B53D69" w:rsidRPr="00CC0FB3">
        <w:rPr>
          <w:rFonts w:cs="Times New Roman"/>
          <w:szCs w:val="28"/>
        </w:rPr>
        <w:t xml:space="preserve">, AMIF, IDF, BMVI un </w:t>
      </w:r>
      <w:r w:rsidR="005E6538" w:rsidRPr="00CC0FB3">
        <w:rPr>
          <w:rFonts w:cs="Times New Roman"/>
          <w:szCs w:val="28"/>
        </w:rPr>
        <w:t>ETS</w:t>
      </w:r>
      <w:r w:rsidR="00B53D69" w:rsidRPr="00CC0FB3">
        <w:rPr>
          <w:rFonts w:cs="Times New Roman"/>
          <w:szCs w:val="28"/>
        </w:rPr>
        <w:t xml:space="preserve"> programmu koordinācijas sistēmu.</w:t>
      </w:r>
    </w:p>
    <w:p w14:paraId="79B8CF94" w14:textId="77777777" w:rsidR="00CC0FB3" w:rsidRDefault="00CC0FB3" w:rsidP="00CF3C5D">
      <w:pPr>
        <w:pStyle w:val="ListParagraph"/>
        <w:tabs>
          <w:tab w:val="left" w:pos="426"/>
        </w:tabs>
        <w:spacing w:after="120"/>
        <w:ind w:left="0"/>
        <w:jc w:val="both"/>
        <w:rPr>
          <w:rFonts w:cs="Times New Roman"/>
          <w:sz w:val="24"/>
          <w:szCs w:val="24"/>
        </w:rPr>
      </w:pPr>
    </w:p>
    <w:p w14:paraId="42004E50" w14:textId="053C9BB8" w:rsidR="00CC0FB3" w:rsidRPr="00BE57B6" w:rsidRDefault="00BE57B6" w:rsidP="00CF3C5D">
      <w:pPr>
        <w:pStyle w:val="ListParagraph"/>
        <w:tabs>
          <w:tab w:val="left" w:pos="426"/>
        </w:tabs>
        <w:spacing w:after="120"/>
        <w:ind w:left="0"/>
        <w:jc w:val="both"/>
        <w:rPr>
          <w:color w:val="000000"/>
        </w:rPr>
      </w:pPr>
      <w:r>
        <w:rPr>
          <w:rFonts w:cs="Times New Roman"/>
          <w:szCs w:val="24"/>
        </w:rPr>
        <w:t>Kopējā</w:t>
      </w:r>
      <w:r w:rsidR="0031638D">
        <w:rPr>
          <w:rFonts w:cs="Times New Roman"/>
          <w:szCs w:val="24"/>
        </w:rPr>
        <w:t>s</w:t>
      </w:r>
      <w:r>
        <w:rPr>
          <w:rFonts w:cs="Times New Roman"/>
          <w:szCs w:val="24"/>
        </w:rPr>
        <w:t xml:space="preserve"> fondu regul</w:t>
      </w:r>
      <w:r w:rsidR="0031638D">
        <w:rPr>
          <w:rFonts w:cs="Times New Roman"/>
          <w:szCs w:val="24"/>
        </w:rPr>
        <w:t>as priekšlikumā</w:t>
      </w:r>
      <w:r w:rsidR="00CC0FB3" w:rsidRPr="00CA152F">
        <w:rPr>
          <w:rFonts w:cs="Times New Roman"/>
          <w:szCs w:val="24"/>
        </w:rPr>
        <w:t xml:space="preserve"> tiek uzsvērta </w:t>
      </w:r>
      <w:r>
        <w:rPr>
          <w:color w:val="000000"/>
        </w:rPr>
        <w:t xml:space="preserve">koordinācija, papildināmība un saskaņotība starp fondiem un citiem ES instrumentiem, piemēram, reformu atbalsta programmu, t. sk., reformu īstenošanas instrumentu un tehniskā atbalsta instrumentu. </w:t>
      </w:r>
      <w:r w:rsidR="00CC0FB3" w:rsidRPr="00CA152F">
        <w:rPr>
          <w:rFonts w:cs="Times New Roman"/>
          <w:szCs w:val="24"/>
        </w:rPr>
        <w:t xml:space="preserve">Nepieciešama investīciju vispusīga koordinācija, lai nodrošinātu to nepārklāšanos, lai </w:t>
      </w:r>
      <w:r w:rsidR="00CC0FB3" w:rsidRPr="00CA152F">
        <w:rPr>
          <w:rFonts w:cs="Times New Roman"/>
          <w:szCs w:val="24"/>
        </w:rPr>
        <w:lastRenderedPageBreak/>
        <w:t>ieguldījumi būtu savstarpēji papildinoši un veicinātu Baltijas jūras reģiona stratēģijas un E</w:t>
      </w:r>
      <w:r>
        <w:rPr>
          <w:rFonts w:cs="Times New Roman"/>
          <w:szCs w:val="24"/>
        </w:rPr>
        <w:t>S</w:t>
      </w:r>
      <w:r w:rsidR="00CC0FB3" w:rsidRPr="00CA152F">
        <w:rPr>
          <w:rFonts w:cs="Times New Roman"/>
          <w:szCs w:val="24"/>
        </w:rPr>
        <w:t xml:space="preserve"> definēto mērķu sasniegšanu</w:t>
      </w:r>
      <w:r w:rsidR="00CC0FB3">
        <w:rPr>
          <w:rFonts w:cs="Times New Roman"/>
          <w:szCs w:val="24"/>
        </w:rPr>
        <w:t>.</w:t>
      </w:r>
    </w:p>
    <w:p w14:paraId="20C91C1F" w14:textId="21C728DB" w:rsidR="00505AB0" w:rsidRDefault="00505AB0" w:rsidP="00CF3C5D">
      <w:pPr>
        <w:pStyle w:val="ListParagraph"/>
        <w:tabs>
          <w:tab w:val="left" w:pos="426"/>
        </w:tabs>
        <w:spacing w:after="120"/>
        <w:ind w:left="0"/>
        <w:jc w:val="both"/>
        <w:rPr>
          <w:rFonts w:cs="Times New Roman"/>
          <w:sz w:val="24"/>
          <w:szCs w:val="24"/>
        </w:rPr>
      </w:pPr>
    </w:p>
    <w:p w14:paraId="18CE66B2" w14:textId="135F73EE" w:rsidR="00505AB0" w:rsidRPr="00CC0FB3" w:rsidRDefault="00505AB0" w:rsidP="00CF3C5D">
      <w:pPr>
        <w:pStyle w:val="ListParagraph"/>
        <w:tabs>
          <w:tab w:val="left" w:pos="426"/>
        </w:tabs>
        <w:spacing w:after="120"/>
        <w:ind w:left="0"/>
        <w:jc w:val="both"/>
        <w:rPr>
          <w:szCs w:val="28"/>
        </w:rPr>
      </w:pPr>
      <w:r w:rsidRPr="00CC0FB3">
        <w:rPr>
          <w:rFonts w:cs="Times New Roman"/>
          <w:szCs w:val="28"/>
        </w:rPr>
        <w:t>2014</w:t>
      </w:r>
      <w:r w:rsidR="008C392D">
        <w:rPr>
          <w:rFonts w:cs="Times New Roman"/>
          <w:szCs w:val="28"/>
        </w:rPr>
        <w:t>.</w:t>
      </w:r>
      <w:r w:rsidR="000A0B11">
        <w:rPr>
          <w:rFonts w:cs="Times New Roman"/>
          <w:szCs w:val="28"/>
        </w:rPr>
        <w:t xml:space="preserve"> </w:t>
      </w:r>
      <w:r w:rsidR="008C392D">
        <w:rPr>
          <w:rFonts w:cs="Times New Roman"/>
          <w:szCs w:val="28"/>
        </w:rPr>
        <w:t>–</w:t>
      </w:r>
      <w:r w:rsidR="000A0B11">
        <w:rPr>
          <w:rFonts w:cs="Times New Roman"/>
          <w:szCs w:val="28"/>
        </w:rPr>
        <w:t xml:space="preserve"> </w:t>
      </w:r>
      <w:r w:rsidRPr="00CC0FB3">
        <w:rPr>
          <w:rFonts w:cs="Times New Roman"/>
          <w:szCs w:val="28"/>
        </w:rPr>
        <w:t>2020.</w:t>
      </w:r>
      <w:r w:rsidR="000A0B11">
        <w:rPr>
          <w:rFonts w:cs="Times New Roman"/>
          <w:szCs w:val="28"/>
        </w:rPr>
        <w:t> </w:t>
      </w:r>
      <w:r w:rsidRPr="00CC0FB3">
        <w:rPr>
          <w:rFonts w:cs="Times New Roman"/>
          <w:szCs w:val="28"/>
        </w:rPr>
        <w:t xml:space="preserve">gada plānošanas periodā par vienoto stratēģisko ietvaru, kas izmantojams visu ES fondu – ERAF, ESF, KF, ELFLA, EJZF un </w:t>
      </w:r>
      <w:r w:rsidR="00F66BAE">
        <w:rPr>
          <w:rFonts w:cs="Times New Roman"/>
          <w:szCs w:val="28"/>
        </w:rPr>
        <w:t>ETS</w:t>
      </w:r>
      <w:r w:rsidRPr="00CC0FB3">
        <w:rPr>
          <w:rFonts w:cs="Times New Roman"/>
          <w:szCs w:val="28"/>
        </w:rPr>
        <w:t xml:space="preserve"> programmu – plānošanas dokumentu sagatavošanai, ciktāl tas attiecas uz Partnerības līguma sagatavošanu, atbild Finanšu ministrija</w:t>
      </w:r>
      <w:r w:rsidR="002E5403">
        <w:rPr>
          <w:rFonts w:cs="Times New Roman"/>
          <w:szCs w:val="28"/>
        </w:rPr>
        <w:t xml:space="preserve"> (</w:t>
      </w:r>
      <w:r w:rsidR="00BE57B6">
        <w:rPr>
          <w:rFonts w:cs="Times New Roman"/>
          <w:szCs w:val="28"/>
        </w:rPr>
        <w:t xml:space="preserve">turpmāk - </w:t>
      </w:r>
      <w:r w:rsidR="002E5403">
        <w:rPr>
          <w:rFonts w:cs="Times New Roman"/>
          <w:szCs w:val="28"/>
        </w:rPr>
        <w:t>FM)</w:t>
      </w:r>
      <w:r w:rsidRPr="00CC0FB3">
        <w:rPr>
          <w:rFonts w:cs="Times New Roman"/>
          <w:szCs w:val="28"/>
        </w:rPr>
        <w:t xml:space="preserve">. </w:t>
      </w:r>
      <w:r w:rsidR="00E62602">
        <w:rPr>
          <w:rFonts w:cs="Times New Roman"/>
          <w:szCs w:val="28"/>
        </w:rPr>
        <w:t>Līdzīgi</w:t>
      </w:r>
      <w:r w:rsidRPr="00CC0FB3">
        <w:rPr>
          <w:rFonts w:cs="Times New Roman"/>
          <w:szCs w:val="28"/>
        </w:rPr>
        <w:t xml:space="preserve"> </w:t>
      </w:r>
      <w:r w:rsidR="000A6F2F" w:rsidRPr="00CC0FB3">
        <w:rPr>
          <w:rFonts w:cs="Times New Roman"/>
          <w:szCs w:val="28"/>
        </w:rPr>
        <w:t>2021.</w:t>
      </w:r>
      <w:r w:rsidR="000A0B11">
        <w:rPr>
          <w:rFonts w:cs="Times New Roman"/>
          <w:szCs w:val="28"/>
        </w:rPr>
        <w:t xml:space="preserve"> </w:t>
      </w:r>
      <w:r w:rsidR="008C392D">
        <w:rPr>
          <w:rFonts w:cs="Times New Roman"/>
          <w:szCs w:val="28"/>
        </w:rPr>
        <w:t>–</w:t>
      </w:r>
      <w:r w:rsidR="000A0B11">
        <w:rPr>
          <w:rFonts w:cs="Times New Roman"/>
          <w:szCs w:val="28"/>
        </w:rPr>
        <w:t xml:space="preserve"> </w:t>
      </w:r>
      <w:r w:rsidR="000A6F2F" w:rsidRPr="00CC0FB3">
        <w:rPr>
          <w:rFonts w:cs="Times New Roman"/>
          <w:szCs w:val="28"/>
        </w:rPr>
        <w:t>2027.</w:t>
      </w:r>
      <w:r w:rsidR="000A0B11">
        <w:rPr>
          <w:rFonts w:cs="Times New Roman"/>
          <w:szCs w:val="28"/>
        </w:rPr>
        <w:t> </w:t>
      </w:r>
      <w:r w:rsidR="000A6F2F" w:rsidRPr="00CC0FB3">
        <w:rPr>
          <w:rFonts w:cs="Times New Roman"/>
          <w:szCs w:val="28"/>
        </w:rPr>
        <w:t>gada plānošanas period</w:t>
      </w:r>
      <w:r w:rsidR="00E62602">
        <w:rPr>
          <w:rFonts w:cs="Times New Roman"/>
          <w:szCs w:val="28"/>
        </w:rPr>
        <w:t>ā FM</w:t>
      </w:r>
      <w:r w:rsidR="000A6F2F" w:rsidRPr="00CC0FB3">
        <w:rPr>
          <w:rFonts w:cs="Times New Roman"/>
          <w:szCs w:val="28"/>
        </w:rPr>
        <w:t xml:space="preserve"> </w:t>
      </w:r>
      <w:r w:rsidRPr="00CC0FB3">
        <w:rPr>
          <w:rFonts w:cs="Times New Roman"/>
          <w:szCs w:val="28"/>
        </w:rPr>
        <w:t xml:space="preserve">sagatavos Partnerības līgumu vai </w:t>
      </w:r>
      <w:r w:rsidRPr="00CC0FB3">
        <w:rPr>
          <w:szCs w:val="28"/>
        </w:rPr>
        <w:t xml:space="preserve">informācijas apkopojumu atbilstoši Kopējās </w:t>
      </w:r>
      <w:r w:rsidR="00F66BAE">
        <w:rPr>
          <w:szCs w:val="28"/>
        </w:rPr>
        <w:t xml:space="preserve">fondu </w:t>
      </w:r>
      <w:r w:rsidRPr="00CC0FB3">
        <w:rPr>
          <w:szCs w:val="28"/>
        </w:rPr>
        <w:t xml:space="preserve">regulas </w:t>
      </w:r>
      <w:r w:rsidR="0031638D">
        <w:rPr>
          <w:szCs w:val="28"/>
        </w:rPr>
        <w:t xml:space="preserve">priekšlikuma </w:t>
      </w:r>
      <w:r w:rsidRPr="00CC0FB3">
        <w:rPr>
          <w:szCs w:val="28"/>
        </w:rPr>
        <w:t>prasībām</w:t>
      </w:r>
      <w:r w:rsidRPr="00CC0FB3">
        <w:rPr>
          <w:rFonts w:cs="Times New Roman"/>
          <w:szCs w:val="28"/>
        </w:rPr>
        <w:t xml:space="preserve">, sagatavošanas </w:t>
      </w:r>
      <w:r w:rsidR="008E21C8" w:rsidRPr="00CC0FB3">
        <w:rPr>
          <w:rFonts w:cs="Times New Roman"/>
          <w:szCs w:val="28"/>
        </w:rPr>
        <w:t xml:space="preserve">un ieviešanas </w:t>
      </w:r>
      <w:r w:rsidRPr="00CC0FB3">
        <w:rPr>
          <w:rFonts w:cs="Times New Roman"/>
          <w:szCs w:val="28"/>
        </w:rPr>
        <w:t>procesā izveido</w:t>
      </w:r>
      <w:r w:rsidR="008E21C8" w:rsidRPr="00CC0FB3">
        <w:rPr>
          <w:rFonts w:cs="Times New Roman"/>
          <w:szCs w:val="28"/>
        </w:rPr>
        <w:t>jot</w:t>
      </w:r>
      <w:r w:rsidRPr="00CC0FB3">
        <w:rPr>
          <w:rFonts w:cs="Times New Roman"/>
          <w:szCs w:val="28"/>
        </w:rPr>
        <w:t xml:space="preserve"> koordinā</w:t>
      </w:r>
      <w:r w:rsidR="008E21C8" w:rsidRPr="00CC0FB3">
        <w:rPr>
          <w:rFonts w:cs="Times New Roman"/>
          <w:szCs w:val="28"/>
        </w:rPr>
        <w:t>cijas</w:t>
      </w:r>
      <w:r w:rsidRPr="00CC0FB3">
        <w:rPr>
          <w:rFonts w:cs="Times New Roman"/>
          <w:szCs w:val="28"/>
        </w:rPr>
        <w:t xml:space="preserve"> un sinerģijas mehānism</w:t>
      </w:r>
      <w:r w:rsidR="008E21C8" w:rsidRPr="00CC0FB3">
        <w:rPr>
          <w:rFonts w:cs="Times New Roman"/>
          <w:szCs w:val="28"/>
        </w:rPr>
        <w:t>us</w:t>
      </w:r>
      <w:r w:rsidRPr="00CC0FB3">
        <w:rPr>
          <w:rFonts w:cs="Times New Roman"/>
          <w:szCs w:val="28"/>
        </w:rPr>
        <w:t xml:space="preserve"> starp minētajiem finanšu instrumentiem.</w:t>
      </w:r>
    </w:p>
    <w:p w14:paraId="6414D694" w14:textId="65386B4F" w:rsidR="00CC0FB3" w:rsidRPr="00CA152F" w:rsidRDefault="00CC0FB3" w:rsidP="00CC0FB3">
      <w:pPr>
        <w:pStyle w:val="ListParagraph"/>
        <w:ind w:left="0"/>
        <w:jc w:val="both"/>
        <w:rPr>
          <w:rFonts w:cs="Times New Roman"/>
          <w:szCs w:val="24"/>
        </w:rPr>
      </w:pPr>
    </w:p>
    <w:p w14:paraId="0E78D6FE" w14:textId="729C2289" w:rsidR="00CC0FB3" w:rsidRPr="00CA152F" w:rsidRDefault="00CC0FB3" w:rsidP="00CC0FB3">
      <w:pPr>
        <w:pStyle w:val="ListParagraph"/>
        <w:ind w:left="0"/>
        <w:jc w:val="both"/>
        <w:rPr>
          <w:rFonts w:cs="Times New Roman"/>
          <w:szCs w:val="24"/>
        </w:rPr>
      </w:pPr>
      <w:r w:rsidRPr="00CA152F">
        <w:rPr>
          <w:rFonts w:cs="Times New Roman"/>
        </w:rPr>
        <w:t>ES fondu plānošanas dokumentu izstrāde 20</w:t>
      </w:r>
      <w:r>
        <w:rPr>
          <w:rFonts w:cs="Times New Roman"/>
        </w:rPr>
        <w:t>21</w:t>
      </w:r>
      <w:r w:rsidRPr="00CA152F">
        <w:rPr>
          <w:rFonts w:cs="Times New Roman"/>
        </w:rPr>
        <w:t>.</w:t>
      </w:r>
      <w:r w:rsidR="000A0B11">
        <w:rPr>
          <w:rFonts w:cs="Times New Roman"/>
        </w:rPr>
        <w:t xml:space="preserve"> </w:t>
      </w:r>
      <w:r w:rsidRPr="00CA152F">
        <w:rPr>
          <w:rFonts w:cs="Times New Roman"/>
        </w:rPr>
        <w:t>–</w:t>
      </w:r>
      <w:r w:rsidR="000A0B11">
        <w:rPr>
          <w:rFonts w:cs="Times New Roman"/>
        </w:rPr>
        <w:t xml:space="preserve"> </w:t>
      </w:r>
      <w:r w:rsidRPr="00CA152F">
        <w:rPr>
          <w:rFonts w:cs="Times New Roman"/>
        </w:rPr>
        <w:t>202</w:t>
      </w:r>
      <w:r>
        <w:rPr>
          <w:rFonts w:cs="Times New Roman"/>
        </w:rPr>
        <w:t>7</w:t>
      </w:r>
      <w:r w:rsidRPr="00CA152F">
        <w:rPr>
          <w:rFonts w:cs="Times New Roman"/>
        </w:rPr>
        <w:t>.</w:t>
      </w:r>
      <w:r w:rsidR="000A0B11">
        <w:rPr>
          <w:rFonts w:cs="Times New Roman"/>
        </w:rPr>
        <w:t> </w:t>
      </w:r>
      <w:r w:rsidRPr="00CA152F">
        <w:rPr>
          <w:rFonts w:cs="Times New Roman"/>
        </w:rPr>
        <w:t>gadam not</w:t>
      </w:r>
      <w:r>
        <w:rPr>
          <w:rFonts w:cs="Times New Roman"/>
        </w:rPr>
        <w:t>iks</w:t>
      </w:r>
      <w:r w:rsidR="00E62602">
        <w:rPr>
          <w:rFonts w:cs="Times New Roman"/>
        </w:rPr>
        <w:t xml:space="preserve">, balstoties </w:t>
      </w:r>
      <w:r w:rsidRPr="00CA152F">
        <w:rPr>
          <w:rFonts w:cs="Times New Roman"/>
        </w:rPr>
        <w:t xml:space="preserve">uz </w:t>
      </w:r>
      <w:r w:rsidR="00B37445" w:rsidRPr="00B37445">
        <w:rPr>
          <w:rFonts w:cs="Times New Roman"/>
          <w:szCs w:val="24"/>
        </w:rPr>
        <w:t>Nacionālajā attīstības plānā 2021.</w:t>
      </w:r>
      <w:r w:rsidR="000A0B11">
        <w:rPr>
          <w:rFonts w:cs="Times New Roman"/>
          <w:szCs w:val="24"/>
        </w:rPr>
        <w:t xml:space="preserve"> </w:t>
      </w:r>
      <w:r w:rsidR="00B37445" w:rsidRPr="00B37445">
        <w:rPr>
          <w:rFonts w:cs="Times New Roman"/>
          <w:szCs w:val="24"/>
        </w:rPr>
        <w:t>–</w:t>
      </w:r>
      <w:r w:rsidR="000A0B11">
        <w:rPr>
          <w:rFonts w:cs="Times New Roman"/>
          <w:szCs w:val="24"/>
        </w:rPr>
        <w:t xml:space="preserve"> </w:t>
      </w:r>
      <w:r w:rsidR="00B37445" w:rsidRPr="00B37445">
        <w:rPr>
          <w:rFonts w:cs="Times New Roman"/>
          <w:szCs w:val="24"/>
        </w:rPr>
        <w:t>2027.</w:t>
      </w:r>
      <w:r w:rsidR="000A0B11">
        <w:rPr>
          <w:rFonts w:cs="Times New Roman"/>
          <w:szCs w:val="24"/>
        </w:rPr>
        <w:t> </w:t>
      </w:r>
      <w:r w:rsidR="00B37445" w:rsidRPr="00B37445">
        <w:rPr>
          <w:rFonts w:cs="Times New Roman"/>
          <w:szCs w:val="24"/>
        </w:rPr>
        <w:t>gadam</w:t>
      </w:r>
      <w:r w:rsidR="00B37445" w:rsidRPr="00CA152F">
        <w:rPr>
          <w:rFonts w:cs="Times New Roman"/>
        </w:rPr>
        <w:t xml:space="preserve"> </w:t>
      </w:r>
      <w:r w:rsidR="00B37445">
        <w:rPr>
          <w:rFonts w:cs="Times New Roman"/>
        </w:rPr>
        <w:t>(</w:t>
      </w:r>
      <w:r w:rsidRPr="00CA152F">
        <w:rPr>
          <w:rFonts w:cs="Times New Roman"/>
        </w:rPr>
        <w:t>NAP</w:t>
      </w:r>
      <w:r w:rsidR="00B37445">
        <w:rPr>
          <w:rFonts w:cs="Times New Roman"/>
        </w:rPr>
        <w:t>)</w:t>
      </w:r>
      <w:r w:rsidRPr="00CA152F">
        <w:rPr>
          <w:rFonts w:cs="Times New Roman"/>
        </w:rPr>
        <w:t xml:space="preserve"> noteiktajām prioritātēm un mērķiem</w:t>
      </w:r>
      <w:r>
        <w:rPr>
          <w:rFonts w:cs="Times New Roman"/>
        </w:rPr>
        <w:t xml:space="preserve">, kas definē </w:t>
      </w:r>
      <w:r w:rsidRPr="00CA152F">
        <w:rPr>
          <w:rFonts w:cs="Times New Roman"/>
          <w:bCs/>
        </w:rPr>
        <w:t>valsts budžeta līdzekļ</w:t>
      </w:r>
      <w:r>
        <w:rPr>
          <w:rFonts w:cs="Times New Roman"/>
          <w:bCs/>
        </w:rPr>
        <w:t>u</w:t>
      </w:r>
      <w:r w:rsidRPr="00CA152F">
        <w:rPr>
          <w:rFonts w:cs="Times New Roman"/>
          <w:bCs/>
        </w:rPr>
        <w:t xml:space="preserve">, </w:t>
      </w:r>
      <w:r w:rsidR="000334C8">
        <w:rPr>
          <w:rFonts w:cs="Times New Roman"/>
          <w:bCs/>
        </w:rPr>
        <w:t>ES</w:t>
      </w:r>
      <w:r w:rsidRPr="00CA152F">
        <w:rPr>
          <w:rFonts w:cs="Times New Roman"/>
          <w:bCs/>
        </w:rPr>
        <w:t xml:space="preserve"> fondu un citu ES budžeta instrumentu investīcijas</w:t>
      </w:r>
      <w:r w:rsidR="000334C8">
        <w:rPr>
          <w:rFonts w:cs="Times New Roman"/>
          <w:bCs/>
        </w:rPr>
        <w:t xml:space="preserve"> (piemēram, Reformu atbalsta programma, Apvārsnis post 2020, InvestEU)</w:t>
      </w:r>
      <w:r w:rsidRPr="00CA152F">
        <w:rPr>
          <w:rFonts w:cs="Times New Roman"/>
          <w:bCs/>
        </w:rPr>
        <w:t xml:space="preserve">, kā arī </w:t>
      </w:r>
      <w:r w:rsidRPr="00CA152F">
        <w:rPr>
          <w:rFonts w:cs="Times New Roman"/>
        </w:rPr>
        <w:t>ES un citu ārvalstu finanšu palīdzības instrument</w:t>
      </w:r>
      <w:r>
        <w:rPr>
          <w:rFonts w:cs="Times New Roman"/>
        </w:rPr>
        <w:t>us</w:t>
      </w:r>
      <w:r w:rsidR="000334C8">
        <w:rPr>
          <w:rFonts w:cs="Times New Roman"/>
        </w:rPr>
        <w:t xml:space="preserve"> (piemēram, Eiropas Ekonomiskās zonas instruments un Norvēģijas finanšu instruments)</w:t>
      </w:r>
      <w:r w:rsidRPr="00CA152F">
        <w:rPr>
          <w:rFonts w:cs="Times New Roman"/>
        </w:rPr>
        <w:t xml:space="preserve">, un </w:t>
      </w:r>
      <w:r w:rsidR="00DA1BC0">
        <w:rPr>
          <w:rFonts w:cs="Times New Roman"/>
        </w:rPr>
        <w:t xml:space="preserve">pašvaldību un </w:t>
      </w:r>
      <w:r w:rsidRPr="00CA152F">
        <w:rPr>
          <w:rFonts w:cs="Times New Roman"/>
        </w:rPr>
        <w:t>privāt</w:t>
      </w:r>
      <w:r w:rsidR="00F66BAE">
        <w:rPr>
          <w:rFonts w:cs="Times New Roman"/>
        </w:rPr>
        <w:t>o</w:t>
      </w:r>
      <w:r w:rsidRPr="00CA152F">
        <w:rPr>
          <w:rFonts w:cs="Times New Roman"/>
        </w:rPr>
        <w:t xml:space="preserve"> </w:t>
      </w:r>
      <w:r w:rsidR="00DA1BC0">
        <w:rPr>
          <w:rFonts w:cs="Times New Roman"/>
        </w:rPr>
        <w:t>līdz</w:t>
      </w:r>
      <w:r w:rsidRPr="00CA152F">
        <w:rPr>
          <w:rFonts w:cs="Times New Roman"/>
        </w:rPr>
        <w:t>finansējum</w:t>
      </w:r>
      <w:r w:rsidR="00F66BAE">
        <w:rPr>
          <w:rFonts w:cs="Times New Roman"/>
        </w:rPr>
        <w:t>u</w:t>
      </w:r>
      <w:r w:rsidR="009265AB">
        <w:rPr>
          <w:rFonts w:cs="Times New Roman"/>
        </w:rPr>
        <w:t>, ņem</w:t>
      </w:r>
      <w:r w:rsidR="00F8168D">
        <w:rPr>
          <w:rFonts w:cs="Times New Roman"/>
        </w:rPr>
        <w:t>o</w:t>
      </w:r>
      <w:r w:rsidR="009265AB">
        <w:rPr>
          <w:rFonts w:cs="Times New Roman"/>
        </w:rPr>
        <w:t xml:space="preserve">t vērā </w:t>
      </w:r>
      <w:r w:rsidR="009265AB" w:rsidRPr="00937060">
        <w:t>ieguldījumu koordināciju un atbilstību teritoriju attīstības vajadzībām</w:t>
      </w:r>
      <w:r w:rsidR="00F66BAE">
        <w:rPr>
          <w:rFonts w:cs="Times New Roman"/>
        </w:rPr>
        <w:t>.</w:t>
      </w:r>
      <w:r w:rsidRPr="00CA152F">
        <w:rPr>
          <w:rFonts w:cs="Times New Roman"/>
        </w:rPr>
        <w:t xml:space="preserve"> </w:t>
      </w:r>
      <w:r w:rsidR="00F66BAE">
        <w:rPr>
          <w:rFonts w:cs="Times New Roman"/>
        </w:rPr>
        <w:t>L</w:t>
      </w:r>
      <w:r w:rsidRPr="00CA152F">
        <w:rPr>
          <w:rFonts w:cs="Times New Roman"/>
        </w:rPr>
        <w:t>īdz a</w:t>
      </w:r>
      <w:r>
        <w:rPr>
          <w:rFonts w:cs="Times New Roman"/>
        </w:rPr>
        <w:t>r</w:t>
      </w:r>
      <w:r w:rsidRPr="00CA152F">
        <w:rPr>
          <w:rFonts w:cs="Times New Roman"/>
        </w:rPr>
        <w:t xml:space="preserve"> to, </w:t>
      </w:r>
      <w:r>
        <w:rPr>
          <w:rFonts w:cs="Times New Roman"/>
        </w:rPr>
        <w:t xml:space="preserve">FM kā </w:t>
      </w:r>
      <w:r w:rsidR="00D00B47">
        <w:rPr>
          <w:rFonts w:cs="Times New Roman"/>
        </w:rPr>
        <w:t xml:space="preserve">Partnerības </w:t>
      </w:r>
      <w:r>
        <w:rPr>
          <w:rFonts w:cs="Times New Roman"/>
        </w:rPr>
        <w:t>līguma izstrādātāja sadarbībā ar Pārresoru koordinācijas centru (</w:t>
      </w:r>
      <w:r w:rsidR="000334C8">
        <w:rPr>
          <w:rFonts w:cs="Times New Roman"/>
        </w:rPr>
        <w:t xml:space="preserve">turpmāk - </w:t>
      </w:r>
      <w:r>
        <w:rPr>
          <w:rFonts w:cs="Times New Roman"/>
        </w:rPr>
        <w:t xml:space="preserve">PKC), </w:t>
      </w:r>
      <w:r w:rsidR="00E43A64">
        <w:rPr>
          <w:rFonts w:cs="Times New Roman"/>
        </w:rPr>
        <w:t>Labklājības ministriju (turpmāk – LM)</w:t>
      </w:r>
      <w:r w:rsidR="003B00F7">
        <w:rPr>
          <w:rFonts w:cs="Times New Roman"/>
        </w:rPr>
        <w:t xml:space="preserve"> kā FEAD vadošo iestādi</w:t>
      </w:r>
      <w:r w:rsidR="00E43A64">
        <w:rPr>
          <w:rFonts w:cs="Times New Roman"/>
        </w:rPr>
        <w:t xml:space="preserve">, </w:t>
      </w:r>
      <w:r>
        <w:rPr>
          <w:rFonts w:cs="Times New Roman"/>
        </w:rPr>
        <w:t>Zemkopības ministriju (</w:t>
      </w:r>
      <w:r w:rsidR="000334C8">
        <w:rPr>
          <w:rFonts w:cs="Times New Roman"/>
        </w:rPr>
        <w:t xml:space="preserve">turpmāk - </w:t>
      </w:r>
      <w:r>
        <w:rPr>
          <w:rFonts w:cs="Times New Roman"/>
        </w:rPr>
        <w:t>ZM)</w:t>
      </w:r>
      <w:r w:rsidR="003B00F7">
        <w:rPr>
          <w:rFonts w:cs="Times New Roman"/>
        </w:rPr>
        <w:t xml:space="preserve"> kā EJZF vadošo iestādi</w:t>
      </w:r>
      <w:r w:rsidR="00F66BAE">
        <w:rPr>
          <w:rFonts w:cs="Times New Roman"/>
        </w:rPr>
        <w:t xml:space="preserve"> un</w:t>
      </w:r>
      <w:r>
        <w:rPr>
          <w:rFonts w:cs="Times New Roman"/>
        </w:rPr>
        <w:t xml:space="preserve"> Iekšlietu ministriju (</w:t>
      </w:r>
      <w:r w:rsidR="000334C8">
        <w:rPr>
          <w:rFonts w:cs="Times New Roman"/>
        </w:rPr>
        <w:t xml:space="preserve">turpmāk - </w:t>
      </w:r>
      <w:r>
        <w:rPr>
          <w:rFonts w:cs="Times New Roman"/>
        </w:rPr>
        <w:t>IeM)</w:t>
      </w:r>
      <w:r w:rsidRPr="00CA152F" w:rsidDel="002E6D9C">
        <w:rPr>
          <w:rFonts w:cs="Times New Roman"/>
        </w:rPr>
        <w:t xml:space="preserve"> </w:t>
      </w:r>
      <w:r w:rsidR="003B00F7">
        <w:rPr>
          <w:rFonts w:cs="Times New Roman"/>
        </w:rPr>
        <w:t xml:space="preserve">kā </w:t>
      </w:r>
      <w:r w:rsidR="003B00F7" w:rsidRPr="00CC0FB3">
        <w:rPr>
          <w:rFonts w:cs="Times New Roman"/>
          <w:szCs w:val="28"/>
        </w:rPr>
        <w:t>AMIF, IDF, BMVI</w:t>
      </w:r>
      <w:r w:rsidR="003B00F7" w:rsidRPr="00CA152F">
        <w:rPr>
          <w:rFonts w:cs="Times New Roman"/>
        </w:rPr>
        <w:t xml:space="preserve"> </w:t>
      </w:r>
      <w:r w:rsidR="003B00F7">
        <w:rPr>
          <w:rFonts w:cs="Times New Roman"/>
        </w:rPr>
        <w:t xml:space="preserve">vadošo iestādi un Vides aizsardzības un reģionālās attīstības ministriju (turpmāk – VARAM) kā ETS </w:t>
      </w:r>
      <w:r w:rsidR="00CE7CAF">
        <w:rPr>
          <w:rFonts w:cs="Times New Roman"/>
        </w:rPr>
        <w:t>nacionālo atbildīgo</w:t>
      </w:r>
      <w:r w:rsidR="003B00F7">
        <w:rPr>
          <w:rFonts w:cs="Times New Roman"/>
        </w:rPr>
        <w:t xml:space="preserve"> iestādi </w:t>
      </w:r>
      <w:r w:rsidRPr="00CA152F">
        <w:rPr>
          <w:rFonts w:cs="Times New Roman"/>
        </w:rPr>
        <w:t>vei</w:t>
      </w:r>
      <w:r>
        <w:rPr>
          <w:rFonts w:cs="Times New Roman"/>
        </w:rPr>
        <w:t>ks</w:t>
      </w:r>
      <w:r w:rsidRPr="00CA152F">
        <w:rPr>
          <w:rFonts w:cs="Times New Roman"/>
        </w:rPr>
        <w:t xml:space="preserve"> visu augstāk minēto finanšu resursu</w:t>
      </w:r>
      <w:r w:rsidR="00F63698">
        <w:rPr>
          <w:rFonts w:cs="Times New Roman"/>
        </w:rPr>
        <w:t xml:space="preserve"> plānošanas</w:t>
      </w:r>
      <w:r w:rsidRPr="00CA152F">
        <w:rPr>
          <w:rFonts w:cs="Times New Roman"/>
        </w:rPr>
        <w:t xml:space="preserve"> koordinē</w:t>
      </w:r>
      <w:r>
        <w:rPr>
          <w:rFonts w:cs="Times New Roman"/>
        </w:rPr>
        <w:t xml:space="preserve">šanu, nodrošinot </w:t>
      </w:r>
      <w:r w:rsidRPr="00CA152F">
        <w:rPr>
          <w:rFonts w:cs="Times New Roman"/>
        </w:rPr>
        <w:t xml:space="preserve">uz </w:t>
      </w:r>
      <w:r w:rsidR="003507CD">
        <w:rPr>
          <w:rFonts w:cs="Times New Roman"/>
        </w:rPr>
        <w:t xml:space="preserve">Partnerības </w:t>
      </w:r>
      <w:r>
        <w:rPr>
          <w:rFonts w:cs="Times New Roman"/>
        </w:rPr>
        <w:t xml:space="preserve">līgumā </w:t>
      </w:r>
      <w:r w:rsidRPr="00CA152F">
        <w:rPr>
          <w:rFonts w:cs="Times New Roman"/>
        </w:rPr>
        <w:t xml:space="preserve">definētajiem mērķiem vērstas investīcijas. </w:t>
      </w:r>
    </w:p>
    <w:p w14:paraId="4CDC7EFA" w14:textId="77777777" w:rsidR="00CC0FB3" w:rsidRPr="00CA152F" w:rsidRDefault="00CC0FB3" w:rsidP="00CC0FB3">
      <w:pPr>
        <w:jc w:val="both"/>
      </w:pPr>
    </w:p>
    <w:p w14:paraId="42001935" w14:textId="6AE5E365" w:rsidR="00CC0FB3" w:rsidRDefault="00CC0FB3" w:rsidP="00CC0FB3">
      <w:pPr>
        <w:pStyle w:val="ListParagraph"/>
        <w:ind w:left="0"/>
        <w:jc w:val="both"/>
        <w:rPr>
          <w:rFonts w:cs="Times New Roman"/>
          <w:szCs w:val="24"/>
        </w:rPr>
      </w:pPr>
      <w:r w:rsidRPr="008B353D">
        <w:rPr>
          <w:rFonts w:cs="Times New Roman"/>
          <w:szCs w:val="24"/>
        </w:rPr>
        <w:t xml:space="preserve">Papildus, lai nodrošinātu efektīvāku </w:t>
      </w:r>
      <w:r w:rsidR="00D00B47">
        <w:rPr>
          <w:rFonts w:cs="Times New Roman"/>
          <w:szCs w:val="24"/>
        </w:rPr>
        <w:t>Partnerības līguma</w:t>
      </w:r>
      <w:r w:rsidR="00D00B47" w:rsidRPr="008B353D">
        <w:rPr>
          <w:rFonts w:cs="Times New Roman"/>
          <w:szCs w:val="24"/>
        </w:rPr>
        <w:t xml:space="preserve"> </w:t>
      </w:r>
      <w:r w:rsidRPr="008B353D">
        <w:rPr>
          <w:rFonts w:cs="Times New Roman"/>
          <w:szCs w:val="24"/>
        </w:rPr>
        <w:t>uzraudzību un ES fondu un pārējo ārvalstu finanšu instrumentu un palīdzības koordinācijas principa ievērošanu un integrētu teritoriālo attīstību, FM</w:t>
      </w:r>
      <w:r w:rsidR="003507CD">
        <w:rPr>
          <w:rFonts w:cs="Times New Roman"/>
          <w:szCs w:val="24"/>
        </w:rPr>
        <w:t>, līdzīgi kā 2014.</w:t>
      </w:r>
      <w:r w:rsidR="000A0B11">
        <w:rPr>
          <w:rFonts w:cs="Times New Roman"/>
          <w:szCs w:val="24"/>
        </w:rPr>
        <w:t xml:space="preserve"> </w:t>
      </w:r>
      <w:r w:rsidR="003507CD">
        <w:rPr>
          <w:rFonts w:cs="Times New Roman"/>
          <w:szCs w:val="24"/>
        </w:rPr>
        <w:t>–</w:t>
      </w:r>
      <w:r w:rsidR="000A0B11">
        <w:rPr>
          <w:rFonts w:cs="Times New Roman"/>
          <w:szCs w:val="24"/>
        </w:rPr>
        <w:t xml:space="preserve"> </w:t>
      </w:r>
      <w:r w:rsidR="003507CD">
        <w:rPr>
          <w:rFonts w:cs="Times New Roman"/>
          <w:szCs w:val="24"/>
        </w:rPr>
        <w:t>2020.</w:t>
      </w:r>
      <w:r w:rsidR="000A0B11">
        <w:rPr>
          <w:rFonts w:cs="Times New Roman"/>
          <w:szCs w:val="24"/>
        </w:rPr>
        <w:t> </w:t>
      </w:r>
      <w:r w:rsidR="003507CD">
        <w:rPr>
          <w:rFonts w:cs="Times New Roman"/>
          <w:szCs w:val="24"/>
        </w:rPr>
        <w:t xml:space="preserve">gada plānošanas periodā, </w:t>
      </w:r>
      <w:r w:rsidRPr="008B353D">
        <w:rPr>
          <w:rFonts w:cs="Times New Roman"/>
          <w:szCs w:val="24"/>
        </w:rPr>
        <w:t xml:space="preserve">izveidos </w:t>
      </w:r>
      <w:r w:rsidR="00D00B47">
        <w:rPr>
          <w:rFonts w:cs="Times New Roman"/>
          <w:szCs w:val="24"/>
        </w:rPr>
        <w:t>P</w:t>
      </w:r>
      <w:r w:rsidR="00D00B47" w:rsidRPr="008B353D">
        <w:rPr>
          <w:rFonts w:cs="Times New Roman"/>
          <w:szCs w:val="24"/>
        </w:rPr>
        <w:t xml:space="preserve">artnerības </w:t>
      </w:r>
      <w:r w:rsidRPr="008B353D">
        <w:rPr>
          <w:rFonts w:cs="Times New Roman"/>
          <w:szCs w:val="24"/>
        </w:rPr>
        <w:t>līguma vadības grupu</w:t>
      </w:r>
      <w:r w:rsidR="00EA36C5">
        <w:rPr>
          <w:rFonts w:cs="Times New Roman"/>
          <w:szCs w:val="24"/>
        </w:rPr>
        <w:t>. Vadības grupā tiks iesaistītas</w:t>
      </w:r>
      <w:r w:rsidRPr="008B353D">
        <w:rPr>
          <w:rFonts w:cs="Times New Roman"/>
          <w:szCs w:val="24"/>
        </w:rPr>
        <w:t xml:space="preserve"> </w:t>
      </w:r>
      <w:r>
        <w:rPr>
          <w:rFonts w:cs="Times New Roman"/>
          <w:szCs w:val="24"/>
        </w:rPr>
        <w:t>vis</w:t>
      </w:r>
      <w:r w:rsidR="00EA36C5">
        <w:rPr>
          <w:rFonts w:cs="Times New Roman"/>
          <w:szCs w:val="24"/>
        </w:rPr>
        <w:t>as</w:t>
      </w:r>
      <w:r>
        <w:rPr>
          <w:rFonts w:cs="Times New Roman"/>
          <w:szCs w:val="24"/>
        </w:rPr>
        <w:t xml:space="preserve"> nozaru ministrij</w:t>
      </w:r>
      <w:r w:rsidR="00EA36C5">
        <w:rPr>
          <w:rFonts w:cs="Times New Roman"/>
          <w:szCs w:val="24"/>
        </w:rPr>
        <w:t>as</w:t>
      </w:r>
      <w:r w:rsidR="00BE7CD7">
        <w:rPr>
          <w:rFonts w:cs="Times New Roman"/>
          <w:szCs w:val="24"/>
        </w:rPr>
        <w:t>, Valsts kanceleja</w:t>
      </w:r>
      <w:r>
        <w:rPr>
          <w:rFonts w:cs="Times New Roman"/>
          <w:szCs w:val="24"/>
        </w:rPr>
        <w:t xml:space="preserve"> </w:t>
      </w:r>
      <w:r w:rsidRPr="008B353D">
        <w:rPr>
          <w:rFonts w:cs="Times New Roman"/>
          <w:szCs w:val="24"/>
        </w:rPr>
        <w:t>un sadarbības partner</w:t>
      </w:r>
      <w:r w:rsidR="00EA36C5">
        <w:rPr>
          <w:rFonts w:cs="Times New Roman"/>
          <w:szCs w:val="24"/>
        </w:rPr>
        <w:t>i</w:t>
      </w:r>
      <w:r w:rsidR="00D00B47">
        <w:rPr>
          <w:rFonts w:cs="Times New Roman"/>
          <w:szCs w:val="24"/>
        </w:rPr>
        <w:t xml:space="preserve">, kas ietver </w:t>
      </w:r>
      <w:r w:rsidR="00D00B47">
        <w:rPr>
          <w:color w:val="000000"/>
        </w:rPr>
        <w:t>kompetent</w:t>
      </w:r>
      <w:r w:rsidR="0027711C">
        <w:rPr>
          <w:color w:val="000000"/>
        </w:rPr>
        <w:t>ās</w:t>
      </w:r>
      <w:r w:rsidR="00D00B47">
        <w:rPr>
          <w:color w:val="000000"/>
        </w:rPr>
        <w:t xml:space="preserve"> reģionāl</w:t>
      </w:r>
      <w:r w:rsidR="0027711C">
        <w:rPr>
          <w:color w:val="000000"/>
        </w:rPr>
        <w:t>ās</w:t>
      </w:r>
      <w:r w:rsidR="00D00B47">
        <w:rPr>
          <w:color w:val="000000"/>
        </w:rPr>
        <w:t>, vietējā</w:t>
      </w:r>
      <w:r w:rsidR="0027711C">
        <w:rPr>
          <w:color w:val="000000"/>
        </w:rPr>
        <w:t>s</w:t>
      </w:r>
      <w:r w:rsidR="00D00B47">
        <w:rPr>
          <w:color w:val="000000"/>
        </w:rPr>
        <w:t>, pilsētu publiskā</w:t>
      </w:r>
      <w:r w:rsidR="0027711C">
        <w:rPr>
          <w:color w:val="000000"/>
        </w:rPr>
        <w:t>s iestādes</w:t>
      </w:r>
      <w:r w:rsidR="00D00B47">
        <w:rPr>
          <w:color w:val="000000"/>
        </w:rPr>
        <w:t>, ekonomisk</w:t>
      </w:r>
      <w:r w:rsidR="0027711C">
        <w:rPr>
          <w:color w:val="000000"/>
        </w:rPr>
        <w:t>os</w:t>
      </w:r>
      <w:r w:rsidR="00D00B47">
        <w:rPr>
          <w:color w:val="000000"/>
        </w:rPr>
        <w:t xml:space="preserve"> un sociāl</w:t>
      </w:r>
      <w:r w:rsidR="0027711C">
        <w:rPr>
          <w:color w:val="000000"/>
        </w:rPr>
        <w:t>os</w:t>
      </w:r>
      <w:r w:rsidR="00D00B47">
        <w:rPr>
          <w:color w:val="000000"/>
        </w:rPr>
        <w:t xml:space="preserve"> partner</w:t>
      </w:r>
      <w:r w:rsidR="0027711C">
        <w:rPr>
          <w:color w:val="000000"/>
        </w:rPr>
        <w:t xml:space="preserve">us, </w:t>
      </w:r>
      <w:r w:rsidR="00D00B47">
        <w:rPr>
          <w:color w:val="000000"/>
        </w:rPr>
        <w:t>pilsonisk</w:t>
      </w:r>
      <w:r w:rsidR="00EA36C5">
        <w:rPr>
          <w:color w:val="000000"/>
        </w:rPr>
        <w:t>ās</w:t>
      </w:r>
      <w:r w:rsidR="00D00B47">
        <w:rPr>
          <w:color w:val="000000"/>
        </w:rPr>
        <w:t xml:space="preserve"> sabiedrīb</w:t>
      </w:r>
      <w:r w:rsidR="00EA36C5">
        <w:rPr>
          <w:color w:val="000000"/>
        </w:rPr>
        <w:t>as pārstāvj</w:t>
      </w:r>
      <w:r w:rsidR="00526DF2">
        <w:rPr>
          <w:color w:val="000000"/>
        </w:rPr>
        <w:t>us</w:t>
      </w:r>
      <w:r w:rsidR="00EA36C5">
        <w:rPr>
          <w:color w:val="000000"/>
        </w:rPr>
        <w:t xml:space="preserve"> (piemēram</w:t>
      </w:r>
      <w:r w:rsidR="00D00B47">
        <w:rPr>
          <w:color w:val="000000"/>
        </w:rPr>
        <w:t>, nevalstiskā</w:t>
      </w:r>
      <w:r w:rsidR="0027711C">
        <w:rPr>
          <w:color w:val="000000"/>
        </w:rPr>
        <w:t>s</w:t>
      </w:r>
      <w:r w:rsidR="00D00B47">
        <w:rPr>
          <w:color w:val="000000"/>
        </w:rPr>
        <w:t xml:space="preserve"> organizācij</w:t>
      </w:r>
      <w:r w:rsidR="0027711C">
        <w:rPr>
          <w:color w:val="000000"/>
        </w:rPr>
        <w:t>as</w:t>
      </w:r>
      <w:r w:rsidR="00D00B47">
        <w:rPr>
          <w:color w:val="000000"/>
        </w:rPr>
        <w:t xml:space="preserve">, kuras ir atbildīgas par </w:t>
      </w:r>
      <w:r w:rsidR="009A7A04">
        <w:rPr>
          <w:color w:val="000000"/>
        </w:rPr>
        <w:t xml:space="preserve">vides aizsardzības jautājumiem, par </w:t>
      </w:r>
      <w:r w:rsidR="00D00B47">
        <w:rPr>
          <w:color w:val="000000"/>
        </w:rPr>
        <w:t>sociālās integrācijas, dzimumu līdztiesības un nediskriminācijas veicināšanu</w:t>
      </w:r>
      <w:r w:rsidR="009A7A04">
        <w:rPr>
          <w:color w:val="000000"/>
        </w:rPr>
        <w:t xml:space="preserve"> u.c.)</w:t>
      </w:r>
      <w:r w:rsidR="0047600A">
        <w:rPr>
          <w:rFonts w:cs="Times New Roman"/>
          <w:szCs w:val="24"/>
        </w:rPr>
        <w:t xml:space="preserve">. Partnerības </w:t>
      </w:r>
      <w:r w:rsidR="00D00B47">
        <w:rPr>
          <w:rFonts w:cs="Times New Roman"/>
          <w:szCs w:val="24"/>
        </w:rPr>
        <w:t xml:space="preserve">līguma </w:t>
      </w:r>
      <w:r w:rsidR="0047600A">
        <w:rPr>
          <w:rFonts w:cs="Times New Roman"/>
          <w:szCs w:val="24"/>
        </w:rPr>
        <w:t>vadības grupas</w:t>
      </w:r>
      <w:r w:rsidRPr="008B353D">
        <w:rPr>
          <w:rFonts w:cs="Times New Roman"/>
          <w:szCs w:val="24"/>
        </w:rPr>
        <w:t xml:space="preserve"> ietvaros </w:t>
      </w:r>
      <w:r w:rsidR="00E70533">
        <w:rPr>
          <w:rFonts w:cs="Times New Roman"/>
          <w:szCs w:val="24"/>
        </w:rPr>
        <w:t>tiks</w:t>
      </w:r>
      <w:r w:rsidR="00E70533" w:rsidRPr="00CA152F">
        <w:rPr>
          <w:rFonts w:cs="Times New Roman"/>
          <w:szCs w:val="24"/>
        </w:rPr>
        <w:t xml:space="preserve"> </w:t>
      </w:r>
      <w:r w:rsidRPr="00CA152F">
        <w:rPr>
          <w:rFonts w:cs="Times New Roman"/>
          <w:szCs w:val="24"/>
        </w:rPr>
        <w:t xml:space="preserve">nodrošināta </w:t>
      </w:r>
      <w:r w:rsidR="00BE7CD7">
        <w:rPr>
          <w:rFonts w:cs="Times New Roman"/>
          <w:szCs w:val="24"/>
        </w:rPr>
        <w:t>Kohēzijas politikas</w:t>
      </w:r>
      <w:r w:rsidRPr="00CA152F">
        <w:rPr>
          <w:rFonts w:cs="Times New Roman"/>
          <w:szCs w:val="24"/>
        </w:rPr>
        <w:t xml:space="preserve"> plānoto un īstenošanā esošo pasākumu atbilstoša finansējuma plānošana, piesaiste un rezultātu sasniegšanas augstāka līmeņa virsuzraudzība. </w:t>
      </w:r>
    </w:p>
    <w:p w14:paraId="18D3DEAC" w14:textId="77777777" w:rsidR="00002513" w:rsidRDefault="00002513" w:rsidP="00CC0FB3">
      <w:pPr>
        <w:pStyle w:val="ListParagraph"/>
        <w:ind w:left="0"/>
        <w:jc w:val="both"/>
        <w:rPr>
          <w:rFonts w:cs="Times New Roman"/>
          <w:szCs w:val="24"/>
        </w:rPr>
      </w:pPr>
    </w:p>
    <w:p w14:paraId="66BA011F" w14:textId="10518837" w:rsidR="00D42B5E" w:rsidRDefault="00002513" w:rsidP="000334C8">
      <w:pPr>
        <w:pStyle w:val="ListParagraph"/>
        <w:ind w:left="0"/>
        <w:jc w:val="both"/>
        <w:rPr>
          <w:rFonts w:cs="Times New Roman"/>
          <w:szCs w:val="24"/>
        </w:rPr>
      </w:pPr>
      <w:r>
        <w:rPr>
          <w:rFonts w:cs="Times New Roman"/>
          <w:szCs w:val="24"/>
        </w:rPr>
        <w:t xml:space="preserve">Darbības programmas katram fondam izstrādā vadošā iestāde. </w:t>
      </w:r>
      <w:r w:rsidR="00D42B5E">
        <w:rPr>
          <w:rFonts w:cs="Times New Roman"/>
          <w:szCs w:val="24"/>
        </w:rPr>
        <w:t>Tāpat kā 2014.</w:t>
      </w:r>
      <w:r w:rsidR="000A0B11">
        <w:rPr>
          <w:rFonts w:cs="Times New Roman"/>
          <w:szCs w:val="24"/>
        </w:rPr>
        <w:t xml:space="preserve"> </w:t>
      </w:r>
      <w:r w:rsidR="00D42B5E">
        <w:rPr>
          <w:rFonts w:cs="Times New Roman"/>
          <w:szCs w:val="24"/>
        </w:rPr>
        <w:t>–</w:t>
      </w:r>
      <w:r w:rsidR="000A0B11">
        <w:rPr>
          <w:rFonts w:cs="Times New Roman"/>
          <w:szCs w:val="24"/>
        </w:rPr>
        <w:t xml:space="preserve"> </w:t>
      </w:r>
      <w:r w:rsidR="00D42B5E">
        <w:rPr>
          <w:rFonts w:cs="Times New Roman"/>
          <w:szCs w:val="24"/>
        </w:rPr>
        <w:t>2020.</w:t>
      </w:r>
      <w:r w:rsidR="000A0B11">
        <w:rPr>
          <w:rFonts w:cs="Times New Roman"/>
          <w:szCs w:val="24"/>
        </w:rPr>
        <w:t> </w:t>
      </w:r>
      <w:r w:rsidR="00D42B5E">
        <w:rPr>
          <w:rFonts w:cs="Times New Roman"/>
          <w:szCs w:val="24"/>
        </w:rPr>
        <w:t xml:space="preserve">gada plānošanas periodā FM kā </w:t>
      </w:r>
      <w:r>
        <w:rPr>
          <w:rFonts w:cs="Times New Roman"/>
          <w:szCs w:val="24"/>
        </w:rPr>
        <w:t xml:space="preserve">ES KP fondu </w:t>
      </w:r>
      <w:r w:rsidR="00D42B5E">
        <w:rPr>
          <w:rFonts w:cs="Times New Roman"/>
          <w:szCs w:val="24"/>
        </w:rPr>
        <w:t xml:space="preserve">vadošā iestāde </w:t>
      </w:r>
      <w:r w:rsidR="00AF66F6">
        <w:rPr>
          <w:rFonts w:cs="Times New Roman"/>
          <w:szCs w:val="24"/>
        </w:rPr>
        <w:t>sagatavos multifondu programmu par ERAF</w:t>
      </w:r>
      <w:r w:rsidR="009265AB">
        <w:rPr>
          <w:rFonts w:cs="Times New Roman"/>
          <w:szCs w:val="24"/>
        </w:rPr>
        <w:t xml:space="preserve"> (izņemot ETS)</w:t>
      </w:r>
      <w:r w:rsidR="00AF66F6">
        <w:rPr>
          <w:rFonts w:cs="Times New Roman"/>
          <w:szCs w:val="24"/>
        </w:rPr>
        <w:t>, ESF+</w:t>
      </w:r>
      <w:r w:rsidR="009265AB">
        <w:rPr>
          <w:rFonts w:cs="Times New Roman"/>
          <w:szCs w:val="24"/>
        </w:rPr>
        <w:t xml:space="preserve"> (izņemot FEAD)</w:t>
      </w:r>
      <w:r w:rsidR="00AF66F6">
        <w:rPr>
          <w:rFonts w:cs="Times New Roman"/>
          <w:szCs w:val="24"/>
        </w:rPr>
        <w:t xml:space="preserve"> un KF</w:t>
      </w:r>
      <w:r w:rsidR="00E70533">
        <w:rPr>
          <w:rFonts w:cs="Times New Roman"/>
          <w:szCs w:val="24"/>
        </w:rPr>
        <w:t xml:space="preserve"> investīcijām</w:t>
      </w:r>
      <w:r w:rsidR="009265AB">
        <w:rPr>
          <w:rFonts w:cs="Times New Roman"/>
          <w:szCs w:val="24"/>
        </w:rPr>
        <w:t xml:space="preserve">. VARAM kā </w:t>
      </w:r>
      <w:r w:rsidR="00B4476C">
        <w:rPr>
          <w:rFonts w:cs="Times New Roman"/>
          <w:szCs w:val="24"/>
        </w:rPr>
        <w:lastRenderedPageBreak/>
        <w:t>nacionālā atbildīgā</w:t>
      </w:r>
      <w:r w:rsidR="009265AB">
        <w:rPr>
          <w:rFonts w:cs="Times New Roman"/>
          <w:szCs w:val="24"/>
        </w:rPr>
        <w:t xml:space="preserve"> iestāde gatavos programmas ETS investīcijām un LM kā vadošā iestāde gatavos </w:t>
      </w:r>
      <w:r w:rsidR="00B4476C">
        <w:rPr>
          <w:rFonts w:cs="Times New Roman"/>
          <w:szCs w:val="24"/>
        </w:rPr>
        <w:t xml:space="preserve">darbības </w:t>
      </w:r>
      <w:r w:rsidR="009265AB">
        <w:rPr>
          <w:rFonts w:cs="Times New Roman"/>
          <w:szCs w:val="24"/>
        </w:rPr>
        <w:t xml:space="preserve">programmu FEAD investīcijām. </w:t>
      </w:r>
    </w:p>
    <w:p w14:paraId="741AA34D" w14:textId="7EF80A28" w:rsidR="0037606A" w:rsidRDefault="0037606A" w:rsidP="000334C8">
      <w:pPr>
        <w:pStyle w:val="ListParagraph"/>
        <w:ind w:left="0"/>
        <w:jc w:val="both"/>
        <w:rPr>
          <w:rFonts w:cs="Times New Roman"/>
          <w:szCs w:val="24"/>
        </w:rPr>
      </w:pPr>
    </w:p>
    <w:p w14:paraId="7587EE47" w14:textId="6B01357F" w:rsidR="004B7C2C" w:rsidRDefault="004B7C2C" w:rsidP="00904B66">
      <w:pPr>
        <w:pStyle w:val="ListParagraph"/>
        <w:tabs>
          <w:tab w:val="left" w:pos="426"/>
        </w:tabs>
        <w:ind w:left="0"/>
        <w:jc w:val="both"/>
      </w:pPr>
    </w:p>
    <w:p w14:paraId="7ACD13FF" w14:textId="77777777" w:rsidR="004B7C2C" w:rsidRPr="004B7C2C" w:rsidRDefault="004B7C2C" w:rsidP="004B7C2C">
      <w:pPr>
        <w:pStyle w:val="ListParagraph"/>
        <w:numPr>
          <w:ilvl w:val="0"/>
          <w:numId w:val="11"/>
        </w:numPr>
        <w:rPr>
          <w:b/>
        </w:rPr>
      </w:pPr>
      <w:r w:rsidRPr="004B7C2C">
        <w:rPr>
          <w:b/>
        </w:rPr>
        <w:t>Ieguldījumu priekšnosacījumi</w:t>
      </w:r>
    </w:p>
    <w:p w14:paraId="288527BB" w14:textId="77777777" w:rsidR="004B7C2C" w:rsidRDefault="004B7C2C" w:rsidP="004B7C2C"/>
    <w:p w14:paraId="175201C9" w14:textId="77777777" w:rsidR="004B7C2C" w:rsidRDefault="004B7C2C" w:rsidP="004B7C2C">
      <w:pPr>
        <w:jc w:val="center"/>
        <w:rPr>
          <w:i/>
        </w:rPr>
      </w:pPr>
    </w:p>
    <w:p w14:paraId="401B2F1F" w14:textId="22E35676" w:rsidR="004B7C2C" w:rsidRPr="00E8503F" w:rsidRDefault="004B7C2C" w:rsidP="004B7C2C">
      <w:pPr>
        <w:jc w:val="both"/>
        <w:rPr>
          <w:sz w:val="28"/>
          <w:szCs w:val="28"/>
        </w:rPr>
      </w:pPr>
      <w:r w:rsidRPr="00E8503F">
        <w:rPr>
          <w:sz w:val="28"/>
          <w:szCs w:val="28"/>
        </w:rPr>
        <w:t xml:space="preserve">Katra specifiskā atbalsta mērķa rezultatīvai un efektīvai īstenošanai Kopējās fondu regulas </w:t>
      </w:r>
      <w:r w:rsidR="0031638D">
        <w:rPr>
          <w:sz w:val="28"/>
          <w:szCs w:val="28"/>
        </w:rPr>
        <w:t xml:space="preserve">priekšlikuma </w:t>
      </w:r>
      <w:r w:rsidRPr="00E8503F">
        <w:rPr>
          <w:sz w:val="28"/>
          <w:szCs w:val="28"/>
        </w:rPr>
        <w:t xml:space="preserve">3. un 4. pielikumā noteikti </w:t>
      </w:r>
      <w:r w:rsidR="001D6056">
        <w:rPr>
          <w:sz w:val="28"/>
          <w:szCs w:val="28"/>
        </w:rPr>
        <w:t>ieguldījumu priekšnosacījumi</w:t>
      </w:r>
      <w:r w:rsidRPr="00E8503F">
        <w:rPr>
          <w:sz w:val="28"/>
          <w:szCs w:val="28"/>
        </w:rPr>
        <w:t xml:space="preserve"> (</w:t>
      </w:r>
      <w:r w:rsidRPr="00E8503F">
        <w:rPr>
          <w:i/>
          <w:sz w:val="28"/>
          <w:szCs w:val="28"/>
        </w:rPr>
        <w:t>enabling conditions</w:t>
      </w:r>
      <w:r w:rsidRPr="00E8503F">
        <w:rPr>
          <w:sz w:val="28"/>
          <w:szCs w:val="28"/>
        </w:rPr>
        <w:t xml:space="preserve">), kas </w:t>
      </w:r>
      <w:r w:rsidR="00BB7FEC">
        <w:rPr>
          <w:sz w:val="28"/>
          <w:szCs w:val="28"/>
        </w:rPr>
        <w:t>d</w:t>
      </w:r>
      <w:r w:rsidR="00BB7FEC" w:rsidRPr="00E8503F">
        <w:rPr>
          <w:sz w:val="28"/>
          <w:szCs w:val="28"/>
        </w:rPr>
        <w:t xml:space="preserve">alībvalstīm </w:t>
      </w:r>
      <w:r w:rsidRPr="00E8503F">
        <w:rPr>
          <w:sz w:val="28"/>
          <w:szCs w:val="28"/>
        </w:rPr>
        <w:t xml:space="preserve">jāizpilda, lai visā plānošanas perioda laikā veiktu </w:t>
      </w:r>
      <w:r w:rsidR="00CF02AE">
        <w:rPr>
          <w:sz w:val="28"/>
          <w:szCs w:val="28"/>
        </w:rPr>
        <w:t xml:space="preserve">un attiecinātu </w:t>
      </w:r>
      <w:r w:rsidRPr="00E8503F">
        <w:rPr>
          <w:sz w:val="28"/>
          <w:szCs w:val="28"/>
        </w:rPr>
        <w:t>ES fondu ieguldījumus.</w:t>
      </w:r>
    </w:p>
    <w:p w14:paraId="6DEB8D74" w14:textId="77777777" w:rsidR="004B7C2C" w:rsidRPr="00E8503F" w:rsidRDefault="004B7C2C" w:rsidP="004B7C2C">
      <w:pPr>
        <w:jc w:val="both"/>
        <w:rPr>
          <w:sz w:val="28"/>
          <w:szCs w:val="28"/>
        </w:rPr>
      </w:pPr>
    </w:p>
    <w:p w14:paraId="009E8924" w14:textId="0678B45A" w:rsidR="004B7C2C" w:rsidRPr="00E8503F" w:rsidRDefault="004B7C2C" w:rsidP="004B7C2C">
      <w:pPr>
        <w:jc w:val="both"/>
        <w:rPr>
          <w:sz w:val="28"/>
          <w:szCs w:val="28"/>
        </w:rPr>
      </w:pPr>
      <w:r w:rsidRPr="00E8503F">
        <w:rPr>
          <w:sz w:val="28"/>
          <w:szCs w:val="28"/>
        </w:rPr>
        <w:t>Ieguldījumu priekšnosacījum</w:t>
      </w:r>
      <w:r w:rsidR="00E8503F" w:rsidRPr="00E8503F">
        <w:rPr>
          <w:sz w:val="28"/>
          <w:szCs w:val="28"/>
        </w:rPr>
        <w:t>u</w:t>
      </w:r>
      <w:r w:rsidRPr="00E8503F">
        <w:rPr>
          <w:sz w:val="28"/>
          <w:szCs w:val="28"/>
        </w:rPr>
        <w:t xml:space="preserve"> izpildes novērtējums jāiekļauj darbības programmā. Saskaņā ar </w:t>
      </w:r>
      <w:r w:rsidR="001D6056">
        <w:rPr>
          <w:sz w:val="28"/>
          <w:szCs w:val="28"/>
        </w:rPr>
        <w:t>Kopēj</w:t>
      </w:r>
      <w:r w:rsidR="0031638D">
        <w:rPr>
          <w:sz w:val="28"/>
          <w:szCs w:val="28"/>
        </w:rPr>
        <w:t>ās</w:t>
      </w:r>
      <w:r w:rsidR="001D6056">
        <w:rPr>
          <w:sz w:val="28"/>
          <w:szCs w:val="28"/>
        </w:rPr>
        <w:t xml:space="preserve"> fondu </w:t>
      </w:r>
      <w:r w:rsidRPr="00E8503F">
        <w:rPr>
          <w:sz w:val="28"/>
          <w:szCs w:val="28"/>
        </w:rPr>
        <w:t>regul</w:t>
      </w:r>
      <w:r w:rsidR="0031638D">
        <w:rPr>
          <w:sz w:val="28"/>
          <w:szCs w:val="28"/>
        </w:rPr>
        <w:t>as priekšlikum</w:t>
      </w:r>
      <w:r w:rsidRPr="00E8503F">
        <w:rPr>
          <w:sz w:val="28"/>
          <w:szCs w:val="28"/>
        </w:rPr>
        <w:t>u</w:t>
      </w:r>
      <w:r w:rsidR="00845753">
        <w:rPr>
          <w:rStyle w:val="FootnoteReference"/>
          <w:sz w:val="28"/>
          <w:szCs w:val="28"/>
        </w:rPr>
        <w:footnoteReference w:id="7"/>
      </w:r>
      <w:r w:rsidRPr="00E8503F">
        <w:rPr>
          <w:sz w:val="28"/>
          <w:szCs w:val="28"/>
        </w:rPr>
        <w:t>, ieguldījumu priekšnosacījums ir izpildīts, ja ir izpildīti visi tā izpildes saistītie kritēriji.</w:t>
      </w:r>
    </w:p>
    <w:p w14:paraId="5CFFD011" w14:textId="77777777" w:rsidR="004B7C2C" w:rsidRDefault="004B7C2C" w:rsidP="004B7C2C">
      <w:pPr>
        <w:jc w:val="both"/>
      </w:pPr>
    </w:p>
    <w:p w14:paraId="071A2C7C" w14:textId="0AA48A7C" w:rsidR="0023546B" w:rsidRDefault="00E8503F" w:rsidP="004B7C2C">
      <w:pPr>
        <w:jc w:val="both"/>
        <w:rPr>
          <w:sz w:val="28"/>
          <w:szCs w:val="28"/>
        </w:rPr>
      </w:pPr>
      <w:r w:rsidRPr="00E8503F">
        <w:rPr>
          <w:sz w:val="28"/>
          <w:szCs w:val="28"/>
        </w:rPr>
        <w:t>Kopējā</w:t>
      </w:r>
      <w:r w:rsidR="0031638D">
        <w:rPr>
          <w:sz w:val="28"/>
          <w:szCs w:val="28"/>
        </w:rPr>
        <w:t>s</w:t>
      </w:r>
      <w:r w:rsidRPr="00E8503F">
        <w:rPr>
          <w:sz w:val="28"/>
          <w:szCs w:val="28"/>
        </w:rPr>
        <w:t xml:space="preserve"> fondu </w:t>
      </w:r>
      <w:r w:rsidR="004B7C2C" w:rsidRPr="00E8503F">
        <w:rPr>
          <w:sz w:val="28"/>
          <w:szCs w:val="28"/>
        </w:rPr>
        <w:t>regula</w:t>
      </w:r>
      <w:r w:rsidR="0031638D">
        <w:rPr>
          <w:sz w:val="28"/>
          <w:szCs w:val="28"/>
        </w:rPr>
        <w:t>s priekšlikums</w:t>
      </w:r>
      <w:r w:rsidR="004B7C2C" w:rsidRPr="00E8503F">
        <w:rPr>
          <w:sz w:val="28"/>
          <w:szCs w:val="28"/>
        </w:rPr>
        <w:t xml:space="preserve"> paredz 4 vispārējos (horizontālos) ieguldījumu priekšnosacījumus un 1</w:t>
      </w:r>
      <w:r w:rsidR="00712558">
        <w:rPr>
          <w:sz w:val="28"/>
          <w:szCs w:val="28"/>
        </w:rPr>
        <w:t>5</w:t>
      </w:r>
      <w:r w:rsidR="004B7C2C" w:rsidRPr="00E8503F">
        <w:rPr>
          <w:sz w:val="28"/>
          <w:szCs w:val="28"/>
        </w:rPr>
        <w:t xml:space="preserve"> tematiskos ieguldījumu priekšnosacījumus (ieguldījumu priekšnosacījumu skaits dalījumā pa fondiem ir atšķirīgs).</w:t>
      </w:r>
      <w:r w:rsidR="00164B1E">
        <w:rPr>
          <w:sz w:val="28"/>
          <w:szCs w:val="28"/>
        </w:rPr>
        <w:t xml:space="preserve"> </w:t>
      </w:r>
    </w:p>
    <w:p w14:paraId="7C33C5BD" w14:textId="0CAD1149" w:rsidR="00360CFA" w:rsidRDefault="0023546B" w:rsidP="00CF3C5D">
      <w:pPr>
        <w:spacing w:after="120"/>
        <w:jc w:val="both"/>
        <w:rPr>
          <w:sz w:val="28"/>
          <w:szCs w:val="28"/>
        </w:rPr>
      </w:pPr>
      <w:r w:rsidRPr="00E13AD3">
        <w:rPr>
          <w:sz w:val="28"/>
          <w:szCs w:val="28"/>
        </w:rPr>
        <w:t>Ieguldījumu priekšnosacījum</w:t>
      </w:r>
      <w:r w:rsidR="00F4617B">
        <w:rPr>
          <w:sz w:val="28"/>
          <w:szCs w:val="28"/>
        </w:rPr>
        <w:t>i</w:t>
      </w:r>
      <w:r w:rsidR="00360CFA" w:rsidRPr="00E13AD3">
        <w:rPr>
          <w:sz w:val="28"/>
          <w:szCs w:val="28"/>
        </w:rPr>
        <w:t>, kritērij</w:t>
      </w:r>
      <w:r w:rsidR="00F4617B">
        <w:rPr>
          <w:sz w:val="28"/>
          <w:szCs w:val="28"/>
        </w:rPr>
        <w:t>i</w:t>
      </w:r>
      <w:r w:rsidRPr="00E13AD3">
        <w:rPr>
          <w:sz w:val="28"/>
          <w:szCs w:val="28"/>
        </w:rPr>
        <w:t xml:space="preserve"> un atbildīg</w:t>
      </w:r>
      <w:r w:rsidR="00F4617B">
        <w:rPr>
          <w:sz w:val="28"/>
          <w:szCs w:val="28"/>
        </w:rPr>
        <w:t>ie</w:t>
      </w:r>
      <w:r w:rsidRPr="00E13AD3">
        <w:rPr>
          <w:sz w:val="28"/>
          <w:szCs w:val="28"/>
        </w:rPr>
        <w:t xml:space="preserve"> par katra priekšnosacījuma izpildi </w:t>
      </w:r>
      <w:r w:rsidR="00F4617B" w:rsidRPr="00E15B7A">
        <w:rPr>
          <w:sz w:val="28"/>
          <w:szCs w:val="28"/>
        </w:rPr>
        <w:t>iekļauti</w:t>
      </w:r>
      <w:r w:rsidRPr="00E15B7A">
        <w:rPr>
          <w:sz w:val="28"/>
          <w:szCs w:val="28"/>
        </w:rPr>
        <w:t xml:space="preserve"> </w:t>
      </w:r>
      <w:r w:rsidR="002A1468" w:rsidRPr="00E15B7A">
        <w:rPr>
          <w:sz w:val="28"/>
          <w:szCs w:val="28"/>
        </w:rPr>
        <w:t xml:space="preserve">šī ziņojuma </w:t>
      </w:r>
      <w:r w:rsidR="00E15B7A" w:rsidRPr="00E15B7A">
        <w:rPr>
          <w:sz w:val="28"/>
          <w:szCs w:val="28"/>
        </w:rPr>
        <w:t>1</w:t>
      </w:r>
      <w:r w:rsidRPr="00E15B7A">
        <w:rPr>
          <w:sz w:val="28"/>
          <w:szCs w:val="28"/>
        </w:rPr>
        <w:t>.</w:t>
      </w:r>
      <w:r w:rsidR="000A0B11">
        <w:rPr>
          <w:sz w:val="28"/>
          <w:szCs w:val="28"/>
        </w:rPr>
        <w:t> </w:t>
      </w:r>
      <w:r w:rsidR="00E15B7A">
        <w:rPr>
          <w:sz w:val="28"/>
          <w:szCs w:val="28"/>
        </w:rPr>
        <w:t>p</w:t>
      </w:r>
      <w:r w:rsidRPr="00E15B7A">
        <w:rPr>
          <w:sz w:val="28"/>
          <w:szCs w:val="28"/>
        </w:rPr>
        <w:t>ielikumā</w:t>
      </w:r>
      <w:r w:rsidR="00164B1E" w:rsidRPr="00E15B7A">
        <w:rPr>
          <w:sz w:val="28"/>
          <w:szCs w:val="28"/>
        </w:rPr>
        <w:t>:</w:t>
      </w:r>
    </w:p>
    <w:p w14:paraId="4F86ED07" w14:textId="5CDDED45" w:rsidR="00164B1E" w:rsidRPr="00963F06" w:rsidRDefault="00164B1E" w:rsidP="00F07887">
      <w:pPr>
        <w:pStyle w:val="ListParagraph"/>
        <w:numPr>
          <w:ilvl w:val="0"/>
          <w:numId w:val="20"/>
        </w:numPr>
        <w:spacing w:after="120"/>
        <w:jc w:val="both"/>
        <w:rPr>
          <w:szCs w:val="28"/>
        </w:rPr>
      </w:pPr>
      <w:r w:rsidRPr="00164B1E">
        <w:rPr>
          <w:szCs w:val="28"/>
        </w:rPr>
        <w:t xml:space="preserve">Par horizontālajiem priekšnosacījumiem ir atbildīga </w:t>
      </w:r>
      <w:r w:rsidR="000A0B11">
        <w:rPr>
          <w:szCs w:val="28"/>
        </w:rPr>
        <w:t>FM</w:t>
      </w:r>
      <w:r w:rsidRPr="00164B1E">
        <w:rPr>
          <w:szCs w:val="28"/>
        </w:rPr>
        <w:t xml:space="preserve">, Tieslietu ministrija, Ārlietu ministrija un </w:t>
      </w:r>
      <w:r w:rsidR="000A0B11">
        <w:rPr>
          <w:szCs w:val="28"/>
        </w:rPr>
        <w:t>LM</w:t>
      </w:r>
      <w:r w:rsidRPr="00164B1E">
        <w:rPr>
          <w:szCs w:val="28"/>
        </w:rPr>
        <w:t>.</w:t>
      </w:r>
    </w:p>
    <w:p w14:paraId="06400096" w14:textId="77777777" w:rsidR="00164B1E" w:rsidRPr="007E0855" w:rsidRDefault="00164B1E" w:rsidP="00F07887">
      <w:pPr>
        <w:pStyle w:val="ListParagraph"/>
        <w:numPr>
          <w:ilvl w:val="0"/>
          <w:numId w:val="20"/>
        </w:numPr>
        <w:spacing w:after="120"/>
        <w:jc w:val="both"/>
        <w:rPr>
          <w:szCs w:val="28"/>
        </w:rPr>
      </w:pPr>
      <w:r w:rsidRPr="007E0855">
        <w:rPr>
          <w:szCs w:val="28"/>
        </w:rPr>
        <w:t>Politikas mērķa “Viedāka Eiropa” ietvaros par priekšnosacījumiem ir atbildīga Izglītības un zinātnes ministrija, Ekonomikas ministrija.</w:t>
      </w:r>
    </w:p>
    <w:p w14:paraId="60632234" w14:textId="52133E10" w:rsidR="00164B1E" w:rsidRPr="003F1C14" w:rsidRDefault="00164B1E" w:rsidP="00F07887">
      <w:pPr>
        <w:pStyle w:val="ListParagraph"/>
        <w:numPr>
          <w:ilvl w:val="0"/>
          <w:numId w:val="20"/>
        </w:numPr>
        <w:spacing w:after="120"/>
        <w:jc w:val="both"/>
        <w:rPr>
          <w:szCs w:val="28"/>
        </w:rPr>
      </w:pPr>
      <w:r w:rsidRPr="003F1C14">
        <w:rPr>
          <w:szCs w:val="28"/>
        </w:rPr>
        <w:t xml:space="preserve">Politikas mērķa “Zaļāka Eiropa” ietvaros par priekšnosacījumiem ir atbildīga Ekonomikas ministrija, </w:t>
      </w:r>
      <w:r w:rsidR="000A0B11">
        <w:rPr>
          <w:szCs w:val="28"/>
        </w:rPr>
        <w:t>VARAM</w:t>
      </w:r>
      <w:r w:rsidRPr="003F1C14">
        <w:rPr>
          <w:szCs w:val="28"/>
        </w:rPr>
        <w:t xml:space="preserve">, </w:t>
      </w:r>
      <w:r w:rsidR="00E13D88">
        <w:rPr>
          <w:szCs w:val="28"/>
        </w:rPr>
        <w:t>IeM</w:t>
      </w:r>
      <w:r w:rsidRPr="003F1C14">
        <w:rPr>
          <w:szCs w:val="28"/>
        </w:rPr>
        <w:t>.</w:t>
      </w:r>
    </w:p>
    <w:p w14:paraId="56240912" w14:textId="77777777" w:rsidR="00164B1E" w:rsidRPr="00380389" w:rsidRDefault="00164B1E" w:rsidP="00F07887">
      <w:pPr>
        <w:pStyle w:val="ListParagraph"/>
        <w:numPr>
          <w:ilvl w:val="0"/>
          <w:numId w:val="20"/>
        </w:numPr>
        <w:spacing w:after="120"/>
        <w:jc w:val="both"/>
        <w:rPr>
          <w:szCs w:val="28"/>
        </w:rPr>
      </w:pPr>
      <w:r w:rsidRPr="00380389">
        <w:rPr>
          <w:szCs w:val="28"/>
        </w:rPr>
        <w:t>Politikas mērķa “Ciešāk savienota Eiropa” ietvaros par priekšnosacījumiem ir atbildīga Satiksmes ministrija.</w:t>
      </w:r>
    </w:p>
    <w:p w14:paraId="3F7CCBC2" w14:textId="1C4459D3" w:rsidR="00164B1E" w:rsidRPr="00AE7441" w:rsidRDefault="00164B1E" w:rsidP="00F07887">
      <w:pPr>
        <w:pStyle w:val="ListParagraph"/>
        <w:numPr>
          <w:ilvl w:val="0"/>
          <w:numId w:val="20"/>
        </w:numPr>
        <w:spacing w:after="120"/>
        <w:jc w:val="both"/>
        <w:rPr>
          <w:szCs w:val="28"/>
        </w:rPr>
      </w:pPr>
      <w:r w:rsidRPr="00596974">
        <w:rPr>
          <w:szCs w:val="28"/>
        </w:rPr>
        <w:t xml:space="preserve">Politikas mērķa “Sociālāka Eiropa” ietvaros par priekšnosacījumiem ir atbildīga </w:t>
      </w:r>
      <w:r w:rsidR="00E13D88">
        <w:rPr>
          <w:szCs w:val="28"/>
        </w:rPr>
        <w:t>LM</w:t>
      </w:r>
      <w:r w:rsidRPr="00596974">
        <w:rPr>
          <w:szCs w:val="28"/>
        </w:rPr>
        <w:t>, Tieslietu ministrija, Izglītības un zinātnes ministrija, Kultūras ministrija Veselības ministrija.</w:t>
      </w:r>
    </w:p>
    <w:p w14:paraId="627A1C41" w14:textId="6AC1E1A9" w:rsidR="00164B1E" w:rsidRPr="00E13AD3" w:rsidRDefault="00C27EE3" w:rsidP="00CF3C5D">
      <w:pPr>
        <w:spacing w:after="120"/>
        <w:jc w:val="both"/>
        <w:rPr>
          <w:sz w:val="28"/>
          <w:szCs w:val="28"/>
        </w:rPr>
      </w:pPr>
      <w:r>
        <w:rPr>
          <w:sz w:val="28"/>
          <w:szCs w:val="28"/>
        </w:rPr>
        <w:t>1.</w:t>
      </w:r>
      <w:r w:rsidR="004430E6">
        <w:rPr>
          <w:sz w:val="28"/>
          <w:szCs w:val="28"/>
        </w:rPr>
        <w:t> </w:t>
      </w:r>
      <w:r>
        <w:rPr>
          <w:sz w:val="28"/>
          <w:szCs w:val="28"/>
        </w:rPr>
        <w:t>pielikumā norādītais atbildīgo institūciju sadalījums tiks precizēts, papildinot tās ar līdzatbildīgajām institūcijām, sagatavojot informāciju darbības programmas veidlapai, ņemot vērā, ka šobrīd nav nodefinētas pamatnostādnes un plānošanas dokumenti, kas aptver 2021.</w:t>
      </w:r>
      <w:r w:rsidR="004430E6">
        <w:rPr>
          <w:sz w:val="28"/>
          <w:szCs w:val="28"/>
        </w:rPr>
        <w:t> </w:t>
      </w:r>
      <w:r>
        <w:rPr>
          <w:sz w:val="28"/>
          <w:szCs w:val="28"/>
        </w:rPr>
        <w:t>-</w:t>
      </w:r>
      <w:r w:rsidR="004430E6">
        <w:rPr>
          <w:sz w:val="28"/>
          <w:szCs w:val="28"/>
        </w:rPr>
        <w:t> </w:t>
      </w:r>
      <w:r>
        <w:rPr>
          <w:sz w:val="28"/>
          <w:szCs w:val="28"/>
        </w:rPr>
        <w:t xml:space="preserve">2027.gada plānošanas periodu. </w:t>
      </w:r>
    </w:p>
    <w:p w14:paraId="7838E980" w14:textId="2A6854D4" w:rsidR="00360CFA" w:rsidRPr="00E13AD3" w:rsidRDefault="00E13AD3" w:rsidP="00CF3C5D">
      <w:pPr>
        <w:spacing w:after="120"/>
        <w:jc w:val="both"/>
        <w:rPr>
          <w:sz w:val="28"/>
          <w:szCs w:val="28"/>
        </w:rPr>
      </w:pPr>
      <w:r w:rsidRPr="00E13AD3">
        <w:rPr>
          <w:sz w:val="28"/>
          <w:szCs w:val="28"/>
        </w:rPr>
        <w:lastRenderedPageBreak/>
        <w:t>Ieguldījumu priekšnosacījum</w:t>
      </w:r>
      <w:r w:rsidR="00F4617B">
        <w:rPr>
          <w:sz w:val="28"/>
          <w:szCs w:val="28"/>
        </w:rPr>
        <w:t xml:space="preserve">i </w:t>
      </w:r>
      <w:r w:rsidRPr="00E13AD3">
        <w:rPr>
          <w:sz w:val="28"/>
          <w:szCs w:val="28"/>
        </w:rPr>
        <w:t xml:space="preserve">un </w:t>
      </w:r>
      <w:r w:rsidR="00F47D7B">
        <w:rPr>
          <w:sz w:val="28"/>
          <w:szCs w:val="28"/>
        </w:rPr>
        <w:t>k</w:t>
      </w:r>
      <w:r w:rsidR="00360CFA" w:rsidRPr="00E13AD3">
        <w:rPr>
          <w:sz w:val="28"/>
          <w:szCs w:val="28"/>
        </w:rPr>
        <w:t>ritērij</w:t>
      </w:r>
      <w:r w:rsidR="00F4617B">
        <w:rPr>
          <w:sz w:val="28"/>
          <w:szCs w:val="28"/>
        </w:rPr>
        <w:t>i ti</w:t>
      </w:r>
      <w:r w:rsidR="00F07887">
        <w:rPr>
          <w:sz w:val="28"/>
          <w:szCs w:val="28"/>
        </w:rPr>
        <w:t>e</w:t>
      </w:r>
      <w:r w:rsidR="00F4617B">
        <w:rPr>
          <w:sz w:val="28"/>
          <w:szCs w:val="28"/>
        </w:rPr>
        <w:t>k uzskatīti par</w:t>
      </w:r>
      <w:r w:rsidR="00360CFA" w:rsidRPr="00E13AD3">
        <w:rPr>
          <w:sz w:val="28"/>
          <w:szCs w:val="28"/>
        </w:rPr>
        <w:t xml:space="preserve"> izpild</w:t>
      </w:r>
      <w:r w:rsidR="00F4617B">
        <w:rPr>
          <w:sz w:val="28"/>
          <w:szCs w:val="28"/>
        </w:rPr>
        <w:t xml:space="preserve">ītiem, kad </w:t>
      </w:r>
      <w:r w:rsidR="00F2417C">
        <w:rPr>
          <w:sz w:val="28"/>
          <w:szCs w:val="28"/>
        </w:rPr>
        <w:t>ti</w:t>
      </w:r>
      <w:r w:rsidR="00F07887">
        <w:rPr>
          <w:sz w:val="28"/>
          <w:szCs w:val="28"/>
        </w:rPr>
        <w:t>e</w:t>
      </w:r>
      <w:r w:rsidR="00F2417C">
        <w:rPr>
          <w:sz w:val="28"/>
          <w:szCs w:val="28"/>
        </w:rPr>
        <w:t>k</w:t>
      </w:r>
      <w:r w:rsidR="00F4617B">
        <w:rPr>
          <w:sz w:val="28"/>
          <w:szCs w:val="28"/>
        </w:rPr>
        <w:t xml:space="preserve"> </w:t>
      </w:r>
      <w:r w:rsidR="00360CFA" w:rsidRPr="00E13AD3">
        <w:rPr>
          <w:sz w:val="28"/>
          <w:szCs w:val="28"/>
        </w:rPr>
        <w:t xml:space="preserve">nodrošināta nozares politikas dokumentu, normatīvo regulējumu, informācijas sistēmu </w:t>
      </w:r>
      <w:r w:rsidR="00F47D7B">
        <w:rPr>
          <w:sz w:val="28"/>
          <w:szCs w:val="28"/>
        </w:rPr>
        <w:t>un citu rīku</w:t>
      </w:r>
      <w:r w:rsidR="00360CFA" w:rsidRPr="00E13AD3">
        <w:rPr>
          <w:sz w:val="28"/>
          <w:szCs w:val="28"/>
        </w:rPr>
        <w:t xml:space="preserve"> </w:t>
      </w:r>
      <w:r w:rsidR="00F47D7B">
        <w:rPr>
          <w:sz w:val="28"/>
          <w:szCs w:val="28"/>
        </w:rPr>
        <w:t>izstrād</w:t>
      </w:r>
      <w:r w:rsidR="00F4617B">
        <w:rPr>
          <w:sz w:val="28"/>
          <w:szCs w:val="28"/>
        </w:rPr>
        <w:t>e</w:t>
      </w:r>
      <w:r w:rsidR="00F2417C">
        <w:rPr>
          <w:sz w:val="28"/>
          <w:szCs w:val="28"/>
        </w:rPr>
        <w:t xml:space="preserve">, proti, </w:t>
      </w:r>
      <w:r w:rsidR="00F4617B">
        <w:rPr>
          <w:sz w:val="28"/>
          <w:szCs w:val="28"/>
        </w:rPr>
        <w:t xml:space="preserve">līdz ar to </w:t>
      </w:r>
      <w:r w:rsidR="00F47D7B">
        <w:rPr>
          <w:sz w:val="28"/>
          <w:szCs w:val="28"/>
        </w:rPr>
        <w:t xml:space="preserve">spēkā stāšanās brīdi. </w:t>
      </w:r>
    </w:p>
    <w:p w14:paraId="790BBB74" w14:textId="13E94700" w:rsidR="00CA574D" w:rsidRDefault="00CA574D" w:rsidP="00CF3C5D">
      <w:pPr>
        <w:spacing w:after="120"/>
        <w:jc w:val="both"/>
        <w:rPr>
          <w:sz w:val="28"/>
          <w:szCs w:val="28"/>
        </w:rPr>
      </w:pPr>
      <w:r w:rsidRPr="00211D1F">
        <w:rPr>
          <w:sz w:val="28"/>
          <w:szCs w:val="28"/>
        </w:rPr>
        <w:t>Kopējā</w:t>
      </w:r>
      <w:r w:rsidR="0031638D">
        <w:rPr>
          <w:sz w:val="28"/>
          <w:szCs w:val="28"/>
        </w:rPr>
        <w:t>s</w:t>
      </w:r>
      <w:r w:rsidRPr="00211D1F">
        <w:rPr>
          <w:sz w:val="28"/>
          <w:szCs w:val="28"/>
        </w:rPr>
        <w:t xml:space="preserve"> fondu regula</w:t>
      </w:r>
      <w:r w:rsidR="0031638D">
        <w:rPr>
          <w:sz w:val="28"/>
          <w:szCs w:val="28"/>
        </w:rPr>
        <w:t>s priekšlikums</w:t>
      </w:r>
      <w:r w:rsidRPr="00211D1F">
        <w:rPr>
          <w:sz w:val="28"/>
          <w:szCs w:val="28"/>
        </w:rPr>
        <w:t xml:space="preserve"> paredz, ka izdevumus par darbībām, kas saistītas ar specifisko atbalsta mērķi, nevar iekļaut maksājuma pieteikumos, kamēr </w:t>
      </w:r>
      <w:r w:rsidR="00753D62">
        <w:rPr>
          <w:sz w:val="28"/>
          <w:szCs w:val="28"/>
        </w:rPr>
        <w:t>EK</w:t>
      </w:r>
      <w:r w:rsidRPr="00480914">
        <w:rPr>
          <w:sz w:val="28"/>
          <w:szCs w:val="28"/>
        </w:rPr>
        <w:t xml:space="preserve"> nav informējusi dalībvalsti par </w:t>
      </w:r>
      <w:r w:rsidR="00753D62">
        <w:rPr>
          <w:sz w:val="28"/>
          <w:szCs w:val="28"/>
        </w:rPr>
        <w:t>ieguldījumu priekšnosacījuma</w:t>
      </w:r>
      <w:r w:rsidRPr="00480914">
        <w:rPr>
          <w:sz w:val="28"/>
          <w:szCs w:val="28"/>
        </w:rPr>
        <w:t xml:space="preserve"> izpildi.</w:t>
      </w:r>
    </w:p>
    <w:p w14:paraId="6D92A783" w14:textId="4EAA1A7B" w:rsidR="00844E8D" w:rsidRDefault="00844E8D" w:rsidP="00CF3C5D">
      <w:pPr>
        <w:spacing w:after="120"/>
        <w:jc w:val="both"/>
        <w:rPr>
          <w:sz w:val="28"/>
          <w:szCs w:val="28"/>
        </w:rPr>
      </w:pPr>
      <w:r>
        <w:rPr>
          <w:sz w:val="28"/>
          <w:szCs w:val="28"/>
        </w:rPr>
        <w:t>Informācija par ieguldījumu priekšnosacījumu izpildi vai neizpildi tiks iesniegta EK kopā ar Partnerības līgumu un ES KP fondu darbības programmu.</w:t>
      </w:r>
    </w:p>
    <w:p w14:paraId="7AFEB821" w14:textId="3BCD9912" w:rsidR="00E54186" w:rsidRPr="00E54186" w:rsidRDefault="00844E8D" w:rsidP="00CF3C5D">
      <w:pPr>
        <w:spacing w:after="120"/>
        <w:jc w:val="both"/>
        <w:rPr>
          <w:sz w:val="28"/>
          <w:szCs w:val="28"/>
        </w:rPr>
      </w:pPr>
      <w:r>
        <w:rPr>
          <w:sz w:val="28"/>
          <w:szCs w:val="28"/>
        </w:rPr>
        <w:t xml:space="preserve">Ja ieguldījumu priekšnosacījums nav izpildīts uz ES KP fondu darbības programmas </w:t>
      </w:r>
      <w:r w:rsidRPr="00E15B7A">
        <w:rPr>
          <w:sz w:val="28"/>
          <w:szCs w:val="28"/>
        </w:rPr>
        <w:t>iesniegšanas EK brīdi, k</w:t>
      </w:r>
      <w:r w:rsidR="0023546B" w:rsidRPr="00E15B7A">
        <w:rPr>
          <w:sz w:val="28"/>
          <w:szCs w:val="28"/>
        </w:rPr>
        <w:t>atra</w:t>
      </w:r>
      <w:r w:rsidR="00164B1E" w:rsidRPr="00E15B7A">
        <w:rPr>
          <w:sz w:val="28"/>
          <w:szCs w:val="28"/>
        </w:rPr>
        <w:t>i</w:t>
      </w:r>
      <w:r w:rsidR="0023546B" w:rsidRPr="00E15B7A">
        <w:rPr>
          <w:sz w:val="28"/>
          <w:szCs w:val="28"/>
        </w:rPr>
        <w:t xml:space="preserve"> atbildīg</w:t>
      </w:r>
      <w:r w:rsidR="00164B1E" w:rsidRPr="00E15B7A">
        <w:rPr>
          <w:sz w:val="28"/>
          <w:szCs w:val="28"/>
        </w:rPr>
        <w:t>ajai</w:t>
      </w:r>
      <w:r w:rsidR="0023546B" w:rsidRPr="00E15B7A">
        <w:rPr>
          <w:sz w:val="28"/>
          <w:szCs w:val="28"/>
        </w:rPr>
        <w:t xml:space="preserve"> iestāde</w:t>
      </w:r>
      <w:r w:rsidR="00164B1E" w:rsidRPr="00E15B7A">
        <w:rPr>
          <w:sz w:val="28"/>
          <w:szCs w:val="28"/>
        </w:rPr>
        <w:t>i</w:t>
      </w:r>
      <w:r w:rsidR="0023546B" w:rsidRPr="00E15B7A">
        <w:rPr>
          <w:sz w:val="28"/>
          <w:szCs w:val="28"/>
        </w:rPr>
        <w:t xml:space="preserve">, kas minēta </w:t>
      </w:r>
      <w:r w:rsidR="00E15B7A" w:rsidRPr="00E15B7A">
        <w:rPr>
          <w:sz w:val="28"/>
          <w:szCs w:val="28"/>
        </w:rPr>
        <w:t>1</w:t>
      </w:r>
      <w:r w:rsidR="00807A3D" w:rsidRPr="00E15B7A">
        <w:rPr>
          <w:sz w:val="28"/>
          <w:szCs w:val="28"/>
        </w:rPr>
        <w:t>.</w:t>
      </w:r>
      <w:r w:rsidR="00E13D88">
        <w:rPr>
          <w:sz w:val="28"/>
          <w:szCs w:val="28"/>
        </w:rPr>
        <w:t> </w:t>
      </w:r>
      <w:r w:rsidR="0023546B" w:rsidRPr="00E15B7A">
        <w:rPr>
          <w:sz w:val="28"/>
          <w:szCs w:val="28"/>
        </w:rPr>
        <w:t xml:space="preserve">pielikumā, </w:t>
      </w:r>
      <w:r w:rsidR="00164B1E" w:rsidRPr="00E15B7A">
        <w:rPr>
          <w:sz w:val="28"/>
          <w:szCs w:val="28"/>
        </w:rPr>
        <w:t>jā</w:t>
      </w:r>
      <w:r w:rsidR="0023546B" w:rsidRPr="00E15B7A">
        <w:rPr>
          <w:sz w:val="28"/>
          <w:szCs w:val="28"/>
        </w:rPr>
        <w:t xml:space="preserve">ziņo </w:t>
      </w:r>
      <w:r w:rsidR="00164B1E" w:rsidRPr="00E15B7A">
        <w:rPr>
          <w:sz w:val="28"/>
          <w:szCs w:val="28"/>
        </w:rPr>
        <w:t xml:space="preserve">FM </w:t>
      </w:r>
      <w:r w:rsidR="0023546B" w:rsidRPr="00E15B7A">
        <w:rPr>
          <w:sz w:val="28"/>
          <w:szCs w:val="28"/>
        </w:rPr>
        <w:t>par</w:t>
      </w:r>
      <w:r w:rsidR="0023546B" w:rsidRPr="00E13AD3">
        <w:rPr>
          <w:sz w:val="28"/>
          <w:szCs w:val="28"/>
        </w:rPr>
        <w:t xml:space="preserve"> priekšnosacījuma izpildi</w:t>
      </w:r>
      <w:r w:rsidR="00164B1E">
        <w:rPr>
          <w:sz w:val="28"/>
          <w:szCs w:val="28"/>
        </w:rPr>
        <w:t xml:space="preserve"> </w:t>
      </w:r>
      <w:r w:rsidR="00360CFA" w:rsidRPr="00E13AD3">
        <w:rPr>
          <w:sz w:val="28"/>
          <w:szCs w:val="28"/>
        </w:rPr>
        <w:t xml:space="preserve">nedēļas </w:t>
      </w:r>
      <w:r w:rsidR="00360CFA" w:rsidRPr="00211D1F">
        <w:rPr>
          <w:sz w:val="28"/>
          <w:szCs w:val="28"/>
        </w:rPr>
        <w:t>laikā pēc priekšnosacījumu kritēriju izpildes</w:t>
      </w:r>
      <w:r w:rsidR="00211D1F">
        <w:rPr>
          <w:sz w:val="28"/>
          <w:szCs w:val="28"/>
        </w:rPr>
        <w:t>,</w:t>
      </w:r>
      <w:r w:rsidR="00360CFA" w:rsidRPr="00211D1F">
        <w:rPr>
          <w:sz w:val="28"/>
          <w:szCs w:val="28"/>
        </w:rPr>
        <w:t xml:space="preserve"> </w:t>
      </w:r>
      <w:r w:rsidR="0023546B" w:rsidRPr="00211D1F">
        <w:rPr>
          <w:sz w:val="28"/>
          <w:szCs w:val="28"/>
        </w:rPr>
        <w:t xml:space="preserve">lai nodrošinātu savlaicīgu </w:t>
      </w:r>
      <w:r w:rsidR="00807A3D" w:rsidRPr="00211D1F">
        <w:rPr>
          <w:sz w:val="28"/>
          <w:szCs w:val="28"/>
        </w:rPr>
        <w:t xml:space="preserve">priekšnosacījumu saskaņošanu ar </w:t>
      </w:r>
      <w:r>
        <w:rPr>
          <w:sz w:val="28"/>
          <w:szCs w:val="28"/>
        </w:rPr>
        <w:t>EK</w:t>
      </w:r>
      <w:r w:rsidR="00211D1F" w:rsidRPr="00211D1F">
        <w:rPr>
          <w:sz w:val="28"/>
          <w:szCs w:val="28"/>
        </w:rPr>
        <w:t xml:space="preserve">. </w:t>
      </w:r>
      <w:r w:rsidR="00E54186" w:rsidRPr="00E54186">
        <w:rPr>
          <w:sz w:val="28"/>
          <w:szCs w:val="28"/>
        </w:rPr>
        <w:t>Atbildīgajām institūcijām jāziņo par katra priekšnosacījuma kritērija izpildi atsevišķi, ja katram no tiem ir noteikts atšķirīgs termiņš vai atšķirīga atbildīgā institūcija, lai novērtētu progresu, savukārt, ja visiem priekšnosacījuma kritērijiem noteikts viens termiņš, tad par tiem ziņo kopā.</w:t>
      </w:r>
    </w:p>
    <w:p w14:paraId="08AFB38B" w14:textId="51BDD770" w:rsidR="00211D1F" w:rsidRDefault="00844E8D" w:rsidP="00CF3C5D">
      <w:pPr>
        <w:spacing w:after="120"/>
        <w:jc w:val="both"/>
        <w:rPr>
          <w:sz w:val="28"/>
          <w:szCs w:val="28"/>
        </w:rPr>
      </w:pPr>
      <w:r>
        <w:rPr>
          <w:sz w:val="28"/>
          <w:szCs w:val="28"/>
        </w:rPr>
        <w:t>EK</w:t>
      </w:r>
      <w:r w:rsidR="00211D1F" w:rsidRPr="00211D1F">
        <w:rPr>
          <w:color w:val="000000"/>
          <w:sz w:val="28"/>
          <w:szCs w:val="28"/>
        </w:rPr>
        <w:t xml:space="preserve"> trīs mēnešu laikā pēc minētās informācijas saņemšanas veic novērtējumu un informē dalībvalsti, ja tā piekrīt kritērija izpildei.</w:t>
      </w:r>
    </w:p>
    <w:p w14:paraId="066C89D5" w14:textId="2CC63948" w:rsidR="00360CFA" w:rsidRDefault="00360CFA" w:rsidP="00904B66">
      <w:pPr>
        <w:pStyle w:val="ListParagraph"/>
        <w:tabs>
          <w:tab w:val="left" w:pos="426"/>
        </w:tabs>
        <w:ind w:left="0"/>
        <w:jc w:val="both"/>
        <w:rPr>
          <w:sz w:val="23"/>
          <w:szCs w:val="23"/>
        </w:rPr>
      </w:pPr>
    </w:p>
    <w:p w14:paraId="1B5F2879" w14:textId="77777777" w:rsidR="00142973" w:rsidRDefault="00142973" w:rsidP="00904B66">
      <w:pPr>
        <w:pStyle w:val="ListParagraph"/>
        <w:tabs>
          <w:tab w:val="left" w:pos="426"/>
        </w:tabs>
        <w:ind w:left="0"/>
        <w:jc w:val="both"/>
        <w:rPr>
          <w:sz w:val="23"/>
          <w:szCs w:val="23"/>
        </w:rPr>
      </w:pPr>
    </w:p>
    <w:p w14:paraId="2CA06108" w14:textId="77777777" w:rsidR="00142973" w:rsidRPr="00002513" w:rsidRDefault="00142973" w:rsidP="004B7C2C">
      <w:pPr>
        <w:pStyle w:val="ListParagraph"/>
        <w:numPr>
          <w:ilvl w:val="0"/>
          <w:numId w:val="11"/>
        </w:numPr>
        <w:tabs>
          <w:tab w:val="left" w:pos="426"/>
        </w:tabs>
        <w:jc w:val="both"/>
        <w:rPr>
          <w:b/>
          <w:szCs w:val="28"/>
        </w:rPr>
      </w:pPr>
      <w:r w:rsidRPr="00002513">
        <w:rPr>
          <w:b/>
          <w:szCs w:val="28"/>
        </w:rPr>
        <w:t>ES KP fondu ieviešanas institucionālā sistēma</w:t>
      </w:r>
    </w:p>
    <w:p w14:paraId="1FB736CA" w14:textId="77777777" w:rsidR="00142973" w:rsidRPr="00002513" w:rsidRDefault="00142973" w:rsidP="00142973">
      <w:pPr>
        <w:tabs>
          <w:tab w:val="left" w:pos="426"/>
        </w:tabs>
        <w:jc w:val="both"/>
        <w:rPr>
          <w:b/>
          <w:sz w:val="28"/>
          <w:szCs w:val="28"/>
        </w:rPr>
      </w:pPr>
    </w:p>
    <w:p w14:paraId="52BDB6C7" w14:textId="77777777" w:rsidR="00142973" w:rsidRPr="00002513" w:rsidRDefault="00142973" w:rsidP="00142973">
      <w:pPr>
        <w:pStyle w:val="ListParagraph"/>
        <w:numPr>
          <w:ilvl w:val="1"/>
          <w:numId w:val="11"/>
        </w:numPr>
        <w:tabs>
          <w:tab w:val="left" w:pos="426"/>
        </w:tabs>
        <w:jc w:val="both"/>
        <w:rPr>
          <w:b/>
          <w:szCs w:val="28"/>
        </w:rPr>
      </w:pPr>
      <w:r w:rsidRPr="00002513">
        <w:rPr>
          <w:b/>
          <w:szCs w:val="28"/>
        </w:rPr>
        <w:t>Regulu priekšlikumos noteiktais institucionālais ietvars un funkcijas</w:t>
      </w:r>
    </w:p>
    <w:p w14:paraId="5319D080" w14:textId="77777777" w:rsidR="00142973" w:rsidRDefault="00142973" w:rsidP="00904B66">
      <w:pPr>
        <w:pStyle w:val="ListParagraph"/>
        <w:tabs>
          <w:tab w:val="left" w:pos="426"/>
        </w:tabs>
        <w:ind w:left="0"/>
        <w:jc w:val="both"/>
        <w:rPr>
          <w:b/>
          <w:szCs w:val="28"/>
        </w:rPr>
      </w:pPr>
    </w:p>
    <w:p w14:paraId="2060A108" w14:textId="6CA4E56E" w:rsidR="0008738D" w:rsidRPr="00CA152F" w:rsidRDefault="0008738D" w:rsidP="0008738D">
      <w:pPr>
        <w:pStyle w:val="ListParagraph"/>
        <w:ind w:left="0"/>
        <w:jc w:val="both"/>
        <w:rPr>
          <w:rFonts w:cs="Times New Roman"/>
          <w:szCs w:val="24"/>
        </w:rPr>
      </w:pPr>
      <w:r w:rsidRPr="00CA152F">
        <w:rPr>
          <w:rFonts w:cs="Times New Roman"/>
          <w:szCs w:val="24"/>
        </w:rPr>
        <w:t>Attiecībā uz ERAF, KF un ESF</w:t>
      </w:r>
      <w:r>
        <w:rPr>
          <w:rFonts w:cs="Times New Roman"/>
          <w:szCs w:val="24"/>
        </w:rPr>
        <w:t>+</w:t>
      </w:r>
      <w:r w:rsidR="00273CD9">
        <w:rPr>
          <w:rFonts w:cs="Times New Roman"/>
          <w:szCs w:val="24"/>
        </w:rPr>
        <w:t xml:space="preserve"> (izņemot ETS un FEAD)</w:t>
      </w:r>
      <w:r w:rsidRPr="00CA152F">
        <w:rPr>
          <w:rFonts w:cs="Times New Roman"/>
          <w:szCs w:val="24"/>
        </w:rPr>
        <w:t xml:space="preserve"> fondu ieviešanu EK publicētie regulu priekšlikumi paredz katrai ES dalībvalstij </w:t>
      </w:r>
      <w:r w:rsidRPr="00CA152F">
        <w:rPr>
          <w:rFonts w:cs="Times New Roman"/>
        </w:rPr>
        <w:t>noteikt</w:t>
      </w:r>
      <w:r w:rsidRPr="00CA152F">
        <w:rPr>
          <w:rStyle w:val="FootnoteReference"/>
          <w:rFonts w:cs="Times New Roman"/>
        </w:rPr>
        <w:footnoteReference w:id="8"/>
      </w:r>
      <w:r w:rsidRPr="00CA152F">
        <w:rPr>
          <w:rFonts w:cs="Times New Roman"/>
          <w:szCs w:val="24"/>
        </w:rPr>
        <w:t>:</w:t>
      </w:r>
    </w:p>
    <w:p w14:paraId="360E8447" w14:textId="77777777" w:rsidR="0008738D" w:rsidRPr="0008738D" w:rsidRDefault="0008738D" w:rsidP="0008738D">
      <w:pPr>
        <w:pStyle w:val="ListParagraph"/>
        <w:numPr>
          <w:ilvl w:val="0"/>
          <w:numId w:val="15"/>
        </w:numPr>
        <w:tabs>
          <w:tab w:val="left" w:pos="709"/>
        </w:tabs>
        <w:jc w:val="both"/>
        <w:rPr>
          <w:rFonts w:cs="Times New Roman"/>
          <w:szCs w:val="24"/>
        </w:rPr>
      </w:pPr>
      <w:r w:rsidRPr="00CA152F">
        <w:rPr>
          <w:rFonts w:cs="Times New Roman"/>
          <w:szCs w:val="24"/>
        </w:rPr>
        <w:t>vadošo iestādi;</w:t>
      </w:r>
    </w:p>
    <w:p w14:paraId="65F55F7F" w14:textId="0035E391" w:rsidR="0008738D" w:rsidRDefault="003C2E6F" w:rsidP="0008738D">
      <w:pPr>
        <w:pStyle w:val="ListParagraph"/>
        <w:numPr>
          <w:ilvl w:val="0"/>
          <w:numId w:val="15"/>
        </w:numPr>
        <w:tabs>
          <w:tab w:val="left" w:pos="709"/>
        </w:tabs>
        <w:jc w:val="both"/>
        <w:rPr>
          <w:rFonts w:cs="Times New Roman"/>
          <w:szCs w:val="24"/>
        </w:rPr>
      </w:pPr>
      <w:r>
        <w:rPr>
          <w:rFonts w:cs="Times New Roman"/>
          <w:szCs w:val="24"/>
        </w:rPr>
        <w:t>revīzijas (audita) iestādi;</w:t>
      </w:r>
    </w:p>
    <w:p w14:paraId="2E67F4F6" w14:textId="028DB234" w:rsidR="003C2E6F" w:rsidRPr="00CA152F" w:rsidRDefault="003C2E6F" w:rsidP="0008738D">
      <w:pPr>
        <w:pStyle w:val="ListParagraph"/>
        <w:numPr>
          <w:ilvl w:val="0"/>
          <w:numId w:val="15"/>
        </w:numPr>
        <w:tabs>
          <w:tab w:val="left" w:pos="709"/>
        </w:tabs>
        <w:jc w:val="both"/>
        <w:rPr>
          <w:rFonts w:cs="Times New Roman"/>
          <w:szCs w:val="24"/>
        </w:rPr>
      </w:pPr>
      <w:r>
        <w:rPr>
          <w:rFonts w:cs="Times New Roman"/>
          <w:szCs w:val="24"/>
        </w:rPr>
        <w:t>iestādi</w:t>
      </w:r>
      <w:r w:rsidRPr="00DC2D89">
        <w:rPr>
          <w:rFonts w:cs="Times New Roman"/>
          <w:szCs w:val="24"/>
        </w:rPr>
        <w:t>, kas veic grāmatvedības funkciju</w:t>
      </w:r>
      <w:r w:rsidRPr="00CA152F">
        <w:rPr>
          <w:rFonts w:cs="Times New Roman"/>
          <w:szCs w:val="24"/>
        </w:rPr>
        <w:t>.</w:t>
      </w:r>
    </w:p>
    <w:p w14:paraId="115D84D3" w14:textId="77777777" w:rsidR="0008738D" w:rsidRPr="00CA152F" w:rsidRDefault="0008738D" w:rsidP="0008738D">
      <w:pPr>
        <w:pStyle w:val="ListParagraph"/>
        <w:tabs>
          <w:tab w:val="left" w:pos="709"/>
        </w:tabs>
        <w:jc w:val="both"/>
        <w:rPr>
          <w:rFonts w:cs="Times New Roman"/>
          <w:szCs w:val="24"/>
        </w:rPr>
      </w:pPr>
    </w:p>
    <w:p w14:paraId="4BBD4587" w14:textId="2E6E8127" w:rsidR="0008738D" w:rsidRDefault="0008738D" w:rsidP="0008738D">
      <w:pPr>
        <w:pStyle w:val="ListParagraph"/>
        <w:ind w:left="0"/>
        <w:jc w:val="both"/>
        <w:rPr>
          <w:rFonts w:cs="Times New Roman"/>
          <w:szCs w:val="24"/>
        </w:rPr>
      </w:pPr>
      <w:r w:rsidRPr="00CA152F">
        <w:rPr>
          <w:rFonts w:cs="Times New Roman"/>
          <w:szCs w:val="24"/>
        </w:rPr>
        <w:t xml:space="preserve">Tāpat kā līdz šim, vadošā iestāde var daļu pienākumu deleģēt </w:t>
      </w:r>
      <w:r w:rsidR="00371036">
        <w:rPr>
          <w:rFonts w:cs="Times New Roman"/>
          <w:szCs w:val="24"/>
        </w:rPr>
        <w:t xml:space="preserve">vienai vai vairākām </w:t>
      </w:r>
      <w:r w:rsidRPr="00CA152F">
        <w:rPr>
          <w:rFonts w:cs="Times New Roman"/>
          <w:szCs w:val="24"/>
        </w:rPr>
        <w:t>starpniekinstitūcijām</w:t>
      </w:r>
      <w:r>
        <w:rPr>
          <w:rFonts w:cs="Times New Roman"/>
          <w:szCs w:val="24"/>
        </w:rPr>
        <w:t>,</w:t>
      </w:r>
      <w:r w:rsidRPr="00CA152F">
        <w:rPr>
          <w:rFonts w:cs="Times New Roman"/>
          <w:szCs w:val="24"/>
        </w:rPr>
        <w:t xml:space="preserve"> vienlaikus saglabājot kopējo atbildību par deleģēto funkciju efektīvu veikšanu</w:t>
      </w:r>
      <w:r>
        <w:rPr>
          <w:rStyle w:val="FootnoteReference"/>
          <w:rFonts w:cs="Times New Roman"/>
          <w:szCs w:val="24"/>
        </w:rPr>
        <w:footnoteReference w:id="9"/>
      </w:r>
      <w:r w:rsidRPr="00CA152F">
        <w:rPr>
          <w:rFonts w:cs="Times New Roman"/>
          <w:szCs w:val="24"/>
        </w:rPr>
        <w:t xml:space="preserve">. </w:t>
      </w:r>
    </w:p>
    <w:p w14:paraId="372132B2" w14:textId="77777777" w:rsidR="0008738D" w:rsidRPr="001E5423" w:rsidRDefault="0008738D" w:rsidP="001E5423">
      <w:pPr>
        <w:jc w:val="both"/>
      </w:pPr>
    </w:p>
    <w:p w14:paraId="0FA2AAA9" w14:textId="7010536F" w:rsidR="0008738D" w:rsidRPr="001E5423" w:rsidRDefault="0008738D" w:rsidP="0008738D">
      <w:pPr>
        <w:jc w:val="both"/>
        <w:rPr>
          <w:b/>
          <w:sz w:val="28"/>
          <w:szCs w:val="28"/>
        </w:rPr>
      </w:pPr>
      <w:r w:rsidRPr="001E5423">
        <w:rPr>
          <w:b/>
          <w:sz w:val="28"/>
          <w:szCs w:val="28"/>
        </w:rPr>
        <w:t>Vadošās iestādes funkcijas</w:t>
      </w:r>
    </w:p>
    <w:p w14:paraId="6E79E09F" w14:textId="77777777" w:rsidR="0008738D" w:rsidRPr="00CA152F" w:rsidRDefault="0008738D" w:rsidP="0008738D">
      <w:pPr>
        <w:jc w:val="both"/>
        <w:rPr>
          <w:b/>
        </w:rPr>
      </w:pPr>
    </w:p>
    <w:p w14:paraId="54AB1BB0" w14:textId="7D1630D1" w:rsidR="0008738D" w:rsidRDefault="0008738D" w:rsidP="0008738D">
      <w:pPr>
        <w:pStyle w:val="ListParagraph"/>
        <w:ind w:left="0"/>
        <w:jc w:val="both"/>
        <w:rPr>
          <w:rFonts w:cs="Times New Roman"/>
          <w:szCs w:val="24"/>
        </w:rPr>
      </w:pPr>
      <w:r w:rsidRPr="00CA152F">
        <w:rPr>
          <w:rFonts w:cs="Times New Roman"/>
          <w:szCs w:val="24"/>
        </w:rPr>
        <w:t>Atbilstoši regulu priekšlikumiem vadošās iestādes funkcijas ir:</w:t>
      </w:r>
    </w:p>
    <w:p w14:paraId="43520661" w14:textId="575BC221" w:rsidR="0008738D" w:rsidRPr="00DC71CE" w:rsidRDefault="0008738D" w:rsidP="0008738D">
      <w:pPr>
        <w:pStyle w:val="li"/>
        <w:rPr>
          <w:color w:val="000000"/>
          <w:sz w:val="28"/>
          <w:szCs w:val="28"/>
        </w:rPr>
      </w:pPr>
      <w:r w:rsidRPr="00DC71CE">
        <w:rPr>
          <w:color w:val="000000"/>
          <w:sz w:val="28"/>
          <w:szCs w:val="28"/>
        </w:rPr>
        <w:t xml:space="preserve">(a) </w:t>
      </w:r>
      <w:r w:rsidR="00844E8D">
        <w:rPr>
          <w:color w:val="000000"/>
          <w:sz w:val="28"/>
          <w:szCs w:val="28"/>
        </w:rPr>
        <w:t xml:space="preserve">veikt </w:t>
      </w:r>
      <w:r w:rsidR="00EE4A16">
        <w:rPr>
          <w:color w:val="000000"/>
          <w:sz w:val="28"/>
          <w:szCs w:val="28"/>
        </w:rPr>
        <w:t>darbību/</w:t>
      </w:r>
      <w:r w:rsidR="00844E8D">
        <w:rPr>
          <w:color w:val="000000"/>
          <w:sz w:val="28"/>
          <w:szCs w:val="28"/>
        </w:rPr>
        <w:t>projektu iesniegumu atlasi</w:t>
      </w:r>
      <w:r w:rsidRPr="00DC71CE">
        <w:rPr>
          <w:color w:val="000000"/>
          <w:sz w:val="28"/>
          <w:szCs w:val="28"/>
        </w:rPr>
        <w:t>;</w:t>
      </w:r>
    </w:p>
    <w:p w14:paraId="3CCB901B" w14:textId="76333DBB" w:rsidR="0008738D" w:rsidRPr="00DC71CE" w:rsidRDefault="0008738D" w:rsidP="0008738D">
      <w:pPr>
        <w:pStyle w:val="li"/>
        <w:rPr>
          <w:color w:val="000000"/>
          <w:sz w:val="28"/>
          <w:szCs w:val="28"/>
        </w:rPr>
      </w:pPr>
      <w:r w:rsidRPr="00DC71CE">
        <w:rPr>
          <w:rStyle w:val="num4"/>
          <w:color w:val="000000"/>
          <w:sz w:val="28"/>
          <w:szCs w:val="28"/>
        </w:rPr>
        <w:lastRenderedPageBreak/>
        <w:t xml:space="preserve">(b) </w:t>
      </w:r>
      <w:r w:rsidRPr="00DC71CE">
        <w:rPr>
          <w:color w:val="000000"/>
          <w:sz w:val="28"/>
          <w:szCs w:val="28"/>
        </w:rPr>
        <w:t>īstenot programmas pārvaldības uzdevumus;</w:t>
      </w:r>
    </w:p>
    <w:p w14:paraId="68641F9E" w14:textId="26D435A8" w:rsidR="0008738D" w:rsidRPr="00DC71CE" w:rsidRDefault="0008738D" w:rsidP="0008738D">
      <w:pPr>
        <w:pStyle w:val="li"/>
        <w:rPr>
          <w:color w:val="000000"/>
          <w:sz w:val="28"/>
          <w:szCs w:val="28"/>
        </w:rPr>
      </w:pPr>
      <w:r w:rsidRPr="00DC71CE">
        <w:rPr>
          <w:rStyle w:val="num4"/>
          <w:color w:val="000000"/>
          <w:sz w:val="28"/>
          <w:szCs w:val="28"/>
        </w:rPr>
        <w:t xml:space="preserve">(c) </w:t>
      </w:r>
      <w:r w:rsidRPr="00DC71CE">
        <w:rPr>
          <w:color w:val="000000"/>
          <w:sz w:val="28"/>
          <w:szCs w:val="28"/>
        </w:rPr>
        <w:t>atbalstīt uzraudzības komitejas darbu;</w:t>
      </w:r>
    </w:p>
    <w:p w14:paraId="641DD8FF" w14:textId="361B3849" w:rsidR="0008738D" w:rsidRPr="00DC71CE" w:rsidRDefault="0008738D" w:rsidP="0008738D">
      <w:pPr>
        <w:pStyle w:val="li"/>
        <w:rPr>
          <w:color w:val="000000"/>
          <w:sz w:val="28"/>
          <w:szCs w:val="28"/>
        </w:rPr>
      </w:pPr>
      <w:r w:rsidRPr="00DC71CE">
        <w:rPr>
          <w:rStyle w:val="num4"/>
          <w:color w:val="000000"/>
          <w:sz w:val="28"/>
          <w:szCs w:val="28"/>
        </w:rPr>
        <w:t xml:space="preserve">(d) </w:t>
      </w:r>
      <w:r w:rsidRPr="00DC71CE">
        <w:rPr>
          <w:color w:val="000000"/>
          <w:sz w:val="28"/>
          <w:szCs w:val="28"/>
        </w:rPr>
        <w:t>pārraudzīt starpniekstruktūras;</w:t>
      </w:r>
    </w:p>
    <w:p w14:paraId="681A9E5A" w14:textId="77777777" w:rsidR="0008738D" w:rsidRPr="00DC71CE" w:rsidRDefault="0008738D" w:rsidP="0008738D">
      <w:pPr>
        <w:pStyle w:val="li"/>
        <w:rPr>
          <w:color w:val="000000"/>
          <w:sz w:val="28"/>
          <w:szCs w:val="28"/>
        </w:rPr>
      </w:pPr>
      <w:r w:rsidRPr="00DC71CE">
        <w:rPr>
          <w:rStyle w:val="num4"/>
          <w:color w:val="000000"/>
          <w:sz w:val="28"/>
          <w:szCs w:val="28"/>
        </w:rPr>
        <w:t xml:space="preserve">(e) </w:t>
      </w:r>
      <w:r w:rsidRPr="00DC71CE">
        <w:rPr>
          <w:color w:val="000000"/>
          <w:sz w:val="28"/>
          <w:szCs w:val="28"/>
        </w:rPr>
        <w:t>ierakstīt un uzglabāt elektroniskā sistēmā datus par katru darbību, kas nepieciešami uzraudzībai, izvērtēšanai, finanšu pārvaldībai, verifikācijai un revīzijai, un nodrošināt datu drošību, integritāti un konfidencialitāti un lietotāju autentifikāciju, kā arī citas būtiskas funkcijas saskaņā ar regulu</w:t>
      </w:r>
      <w:r w:rsidRPr="00DC71CE">
        <w:rPr>
          <w:sz w:val="28"/>
          <w:szCs w:val="28"/>
        </w:rPr>
        <w:t>.</w:t>
      </w:r>
      <w:r w:rsidRPr="00DC71CE">
        <w:rPr>
          <w:rStyle w:val="FootnoteReference"/>
          <w:sz w:val="28"/>
          <w:szCs w:val="28"/>
        </w:rPr>
        <w:footnoteReference w:id="10"/>
      </w:r>
    </w:p>
    <w:p w14:paraId="6039DC3A" w14:textId="77777777" w:rsidR="0008738D" w:rsidRPr="00CA152F" w:rsidRDefault="0008738D" w:rsidP="0008738D">
      <w:pPr>
        <w:ind w:left="142"/>
        <w:jc w:val="both"/>
        <w:rPr>
          <w:b/>
        </w:rPr>
      </w:pPr>
    </w:p>
    <w:p w14:paraId="26C28EBD" w14:textId="66A630E8" w:rsidR="0008738D" w:rsidRPr="001E5423" w:rsidRDefault="00514854" w:rsidP="0008738D">
      <w:pPr>
        <w:jc w:val="both"/>
        <w:rPr>
          <w:b/>
          <w:sz w:val="28"/>
          <w:szCs w:val="28"/>
        </w:rPr>
      </w:pPr>
      <w:r w:rsidRPr="001E5423">
        <w:rPr>
          <w:b/>
          <w:sz w:val="28"/>
          <w:szCs w:val="28"/>
        </w:rPr>
        <w:t>Grāmatvedības</w:t>
      </w:r>
      <w:r w:rsidR="0008738D" w:rsidRPr="001E5423">
        <w:rPr>
          <w:b/>
          <w:sz w:val="28"/>
          <w:szCs w:val="28"/>
        </w:rPr>
        <w:t xml:space="preserve"> funkcija</w:t>
      </w:r>
    </w:p>
    <w:p w14:paraId="10EAB132" w14:textId="77777777" w:rsidR="0008738D" w:rsidRPr="00CA152F" w:rsidRDefault="0008738D" w:rsidP="0008738D">
      <w:pPr>
        <w:pStyle w:val="ListParagraph"/>
        <w:ind w:left="142"/>
        <w:jc w:val="both"/>
        <w:rPr>
          <w:rFonts w:cs="Times New Roman"/>
          <w:szCs w:val="24"/>
        </w:rPr>
      </w:pPr>
    </w:p>
    <w:p w14:paraId="169C780D" w14:textId="4D4B2295" w:rsidR="00514854" w:rsidRPr="00514854" w:rsidRDefault="0008738D" w:rsidP="00514854">
      <w:pPr>
        <w:pStyle w:val="ListParagraph"/>
        <w:ind w:left="0"/>
        <w:jc w:val="both"/>
        <w:rPr>
          <w:rFonts w:cs="Times New Roman"/>
          <w:szCs w:val="28"/>
        </w:rPr>
      </w:pPr>
      <w:r w:rsidRPr="00514854">
        <w:rPr>
          <w:rFonts w:cs="Times New Roman"/>
          <w:szCs w:val="28"/>
        </w:rPr>
        <w:t xml:space="preserve">EK nosaka šādas </w:t>
      </w:r>
      <w:r w:rsidR="00514854" w:rsidRPr="00514854">
        <w:rPr>
          <w:rFonts w:cs="Times New Roman"/>
          <w:szCs w:val="28"/>
        </w:rPr>
        <w:t>grāmatvedības</w:t>
      </w:r>
      <w:r w:rsidRPr="00514854">
        <w:rPr>
          <w:rFonts w:cs="Times New Roman"/>
          <w:szCs w:val="28"/>
        </w:rPr>
        <w:t xml:space="preserve"> funkcijas:</w:t>
      </w:r>
    </w:p>
    <w:p w14:paraId="0BB636A2" w14:textId="37A7B0C8" w:rsidR="00514854" w:rsidRPr="00514854" w:rsidRDefault="00514854" w:rsidP="00514854">
      <w:pPr>
        <w:pStyle w:val="li"/>
        <w:numPr>
          <w:ilvl w:val="0"/>
          <w:numId w:val="16"/>
        </w:numPr>
        <w:rPr>
          <w:color w:val="000000"/>
          <w:sz w:val="28"/>
          <w:szCs w:val="28"/>
        </w:rPr>
      </w:pPr>
      <w:r w:rsidRPr="00514854">
        <w:rPr>
          <w:color w:val="000000"/>
          <w:sz w:val="28"/>
          <w:szCs w:val="28"/>
        </w:rPr>
        <w:t xml:space="preserve">sagatavot un iesniegt </w:t>
      </w:r>
      <w:r w:rsidR="00D905D9">
        <w:rPr>
          <w:color w:val="000000"/>
          <w:sz w:val="28"/>
          <w:szCs w:val="28"/>
        </w:rPr>
        <w:t>EK</w:t>
      </w:r>
      <w:r w:rsidR="00D905D9" w:rsidRPr="00514854">
        <w:rPr>
          <w:color w:val="000000"/>
          <w:sz w:val="28"/>
          <w:szCs w:val="28"/>
        </w:rPr>
        <w:t xml:space="preserve"> </w:t>
      </w:r>
      <w:r w:rsidRPr="00514854">
        <w:rPr>
          <w:color w:val="000000"/>
          <w:sz w:val="28"/>
          <w:szCs w:val="28"/>
        </w:rPr>
        <w:t>maksājuma pieteikumus;</w:t>
      </w:r>
    </w:p>
    <w:p w14:paraId="685AA942" w14:textId="3735B802" w:rsidR="00514854" w:rsidRPr="00514854" w:rsidRDefault="00514854" w:rsidP="00514854">
      <w:pPr>
        <w:pStyle w:val="li"/>
        <w:numPr>
          <w:ilvl w:val="0"/>
          <w:numId w:val="16"/>
        </w:numPr>
        <w:rPr>
          <w:color w:val="000000"/>
          <w:sz w:val="28"/>
          <w:szCs w:val="28"/>
        </w:rPr>
      </w:pPr>
      <w:r w:rsidRPr="00514854">
        <w:rPr>
          <w:color w:val="000000"/>
          <w:sz w:val="28"/>
          <w:szCs w:val="28"/>
        </w:rPr>
        <w:t>sagatavot pārskatus un elektroniskā sistēmā glabāt ierakstus par visiem pārskatu elementiem;</w:t>
      </w:r>
    </w:p>
    <w:p w14:paraId="791C42F5" w14:textId="28E11CE6" w:rsidR="00514854" w:rsidRPr="00514854" w:rsidRDefault="00514854" w:rsidP="00514854">
      <w:pPr>
        <w:pStyle w:val="li"/>
        <w:numPr>
          <w:ilvl w:val="0"/>
          <w:numId w:val="16"/>
        </w:numPr>
        <w:rPr>
          <w:color w:val="000000"/>
          <w:sz w:val="28"/>
          <w:szCs w:val="28"/>
        </w:rPr>
      </w:pPr>
      <w:r w:rsidRPr="00514854">
        <w:rPr>
          <w:color w:val="000000"/>
          <w:sz w:val="28"/>
          <w:szCs w:val="28"/>
        </w:rPr>
        <w:t xml:space="preserve">konvertēt uz </w:t>
      </w:r>
      <w:r w:rsidRPr="00844E8D">
        <w:rPr>
          <w:i/>
          <w:color w:val="000000"/>
          <w:sz w:val="28"/>
          <w:szCs w:val="28"/>
        </w:rPr>
        <w:t>euro</w:t>
      </w:r>
      <w:r w:rsidRPr="00514854">
        <w:rPr>
          <w:color w:val="000000"/>
          <w:sz w:val="28"/>
          <w:szCs w:val="28"/>
        </w:rPr>
        <w:t xml:space="preserve"> citā valūtā radušos izdevumu summas, šādam nolūkam izmantojot </w:t>
      </w:r>
      <w:r w:rsidR="00D905D9">
        <w:rPr>
          <w:color w:val="000000"/>
          <w:sz w:val="28"/>
          <w:szCs w:val="28"/>
        </w:rPr>
        <w:t>EK</w:t>
      </w:r>
      <w:r w:rsidR="00D905D9" w:rsidRPr="00514854">
        <w:rPr>
          <w:color w:val="000000"/>
          <w:sz w:val="28"/>
          <w:szCs w:val="28"/>
        </w:rPr>
        <w:t xml:space="preserve"> </w:t>
      </w:r>
      <w:r w:rsidRPr="00514854">
        <w:rPr>
          <w:color w:val="000000"/>
          <w:sz w:val="28"/>
          <w:szCs w:val="28"/>
        </w:rPr>
        <w:t>vienreiz mēnesī noteikto maiņas kursu, kāds tas ir mēnesī, kurā izdevumi reģistrēti tās struktūras grāmatvedības sistēmā, kura atbild par šajā pantā noteikto uzdevumu veikšanu</w:t>
      </w:r>
      <w:r w:rsidRPr="00514854">
        <w:rPr>
          <w:rStyle w:val="FootnoteReference"/>
          <w:color w:val="000000"/>
          <w:sz w:val="28"/>
          <w:szCs w:val="28"/>
        </w:rPr>
        <w:footnoteReference w:id="11"/>
      </w:r>
      <w:r w:rsidRPr="00514854">
        <w:rPr>
          <w:color w:val="000000"/>
          <w:sz w:val="28"/>
          <w:szCs w:val="28"/>
        </w:rPr>
        <w:t>.</w:t>
      </w:r>
    </w:p>
    <w:p w14:paraId="4C41A61E" w14:textId="5F1E63B1" w:rsidR="00514854" w:rsidRPr="00514854" w:rsidRDefault="00514854" w:rsidP="00514854">
      <w:pPr>
        <w:pStyle w:val="li"/>
        <w:rPr>
          <w:color w:val="000000"/>
          <w:sz w:val="28"/>
          <w:szCs w:val="28"/>
        </w:rPr>
      </w:pPr>
      <w:r w:rsidRPr="00514854">
        <w:rPr>
          <w:color w:val="000000"/>
          <w:sz w:val="28"/>
          <w:szCs w:val="28"/>
        </w:rPr>
        <w:t>Grāmatvedības funkcija neietver verifikāciju saņēmēju līmenī.</w:t>
      </w:r>
    </w:p>
    <w:p w14:paraId="0D8EA325" w14:textId="77777777" w:rsidR="0008738D" w:rsidRPr="00CA152F" w:rsidRDefault="0008738D" w:rsidP="0008738D">
      <w:pPr>
        <w:pStyle w:val="ListParagraph"/>
        <w:ind w:left="0"/>
        <w:jc w:val="both"/>
        <w:rPr>
          <w:rFonts w:cs="Times New Roman"/>
          <w:szCs w:val="24"/>
        </w:rPr>
      </w:pPr>
    </w:p>
    <w:p w14:paraId="3415788A" w14:textId="5EB4AF6A" w:rsidR="0008738D" w:rsidRPr="001E5423" w:rsidRDefault="0008738D" w:rsidP="0008738D">
      <w:pPr>
        <w:jc w:val="both"/>
        <w:rPr>
          <w:b/>
          <w:sz w:val="28"/>
          <w:szCs w:val="28"/>
        </w:rPr>
      </w:pPr>
      <w:r w:rsidRPr="001E5423">
        <w:rPr>
          <w:b/>
          <w:sz w:val="28"/>
          <w:szCs w:val="28"/>
        </w:rPr>
        <w:t>Revīzijas iestādes funkcijas</w:t>
      </w:r>
    </w:p>
    <w:p w14:paraId="36BE2584" w14:textId="77777777" w:rsidR="0008738D" w:rsidRPr="00CA152F" w:rsidRDefault="0008738D" w:rsidP="0008738D">
      <w:pPr>
        <w:pStyle w:val="ListParagraph"/>
        <w:ind w:left="0"/>
        <w:jc w:val="both"/>
        <w:rPr>
          <w:rFonts w:cs="Times New Roman"/>
          <w:szCs w:val="24"/>
        </w:rPr>
      </w:pPr>
    </w:p>
    <w:p w14:paraId="37B21B8F" w14:textId="2EBC2106" w:rsidR="00CD4CDC" w:rsidRPr="00AE3838" w:rsidRDefault="00CD4CDC" w:rsidP="00CF3C5D">
      <w:pPr>
        <w:pStyle w:val="li"/>
        <w:spacing w:after="120"/>
        <w:ind w:left="0"/>
        <w:rPr>
          <w:color w:val="000000"/>
          <w:sz w:val="28"/>
          <w:szCs w:val="28"/>
        </w:rPr>
      </w:pPr>
      <w:r w:rsidRPr="00AE3838">
        <w:rPr>
          <w:color w:val="000000"/>
          <w:sz w:val="28"/>
          <w:szCs w:val="28"/>
        </w:rPr>
        <w:t xml:space="preserve">Revīzijas iestāde ir atbildīga par sistēmas revīzijas, darbību revīzijas un pārskatu revīzijas veikšanu nolūkā sniegt </w:t>
      </w:r>
      <w:r w:rsidR="00D905D9">
        <w:rPr>
          <w:color w:val="000000"/>
          <w:sz w:val="28"/>
          <w:szCs w:val="28"/>
        </w:rPr>
        <w:t>EK</w:t>
      </w:r>
      <w:r w:rsidR="00D905D9" w:rsidRPr="00AE3838">
        <w:rPr>
          <w:color w:val="000000"/>
          <w:sz w:val="28"/>
          <w:szCs w:val="28"/>
        </w:rPr>
        <w:t xml:space="preserve"> </w:t>
      </w:r>
      <w:r w:rsidRPr="00AE3838">
        <w:rPr>
          <w:color w:val="000000"/>
          <w:sz w:val="28"/>
          <w:szCs w:val="28"/>
        </w:rPr>
        <w:t xml:space="preserve">neatkarīgu apliecinājumu par pārvaldības un kontroles sistēmu rezultatīvu funkcionēšanu un </w:t>
      </w:r>
      <w:r w:rsidR="00D905D9">
        <w:rPr>
          <w:color w:val="000000"/>
          <w:sz w:val="28"/>
          <w:szCs w:val="28"/>
        </w:rPr>
        <w:t>EK</w:t>
      </w:r>
      <w:r w:rsidR="00D905D9" w:rsidRPr="00AE3838">
        <w:rPr>
          <w:color w:val="000000"/>
          <w:sz w:val="28"/>
          <w:szCs w:val="28"/>
        </w:rPr>
        <w:t xml:space="preserve"> </w:t>
      </w:r>
      <w:r w:rsidRPr="00AE3838">
        <w:rPr>
          <w:color w:val="000000"/>
          <w:sz w:val="28"/>
          <w:szCs w:val="28"/>
        </w:rPr>
        <w:t>iesniegtajos pārskatos iekļauto izdevumu likumību un pareizību.</w:t>
      </w:r>
    </w:p>
    <w:p w14:paraId="46D81849" w14:textId="024BC198" w:rsidR="00CD4CDC" w:rsidRPr="00AE3838" w:rsidRDefault="00CD4CDC" w:rsidP="00CF3C5D">
      <w:pPr>
        <w:pStyle w:val="li"/>
        <w:spacing w:after="120"/>
        <w:ind w:left="0"/>
        <w:rPr>
          <w:color w:val="000000"/>
          <w:sz w:val="28"/>
          <w:szCs w:val="28"/>
        </w:rPr>
      </w:pPr>
      <w:r w:rsidRPr="00AE3838">
        <w:rPr>
          <w:color w:val="000000"/>
          <w:sz w:val="28"/>
          <w:szCs w:val="28"/>
        </w:rPr>
        <w:t>Revīziju veic saskaņā ar starptautiski atzītiem revīzijas standartiem.</w:t>
      </w:r>
    </w:p>
    <w:p w14:paraId="6B289277" w14:textId="745AE221" w:rsidR="00CD4CDC" w:rsidRPr="00AE3838" w:rsidRDefault="00CD4CDC" w:rsidP="00CF3C5D">
      <w:pPr>
        <w:pStyle w:val="li"/>
        <w:spacing w:after="120"/>
        <w:ind w:left="0"/>
        <w:rPr>
          <w:color w:val="000000"/>
          <w:sz w:val="28"/>
          <w:szCs w:val="28"/>
        </w:rPr>
      </w:pPr>
      <w:r w:rsidRPr="00AE3838">
        <w:rPr>
          <w:color w:val="000000"/>
          <w:sz w:val="28"/>
          <w:szCs w:val="28"/>
        </w:rPr>
        <w:t xml:space="preserve">Revīzijas iestāde sagatavo un iesniedz </w:t>
      </w:r>
      <w:r w:rsidR="00D905D9">
        <w:rPr>
          <w:color w:val="000000"/>
          <w:sz w:val="28"/>
          <w:szCs w:val="28"/>
        </w:rPr>
        <w:t>EK</w:t>
      </w:r>
      <w:r w:rsidRPr="00AE3838">
        <w:rPr>
          <w:color w:val="000000"/>
          <w:sz w:val="28"/>
          <w:szCs w:val="28"/>
        </w:rPr>
        <w:t>:</w:t>
      </w:r>
    </w:p>
    <w:p w14:paraId="0E87D94B" w14:textId="5DA20811" w:rsidR="00CD4CDC" w:rsidRPr="00AE3838" w:rsidRDefault="00CD4CDC" w:rsidP="00CD4CDC">
      <w:pPr>
        <w:pStyle w:val="li"/>
        <w:numPr>
          <w:ilvl w:val="0"/>
          <w:numId w:val="17"/>
        </w:numPr>
        <w:rPr>
          <w:color w:val="000000"/>
          <w:sz w:val="28"/>
          <w:szCs w:val="28"/>
        </w:rPr>
      </w:pPr>
      <w:r w:rsidRPr="00AE3838">
        <w:rPr>
          <w:color w:val="000000"/>
          <w:sz w:val="28"/>
          <w:szCs w:val="28"/>
        </w:rPr>
        <w:t>gada revīzijas atzinumu, kurš balstās uz visām veiktajām revīzijām un ietver šādus atšķirīgus komponentus:</w:t>
      </w:r>
    </w:p>
    <w:p w14:paraId="0CA7C1AE" w14:textId="2C1C6C96" w:rsidR="00CD4CDC" w:rsidRPr="00AE3838" w:rsidRDefault="00CD4CDC" w:rsidP="00CD4CDC">
      <w:pPr>
        <w:pStyle w:val="li"/>
        <w:ind w:left="720"/>
        <w:rPr>
          <w:color w:val="000000"/>
          <w:sz w:val="28"/>
          <w:szCs w:val="28"/>
        </w:rPr>
      </w:pPr>
      <w:r w:rsidRPr="00AE3838">
        <w:rPr>
          <w:rStyle w:val="num4"/>
          <w:color w:val="000000"/>
          <w:sz w:val="28"/>
          <w:szCs w:val="28"/>
        </w:rPr>
        <w:t xml:space="preserve">i) </w:t>
      </w:r>
      <w:r w:rsidRPr="00AE3838">
        <w:rPr>
          <w:color w:val="000000"/>
          <w:sz w:val="28"/>
          <w:szCs w:val="28"/>
        </w:rPr>
        <w:t>pārskatu pilnīgums, patiesums un precizitāte;</w:t>
      </w:r>
    </w:p>
    <w:p w14:paraId="1ABDE2DD" w14:textId="66DB8567" w:rsidR="00CD4CDC" w:rsidRPr="00AE3838" w:rsidRDefault="00CD4CDC" w:rsidP="00CD4CDC">
      <w:pPr>
        <w:pStyle w:val="li"/>
        <w:ind w:left="720"/>
        <w:rPr>
          <w:color w:val="000000"/>
          <w:sz w:val="28"/>
          <w:szCs w:val="28"/>
        </w:rPr>
      </w:pPr>
      <w:r w:rsidRPr="00AE3838">
        <w:rPr>
          <w:rStyle w:val="num4"/>
          <w:color w:val="000000"/>
          <w:sz w:val="28"/>
          <w:szCs w:val="28"/>
        </w:rPr>
        <w:t xml:space="preserve">ii) </w:t>
      </w:r>
      <w:r w:rsidR="00D905D9">
        <w:rPr>
          <w:color w:val="000000"/>
          <w:sz w:val="28"/>
          <w:szCs w:val="28"/>
        </w:rPr>
        <w:t>EK</w:t>
      </w:r>
      <w:r w:rsidR="00D905D9" w:rsidRPr="00AE3838">
        <w:rPr>
          <w:color w:val="000000"/>
          <w:sz w:val="28"/>
          <w:szCs w:val="28"/>
        </w:rPr>
        <w:t xml:space="preserve"> </w:t>
      </w:r>
      <w:r w:rsidRPr="00AE3838">
        <w:rPr>
          <w:color w:val="000000"/>
          <w:sz w:val="28"/>
          <w:szCs w:val="28"/>
        </w:rPr>
        <w:t>iesniegtajos pārskatos iekļauto izdevumu likumība un pareizība;</w:t>
      </w:r>
    </w:p>
    <w:p w14:paraId="01B50A09" w14:textId="0E99B469" w:rsidR="00CD4CDC" w:rsidRPr="00AE3838" w:rsidRDefault="00CD4CDC" w:rsidP="00CD4CDC">
      <w:pPr>
        <w:pStyle w:val="li"/>
        <w:ind w:left="720"/>
        <w:rPr>
          <w:color w:val="000000"/>
          <w:sz w:val="28"/>
          <w:szCs w:val="28"/>
        </w:rPr>
      </w:pPr>
      <w:r w:rsidRPr="00AE3838">
        <w:rPr>
          <w:rStyle w:val="num4"/>
          <w:color w:val="000000"/>
          <w:sz w:val="28"/>
          <w:szCs w:val="28"/>
        </w:rPr>
        <w:t xml:space="preserve">iii) </w:t>
      </w:r>
      <w:r w:rsidRPr="00AE3838">
        <w:rPr>
          <w:color w:val="000000"/>
          <w:sz w:val="28"/>
          <w:szCs w:val="28"/>
        </w:rPr>
        <w:t>pārvaldības un kontroles sistēmas rezultatīva funkcionēšana;</w:t>
      </w:r>
    </w:p>
    <w:p w14:paraId="194EB544" w14:textId="6A8DC089" w:rsidR="00CD4CDC" w:rsidRPr="00AE3838" w:rsidRDefault="00CD4CDC" w:rsidP="00CD4CDC">
      <w:pPr>
        <w:pStyle w:val="li"/>
        <w:numPr>
          <w:ilvl w:val="0"/>
          <w:numId w:val="17"/>
        </w:numPr>
        <w:rPr>
          <w:color w:val="000000"/>
          <w:sz w:val="28"/>
          <w:szCs w:val="28"/>
        </w:rPr>
      </w:pPr>
      <w:r w:rsidRPr="00AE3838">
        <w:rPr>
          <w:color w:val="000000"/>
          <w:sz w:val="28"/>
          <w:szCs w:val="28"/>
        </w:rPr>
        <w:t>gada kontroles ziņojumu un apstiprina a) apakšpunktā minēto revīzijas atzinumu</w:t>
      </w:r>
      <w:r w:rsidR="00B37445">
        <w:rPr>
          <w:color w:val="000000"/>
          <w:sz w:val="28"/>
          <w:szCs w:val="28"/>
        </w:rPr>
        <w:t>,</w:t>
      </w:r>
      <w:r w:rsidRPr="00AE3838">
        <w:rPr>
          <w:color w:val="000000"/>
          <w:sz w:val="28"/>
          <w:szCs w:val="28"/>
        </w:rPr>
        <w:t xml:space="preserve"> kurā izklāstīts konstatējumu kopsavilkums, tostarp kļūdu būtības un apmēra un sistēmu trūkumu analīze, kā arī ierosinātā un īstenotā korektīvā darbība un rezultātā </w:t>
      </w:r>
      <w:r w:rsidRPr="00AE3838">
        <w:rPr>
          <w:color w:val="000000"/>
          <w:sz w:val="28"/>
          <w:szCs w:val="28"/>
        </w:rPr>
        <w:lastRenderedPageBreak/>
        <w:t>iegūtais kopējais kļūdu īpatsvars</w:t>
      </w:r>
      <w:r w:rsidR="00B37445">
        <w:rPr>
          <w:color w:val="000000"/>
          <w:sz w:val="28"/>
          <w:szCs w:val="28"/>
        </w:rPr>
        <w:t>,</w:t>
      </w:r>
      <w:r w:rsidRPr="00AE3838">
        <w:rPr>
          <w:color w:val="000000"/>
          <w:sz w:val="28"/>
          <w:szCs w:val="28"/>
        </w:rPr>
        <w:t xml:space="preserve"> un atlikušo kļūdu īpatsvars attiecībā uz </w:t>
      </w:r>
      <w:r w:rsidR="00D905D9">
        <w:rPr>
          <w:color w:val="000000"/>
          <w:sz w:val="28"/>
          <w:szCs w:val="28"/>
        </w:rPr>
        <w:t>EK</w:t>
      </w:r>
      <w:r w:rsidR="00D905D9" w:rsidRPr="00AE3838">
        <w:rPr>
          <w:color w:val="000000"/>
          <w:sz w:val="28"/>
          <w:szCs w:val="28"/>
        </w:rPr>
        <w:t xml:space="preserve"> </w:t>
      </w:r>
      <w:r w:rsidRPr="00AE3838">
        <w:rPr>
          <w:color w:val="000000"/>
          <w:sz w:val="28"/>
          <w:szCs w:val="28"/>
        </w:rPr>
        <w:t>iesniegtajos pārskatos iekļautajiem izdevumiem</w:t>
      </w:r>
      <w:r w:rsidRPr="00AE3838">
        <w:rPr>
          <w:rStyle w:val="FootnoteReference"/>
          <w:color w:val="000000"/>
          <w:sz w:val="28"/>
          <w:szCs w:val="28"/>
        </w:rPr>
        <w:footnoteReference w:id="12"/>
      </w:r>
      <w:r w:rsidRPr="00AE3838">
        <w:rPr>
          <w:color w:val="000000"/>
          <w:sz w:val="28"/>
          <w:szCs w:val="28"/>
        </w:rPr>
        <w:t>.</w:t>
      </w:r>
    </w:p>
    <w:p w14:paraId="7B8CBBCE" w14:textId="77777777" w:rsidR="00CD4CDC" w:rsidRPr="00AE3838" w:rsidRDefault="00CD4CDC" w:rsidP="00CD4CDC">
      <w:pPr>
        <w:pStyle w:val="li"/>
        <w:ind w:left="0"/>
        <w:rPr>
          <w:i/>
          <w:iCs/>
          <w:color w:val="000000"/>
          <w:sz w:val="28"/>
          <w:szCs w:val="28"/>
        </w:rPr>
      </w:pPr>
    </w:p>
    <w:p w14:paraId="610DD754" w14:textId="5B2025A7" w:rsidR="00CD4CDC" w:rsidRPr="00AE3838" w:rsidRDefault="00CD4CDC" w:rsidP="00CD4CDC">
      <w:pPr>
        <w:pStyle w:val="li"/>
        <w:ind w:left="0"/>
        <w:rPr>
          <w:color w:val="000000"/>
          <w:sz w:val="28"/>
          <w:szCs w:val="28"/>
        </w:rPr>
      </w:pPr>
      <w:r w:rsidRPr="00AE3838">
        <w:rPr>
          <w:color w:val="000000"/>
          <w:sz w:val="28"/>
          <w:szCs w:val="28"/>
        </w:rPr>
        <w:t xml:space="preserve">Revīzijas iestāde, pamatojoties uz riska novērtējumu un ņemot vērā pārvaldības un kontroles sistēmas aprakstu, sagatavo revīzijas stratēģiju sistēmas revīzijai un darbību revīzijai. Revīzijas stratēģija ietver jaunieceltu vadošo iestāžu un iestāžu, kas atbild par grāmatvedības funkciju, sistēmas revīziju deviņu mēnešu laikā pēc to pirmā darbības gada. Revīzijas stratēģiju sagatavo un ik gadu atjaunina pēc pirmā gada kontroles ziņojuma un revīzijas atzinuma iesniegšanas </w:t>
      </w:r>
      <w:r w:rsidR="00D905D9">
        <w:rPr>
          <w:color w:val="000000"/>
          <w:sz w:val="28"/>
          <w:szCs w:val="28"/>
        </w:rPr>
        <w:t>EK</w:t>
      </w:r>
      <w:r w:rsidRPr="00AE3838">
        <w:rPr>
          <w:color w:val="000000"/>
          <w:sz w:val="28"/>
          <w:szCs w:val="28"/>
        </w:rPr>
        <w:t>. Tā var attiekties uz vienu vai vairākām programmām</w:t>
      </w:r>
      <w:r w:rsidR="00AE3838" w:rsidRPr="00AE3838">
        <w:rPr>
          <w:rStyle w:val="FootnoteReference"/>
          <w:color w:val="000000"/>
          <w:sz w:val="28"/>
          <w:szCs w:val="28"/>
        </w:rPr>
        <w:footnoteReference w:id="13"/>
      </w:r>
      <w:r w:rsidRPr="00AE3838">
        <w:rPr>
          <w:color w:val="000000"/>
          <w:sz w:val="28"/>
          <w:szCs w:val="28"/>
        </w:rPr>
        <w:t>.</w:t>
      </w:r>
    </w:p>
    <w:p w14:paraId="105CDF0B" w14:textId="28066EFD" w:rsidR="00A949F2" w:rsidRPr="00002513" w:rsidRDefault="00A949F2" w:rsidP="0008738D">
      <w:pPr>
        <w:pStyle w:val="ListParagraph"/>
        <w:tabs>
          <w:tab w:val="left" w:pos="426"/>
        </w:tabs>
        <w:ind w:left="0"/>
        <w:jc w:val="both"/>
        <w:rPr>
          <w:b/>
          <w:szCs w:val="28"/>
        </w:rPr>
      </w:pPr>
    </w:p>
    <w:p w14:paraId="55E554FA" w14:textId="77777777" w:rsidR="00142973" w:rsidRPr="00002513" w:rsidRDefault="00142973" w:rsidP="00904B66">
      <w:pPr>
        <w:pStyle w:val="ListParagraph"/>
        <w:tabs>
          <w:tab w:val="left" w:pos="426"/>
        </w:tabs>
        <w:ind w:left="0"/>
        <w:jc w:val="both"/>
        <w:rPr>
          <w:b/>
          <w:szCs w:val="28"/>
        </w:rPr>
      </w:pPr>
    </w:p>
    <w:p w14:paraId="438EB08B" w14:textId="0536AAE1" w:rsidR="0078301E" w:rsidRPr="003507CD" w:rsidRDefault="0038559E" w:rsidP="003507CD">
      <w:pPr>
        <w:pStyle w:val="ListParagraph"/>
        <w:numPr>
          <w:ilvl w:val="1"/>
          <w:numId w:val="11"/>
        </w:numPr>
        <w:tabs>
          <w:tab w:val="left" w:pos="426"/>
        </w:tabs>
        <w:jc w:val="both"/>
        <w:rPr>
          <w:color w:val="000000"/>
          <w:szCs w:val="28"/>
        </w:rPr>
      </w:pPr>
      <w:r>
        <w:rPr>
          <w:b/>
          <w:szCs w:val="28"/>
        </w:rPr>
        <w:t xml:space="preserve">ES KP </w:t>
      </w:r>
      <w:r w:rsidR="00273CD9">
        <w:rPr>
          <w:b/>
          <w:szCs w:val="28"/>
        </w:rPr>
        <w:t>fondu i</w:t>
      </w:r>
      <w:r w:rsidR="00142973" w:rsidRPr="003507CD">
        <w:rPr>
          <w:b/>
          <w:szCs w:val="28"/>
        </w:rPr>
        <w:t xml:space="preserve">nstitucionālā sistēma </w:t>
      </w:r>
    </w:p>
    <w:p w14:paraId="15955B96" w14:textId="56EEA156" w:rsidR="00142973" w:rsidRPr="00D81C33" w:rsidRDefault="00142973" w:rsidP="00142973">
      <w:pPr>
        <w:pStyle w:val="ListParagraph"/>
        <w:ind w:left="0"/>
        <w:jc w:val="both"/>
        <w:rPr>
          <w:rFonts w:cs="Times New Roman"/>
          <w:b/>
          <w:i/>
          <w:color w:val="000000"/>
          <w:szCs w:val="28"/>
        </w:rPr>
      </w:pPr>
    </w:p>
    <w:p w14:paraId="1D60AC05" w14:textId="1D462832" w:rsidR="00D81C33" w:rsidRDefault="0038559E" w:rsidP="00F07887">
      <w:pPr>
        <w:pStyle w:val="ListParagraph"/>
        <w:spacing w:after="120"/>
        <w:ind w:left="0"/>
        <w:jc w:val="both"/>
        <w:rPr>
          <w:color w:val="000000"/>
          <w:szCs w:val="28"/>
        </w:rPr>
      </w:pPr>
      <w:r w:rsidRPr="00B862BE">
        <w:rPr>
          <w:rFonts w:cs="Times New Roman"/>
          <w:szCs w:val="28"/>
        </w:rPr>
        <w:t xml:space="preserve">Ar mērķi uzsākt </w:t>
      </w:r>
      <w:r w:rsidR="00142973" w:rsidRPr="00B862BE">
        <w:rPr>
          <w:rFonts w:cs="Times New Roman"/>
          <w:szCs w:val="28"/>
        </w:rPr>
        <w:t xml:space="preserve">ES KP fondu </w:t>
      </w:r>
      <w:r w:rsidRPr="00B862BE">
        <w:rPr>
          <w:rFonts w:cs="Times New Roman"/>
          <w:szCs w:val="28"/>
        </w:rPr>
        <w:t xml:space="preserve">investīcijas jau 2021. gadā, novēršot investīciju finansējuma </w:t>
      </w:r>
      <w:r w:rsidRPr="007E0855">
        <w:rPr>
          <w:rFonts w:cs="Times New Roman"/>
          <w:szCs w:val="28"/>
        </w:rPr>
        <w:t>“pārrāvumu”</w:t>
      </w:r>
      <w:r w:rsidR="00454844">
        <w:rPr>
          <w:rFonts w:cs="Times New Roman"/>
          <w:szCs w:val="28"/>
        </w:rPr>
        <w:t>,</w:t>
      </w:r>
      <w:r w:rsidRPr="007E0855">
        <w:rPr>
          <w:rFonts w:cs="Times New Roman"/>
          <w:szCs w:val="28"/>
        </w:rPr>
        <w:t xml:space="preserve"> </w:t>
      </w:r>
      <w:r w:rsidR="00142973" w:rsidRPr="007E0855">
        <w:rPr>
          <w:rFonts w:cs="Times New Roman"/>
          <w:szCs w:val="28"/>
        </w:rPr>
        <w:t xml:space="preserve">ieviešanas institucionālā sistēma </w:t>
      </w:r>
      <w:r w:rsidR="003507CD" w:rsidRPr="007E0855">
        <w:rPr>
          <w:rFonts w:cs="Times New Roman"/>
          <w:szCs w:val="28"/>
        </w:rPr>
        <w:t>2021.</w:t>
      </w:r>
      <w:r w:rsidR="00E13D88">
        <w:rPr>
          <w:rFonts w:cs="Times New Roman"/>
          <w:szCs w:val="28"/>
        </w:rPr>
        <w:t xml:space="preserve"> </w:t>
      </w:r>
      <w:r w:rsidR="003507CD" w:rsidRPr="007E0855">
        <w:rPr>
          <w:rFonts w:cs="Times New Roman"/>
          <w:szCs w:val="28"/>
        </w:rPr>
        <w:t>–</w:t>
      </w:r>
      <w:r w:rsidR="00E13D88">
        <w:rPr>
          <w:rFonts w:cs="Times New Roman"/>
          <w:szCs w:val="28"/>
        </w:rPr>
        <w:t xml:space="preserve"> </w:t>
      </w:r>
      <w:r w:rsidR="003507CD" w:rsidRPr="007E0855">
        <w:rPr>
          <w:rFonts w:cs="Times New Roman"/>
          <w:szCs w:val="28"/>
        </w:rPr>
        <w:t>2027.</w:t>
      </w:r>
      <w:r w:rsidR="00E13D88">
        <w:rPr>
          <w:rFonts w:cs="Times New Roman"/>
          <w:szCs w:val="28"/>
        </w:rPr>
        <w:t> </w:t>
      </w:r>
      <w:r w:rsidR="003507CD" w:rsidRPr="007E0855">
        <w:rPr>
          <w:rFonts w:cs="Times New Roman"/>
          <w:szCs w:val="28"/>
        </w:rPr>
        <w:t xml:space="preserve">gada plānošanas periodam tiks veidota, </w:t>
      </w:r>
      <w:r w:rsidRPr="003F1C14">
        <w:rPr>
          <w:rFonts w:cs="Times New Roman"/>
          <w:szCs w:val="28"/>
        </w:rPr>
        <w:t>balstoties uz</w:t>
      </w:r>
      <w:r w:rsidR="003507CD" w:rsidRPr="003F1C14">
        <w:rPr>
          <w:rFonts w:cs="Times New Roman"/>
          <w:szCs w:val="28"/>
        </w:rPr>
        <w:t xml:space="preserve"> </w:t>
      </w:r>
      <w:r w:rsidRPr="003F1C14">
        <w:rPr>
          <w:rFonts w:cs="Times New Roman"/>
          <w:szCs w:val="28"/>
        </w:rPr>
        <w:t>efektīvu 2014.</w:t>
      </w:r>
      <w:r w:rsidR="00E13D88">
        <w:rPr>
          <w:rFonts w:cs="Times New Roman"/>
          <w:szCs w:val="28"/>
        </w:rPr>
        <w:t xml:space="preserve"> </w:t>
      </w:r>
      <w:r w:rsidRPr="003F1C14">
        <w:rPr>
          <w:rFonts w:cs="Times New Roman"/>
          <w:szCs w:val="28"/>
        </w:rPr>
        <w:t>–</w:t>
      </w:r>
      <w:r w:rsidR="00E13D88">
        <w:rPr>
          <w:rFonts w:cs="Times New Roman"/>
          <w:szCs w:val="28"/>
        </w:rPr>
        <w:t xml:space="preserve"> </w:t>
      </w:r>
      <w:r w:rsidRPr="003F1C14">
        <w:rPr>
          <w:rFonts w:cs="Times New Roman"/>
          <w:szCs w:val="28"/>
        </w:rPr>
        <w:t>2020.</w:t>
      </w:r>
      <w:r w:rsidR="00E13D88">
        <w:rPr>
          <w:rFonts w:cs="Times New Roman"/>
          <w:szCs w:val="28"/>
        </w:rPr>
        <w:t> </w:t>
      </w:r>
      <w:r w:rsidRPr="003F1C14">
        <w:rPr>
          <w:rFonts w:cs="Times New Roman"/>
          <w:szCs w:val="28"/>
        </w:rPr>
        <w:t xml:space="preserve">gada plānošanas perioda </w:t>
      </w:r>
      <w:r w:rsidRPr="00596974">
        <w:rPr>
          <w:rFonts w:cs="Times New Roman"/>
          <w:szCs w:val="28"/>
        </w:rPr>
        <w:t>ieviešanas sistēmas arhitektūru/modeli</w:t>
      </w:r>
      <w:r w:rsidR="00142973" w:rsidRPr="00596974">
        <w:rPr>
          <w:rFonts w:cs="Times New Roman"/>
          <w:szCs w:val="28"/>
        </w:rPr>
        <w:t xml:space="preserve">, </w:t>
      </w:r>
      <w:r w:rsidR="003507CD" w:rsidRPr="00596974">
        <w:rPr>
          <w:rFonts w:cs="Times New Roman"/>
          <w:szCs w:val="28"/>
        </w:rPr>
        <w:t>Kopēj</w:t>
      </w:r>
      <w:r w:rsidR="005948A3">
        <w:rPr>
          <w:rFonts w:cs="Times New Roman"/>
          <w:szCs w:val="28"/>
        </w:rPr>
        <w:t>ā</w:t>
      </w:r>
      <w:r w:rsidR="003507CD" w:rsidRPr="00596974">
        <w:rPr>
          <w:rFonts w:cs="Times New Roman"/>
          <w:szCs w:val="28"/>
        </w:rPr>
        <w:t xml:space="preserve">s fondu regulas </w:t>
      </w:r>
      <w:r w:rsidR="005948A3">
        <w:rPr>
          <w:rFonts w:cs="Times New Roman"/>
          <w:szCs w:val="28"/>
        </w:rPr>
        <w:t xml:space="preserve">priekšlikuma </w:t>
      </w:r>
      <w:r w:rsidR="003507CD" w:rsidRPr="00596974">
        <w:rPr>
          <w:rFonts w:cs="Times New Roman"/>
          <w:szCs w:val="28"/>
        </w:rPr>
        <w:t>prasības, un</w:t>
      </w:r>
      <w:r w:rsidR="00142973" w:rsidRPr="00596974">
        <w:rPr>
          <w:rFonts w:cs="Times New Roman"/>
          <w:szCs w:val="28"/>
        </w:rPr>
        <w:t xml:space="preserve"> </w:t>
      </w:r>
      <w:r w:rsidR="003507CD" w:rsidRPr="00596974">
        <w:rPr>
          <w:rFonts w:cs="Times New Roman"/>
          <w:szCs w:val="28"/>
        </w:rPr>
        <w:t>ņem</w:t>
      </w:r>
      <w:r w:rsidR="00844E8D" w:rsidRPr="00596974">
        <w:rPr>
          <w:rFonts w:cs="Times New Roman"/>
          <w:szCs w:val="28"/>
        </w:rPr>
        <w:t>o</w:t>
      </w:r>
      <w:r w:rsidR="003507CD" w:rsidRPr="00596974">
        <w:rPr>
          <w:rFonts w:cs="Times New Roman"/>
          <w:szCs w:val="28"/>
        </w:rPr>
        <w:t xml:space="preserve">t </w:t>
      </w:r>
      <w:r w:rsidR="003507CD" w:rsidRPr="00A80C76">
        <w:rPr>
          <w:rFonts w:cs="Times New Roman"/>
          <w:szCs w:val="28"/>
        </w:rPr>
        <w:t xml:space="preserve">vērā </w:t>
      </w:r>
      <w:r w:rsidR="00142973" w:rsidRPr="00A80C76">
        <w:rPr>
          <w:rFonts w:cs="Times New Roman"/>
          <w:szCs w:val="28"/>
        </w:rPr>
        <w:t>NAP definētos rīcības virzienus un uzdevumus, ES fondu regulu priekšlikumos noteiktos</w:t>
      </w:r>
      <w:r w:rsidR="00142973" w:rsidRPr="00AE7441">
        <w:rPr>
          <w:rFonts w:cs="Times New Roman"/>
          <w:szCs w:val="28"/>
        </w:rPr>
        <w:t xml:space="preserve"> politiskos mērķus</w:t>
      </w:r>
      <w:r w:rsidR="003961B4" w:rsidRPr="00AE7441">
        <w:rPr>
          <w:rFonts w:cs="Times New Roman"/>
          <w:szCs w:val="28"/>
        </w:rPr>
        <w:t>, prioritātes</w:t>
      </w:r>
      <w:r w:rsidR="00142973" w:rsidRPr="00AE7441">
        <w:rPr>
          <w:rFonts w:cs="Times New Roman"/>
          <w:szCs w:val="28"/>
        </w:rPr>
        <w:t xml:space="preserve"> un plānošanas dokumentos </w:t>
      </w:r>
      <w:r w:rsidR="00142973" w:rsidRPr="00D81C33">
        <w:rPr>
          <w:rFonts w:cs="Times New Roman"/>
          <w:szCs w:val="28"/>
        </w:rPr>
        <w:t>definētos specifiskos atbalsta mērķus</w:t>
      </w:r>
      <w:r w:rsidR="00D81C33" w:rsidRPr="00B862BE">
        <w:rPr>
          <w:rFonts w:cs="Times New Roman"/>
          <w:szCs w:val="28"/>
        </w:rPr>
        <w:t xml:space="preserve">. </w:t>
      </w:r>
      <w:r w:rsidR="00454844">
        <w:rPr>
          <w:rFonts w:cs="Times New Roman"/>
          <w:szCs w:val="28"/>
        </w:rPr>
        <w:t xml:space="preserve">Minētā sistēma attiecas uz ERAF (izņemot ETS programmas), ESF+ (izņemot FEAD) un KF. </w:t>
      </w:r>
      <w:r w:rsidR="00D81C33">
        <w:rPr>
          <w:szCs w:val="28"/>
        </w:rPr>
        <w:t>Šādam pēctecīgam ieviešanas modelim ir ievērojami ieguvumi</w:t>
      </w:r>
      <w:r w:rsidR="00D81C33" w:rsidRPr="00D81C33">
        <w:rPr>
          <w:color w:val="000000"/>
          <w:szCs w:val="28"/>
        </w:rPr>
        <w:t xml:space="preserve"> – sistēmai</w:t>
      </w:r>
      <w:r w:rsidR="00D81C33">
        <w:rPr>
          <w:color w:val="000000"/>
          <w:szCs w:val="28"/>
        </w:rPr>
        <w:t xml:space="preserve"> nav vajadzīgi būtiski pielāgojumi, tā var sākt darbu uz jau izveidotās vadības un kontroles sistēmas pamata</w:t>
      </w:r>
      <w:r w:rsidR="00B862BE">
        <w:rPr>
          <w:color w:val="000000"/>
          <w:szCs w:val="28"/>
        </w:rPr>
        <w:t xml:space="preserve">. </w:t>
      </w:r>
      <w:r w:rsidR="00B862BE" w:rsidRPr="00B93ABE">
        <w:rPr>
          <w:rFonts w:cs="Times New Roman"/>
          <w:bCs/>
          <w:color w:val="000000"/>
          <w:szCs w:val="24"/>
        </w:rPr>
        <w:t>Atbilstoši Kopējās fondu regulas nosacījumiem, ja</w:t>
      </w:r>
      <w:r w:rsidR="00B862BE">
        <w:rPr>
          <w:rFonts w:cs="Times New Roman"/>
          <w:bCs/>
          <w:color w:val="000000"/>
          <w:szCs w:val="24"/>
        </w:rPr>
        <w:t xml:space="preserve"> tiek pārņemta esošā vadības un kontroles sistēma, tad akreditācija nav nepieciešama</w:t>
      </w:r>
      <w:r w:rsidR="00B862BE">
        <w:rPr>
          <w:rStyle w:val="FootnoteReference"/>
          <w:rFonts w:cs="Times New Roman"/>
          <w:bCs/>
          <w:color w:val="000000"/>
          <w:szCs w:val="24"/>
        </w:rPr>
        <w:footnoteReference w:id="14"/>
      </w:r>
      <w:r w:rsidR="00B862BE">
        <w:rPr>
          <w:rFonts w:cs="Times New Roman"/>
          <w:bCs/>
          <w:color w:val="000000"/>
          <w:szCs w:val="24"/>
        </w:rPr>
        <w:t xml:space="preserve">. Tādējādi tas </w:t>
      </w:r>
      <w:r w:rsidR="00D81C33">
        <w:rPr>
          <w:color w:val="000000"/>
          <w:szCs w:val="28"/>
        </w:rPr>
        <w:t xml:space="preserve">rada iespēju nodrošināt principu </w:t>
      </w:r>
      <w:r w:rsidR="00D81C33" w:rsidRPr="00765AB5">
        <w:rPr>
          <w:rFonts w:cs="Times New Roman"/>
          <w:szCs w:val="28"/>
        </w:rPr>
        <w:t xml:space="preserve">uzsākt ES KP fondu investīcijas </w:t>
      </w:r>
      <w:r w:rsidR="00B862BE">
        <w:rPr>
          <w:rFonts w:cs="Times New Roman"/>
          <w:szCs w:val="28"/>
        </w:rPr>
        <w:t>maksimāli ātri</w:t>
      </w:r>
      <w:r w:rsidR="00D81C33" w:rsidRPr="00765AB5">
        <w:rPr>
          <w:rFonts w:cs="Times New Roman"/>
          <w:szCs w:val="28"/>
        </w:rPr>
        <w:t>, novēršot investīciju finansējuma “pārrāvumu”</w:t>
      </w:r>
      <w:r w:rsidR="00D81C33">
        <w:rPr>
          <w:color w:val="000000"/>
          <w:szCs w:val="28"/>
        </w:rPr>
        <w:t>. I</w:t>
      </w:r>
      <w:r w:rsidR="00D81C33" w:rsidRPr="00765AB5">
        <w:rPr>
          <w:rFonts w:cs="Times New Roman"/>
          <w:szCs w:val="28"/>
        </w:rPr>
        <w:t>eviešanas institucionālā sistēm</w:t>
      </w:r>
      <w:r w:rsidR="00D81C33">
        <w:rPr>
          <w:szCs w:val="28"/>
        </w:rPr>
        <w:t>ā funkcijas pildītu šādas iestādes:</w:t>
      </w:r>
    </w:p>
    <w:p w14:paraId="1DE74A62" w14:textId="0338F8F0" w:rsidR="00142973" w:rsidRPr="00F07887" w:rsidRDefault="00B862BE" w:rsidP="00F07887">
      <w:pPr>
        <w:pStyle w:val="ListParagraph"/>
        <w:spacing w:after="120"/>
        <w:ind w:left="0"/>
        <w:jc w:val="both"/>
        <w:rPr>
          <w:rFonts w:cs="Times New Roman"/>
          <w:bCs/>
          <w:color w:val="000000"/>
          <w:szCs w:val="24"/>
        </w:rPr>
      </w:pPr>
      <w:r w:rsidRPr="00B862BE">
        <w:rPr>
          <w:rFonts w:cs="Times New Roman"/>
          <w:bCs/>
          <w:color w:val="000000"/>
          <w:szCs w:val="24"/>
        </w:rPr>
        <w:t xml:space="preserve"> </w:t>
      </w:r>
    </w:p>
    <w:p w14:paraId="4D1D509E" w14:textId="146F8044" w:rsidR="00142973" w:rsidRPr="00B2045A" w:rsidRDefault="00142973" w:rsidP="00142973">
      <w:pPr>
        <w:tabs>
          <w:tab w:val="left" w:pos="567"/>
        </w:tabs>
        <w:jc w:val="both"/>
        <w:rPr>
          <w:sz w:val="28"/>
          <w:szCs w:val="28"/>
        </w:rPr>
      </w:pPr>
      <w:r w:rsidRPr="00B2045A">
        <w:rPr>
          <w:sz w:val="28"/>
          <w:szCs w:val="28"/>
        </w:rPr>
        <w:t xml:space="preserve">1) </w:t>
      </w:r>
      <w:r w:rsidRPr="00B2045A">
        <w:rPr>
          <w:b/>
          <w:sz w:val="28"/>
          <w:szCs w:val="28"/>
        </w:rPr>
        <w:t>vadošā iestāde</w:t>
      </w:r>
      <w:r w:rsidR="0038559E" w:rsidRPr="00B2045A">
        <w:rPr>
          <w:b/>
          <w:sz w:val="28"/>
          <w:szCs w:val="28"/>
        </w:rPr>
        <w:t xml:space="preserve"> </w:t>
      </w:r>
      <w:r w:rsidR="004848F9">
        <w:rPr>
          <w:b/>
          <w:sz w:val="28"/>
          <w:szCs w:val="28"/>
        </w:rPr>
        <w:t xml:space="preserve">- </w:t>
      </w:r>
      <w:r w:rsidR="0038559E" w:rsidRPr="00F07887">
        <w:rPr>
          <w:sz w:val="28"/>
          <w:szCs w:val="28"/>
        </w:rPr>
        <w:t>FM līdzīgi kā iepriekšējos plānošanas periodos</w:t>
      </w:r>
      <w:r w:rsidRPr="00B2045A">
        <w:rPr>
          <w:sz w:val="28"/>
          <w:szCs w:val="28"/>
        </w:rPr>
        <w:t xml:space="preserve">; </w:t>
      </w:r>
    </w:p>
    <w:p w14:paraId="3FF65F82" w14:textId="17A8E622" w:rsidR="007E0855" w:rsidRPr="00EC1FA8" w:rsidRDefault="00142973" w:rsidP="007E0855">
      <w:pPr>
        <w:pStyle w:val="ListParagraph"/>
        <w:spacing w:before="200"/>
        <w:ind w:left="0"/>
        <w:jc w:val="both"/>
        <w:rPr>
          <w:rFonts w:cs="Times New Roman"/>
          <w:color w:val="000000"/>
          <w:szCs w:val="24"/>
        </w:rPr>
      </w:pPr>
      <w:r w:rsidRPr="00A3247F">
        <w:rPr>
          <w:szCs w:val="28"/>
        </w:rPr>
        <w:t xml:space="preserve">2) </w:t>
      </w:r>
      <w:r w:rsidRPr="00A3247F">
        <w:rPr>
          <w:b/>
          <w:szCs w:val="28"/>
        </w:rPr>
        <w:t>atbildīgās iestādes</w:t>
      </w:r>
      <w:r w:rsidRPr="00A3247F">
        <w:rPr>
          <w:szCs w:val="28"/>
        </w:rPr>
        <w:t xml:space="preserve"> </w:t>
      </w:r>
      <w:r w:rsidR="004848F9">
        <w:rPr>
          <w:szCs w:val="28"/>
        </w:rPr>
        <w:t xml:space="preserve">- </w:t>
      </w:r>
      <w:r w:rsidRPr="00A3247F">
        <w:rPr>
          <w:szCs w:val="28"/>
        </w:rPr>
        <w:t>noteiktas atbilstoši DP norādītajiem specifiskajiem atbalsta mērķiem</w:t>
      </w:r>
      <w:r w:rsidR="00DF0708">
        <w:rPr>
          <w:szCs w:val="28"/>
        </w:rPr>
        <w:t xml:space="preserve"> vai pasākumiem, ja attiecināms</w:t>
      </w:r>
      <w:r w:rsidR="004848F9">
        <w:rPr>
          <w:szCs w:val="28"/>
        </w:rPr>
        <w:t>.</w:t>
      </w:r>
      <w:r w:rsidR="00A3247F">
        <w:rPr>
          <w:szCs w:val="28"/>
        </w:rPr>
        <w:t xml:space="preserve"> </w:t>
      </w:r>
      <w:r w:rsidR="007E0855" w:rsidRPr="00B049BB">
        <w:rPr>
          <w:rFonts w:cs="Times New Roman"/>
          <w:color w:val="000000"/>
        </w:rPr>
        <w:t>Atbildīgās iestādes īsteno</w:t>
      </w:r>
      <w:r w:rsidR="007E0855" w:rsidRPr="00723C1F">
        <w:rPr>
          <w:rFonts w:cs="Times New Roman"/>
          <w:color w:val="000000"/>
        </w:rPr>
        <w:t xml:space="preserve"> specifisko atbalsta mērķu</w:t>
      </w:r>
      <w:r w:rsidR="00DF0708">
        <w:rPr>
          <w:rFonts w:cs="Times New Roman"/>
          <w:color w:val="000000"/>
        </w:rPr>
        <w:t>/pasākumu</w:t>
      </w:r>
      <w:r w:rsidR="007E0855" w:rsidRPr="00723C1F">
        <w:rPr>
          <w:rFonts w:cs="Times New Roman"/>
          <w:color w:val="000000"/>
        </w:rPr>
        <w:t xml:space="preserve"> plānošanu un ieviešanu, </w:t>
      </w:r>
      <w:r w:rsidR="007E0855" w:rsidRPr="00B049BB">
        <w:rPr>
          <w:rFonts w:cs="Times New Roman"/>
          <w:color w:val="000000"/>
        </w:rPr>
        <w:t xml:space="preserve">maksimāli veicinot integrētu investīciju pieeju un uzraudzības procesu, lai nodrošinātu definēto mērķu un rādītāju sasniegšanu, nodrošinot tematisko koncentrāciju, konsolidētākus plānotos mērķus un integrētāku skatījumu uz ieviešamajiem specifiskajiem atbalsta mērķiem. Atbildīgā iestāde izstrādā </w:t>
      </w:r>
      <w:r w:rsidR="00E13D88" w:rsidRPr="00B049BB">
        <w:rPr>
          <w:rFonts w:cs="Times New Roman"/>
          <w:color w:val="000000"/>
        </w:rPr>
        <w:t>M</w:t>
      </w:r>
      <w:r w:rsidR="00E13D88">
        <w:rPr>
          <w:rFonts w:cs="Times New Roman"/>
          <w:color w:val="000000"/>
        </w:rPr>
        <w:t>inistru kabineta (turpmāk – MK)</w:t>
      </w:r>
      <w:r w:rsidR="00E13D88" w:rsidRPr="00B049BB">
        <w:rPr>
          <w:rFonts w:cs="Times New Roman"/>
          <w:color w:val="000000"/>
        </w:rPr>
        <w:t xml:space="preserve"> </w:t>
      </w:r>
      <w:r w:rsidR="007E0855" w:rsidRPr="00B049BB">
        <w:rPr>
          <w:rFonts w:cs="Times New Roman"/>
          <w:color w:val="000000"/>
        </w:rPr>
        <w:t>noteikumus par specifiskajiem atbalsta mērķiem</w:t>
      </w:r>
      <w:r w:rsidR="00DF0708">
        <w:rPr>
          <w:rFonts w:cs="Times New Roman"/>
          <w:color w:val="000000"/>
        </w:rPr>
        <w:t>/pasākumiem</w:t>
      </w:r>
      <w:r w:rsidR="007E0855" w:rsidRPr="00B049BB">
        <w:rPr>
          <w:rFonts w:cs="Times New Roman"/>
          <w:color w:val="000000"/>
        </w:rPr>
        <w:t xml:space="preserve"> un projektu iesniegumu atlases kritērijus sadarbībā ar sadarbības partneriem</w:t>
      </w:r>
      <w:r w:rsidR="007E0855">
        <w:rPr>
          <w:rFonts w:cs="Times New Roman"/>
          <w:color w:val="000000"/>
        </w:rPr>
        <w:t xml:space="preserve"> un nodrošina specifisko atbalsta mērķu</w:t>
      </w:r>
      <w:r w:rsidR="00C36C73">
        <w:rPr>
          <w:rFonts w:cs="Times New Roman"/>
          <w:color w:val="000000"/>
        </w:rPr>
        <w:t>/pasākumu</w:t>
      </w:r>
      <w:r w:rsidR="007E0855">
        <w:rPr>
          <w:rFonts w:cs="Times New Roman"/>
          <w:color w:val="000000"/>
        </w:rPr>
        <w:t xml:space="preserve"> uzraudzību</w:t>
      </w:r>
      <w:r w:rsidR="007E0855" w:rsidRPr="00B049BB">
        <w:rPr>
          <w:rFonts w:cs="Times New Roman"/>
          <w:color w:val="000000"/>
        </w:rPr>
        <w:t>.</w:t>
      </w:r>
    </w:p>
    <w:p w14:paraId="78AA8E05" w14:textId="16E7006C" w:rsidR="00142973" w:rsidRPr="00A3247F" w:rsidRDefault="00142973" w:rsidP="00142973">
      <w:pPr>
        <w:tabs>
          <w:tab w:val="left" w:pos="567"/>
        </w:tabs>
        <w:jc w:val="both"/>
        <w:rPr>
          <w:sz w:val="28"/>
          <w:szCs w:val="28"/>
        </w:rPr>
      </w:pPr>
    </w:p>
    <w:p w14:paraId="5A8322F8" w14:textId="341B479E" w:rsidR="00F2603B" w:rsidRPr="00EF1565" w:rsidRDefault="00142973" w:rsidP="00F2603B">
      <w:pPr>
        <w:pStyle w:val="ListParagraph"/>
        <w:tabs>
          <w:tab w:val="left" w:pos="567"/>
          <w:tab w:val="left" w:pos="993"/>
        </w:tabs>
        <w:ind w:left="0"/>
        <w:jc w:val="both"/>
        <w:rPr>
          <w:szCs w:val="28"/>
        </w:rPr>
      </w:pPr>
      <w:r w:rsidRPr="00A3247F">
        <w:rPr>
          <w:szCs w:val="28"/>
        </w:rPr>
        <w:t xml:space="preserve">3) </w:t>
      </w:r>
      <w:r w:rsidRPr="00A3247F">
        <w:rPr>
          <w:b/>
          <w:szCs w:val="28"/>
        </w:rPr>
        <w:t>sadarbības iestāde</w:t>
      </w:r>
      <w:r w:rsidR="0038559E" w:rsidRPr="00A3247F">
        <w:rPr>
          <w:szCs w:val="28"/>
        </w:rPr>
        <w:t xml:space="preserve"> - </w:t>
      </w:r>
      <w:r w:rsidR="00B2045A" w:rsidRPr="00A3247F">
        <w:rPr>
          <w:szCs w:val="28"/>
        </w:rPr>
        <w:t xml:space="preserve">līdzīgi kā </w:t>
      </w:r>
      <w:r w:rsidR="00B2045A" w:rsidRPr="00F2603B">
        <w:rPr>
          <w:rFonts w:cs="Times New Roman"/>
          <w:szCs w:val="28"/>
        </w:rPr>
        <w:t>2014.</w:t>
      </w:r>
      <w:r w:rsidR="00E13D88">
        <w:rPr>
          <w:rFonts w:cs="Times New Roman"/>
          <w:szCs w:val="28"/>
        </w:rPr>
        <w:t xml:space="preserve"> </w:t>
      </w:r>
      <w:r w:rsidR="00B2045A" w:rsidRPr="00F2603B">
        <w:rPr>
          <w:rFonts w:cs="Times New Roman"/>
          <w:szCs w:val="28"/>
        </w:rPr>
        <w:t>–</w:t>
      </w:r>
      <w:r w:rsidR="00E13D88">
        <w:rPr>
          <w:rFonts w:cs="Times New Roman"/>
          <w:szCs w:val="28"/>
        </w:rPr>
        <w:t xml:space="preserve"> </w:t>
      </w:r>
      <w:r w:rsidR="00B2045A" w:rsidRPr="00F2603B">
        <w:rPr>
          <w:rFonts w:cs="Times New Roman"/>
          <w:szCs w:val="28"/>
        </w:rPr>
        <w:t>2020.</w:t>
      </w:r>
      <w:r w:rsidR="00E13D88">
        <w:rPr>
          <w:rFonts w:cs="Times New Roman"/>
          <w:szCs w:val="28"/>
        </w:rPr>
        <w:t> </w:t>
      </w:r>
      <w:r w:rsidR="00B2045A" w:rsidRPr="00F2603B">
        <w:rPr>
          <w:rFonts w:cs="Times New Roman"/>
          <w:szCs w:val="28"/>
        </w:rPr>
        <w:t>gada</w:t>
      </w:r>
      <w:r w:rsidR="00B2045A" w:rsidRPr="00B2045A">
        <w:rPr>
          <w:rFonts w:cs="Times New Roman"/>
          <w:szCs w:val="28"/>
        </w:rPr>
        <w:t xml:space="preserve"> plānošanas</w:t>
      </w:r>
      <w:r w:rsidR="00B2045A" w:rsidRPr="00FF4FEA">
        <w:rPr>
          <w:rFonts w:cs="Times New Roman"/>
          <w:szCs w:val="28"/>
        </w:rPr>
        <w:t xml:space="preserve"> period</w:t>
      </w:r>
      <w:r w:rsidR="00B2045A" w:rsidRPr="00FF4FEA">
        <w:rPr>
          <w:szCs w:val="28"/>
        </w:rPr>
        <w:t>ā</w:t>
      </w:r>
      <w:r w:rsidR="00B2045A" w:rsidRPr="00B2045A">
        <w:rPr>
          <w:szCs w:val="28"/>
        </w:rPr>
        <w:t xml:space="preserve"> </w:t>
      </w:r>
      <w:r w:rsidRPr="00B2045A">
        <w:rPr>
          <w:szCs w:val="28"/>
        </w:rPr>
        <w:t>viena aģentūra</w:t>
      </w:r>
      <w:r w:rsidR="0038559E">
        <w:rPr>
          <w:szCs w:val="28"/>
        </w:rPr>
        <w:t xml:space="preserve"> Centrālā finanšu un līgumu aģentūra (turpmāk – </w:t>
      </w:r>
      <w:r w:rsidR="0038559E">
        <w:t>CFLA)</w:t>
      </w:r>
      <w:r w:rsidRPr="00517BDB">
        <w:rPr>
          <w:szCs w:val="28"/>
        </w:rPr>
        <w:t xml:space="preserve">, </w:t>
      </w:r>
      <w:r w:rsidR="0038559E">
        <w:rPr>
          <w:szCs w:val="28"/>
        </w:rPr>
        <w:t xml:space="preserve">ņemot vērā </w:t>
      </w:r>
      <w:r w:rsidRPr="00517BDB">
        <w:rPr>
          <w:szCs w:val="28"/>
        </w:rPr>
        <w:t>atbilstoš</w:t>
      </w:r>
      <w:r w:rsidR="0038559E">
        <w:rPr>
          <w:szCs w:val="28"/>
        </w:rPr>
        <w:t>u</w:t>
      </w:r>
      <w:r w:rsidRPr="00517BDB">
        <w:rPr>
          <w:szCs w:val="28"/>
        </w:rPr>
        <w:t xml:space="preserve"> ES KP fondu </w:t>
      </w:r>
      <w:r w:rsidR="00EF1565" w:rsidRPr="00517BDB">
        <w:rPr>
          <w:szCs w:val="28"/>
        </w:rPr>
        <w:t>administrēšanas pēctecīb</w:t>
      </w:r>
      <w:r w:rsidR="00EF1565">
        <w:rPr>
          <w:szCs w:val="28"/>
        </w:rPr>
        <w:t>u</w:t>
      </w:r>
      <w:r w:rsidR="00EF1565" w:rsidRPr="00517BDB">
        <w:rPr>
          <w:szCs w:val="28"/>
        </w:rPr>
        <w:t xml:space="preserve"> un </w:t>
      </w:r>
      <w:r w:rsidR="00EF1565">
        <w:rPr>
          <w:szCs w:val="28"/>
        </w:rPr>
        <w:t xml:space="preserve">nostiprinātu </w:t>
      </w:r>
      <w:r w:rsidR="00EF1565" w:rsidRPr="00517BDB">
        <w:rPr>
          <w:szCs w:val="28"/>
        </w:rPr>
        <w:t xml:space="preserve">kapacitāti strādāt </w:t>
      </w:r>
      <w:r w:rsidR="00EF1565">
        <w:rPr>
          <w:szCs w:val="28"/>
        </w:rPr>
        <w:t xml:space="preserve">ar visiem ES KP fondu klientiem. </w:t>
      </w:r>
      <w:r w:rsidR="00EF1565">
        <w:t xml:space="preserve">CFLA kā sadarbības </w:t>
      </w:r>
      <w:r w:rsidR="00EF1565" w:rsidRPr="00EF1565">
        <w:t>iestādes padotības forma tiek paredzēta tāpat kā 2014. – 2020. gada plānošanas periodā, proti, sadarbības iestāde atrodas finanšu ministra pakļautībā, kurš padotību īsteno ar pilnvarotās amatpersonas (vadošās iestādes vadītāja, kas ir valsts sekretāra vietnieks) starpniecību.</w:t>
      </w:r>
      <w:r w:rsidR="00DE3F02" w:rsidRPr="00EF1565">
        <w:rPr>
          <w:szCs w:val="28"/>
        </w:rPr>
        <w:t xml:space="preserve"> </w:t>
      </w:r>
    </w:p>
    <w:p w14:paraId="421740BD" w14:textId="0088C6B0" w:rsidR="00142973" w:rsidRDefault="00142973" w:rsidP="00142973">
      <w:pPr>
        <w:tabs>
          <w:tab w:val="left" w:pos="567"/>
        </w:tabs>
        <w:jc w:val="both"/>
        <w:rPr>
          <w:sz w:val="28"/>
          <w:szCs w:val="28"/>
        </w:rPr>
      </w:pPr>
    </w:p>
    <w:p w14:paraId="40FC44FF" w14:textId="5B8FE5CD" w:rsidR="00844E8D" w:rsidRDefault="00844E8D" w:rsidP="004848F9">
      <w:pPr>
        <w:pStyle w:val="ListParagraph"/>
        <w:tabs>
          <w:tab w:val="left" w:pos="567"/>
          <w:tab w:val="left" w:pos="993"/>
        </w:tabs>
        <w:ind w:left="0"/>
        <w:jc w:val="both"/>
      </w:pPr>
      <w:r>
        <w:rPr>
          <w:szCs w:val="28"/>
        </w:rPr>
        <w:t xml:space="preserve">4) </w:t>
      </w:r>
      <w:r w:rsidRPr="00844E8D">
        <w:rPr>
          <w:b/>
          <w:szCs w:val="28"/>
        </w:rPr>
        <w:t>grāmatvedības funkcija</w:t>
      </w:r>
      <w:r w:rsidR="00FF4FEA">
        <w:rPr>
          <w:b/>
          <w:szCs w:val="28"/>
        </w:rPr>
        <w:t xml:space="preserve"> - </w:t>
      </w:r>
      <w:r w:rsidR="00FF4FEA">
        <w:t>Valsts kase;</w:t>
      </w:r>
    </w:p>
    <w:p w14:paraId="3A6FD359" w14:textId="77777777" w:rsidR="004430E6" w:rsidRDefault="004430E6" w:rsidP="004848F9">
      <w:pPr>
        <w:pStyle w:val="ListParagraph"/>
        <w:tabs>
          <w:tab w:val="left" w:pos="567"/>
          <w:tab w:val="left" w:pos="993"/>
        </w:tabs>
        <w:ind w:left="0"/>
        <w:jc w:val="both"/>
        <w:rPr>
          <w:szCs w:val="28"/>
        </w:rPr>
      </w:pPr>
    </w:p>
    <w:p w14:paraId="11FA640C" w14:textId="5576FE75" w:rsidR="00844E8D" w:rsidRPr="004848F9" w:rsidRDefault="00844E8D" w:rsidP="004848F9">
      <w:pPr>
        <w:pStyle w:val="ListParagraph"/>
        <w:tabs>
          <w:tab w:val="left" w:pos="567"/>
          <w:tab w:val="left" w:pos="993"/>
        </w:tabs>
        <w:ind w:left="0"/>
        <w:jc w:val="both"/>
      </w:pPr>
      <w:r>
        <w:rPr>
          <w:szCs w:val="28"/>
        </w:rPr>
        <w:t xml:space="preserve">5) </w:t>
      </w:r>
      <w:r w:rsidRPr="00844E8D">
        <w:rPr>
          <w:b/>
          <w:szCs w:val="28"/>
        </w:rPr>
        <w:t>revīzijas iestāde</w:t>
      </w:r>
      <w:r w:rsidR="00FF4FEA">
        <w:rPr>
          <w:b/>
          <w:szCs w:val="28"/>
        </w:rPr>
        <w:t xml:space="preserve"> - </w:t>
      </w:r>
      <w:r w:rsidR="00E13D88">
        <w:t>FM</w:t>
      </w:r>
      <w:r w:rsidR="00FF4FEA">
        <w:t xml:space="preserve"> ES fondu revīzijas departaments.</w:t>
      </w:r>
    </w:p>
    <w:p w14:paraId="7E96B0CE" w14:textId="1A24903C" w:rsidR="00AF66F6" w:rsidRPr="004848F9" w:rsidRDefault="00AF66F6" w:rsidP="00142973">
      <w:pPr>
        <w:jc w:val="both"/>
        <w:rPr>
          <w:color w:val="000000"/>
          <w:sz w:val="22"/>
        </w:rPr>
      </w:pPr>
    </w:p>
    <w:p w14:paraId="7513429C" w14:textId="1259FA66" w:rsidR="0043785E" w:rsidRDefault="00FF25AB" w:rsidP="0043785E">
      <w:pPr>
        <w:pStyle w:val="ListParagraph"/>
        <w:ind w:left="0"/>
        <w:jc w:val="both"/>
        <w:rPr>
          <w:color w:val="000000"/>
          <w:szCs w:val="28"/>
        </w:rPr>
      </w:pPr>
      <w:r>
        <w:rPr>
          <w:color w:val="000000"/>
          <w:szCs w:val="28"/>
        </w:rPr>
        <w:t>Kopējā</w:t>
      </w:r>
      <w:r w:rsidR="005948A3">
        <w:rPr>
          <w:color w:val="000000"/>
          <w:szCs w:val="28"/>
        </w:rPr>
        <w:t>s</w:t>
      </w:r>
      <w:r>
        <w:rPr>
          <w:color w:val="000000"/>
          <w:szCs w:val="28"/>
        </w:rPr>
        <w:t xml:space="preserve"> fondu</w:t>
      </w:r>
      <w:r w:rsidR="0043785E" w:rsidRPr="00FF25AB">
        <w:rPr>
          <w:color w:val="000000"/>
          <w:szCs w:val="28"/>
        </w:rPr>
        <w:t xml:space="preserve"> regula</w:t>
      </w:r>
      <w:r w:rsidR="005948A3">
        <w:rPr>
          <w:color w:val="000000"/>
          <w:szCs w:val="28"/>
        </w:rPr>
        <w:t>s priekšlikums</w:t>
      </w:r>
      <w:r w:rsidR="0043785E" w:rsidRPr="00FF25AB">
        <w:rPr>
          <w:color w:val="000000"/>
          <w:szCs w:val="28"/>
        </w:rPr>
        <w:t xml:space="preserve"> paredz, ka 2021.</w:t>
      </w:r>
      <w:r w:rsidR="00E13D88">
        <w:rPr>
          <w:color w:val="000000"/>
          <w:szCs w:val="28"/>
        </w:rPr>
        <w:t xml:space="preserve"> </w:t>
      </w:r>
      <w:r w:rsidR="008C392D">
        <w:rPr>
          <w:color w:val="000000"/>
          <w:szCs w:val="28"/>
        </w:rPr>
        <w:t>–</w:t>
      </w:r>
      <w:r w:rsidR="00E13D88">
        <w:rPr>
          <w:color w:val="000000"/>
          <w:szCs w:val="28"/>
        </w:rPr>
        <w:t xml:space="preserve"> </w:t>
      </w:r>
      <w:r w:rsidR="0043785E" w:rsidRPr="00FF25AB">
        <w:rPr>
          <w:color w:val="000000"/>
          <w:szCs w:val="28"/>
        </w:rPr>
        <w:t>2027.</w:t>
      </w:r>
      <w:r w:rsidR="00E13D88">
        <w:rPr>
          <w:color w:val="000000"/>
          <w:szCs w:val="28"/>
        </w:rPr>
        <w:t> </w:t>
      </w:r>
      <w:r w:rsidR="0043785E" w:rsidRPr="00FF25AB">
        <w:rPr>
          <w:color w:val="000000"/>
          <w:szCs w:val="28"/>
        </w:rPr>
        <w:t xml:space="preserve">gada plānošanas periodā </w:t>
      </w:r>
      <w:r>
        <w:rPr>
          <w:color w:val="000000"/>
          <w:szCs w:val="28"/>
        </w:rPr>
        <w:t xml:space="preserve">finansējuma saņēmējs būs tas, kas saņem </w:t>
      </w:r>
      <w:r w:rsidR="004457AA">
        <w:rPr>
          <w:color w:val="000000"/>
          <w:szCs w:val="28"/>
        </w:rPr>
        <w:t xml:space="preserve">atbalstu </w:t>
      </w:r>
      <w:r>
        <w:rPr>
          <w:color w:val="000000"/>
          <w:szCs w:val="28"/>
        </w:rPr>
        <w:t>valsts atbalsta shēmu gadījumā</w:t>
      </w:r>
      <w:r w:rsidR="00BF4BEF">
        <w:rPr>
          <w:color w:val="000000"/>
          <w:szCs w:val="28"/>
        </w:rPr>
        <w:t xml:space="preserve"> (neattiecas uz </w:t>
      </w:r>
      <w:r w:rsidR="00BF4BEF" w:rsidRPr="00C80891">
        <w:rPr>
          <w:i/>
          <w:color w:val="000000"/>
          <w:szCs w:val="28"/>
        </w:rPr>
        <w:t>de minimis</w:t>
      </w:r>
      <w:r w:rsidR="00BF4BEF">
        <w:rPr>
          <w:color w:val="000000"/>
          <w:szCs w:val="28"/>
        </w:rPr>
        <w:t xml:space="preserve"> atbalstu)</w:t>
      </w:r>
      <w:r>
        <w:rPr>
          <w:color w:val="000000"/>
          <w:szCs w:val="28"/>
        </w:rPr>
        <w:t xml:space="preserve">, līdz ar to </w:t>
      </w:r>
      <w:r w:rsidR="0043785E" w:rsidRPr="00FF25AB">
        <w:rPr>
          <w:color w:val="000000"/>
          <w:szCs w:val="28"/>
        </w:rPr>
        <w:t xml:space="preserve">ES </w:t>
      </w:r>
      <w:r w:rsidR="00844E8D">
        <w:rPr>
          <w:color w:val="000000"/>
          <w:szCs w:val="28"/>
        </w:rPr>
        <w:t xml:space="preserve">KP </w:t>
      </w:r>
      <w:r w:rsidR="0043785E" w:rsidRPr="00FF25AB">
        <w:rPr>
          <w:color w:val="000000"/>
          <w:szCs w:val="28"/>
        </w:rPr>
        <w:t>fondu atbalsta mehānisms jāveido tā, lai sadarbības iestāde CFLA tieši sadarbojas ar finansējuma saņēmēju/gala labuma guvēju valsts atbalsta shēmu gadījumā</w:t>
      </w:r>
      <w:r>
        <w:rPr>
          <w:color w:val="000000"/>
          <w:szCs w:val="28"/>
        </w:rPr>
        <w:t xml:space="preserve">, </w:t>
      </w:r>
      <w:r w:rsidR="004848F9">
        <w:rPr>
          <w:color w:val="000000"/>
          <w:szCs w:val="28"/>
        </w:rPr>
        <w:t xml:space="preserve">proti, apstiprina projektu un slēdz līgumu, </w:t>
      </w:r>
      <w:r>
        <w:rPr>
          <w:color w:val="000000"/>
          <w:szCs w:val="28"/>
        </w:rPr>
        <w:t>izslēdzot vairāku pakāpju administrēšanas shēmas izmantošanu.</w:t>
      </w:r>
    </w:p>
    <w:p w14:paraId="72163BD7" w14:textId="77777777" w:rsidR="00AF66F6" w:rsidRPr="002C5B63" w:rsidRDefault="00AF66F6" w:rsidP="00142973">
      <w:pPr>
        <w:jc w:val="both"/>
        <w:rPr>
          <w:color w:val="000000"/>
        </w:rPr>
      </w:pPr>
    </w:p>
    <w:p w14:paraId="61E5204B" w14:textId="09F01D6A" w:rsidR="00BF4BEF" w:rsidRPr="00194CF4" w:rsidRDefault="007E0855" w:rsidP="00194CF4">
      <w:pPr>
        <w:spacing w:after="120"/>
        <w:jc w:val="both"/>
        <w:rPr>
          <w:bCs/>
          <w:color w:val="000000"/>
          <w:szCs w:val="28"/>
        </w:rPr>
      </w:pPr>
      <w:r>
        <w:rPr>
          <w:color w:val="000000"/>
          <w:sz w:val="28"/>
          <w:szCs w:val="28"/>
        </w:rPr>
        <w:t xml:space="preserve">Papildus ieguvumi: </w:t>
      </w:r>
      <w:r w:rsidR="004848F9">
        <w:rPr>
          <w:color w:val="000000"/>
          <w:sz w:val="28"/>
          <w:szCs w:val="28"/>
        </w:rPr>
        <w:t>p</w:t>
      </w:r>
      <w:r>
        <w:rPr>
          <w:color w:val="000000"/>
          <w:sz w:val="28"/>
          <w:szCs w:val="28"/>
        </w:rPr>
        <w:t xml:space="preserve">rojektu iesniedzējiem, </w:t>
      </w:r>
      <w:r w:rsidR="004848F9">
        <w:rPr>
          <w:color w:val="000000"/>
          <w:sz w:val="28"/>
          <w:szCs w:val="28"/>
        </w:rPr>
        <w:t>f</w:t>
      </w:r>
      <w:r w:rsidR="00142973" w:rsidRPr="00846B8E">
        <w:rPr>
          <w:bCs/>
          <w:color w:val="000000"/>
          <w:sz w:val="28"/>
          <w:szCs w:val="28"/>
        </w:rPr>
        <w:t xml:space="preserve">inansējuma saņēmējiem </w:t>
      </w:r>
      <w:r w:rsidR="00627D4A">
        <w:rPr>
          <w:bCs/>
          <w:color w:val="000000"/>
          <w:sz w:val="28"/>
          <w:szCs w:val="28"/>
        </w:rPr>
        <w:t>ir mazāks</w:t>
      </w:r>
      <w:r w:rsidR="00142973" w:rsidRPr="00846B8E">
        <w:rPr>
          <w:bCs/>
          <w:color w:val="000000"/>
          <w:sz w:val="28"/>
          <w:szCs w:val="28"/>
        </w:rPr>
        <w:t xml:space="preserve"> </w:t>
      </w:r>
      <w:r w:rsidR="00142973" w:rsidRPr="00846B8E">
        <w:rPr>
          <w:color w:val="000000"/>
          <w:sz w:val="28"/>
          <w:szCs w:val="28"/>
        </w:rPr>
        <w:t xml:space="preserve">administratīvais slogs, </w:t>
      </w:r>
      <w:r>
        <w:rPr>
          <w:color w:val="000000"/>
          <w:sz w:val="28"/>
          <w:szCs w:val="28"/>
        </w:rPr>
        <w:t xml:space="preserve">kad </w:t>
      </w:r>
      <w:r w:rsidR="00142973" w:rsidRPr="00846B8E">
        <w:rPr>
          <w:color w:val="000000"/>
          <w:sz w:val="28"/>
          <w:szCs w:val="28"/>
        </w:rPr>
        <w:t xml:space="preserve">kopumā </w:t>
      </w:r>
      <w:r w:rsidR="00142973" w:rsidRPr="00846B8E">
        <w:rPr>
          <w:bCs/>
          <w:color w:val="000000"/>
          <w:sz w:val="28"/>
          <w:szCs w:val="28"/>
        </w:rPr>
        <w:t>nodrošin</w:t>
      </w:r>
      <w:r>
        <w:rPr>
          <w:bCs/>
          <w:color w:val="000000"/>
          <w:sz w:val="28"/>
          <w:szCs w:val="28"/>
        </w:rPr>
        <w:t>āta</w:t>
      </w:r>
      <w:r w:rsidR="00142973" w:rsidRPr="00846B8E">
        <w:rPr>
          <w:bCs/>
          <w:color w:val="000000"/>
          <w:sz w:val="28"/>
          <w:szCs w:val="28"/>
        </w:rPr>
        <w:t xml:space="preserve"> vienot</w:t>
      </w:r>
      <w:r>
        <w:rPr>
          <w:bCs/>
          <w:color w:val="000000"/>
          <w:sz w:val="28"/>
          <w:szCs w:val="28"/>
        </w:rPr>
        <w:t>a</w:t>
      </w:r>
      <w:r w:rsidR="00142973" w:rsidRPr="00846B8E">
        <w:rPr>
          <w:bCs/>
          <w:color w:val="000000"/>
          <w:sz w:val="28"/>
          <w:szCs w:val="28"/>
        </w:rPr>
        <w:t xml:space="preserve"> pieej</w:t>
      </w:r>
      <w:r>
        <w:rPr>
          <w:bCs/>
          <w:color w:val="000000"/>
          <w:sz w:val="28"/>
          <w:szCs w:val="28"/>
        </w:rPr>
        <w:t>a</w:t>
      </w:r>
      <w:r w:rsidR="00142973" w:rsidRPr="00846B8E">
        <w:rPr>
          <w:color w:val="000000"/>
          <w:sz w:val="28"/>
          <w:szCs w:val="28"/>
        </w:rPr>
        <w:t xml:space="preserve">, </w:t>
      </w:r>
      <w:r>
        <w:rPr>
          <w:color w:val="000000"/>
          <w:sz w:val="28"/>
          <w:szCs w:val="28"/>
        </w:rPr>
        <w:t>vienlaikus</w:t>
      </w:r>
      <w:r w:rsidR="00142973" w:rsidRPr="00846B8E">
        <w:rPr>
          <w:color w:val="000000"/>
          <w:sz w:val="28"/>
          <w:szCs w:val="28"/>
        </w:rPr>
        <w:t xml:space="preserve"> ņemot vērā arī katra finansējuma saņēmēja juridisko statusu, īstenojamā projekta lielumu un katra fonda specifiskās prasības</w:t>
      </w:r>
      <w:r w:rsidR="004848F9">
        <w:rPr>
          <w:color w:val="000000"/>
          <w:sz w:val="28"/>
          <w:szCs w:val="28"/>
        </w:rPr>
        <w:t>;</w:t>
      </w:r>
      <w:r>
        <w:rPr>
          <w:bCs/>
          <w:color w:val="000000"/>
          <w:sz w:val="28"/>
          <w:szCs w:val="28"/>
        </w:rPr>
        <w:t xml:space="preserve"> </w:t>
      </w:r>
      <w:r w:rsidR="00142973" w:rsidRPr="00846B8E">
        <w:rPr>
          <w:bCs/>
          <w:color w:val="000000"/>
          <w:sz w:val="28"/>
          <w:szCs w:val="28"/>
        </w:rPr>
        <w:t>nodrošināta vienota pieeja kontrolēm un uzraudzībai</w:t>
      </w:r>
      <w:r w:rsidR="00D13EFE" w:rsidRPr="00846B8E">
        <w:rPr>
          <w:bCs/>
          <w:color w:val="000000"/>
          <w:sz w:val="28"/>
          <w:szCs w:val="28"/>
        </w:rPr>
        <w:t xml:space="preserve">, </w:t>
      </w:r>
      <w:r>
        <w:rPr>
          <w:bCs/>
          <w:color w:val="000000"/>
          <w:sz w:val="28"/>
          <w:szCs w:val="28"/>
        </w:rPr>
        <w:t xml:space="preserve">tādēļ </w:t>
      </w:r>
      <w:r w:rsidR="00D13EFE" w:rsidRPr="00846B8E">
        <w:rPr>
          <w:bCs/>
          <w:color w:val="000000"/>
          <w:sz w:val="28"/>
          <w:szCs w:val="28"/>
        </w:rPr>
        <w:t>vienas pieturas aģentūras princip</w:t>
      </w:r>
      <w:r>
        <w:rPr>
          <w:bCs/>
          <w:color w:val="000000"/>
          <w:sz w:val="28"/>
          <w:szCs w:val="28"/>
        </w:rPr>
        <w:t>a saglabāšana ir pamatota.</w:t>
      </w:r>
      <w:r w:rsidR="00142973" w:rsidRPr="00846B8E">
        <w:rPr>
          <w:bCs/>
          <w:color w:val="000000"/>
          <w:sz w:val="28"/>
          <w:szCs w:val="28"/>
        </w:rPr>
        <w:t xml:space="preserve"> Tiek nodrošināta plānošanas funkciju pēctecība. </w:t>
      </w:r>
      <w:r w:rsidR="00517BDB" w:rsidRPr="00846B8E">
        <w:rPr>
          <w:bCs/>
          <w:color w:val="000000"/>
          <w:sz w:val="28"/>
          <w:szCs w:val="28"/>
        </w:rPr>
        <w:t>Sistēma ir sevi pierādījusi 2014.</w:t>
      </w:r>
      <w:r w:rsidR="00C8524F">
        <w:rPr>
          <w:bCs/>
          <w:color w:val="000000"/>
          <w:sz w:val="28"/>
          <w:szCs w:val="28"/>
        </w:rPr>
        <w:t> </w:t>
      </w:r>
      <w:r w:rsidR="00517BDB" w:rsidRPr="00846B8E">
        <w:rPr>
          <w:bCs/>
          <w:color w:val="000000"/>
          <w:sz w:val="28"/>
          <w:szCs w:val="28"/>
        </w:rPr>
        <w:t>–</w:t>
      </w:r>
      <w:r w:rsidR="00C8524F">
        <w:rPr>
          <w:bCs/>
          <w:color w:val="000000"/>
          <w:sz w:val="28"/>
          <w:szCs w:val="28"/>
        </w:rPr>
        <w:t> </w:t>
      </w:r>
      <w:r w:rsidR="00517BDB" w:rsidRPr="00846B8E">
        <w:rPr>
          <w:bCs/>
          <w:color w:val="000000"/>
          <w:sz w:val="28"/>
          <w:szCs w:val="28"/>
        </w:rPr>
        <w:t>2020.</w:t>
      </w:r>
      <w:r w:rsidR="00E13D88">
        <w:rPr>
          <w:bCs/>
          <w:color w:val="000000"/>
          <w:sz w:val="28"/>
          <w:szCs w:val="28"/>
        </w:rPr>
        <w:t> </w:t>
      </w:r>
      <w:r w:rsidR="00517BDB" w:rsidRPr="00846B8E">
        <w:rPr>
          <w:bCs/>
          <w:color w:val="000000"/>
          <w:sz w:val="28"/>
          <w:szCs w:val="28"/>
        </w:rPr>
        <w:t>gada plānošan</w:t>
      </w:r>
      <w:r w:rsidR="00B47009" w:rsidRPr="00846B8E">
        <w:rPr>
          <w:bCs/>
          <w:color w:val="000000"/>
          <w:sz w:val="28"/>
          <w:szCs w:val="28"/>
        </w:rPr>
        <w:t>a</w:t>
      </w:r>
      <w:r w:rsidR="00517BDB" w:rsidRPr="00846B8E">
        <w:rPr>
          <w:bCs/>
          <w:color w:val="000000"/>
          <w:sz w:val="28"/>
          <w:szCs w:val="28"/>
        </w:rPr>
        <w:t xml:space="preserve">s periodā, proti, </w:t>
      </w:r>
      <w:r w:rsidR="0078301E">
        <w:rPr>
          <w:bCs/>
          <w:color w:val="000000"/>
          <w:sz w:val="28"/>
          <w:szCs w:val="28"/>
        </w:rPr>
        <w:t>tā ir</w:t>
      </w:r>
      <w:r w:rsidR="0078301E" w:rsidRPr="0078301E">
        <w:rPr>
          <w:bCs/>
          <w:color w:val="000000"/>
          <w:sz w:val="28"/>
          <w:szCs w:val="28"/>
        </w:rPr>
        <w:t xml:space="preserve"> vērsta uz klientu, nodrošinot vienkāršotu administrēšanas sistēmu, </w:t>
      </w:r>
      <w:r w:rsidR="00563BD0">
        <w:rPr>
          <w:bCs/>
          <w:color w:val="000000"/>
          <w:sz w:val="28"/>
          <w:szCs w:val="28"/>
        </w:rPr>
        <w:t>daudzlīmeņu kontroļu sloga samazināšanu,</w:t>
      </w:r>
      <w:r w:rsidR="00563BD0" w:rsidRPr="0078301E">
        <w:rPr>
          <w:bCs/>
          <w:color w:val="000000"/>
          <w:sz w:val="28"/>
          <w:szCs w:val="28"/>
        </w:rPr>
        <w:t xml:space="preserve"> </w:t>
      </w:r>
      <w:r w:rsidR="0078301E" w:rsidRPr="0078301E">
        <w:rPr>
          <w:bCs/>
          <w:color w:val="000000"/>
          <w:sz w:val="28"/>
          <w:szCs w:val="28"/>
        </w:rPr>
        <w:t>vienotu praksi un prasības finansējuma saņēmējam,</w:t>
      </w:r>
      <w:r w:rsidR="00563BD0">
        <w:rPr>
          <w:bCs/>
          <w:color w:val="000000"/>
          <w:sz w:val="28"/>
          <w:szCs w:val="28"/>
        </w:rPr>
        <w:t xml:space="preserve"> </w:t>
      </w:r>
      <w:r w:rsidR="0078301E">
        <w:rPr>
          <w:bCs/>
          <w:color w:val="000000"/>
          <w:sz w:val="28"/>
          <w:szCs w:val="28"/>
        </w:rPr>
        <w:t>tādējādi nodrošinot</w:t>
      </w:r>
      <w:r w:rsidR="0078301E" w:rsidRPr="0078301E">
        <w:rPr>
          <w:bCs/>
          <w:color w:val="000000"/>
          <w:sz w:val="28"/>
          <w:szCs w:val="28"/>
        </w:rPr>
        <w:t xml:space="preserve"> efektīvu ES fondu </w:t>
      </w:r>
      <w:r w:rsidR="00072029">
        <w:rPr>
          <w:bCs/>
          <w:color w:val="000000"/>
          <w:sz w:val="28"/>
          <w:szCs w:val="28"/>
        </w:rPr>
        <w:t>īstenošanu</w:t>
      </w:r>
      <w:r w:rsidR="0078301E" w:rsidRPr="0078301E">
        <w:rPr>
          <w:bCs/>
          <w:color w:val="000000"/>
          <w:sz w:val="28"/>
          <w:szCs w:val="28"/>
        </w:rPr>
        <w:t>, kas vērsta uz rezultātu sasniegšanu</w:t>
      </w:r>
      <w:r w:rsidR="0078301E">
        <w:rPr>
          <w:bCs/>
          <w:color w:val="000000"/>
          <w:sz w:val="28"/>
          <w:szCs w:val="28"/>
        </w:rPr>
        <w:t xml:space="preserve">. </w:t>
      </w:r>
      <w:r w:rsidR="00517BDB" w:rsidRPr="00133722">
        <w:rPr>
          <w:bCs/>
          <w:color w:val="000000"/>
          <w:sz w:val="28"/>
          <w:szCs w:val="28"/>
        </w:rPr>
        <w:t>2019.</w:t>
      </w:r>
      <w:r w:rsidR="00E13D88">
        <w:rPr>
          <w:bCs/>
          <w:color w:val="000000"/>
          <w:sz w:val="28"/>
          <w:szCs w:val="28"/>
        </w:rPr>
        <w:t> </w:t>
      </w:r>
      <w:r w:rsidR="00517BDB" w:rsidRPr="00133722">
        <w:rPr>
          <w:bCs/>
          <w:color w:val="000000"/>
          <w:sz w:val="28"/>
          <w:szCs w:val="28"/>
        </w:rPr>
        <w:t xml:space="preserve">gada sākumā </w:t>
      </w:r>
      <w:r w:rsidR="00900D9C" w:rsidRPr="00846B8E">
        <w:rPr>
          <w:sz w:val="28"/>
          <w:szCs w:val="28"/>
        </w:rPr>
        <w:t>Revīzijas iestādes Gada kontroles ziņojumā sistēmai kopumā ir sniegts 2.</w:t>
      </w:r>
      <w:r w:rsidR="00E13D88">
        <w:rPr>
          <w:sz w:val="28"/>
          <w:szCs w:val="28"/>
        </w:rPr>
        <w:t> </w:t>
      </w:r>
      <w:r w:rsidR="00900D9C" w:rsidRPr="00846B8E">
        <w:rPr>
          <w:sz w:val="28"/>
          <w:szCs w:val="28"/>
        </w:rPr>
        <w:t>kategorijas novērtējums un atbilstoši darbību revīziju rezultātiem identificētais kopējais kļūdu īpatsvars (TER) ir 1.64%, kas ir zem būtiskuma līmeņa (2%) un atlikušais kopējais kļūdu īpatsvars (RTER) ir 1.</w:t>
      </w:r>
      <w:r w:rsidR="00900D9C" w:rsidRPr="00133722">
        <w:rPr>
          <w:sz w:val="28"/>
          <w:szCs w:val="28"/>
        </w:rPr>
        <w:t>41%</w:t>
      </w:r>
      <w:r w:rsidR="00047A1B">
        <w:rPr>
          <w:sz w:val="28"/>
          <w:szCs w:val="28"/>
        </w:rPr>
        <w:t>,</w:t>
      </w:r>
      <w:r w:rsidR="00047A1B" w:rsidRPr="00047A1B">
        <w:rPr>
          <w:sz w:val="28"/>
          <w:szCs w:val="28"/>
        </w:rPr>
        <w:t xml:space="preserve"> </w:t>
      </w:r>
      <w:r w:rsidR="00047A1B">
        <w:rPr>
          <w:sz w:val="28"/>
          <w:szCs w:val="28"/>
        </w:rPr>
        <w:t>tādējādi sniedzot atzinumu bez iebildēm</w:t>
      </w:r>
      <w:r w:rsidR="00517BDB" w:rsidRPr="00133722">
        <w:rPr>
          <w:bCs/>
          <w:color w:val="000000"/>
          <w:sz w:val="28"/>
          <w:szCs w:val="28"/>
        </w:rPr>
        <w:t>.</w:t>
      </w:r>
      <w:r w:rsidR="00517BDB" w:rsidRPr="00846B8E">
        <w:rPr>
          <w:bCs/>
          <w:color w:val="000000"/>
          <w:sz w:val="28"/>
          <w:szCs w:val="28"/>
        </w:rPr>
        <w:t xml:space="preserve"> </w:t>
      </w:r>
    </w:p>
    <w:p w14:paraId="201418EF" w14:textId="77777777" w:rsidR="00CF3C5D" w:rsidRDefault="00CF3C5D" w:rsidP="00133722"/>
    <w:p w14:paraId="26069C66" w14:textId="77777777" w:rsidR="00A1520A" w:rsidRDefault="00A1520A" w:rsidP="00133722">
      <w:pPr>
        <w:rPr>
          <w:b/>
          <w:i/>
          <w:sz w:val="28"/>
          <w:szCs w:val="28"/>
        </w:rPr>
      </w:pPr>
    </w:p>
    <w:p w14:paraId="700E9626" w14:textId="77777777" w:rsidR="00A1520A" w:rsidRDefault="00A1520A" w:rsidP="00133722">
      <w:pPr>
        <w:rPr>
          <w:b/>
          <w:i/>
          <w:sz w:val="28"/>
          <w:szCs w:val="28"/>
        </w:rPr>
      </w:pPr>
    </w:p>
    <w:p w14:paraId="10FA2A69" w14:textId="77777777" w:rsidR="00A1520A" w:rsidRDefault="00A1520A" w:rsidP="00133722">
      <w:pPr>
        <w:rPr>
          <w:b/>
          <w:i/>
          <w:sz w:val="28"/>
          <w:szCs w:val="28"/>
        </w:rPr>
      </w:pPr>
    </w:p>
    <w:p w14:paraId="7404BFDC" w14:textId="77777777" w:rsidR="00A1520A" w:rsidRDefault="00A1520A" w:rsidP="00133722">
      <w:pPr>
        <w:rPr>
          <w:b/>
          <w:i/>
          <w:sz w:val="28"/>
          <w:szCs w:val="28"/>
        </w:rPr>
      </w:pPr>
    </w:p>
    <w:p w14:paraId="209949F5" w14:textId="77777777" w:rsidR="00A1520A" w:rsidRDefault="00A1520A" w:rsidP="00133722">
      <w:pPr>
        <w:rPr>
          <w:b/>
          <w:i/>
          <w:sz w:val="28"/>
          <w:szCs w:val="28"/>
        </w:rPr>
      </w:pPr>
    </w:p>
    <w:p w14:paraId="68C7F6C0" w14:textId="77777777" w:rsidR="00A1520A" w:rsidRDefault="00A1520A" w:rsidP="00133722">
      <w:pPr>
        <w:rPr>
          <w:b/>
          <w:i/>
          <w:sz w:val="28"/>
          <w:szCs w:val="28"/>
        </w:rPr>
      </w:pPr>
    </w:p>
    <w:p w14:paraId="637FF7AB" w14:textId="77777777" w:rsidR="00A1520A" w:rsidRDefault="00A1520A" w:rsidP="00133722">
      <w:pPr>
        <w:rPr>
          <w:b/>
          <w:i/>
          <w:sz w:val="28"/>
          <w:szCs w:val="28"/>
        </w:rPr>
      </w:pPr>
    </w:p>
    <w:p w14:paraId="5E934B9E" w14:textId="28F59CCE" w:rsidR="00A1520A" w:rsidRDefault="00A1520A" w:rsidP="00133722">
      <w:pPr>
        <w:rPr>
          <w:b/>
          <w:i/>
          <w:sz w:val="28"/>
          <w:szCs w:val="28"/>
        </w:rPr>
      </w:pPr>
    </w:p>
    <w:p w14:paraId="12D1964B" w14:textId="77777777" w:rsidR="00A1520A" w:rsidRDefault="00A1520A" w:rsidP="00133722">
      <w:pPr>
        <w:rPr>
          <w:b/>
          <w:i/>
          <w:sz w:val="28"/>
          <w:szCs w:val="28"/>
        </w:rPr>
      </w:pPr>
    </w:p>
    <w:p w14:paraId="2B3CB704" w14:textId="2362728F" w:rsidR="00517BDB" w:rsidRPr="00C951AF" w:rsidRDefault="00517BDB" w:rsidP="00133722">
      <w:pPr>
        <w:rPr>
          <w:b/>
          <w:i/>
          <w:sz w:val="28"/>
          <w:szCs w:val="28"/>
        </w:rPr>
      </w:pPr>
      <w:r w:rsidRPr="00C951AF">
        <w:rPr>
          <w:b/>
          <w:i/>
          <w:sz w:val="28"/>
          <w:szCs w:val="28"/>
        </w:rPr>
        <w:t>2.att</w:t>
      </w:r>
      <w:r w:rsidR="00C951AF" w:rsidRPr="00C951AF">
        <w:rPr>
          <w:b/>
          <w:i/>
          <w:sz w:val="28"/>
          <w:szCs w:val="28"/>
        </w:rPr>
        <w:t>ēls</w:t>
      </w:r>
      <w:r w:rsidRPr="00C951AF">
        <w:rPr>
          <w:b/>
          <w:i/>
          <w:sz w:val="28"/>
          <w:szCs w:val="28"/>
        </w:rPr>
        <w:t>. ES KP fondu institucionālās sistēmas grafiskais attēlojums</w:t>
      </w:r>
    </w:p>
    <w:p w14:paraId="158095E0" w14:textId="273540BF" w:rsidR="00AE7441" w:rsidRPr="004848F9" w:rsidRDefault="00D00F87" w:rsidP="004848F9">
      <w:r>
        <w:rPr>
          <w:noProof/>
          <w:lang w:eastAsia="lv-LV"/>
        </w:rPr>
        <mc:AlternateContent>
          <mc:Choice Requires="wps">
            <w:drawing>
              <wp:anchor distT="0" distB="0" distL="114300" distR="114300" simplePos="0" relativeHeight="251668480" behindDoc="0" locked="0" layoutInCell="1" allowOverlap="1" wp14:anchorId="5ECD273B" wp14:editId="3C29D124">
                <wp:simplePos x="0" y="0"/>
                <wp:positionH relativeFrom="column">
                  <wp:posOffset>2318385</wp:posOffset>
                </wp:positionH>
                <wp:positionV relativeFrom="paragraph">
                  <wp:posOffset>2670810</wp:posOffset>
                </wp:positionV>
                <wp:extent cx="0" cy="2286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7FB43"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2.55pt,210.3pt" to="182.55pt,2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" strokecolor="#4579b8 [3044]"/>
            </w:pict>
          </mc:Fallback>
        </mc:AlternateContent>
      </w:r>
      <w:r>
        <w:rPr>
          <w:noProof/>
          <w:lang w:eastAsia="lv-LV"/>
        </w:rPr>
        <mc:AlternateContent>
          <mc:Choice Requires="wps">
            <w:drawing>
              <wp:anchor distT="0" distB="0" distL="114300" distR="114300" simplePos="0" relativeHeight="251661312" behindDoc="0" locked="0" layoutInCell="1" allowOverlap="1" wp14:anchorId="6D50ECCB" wp14:editId="71A11A15">
                <wp:simplePos x="0" y="0"/>
                <wp:positionH relativeFrom="column">
                  <wp:posOffset>2315845</wp:posOffset>
                </wp:positionH>
                <wp:positionV relativeFrom="paragraph">
                  <wp:posOffset>1248410</wp:posOffset>
                </wp:positionV>
                <wp:extent cx="0" cy="232674"/>
                <wp:effectExtent l="0" t="0" r="19050" b="34290"/>
                <wp:wrapNone/>
                <wp:docPr id="8" name="Straight Connector 8"/>
                <wp:cNvGraphicFramePr/>
                <a:graphic xmlns:a="http://schemas.openxmlformats.org/drawingml/2006/main">
                  <a:graphicData uri="http://schemas.microsoft.com/office/word/2010/wordprocessingShape">
                    <wps:wsp>
                      <wps:cNvCnPr/>
                      <wps:spPr>
                        <a:xfrm>
                          <a:off x="0" y="0"/>
                          <a:ext cx="0" cy="2326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0ECA4"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35pt,98.3pt" to="182.35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" strokecolor="#4579b8 [3044]"/>
            </w:pict>
          </mc:Fallback>
        </mc:AlternateContent>
      </w:r>
      <w:r>
        <w:rPr>
          <w:noProof/>
          <w:lang w:eastAsia="lv-LV"/>
        </w:rPr>
        <mc:AlternateContent>
          <mc:Choice Requires="wps">
            <w:drawing>
              <wp:anchor distT="0" distB="0" distL="114300" distR="114300" simplePos="0" relativeHeight="251659264" behindDoc="0" locked="0" layoutInCell="1" allowOverlap="1" wp14:anchorId="5885CE02" wp14:editId="429CF361">
                <wp:simplePos x="0" y="0"/>
                <wp:positionH relativeFrom="column">
                  <wp:posOffset>3366770</wp:posOffset>
                </wp:positionH>
                <wp:positionV relativeFrom="paragraph">
                  <wp:posOffset>692150</wp:posOffset>
                </wp:positionV>
                <wp:extent cx="207034" cy="0"/>
                <wp:effectExtent l="0" t="76200" r="21590" b="95250"/>
                <wp:wrapNone/>
                <wp:docPr id="6" name="Straight Arrow Connector 6"/>
                <wp:cNvGraphicFramePr/>
                <a:graphic xmlns:a="http://schemas.openxmlformats.org/drawingml/2006/main">
                  <a:graphicData uri="http://schemas.microsoft.com/office/word/2010/wordprocessingShape">
                    <wps:wsp>
                      <wps:cNvCnPr/>
                      <wps:spPr>
                        <a:xfrm>
                          <a:off x="0" y="0"/>
                          <a:ext cx="2070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6D4D5" id="Straight Arrow Connector 6" o:spid="_x0000_s1026" type="#_x0000_t32" style="position:absolute;margin-left:265.1pt;margin-top:54.5pt;width:16.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" strokecolor="#4579b8 [3044]">
                <v:stroke endarrow="block"/>
              </v:shape>
            </w:pict>
          </mc:Fallback>
        </mc:AlternateContent>
      </w:r>
    </w:p>
    <w:p w14:paraId="0D94EA43" w14:textId="741A54B5" w:rsidR="00AE7441" w:rsidRDefault="00AE7441" w:rsidP="00142973">
      <w:pPr>
        <w:pStyle w:val="ListParagraph"/>
        <w:jc w:val="center"/>
        <w:rPr>
          <w:rFonts w:cs="Times New Roman"/>
        </w:rPr>
      </w:pPr>
    </w:p>
    <w:p w14:paraId="2F7F01FC" w14:textId="3130A070" w:rsidR="00AE7441" w:rsidRDefault="00C62AAC" w:rsidP="00142973">
      <w:pPr>
        <w:pStyle w:val="ListParagraph"/>
        <w:jc w:val="center"/>
        <w:rPr>
          <w:rFonts w:cs="Times New Roman"/>
        </w:rPr>
      </w:pPr>
      <w:r>
        <w:rPr>
          <w:noProof/>
          <w:lang w:eastAsia="lv-LV"/>
        </w:rPr>
        <mc:AlternateContent>
          <mc:Choice Requires="wpg">
            <w:drawing>
              <wp:anchor distT="0" distB="0" distL="114300" distR="114300" simplePos="0" relativeHeight="251670528" behindDoc="0" locked="0" layoutInCell="1" allowOverlap="1" wp14:anchorId="4F906851" wp14:editId="32F9A733">
                <wp:simplePos x="0" y="0"/>
                <wp:positionH relativeFrom="page">
                  <wp:align>center</wp:align>
                </wp:positionH>
                <wp:positionV relativeFrom="paragraph">
                  <wp:posOffset>38999</wp:posOffset>
                </wp:positionV>
                <wp:extent cx="6029325" cy="2667000"/>
                <wp:effectExtent l="0" t="0" r="28575" b="19050"/>
                <wp:wrapNone/>
                <wp:docPr id="16" name="Group 16"/>
                <wp:cNvGraphicFramePr/>
                <a:graphic xmlns:a="http://schemas.openxmlformats.org/drawingml/2006/main">
                  <a:graphicData uri="http://schemas.microsoft.com/office/word/2010/wordprocessingGroup">
                    <wpg:wgp>
                      <wpg:cNvGrpSpPr/>
                      <wpg:grpSpPr>
                        <a:xfrm>
                          <a:off x="0" y="0"/>
                          <a:ext cx="6029325" cy="2667000"/>
                          <a:chOff x="0" y="0"/>
                          <a:chExt cx="6029325" cy="2667000"/>
                        </a:xfrm>
                      </wpg:grpSpPr>
                      <wps:wsp>
                        <wps:cNvPr id="17" name="Rounded Rectangle 17"/>
                        <wps:cNvSpPr/>
                        <wps:spPr>
                          <a:xfrm>
                            <a:off x="723900" y="1638300"/>
                            <a:ext cx="1724025" cy="102870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74F96702" w14:textId="77777777" w:rsidR="00AE7441" w:rsidRPr="0001024D" w:rsidRDefault="00AE7441" w:rsidP="00AE7441">
                              <w:pPr>
                                <w:jc w:val="center"/>
                                <w:rPr>
                                  <w:sz w:val="36"/>
                                  <w:szCs w:val="36"/>
                                </w:rPr>
                              </w:pPr>
                              <w:r w:rsidRPr="0001024D">
                                <w:rPr>
                                  <w:sz w:val="36"/>
                                  <w:szCs w:val="36"/>
                                </w:rPr>
                                <w:t>Atbildīgās iestādes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2095500" y="38100"/>
                            <a:ext cx="1724025"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F19D8E" w14:textId="77777777" w:rsidR="00AE7441" w:rsidRPr="0001024D" w:rsidRDefault="00AE7441" w:rsidP="00AE7441">
                              <w:pPr>
                                <w:jc w:val="center"/>
                                <w:rPr>
                                  <w:sz w:val="36"/>
                                  <w:szCs w:val="36"/>
                                </w:rPr>
                              </w:pPr>
                              <w:r w:rsidRPr="0001024D">
                                <w:rPr>
                                  <w:sz w:val="36"/>
                                  <w:szCs w:val="36"/>
                                </w:rPr>
                                <w:t>Vadošā iestāde (Finanšu ministrija)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0" y="66675"/>
                            <a:ext cx="1724025" cy="1000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63624BB" w14:textId="0032D8EA" w:rsidR="00AE7441" w:rsidRPr="0001024D" w:rsidRDefault="00AE7441" w:rsidP="00AE7441">
                              <w:pPr>
                                <w:jc w:val="center"/>
                                <w:rPr>
                                  <w:color w:val="FFFFFF" w:themeColor="background1"/>
                                  <w:sz w:val="36"/>
                                  <w:szCs w:val="36"/>
                                </w:rPr>
                              </w:pPr>
                              <w:r w:rsidRPr="0001024D">
                                <w:rPr>
                                  <w:color w:val="FFFFFF" w:themeColor="background1"/>
                                  <w:sz w:val="36"/>
                                  <w:szCs w:val="36"/>
                                </w:rPr>
                                <w:t>G</w:t>
                              </w:r>
                              <w:r w:rsidR="004848F9">
                                <w:rPr>
                                  <w:color w:val="FFFFFF" w:themeColor="background1"/>
                                  <w:sz w:val="36"/>
                                  <w:szCs w:val="36"/>
                                </w:rPr>
                                <w:t>rāmatvedības funkcija (V</w:t>
                              </w:r>
                              <w:r w:rsidRPr="0001024D">
                                <w:rPr>
                                  <w:color w:val="FFFFFF" w:themeColor="background1"/>
                                  <w:sz w:val="36"/>
                                  <w:szCs w:val="36"/>
                                </w:rPr>
                                <w:t>alsts kase)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4191000" y="0"/>
                            <a:ext cx="1838325" cy="10287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62BF319" w14:textId="77777777" w:rsidR="00AE7441" w:rsidRPr="0001024D" w:rsidRDefault="00AE7441" w:rsidP="00AE7441">
                              <w:pPr>
                                <w:jc w:val="center"/>
                                <w:rPr>
                                  <w:color w:val="FFFFFF" w:themeColor="background1"/>
                                  <w:sz w:val="36"/>
                                  <w:szCs w:val="36"/>
                                </w:rPr>
                              </w:pPr>
                              <w:r w:rsidRPr="0001024D">
                                <w:rPr>
                                  <w:color w:val="FFFFFF" w:themeColor="background1"/>
                                  <w:sz w:val="36"/>
                                  <w:szCs w:val="36"/>
                                </w:rPr>
                                <w:t>Revīzijas iestāde (Finanšu ministrija)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2886075" y="108585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600200" y="1419225"/>
                            <a:ext cx="239077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600200" y="142875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990975" y="142875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906851" id="Group 16" o:spid="_x0000_s1026" style="position:absolute;left:0;text-align:left;margin-left:0;margin-top:3.05pt;width:474.75pt;height:210pt;z-index:251670528;mso-position-horizontal:center;mso-position-horizontal-relative:page" coordsize="60293,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">
                <v:roundrect id="Rounded Rectangle 17" o:spid="_x0000_s1027" style="position:absolute;left:7239;top:16383;width:1724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" fillcolor="yellow" strokecolor="#41719c" strokeweight="1pt">
                  <v:stroke joinstyle="miter"/>
                  <v:textbox>
                    <w:txbxContent>
                      <w:p w14:paraId="74F96702" w14:textId="77777777" w:rsidR="00AE7441" w:rsidRPr="0001024D" w:rsidRDefault="00AE7441" w:rsidP="00AE7441">
                        <w:pPr>
                          <w:jc w:val="center"/>
                          <w:rPr>
                            <w:sz w:val="36"/>
                            <w:szCs w:val="36"/>
                          </w:rPr>
                        </w:pPr>
                        <w:r w:rsidRPr="0001024D">
                          <w:rPr>
                            <w:sz w:val="36"/>
                            <w:szCs w:val="36"/>
                          </w:rPr>
                          <w:t>Atbildīgās iestādes</w:t>
                        </w:r>
                      </w:p>
                    </w:txbxContent>
                  </v:textbox>
                </v:roundrect>
                <v:roundrect id="Rounded Rectangle 18" o:spid="_x0000_s1028" style="position:absolute;left:20955;top:381;width:17240;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" fillcolor="#4f81bd [3204]" strokecolor="#243f60 [1604]" strokeweight="2pt">
                  <v:textbox>
                    <w:txbxContent>
                      <w:p w14:paraId="1EF19D8E" w14:textId="77777777" w:rsidR="00AE7441" w:rsidRPr="0001024D" w:rsidRDefault="00AE7441" w:rsidP="00AE7441">
                        <w:pPr>
                          <w:jc w:val="center"/>
                          <w:rPr>
                            <w:sz w:val="36"/>
                            <w:szCs w:val="36"/>
                          </w:rPr>
                        </w:pPr>
                        <w:r w:rsidRPr="0001024D">
                          <w:rPr>
                            <w:sz w:val="36"/>
                            <w:szCs w:val="36"/>
                          </w:rPr>
                          <w:t>Vadošā iestāde (Finanšu ministrija)</w:t>
                        </w:r>
                      </w:p>
                    </w:txbxContent>
                  </v:textbox>
                </v:roundrect>
                <v:roundrect id="Rounded Rectangle 19" o:spid="_x0000_s1029" style="position:absolute;top:666;width:17240;height:10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" fillcolor="#5b9bd5" strokecolor="#41719c" strokeweight="1pt">
                  <v:stroke joinstyle="miter"/>
                  <v:textbox>
                    <w:txbxContent>
                      <w:p w14:paraId="363624BB" w14:textId="0032D8EA" w:rsidR="00AE7441" w:rsidRPr="0001024D" w:rsidRDefault="00AE7441" w:rsidP="00AE7441">
                        <w:pPr>
                          <w:jc w:val="center"/>
                          <w:rPr>
                            <w:color w:val="FFFFFF" w:themeColor="background1"/>
                            <w:sz w:val="36"/>
                            <w:szCs w:val="36"/>
                          </w:rPr>
                        </w:pPr>
                        <w:r w:rsidRPr="0001024D">
                          <w:rPr>
                            <w:color w:val="FFFFFF" w:themeColor="background1"/>
                            <w:sz w:val="36"/>
                            <w:szCs w:val="36"/>
                          </w:rPr>
                          <w:t>G</w:t>
                        </w:r>
                        <w:r w:rsidR="004848F9">
                          <w:rPr>
                            <w:color w:val="FFFFFF" w:themeColor="background1"/>
                            <w:sz w:val="36"/>
                            <w:szCs w:val="36"/>
                          </w:rPr>
                          <w:t>rāmatvedības funkcija (V</w:t>
                        </w:r>
                        <w:r w:rsidRPr="0001024D">
                          <w:rPr>
                            <w:color w:val="FFFFFF" w:themeColor="background1"/>
                            <w:sz w:val="36"/>
                            <w:szCs w:val="36"/>
                          </w:rPr>
                          <w:t>alsts kase)</w:t>
                        </w:r>
                      </w:p>
                    </w:txbxContent>
                  </v:textbox>
                </v:roundrect>
                <v:roundrect id="Rounded Rectangle 20" o:spid="_x0000_s1030" style="position:absolute;left:41910;width:18383;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" fillcolor="#5b9bd5" strokecolor="#41719c" strokeweight="1pt">
                  <v:stroke joinstyle="miter"/>
                  <v:textbox>
                    <w:txbxContent>
                      <w:p w14:paraId="562BF319" w14:textId="77777777" w:rsidR="00AE7441" w:rsidRPr="0001024D" w:rsidRDefault="00AE7441" w:rsidP="00AE7441">
                        <w:pPr>
                          <w:jc w:val="center"/>
                          <w:rPr>
                            <w:color w:val="FFFFFF" w:themeColor="background1"/>
                            <w:sz w:val="36"/>
                            <w:szCs w:val="36"/>
                          </w:rPr>
                        </w:pPr>
                        <w:r w:rsidRPr="0001024D">
                          <w:rPr>
                            <w:color w:val="FFFFFF" w:themeColor="background1"/>
                            <w:sz w:val="36"/>
                            <w:szCs w:val="36"/>
                          </w:rPr>
                          <w:t>Revīzijas iestāde (Finanšu ministrija)</w:t>
                        </w:r>
                      </w:p>
                    </w:txbxContent>
                  </v:textbox>
                </v:roundrect>
                <v:line id="Straight Connector 21" o:spid="_x0000_s1031" style="position:absolute;visibility:visible;mso-wrap-style:square" from="28860,10858" to="28860,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" strokecolor="#4579b8 [3044]"/>
                <v:line id="Straight Connector 22" o:spid="_x0000_s1032" style="position:absolute;visibility:visible;mso-wrap-style:square" from="16002,14192" to="39909,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23" o:spid="_x0000_s1033" type="#_x0000_t32" style="position:absolute;left:16002;top:14287;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" strokecolor="#4579b8 [3044]">
                  <v:stroke endarrow="block"/>
                </v:shape>
                <v:shape id="Straight Arrow Connector 24" o:spid="_x0000_s1034" type="#_x0000_t32" style="position:absolute;left:39909;top:14287;width:96;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" strokecolor="#4579b8 [3044]">
                  <v:stroke endarrow="block"/>
                </v:shape>
                <w10:wrap anchorx="page"/>
              </v:group>
            </w:pict>
          </mc:Fallback>
        </mc:AlternateContent>
      </w:r>
    </w:p>
    <w:p w14:paraId="1EA86094" w14:textId="554F65A6" w:rsidR="00AE7441" w:rsidRDefault="00AE7441" w:rsidP="00142973">
      <w:pPr>
        <w:pStyle w:val="ListParagraph"/>
        <w:jc w:val="center"/>
        <w:rPr>
          <w:rFonts w:cs="Times New Roman"/>
        </w:rPr>
      </w:pPr>
    </w:p>
    <w:p w14:paraId="61FB636D" w14:textId="5AEBC13C" w:rsidR="00AE7441" w:rsidRDefault="00AE7441" w:rsidP="00142973">
      <w:pPr>
        <w:pStyle w:val="ListParagraph"/>
        <w:jc w:val="center"/>
        <w:rPr>
          <w:rFonts w:cs="Times New Roman"/>
        </w:rPr>
      </w:pPr>
    </w:p>
    <w:p w14:paraId="2160FD2E" w14:textId="497C208B" w:rsidR="00AE7441" w:rsidRDefault="00AE7441" w:rsidP="00142973">
      <w:pPr>
        <w:pStyle w:val="ListParagraph"/>
        <w:jc w:val="center"/>
        <w:rPr>
          <w:rFonts w:cs="Times New Roman"/>
        </w:rPr>
      </w:pPr>
    </w:p>
    <w:p w14:paraId="39F9438C" w14:textId="112E0DCA" w:rsidR="00AE7441" w:rsidRDefault="00AE7441" w:rsidP="00142973">
      <w:pPr>
        <w:pStyle w:val="ListParagraph"/>
        <w:jc w:val="center"/>
        <w:rPr>
          <w:rFonts w:cs="Times New Roman"/>
        </w:rPr>
      </w:pPr>
    </w:p>
    <w:p w14:paraId="1CA876FB" w14:textId="76A77934" w:rsidR="00AE7441" w:rsidRDefault="00AE7441" w:rsidP="00142973">
      <w:pPr>
        <w:pStyle w:val="ListParagraph"/>
        <w:jc w:val="center"/>
        <w:rPr>
          <w:rFonts w:cs="Times New Roman"/>
        </w:rPr>
      </w:pPr>
    </w:p>
    <w:p w14:paraId="17A0D615" w14:textId="0FEE5DD1" w:rsidR="00AE7441" w:rsidRDefault="00AE7441" w:rsidP="00142973">
      <w:pPr>
        <w:pStyle w:val="ListParagraph"/>
        <w:jc w:val="center"/>
        <w:rPr>
          <w:rFonts w:cs="Times New Roman"/>
        </w:rPr>
      </w:pPr>
    </w:p>
    <w:p w14:paraId="4691E5C7" w14:textId="3411638E" w:rsidR="00AE7441" w:rsidRDefault="00AE7441" w:rsidP="00142973">
      <w:pPr>
        <w:pStyle w:val="ListParagraph"/>
        <w:jc w:val="center"/>
        <w:rPr>
          <w:rFonts w:cs="Times New Roman"/>
        </w:rPr>
      </w:pPr>
    </w:p>
    <w:p w14:paraId="6D3136D6" w14:textId="51975953" w:rsidR="00AE7441" w:rsidRDefault="00AE7441" w:rsidP="00142973">
      <w:pPr>
        <w:pStyle w:val="ListParagraph"/>
        <w:jc w:val="center"/>
        <w:rPr>
          <w:rFonts w:cs="Times New Roman"/>
        </w:rPr>
      </w:pPr>
      <w:r>
        <w:rPr>
          <w:noProof/>
          <w:lang w:eastAsia="lv-LV"/>
        </w:rPr>
        <mc:AlternateContent>
          <mc:Choice Requires="wps">
            <w:drawing>
              <wp:anchor distT="0" distB="0" distL="114300" distR="114300" simplePos="0" relativeHeight="251672576" behindDoc="0" locked="0" layoutInCell="1" allowOverlap="1" wp14:anchorId="6F636F97" wp14:editId="421BF81F">
                <wp:simplePos x="0" y="0"/>
                <wp:positionH relativeFrom="column">
                  <wp:posOffset>3150079</wp:posOffset>
                </wp:positionH>
                <wp:positionV relativeFrom="paragraph">
                  <wp:posOffset>65094</wp:posOffset>
                </wp:positionV>
                <wp:extent cx="1724025" cy="10287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724025" cy="1028700"/>
                        </a:xfrm>
                        <a:prstGeom prst="round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76FF1508" w14:textId="77777777" w:rsidR="00AE7441" w:rsidRPr="0001024D" w:rsidRDefault="00AE7441" w:rsidP="00AE7441">
                            <w:pPr>
                              <w:jc w:val="center"/>
                              <w:rPr>
                                <w:sz w:val="36"/>
                                <w:szCs w:val="36"/>
                              </w:rPr>
                            </w:pPr>
                            <w:r w:rsidRPr="0001024D">
                              <w:rPr>
                                <w:sz w:val="36"/>
                                <w:szCs w:val="36"/>
                              </w:rPr>
                              <w:t>Sadarbības iestāde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636F97" id="Rounded Rectangle 25" o:spid="_x0000_s1035" style="position:absolute;left:0;text-align:left;margin-left:248.05pt;margin-top:5.15pt;width:135.75pt;height:8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" fillcolor="#95b3d7 [1940]" strokecolor="#41719c" strokeweight="1pt">
                <v:stroke joinstyle="miter"/>
                <v:textbox>
                  <w:txbxContent>
                    <w:p w14:paraId="76FF1508" w14:textId="77777777" w:rsidR="00AE7441" w:rsidRPr="0001024D" w:rsidRDefault="00AE7441" w:rsidP="00AE7441">
                      <w:pPr>
                        <w:jc w:val="center"/>
                        <w:rPr>
                          <w:sz w:val="36"/>
                          <w:szCs w:val="36"/>
                        </w:rPr>
                      </w:pPr>
                      <w:r w:rsidRPr="0001024D">
                        <w:rPr>
                          <w:sz w:val="36"/>
                          <w:szCs w:val="36"/>
                        </w:rPr>
                        <w:t>Sadarbības iestāde</w:t>
                      </w:r>
                    </w:p>
                  </w:txbxContent>
                </v:textbox>
              </v:roundrect>
            </w:pict>
          </mc:Fallback>
        </mc:AlternateContent>
      </w:r>
    </w:p>
    <w:p w14:paraId="39FF678A" w14:textId="7FB15859" w:rsidR="00AE7441" w:rsidRDefault="00AE7441" w:rsidP="00142973">
      <w:pPr>
        <w:pStyle w:val="ListParagraph"/>
        <w:jc w:val="center"/>
        <w:rPr>
          <w:rFonts w:cs="Times New Roman"/>
        </w:rPr>
      </w:pPr>
    </w:p>
    <w:p w14:paraId="4F0E3456" w14:textId="7788D9EC" w:rsidR="00AE7441" w:rsidRDefault="00BF4BEF" w:rsidP="00142973">
      <w:pPr>
        <w:pStyle w:val="ListParagraph"/>
        <w:jc w:val="center"/>
        <w:rPr>
          <w:rFonts w:cs="Times New Roman"/>
        </w:rPr>
      </w:pPr>
      <w:r>
        <w:rPr>
          <w:rFonts w:cs="Times New Roman"/>
          <w:noProof/>
          <w:lang w:eastAsia="lv-LV"/>
        </w:rPr>
        <mc:AlternateContent>
          <mc:Choice Requires="wps">
            <w:drawing>
              <wp:anchor distT="0" distB="0" distL="114300" distR="114300" simplePos="0" relativeHeight="251673600" behindDoc="1" locked="0" layoutInCell="1" allowOverlap="1" wp14:anchorId="581D2779" wp14:editId="2F812A6C">
                <wp:simplePos x="0" y="0"/>
                <wp:positionH relativeFrom="column">
                  <wp:posOffset>2592453</wp:posOffset>
                </wp:positionH>
                <wp:positionV relativeFrom="paragraph">
                  <wp:posOffset>114072</wp:posOffset>
                </wp:positionV>
                <wp:extent cx="569344" cy="45719"/>
                <wp:effectExtent l="38100" t="57150" r="21590" b="88265"/>
                <wp:wrapNone/>
                <wp:docPr id="1" name="Straight Arrow Connector 1"/>
                <wp:cNvGraphicFramePr/>
                <a:graphic xmlns:a="http://schemas.openxmlformats.org/drawingml/2006/main">
                  <a:graphicData uri="http://schemas.microsoft.com/office/word/2010/wordprocessingShape">
                    <wps:wsp>
                      <wps:cNvCnPr/>
                      <wps:spPr>
                        <a:xfrm flipV="1">
                          <a:off x="0" y="0"/>
                          <a:ext cx="569344"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A503D" id="Straight Arrow Connector 1" o:spid="_x0000_s1026" type="#_x0000_t32" style="position:absolute;margin-left:204.15pt;margin-top:9pt;width:44.85pt;height:3.6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" strokecolor="#4579b8 [3044]">
                <v:stroke startarrow="block" endarrow="block"/>
              </v:shape>
            </w:pict>
          </mc:Fallback>
        </mc:AlternateContent>
      </w:r>
    </w:p>
    <w:p w14:paraId="4851F4D9" w14:textId="76016E04" w:rsidR="00AE7441" w:rsidRDefault="00AE7441" w:rsidP="00142973">
      <w:pPr>
        <w:pStyle w:val="ListParagraph"/>
        <w:jc w:val="center"/>
        <w:rPr>
          <w:rFonts w:cs="Times New Roman"/>
        </w:rPr>
      </w:pPr>
    </w:p>
    <w:p w14:paraId="2FE67A9A" w14:textId="32DDBE35" w:rsidR="00AE7441" w:rsidRDefault="00AE7441" w:rsidP="00142973">
      <w:pPr>
        <w:pStyle w:val="ListParagraph"/>
        <w:jc w:val="center"/>
        <w:rPr>
          <w:rFonts w:cs="Times New Roman"/>
        </w:rPr>
      </w:pPr>
    </w:p>
    <w:p w14:paraId="7FD6D49C" w14:textId="7089618F" w:rsidR="00AE7441" w:rsidRDefault="00AE7441" w:rsidP="00142973">
      <w:pPr>
        <w:pStyle w:val="ListParagraph"/>
        <w:jc w:val="center"/>
        <w:rPr>
          <w:rFonts w:cs="Times New Roman"/>
        </w:rPr>
      </w:pPr>
    </w:p>
    <w:p w14:paraId="6170B065" w14:textId="5DED9031" w:rsidR="00AE7441" w:rsidRDefault="00AE7441" w:rsidP="00142973">
      <w:pPr>
        <w:pStyle w:val="ListParagraph"/>
        <w:jc w:val="center"/>
        <w:rPr>
          <w:rFonts w:cs="Times New Roman"/>
        </w:rPr>
      </w:pPr>
    </w:p>
    <w:p w14:paraId="7DC19C3C" w14:textId="05484FB4" w:rsidR="00AE7441" w:rsidRDefault="00AE7441" w:rsidP="00142973">
      <w:pPr>
        <w:pStyle w:val="ListParagraph"/>
        <w:jc w:val="center"/>
        <w:rPr>
          <w:rFonts w:cs="Times New Roman"/>
        </w:rPr>
      </w:pPr>
    </w:p>
    <w:p w14:paraId="266E9201" w14:textId="01098466" w:rsidR="00AE4BBC" w:rsidRDefault="00AE4BBC" w:rsidP="00696DA9">
      <w:pPr>
        <w:pStyle w:val="ListParagraph"/>
        <w:ind w:left="0"/>
        <w:jc w:val="both"/>
        <w:rPr>
          <w:rFonts w:cs="Times New Roman"/>
        </w:rPr>
      </w:pPr>
    </w:p>
    <w:p w14:paraId="15F7FFAC" w14:textId="645ED297" w:rsidR="00B70B60" w:rsidRPr="00B70B60" w:rsidRDefault="00B70B60" w:rsidP="00B70B60">
      <w:pPr>
        <w:pStyle w:val="titlecol"/>
        <w:jc w:val="both"/>
        <w:rPr>
          <w:b w:val="0"/>
          <w:color w:val="000000"/>
          <w:sz w:val="28"/>
          <w:szCs w:val="28"/>
        </w:rPr>
      </w:pPr>
      <w:r w:rsidRPr="00B70B60">
        <w:rPr>
          <w:b w:val="0"/>
          <w:sz w:val="28"/>
          <w:szCs w:val="28"/>
        </w:rPr>
        <w:t xml:space="preserve">Ņemot vērā, ka Kopējās fondu regulas priekšlikuma gala redakcijas vēl var mainīties, nacionāli var būt nepieciešams atgriezties pie diskusijas par  ES KP fondu ieviešanas institucionālās sistēmas uzbūvi, </w:t>
      </w:r>
      <w:r>
        <w:rPr>
          <w:b w:val="0"/>
          <w:sz w:val="28"/>
          <w:szCs w:val="28"/>
        </w:rPr>
        <w:t>vērtējot</w:t>
      </w:r>
      <w:r w:rsidRPr="00B70B60">
        <w:rPr>
          <w:b w:val="0"/>
          <w:sz w:val="28"/>
          <w:szCs w:val="28"/>
        </w:rPr>
        <w:t xml:space="preserve"> NAP</w:t>
      </w:r>
      <w:r>
        <w:rPr>
          <w:b w:val="0"/>
          <w:sz w:val="28"/>
          <w:szCs w:val="28"/>
        </w:rPr>
        <w:t>2027</w:t>
      </w:r>
      <w:r w:rsidRPr="00B70B60">
        <w:rPr>
          <w:b w:val="0"/>
          <w:sz w:val="28"/>
          <w:szCs w:val="28"/>
        </w:rPr>
        <w:t xml:space="preserve"> sagatavošanas rezultātus, gan reaģējot uz investīciju un inovāciju politikas ieviešanas modeļa attīstību Latvijā</w:t>
      </w:r>
      <w:r w:rsidR="00F41C92">
        <w:rPr>
          <w:rStyle w:val="FootnoteReference"/>
          <w:b w:val="0"/>
          <w:sz w:val="28"/>
          <w:szCs w:val="28"/>
        </w:rPr>
        <w:footnoteReference w:id="15"/>
      </w:r>
      <w:r>
        <w:rPr>
          <w:b w:val="0"/>
          <w:sz w:val="28"/>
          <w:szCs w:val="28"/>
        </w:rPr>
        <w:t>.</w:t>
      </w:r>
    </w:p>
    <w:p w14:paraId="7AE40135" w14:textId="70BCCC56" w:rsidR="00AE4BBC" w:rsidRPr="00CA152F" w:rsidRDefault="00AE4BBC" w:rsidP="00AE4BBC">
      <w:pPr>
        <w:pStyle w:val="ListParagraph"/>
        <w:ind w:left="0"/>
        <w:jc w:val="both"/>
        <w:rPr>
          <w:rFonts w:cs="Times New Roman"/>
          <w:color w:val="000000"/>
          <w:szCs w:val="24"/>
        </w:rPr>
      </w:pPr>
      <w:r>
        <w:rPr>
          <w:rFonts w:cs="Times New Roman"/>
          <w:color w:val="000000"/>
        </w:rPr>
        <w:t>Lai nodrošinātu EK regulu priekšlikumos noteiktā horizontālā principa par partnerību nodrošināšanu</w:t>
      </w:r>
      <w:r w:rsidR="007407DE">
        <w:rPr>
          <w:rStyle w:val="FootnoteReference"/>
          <w:rFonts w:cs="Times New Roman"/>
          <w:color w:val="000000"/>
        </w:rPr>
        <w:footnoteReference w:id="16"/>
      </w:r>
      <w:r>
        <w:rPr>
          <w:rFonts w:cs="Times New Roman"/>
          <w:color w:val="000000"/>
        </w:rPr>
        <w:t>, visos ieviešanas sistēmas modeļos s</w:t>
      </w:r>
      <w:r w:rsidRPr="00CA152F">
        <w:rPr>
          <w:rFonts w:cs="Times New Roman"/>
          <w:color w:val="000000"/>
        </w:rPr>
        <w:t>adarbības partneri, sociālie partneri</w:t>
      </w:r>
      <w:r>
        <w:rPr>
          <w:rFonts w:cs="Times New Roman"/>
          <w:color w:val="000000"/>
        </w:rPr>
        <w:t>,</w:t>
      </w:r>
      <w:r w:rsidRPr="00CA152F">
        <w:rPr>
          <w:rFonts w:cs="Times New Roman"/>
          <w:color w:val="000000"/>
        </w:rPr>
        <w:t xml:space="preserve"> biedrības un nodibinājumi</w:t>
      </w:r>
      <w:r>
        <w:rPr>
          <w:rFonts w:cs="Times New Roman"/>
          <w:color w:val="000000"/>
        </w:rPr>
        <w:t xml:space="preserve"> (turpmāk partneri)</w:t>
      </w:r>
      <w:r w:rsidRPr="00CA152F">
        <w:rPr>
          <w:rFonts w:cs="Times New Roman"/>
          <w:color w:val="000000"/>
        </w:rPr>
        <w:t xml:space="preserve"> tiks iesaistīti </w:t>
      </w:r>
      <w:r w:rsidR="00F4386E">
        <w:rPr>
          <w:rFonts w:cs="Times New Roman"/>
          <w:color w:val="000000"/>
        </w:rPr>
        <w:t xml:space="preserve">arī </w:t>
      </w:r>
      <w:r w:rsidRPr="00CA152F">
        <w:rPr>
          <w:rFonts w:cs="Times New Roman"/>
          <w:color w:val="000000"/>
        </w:rPr>
        <w:t>uzraudzības komiteju un citu ar ES KP plānošanu un īstenošanu saistītu grupu un konsultatīvo padomju darbā</w:t>
      </w:r>
      <w:r>
        <w:rPr>
          <w:rFonts w:cs="Times New Roman"/>
          <w:color w:val="000000"/>
        </w:rPr>
        <w:t xml:space="preserve"> (pēc nepieciešamības). </w:t>
      </w:r>
      <w:r w:rsidRPr="00CA152F">
        <w:rPr>
          <w:rFonts w:cs="Times New Roman"/>
          <w:color w:val="000000"/>
        </w:rPr>
        <w:t xml:space="preserve">Tāpat partneri tiks aktīvāk iesaistīti tieši nozaru politiku īstenošanā kā finansējuma saņēmēji, sadarbības partneri, labuma guvēji, īstenojot konkrētus pasākumus </w:t>
      </w:r>
      <w:r w:rsidRPr="00CA152F">
        <w:rPr>
          <w:rFonts w:cs="Times New Roman"/>
          <w:color w:val="000000"/>
        </w:rPr>
        <w:lastRenderedPageBreak/>
        <w:t>ar konkrētiem mērķiem un sagaidāmajiem rezultātiem, kas ir nacionāli nozīmīgi politiku īstenošanā.</w:t>
      </w:r>
    </w:p>
    <w:p w14:paraId="180F4E16" w14:textId="77777777" w:rsidR="00AE4BBC" w:rsidRPr="00CA152F" w:rsidRDefault="00AE4BBC" w:rsidP="00AE4BBC">
      <w:pPr>
        <w:pStyle w:val="ListParagraph"/>
        <w:ind w:left="0"/>
        <w:rPr>
          <w:rFonts w:cs="Times New Roman"/>
          <w:color w:val="000000"/>
          <w:szCs w:val="24"/>
        </w:rPr>
      </w:pPr>
    </w:p>
    <w:p w14:paraId="1E3350FA" w14:textId="41F09D30" w:rsidR="00AE4BBC" w:rsidRPr="00CA152F" w:rsidRDefault="00AE4BBC" w:rsidP="00AE4BBC">
      <w:pPr>
        <w:pStyle w:val="ListParagraph"/>
        <w:ind w:left="0"/>
        <w:jc w:val="both"/>
        <w:rPr>
          <w:rFonts w:cs="Times New Roman"/>
          <w:color w:val="000000"/>
          <w:szCs w:val="24"/>
        </w:rPr>
      </w:pPr>
      <w:r w:rsidRPr="003540A7">
        <w:rPr>
          <w:rFonts w:cs="Times New Roman"/>
          <w:color w:val="000000"/>
          <w:szCs w:val="24"/>
        </w:rPr>
        <w:t xml:space="preserve">Lai nodrošinātu politikas mērķu administrēšanu, efektīvāku ieviešanu un uzraudzību, </w:t>
      </w:r>
      <w:r w:rsidRPr="003540A7">
        <w:rPr>
          <w:rFonts w:cs="Times New Roman"/>
          <w:szCs w:val="24"/>
        </w:rPr>
        <w:t xml:space="preserve">vadošā iestāde </w:t>
      </w:r>
      <w:r w:rsidR="00AA7E8C">
        <w:rPr>
          <w:rFonts w:cs="Times New Roman"/>
          <w:szCs w:val="24"/>
        </w:rPr>
        <w:t>2021.</w:t>
      </w:r>
      <w:r w:rsidR="00E13D88">
        <w:rPr>
          <w:rFonts w:cs="Times New Roman"/>
          <w:szCs w:val="24"/>
        </w:rPr>
        <w:t> </w:t>
      </w:r>
      <w:r w:rsidR="00AA7E8C">
        <w:rPr>
          <w:rFonts w:cs="Times New Roman"/>
          <w:szCs w:val="24"/>
        </w:rPr>
        <w:t>-</w:t>
      </w:r>
      <w:r w:rsidR="00E13D88">
        <w:rPr>
          <w:rFonts w:cs="Times New Roman"/>
          <w:szCs w:val="24"/>
        </w:rPr>
        <w:t> </w:t>
      </w:r>
      <w:r w:rsidR="00AA7E8C">
        <w:rPr>
          <w:rFonts w:cs="Times New Roman"/>
          <w:szCs w:val="24"/>
        </w:rPr>
        <w:t>2027.</w:t>
      </w:r>
      <w:r w:rsidR="00E13D88">
        <w:rPr>
          <w:rFonts w:cs="Times New Roman"/>
          <w:szCs w:val="24"/>
        </w:rPr>
        <w:t> </w:t>
      </w:r>
      <w:r w:rsidR="00AA7E8C">
        <w:rPr>
          <w:rFonts w:cs="Times New Roman"/>
          <w:szCs w:val="24"/>
        </w:rPr>
        <w:t>gada plānošanas perioda sākumā</w:t>
      </w:r>
      <w:r w:rsidR="00F4386E">
        <w:rPr>
          <w:rFonts w:cs="Times New Roman"/>
          <w:szCs w:val="24"/>
        </w:rPr>
        <w:t xml:space="preserve">, balstoties uz </w:t>
      </w:r>
      <w:r w:rsidR="00F4386E" w:rsidRPr="00F2603B">
        <w:rPr>
          <w:rFonts w:cs="Times New Roman"/>
          <w:szCs w:val="28"/>
        </w:rPr>
        <w:t>2014.</w:t>
      </w:r>
      <w:r w:rsidR="00E13D88">
        <w:rPr>
          <w:rFonts w:cs="Times New Roman"/>
          <w:szCs w:val="28"/>
        </w:rPr>
        <w:t> </w:t>
      </w:r>
      <w:r w:rsidR="00F4386E" w:rsidRPr="00F2603B">
        <w:rPr>
          <w:rFonts w:cs="Times New Roman"/>
          <w:szCs w:val="28"/>
        </w:rPr>
        <w:t>–</w:t>
      </w:r>
      <w:r w:rsidR="00E13D88">
        <w:rPr>
          <w:rFonts w:cs="Times New Roman"/>
          <w:szCs w:val="28"/>
        </w:rPr>
        <w:t> </w:t>
      </w:r>
      <w:r w:rsidR="00F4386E" w:rsidRPr="00F2603B">
        <w:rPr>
          <w:rFonts w:cs="Times New Roman"/>
          <w:szCs w:val="28"/>
        </w:rPr>
        <w:t>2020.</w:t>
      </w:r>
      <w:r w:rsidR="00E13D88">
        <w:rPr>
          <w:rFonts w:cs="Times New Roman"/>
          <w:szCs w:val="28"/>
        </w:rPr>
        <w:t> </w:t>
      </w:r>
      <w:r w:rsidR="00F4386E" w:rsidRPr="00F2603B">
        <w:rPr>
          <w:rFonts w:cs="Times New Roman"/>
          <w:szCs w:val="28"/>
        </w:rPr>
        <w:t>gada</w:t>
      </w:r>
      <w:r w:rsidR="00F4386E" w:rsidRPr="00B2045A">
        <w:rPr>
          <w:rFonts w:cs="Times New Roman"/>
          <w:szCs w:val="28"/>
        </w:rPr>
        <w:t xml:space="preserve"> plānošanas</w:t>
      </w:r>
      <w:r w:rsidR="00F4386E" w:rsidRPr="00FF4FEA">
        <w:rPr>
          <w:rFonts w:cs="Times New Roman"/>
          <w:szCs w:val="28"/>
        </w:rPr>
        <w:t xml:space="preserve"> period</w:t>
      </w:r>
      <w:r w:rsidR="00F4386E">
        <w:rPr>
          <w:szCs w:val="28"/>
        </w:rPr>
        <w:t xml:space="preserve">a labo praksi, </w:t>
      </w:r>
      <w:r w:rsidRPr="003540A7">
        <w:rPr>
          <w:rFonts w:cs="Times New Roman"/>
          <w:szCs w:val="24"/>
        </w:rPr>
        <w:t>izveido</w:t>
      </w:r>
      <w:r w:rsidR="00AA7E8C">
        <w:rPr>
          <w:rFonts w:cs="Times New Roman"/>
          <w:szCs w:val="24"/>
        </w:rPr>
        <w:t>s</w:t>
      </w:r>
      <w:r w:rsidRPr="003540A7">
        <w:rPr>
          <w:rFonts w:cs="Times New Roman"/>
          <w:szCs w:val="24"/>
        </w:rPr>
        <w:t xml:space="preserve"> uzraudzības komitejas apakškomitejas, kurā</w:t>
      </w:r>
      <w:r w:rsidR="00AA7E8C">
        <w:rPr>
          <w:rFonts w:cs="Times New Roman"/>
          <w:szCs w:val="24"/>
        </w:rPr>
        <w:t>s</w:t>
      </w:r>
      <w:r w:rsidRPr="003540A7">
        <w:rPr>
          <w:rFonts w:cs="Times New Roman"/>
          <w:szCs w:val="24"/>
        </w:rPr>
        <w:t xml:space="preserve"> tik</w:t>
      </w:r>
      <w:r w:rsidR="00AA7E8C">
        <w:rPr>
          <w:rFonts w:cs="Times New Roman"/>
          <w:szCs w:val="24"/>
        </w:rPr>
        <w:t>s</w:t>
      </w:r>
      <w:r w:rsidRPr="003540A7">
        <w:rPr>
          <w:rFonts w:cs="Times New Roman"/>
          <w:szCs w:val="24"/>
        </w:rPr>
        <w:t xml:space="preserve"> iesaistītas nozaru ministrijas un Valsts kanceleja, kuras īsteno specifiskos atbalsta mērķus</w:t>
      </w:r>
      <w:r w:rsidRPr="003540A7">
        <w:rPr>
          <w:rFonts w:cs="Times New Roman"/>
          <w:color w:val="000000"/>
          <w:szCs w:val="24"/>
        </w:rPr>
        <w:t xml:space="preserve">, </w:t>
      </w:r>
      <w:r w:rsidRPr="003540A7">
        <w:rPr>
          <w:rFonts w:cs="Times New Roman"/>
          <w:szCs w:val="24"/>
        </w:rPr>
        <w:t xml:space="preserve">sadarbības partneri, u.c. eksperti. Apakškomiteju mērķis ir </w:t>
      </w:r>
      <w:r w:rsidRPr="003540A7">
        <w:t>nodrošināt nozaru ministriju un sadarbības partneru sadarbību, informācijas apmaiņu un iesaisti specifisko atbalsta mērķu plānošanā, normatīvo aktu izstrādē, to ieviešanā, uzraudzībā un nodrošināt savlaicīgu identificēto plānošanas un īstenošanas problēmu risināšanu, veicinot procesa efektivitāti.</w:t>
      </w:r>
    </w:p>
    <w:p w14:paraId="31B63607" w14:textId="77777777" w:rsidR="00AE4BBC" w:rsidRDefault="00AE4BBC" w:rsidP="00AE4BBC">
      <w:pPr>
        <w:pStyle w:val="ListParagraph"/>
        <w:spacing w:before="100" w:beforeAutospacing="1" w:after="100" w:afterAutospacing="1"/>
        <w:ind w:left="0"/>
        <w:jc w:val="both"/>
        <w:rPr>
          <w:rFonts w:cs="Times New Roman"/>
          <w:szCs w:val="24"/>
        </w:rPr>
      </w:pPr>
    </w:p>
    <w:p w14:paraId="36436EA7" w14:textId="033F53EA" w:rsidR="00AE4BBC" w:rsidRDefault="00AE4BBC" w:rsidP="00AE4BBC">
      <w:pPr>
        <w:pStyle w:val="ListParagraph"/>
        <w:spacing w:before="100" w:beforeAutospacing="1" w:after="100" w:afterAutospacing="1"/>
        <w:ind w:left="0"/>
        <w:jc w:val="both"/>
        <w:rPr>
          <w:rFonts w:cs="Times New Roman"/>
          <w:szCs w:val="24"/>
          <w:highlight w:val="yellow"/>
        </w:rPr>
      </w:pPr>
      <w:r w:rsidRPr="00DA12EA">
        <w:rPr>
          <w:rFonts w:cs="Times New Roman"/>
          <w:szCs w:val="24"/>
        </w:rPr>
        <w:t>Lai nodrošinātu Kopējās fondu regulas</w:t>
      </w:r>
      <w:r w:rsidR="005948A3">
        <w:rPr>
          <w:rFonts w:cs="Times New Roman"/>
          <w:szCs w:val="24"/>
        </w:rPr>
        <w:t xml:space="preserve"> priekšlikuma</w:t>
      </w:r>
      <w:r w:rsidRPr="00DA12EA">
        <w:rPr>
          <w:rStyle w:val="FootnoteReference"/>
          <w:rFonts w:cs="Times New Roman"/>
          <w:szCs w:val="24"/>
        </w:rPr>
        <w:footnoteReference w:id="17"/>
      </w:r>
      <w:r w:rsidRPr="00DA12EA">
        <w:rPr>
          <w:rFonts w:cs="Times New Roman"/>
          <w:szCs w:val="24"/>
        </w:rPr>
        <w:t xml:space="preserve"> prasības attiecībā uz darbību</w:t>
      </w:r>
      <w:r w:rsidR="00EE4A16">
        <w:rPr>
          <w:rFonts w:cs="Times New Roman"/>
          <w:szCs w:val="24"/>
        </w:rPr>
        <w:t>/projektu</w:t>
      </w:r>
      <w:r w:rsidRPr="00DA12EA">
        <w:rPr>
          <w:rFonts w:cs="Times New Roman"/>
          <w:szCs w:val="24"/>
        </w:rPr>
        <w:t xml:space="preserve"> atlasi, Finanšu ministrija kā ES KP fondu vadošā iestāde </w:t>
      </w:r>
      <w:r w:rsidR="00FC09FD">
        <w:rPr>
          <w:rFonts w:cs="Times New Roman"/>
          <w:szCs w:val="24"/>
        </w:rPr>
        <w:t xml:space="preserve">sadarbībā ar atbildīgajām iestādēm </w:t>
      </w:r>
      <w:r w:rsidRPr="00DA12EA">
        <w:rPr>
          <w:rFonts w:cs="Times New Roman"/>
          <w:szCs w:val="24"/>
        </w:rPr>
        <w:t xml:space="preserve">nodrošinās </w:t>
      </w:r>
      <w:r w:rsidRPr="00DA12EA">
        <w:rPr>
          <w:color w:val="000000"/>
        </w:rPr>
        <w:t>kritērijus un procedūras, kas ir</w:t>
      </w:r>
      <w:r>
        <w:rPr>
          <w:color w:val="000000"/>
        </w:rPr>
        <w:t xml:space="preserve"> nediskriminējošas, pārredzamas, nodrošina dzimumu līdztiesību un ņem vērā Eiropas Savienības Pamattiesību hartu un ilgtspējīgas attīstības principu, un Savienības politiku vides jomā.</w:t>
      </w:r>
    </w:p>
    <w:p w14:paraId="53F8DAC7" w14:textId="77777777" w:rsidR="00AE4BBC" w:rsidRPr="00CA152F" w:rsidRDefault="00AE4BBC" w:rsidP="00696DA9">
      <w:pPr>
        <w:pStyle w:val="ListParagraph"/>
        <w:ind w:left="0"/>
        <w:jc w:val="both"/>
        <w:rPr>
          <w:rFonts w:cs="Times New Roman"/>
        </w:rPr>
      </w:pPr>
    </w:p>
    <w:p w14:paraId="0CEDE388" w14:textId="77777777" w:rsidR="00696DA9" w:rsidRPr="00CA152F" w:rsidRDefault="00696DA9" w:rsidP="00002513">
      <w:pPr>
        <w:pStyle w:val="Heading1"/>
        <w:numPr>
          <w:ilvl w:val="0"/>
          <w:numId w:val="11"/>
        </w:numPr>
        <w:rPr>
          <w:rFonts w:ascii="Times New Roman" w:hAnsi="Times New Roman" w:cs="Times New Roman"/>
          <w:color w:val="auto"/>
        </w:rPr>
      </w:pPr>
      <w:bookmarkStart w:id="1" w:name="_Toc322086831"/>
      <w:bookmarkStart w:id="2" w:name="_Toc347831046"/>
      <w:r w:rsidRPr="00CA152F">
        <w:rPr>
          <w:rFonts w:ascii="Times New Roman" w:hAnsi="Times New Roman" w:cs="Times New Roman"/>
          <w:color w:val="auto"/>
        </w:rPr>
        <w:t>Laika grafiks</w:t>
      </w:r>
      <w:bookmarkEnd w:id="1"/>
      <w:bookmarkEnd w:id="2"/>
    </w:p>
    <w:p w14:paraId="1D3E86B7" w14:textId="77777777" w:rsidR="00696DA9" w:rsidRPr="00CA152F" w:rsidRDefault="00696DA9" w:rsidP="00696DA9">
      <w:pPr>
        <w:pStyle w:val="ListParagraph"/>
        <w:ind w:left="0"/>
        <w:jc w:val="both"/>
        <w:rPr>
          <w:rFonts w:cs="Times New Roman"/>
        </w:rPr>
      </w:pPr>
    </w:p>
    <w:p w14:paraId="02C2D7B3" w14:textId="29F96F41" w:rsidR="00696DA9" w:rsidRPr="0049324F" w:rsidRDefault="00696DA9" w:rsidP="00C62AAC">
      <w:pPr>
        <w:pStyle w:val="ListParagraph"/>
        <w:ind w:left="0"/>
        <w:jc w:val="both"/>
        <w:rPr>
          <w:rFonts w:cs="Times New Roman"/>
        </w:rPr>
      </w:pPr>
      <w:r w:rsidRPr="00CA152F">
        <w:rPr>
          <w:rFonts w:cs="Times New Roman"/>
        </w:rPr>
        <w:t xml:space="preserve">Laika </w:t>
      </w:r>
      <w:r w:rsidRPr="00CA152F">
        <w:rPr>
          <w:rFonts w:cs="Times New Roman"/>
          <w:color w:val="000000"/>
          <w:szCs w:val="24"/>
        </w:rPr>
        <w:t>grafiks</w:t>
      </w:r>
      <w:r w:rsidRPr="00CA152F">
        <w:rPr>
          <w:rFonts w:cs="Times New Roman"/>
        </w:rPr>
        <w:t xml:space="preserve"> ES fondu 20</w:t>
      </w:r>
      <w:r w:rsidR="000A6F2F">
        <w:rPr>
          <w:rFonts w:cs="Times New Roman"/>
        </w:rPr>
        <w:t>21</w:t>
      </w:r>
      <w:r w:rsidRPr="00CA152F">
        <w:rPr>
          <w:rFonts w:cs="Times New Roman"/>
        </w:rPr>
        <w:t>.</w:t>
      </w:r>
      <w:r w:rsidR="00E13D88">
        <w:rPr>
          <w:rFonts w:cs="Times New Roman"/>
        </w:rPr>
        <w:t> </w:t>
      </w:r>
      <w:r w:rsidRPr="00CA152F">
        <w:rPr>
          <w:rFonts w:cs="Times New Roman"/>
        </w:rPr>
        <w:t>–</w:t>
      </w:r>
      <w:r w:rsidR="00E13D88">
        <w:rPr>
          <w:rFonts w:cs="Times New Roman"/>
        </w:rPr>
        <w:t> </w:t>
      </w:r>
      <w:r w:rsidRPr="00CA152F">
        <w:rPr>
          <w:rFonts w:cs="Times New Roman"/>
        </w:rPr>
        <w:t>202</w:t>
      </w:r>
      <w:r w:rsidR="000A6F2F">
        <w:rPr>
          <w:rFonts w:cs="Times New Roman"/>
        </w:rPr>
        <w:t>7</w:t>
      </w:r>
      <w:r w:rsidRPr="00CA152F">
        <w:rPr>
          <w:rFonts w:cs="Times New Roman"/>
        </w:rPr>
        <w:t>.</w:t>
      </w:r>
      <w:r w:rsidR="00E13D88">
        <w:rPr>
          <w:rFonts w:cs="Times New Roman"/>
        </w:rPr>
        <w:t> </w:t>
      </w:r>
      <w:r w:rsidRPr="00CA152F">
        <w:rPr>
          <w:rFonts w:cs="Times New Roman"/>
        </w:rPr>
        <w:t>gada plānošanas periodam izstrādāts, ņemot vērā ES fondu plānošanas sinerģiju ar NAP</w:t>
      </w:r>
      <w:r w:rsidR="00FA5798">
        <w:rPr>
          <w:rFonts w:cs="Times New Roman"/>
        </w:rPr>
        <w:t>2027</w:t>
      </w:r>
      <w:r w:rsidRPr="00CA152F">
        <w:rPr>
          <w:rFonts w:cs="Times New Roman"/>
        </w:rPr>
        <w:t xml:space="preserve"> izstrādi. ES fondu plānošanas dokumentu sagatavošanai nepieciešam</w:t>
      </w:r>
      <w:r>
        <w:rPr>
          <w:rFonts w:cs="Times New Roman"/>
        </w:rPr>
        <w:t>ās</w:t>
      </w:r>
      <w:r w:rsidRPr="00CA152F">
        <w:rPr>
          <w:rFonts w:cs="Times New Roman"/>
        </w:rPr>
        <w:t xml:space="preserve"> investīcij</w:t>
      </w:r>
      <w:r>
        <w:rPr>
          <w:rFonts w:cs="Times New Roman"/>
        </w:rPr>
        <w:t>as tik</w:t>
      </w:r>
      <w:r w:rsidR="000A6F2F">
        <w:rPr>
          <w:rFonts w:cs="Times New Roman"/>
        </w:rPr>
        <w:t>s</w:t>
      </w:r>
      <w:r>
        <w:rPr>
          <w:rFonts w:cs="Times New Roman"/>
        </w:rPr>
        <w:t xml:space="preserve"> noteiktas atbilstoši </w:t>
      </w:r>
      <w:r w:rsidR="00E13D88">
        <w:rPr>
          <w:rFonts w:cs="Times New Roman"/>
        </w:rPr>
        <w:t>MK</w:t>
      </w:r>
      <w:r w:rsidR="000A6F2F">
        <w:rPr>
          <w:rFonts w:cs="Times New Roman"/>
        </w:rPr>
        <w:t xml:space="preserve"> un </w:t>
      </w:r>
      <w:r w:rsidRPr="0049324F">
        <w:rPr>
          <w:rFonts w:cs="Times New Roman"/>
        </w:rPr>
        <w:t>Saeimā apstiprinātajai NAP</w:t>
      </w:r>
      <w:r w:rsidR="00FA5798">
        <w:rPr>
          <w:rFonts w:cs="Times New Roman"/>
        </w:rPr>
        <w:t>2027</w:t>
      </w:r>
      <w:r w:rsidRPr="0049324F">
        <w:rPr>
          <w:rFonts w:cs="Times New Roman"/>
        </w:rPr>
        <w:t xml:space="preserve"> redakcijai</w:t>
      </w:r>
      <w:r w:rsidR="00FA5798">
        <w:rPr>
          <w:rFonts w:cs="Times New Roman"/>
        </w:rPr>
        <w:t xml:space="preserve">, kā arī </w:t>
      </w:r>
      <w:r w:rsidR="00FA5798" w:rsidRPr="00937060">
        <w:rPr>
          <w:szCs w:val="24"/>
        </w:rPr>
        <w:t>atbilstoši izstrādātajiem nozaru vidēja termiņa plānošanas dokumentiem.</w:t>
      </w:r>
      <w:r w:rsidR="00FA5798">
        <w:rPr>
          <w:szCs w:val="24"/>
        </w:rPr>
        <w:t xml:space="preserve"> </w:t>
      </w:r>
      <w:r w:rsidR="00F4386E">
        <w:rPr>
          <w:rFonts w:cs="Times New Roman"/>
        </w:rPr>
        <w:t>Tāpat</w:t>
      </w:r>
      <w:r w:rsidR="00F4386E" w:rsidRPr="0049324F">
        <w:rPr>
          <w:rFonts w:cs="Times New Roman"/>
        </w:rPr>
        <w:t xml:space="preserve"> </w:t>
      </w:r>
      <w:r w:rsidR="00644650" w:rsidRPr="0049324F">
        <w:rPr>
          <w:rFonts w:cs="Times New Roman"/>
        </w:rPr>
        <w:t xml:space="preserve">laika grafiks tiek veidots, </w:t>
      </w:r>
      <w:r w:rsidR="000168CD" w:rsidRPr="0049324F">
        <w:rPr>
          <w:rFonts w:cs="Times New Roman"/>
        </w:rPr>
        <w:t>pieņemot</w:t>
      </w:r>
      <w:r w:rsidR="00644650" w:rsidRPr="0049324F">
        <w:rPr>
          <w:rFonts w:cs="Times New Roman"/>
        </w:rPr>
        <w:t>, ka ES fondu regulas tiek apstiprinātas savlaicīgi. Ja regulu plānotais apstiprināšanas laiks nobīdās, tad katram procesam jārēķina klāt vidēji 3 mēneš</w:t>
      </w:r>
      <w:r w:rsidR="000168CD" w:rsidRPr="0049324F">
        <w:rPr>
          <w:rFonts w:cs="Times New Roman"/>
        </w:rPr>
        <w:t>i</w:t>
      </w:r>
      <w:r w:rsidR="00644650" w:rsidRPr="0049324F">
        <w:rPr>
          <w:rFonts w:cs="Times New Roman"/>
        </w:rPr>
        <w:t xml:space="preserve">. </w:t>
      </w:r>
    </w:p>
    <w:p w14:paraId="07D9B0DE" w14:textId="77777777" w:rsidR="00696DA9" w:rsidRPr="00CA152F" w:rsidRDefault="00696DA9" w:rsidP="00696DA9">
      <w:pPr>
        <w:pStyle w:val="ListParagraph"/>
        <w:ind w:left="0"/>
        <w:jc w:val="both"/>
        <w:rPr>
          <w:rFonts w:cs="Times New Roman"/>
        </w:rPr>
      </w:pPr>
    </w:p>
    <w:p w14:paraId="4562E907" w14:textId="79F7DEDD" w:rsidR="00696DA9" w:rsidRPr="00CA152F" w:rsidRDefault="00696DA9" w:rsidP="00C62AAC">
      <w:pPr>
        <w:pStyle w:val="ListParagraph"/>
        <w:ind w:left="0"/>
        <w:jc w:val="both"/>
        <w:rPr>
          <w:rFonts w:cs="Times New Roman"/>
        </w:rPr>
      </w:pPr>
      <w:r>
        <w:rPr>
          <w:rFonts w:cs="Times New Roman"/>
        </w:rPr>
        <w:t>B</w:t>
      </w:r>
      <w:r w:rsidRPr="00CA152F">
        <w:rPr>
          <w:rFonts w:cs="Times New Roman"/>
        </w:rPr>
        <w:t>ūtiskākie ES KP fondu plānošanas posmi 20</w:t>
      </w:r>
      <w:r w:rsidR="000A6F2F">
        <w:rPr>
          <w:rFonts w:cs="Times New Roman"/>
        </w:rPr>
        <w:t>21</w:t>
      </w:r>
      <w:r w:rsidRPr="00CA152F">
        <w:rPr>
          <w:rFonts w:cs="Times New Roman"/>
        </w:rPr>
        <w:t>.</w:t>
      </w:r>
      <w:r w:rsidR="00E13D88">
        <w:rPr>
          <w:rFonts w:cs="Times New Roman"/>
        </w:rPr>
        <w:t> </w:t>
      </w:r>
      <w:r w:rsidRPr="00CA152F">
        <w:rPr>
          <w:rFonts w:cs="Times New Roman"/>
        </w:rPr>
        <w:t>–</w:t>
      </w:r>
      <w:r w:rsidR="00E13D88">
        <w:rPr>
          <w:rFonts w:cs="Times New Roman"/>
        </w:rPr>
        <w:t> </w:t>
      </w:r>
      <w:r w:rsidRPr="00CA152F">
        <w:rPr>
          <w:rFonts w:cs="Times New Roman"/>
        </w:rPr>
        <w:t>202</w:t>
      </w:r>
      <w:r w:rsidR="000A6F2F">
        <w:rPr>
          <w:rFonts w:cs="Times New Roman"/>
        </w:rPr>
        <w:t>7</w:t>
      </w:r>
      <w:r w:rsidRPr="00CA152F">
        <w:rPr>
          <w:rFonts w:cs="Times New Roman"/>
        </w:rPr>
        <w:t>. gada plānošanas perioda uzsākšanai ir šādi:</w:t>
      </w:r>
    </w:p>
    <w:p w14:paraId="547B80F9" w14:textId="3F1852A2" w:rsidR="00642E19" w:rsidRPr="00E651F8" w:rsidRDefault="00642E19" w:rsidP="00642E19">
      <w:pPr>
        <w:pStyle w:val="ListParagraph"/>
        <w:numPr>
          <w:ilvl w:val="0"/>
          <w:numId w:val="13"/>
        </w:numPr>
        <w:jc w:val="both"/>
        <w:rPr>
          <w:rFonts w:cs="Times New Roman"/>
        </w:rPr>
      </w:pPr>
      <w:r>
        <w:rPr>
          <w:rFonts w:cs="Times New Roman"/>
        </w:rPr>
        <w:t>Nacionālā attīstības plāna 2021.</w:t>
      </w:r>
      <w:r w:rsidR="00E13D88">
        <w:rPr>
          <w:rFonts w:cs="Times New Roman"/>
        </w:rPr>
        <w:t> </w:t>
      </w:r>
      <w:r w:rsidR="008C392D">
        <w:rPr>
          <w:rFonts w:cs="Times New Roman"/>
        </w:rPr>
        <w:t>–</w:t>
      </w:r>
      <w:r w:rsidR="00E13D88">
        <w:rPr>
          <w:rFonts w:cs="Times New Roman"/>
        </w:rPr>
        <w:t> </w:t>
      </w:r>
      <w:r>
        <w:rPr>
          <w:rFonts w:cs="Times New Roman"/>
        </w:rPr>
        <w:t>2027.</w:t>
      </w:r>
      <w:r w:rsidR="00E13D88">
        <w:rPr>
          <w:rFonts w:cs="Times New Roman"/>
        </w:rPr>
        <w:t> </w:t>
      </w:r>
      <w:r>
        <w:rPr>
          <w:rFonts w:cs="Times New Roman"/>
        </w:rPr>
        <w:t>gadam</w:t>
      </w:r>
      <w:r w:rsidR="00FE7F53">
        <w:rPr>
          <w:rFonts w:cs="Times New Roman"/>
        </w:rPr>
        <w:t xml:space="preserve"> (NAP)</w:t>
      </w:r>
      <w:r>
        <w:rPr>
          <w:rFonts w:cs="Times New Roman"/>
        </w:rPr>
        <w:t xml:space="preserve"> </w:t>
      </w:r>
      <w:r w:rsidR="0037081F">
        <w:rPr>
          <w:rFonts w:cs="Times New Roman"/>
        </w:rPr>
        <w:t>darba grupas izveide 2019.</w:t>
      </w:r>
      <w:r w:rsidR="00E13D88">
        <w:rPr>
          <w:rFonts w:cs="Times New Roman"/>
        </w:rPr>
        <w:t> </w:t>
      </w:r>
      <w:r w:rsidR="0037081F">
        <w:rPr>
          <w:rFonts w:cs="Times New Roman"/>
        </w:rPr>
        <w:t xml:space="preserve">gada aprīlī un NAP </w:t>
      </w:r>
      <w:r>
        <w:rPr>
          <w:rFonts w:cs="Times New Roman"/>
        </w:rPr>
        <w:t>iesniegšana</w:t>
      </w:r>
      <w:r w:rsidRPr="00E651F8">
        <w:rPr>
          <w:rFonts w:cs="Times New Roman"/>
        </w:rPr>
        <w:t xml:space="preserve"> </w:t>
      </w:r>
      <w:r w:rsidR="0037081F">
        <w:rPr>
          <w:rFonts w:cs="Times New Roman"/>
        </w:rPr>
        <w:t xml:space="preserve">apstiprināšanai </w:t>
      </w:r>
      <w:r w:rsidR="00E13D88">
        <w:rPr>
          <w:rFonts w:cs="Times New Roman"/>
        </w:rPr>
        <w:t>MK</w:t>
      </w:r>
      <w:r w:rsidR="0037081F">
        <w:rPr>
          <w:rFonts w:cs="Times New Roman"/>
        </w:rPr>
        <w:t xml:space="preserve"> </w:t>
      </w:r>
      <w:r w:rsidR="009815B9">
        <w:rPr>
          <w:rFonts w:cs="Times New Roman"/>
        </w:rPr>
        <w:t xml:space="preserve">līdz </w:t>
      </w:r>
      <w:r w:rsidR="0037081F" w:rsidRPr="0037081F">
        <w:rPr>
          <w:rFonts w:cs="Times New Roman"/>
        </w:rPr>
        <w:t>2019.</w:t>
      </w:r>
      <w:r w:rsidR="00E13D88">
        <w:rPr>
          <w:rFonts w:cs="Times New Roman"/>
        </w:rPr>
        <w:t> </w:t>
      </w:r>
      <w:r w:rsidR="0037081F" w:rsidRPr="0037081F">
        <w:rPr>
          <w:rFonts w:cs="Times New Roman"/>
        </w:rPr>
        <w:t xml:space="preserve">gada </w:t>
      </w:r>
      <w:r w:rsidR="0037081F">
        <w:rPr>
          <w:rFonts w:cs="Times New Roman"/>
        </w:rPr>
        <w:t>oktobr</w:t>
      </w:r>
      <w:r w:rsidR="009815B9">
        <w:rPr>
          <w:rFonts w:cs="Times New Roman"/>
        </w:rPr>
        <w:t>im</w:t>
      </w:r>
      <w:r w:rsidRPr="00E651F8">
        <w:rPr>
          <w:rFonts w:cs="Times New Roman"/>
        </w:rPr>
        <w:t>.</w:t>
      </w:r>
    </w:p>
    <w:p w14:paraId="210FA1E8" w14:textId="3F6B2B0A" w:rsidR="00FE7F53" w:rsidRDefault="00FE7F53" w:rsidP="00FB3E8B">
      <w:pPr>
        <w:pStyle w:val="ListParagraph"/>
        <w:numPr>
          <w:ilvl w:val="0"/>
          <w:numId w:val="13"/>
        </w:numPr>
        <w:ind w:left="360"/>
        <w:jc w:val="both"/>
        <w:rPr>
          <w:rFonts w:cs="Times New Roman"/>
        </w:rPr>
      </w:pPr>
      <w:r w:rsidRPr="00E651F8">
        <w:rPr>
          <w:rFonts w:cs="Times New Roman"/>
          <w:szCs w:val="24"/>
        </w:rPr>
        <w:t>ES</w:t>
      </w:r>
      <w:r w:rsidRPr="00E651F8">
        <w:rPr>
          <w:rFonts w:cs="Times New Roman"/>
        </w:rPr>
        <w:t xml:space="preserve"> KP fondu plānošanas dokumentu izstrāde</w:t>
      </w:r>
      <w:r>
        <w:rPr>
          <w:rFonts w:cs="Times New Roman"/>
        </w:rPr>
        <w:t xml:space="preserve"> sākas pēc NAP apstiprināšanas </w:t>
      </w:r>
      <w:r w:rsidR="00E13D88">
        <w:rPr>
          <w:rFonts w:cs="Times New Roman"/>
        </w:rPr>
        <w:t>MK</w:t>
      </w:r>
      <w:r>
        <w:rPr>
          <w:rFonts w:cs="Times New Roman"/>
        </w:rPr>
        <w:t>,</w:t>
      </w:r>
      <w:r w:rsidRPr="00FE7F53">
        <w:rPr>
          <w:rFonts w:cs="Times New Roman"/>
        </w:rPr>
        <w:t xml:space="preserve"> </w:t>
      </w:r>
      <w:r w:rsidRPr="00E651F8">
        <w:rPr>
          <w:rFonts w:cs="Times New Roman"/>
        </w:rPr>
        <w:t>kas veido pamatu neformālajam dialogam ar EK līdz 20</w:t>
      </w:r>
      <w:r>
        <w:rPr>
          <w:rFonts w:cs="Times New Roman"/>
        </w:rPr>
        <w:t>19</w:t>
      </w:r>
      <w:r w:rsidRPr="00E651F8">
        <w:rPr>
          <w:rFonts w:cs="Times New Roman"/>
        </w:rPr>
        <w:t>.</w:t>
      </w:r>
      <w:r w:rsidR="00E13D88">
        <w:rPr>
          <w:rFonts w:cs="Times New Roman"/>
        </w:rPr>
        <w:t> </w:t>
      </w:r>
      <w:r w:rsidRPr="00E651F8">
        <w:rPr>
          <w:rFonts w:cs="Times New Roman"/>
        </w:rPr>
        <w:t xml:space="preserve">gada </w:t>
      </w:r>
      <w:r>
        <w:rPr>
          <w:rFonts w:cs="Times New Roman"/>
        </w:rPr>
        <w:t>beigām</w:t>
      </w:r>
      <w:r w:rsidRPr="00E651F8">
        <w:rPr>
          <w:rFonts w:cs="Times New Roman"/>
        </w:rPr>
        <w:t xml:space="preserve">, iesaistot </w:t>
      </w:r>
      <w:r w:rsidR="00A92CFA">
        <w:rPr>
          <w:rFonts w:cs="Times New Roman"/>
        </w:rPr>
        <w:t>atbildīgās iestādes</w:t>
      </w:r>
      <w:r w:rsidRPr="00E651F8">
        <w:rPr>
          <w:rFonts w:cs="Times New Roman"/>
        </w:rPr>
        <w:t xml:space="preserve">, sadarbības partnerus, </w:t>
      </w:r>
      <w:r w:rsidR="00E13D88">
        <w:rPr>
          <w:rFonts w:cs="Times New Roman"/>
        </w:rPr>
        <w:t>PKC</w:t>
      </w:r>
      <w:r w:rsidRPr="00E651F8">
        <w:rPr>
          <w:rFonts w:cs="Times New Roman"/>
        </w:rPr>
        <w:t xml:space="preserve"> u.c. </w:t>
      </w:r>
      <w:r>
        <w:rPr>
          <w:rFonts w:cs="Times New Roman"/>
        </w:rPr>
        <w:t xml:space="preserve">FM </w:t>
      </w:r>
      <w:r w:rsidR="0037081F" w:rsidRPr="0037081F">
        <w:rPr>
          <w:rFonts w:cs="Times New Roman"/>
        </w:rPr>
        <w:t>2019.</w:t>
      </w:r>
      <w:r w:rsidR="00E13D88">
        <w:rPr>
          <w:rFonts w:cs="Times New Roman"/>
        </w:rPr>
        <w:t> </w:t>
      </w:r>
      <w:r w:rsidR="0037081F" w:rsidRPr="0037081F">
        <w:rPr>
          <w:rFonts w:cs="Times New Roman"/>
        </w:rPr>
        <w:t>gada jūlijā</w:t>
      </w:r>
      <w:r w:rsidR="0037081F">
        <w:rPr>
          <w:rFonts w:cs="Times New Roman"/>
        </w:rPr>
        <w:t xml:space="preserve"> </w:t>
      </w:r>
      <w:r w:rsidR="00E13D88">
        <w:rPr>
          <w:rFonts w:cs="Times New Roman"/>
        </w:rPr>
        <w:t>MK</w:t>
      </w:r>
      <w:r>
        <w:rPr>
          <w:rFonts w:cs="Times New Roman"/>
        </w:rPr>
        <w:t xml:space="preserve"> iesniedz Informatīvo ziņojumu par ES KP plānošanas dokumentu izstrādi.</w:t>
      </w:r>
      <w:r w:rsidRPr="00E651F8">
        <w:rPr>
          <w:rFonts w:cs="Times New Roman"/>
        </w:rPr>
        <w:t xml:space="preserve"> </w:t>
      </w:r>
    </w:p>
    <w:p w14:paraId="6FC305C3" w14:textId="63CC5C6C" w:rsidR="00892509" w:rsidRDefault="00892509" w:rsidP="00892509">
      <w:pPr>
        <w:pStyle w:val="ListParagraph"/>
        <w:numPr>
          <w:ilvl w:val="0"/>
          <w:numId w:val="13"/>
        </w:numPr>
        <w:jc w:val="both"/>
        <w:rPr>
          <w:rFonts w:cs="Times New Roman"/>
        </w:rPr>
      </w:pPr>
      <w:r w:rsidRPr="00E651F8">
        <w:rPr>
          <w:rFonts w:cs="Times New Roman"/>
        </w:rPr>
        <w:lastRenderedPageBreak/>
        <w:t xml:space="preserve">Partnerības līguma un ES KP fondu darbības programmas projektu iesniegšana EK plānota līdz </w:t>
      </w:r>
      <w:r w:rsidRPr="0037081F">
        <w:rPr>
          <w:rFonts w:cs="Times New Roman"/>
        </w:rPr>
        <w:t>2019.</w:t>
      </w:r>
      <w:r w:rsidR="007C7363">
        <w:rPr>
          <w:rFonts w:cs="Times New Roman"/>
        </w:rPr>
        <w:t> </w:t>
      </w:r>
      <w:r w:rsidRPr="0037081F">
        <w:rPr>
          <w:rFonts w:cs="Times New Roman"/>
        </w:rPr>
        <w:t>gada 30.</w:t>
      </w:r>
      <w:r w:rsidR="007C7363">
        <w:rPr>
          <w:rFonts w:cs="Times New Roman"/>
        </w:rPr>
        <w:t> </w:t>
      </w:r>
      <w:r w:rsidRPr="0037081F">
        <w:rPr>
          <w:rFonts w:cs="Times New Roman"/>
        </w:rPr>
        <w:t>decembrim;</w:t>
      </w:r>
    </w:p>
    <w:p w14:paraId="350A187C" w14:textId="0F73CF28" w:rsidR="00714F3C" w:rsidRPr="0037081F" w:rsidRDefault="00714F3C" w:rsidP="00892509">
      <w:pPr>
        <w:pStyle w:val="ListParagraph"/>
        <w:numPr>
          <w:ilvl w:val="0"/>
          <w:numId w:val="13"/>
        </w:numPr>
        <w:jc w:val="both"/>
        <w:rPr>
          <w:rFonts w:cs="Times New Roman"/>
        </w:rPr>
      </w:pPr>
      <w:r>
        <w:rPr>
          <w:rFonts w:cs="Times New Roman"/>
        </w:rPr>
        <w:t>FM iesniedz MK informatīvo ziņojumu par vadības un kontroles sistēmu un normatīvo regulējumu līdz 2020.</w:t>
      </w:r>
      <w:r w:rsidR="007C7363">
        <w:rPr>
          <w:rFonts w:cs="Times New Roman"/>
        </w:rPr>
        <w:t> </w:t>
      </w:r>
      <w:r>
        <w:rPr>
          <w:rFonts w:cs="Times New Roman"/>
        </w:rPr>
        <w:t>gada aprīlim.</w:t>
      </w:r>
    </w:p>
    <w:p w14:paraId="27C10ACB" w14:textId="6DF9DD2A" w:rsidR="00696DA9" w:rsidRPr="00892509" w:rsidRDefault="00696DA9" w:rsidP="00892509">
      <w:pPr>
        <w:pStyle w:val="ListParagraph"/>
        <w:numPr>
          <w:ilvl w:val="0"/>
          <w:numId w:val="13"/>
        </w:numPr>
        <w:jc w:val="both"/>
        <w:rPr>
          <w:rFonts w:cs="Times New Roman"/>
        </w:rPr>
      </w:pPr>
      <w:r w:rsidRPr="00E651F8">
        <w:rPr>
          <w:rFonts w:cs="Times New Roman"/>
        </w:rPr>
        <w:t xml:space="preserve">Formālo plānošanas dokumentu priekšlikumu iesniegšana </w:t>
      </w:r>
      <w:r w:rsidR="00C62AAC">
        <w:rPr>
          <w:rFonts w:cs="Times New Roman"/>
        </w:rPr>
        <w:t xml:space="preserve">EK </w:t>
      </w:r>
      <w:r w:rsidRPr="00E651F8">
        <w:rPr>
          <w:rFonts w:cs="Times New Roman"/>
        </w:rPr>
        <w:t>līdz 20</w:t>
      </w:r>
      <w:r w:rsidR="00E651F8" w:rsidRPr="00E651F8">
        <w:rPr>
          <w:rFonts w:cs="Times New Roman"/>
        </w:rPr>
        <w:t>20</w:t>
      </w:r>
      <w:r w:rsidRPr="00E651F8">
        <w:rPr>
          <w:rFonts w:cs="Times New Roman"/>
        </w:rPr>
        <w:t>.</w:t>
      </w:r>
      <w:r w:rsidR="007C7363">
        <w:rPr>
          <w:rFonts w:cs="Times New Roman"/>
        </w:rPr>
        <w:t> </w:t>
      </w:r>
      <w:r w:rsidRPr="00E651F8">
        <w:rPr>
          <w:rFonts w:cs="Times New Roman"/>
        </w:rPr>
        <w:t xml:space="preserve">gada </w:t>
      </w:r>
      <w:r w:rsidR="00E651F8" w:rsidRPr="00E651F8">
        <w:rPr>
          <w:rFonts w:cs="Times New Roman"/>
        </w:rPr>
        <w:t>jūnijam</w:t>
      </w:r>
      <w:r w:rsidRPr="00E651F8">
        <w:rPr>
          <w:rFonts w:cs="Times New Roman"/>
        </w:rPr>
        <w:t xml:space="preserve"> (termiņš atkarī</w:t>
      </w:r>
      <w:r w:rsidR="00E651F8">
        <w:rPr>
          <w:rFonts w:cs="Times New Roman"/>
        </w:rPr>
        <w:t>gs no E</w:t>
      </w:r>
      <w:r w:rsidR="00EE4A16">
        <w:rPr>
          <w:rFonts w:cs="Times New Roman"/>
        </w:rPr>
        <w:t>S fondu</w:t>
      </w:r>
      <w:r w:rsidR="00E651F8">
        <w:rPr>
          <w:rFonts w:cs="Times New Roman"/>
        </w:rPr>
        <w:t xml:space="preserve"> regulu</w:t>
      </w:r>
      <w:r w:rsidR="00EE4A16">
        <w:rPr>
          <w:rFonts w:cs="Times New Roman"/>
        </w:rPr>
        <w:t xml:space="preserve"> un Daudzgadu finanšu shēmas 2021.</w:t>
      </w:r>
      <w:r w:rsidR="007C7363">
        <w:rPr>
          <w:rFonts w:cs="Times New Roman"/>
        </w:rPr>
        <w:t> </w:t>
      </w:r>
      <w:r w:rsidR="00EE4A16">
        <w:rPr>
          <w:rFonts w:cs="Times New Roman"/>
        </w:rPr>
        <w:t>-2027.</w:t>
      </w:r>
      <w:r w:rsidR="007C7363">
        <w:rPr>
          <w:rFonts w:cs="Times New Roman"/>
        </w:rPr>
        <w:t> </w:t>
      </w:r>
      <w:r w:rsidR="00EE4A16">
        <w:rPr>
          <w:rFonts w:cs="Times New Roman"/>
        </w:rPr>
        <w:t>gada plānošanas periodam</w:t>
      </w:r>
      <w:r w:rsidR="00E651F8">
        <w:rPr>
          <w:rFonts w:cs="Times New Roman"/>
        </w:rPr>
        <w:t xml:space="preserve"> apstiprināšanas laika grafika</w:t>
      </w:r>
      <w:r w:rsidRPr="00E651F8">
        <w:rPr>
          <w:rFonts w:cs="Times New Roman"/>
        </w:rPr>
        <w:t xml:space="preserve">). </w:t>
      </w:r>
      <w:r w:rsidR="00892509" w:rsidRPr="00E651F8">
        <w:rPr>
          <w:rFonts w:cs="Times New Roman"/>
          <w:szCs w:val="24"/>
        </w:rPr>
        <w:t>P</w:t>
      </w:r>
      <w:r w:rsidR="00892509" w:rsidRPr="00E651F8">
        <w:rPr>
          <w:rFonts w:cs="Times New Roman"/>
        </w:rPr>
        <w:t xml:space="preserve">ēc ES KP fondu plānošanas dokumentu saskaņošanas MK </w:t>
      </w:r>
      <w:r w:rsidR="00892509">
        <w:rPr>
          <w:rFonts w:cs="Times New Roman"/>
        </w:rPr>
        <w:t xml:space="preserve">oficiālo </w:t>
      </w:r>
      <w:r w:rsidR="00892509" w:rsidRPr="00E651F8">
        <w:rPr>
          <w:rFonts w:cs="Times New Roman"/>
        </w:rPr>
        <w:t>sarunu ar EK uzsākšana par plānošanas dokumentiem</w:t>
      </w:r>
      <w:r w:rsidR="0037081F">
        <w:rPr>
          <w:rFonts w:cs="Times New Roman"/>
        </w:rPr>
        <w:t xml:space="preserve"> un plānošanas dokumentu apstiprināšana EK 2020.</w:t>
      </w:r>
      <w:r w:rsidR="007C7363">
        <w:rPr>
          <w:rFonts w:cs="Times New Roman"/>
        </w:rPr>
        <w:t> </w:t>
      </w:r>
      <w:r w:rsidR="0037081F">
        <w:rPr>
          <w:rFonts w:cs="Times New Roman"/>
        </w:rPr>
        <w:t>gada oktobrī</w:t>
      </w:r>
      <w:r w:rsidR="00892509" w:rsidRPr="00E651F8">
        <w:rPr>
          <w:rFonts w:cs="Times New Roman"/>
        </w:rPr>
        <w:t xml:space="preserve">. </w:t>
      </w:r>
    </w:p>
    <w:p w14:paraId="33C7D873" w14:textId="6D24C292" w:rsidR="00696DA9" w:rsidRPr="00747E3B" w:rsidRDefault="00696DA9" w:rsidP="00696DA9">
      <w:pPr>
        <w:pStyle w:val="ListParagraph"/>
        <w:numPr>
          <w:ilvl w:val="0"/>
          <w:numId w:val="13"/>
        </w:numPr>
        <w:jc w:val="both"/>
        <w:rPr>
          <w:rFonts w:cs="Times New Roman"/>
        </w:rPr>
      </w:pPr>
      <w:r w:rsidRPr="00747E3B">
        <w:rPr>
          <w:rFonts w:cs="Times New Roman"/>
        </w:rPr>
        <w:t>ES KP fondu vadības likumprojekta 20</w:t>
      </w:r>
      <w:r w:rsidR="00747E3B">
        <w:rPr>
          <w:rFonts w:cs="Times New Roman"/>
        </w:rPr>
        <w:t>21</w:t>
      </w:r>
      <w:r w:rsidRPr="00747E3B">
        <w:rPr>
          <w:rFonts w:cs="Times New Roman"/>
        </w:rPr>
        <w:t>.</w:t>
      </w:r>
      <w:r w:rsidR="007C7363">
        <w:rPr>
          <w:rFonts w:cs="Times New Roman"/>
        </w:rPr>
        <w:t> </w:t>
      </w:r>
      <w:r w:rsidRPr="00747E3B">
        <w:rPr>
          <w:rFonts w:cs="Times New Roman"/>
        </w:rPr>
        <w:t>–</w:t>
      </w:r>
      <w:r w:rsidR="007C7363">
        <w:rPr>
          <w:rFonts w:cs="Times New Roman"/>
        </w:rPr>
        <w:t> </w:t>
      </w:r>
      <w:r w:rsidRPr="00747E3B">
        <w:rPr>
          <w:rFonts w:cs="Times New Roman"/>
        </w:rPr>
        <w:t>202</w:t>
      </w:r>
      <w:r w:rsidR="00747E3B">
        <w:rPr>
          <w:rFonts w:cs="Times New Roman"/>
        </w:rPr>
        <w:t>7</w:t>
      </w:r>
      <w:r w:rsidRPr="00747E3B">
        <w:rPr>
          <w:rFonts w:cs="Times New Roman"/>
        </w:rPr>
        <w:t>.gada plānošanas periodam pieņemšana līdz 20</w:t>
      </w:r>
      <w:r w:rsidR="00747E3B" w:rsidRPr="00747E3B">
        <w:rPr>
          <w:rFonts w:cs="Times New Roman"/>
        </w:rPr>
        <w:t>20</w:t>
      </w:r>
      <w:r w:rsidRPr="00747E3B">
        <w:rPr>
          <w:rFonts w:cs="Times New Roman"/>
        </w:rPr>
        <w:t>.</w:t>
      </w:r>
      <w:r w:rsidR="007C7363">
        <w:rPr>
          <w:rFonts w:cs="Times New Roman"/>
        </w:rPr>
        <w:t> </w:t>
      </w:r>
      <w:r w:rsidRPr="00747E3B">
        <w:rPr>
          <w:rFonts w:cs="Times New Roman"/>
        </w:rPr>
        <w:t xml:space="preserve">gada </w:t>
      </w:r>
      <w:r w:rsidR="00BF2AFB">
        <w:rPr>
          <w:rFonts w:cs="Times New Roman"/>
        </w:rPr>
        <w:t>jūlijam</w:t>
      </w:r>
      <w:r w:rsidRPr="00747E3B">
        <w:rPr>
          <w:rFonts w:cs="Times New Roman"/>
        </w:rPr>
        <w:t>;</w:t>
      </w:r>
    </w:p>
    <w:p w14:paraId="14C7914A" w14:textId="0D5EEEF6" w:rsidR="00696DA9" w:rsidRPr="00BF2AFB" w:rsidRDefault="007C7363" w:rsidP="00696DA9">
      <w:pPr>
        <w:pStyle w:val="ListParagraph"/>
        <w:numPr>
          <w:ilvl w:val="0"/>
          <w:numId w:val="13"/>
        </w:numPr>
        <w:jc w:val="both"/>
        <w:rPr>
          <w:rFonts w:cs="Times New Roman"/>
        </w:rPr>
      </w:pPr>
      <w:r>
        <w:rPr>
          <w:rFonts w:cs="Times New Roman"/>
        </w:rPr>
        <w:t>MK</w:t>
      </w:r>
      <w:r w:rsidR="00696DA9" w:rsidRPr="00BF2AFB">
        <w:rPr>
          <w:rFonts w:cs="Times New Roman"/>
        </w:rPr>
        <w:t xml:space="preserve"> noteikumu ES KP fondu vadībai 20</w:t>
      </w:r>
      <w:r w:rsidR="00BF2AFB" w:rsidRPr="00BF2AFB">
        <w:rPr>
          <w:rFonts w:cs="Times New Roman"/>
        </w:rPr>
        <w:t>21</w:t>
      </w:r>
      <w:r w:rsidR="00696DA9" w:rsidRPr="00BF2AFB">
        <w:rPr>
          <w:rFonts w:cs="Times New Roman"/>
        </w:rPr>
        <w:t>.</w:t>
      </w:r>
      <w:r>
        <w:rPr>
          <w:rFonts w:cs="Times New Roman"/>
        </w:rPr>
        <w:t> </w:t>
      </w:r>
      <w:r w:rsidR="00696DA9" w:rsidRPr="00BF2AFB">
        <w:rPr>
          <w:rFonts w:cs="Times New Roman"/>
        </w:rPr>
        <w:t>–</w:t>
      </w:r>
      <w:r>
        <w:rPr>
          <w:rFonts w:cs="Times New Roman"/>
        </w:rPr>
        <w:t> </w:t>
      </w:r>
      <w:r w:rsidR="00696DA9" w:rsidRPr="00BF2AFB">
        <w:rPr>
          <w:rFonts w:cs="Times New Roman"/>
        </w:rPr>
        <w:t>202</w:t>
      </w:r>
      <w:r w:rsidR="00BF2AFB" w:rsidRPr="00BF2AFB">
        <w:rPr>
          <w:rFonts w:cs="Times New Roman"/>
        </w:rPr>
        <w:t>7</w:t>
      </w:r>
      <w:r w:rsidR="00696DA9" w:rsidRPr="00BF2AFB">
        <w:rPr>
          <w:rFonts w:cs="Times New Roman"/>
        </w:rPr>
        <w:t>.gada plānošanas periodam izstrāde līdz 20</w:t>
      </w:r>
      <w:r w:rsidR="00BF2AFB" w:rsidRPr="00BF2AFB">
        <w:rPr>
          <w:rFonts w:cs="Times New Roman"/>
        </w:rPr>
        <w:t>20</w:t>
      </w:r>
      <w:r w:rsidR="00696DA9" w:rsidRPr="00BF2AFB">
        <w:rPr>
          <w:rFonts w:cs="Times New Roman"/>
        </w:rPr>
        <w:t>.</w:t>
      </w:r>
      <w:r>
        <w:rPr>
          <w:rFonts w:cs="Times New Roman"/>
        </w:rPr>
        <w:t> </w:t>
      </w:r>
      <w:r w:rsidR="00696DA9" w:rsidRPr="00BF2AFB">
        <w:rPr>
          <w:rFonts w:cs="Times New Roman"/>
        </w:rPr>
        <w:t xml:space="preserve">gada </w:t>
      </w:r>
      <w:r w:rsidR="0037081F">
        <w:rPr>
          <w:rFonts w:cs="Times New Roman"/>
        </w:rPr>
        <w:t>oktobrim</w:t>
      </w:r>
      <w:r w:rsidR="00BF2AFB" w:rsidRPr="00BF2AFB">
        <w:rPr>
          <w:rFonts w:cs="Times New Roman"/>
        </w:rPr>
        <w:t>.</w:t>
      </w:r>
      <w:r w:rsidR="00696DA9" w:rsidRPr="00BF2AFB">
        <w:rPr>
          <w:rFonts w:cs="Times New Roman"/>
        </w:rPr>
        <w:t xml:space="preserve"> </w:t>
      </w:r>
    </w:p>
    <w:p w14:paraId="471D91BC" w14:textId="7D2F70C3" w:rsidR="00696DA9" w:rsidRPr="00BF2AFB" w:rsidRDefault="007C7363" w:rsidP="00696DA9">
      <w:pPr>
        <w:pStyle w:val="ListParagraph"/>
        <w:numPr>
          <w:ilvl w:val="0"/>
          <w:numId w:val="13"/>
        </w:numPr>
        <w:jc w:val="both"/>
        <w:rPr>
          <w:rFonts w:cs="Times New Roman"/>
          <w:szCs w:val="24"/>
        </w:rPr>
      </w:pPr>
      <w:r>
        <w:rPr>
          <w:szCs w:val="24"/>
        </w:rPr>
        <w:t>MK</w:t>
      </w:r>
      <w:r w:rsidR="00696DA9" w:rsidRPr="00BF2AFB">
        <w:rPr>
          <w:szCs w:val="24"/>
        </w:rPr>
        <w:t xml:space="preserve"> noteikumu projektu par specifisko atbalsta mērķu īstenošanu galējais izstrādes termiņš tiks noteikts </w:t>
      </w:r>
      <w:r w:rsidR="00696DA9" w:rsidRPr="00BF2AFB">
        <w:rPr>
          <w:rFonts w:cs="Times New Roman"/>
          <w:szCs w:val="24"/>
        </w:rPr>
        <w:t xml:space="preserve">ES KP fondu vadības </w:t>
      </w:r>
      <w:r w:rsidR="00696DA9" w:rsidRPr="00BF2AFB">
        <w:rPr>
          <w:szCs w:val="24"/>
        </w:rPr>
        <w:t xml:space="preserve">likumprojekta </w:t>
      </w:r>
      <w:r w:rsidR="00696DA9" w:rsidRPr="00BF2AFB">
        <w:rPr>
          <w:rFonts w:cs="Times New Roman"/>
          <w:szCs w:val="24"/>
        </w:rPr>
        <w:t>20</w:t>
      </w:r>
      <w:r w:rsidR="00BF2AFB" w:rsidRPr="00BF2AFB">
        <w:rPr>
          <w:rFonts w:cs="Times New Roman"/>
          <w:szCs w:val="24"/>
        </w:rPr>
        <w:t>21.</w:t>
      </w:r>
      <w:r>
        <w:rPr>
          <w:rFonts w:cs="Times New Roman"/>
          <w:szCs w:val="24"/>
        </w:rPr>
        <w:t> </w:t>
      </w:r>
      <w:r w:rsidR="00BF2AFB" w:rsidRPr="00BF2AFB">
        <w:rPr>
          <w:rFonts w:cs="Times New Roman"/>
          <w:szCs w:val="24"/>
        </w:rPr>
        <w:t>–2027</w:t>
      </w:r>
      <w:r w:rsidR="00696DA9" w:rsidRPr="00BF2AFB">
        <w:rPr>
          <w:rFonts w:cs="Times New Roman"/>
          <w:szCs w:val="24"/>
        </w:rPr>
        <w:t>.</w:t>
      </w:r>
      <w:r>
        <w:rPr>
          <w:rFonts w:cs="Times New Roman"/>
          <w:szCs w:val="24"/>
        </w:rPr>
        <w:t> </w:t>
      </w:r>
      <w:r w:rsidR="00696DA9" w:rsidRPr="00BF2AFB">
        <w:rPr>
          <w:rFonts w:cs="Times New Roman"/>
          <w:szCs w:val="24"/>
        </w:rPr>
        <w:t>gada plānošanas periodam</w:t>
      </w:r>
      <w:r w:rsidR="00696DA9" w:rsidRPr="00BF2AFB">
        <w:rPr>
          <w:szCs w:val="24"/>
        </w:rPr>
        <w:t xml:space="preserve"> saskaņošanas procesā (tiek plānots, ka tiks piemērota 20</w:t>
      </w:r>
      <w:r w:rsidR="00BF2AFB" w:rsidRPr="00BF2AFB">
        <w:rPr>
          <w:szCs w:val="24"/>
        </w:rPr>
        <w:t>14</w:t>
      </w:r>
      <w:r w:rsidR="00696DA9" w:rsidRPr="00BF2AFB">
        <w:rPr>
          <w:szCs w:val="24"/>
        </w:rPr>
        <w:t>.</w:t>
      </w:r>
      <w:r>
        <w:rPr>
          <w:szCs w:val="24"/>
        </w:rPr>
        <w:t> </w:t>
      </w:r>
      <w:r w:rsidR="00696DA9" w:rsidRPr="00BF2AFB">
        <w:rPr>
          <w:szCs w:val="24"/>
        </w:rPr>
        <w:t>–</w:t>
      </w:r>
      <w:r>
        <w:rPr>
          <w:szCs w:val="24"/>
        </w:rPr>
        <w:t> </w:t>
      </w:r>
      <w:r w:rsidR="00696DA9" w:rsidRPr="00BF2AFB">
        <w:rPr>
          <w:szCs w:val="24"/>
        </w:rPr>
        <w:t>20</w:t>
      </w:r>
      <w:r w:rsidR="00BF2AFB" w:rsidRPr="00BF2AFB">
        <w:rPr>
          <w:szCs w:val="24"/>
        </w:rPr>
        <w:t>20</w:t>
      </w:r>
      <w:r w:rsidR="00696DA9" w:rsidRPr="00BF2AFB">
        <w:rPr>
          <w:szCs w:val="24"/>
        </w:rPr>
        <w:t>.</w:t>
      </w:r>
      <w:r>
        <w:rPr>
          <w:szCs w:val="24"/>
        </w:rPr>
        <w:t> </w:t>
      </w:r>
      <w:r w:rsidR="00696DA9" w:rsidRPr="00BF2AFB">
        <w:rPr>
          <w:szCs w:val="24"/>
        </w:rPr>
        <w:t>gada plānošanas perioda prakse).</w:t>
      </w:r>
    </w:p>
    <w:p w14:paraId="678BC99F" w14:textId="77777777" w:rsidR="00696DA9" w:rsidRPr="000A6F2F" w:rsidRDefault="00696DA9" w:rsidP="00696DA9">
      <w:pPr>
        <w:pStyle w:val="ListParagraph"/>
        <w:jc w:val="both"/>
        <w:rPr>
          <w:rFonts w:cs="Times New Roman"/>
          <w:highlight w:val="yellow"/>
        </w:rPr>
      </w:pPr>
    </w:p>
    <w:p w14:paraId="78C2B7C5" w14:textId="0CC8D87A" w:rsidR="00696DA9" w:rsidRPr="00C20F66" w:rsidRDefault="00696DA9" w:rsidP="00C20F66">
      <w:pPr>
        <w:pStyle w:val="ListParagraph"/>
        <w:ind w:left="0"/>
        <w:jc w:val="both"/>
        <w:rPr>
          <w:rFonts w:cs="Times New Roman"/>
        </w:rPr>
      </w:pPr>
      <w:r w:rsidRPr="00C20F66">
        <w:rPr>
          <w:rFonts w:cs="Times New Roman"/>
        </w:rPr>
        <w:t>Detalizēts laika grafiks ES KP fondu plānošanai 20</w:t>
      </w:r>
      <w:r w:rsidR="00C20F66" w:rsidRPr="00C20F66">
        <w:rPr>
          <w:rFonts w:cs="Times New Roman"/>
        </w:rPr>
        <w:t>21</w:t>
      </w:r>
      <w:r w:rsidRPr="00C20F66">
        <w:rPr>
          <w:rFonts w:cs="Times New Roman"/>
        </w:rPr>
        <w:t>.</w:t>
      </w:r>
      <w:r w:rsidR="007C7363">
        <w:rPr>
          <w:rFonts w:cs="Times New Roman"/>
        </w:rPr>
        <w:t> </w:t>
      </w:r>
      <w:r w:rsidRPr="00C20F66">
        <w:rPr>
          <w:rFonts w:cs="Times New Roman"/>
        </w:rPr>
        <w:t>–</w:t>
      </w:r>
      <w:r w:rsidR="007C7363">
        <w:rPr>
          <w:rFonts w:cs="Times New Roman"/>
        </w:rPr>
        <w:t> </w:t>
      </w:r>
      <w:r w:rsidRPr="00C20F66">
        <w:rPr>
          <w:rFonts w:cs="Times New Roman"/>
        </w:rPr>
        <w:t>202</w:t>
      </w:r>
      <w:r w:rsidR="00C20F66" w:rsidRPr="00C20F66">
        <w:rPr>
          <w:rFonts w:cs="Times New Roman"/>
        </w:rPr>
        <w:t>7</w:t>
      </w:r>
      <w:r w:rsidRPr="00C20F66">
        <w:rPr>
          <w:rFonts w:cs="Times New Roman"/>
        </w:rPr>
        <w:t xml:space="preserve">. gada plānošanas periodam </w:t>
      </w:r>
      <w:r w:rsidR="00F4386E" w:rsidRPr="00E15B7A">
        <w:rPr>
          <w:rFonts w:cs="Times New Roman"/>
        </w:rPr>
        <w:t xml:space="preserve">iekļauts </w:t>
      </w:r>
      <w:r w:rsidR="000168CD" w:rsidRPr="00E15B7A">
        <w:rPr>
          <w:rFonts w:cs="Times New Roman"/>
        </w:rPr>
        <w:t xml:space="preserve">šī ziņojuma </w:t>
      </w:r>
      <w:r w:rsidR="00E15B7A" w:rsidRPr="00E15B7A">
        <w:rPr>
          <w:rFonts w:cs="Times New Roman"/>
        </w:rPr>
        <w:t>2.</w:t>
      </w:r>
      <w:r w:rsidR="007C7363">
        <w:rPr>
          <w:rFonts w:cs="Times New Roman"/>
        </w:rPr>
        <w:t> </w:t>
      </w:r>
      <w:r w:rsidR="00E15B7A" w:rsidRPr="00E15B7A">
        <w:rPr>
          <w:rFonts w:cs="Times New Roman"/>
        </w:rPr>
        <w:t>p</w:t>
      </w:r>
      <w:r w:rsidRPr="00E15B7A">
        <w:rPr>
          <w:rFonts w:cs="Times New Roman"/>
        </w:rPr>
        <w:t>ielikumā.</w:t>
      </w:r>
    </w:p>
    <w:p w14:paraId="6110E6B1" w14:textId="77777777" w:rsidR="00904B66" w:rsidRDefault="00904B66" w:rsidP="00056D68">
      <w:pPr>
        <w:pStyle w:val="ListParagraph"/>
        <w:tabs>
          <w:tab w:val="left" w:pos="426"/>
        </w:tabs>
        <w:ind w:left="0"/>
        <w:jc w:val="both"/>
        <w:rPr>
          <w:rFonts w:cs="Times New Roman"/>
          <w:sz w:val="24"/>
          <w:szCs w:val="24"/>
        </w:rPr>
      </w:pPr>
    </w:p>
    <w:p w14:paraId="415EC080" w14:textId="612DCB5B" w:rsidR="00EE0E8F" w:rsidRDefault="003964C6" w:rsidP="003964C6">
      <w:pPr>
        <w:jc w:val="both"/>
        <w:rPr>
          <w:rFonts w:eastAsiaTheme="minorHAnsi" w:cstheme="minorBidi"/>
          <w:sz w:val="28"/>
          <w:szCs w:val="28"/>
        </w:rPr>
      </w:pPr>
      <w:r w:rsidRPr="003964C6">
        <w:rPr>
          <w:rFonts w:eastAsiaTheme="minorHAnsi" w:cstheme="minorBidi"/>
          <w:sz w:val="28"/>
          <w:szCs w:val="28"/>
        </w:rPr>
        <w:t>Šobrīd plānots, ka 2021.</w:t>
      </w:r>
      <w:r w:rsidR="007C7363">
        <w:rPr>
          <w:rFonts w:eastAsiaTheme="minorHAnsi" w:cstheme="minorBidi"/>
          <w:sz w:val="28"/>
          <w:szCs w:val="28"/>
        </w:rPr>
        <w:t> </w:t>
      </w:r>
      <w:r w:rsidR="008C392D">
        <w:rPr>
          <w:rFonts w:eastAsiaTheme="minorHAnsi" w:cstheme="minorBidi"/>
          <w:sz w:val="28"/>
          <w:szCs w:val="28"/>
        </w:rPr>
        <w:t>–</w:t>
      </w:r>
      <w:r w:rsidR="007C7363">
        <w:rPr>
          <w:rFonts w:eastAsiaTheme="minorHAnsi" w:cstheme="minorBidi"/>
          <w:sz w:val="28"/>
          <w:szCs w:val="28"/>
        </w:rPr>
        <w:t> </w:t>
      </w:r>
      <w:r w:rsidRPr="003964C6">
        <w:rPr>
          <w:rFonts w:eastAsiaTheme="minorHAnsi" w:cstheme="minorBidi"/>
          <w:sz w:val="28"/>
          <w:szCs w:val="28"/>
        </w:rPr>
        <w:t>2027.</w:t>
      </w:r>
      <w:r w:rsidR="007C7363">
        <w:rPr>
          <w:rFonts w:eastAsiaTheme="minorHAnsi" w:cstheme="minorBidi"/>
          <w:sz w:val="28"/>
          <w:szCs w:val="28"/>
        </w:rPr>
        <w:t> </w:t>
      </w:r>
      <w:r w:rsidRPr="003964C6">
        <w:rPr>
          <w:rFonts w:eastAsiaTheme="minorHAnsi" w:cstheme="minorBidi"/>
          <w:sz w:val="28"/>
          <w:szCs w:val="28"/>
        </w:rPr>
        <w:t xml:space="preserve">gada ES </w:t>
      </w:r>
      <w:r w:rsidR="00EE4A16">
        <w:rPr>
          <w:rFonts w:eastAsiaTheme="minorHAnsi" w:cstheme="minorBidi"/>
          <w:sz w:val="28"/>
          <w:szCs w:val="28"/>
        </w:rPr>
        <w:t xml:space="preserve">KP </w:t>
      </w:r>
      <w:r w:rsidRPr="003964C6">
        <w:rPr>
          <w:rFonts w:eastAsiaTheme="minorHAnsi" w:cstheme="minorBidi"/>
          <w:sz w:val="28"/>
          <w:szCs w:val="28"/>
        </w:rPr>
        <w:t xml:space="preserve">fondu plānošanas periodā fondu ieviešanas cikls tiks uzsākts savlaicīgi, tomēr pastāv iespējamība, ka jaunā perioda regulu pieņemšana kavējas, tad secīgi arī nacionālie normatīvie akti (likums un tam pakārtotie </w:t>
      </w:r>
      <w:r w:rsidR="007C7363">
        <w:rPr>
          <w:rFonts w:eastAsiaTheme="minorHAnsi" w:cstheme="minorBidi"/>
          <w:sz w:val="28"/>
          <w:szCs w:val="28"/>
        </w:rPr>
        <w:t>MK</w:t>
      </w:r>
      <w:r w:rsidRPr="003964C6">
        <w:rPr>
          <w:rFonts w:eastAsiaTheme="minorHAnsi" w:cstheme="minorBidi"/>
          <w:sz w:val="28"/>
          <w:szCs w:val="28"/>
        </w:rPr>
        <w:t xml:space="preserve"> noteikumi), kas regulē specifisko atbalsta mērķu ieviešanu, varētu </w:t>
      </w:r>
      <w:r w:rsidR="000168CD">
        <w:rPr>
          <w:rFonts w:eastAsiaTheme="minorHAnsi" w:cstheme="minorBidi"/>
          <w:sz w:val="28"/>
          <w:szCs w:val="28"/>
        </w:rPr>
        <w:t xml:space="preserve">tikt pieņemti un attiecīgi </w:t>
      </w:r>
      <w:r w:rsidRPr="003964C6">
        <w:rPr>
          <w:rFonts w:eastAsiaTheme="minorHAnsi" w:cstheme="minorBidi"/>
          <w:sz w:val="28"/>
          <w:szCs w:val="28"/>
        </w:rPr>
        <w:t>stāties spēkā tikai 2021.</w:t>
      </w:r>
      <w:r w:rsidR="007C7363">
        <w:rPr>
          <w:rFonts w:eastAsiaTheme="minorHAnsi" w:cstheme="minorBidi"/>
          <w:sz w:val="28"/>
          <w:szCs w:val="28"/>
        </w:rPr>
        <w:t> </w:t>
      </w:r>
      <w:r w:rsidRPr="003964C6">
        <w:rPr>
          <w:rFonts w:eastAsiaTheme="minorHAnsi" w:cstheme="minorBidi"/>
          <w:sz w:val="28"/>
          <w:szCs w:val="28"/>
        </w:rPr>
        <w:t>gada otrajā pusē. Lai risinātu minēto problēmjautājumu</w:t>
      </w:r>
      <w:r w:rsidR="00B46117">
        <w:rPr>
          <w:rFonts w:eastAsiaTheme="minorHAnsi" w:cstheme="minorBidi"/>
          <w:sz w:val="28"/>
          <w:szCs w:val="28"/>
        </w:rPr>
        <w:t xml:space="preserve"> </w:t>
      </w:r>
      <w:r w:rsidRPr="003964C6">
        <w:rPr>
          <w:rFonts w:eastAsiaTheme="minorHAnsi" w:cstheme="minorBidi"/>
          <w:sz w:val="28"/>
          <w:szCs w:val="28"/>
        </w:rPr>
        <w:t xml:space="preserve">un </w:t>
      </w:r>
      <w:r w:rsidRPr="00F4386E">
        <w:rPr>
          <w:rFonts w:eastAsiaTheme="minorHAnsi" w:cstheme="minorBidi"/>
          <w:sz w:val="28"/>
          <w:szCs w:val="28"/>
        </w:rPr>
        <w:t>nodrošinātu atsevišķu specifisko atbalsta mērķu īstenošanas uzsākšanu jau 2021.</w:t>
      </w:r>
      <w:r w:rsidR="007C7363">
        <w:rPr>
          <w:rFonts w:eastAsiaTheme="minorHAnsi" w:cstheme="minorBidi"/>
          <w:sz w:val="28"/>
          <w:szCs w:val="28"/>
        </w:rPr>
        <w:t> </w:t>
      </w:r>
      <w:r w:rsidRPr="00F4386E">
        <w:rPr>
          <w:rFonts w:eastAsiaTheme="minorHAnsi" w:cstheme="minorBidi"/>
          <w:sz w:val="28"/>
          <w:szCs w:val="28"/>
        </w:rPr>
        <w:t>gada 1.</w:t>
      </w:r>
      <w:r w:rsidR="007C7363">
        <w:rPr>
          <w:rFonts w:eastAsiaTheme="minorHAnsi" w:cstheme="minorBidi"/>
          <w:sz w:val="28"/>
          <w:szCs w:val="28"/>
        </w:rPr>
        <w:t> </w:t>
      </w:r>
      <w:r w:rsidRPr="00F4386E">
        <w:rPr>
          <w:rFonts w:eastAsiaTheme="minorHAnsi" w:cstheme="minorBidi"/>
          <w:sz w:val="28"/>
          <w:szCs w:val="28"/>
        </w:rPr>
        <w:t xml:space="preserve">ceturksnī, </w:t>
      </w:r>
      <w:r w:rsidR="00F4386E" w:rsidRPr="007F0888">
        <w:rPr>
          <w:sz w:val="28"/>
          <w:szCs w:val="28"/>
        </w:rPr>
        <w:t>balstoties uz 2014.</w:t>
      </w:r>
      <w:r w:rsidR="007C7363">
        <w:rPr>
          <w:sz w:val="28"/>
          <w:szCs w:val="28"/>
        </w:rPr>
        <w:t> </w:t>
      </w:r>
      <w:r w:rsidR="00F4386E" w:rsidRPr="007F0888">
        <w:rPr>
          <w:sz w:val="28"/>
          <w:szCs w:val="28"/>
        </w:rPr>
        <w:t>–</w:t>
      </w:r>
      <w:r w:rsidR="007C7363">
        <w:rPr>
          <w:sz w:val="28"/>
          <w:szCs w:val="28"/>
        </w:rPr>
        <w:t> </w:t>
      </w:r>
      <w:r w:rsidR="00F4386E" w:rsidRPr="007F0888">
        <w:rPr>
          <w:sz w:val="28"/>
          <w:szCs w:val="28"/>
        </w:rPr>
        <w:t>2020.</w:t>
      </w:r>
      <w:r w:rsidR="007C7363">
        <w:rPr>
          <w:sz w:val="28"/>
          <w:szCs w:val="28"/>
        </w:rPr>
        <w:t> </w:t>
      </w:r>
      <w:r w:rsidR="00F4386E" w:rsidRPr="007F0888">
        <w:rPr>
          <w:sz w:val="28"/>
          <w:szCs w:val="28"/>
        </w:rPr>
        <w:t>gada plānošanas period</w:t>
      </w:r>
      <w:r w:rsidR="00F4386E" w:rsidRPr="00F4386E">
        <w:rPr>
          <w:sz w:val="28"/>
          <w:szCs w:val="28"/>
        </w:rPr>
        <w:t>a</w:t>
      </w:r>
      <w:r w:rsidR="00F4386E" w:rsidRPr="007F0888">
        <w:rPr>
          <w:sz w:val="28"/>
          <w:szCs w:val="28"/>
        </w:rPr>
        <w:t xml:space="preserve"> </w:t>
      </w:r>
      <w:r w:rsidR="00036C24">
        <w:rPr>
          <w:sz w:val="28"/>
          <w:szCs w:val="28"/>
        </w:rPr>
        <w:t xml:space="preserve">sekmīgo </w:t>
      </w:r>
      <w:r w:rsidR="00F4386E" w:rsidRPr="007F0888">
        <w:rPr>
          <w:sz w:val="28"/>
          <w:szCs w:val="28"/>
        </w:rPr>
        <w:t xml:space="preserve">praksi, </w:t>
      </w:r>
      <w:r w:rsidR="00F4386E" w:rsidRPr="00F4386E">
        <w:rPr>
          <w:rFonts w:eastAsiaTheme="minorHAnsi" w:cstheme="minorBidi"/>
          <w:sz w:val="28"/>
          <w:szCs w:val="28"/>
        </w:rPr>
        <w:t>FM</w:t>
      </w:r>
      <w:r w:rsidRPr="00F4386E">
        <w:rPr>
          <w:rFonts w:eastAsiaTheme="minorHAnsi" w:cstheme="minorBidi"/>
          <w:sz w:val="28"/>
          <w:szCs w:val="28"/>
        </w:rPr>
        <w:t xml:space="preserve"> </w:t>
      </w:r>
      <w:r w:rsidR="00EE0E8F" w:rsidRPr="00036C24">
        <w:rPr>
          <w:rFonts w:eastAsiaTheme="minorHAnsi" w:cstheme="minorBidi"/>
          <w:sz w:val="28"/>
          <w:szCs w:val="28"/>
        </w:rPr>
        <w:t>līdz 2020.</w:t>
      </w:r>
      <w:r w:rsidR="007C7363">
        <w:rPr>
          <w:rFonts w:eastAsiaTheme="minorHAnsi" w:cstheme="minorBidi"/>
          <w:sz w:val="28"/>
          <w:szCs w:val="28"/>
        </w:rPr>
        <w:t> </w:t>
      </w:r>
      <w:r w:rsidR="00EE0E8F" w:rsidRPr="00036C24">
        <w:rPr>
          <w:rFonts w:eastAsiaTheme="minorHAnsi" w:cstheme="minorBidi"/>
          <w:sz w:val="28"/>
          <w:szCs w:val="28"/>
        </w:rPr>
        <w:t xml:space="preserve">gada </w:t>
      </w:r>
      <w:r w:rsidR="00EE4A16" w:rsidRPr="00036C24">
        <w:rPr>
          <w:rFonts w:eastAsiaTheme="minorHAnsi" w:cstheme="minorBidi"/>
          <w:sz w:val="28"/>
          <w:szCs w:val="28"/>
        </w:rPr>
        <w:t>aprīlim</w:t>
      </w:r>
      <w:r w:rsidR="00EE0E8F" w:rsidRPr="00036C24">
        <w:rPr>
          <w:rFonts w:eastAsiaTheme="minorHAnsi" w:cstheme="minorBidi"/>
          <w:sz w:val="28"/>
          <w:szCs w:val="28"/>
        </w:rPr>
        <w:t xml:space="preserve"> izstrādās risinājumu ātrāk uzsākamo specifisko atbalsta mērķu ieviešanai</w:t>
      </w:r>
      <w:r w:rsidR="00EE4A16" w:rsidRPr="00F4386E">
        <w:rPr>
          <w:rFonts w:eastAsiaTheme="minorHAnsi" w:cstheme="minorBidi"/>
          <w:sz w:val="28"/>
          <w:szCs w:val="28"/>
        </w:rPr>
        <w:t>, ņemot vērā MK iesniegto un apstiprināto ES</w:t>
      </w:r>
      <w:r w:rsidR="00EE4A16">
        <w:rPr>
          <w:rFonts w:eastAsiaTheme="minorHAnsi" w:cstheme="minorBidi"/>
          <w:sz w:val="28"/>
          <w:szCs w:val="28"/>
        </w:rPr>
        <w:t xml:space="preserve"> KP fondu darbības programmu 2021. – 2027.</w:t>
      </w:r>
      <w:r w:rsidR="007C7363">
        <w:rPr>
          <w:rFonts w:eastAsiaTheme="minorHAnsi" w:cstheme="minorBidi"/>
          <w:sz w:val="28"/>
          <w:szCs w:val="28"/>
        </w:rPr>
        <w:t> </w:t>
      </w:r>
      <w:r w:rsidR="00EE4A16">
        <w:rPr>
          <w:rFonts w:eastAsiaTheme="minorHAnsi" w:cstheme="minorBidi"/>
          <w:sz w:val="28"/>
          <w:szCs w:val="28"/>
        </w:rPr>
        <w:t>gada plānošanas periodam</w:t>
      </w:r>
      <w:r w:rsidR="0084411A">
        <w:rPr>
          <w:rFonts w:eastAsiaTheme="minorHAnsi" w:cstheme="minorBidi"/>
          <w:sz w:val="28"/>
          <w:szCs w:val="28"/>
        </w:rPr>
        <w:t>,</w:t>
      </w:r>
      <w:r w:rsidR="0084411A" w:rsidRPr="0084411A">
        <w:rPr>
          <w:rFonts w:eastAsiaTheme="minorHAnsi" w:cstheme="minorBidi"/>
          <w:sz w:val="28"/>
          <w:szCs w:val="28"/>
        </w:rPr>
        <w:t xml:space="preserve"> </w:t>
      </w:r>
      <w:r w:rsidR="0084411A">
        <w:rPr>
          <w:rFonts w:eastAsiaTheme="minorHAnsi" w:cstheme="minorBidi"/>
          <w:sz w:val="28"/>
          <w:szCs w:val="28"/>
        </w:rPr>
        <w:t>kā arī ņemot vērā priekšnosacījumu izpildes progresu</w:t>
      </w:r>
      <w:r w:rsidR="00EE4A16">
        <w:rPr>
          <w:rFonts w:eastAsiaTheme="minorHAnsi" w:cstheme="minorBidi"/>
          <w:sz w:val="28"/>
          <w:szCs w:val="28"/>
        </w:rPr>
        <w:t xml:space="preserve">. </w:t>
      </w:r>
    </w:p>
    <w:p w14:paraId="275F6C30" w14:textId="12C63BE4" w:rsidR="00EE0E8F" w:rsidRDefault="00EE0E8F" w:rsidP="003964C6">
      <w:pPr>
        <w:jc w:val="both"/>
        <w:rPr>
          <w:rFonts w:eastAsiaTheme="minorHAnsi" w:cstheme="minorBidi"/>
          <w:sz w:val="28"/>
          <w:szCs w:val="28"/>
        </w:rPr>
      </w:pPr>
    </w:p>
    <w:p w14:paraId="337B4EF1" w14:textId="77777777" w:rsidR="00A1520A" w:rsidRDefault="00A1520A" w:rsidP="0067577B">
      <w:pPr>
        <w:rPr>
          <w:b/>
          <w:bCs/>
          <w:sz w:val="28"/>
          <w:szCs w:val="28"/>
        </w:rPr>
      </w:pPr>
    </w:p>
    <w:p w14:paraId="55048AC6" w14:textId="600ED12B" w:rsidR="00056D68" w:rsidRDefault="007A3639" w:rsidP="0067577B">
      <w:pPr>
        <w:rPr>
          <w:b/>
          <w:bCs/>
          <w:sz w:val="28"/>
          <w:szCs w:val="28"/>
        </w:rPr>
      </w:pPr>
      <w:r>
        <w:rPr>
          <w:b/>
          <w:bCs/>
          <w:sz w:val="28"/>
          <w:szCs w:val="28"/>
        </w:rPr>
        <w:t>Turpmākā rīcība</w:t>
      </w:r>
    </w:p>
    <w:p w14:paraId="2A4CBE53" w14:textId="77777777" w:rsidR="007A3639" w:rsidRDefault="007A3639" w:rsidP="0067577B">
      <w:pPr>
        <w:rPr>
          <w:b/>
          <w:bCs/>
          <w:sz w:val="28"/>
          <w:szCs w:val="28"/>
        </w:rPr>
      </w:pPr>
    </w:p>
    <w:p w14:paraId="5D2E3B4F" w14:textId="0B17AC3E" w:rsidR="007A3639" w:rsidRPr="007A3639" w:rsidRDefault="007A3639" w:rsidP="007A3639">
      <w:pPr>
        <w:jc w:val="both"/>
        <w:rPr>
          <w:bCs/>
          <w:sz w:val="28"/>
          <w:szCs w:val="28"/>
        </w:rPr>
      </w:pPr>
      <w:r w:rsidRPr="007A3639">
        <w:rPr>
          <w:bCs/>
          <w:sz w:val="28"/>
          <w:szCs w:val="28"/>
        </w:rPr>
        <w:t>Lai maksimāli paātrinātu sagatavošanās procesus 2021.</w:t>
      </w:r>
      <w:r w:rsidR="007C7363">
        <w:rPr>
          <w:bCs/>
          <w:sz w:val="28"/>
          <w:szCs w:val="28"/>
        </w:rPr>
        <w:t> </w:t>
      </w:r>
      <w:r w:rsidR="008C392D">
        <w:rPr>
          <w:bCs/>
          <w:sz w:val="28"/>
          <w:szCs w:val="28"/>
        </w:rPr>
        <w:t>–</w:t>
      </w:r>
      <w:r w:rsidR="007C7363">
        <w:rPr>
          <w:bCs/>
          <w:sz w:val="28"/>
          <w:szCs w:val="28"/>
        </w:rPr>
        <w:t> </w:t>
      </w:r>
      <w:r w:rsidRPr="007A3639">
        <w:rPr>
          <w:bCs/>
          <w:sz w:val="28"/>
          <w:szCs w:val="28"/>
        </w:rPr>
        <w:t>2027.</w:t>
      </w:r>
      <w:r w:rsidR="007C7363">
        <w:rPr>
          <w:bCs/>
          <w:sz w:val="28"/>
          <w:szCs w:val="28"/>
        </w:rPr>
        <w:t> </w:t>
      </w:r>
      <w:r w:rsidRPr="007A3639">
        <w:rPr>
          <w:bCs/>
          <w:sz w:val="28"/>
          <w:szCs w:val="28"/>
        </w:rPr>
        <w:t>gada plānošanas perioda investīciju uzsākšanai</w:t>
      </w:r>
      <w:r w:rsidR="00036C24">
        <w:rPr>
          <w:bCs/>
          <w:sz w:val="28"/>
          <w:szCs w:val="28"/>
        </w:rPr>
        <w:t xml:space="preserve"> un lai Latvijā nodrošinātu investīcijas bez ievērojama </w:t>
      </w:r>
      <w:r w:rsidR="007F0888">
        <w:rPr>
          <w:bCs/>
          <w:sz w:val="28"/>
          <w:szCs w:val="28"/>
        </w:rPr>
        <w:t>pārtraukuma</w:t>
      </w:r>
      <w:r w:rsidR="00036C24">
        <w:rPr>
          <w:bCs/>
          <w:sz w:val="28"/>
          <w:szCs w:val="28"/>
        </w:rPr>
        <w:t xml:space="preserve"> starp plānošanas periodiem, priekšlikums pieņemt lēmumus</w:t>
      </w:r>
      <w:r w:rsidRPr="007A3639">
        <w:rPr>
          <w:bCs/>
          <w:sz w:val="28"/>
          <w:szCs w:val="28"/>
        </w:rPr>
        <w:t xml:space="preserve"> par </w:t>
      </w:r>
      <w:r w:rsidR="00036C24">
        <w:rPr>
          <w:bCs/>
          <w:sz w:val="28"/>
          <w:szCs w:val="28"/>
        </w:rPr>
        <w:t>šādiem</w:t>
      </w:r>
      <w:r w:rsidRPr="007A3639">
        <w:rPr>
          <w:bCs/>
          <w:sz w:val="28"/>
          <w:szCs w:val="28"/>
        </w:rPr>
        <w:t xml:space="preserve"> jautājumiem:</w:t>
      </w:r>
    </w:p>
    <w:p w14:paraId="51A638A3" w14:textId="77777777" w:rsidR="007A3639" w:rsidRDefault="007A3639" w:rsidP="0067577B">
      <w:pPr>
        <w:rPr>
          <w:b/>
          <w:bCs/>
          <w:sz w:val="28"/>
          <w:szCs w:val="28"/>
        </w:rPr>
      </w:pPr>
    </w:p>
    <w:p w14:paraId="70D7B77A" w14:textId="1AAB00B3" w:rsidR="007A3639" w:rsidRPr="007A3639" w:rsidRDefault="007A3639" w:rsidP="0010302E">
      <w:pPr>
        <w:pStyle w:val="ListParagraph"/>
        <w:numPr>
          <w:ilvl w:val="0"/>
          <w:numId w:val="18"/>
        </w:numPr>
        <w:jc w:val="both"/>
        <w:rPr>
          <w:bCs/>
          <w:szCs w:val="28"/>
        </w:rPr>
      </w:pPr>
      <w:r>
        <w:rPr>
          <w:bCs/>
          <w:szCs w:val="28"/>
        </w:rPr>
        <w:t>Part</w:t>
      </w:r>
      <w:r w:rsidRPr="007A3639">
        <w:rPr>
          <w:bCs/>
          <w:szCs w:val="28"/>
        </w:rPr>
        <w:t>n</w:t>
      </w:r>
      <w:r>
        <w:rPr>
          <w:bCs/>
          <w:szCs w:val="28"/>
        </w:rPr>
        <w:t>e</w:t>
      </w:r>
      <w:r w:rsidRPr="007A3639">
        <w:rPr>
          <w:bCs/>
          <w:szCs w:val="28"/>
        </w:rPr>
        <w:t xml:space="preserve">rības līguma </w:t>
      </w:r>
      <w:r w:rsidR="0010302E">
        <w:rPr>
          <w:bCs/>
          <w:szCs w:val="28"/>
        </w:rPr>
        <w:t xml:space="preserve">vai informācijas apkopojuma </w:t>
      </w:r>
      <w:r w:rsidRPr="007A3639">
        <w:rPr>
          <w:bCs/>
          <w:szCs w:val="28"/>
        </w:rPr>
        <w:t xml:space="preserve">sagatavošanu koordinē </w:t>
      </w:r>
      <w:r w:rsidR="007C7363">
        <w:rPr>
          <w:bCs/>
          <w:szCs w:val="28"/>
        </w:rPr>
        <w:t>FM</w:t>
      </w:r>
      <w:r w:rsidRPr="007A3639">
        <w:rPr>
          <w:bCs/>
          <w:szCs w:val="28"/>
        </w:rPr>
        <w:t>;</w:t>
      </w:r>
    </w:p>
    <w:p w14:paraId="1EA6C39A" w14:textId="7ADD61D0" w:rsidR="007A3639" w:rsidRDefault="007A3639" w:rsidP="007A3639">
      <w:pPr>
        <w:pStyle w:val="ListParagraph"/>
        <w:numPr>
          <w:ilvl w:val="0"/>
          <w:numId w:val="18"/>
        </w:numPr>
        <w:jc w:val="both"/>
        <w:rPr>
          <w:bCs/>
          <w:szCs w:val="28"/>
        </w:rPr>
      </w:pPr>
      <w:r>
        <w:rPr>
          <w:bCs/>
          <w:szCs w:val="28"/>
        </w:rPr>
        <w:lastRenderedPageBreak/>
        <w:t xml:space="preserve">ES KP fondu </w:t>
      </w:r>
      <w:r w:rsidR="00EE0E8F">
        <w:rPr>
          <w:bCs/>
          <w:szCs w:val="28"/>
        </w:rPr>
        <w:t xml:space="preserve">institucionālā </w:t>
      </w:r>
      <w:r>
        <w:rPr>
          <w:bCs/>
          <w:szCs w:val="28"/>
        </w:rPr>
        <w:t>sistēma</w:t>
      </w:r>
      <w:r w:rsidR="00EE0E8F">
        <w:rPr>
          <w:bCs/>
          <w:szCs w:val="28"/>
        </w:rPr>
        <w:t xml:space="preserve"> darbojas atbilstoši </w:t>
      </w:r>
      <w:r>
        <w:rPr>
          <w:bCs/>
          <w:szCs w:val="28"/>
        </w:rPr>
        <w:t>20</w:t>
      </w:r>
      <w:r w:rsidR="00EE0E8F">
        <w:rPr>
          <w:bCs/>
          <w:szCs w:val="28"/>
        </w:rPr>
        <w:t>14.</w:t>
      </w:r>
      <w:r w:rsidR="007C7363">
        <w:rPr>
          <w:bCs/>
          <w:szCs w:val="28"/>
        </w:rPr>
        <w:t> </w:t>
      </w:r>
      <w:r w:rsidR="008C392D">
        <w:rPr>
          <w:bCs/>
          <w:szCs w:val="28"/>
        </w:rPr>
        <w:t>–</w:t>
      </w:r>
      <w:r w:rsidR="007C7363">
        <w:rPr>
          <w:bCs/>
          <w:szCs w:val="28"/>
        </w:rPr>
        <w:t> </w:t>
      </w:r>
      <w:r w:rsidR="00EE0E8F">
        <w:rPr>
          <w:bCs/>
          <w:szCs w:val="28"/>
        </w:rPr>
        <w:t>2020.</w:t>
      </w:r>
      <w:r w:rsidR="007C7363">
        <w:rPr>
          <w:bCs/>
          <w:szCs w:val="28"/>
        </w:rPr>
        <w:t> </w:t>
      </w:r>
      <w:r w:rsidR="00EE0E8F">
        <w:rPr>
          <w:bCs/>
          <w:szCs w:val="28"/>
        </w:rPr>
        <w:t>gada plānošanas periodā izveidotajai sistēmai</w:t>
      </w:r>
      <w:r>
        <w:rPr>
          <w:bCs/>
          <w:szCs w:val="28"/>
        </w:rPr>
        <w:t>;</w:t>
      </w:r>
    </w:p>
    <w:p w14:paraId="2285F70B" w14:textId="4EC81199" w:rsidR="00E15B7A" w:rsidRPr="00E15B7A" w:rsidRDefault="00E15B7A" w:rsidP="00E15B7A">
      <w:pPr>
        <w:pStyle w:val="ListParagraph"/>
        <w:numPr>
          <w:ilvl w:val="0"/>
          <w:numId w:val="18"/>
        </w:numPr>
        <w:jc w:val="both"/>
        <w:rPr>
          <w:bCs/>
          <w:szCs w:val="28"/>
        </w:rPr>
      </w:pPr>
      <w:r w:rsidRPr="00E15B7A">
        <w:rPr>
          <w:bCs/>
          <w:szCs w:val="28"/>
        </w:rPr>
        <w:t xml:space="preserve">Atbalstīt </w:t>
      </w:r>
      <w:r w:rsidR="007C7363">
        <w:rPr>
          <w:bCs/>
          <w:szCs w:val="28"/>
        </w:rPr>
        <w:t xml:space="preserve">šī ziņojuma </w:t>
      </w:r>
      <w:r w:rsidRPr="00E15B7A">
        <w:rPr>
          <w:bCs/>
          <w:szCs w:val="28"/>
        </w:rPr>
        <w:t>1.</w:t>
      </w:r>
      <w:r w:rsidR="007C7363">
        <w:rPr>
          <w:bCs/>
          <w:szCs w:val="28"/>
        </w:rPr>
        <w:t> </w:t>
      </w:r>
      <w:r w:rsidRPr="00E15B7A">
        <w:rPr>
          <w:bCs/>
          <w:szCs w:val="28"/>
        </w:rPr>
        <w:t>pielikumā norādītās</w:t>
      </w:r>
      <w:r w:rsidRPr="00E15B7A">
        <w:rPr>
          <w:szCs w:val="28"/>
        </w:rPr>
        <w:t xml:space="preserve"> atbildīgās institūcijas par katra ieguldījumu priekšnosacījuma izpildi un noteikt, ka tās informē FM nedēļas laikā pēc priekšnosacījuma kritēriju izpildes;</w:t>
      </w:r>
    </w:p>
    <w:p w14:paraId="7EAA9D38" w14:textId="384DB322" w:rsidR="007A3639" w:rsidRPr="00360CFA" w:rsidRDefault="00036C24" w:rsidP="007A3639">
      <w:pPr>
        <w:pStyle w:val="ListParagraph"/>
        <w:numPr>
          <w:ilvl w:val="0"/>
          <w:numId w:val="18"/>
        </w:numPr>
        <w:jc w:val="both"/>
        <w:rPr>
          <w:bCs/>
          <w:szCs w:val="28"/>
        </w:rPr>
      </w:pPr>
      <w:r w:rsidRPr="00E15B7A">
        <w:rPr>
          <w:bCs/>
          <w:szCs w:val="28"/>
        </w:rPr>
        <w:t>A</w:t>
      </w:r>
      <w:r w:rsidR="007A3639" w:rsidRPr="00E15B7A">
        <w:rPr>
          <w:bCs/>
          <w:szCs w:val="28"/>
        </w:rPr>
        <w:t xml:space="preserve">tbalstīt </w:t>
      </w:r>
      <w:r w:rsidR="007C7363">
        <w:rPr>
          <w:bCs/>
          <w:szCs w:val="28"/>
        </w:rPr>
        <w:t xml:space="preserve">šī ziņojuma </w:t>
      </w:r>
      <w:r w:rsidR="00E15B7A" w:rsidRPr="00E15B7A">
        <w:rPr>
          <w:bCs/>
          <w:szCs w:val="28"/>
        </w:rPr>
        <w:t>2.</w:t>
      </w:r>
      <w:r w:rsidR="007C7363">
        <w:rPr>
          <w:bCs/>
          <w:szCs w:val="28"/>
        </w:rPr>
        <w:t> </w:t>
      </w:r>
      <w:r w:rsidR="007A3639" w:rsidRPr="00E15B7A">
        <w:rPr>
          <w:bCs/>
          <w:szCs w:val="28"/>
        </w:rPr>
        <w:t>pielikumā esoš</w:t>
      </w:r>
      <w:r w:rsidRPr="00E15B7A">
        <w:rPr>
          <w:bCs/>
          <w:szCs w:val="28"/>
        </w:rPr>
        <w:t>o</w:t>
      </w:r>
      <w:r w:rsidR="007A3639" w:rsidRPr="00E15B7A">
        <w:rPr>
          <w:bCs/>
          <w:szCs w:val="28"/>
        </w:rPr>
        <w:t xml:space="preserve"> </w:t>
      </w:r>
      <w:r w:rsidR="0049324F" w:rsidRPr="00E15B7A">
        <w:rPr>
          <w:bCs/>
          <w:szCs w:val="28"/>
        </w:rPr>
        <w:t>indikatīv</w:t>
      </w:r>
      <w:r w:rsidRPr="00E15B7A">
        <w:rPr>
          <w:bCs/>
          <w:szCs w:val="28"/>
        </w:rPr>
        <w:t>o</w:t>
      </w:r>
      <w:r w:rsidR="0049324F" w:rsidRPr="00E15B7A">
        <w:rPr>
          <w:bCs/>
          <w:szCs w:val="28"/>
        </w:rPr>
        <w:t xml:space="preserve"> </w:t>
      </w:r>
      <w:r w:rsidR="007A3639" w:rsidRPr="00E15B7A">
        <w:rPr>
          <w:bCs/>
          <w:szCs w:val="28"/>
        </w:rPr>
        <w:t>laika grafik</w:t>
      </w:r>
      <w:r w:rsidRPr="00E15B7A">
        <w:rPr>
          <w:bCs/>
          <w:szCs w:val="28"/>
        </w:rPr>
        <w:t>u</w:t>
      </w:r>
      <w:r w:rsidR="007A3639" w:rsidRPr="00E15B7A">
        <w:rPr>
          <w:bCs/>
          <w:szCs w:val="28"/>
        </w:rPr>
        <w:t xml:space="preserve"> </w:t>
      </w:r>
      <w:r w:rsidR="007A3639" w:rsidRPr="00E15B7A">
        <w:rPr>
          <w:rFonts w:cs="Times New Roman"/>
        </w:rPr>
        <w:t>ES KP fondu plānošanai 2021.</w:t>
      </w:r>
      <w:r w:rsidR="007C7363">
        <w:rPr>
          <w:rFonts w:cs="Times New Roman"/>
        </w:rPr>
        <w:t> </w:t>
      </w:r>
      <w:r w:rsidR="007A3639" w:rsidRPr="00E15B7A">
        <w:rPr>
          <w:rFonts w:cs="Times New Roman"/>
        </w:rPr>
        <w:t>–</w:t>
      </w:r>
      <w:r w:rsidR="007C7363">
        <w:rPr>
          <w:rFonts w:cs="Times New Roman"/>
        </w:rPr>
        <w:t> </w:t>
      </w:r>
      <w:r w:rsidR="007A3639" w:rsidRPr="00C20F66">
        <w:rPr>
          <w:rFonts w:cs="Times New Roman"/>
        </w:rPr>
        <w:t>2027. gada plānošanas periodam</w:t>
      </w:r>
      <w:r w:rsidR="00E15B7A">
        <w:rPr>
          <w:rFonts w:cs="Times New Roman"/>
        </w:rPr>
        <w:t>.</w:t>
      </w:r>
    </w:p>
    <w:p w14:paraId="79C98BA8" w14:textId="77777777" w:rsidR="00360CFA" w:rsidRPr="007A3639" w:rsidRDefault="00360CFA" w:rsidP="00360CFA">
      <w:pPr>
        <w:pStyle w:val="ListParagraph"/>
        <w:jc w:val="both"/>
        <w:rPr>
          <w:bCs/>
          <w:szCs w:val="28"/>
        </w:rPr>
      </w:pPr>
    </w:p>
    <w:p w14:paraId="725E68F9" w14:textId="563C6BDC" w:rsidR="00056D68" w:rsidRDefault="00056D68" w:rsidP="0067577B">
      <w:pPr>
        <w:rPr>
          <w:bCs/>
          <w:sz w:val="28"/>
          <w:szCs w:val="28"/>
        </w:rPr>
      </w:pPr>
    </w:p>
    <w:p w14:paraId="6702B9C0" w14:textId="77777777" w:rsidR="002C5C25" w:rsidRPr="007A3639" w:rsidRDefault="002C5C25" w:rsidP="0067577B">
      <w:pPr>
        <w:rPr>
          <w:bCs/>
          <w:sz w:val="28"/>
          <w:szCs w:val="28"/>
        </w:rPr>
      </w:pPr>
    </w:p>
    <w:p w14:paraId="2AEE0D92" w14:textId="554B6F17" w:rsidR="00056D68" w:rsidRPr="00FB3E8B" w:rsidRDefault="002C5C25" w:rsidP="002C5C25">
      <w:pPr>
        <w:ind w:firstLine="567"/>
        <w:rPr>
          <w:bCs/>
          <w:sz w:val="28"/>
          <w:szCs w:val="28"/>
        </w:rPr>
      </w:pPr>
      <w:r w:rsidRPr="00FB3E8B">
        <w:rPr>
          <w:bCs/>
          <w:sz w:val="28"/>
          <w:szCs w:val="28"/>
        </w:rPr>
        <w:t xml:space="preserve">Finanšu ministrs </w:t>
      </w:r>
      <w:r w:rsidRPr="00FB3E8B">
        <w:rPr>
          <w:bCs/>
          <w:sz w:val="28"/>
          <w:szCs w:val="28"/>
        </w:rPr>
        <w:tab/>
      </w:r>
      <w:r w:rsidRPr="00FB3E8B">
        <w:rPr>
          <w:bCs/>
          <w:sz w:val="28"/>
          <w:szCs w:val="28"/>
        </w:rPr>
        <w:tab/>
      </w:r>
      <w:r w:rsidRPr="00FB3E8B">
        <w:rPr>
          <w:bCs/>
          <w:sz w:val="28"/>
          <w:szCs w:val="28"/>
        </w:rPr>
        <w:tab/>
      </w:r>
      <w:r w:rsidRPr="00FB3E8B">
        <w:rPr>
          <w:bCs/>
          <w:sz w:val="28"/>
          <w:szCs w:val="28"/>
        </w:rPr>
        <w:tab/>
      </w:r>
      <w:r w:rsidRPr="00FB3E8B">
        <w:rPr>
          <w:bCs/>
          <w:sz w:val="28"/>
          <w:szCs w:val="28"/>
        </w:rPr>
        <w:tab/>
      </w:r>
      <w:r w:rsidRPr="00FB3E8B">
        <w:rPr>
          <w:bCs/>
          <w:sz w:val="28"/>
          <w:szCs w:val="28"/>
        </w:rPr>
        <w:tab/>
      </w:r>
      <w:r w:rsidRPr="00FB3E8B">
        <w:rPr>
          <w:bCs/>
          <w:sz w:val="28"/>
          <w:szCs w:val="28"/>
        </w:rPr>
        <w:tab/>
      </w:r>
      <w:r w:rsidRPr="00FB3E8B">
        <w:rPr>
          <w:bCs/>
          <w:sz w:val="28"/>
          <w:szCs w:val="28"/>
        </w:rPr>
        <w:tab/>
      </w:r>
      <w:r w:rsidRPr="00FB3E8B">
        <w:rPr>
          <w:bCs/>
          <w:sz w:val="28"/>
          <w:szCs w:val="28"/>
        </w:rPr>
        <w:tab/>
        <w:t>J.Reirs</w:t>
      </w:r>
    </w:p>
    <w:p w14:paraId="098B7049" w14:textId="77777777" w:rsidR="00056D68" w:rsidRDefault="00056D68" w:rsidP="0067577B">
      <w:pPr>
        <w:rPr>
          <w:b/>
          <w:bCs/>
          <w:sz w:val="28"/>
          <w:szCs w:val="28"/>
        </w:rPr>
      </w:pPr>
    </w:p>
    <w:p w14:paraId="455F569E" w14:textId="77777777" w:rsidR="00056D68" w:rsidRDefault="00056D68" w:rsidP="0067577B">
      <w:pPr>
        <w:rPr>
          <w:b/>
          <w:bCs/>
          <w:sz w:val="28"/>
          <w:szCs w:val="28"/>
        </w:rPr>
      </w:pPr>
    </w:p>
    <w:p w14:paraId="758ACAC7" w14:textId="77777777" w:rsidR="00904EBC" w:rsidRDefault="00904EBC" w:rsidP="000E5850">
      <w:pPr>
        <w:rPr>
          <w:i/>
        </w:rPr>
      </w:pPr>
    </w:p>
    <w:sectPr w:rsidR="00904EBC" w:rsidSect="00CA357D">
      <w:headerReference w:type="even" r:id="rId13"/>
      <w:headerReference w:type="default" r:id="rId14"/>
      <w:footerReference w:type="default" r:id="rId15"/>
      <w:footerReference w:type="first" r:id="rId16"/>
      <w:pgSz w:w="12240" w:h="15840"/>
      <w:pgMar w:top="1134" w:right="900" w:bottom="62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ED515" w14:textId="77777777" w:rsidR="00381D4B" w:rsidRDefault="00381D4B">
      <w:r>
        <w:separator/>
      </w:r>
    </w:p>
  </w:endnote>
  <w:endnote w:type="continuationSeparator" w:id="0">
    <w:p w14:paraId="47082487" w14:textId="77777777" w:rsidR="00381D4B" w:rsidRDefault="0038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01051"/>
      <w:docPartObj>
        <w:docPartGallery w:val="Page Numbers (Bottom of Page)"/>
        <w:docPartUnique/>
      </w:docPartObj>
    </w:sdtPr>
    <w:sdtEndPr>
      <w:rPr>
        <w:noProof/>
      </w:rPr>
    </w:sdtEndPr>
    <w:sdtContent>
      <w:p w14:paraId="7060211D" w14:textId="2441ED07" w:rsidR="00381D4B" w:rsidRDefault="00381D4B">
        <w:pPr>
          <w:pStyle w:val="Footer"/>
          <w:jc w:val="center"/>
        </w:pPr>
        <w:r>
          <w:fldChar w:fldCharType="begin"/>
        </w:r>
        <w:r>
          <w:instrText xml:space="preserve"> PAGE   \* MERGEFORMAT </w:instrText>
        </w:r>
        <w:r>
          <w:fldChar w:fldCharType="separate"/>
        </w:r>
        <w:r w:rsidR="001B59DD">
          <w:rPr>
            <w:noProof/>
          </w:rPr>
          <w:t>12</w:t>
        </w:r>
        <w:r>
          <w:rPr>
            <w:noProof/>
          </w:rPr>
          <w:fldChar w:fldCharType="end"/>
        </w:r>
      </w:p>
    </w:sdtContent>
  </w:sdt>
  <w:p w14:paraId="2EB7CAD2" w14:textId="0DAD4FD1" w:rsidR="009D0EA3" w:rsidRPr="009D0EA3" w:rsidRDefault="009D0EA3" w:rsidP="009D0EA3">
    <w:pPr>
      <w:tabs>
        <w:tab w:val="center" w:pos="4153"/>
        <w:tab w:val="right" w:pos="8306"/>
      </w:tabs>
      <w:rPr>
        <w:rFonts w:eastAsia="Calibri"/>
        <w:sz w:val="20"/>
        <w:szCs w:val="20"/>
      </w:rPr>
    </w:pPr>
    <w:r w:rsidRPr="009D0EA3">
      <w:rPr>
        <w:rFonts w:eastAsia="Calibri"/>
        <w:sz w:val="20"/>
        <w:szCs w:val="20"/>
      </w:rPr>
      <w:t>FMzin_</w:t>
    </w:r>
    <w:r w:rsidR="001F1B47">
      <w:rPr>
        <w:rFonts w:eastAsia="Calibri"/>
        <w:sz w:val="20"/>
        <w:szCs w:val="20"/>
      </w:rPr>
      <w:t>2</w:t>
    </w:r>
    <w:r w:rsidR="00FD1AF9">
      <w:rPr>
        <w:rFonts w:eastAsia="Calibri"/>
        <w:sz w:val="20"/>
        <w:szCs w:val="20"/>
      </w:rPr>
      <w:t>9</w:t>
    </w:r>
    <w:r w:rsidR="00BA0ADF">
      <w:rPr>
        <w:rFonts w:eastAsia="Calibri"/>
        <w:sz w:val="20"/>
        <w:szCs w:val="20"/>
      </w:rPr>
      <w:t>05</w:t>
    </w:r>
    <w:r>
      <w:rPr>
        <w:rFonts w:eastAsia="Calibri"/>
        <w:sz w:val="20"/>
        <w:szCs w:val="20"/>
      </w:rPr>
      <w:t>19</w:t>
    </w:r>
    <w:r w:rsidRPr="009D0EA3">
      <w:rPr>
        <w:rFonts w:eastAsia="Calibri"/>
        <w:sz w:val="20"/>
        <w:szCs w:val="20"/>
      </w:rPr>
      <w:t>_</w:t>
    </w:r>
    <w:r w:rsidR="00BA0ADF">
      <w:rPr>
        <w:rFonts w:eastAsia="Calibri"/>
        <w:sz w:val="20"/>
        <w:szCs w:val="20"/>
      </w:rPr>
      <w:t>fondi21-27</w:t>
    </w:r>
  </w:p>
  <w:p w14:paraId="078C2088" w14:textId="77777777" w:rsidR="00381D4B" w:rsidRDefault="0038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FA7B" w14:textId="19F783C5" w:rsidR="009D0EA3" w:rsidRPr="009D0EA3" w:rsidRDefault="009D0EA3" w:rsidP="009D0EA3">
    <w:pPr>
      <w:tabs>
        <w:tab w:val="center" w:pos="4153"/>
        <w:tab w:val="right" w:pos="8306"/>
      </w:tabs>
      <w:rPr>
        <w:rFonts w:eastAsia="Calibri"/>
        <w:sz w:val="20"/>
        <w:szCs w:val="20"/>
      </w:rPr>
    </w:pPr>
    <w:r w:rsidRPr="009D0EA3">
      <w:rPr>
        <w:rFonts w:eastAsia="Calibri"/>
        <w:sz w:val="20"/>
        <w:szCs w:val="20"/>
      </w:rPr>
      <w:t>FMzin_</w:t>
    </w:r>
    <w:r w:rsidR="001F1B47">
      <w:rPr>
        <w:rFonts w:eastAsia="Calibri"/>
        <w:sz w:val="20"/>
        <w:szCs w:val="20"/>
      </w:rPr>
      <w:t>2</w:t>
    </w:r>
    <w:r w:rsidR="00FD1AF9">
      <w:rPr>
        <w:rFonts w:eastAsia="Calibri"/>
        <w:sz w:val="20"/>
        <w:szCs w:val="20"/>
      </w:rPr>
      <w:t>9</w:t>
    </w:r>
    <w:r w:rsidR="00BA0ADF">
      <w:rPr>
        <w:rFonts w:eastAsia="Calibri"/>
        <w:sz w:val="20"/>
        <w:szCs w:val="20"/>
      </w:rPr>
      <w:t>05</w:t>
    </w:r>
    <w:r>
      <w:rPr>
        <w:rFonts w:eastAsia="Calibri"/>
        <w:sz w:val="20"/>
        <w:szCs w:val="20"/>
      </w:rPr>
      <w:t>19</w:t>
    </w:r>
    <w:r w:rsidRPr="009D0EA3">
      <w:rPr>
        <w:rFonts w:eastAsia="Calibri"/>
        <w:sz w:val="20"/>
        <w:szCs w:val="20"/>
      </w:rPr>
      <w:t>_</w:t>
    </w:r>
    <w:r w:rsidR="00BA0ADF">
      <w:rPr>
        <w:rFonts w:eastAsia="Calibri"/>
        <w:sz w:val="20"/>
        <w:szCs w:val="20"/>
      </w:rPr>
      <w:t>fondi21-27</w:t>
    </w:r>
  </w:p>
  <w:p w14:paraId="4BA7A9E1" w14:textId="77777777" w:rsidR="009D0EA3" w:rsidRDefault="009D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BF80D" w14:textId="77777777" w:rsidR="00381D4B" w:rsidRDefault="00381D4B">
      <w:r>
        <w:separator/>
      </w:r>
    </w:p>
  </w:footnote>
  <w:footnote w:type="continuationSeparator" w:id="0">
    <w:p w14:paraId="3014B420" w14:textId="77777777" w:rsidR="00381D4B" w:rsidRDefault="00381D4B">
      <w:r>
        <w:continuationSeparator/>
      </w:r>
    </w:p>
  </w:footnote>
  <w:footnote w:id="1">
    <w:p w14:paraId="24CB9DC8" w14:textId="43F16D6A" w:rsidR="00526DF2" w:rsidRDefault="00526DF2">
      <w:pPr>
        <w:pStyle w:val="FootnoteText"/>
      </w:pPr>
      <w:r>
        <w:rPr>
          <w:rStyle w:val="FootnoteReference"/>
        </w:rPr>
        <w:footnoteRef/>
      </w:r>
      <w:r>
        <w:t xml:space="preserve"> ES KP fondi – ERAF, ESF+ un KF</w:t>
      </w:r>
    </w:p>
  </w:footnote>
  <w:footnote w:id="2">
    <w:p w14:paraId="6C5448FD" w14:textId="77777777" w:rsidR="00381D4B" w:rsidRPr="00BA23D6" w:rsidRDefault="00381D4B" w:rsidP="0080340E">
      <w:pPr>
        <w:pStyle w:val="FootnoteText"/>
      </w:pPr>
      <w:r>
        <w:rPr>
          <w:rStyle w:val="FootnoteReference"/>
        </w:rPr>
        <w:footnoteRef/>
      </w:r>
      <w:r>
        <w:t xml:space="preserve"> </w:t>
      </w:r>
      <w:r w:rsidRPr="004A25F0">
        <w:t>2018/0196 (COD) ST 9511/2018</w:t>
      </w:r>
      <w:r>
        <w:t xml:space="preserve">, </w:t>
      </w:r>
      <w:r w:rsidRPr="00BA23D6">
        <w:t>Proposal for a REGULATION OF THE EUROPEAN PARLIAMENT</w:t>
      </w:r>
      <w:r>
        <w:t xml:space="preserve"> AND OF THE COUNCIL laying down </w:t>
      </w:r>
      <w:r w:rsidRPr="00BA23D6">
        <w:t>common provisions on the European Regional Development Fund, the European Social Fund Plus, the Cohesion Fund, and the European Maritime and Fisheries Fund and financial rules for those and for the Asylum and Migration Fund, the Internal Security Fund and the Border Management and Visa Instrument</w:t>
      </w:r>
      <w:r>
        <w:t xml:space="preserve"> (pieejams - </w:t>
      </w:r>
      <w:hyperlink r:id="rId1" w:history="1">
        <w:r w:rsidRPr="008A2E63">
          <w:rPr>
            <w:rStyle w:val="Hyperlink"/>
          </w:rPr>
          <w:t>https://eur-lex.europa.eu/legal-content/EN/TXT/?uri=COM%3A2018%3A375%3AFIN</w:t>
        </w:r>
      </w:hyperlink>
      <w:r>
        <w:t>).</w:t>
      </w:r>
    </w:p>
  </w:footnote>
  <w:footnote w:id="3">
    <w:p w14:paraId="78810722" w14:textId="77777777" w:rsidR="00381D4B" w:rsidRPr="001629B8" w:rsidRDefault="00381D4B" w:rsidP="0080340E">
      <w:pPr>
        <w:pStyle w:val="Default"/>
        <w:jc w:val="both"/>
        <w:rPr>
          <w:sz w:val="20"/>
          <w:szCs w:val="20"/>
        </w:rPr>
      </w:pPr>
      <w:r>
        <w:rPr>
          <w:rStyle w:val="FootnoteReference"/>
        </w:rPr>
        <w:footnoteRef/>
      </w:r>
      <w:r>
        <w:t xml:space="preserve"> </w:t>
      </w:r>
      <w:r w:rsidRPr="00D31FDF">
        <w:rPr>
          <w:color w:val="auto"/>
          <w:sz w:val="20"/>
          <w:szCs w:val="20"/>
          <w:lang w:val="en-GB" w:eastAsia="zh-CN"/>
        </w:rPr>
        <w:t>2018/0197 (COD) ST 9522/2018;</w:t>
      </w:r>
      <w:r w:rsidRPr="00D31FDF">
        <w:t xml:space="preserve"> </w:t>
      </w:r>
      <w:r w:rsidRPr="00BD1437">
        <w:rPr>
          <w:color w:val="auto"/>
          <w:sz w:val="20"/>
          <w:szCs w:val="20"/>
          <w:lang w:val="en-GB" w:eastAsia="zh-CN"/>
        </w:rPr>
        <w:t>Proposal for a REGULATION OF THE EUROPEAN PARLIAMENT AND OF THE COUNCIL on the European Regional Development Fund and on the Cohesion Fund</w:t>
      </w:r>
      <w:r>
        <w:rPr>
          <w:color w:val="auto"/>
          <w:sz w:val="20"/>
          <w:szCs w:val="20"/>
          <w:lang w:val="en-GB" w:eastAsia="zh-CN"/>
        </w:rPr>
        <w:t xml:space="preserve">, </w:t>
      </w:r>
      <w:r w:rsidRPr="00BD1437">
        <w:rPr>
          <w:color w:val="auto"/>
          <w:sz w:val="20"/>
          <w:szCs w:val="20"/>
          <w:lang w:val="en-GB" w:eastAsia="zh-CN"/>
        </w:rPr>
        <w:t>SEC(2018) 268 final</w:t>
      </w:r>
      <w:r>
        <w:rPr>
          <w:color w:val="auto"/>
          <w:sz w:val="20"/>
          <w:szCs w:val="20"/>
          <w:lang w:val="en-GB" w:eastAsia="zh-CN"/>
        </w:rPr>
        <w:t xml:space="preserve"> </w:t>
      </w:r>
      <w:r w:rsidRPr="00BD1437">
        <w:rPr>
          <w:color w:val="auto"/>
          <w:sz w:val="20"/>
          <w:szCs w:val="20"/>
          <w:lang w:val="en-GB" w:eastAsia="zh-CN"/>
        </w:rPr>
        <w:t xml:space="preserve">- (pieejams - </w:t>
      </w:r>
      <w:hyperlink r:id="rId2" w:history="1">
        <w:r w:rsidRPr="00BD1437">
          <w:rPr>
            <w:rStyle w:val="Hyperlink"/>
            <w:sz w:val="20"/>
            <w:szCs w:val="20"/>
          </w:rPr>
          <w:t>https://ec.europa.eu/commission/publications/regional-development-and-cohesion_en</w:t>
        </w:r>
      </w:hyperlink>
      <w:r w:rsidRPr="00BD1437">
        <w:rPr>
          <w:sz w:val="20"/>
          <w:szCs w:val="20"/>
        </w:rPr>
        <w:t>)</w:t>
      </w:r>
      <w:r>
        <w:rPr>
          <w:sz w:val="20"/>
          <w:szCs w:val="20"/>
        </w:rPr>
        <w:t>.</w:t>
      </w:r>
    </w:p>
  </w:footnote>
  <w:footnote w:id="4">
    <w:p w14:paraId="08FB9745" w14:textId="77777777" w:rsidR="00381D4B" w:rsidRPr="001629B8" w:rsidRDefault="00381D4B" w:rsidP="0080340E">
      <w:pPr>
        <w:pStyle w:val="FootnoteText"/>
      </w:pPr>
      <w:r>
        <w:rPr>
          <w:rStyle w:val="FootnoteReference"/>
        </w:rPr>
        <w:footnoteRef/>
      </w:r>
      <w:r>
        <w:t xml:space="preserve"> </w:t>
      </w:r>
      <w:r w:rsidRPr="004A25F0">
        <w:t>2018/0206</w:t>
      </w:r>
      <w:r>
        <w:t xml:space="preserve"> </w:t>
      </w:r>
      <w:r w:rsidRPr="004A25F0">
        <w:t>(COD)</w:t>
      </w:r>
      <w:r>
        <w:t xml:space="preserve"> </w:t>
      </w:r>
      <w:r w:rsidRPr="004A25F0">
        <w:t>ST 9573/2018</w:t>
      </w:r>
      <w:r>
        <w:t>; Proposal for a REGULATION OF THE EUROPEAN PARLIAMENT AND OF THE COUNCIL on the European Social Fund Plus (ESF+), (pieejams -</w:t>
      </w:r>
      <w:hyperlink r:id="rId3" w:history="1">
        <w:r w:rsidRPr="003725CF">
          <w:rPr>
            <w:rStyle w:val="Hyperlink"/>
          </w:rPr>
          <w:t>http://ec.europa.eu/social/main.jsp?langId=en&amp;catId=89&amp;newsId=9114</w:t>
        </w:r>
      </w:hyperlink>
      <w:r>
        <w:t>).</w:t>
      </w:r>
    </w:p>
  </w:footnote>
  <w:footnote w:id="5">
    <w:p w14:paraId="36E6E58B" w14:textId="77777777" w:rsidR="00381D4B" w:rsidRPr="003725CF" w:rsidRDefault="00381D4B" w:rsidP="0080340E">
      <w:pPr>
        <w:pStyle w:val="FootnoteText"/>
      </w:pPr>
      <w:r>
        <w:rPr>
          <w:rStyle w:val="FootnoteReference"/>
        </w:rPr>
        <w:footnoteRef/>
      </w:r>
      <w:r>
        <w:t xml:space="preserve"> </w:t>
      </w:r>
      <w:r w:rsidRPr="004A25F0">
        <w:t>2018/0199</w:t>
      </w:r>
      <w:r>
        <w:t xml:space="preserve"> </w:t>
      </w:r>
      <w:r w:rsidRPr="004A25F0">
        <w:t>(COD)</w:t>
      </w:r>
      <w:r>
        <w:t xml:space="preserve"> </w:t>
      </w:r>
      <w:r w:rsidRPr="004A25F0">
        <w:t>ST 9536/2018</w:t>
      </w:r>
      <w:r>
        <w:t xml:space="preserve">; Proposal for a REGULATION OF THE EUROPEAN PARLIAMENT AND OF THE COUNCIL on specific provisions for the European territorial cooperation goal (Interreg) supported by the European Regional Development Fund and external financing instruments, SEC(2018) 268 final (pieejams-  </w:t>
      </w:r>
      <w:hyperlink r:id="rId4" w:history="1">
        <w:r w:rsidRPr="008A2E63">
          <w:rPr>
            <w:rStyle w:val="Hyperlink"/>
          </w:rPr>
          <w:t>https://ec.europa.eu/commission/sites/beta-political/files/budget-may2018-specific-provisions_en.pdf</w:t>
        </w:r>
      </w:hyperlink>
      <w:r>
        <w:t xml:space="preserve"> </w:t>
      </w:r>
    </w:p>
  </w:footnote>
  <w:footnote w:id="6">
    <w:p w14:paraId="01D7B392" w14:textId="73331664" w:rsidR="00526DF2" w:rsidRDefault="00526DF2">
      <w:pPr>
        <w:pStyle w:val="FootnoteText"/>
      </w:pPr>
      <w:r>
        <w:rPr>
          <w:rStyle w:val="FootnoteReference"/>
        </w:rPr>
        <w:footnoteRef/>
      </w:r>
      <w:r>
        <w:t xml:space="preserve"> ES fondi – ERAF, ESF+, KF, EJZF, AMIF, IDF, BMVI un ETS</w:t>
      </w:r>
    </w:p>
  </w:footnote>
  <w:footnote w:id="7">
    <w:p w14:paraId="624B6602" w14:textId="17422AE9" w:rsidR="00381D4B" w:rsidRDefault="00381D4B">
      <w:pPr>
        <w:pStyle w:val="FootnoteText"/>
      </w:pPr>
      <w:r>
        <w:rPr>
          <w:rStyle w:val="FootnoteReference"/>
        </w:rPr>
        <w:footnoteRef/>
      </w:r>
      <w:r>
        <w:t xml:space="preserve"> Kopējās fondu regulas </w:t>
      </w:r>
      <w:r w:rsidR="0031638D">
        <w:t xml:space="preserve">priekšlikuma </w:t>
      </w:r>
      <w:r>
        <w:t>11.</w:t>
      </w:r>
      <w:r w:rsidR="004430E6">
        <w:t> </w:t>
      </w:r>
      <w:r>
        <w:t>pants</w:t>
      </w:r>
    </w:p>
  </w:footnote>
  <w:footnote w:id="8">
    <w:p w14:paraId="01954F52" w14:textId="189FA958" w:rsidR="00381D4B" w:rsidRPr="00AD6479" w:rsidRDefault="00381D4B" w:rsidP="0008738D">
      <w:pPr>
        <w:pStyle w:val="FootnoteText"/>
      </w:pPr>
      <w:r w:rsidRPr="00AD6479">
        <w:rPr>
          <w:rStyle w:val="FootnoteReference"/>
        </w:rPr>
        <w:footnoteRef/>
      </w:r>
      <w:r w:rsidRPr="00AD6479">
        <w:t xml:space="preserve"> </w:t>
      </w:r>
      <w:r>
        <w:t>Kopējās</w:t>
      </w:r>
      <w:r w:rsidRPr="00AD6479">
        <w:t xml:space="preserve"> </w:t>
      </w:r>
      <w:r>
        <w:t xml:space="preserve">fondu </w:t>
      </w:r>
      <w:r w:rsidRPr="00AD6479">
        <w:t xml:space="preserve">regulas </w:t>
      </w:r>
      <w:r>
        <w:t>priekšlikuma 65</w:t>
      </w:r>
      <w:r w:rsidRPr="00AD6479">
        <w:t>. pants</w:t>
      </w:r>
    </w:p>
  </w:footnote>
  <w:footnote w:id="9">
    <w:p w14:paraId="5810A22D" w14:textId="45680393" w:rsidR="00381D4B" w:rsidRDefault="00381D4B" w:rsidP="0008738D">
      <w:pPr>
        <w:pStyle w:val="FootnoteText"/>
      </w:pPr>
      <w:r w:rsidRPr="00AD6479">
        <w:rPr>
          <w:rStyle w:val="FootnoteReference"/>
        </w:rPr>
        <w:footnoteRef/>
      </w:r>
      <w:r w:rsidRPr="00AD6479">
        <w:t xml:space="preserve"> </w:t>
      </w:r>
      <w:r>
        <w:t>Kopējās fondu regulas priekšlikuma 65.panta 3.punkts</w:t>
      </w:r>
    </w:p>
  </w:footnote>
  <w:footnote w:id="10">
    <w:p w14:paraId="112A8AB1" w14:textId="65110247" w:rsidR="00381D4B" w:rsidRPr="00E158A9" w:rsidRDefault="00381D4B" w:rsidP="0008738D">
      <w:pPr>
        <w:pStyle w:val="FootnoteText"/>
      </w:pPr>
      <w:r w:rsidRPr="0048454D">
        <w:rPr>
          <w:rStyle w:val="FootnoteReference"/>
        </w:rPr>
        <w:footnoteRef/>
      </w:r>
      <w:r w:rsidRPr="00E158A9">
        <w:t xml:space="preserve"> </w:t>
      </w:r>
      <w:r>
        <w:t>Kopējās</w:t>
      </w:r>
      <w:r w:rsidRPr="00332C17">
        <w:t xml:space="preserve"> </w:t>
      </w:r>
      <w:r>
        <w:t xml:space="preserve">fondu </w:t>
      </w:r>
      <w:r w:rsidRPr="00332C17">
        <w:t>regulas</w:t>
      </w:r>
      <w:r w:rsidR="0031638D">
        <w:t xml:space="preserve"> priekšlikuma</w:t>
      </w:r>
      <w:r>
        <w:t xml:space="preserve"> 66.-69</w:t>
      </w:r>
      <w:r w:rsidRPr="00E158A9">
        <w:t>.pants</w:t>
      </w:r>
    </w:p>
  </w:footnote>
  <w:footnote w:id="11">
    <w:p w14:paraId="28176E49" w14:textId="3F0608A7" w:rsidR="00381D4B" w:rsidRDefault="00381D4B">
      <w:pPr>
        <w:pStyle w:val="FootnoteText"/>
      </w:pPr>
      <w:r>
        <w:rPr>
          <w:rStyle w:val="FootnoteReference"/>
        </w:rPr>
        <w:footnoteRef/>
      </w:r>
      <w:r>
        <w:t xml:space="preserve"> Kopējās fondu</w:t>
      </w:r>
      <w:r w:rsidRPr="00332C17">
        <w:t xml:space="preserve"> regulas</w:t>
      </w:r>
      <w:r>
        <w:t xml:space="preserve"> </w:t>
      </w:r>
      <w:r w:rsidR="0031638D">
        <w:t xml:space="preserve">priekšlikuma </w:t>
      </w:r>
      <w:r>
        <w:t>70</w:t>
      </w:r>
      <w:r w:rsidRPr="00E158A9">
        <w:t>.pants</w:t>
      </w:r>
      <w:r w:rsidR="003C2E6F">
        <w:t xml:space="preserve">, </w:t>
      </w:r>
      <w:r w:rsidR="003C2E6F" w:rsidRPr="00DC2D89">
        <w:t>(c) punktā minētā funkcija Latvijas gadījumā nav attiecināma</w:t>
      </w:r>
      <w:r w:rsidR="003C2E6F">
        <w:t>.</w:t>
      </w:r>
    </w:p>
  </w:footnote>
  <w:footnote w:id="12">
    <w:p w14:paraId="25EEB306" w14:textId="1F7965AC" w:rsidR="00381D4B" w:rsidRDefault="00381D4B">
      <w:pPr>
        <w:pStyle w:val="FootnoteText"/>
      </w:pPr>
      <w:r>
        <w:rPr>
          <w:rStyle w:val="FootnoteReference"/>
        </w:rPr>
        <w:footnoteRef/>
      </w:r>
      <w:r>
        <w:t xml:space="preserve"> Kopējās</w:t>
      </w:r>
      <w:r w:rsidRPr="00332C17">
        <w:t xml:space="preserve"> </w:t>
      </w:r>
      <w:r>
        <w:t xml:space="preserve">fondu </w:t>
      </w:r>
      <w:r w:rsidRPr="00332C17">
        <w:t>regulas</w:t>
      </w:r>
      <w:r>
        <w:t xml:space="preserve"> </w:t>
      </w:r>
      <w:r w:rsidR="0031638D">
        <w:t xml:space="preserve">priekšlikuma </w:t>
      </w:r>
      <w:r>
        <w:t>71</w:t>
      </w:r>
      <w:r w:rsidRPr="00E158A9">
        <w:t>.pants</w:t>
      </w:r>
    </w:p>
  </w:footnote>
  <w:footnote w:id="13">
    <w:p w14:paraId="5156B21D" w14:textId="3E70D2EE" w:rsidR="00381D4B" w:rsidRDefault="00381D4B">
      <w:pPr>
        <w:pStyle w:val="FootnoteText"/>
      </w:pPr>
      <w:r>
        <w:rPr>
          <w:rStyle w:val="FootnoteReference"/>
        </w:rPr>
        <w:footnoteRef/>
      </w:r>
      <w:r>
        <w:t xml:space="preserve"> Kopējās</w:t>
      </w:r>
      <w:r w:rsidRPr="00332C17">
        <w:t xml:space="preserve"> </w:t>
      </w:r>
      <w:r>
        <w:t xml:space="preserve">fondu </w:t>
      </w:r>
      <w:r w:rsidRPr="00332C17">
        <w:t>regulas</w:t>
      </w:r>
      <w:r>
        <w:t xml:space="preserve"> </w:t>
      </w:r>
      <w:r w:rsidR="005948A3">
        <w:t xml:space="preserve">priekšlikuma </w:t>
      </w:r>
      <w:r>
        <w:t>72</w:t>
      </w:r>
      <w:r w:rsidRPr="00E158A9">
        <w:t>.pants</w:t>
      </w:r>
    </w:p>
  </w:footnote>
  <w:footnote w:id="14">
    <w:p w14:paraId="65440561" w14:textId="10C3CDA8" w:rsidR="00381D4B" w:rsidRDefault="00381D4B" w:rsidP="00B862BE">
      <w:pPr>
        <w:pStyle w:val="FootnoteText"/>
      </w:pPr>
      <w:r>
        <w:rPr>
          <w:rStyle w:val="FootnoteReference"/>
        </w:rPr>
        <w:footnoteRef/>
      </w:r>
      <w:r>
        <w:t xml:space="preserve"> Kopējās fondu regulas </w:t>
      </w:r>
      <w:r w:rsidR="005948A3">
        <w:t xml:space="preserve">priekšlikuma </w:t>
      </w:r>
      <w:r>
        <w:t>72.pants</w:t>
      </w:r>
    </w:p>
  </w:footnote>
  <w:footnote w:id="15">
    <w:p w14:paraId="24C1E032" w14:textId="5A5EE917" w:rsidR="00F41C92" w:rsidRPr="00F41C92" w:rsidRDefault="00F41C92" w:rsidP="00F41C92">
      <w:pPr>
        <w:pStyle w:val="FootnoteText"/>
        <w:jc w:val="both"/>
      </w:pPr>
      <w:r>
        <w:rPr>
          <w:rStyle w:val="FootnoteReference"/>
        </w:rPr>
        <w:footnoteRef/>
      </w:r>
      <w:r>
        <w:t xml:space="preserve"> </w:t>
      </w:r>
      <w:r w:rsidRPr="00F41C92">
        <w:rPr>
          <w:lang w:val="en-US"/>
        </w:rPr>
        <w:t>2019. gada 7. maijā Ministru kabineta rīkojumā Nr. 210 (prot. Nr. 21 27. §) apstiprinātajā Valdības rīcības plānā (pasākums Nr. 40.1. un 40.2.) un Saeimas 2018. gada 21. jūnija paziņojumā “Par Latvijas inovāciju un tehnoloģiju atbalsta fonda izveidi” Ekonomikas ministrijai un Izglītības un zinātnes ministrijai, tostarp sadarbībā ar Finanšu ministriju, nostiprināts mandāts rast risinājumus efektīvai zinātnes un inovāciju finansēšanas sistēmas institucionālā modeļa sadrumstalotības novēršanai.</w:t>
      </w:r>
    </w:p>
  </w:footnote>
  <w:footnote w:id="16">
    <w:p w14:paraId="0D6EF2F0" w14:textId="54343277" w:rsidR="00381D4B" w:rsidRPr="007407DE" w:rsidRDefault="00381D4B" w:rsidP="007407DE">
      <w:pPr>
        <w:pStyle w:val="FootnoteText"/>
      </w:pPr>
      <w:r>
        <w:rPr>
          <w:rStyle w:val="FootnoteReference"/>
        </w:rPr>
        <w:footnoteRef/>
      </w:r>
      <w:r>
        <w:t xml:space="preserve"> Saskaņā ar </w:t>
      </w:r>
      <w:r w:rsidRPr="007407DE">
        <w:t>Kopējās fondu regulas</w:t>
      </w:r>
      <w:r>
        <w:t xml:space="preserve"> </w:t>
      </w:r>
      <w:r w:rsidR="005948A3">
        <w:t xml:space="preserve">priekšlikuma </w:t>
      </w:r>
      <w:r>
        <w:t>6.panta 3.punktu partnerības organizēšanu un īstenošanu veic saskaņā ar Komisijas 2014.gada 7.janvāra Deleģēto regulu (ES) Nr.240/2014 par Eiropas rīcības kodeksu attiecībā uz partnerību saistībā ar Eiropas strukturālajiem un investīciju fondiem (OV L 74, 14.3.2014., 1.lpp.).</w:t>
      </w:r>
    </w:p>
  </w:footnote>
  <w:footnote w:id="17">
    <w:p w14:paraId="07CCF5BE" w14:textId="56DD05A4" w:rsidR="00381D4B" w:rsidRDefault="00381D4B" w:rsidP="00BB1C13">
      <w:pPr>
        <w:pStyle w:val="FootnoteText"/>
        <w:jc w:val="both"/>
      </w:pPr>
      <w:r>
        <w:rPr>
          <w:rStyle w:val="FootnoteReference"/>
        </w:rPr>
        <w:footnoteRef/>
      </w:r>
      <w:r>
        <w:t xml:space="preserve"> Kopējās fondu regulas </w:t>
      </w:r>
      <w:r w:rsidR="005948A3">
        <w:t xml:space="preserve">priekšlikuma </w:t>
      </w:r>
      <w:r>
        <w:t>67.</w:t>
      </w:r>
      <w:r w:rsidR="004430E6">
        <w:t> </w:t>
      </w:r>
      <w:r>
        <w:t>panta 1.</w:t>
      </w:r>
      <w:r w:rsidR="004430E6">
        <w:t> </w:t>
      </w:r>
      <w:r>
        <w:t>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8DD2" w14:textId="77777777" w:rsidR="00381D4B" w:rsidRDefault="00381D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D59E7" w14:textId="77777777" w:rsidR="00381D4B" w:rsidRDefault="00381D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7649F" w14:textId="77777777" w:rsidR="00381D4B" w:rsidRDefault="00381D4B">
    <w:pPr>
      <w:pStyle w:val="Header"/>
      <w:framePr w:wrap="around" w:vAnchor="text" w:hAnchor="margin" w:xAlign="right" w:y="1"/>
      <w:rPr>
        <w:rStyle w:val="PageNumber"/>
        <w:sz w:val="20"/>
        <w:szCs w:val="20"/>
      </w:rPr>
    </w:pPr>
  </w:p>
  <w:p w14:paraId="61BBE607" w14:textId="77777777" w:rsidR="00381D4B" w:rsidRPr="00B06F53" w:rsidRDefault="00381D4B" w:rsidP="0067577B">
    <w:pPr>
      <w:pStyle w:val="Header"/>
      <w:ind w:right="3"/>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BCE"/>
    <w:multiLevelType w:val="hybridMultilevel"/>
    <w:tmpl w:val="04684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513B74"/>
    <w:multiLevelType w:val="hybridMultilevel"/>
    <w:tmpl w:val="96000EF2"/>
    <w:lvl w:ilvl="0" w:tplc="ACE8C05C">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68A1A8C"/>
    <w:multiLevelType w:val="hybridMultilevel"/>
    <w:tmpl w:val="31283F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CB41D4"/>
    <w:multiLevelType w:val="hybridMultilevel"/>
    <w:tmpl w:val="1B863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F23A7A"/>
    <w:multiLevelType w:val="hybridMultilevel"/>
    <w:tmpl w:val="F69EBAE2"/>
    <w:lvl w:ilvl="0" w:tplc="130885A8">
      <w:start w:val="1"/>
      <w:numFmt w:val="lowerLetter"/>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5" w15:restartNumberingAfterBreak="0">
    <w:nsid w:val="369C3DDE"/>
    <w:multiLevelType w:val="hybridMultilevel"/>
    <w:tmpl w:val="1270B88C"/>
    <w:lvl w:ilvl="0" w:tplc="61ECFF20">
      <w:start w:val="1"/>
      <w:numFmt w:val="lowerLetter"/>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6" w15:restartNumberingAfterBreak="0">
    <w:nsid w:val="3762665B"/>
    <w:multiLevelType w:val="hybridMultilevel"/>
    <w:tmpl w:val="71729690"/>
    <w:lvl w:ilvl="0" w:tplc="E08635BA">
      <w:start w:val="5"/>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521F7B"/>
    <w:multiLevelType w:val="hybridMultilevel"/>
    <w:tmpl w:val="FA18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72815"/>
    <w:multiLevelType w:val="hybridMultilevel"/>
    <w:tmpl w:val="77160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A6F567D"/>
    <w:multiLevelType w:val="multilevel"/>
    <w:tmpl w:val="5C7A22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CC3DBF"/>
    <w:multiLevelType w:val="hybridMultilevel"/>
    <w:tmpl w:val="EE22140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7C5578B"/>
    <w:multiLevelType w:val="hybridMultilevel"/>
    <w:tmpl w:val="79820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AA195E"/>
    <w:multiLevelType w:val="hybridMultilevel"/>
    <w:tmpl w:val="22127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4F41F5"/>
    <w:multiLevelType w:val="hybridMultilevel"/>
    <w:tmpl w:val="E116C590"/>
    <w:lvl w:ilvl="0" w:tplc="ED1CF6D4">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2D1343"/>
    <w:multiLevelType w:val="hybridMultilevel"/>
    <w:tmpl w:val="1A6AC75E"/>
    <w:lvl w:ilvl="0" w:tplc="EC5E7BE4">
      <w:start w:val="1"/>
      <w:numFmt w:val="decimal"/>
      <w:lvlText w:val="(%1)"/>
      <w:lvlJc w:val="left"/>
      <w:pPr>
        <w:ind w:left="720" w:hanging="720"/>
      </w:pPr>
      <w:rPr>
        <w:rFonts w:ascii="Times New Roman" w:hAnsi="Times New Roman" w:cs="Times New Roman" w:hint="default"/>
        <w:b w:val="0"/>
        <w:i w:val="0"/>
        <w:color w:val="auto"/>
        <w:sz w:val="24"/>
        <w:szCs w:val="24"/>
      </w:rPr>
    </w:lvl>
    <w:lvl w:ilvl="1" w:tplc="2DD843EE">
      <w:start w:val="1"/>
      <w:numFmt w:val="lowerLetter"/>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02" w:hanging="360"/>
      </w:pPr>
    </w:lvl>
    <w:lvl w:ilvl="8" w:tplc="0426001B" w:tentative="1">
      <w:start w:val="1"/>
      <w:numFmt w:val="lowerRoman"/>
      <w:lvlText w:val="%9."/>
      <w:lvlJc w:val="right"/>
      <w:pPr>
        <w:ind w:left="6480" w:hanging="180"/>
      </w:pPr>
    </w:lvl>
  </w:abstractNum>
  <w:abstractNum w:abstractNumId="15" w15:restartNumberingAfterBreak="0">
    <w:nsid w:val="63D95470"/>
    <w:multiLevelType w:val="hybridMultilevel"/>
    <w:tmpl w:val="E90031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F01949"/>
    <w:multiLevelType w:val="hybridMultilevel"/>
    <w:tmpl w:val="73506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8176641"/>
    <w:multiLevelType w:val="hybridMultilevel"/>
    <w:tmpl w:val="496C00AA"/>
    <w:lvl w:ilvl="0" w:tplc="D88C258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8"/>
  </w:num>
  <w:num w:numId="4">
    <w:abstractNumId w:val="1"/>
  </w:num>
  <w:num w:numId="5">
    <w:abstractNumId w:val="13"/>
  </w:num>
  <w:num w:numId="6">
    <w:abstractNumId w:val="17"/>
  </w:num>
  <w:num w:numId="7">
    <w:abstractNumId w:val="12"/>
  </w:num>
  <w:num w:numId="8">
    <w:abstractNumId w:val="3"/>
  </w:num>
  <w:num w:numId="9">
    <w:abstractNumId w:val="0"/>
  </w:num>
  <w:num w:numId="10">
    <w:abstractNumId w:val="14"/>
  </w:num>
  <w:num w:numId="11">
    <w:abstractNumId w:val="9"/>
  </w:num>
  <w:num w:numId="12">
    <w:abstractNumId w:val="7"/>
  </w:num>
  <w:num w:numId="13">
    <w:abstractNumId w:val="19"/>
  </w:num>
  <w:num w:numId="14">
    <w:abstractNumId w:val="11"/>
  </w:num>
  <w:num w:numId="15">
    <w:abstractNumId w:val="6"/>
  </w:num>
  <w:num w:numId="16">
    <w:abstractNumId w:val="4"/>
  </w:num>
  <w:num w:numId="17">
    <w:abstractNumId w:val="5"/>
  </w:num>
  <w:num w:numId="18">
    <w:abstractNumId w:val="16"/>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7B"/>
    <w:rsid w:val="00002255"/>
    <w:rsid w:val="00002513"/>
    <w:rsid w:val="00002DC0"/>
    <w:rsid w:val="00011CD5"/>
    <w:rsid w:val="000137C8"/>
    <w:rsid w:val="0001385F"/>
    <w:rsid w:val="00015659"/>
    <w:rsid w:val="000168CD"/>
    <w:rsid w:val="00021669"/>
    <w:rsid w:val="00022DB7"/>
    <w:rsid w:val="000309EC"/>
    <w:rsid w:val="000334C8"/>
    <w:rsid w:val="00036C24"/>
    <w:rsid w:val="00047A1B"/>
    <w:rsid w:val="00054156"/>
    <w:rsid w:val="00056D68"/>
    <w:rsid w:val="000665D9"/>
    <w:rsid w:val="00070A2B"/>
    <w:rsid w:val="00072029"/>
    <w:rsid w:val="000811FC"/>
    <w:rsid w:val="0008738D"/>
    <w:rsid w:val="000A04E5"/>
    <w:rsid w:val="000A0B11"/>
    <w:rsid w:val="000A2DED"/>
    <w:rsid w:val="000A6F2F"/>
    <w:rsid w:val="000B1C70"/>
    <w:rsid w:val="000B538C"/>
    <w:rsid w:val="000B6AD2"/>
    <w:rsid w:val="000D3909"/>
    <w:rsid w:val="000D777F"/>
    <w:rsid w:val="000E46F0"/>
    <w:rsid w:val="000E5850"/>
    <w:rsid w:val="000F5B73"/>
    <w:rsid w:val="0010302E"/>
    <w:rsid w:val="00124D38"/>
    <w:rsid w:val="00130B8F"/>
    <w:rsid w:val="00133722"/>
    <w:rsid w:val="00133E8C"/>
    <w:rsid w:val="00137EAC"/>
    <w:rsid w:val="00141D79"/>
    <w:rsid w:val="00142973"/>
    <w:rsid w:val="00162E69"/>
    <w:rsid w:val="00164B1E"/>
    <w:rsid w:val="00167961"/>
    <w:rsid w:val="00167AC6"/>
    <w:rsid w:val="001811EF"/>
    <w:rsid w:val="00194CF4"/>
    <w:rsid w:val="001A20C8"/>
    <w:rsid w:val="001A739A"/>
    <w:rsid w:val="001B59DD"/>
    <w:rsid w:val="001C3AAF"/>
    <w:rsid w:val="001C75E4"/>
    <w:rsid w:val="001D6056"/>
    <w:rsid w:val="001E3EB3"/>
    <w:rsid w:val="001E5423"/>
    <w:rsid w:val="001E78F8"/>
    <w:rsid w:val="001F1B47"/>
    <w:rsid w:val="0020432B"/>
    <w:rsid w:val="002073F2"/>
    <w:rsid w:val="00211D1F"/>
    <w:rsid w:val="00217FCE"/>
    <w:rsid w:val="00222A23"/>
    <w:rsid w:val="0023546B"/>
    <w:rsid w:val="0025106B"/>
    <w:rsid w:val="002515FB"/>
    <w:rsid w:val="00273491"/>
    <w:rsid w:val="00273CD9"/>
    <w:rsid w:val="0027711C"/>
    <w:rsid w:val="002A1468"/>
    <w:rsid w:val="002B09A2"/>
    <w:rsid w:val="002B41AF"/>
    <w:rsid w:val="002B79B7"/>
    <w:rsid w:val="002C5C25"/>
    <w:rsid w:val="002D2C72"/>
    <w:rsid w:val="002D3018"/>
    <w:rsid w:val="002E5403"/>
    <w:rsid w:val="00303CF1"/>
    <w:rsid w:val="0031638D"/>
    <w:rsid w:val="00317CD0"/>
    <w:rsid w:val="00317D82"/>
    <w:rsid w:val="00320154"/>
    <w:rsid w:val="00325453"/>
    <w:rsid w:val="00326896"/>
    <w:rsid w:val="00327F6D"/>
    <w:rsid w:val="003507CD"/>
    <w:rsid w:val="003540A7"/>
    <w:rsid w:val="00354CF6"/>
    <w:rsid w:val="00360CFA"/>
    <w:rsid w:val="00361A3C"/>
    <w:rsid w:val="0037081F"/>
    <w:rsid w:val="00371036"/>
    <w:rsid w:val="0037606A"/>
    <w:rsid w:val="00377030"/>
    <w:rsid w:val="00380389"/>
    <w:rsid w:val="003810A9"/>
    <w:rsid w:val="00381D4B"/>
    <w:rsid w:val="0038559E"/>
    <w:rsid w:val="003877F0"/>
    <w:rsid w:val="003961B4"/>
    <w:rsid w:val="003964C6"/>
    <w:rsid w:val="003A0DFB"/>
    <w:rsid w:val="003A6CF1"/>
    <w:rsid w:val="003B00F7"/>
    <w:rsid w:val="003B5FEC"/>
    <w:rsid w:val="003B7E12"/>
    <w:rsid w:val="003C2E6F"/>
    <w:rsid w:val="003D1B26"/>
    <w:rsid w:val="003D6921"/>
    <w:rsid w:val="003D7047"/>
    <w:rsid w:val="003E1C41"/>
    <w:rsid w:val="003E645D"/>
    <w:rsid w:val="003F1C14"/>
    <w:rsid w:val="003F45A4"/>
    <w:rsid w:val="003F6811"/>
    <w:rsid w:val="003F7150"/>
    <w:rsid w:val="003F7EA5"/>
    <w:rsid w:val="0040510C"/>
    <w:rsid w:val="004061DA"/>
    <w:rsid w:val="00413377"/>
    <w:rsid w:val="00413E6D"/>
    <w:rsid w:val="004166A7"/>
    <w:rsid w:val="00416E5F"/>
    <w:rsid w:val="00421A71"/>
    <w:rsid w:val="00422E1A"/>
    <w:rsid w:val="0043785E"/>
    <w:rsid w:val="0044106E"/>
    <w:rsid w:val="004430E6"/>
    <w:rsid w:val="004457AA"/>
    <w:rsid w:val="00454844"/>
    <w:rsid w:val="00460F3B"/>
    <w:rsid w:val="0046436E"/>
    <w:rsid w:val="00470370"/>
    <w:rsid w:val="0047600A"/>
    <w:rsid w:val="00480914"/>
    <w:rsid w:val="00480A20"/>
    <w:rsid w:val="004848F9"/>
    <w:rsid w:val="00492E12"/>
    <w:rsid w:val="0049324F"/>
    <w:rsid w:val="00496635"/>
    <w:rsid w:val="004A4171"/>
    <w:rsid w:val="004B0C15"/>
    <w:rsid w:val="004B3791"/>
    <w:rsid w:val="004B7C2C"/>
    <w:rsid w:val="004E0982"/>
    <w:rsid w:val="004E7C48"/>
    <w:rsid w:val="004F2672"/>
    <w:rsid w:val="00503F58"/>
    <w:rsid w:val="005054EA"/>
    <w:rsid w:val="00505AB0"/>
    <w:rsid w:val="00505BA3"/>
    <w:rsid w:val="00507050"/>
    <w:rsid w:val="00514854"/>
    <w:rsid w:val="00517BDB"/>
    <w:rsid w:val="00522548"/>
    <w:rsid w:val="00526DF2"/>
    <w:rsid w:val="0055205D"/>
    <w:rsid w:val="005526FA"/>
    <w:rsid w:val="00562E78"/>
    <w:rsid w:val="00563BD0"/>
    <w:rsid w:val="00585CEF"/>
    <w:rsid w:val="005948A3"/>
    <w:rsid w:val="00596974"/>
    <w:rsid w:val="005A7746"/>
    <w:rsid w:val="005B10C0"/>
    <w:rsid w:val="005C22B8"/>
    <w:rsid w:val="005E6538"/>
    <w:rsid w:val="005F639B"/>
    <w:rsid w:val="00611216"/>
    <w:rsid w:val="00612E70"/>
    <w:rsid w:val="006136FE"/>
    <w:rsid w:val="006173E6"/>
    <w:rsid w:val="0062015F"/>
    <w:rsid w:val="00627D4A"/>
    <w:rsid w:val="006357F3"/>
    <w:rsid w:val="00637E46"/>
    <w:rsid w:val="006408EF"/>
    <w:rsid w:val="00641558"/>
    <w:rsid w:val="00642E19"/>
    <w:rsid w:val="00644650"/>
    <w:rsid w:val="00645AE9"/>
    <w:rsid w:val="00646869"/>
    <w:rsid w:val="00653EED"/>
    <w:rsid w:val="006602B3"/>
    <w:rsid w:val="0067577B"/>
    <w:rsid w:val="00681056"/>
    <w:rsid w:val="00681E04"/>
    <w:rsid w:val="006839B9"/>
    <w:rsid w:val="006862F9"/>
    <w:rsid w:val="006877D4"/>
    <w:rsid w:val="006878C9"/>
    <w:rsid w:val="00696DA9"/>
    <w:rsid w:val="006A7502"/>
    <w:rsid w:val="006B08FF"/>
    <w:rsid w:val="006D1A34"/>
    <w:rsid w:val="006E1766"/>
    <w:rsid w:val="006F3404"/>
    <w:rsid w:val="006F3B54"/>
    <w:rsid w:val="006F619C"/>
    <w:rsid w:val="00701C04"/>
    <w:rsid w:val="00712558"/>
    <w:rsid w:val="00714786"/>
    <w:rsid w:val="00714F3C"/>
    <w:rsid w:val="007238D0"/>
    <w:rsid w:val="00731F61"/>
    <w:rsid w:val="00740728"/>
    <w:rsid w:val="007407DE"/>
    <w:rsid w:val="007438CD"/>
    <w:rsid w:val="00747E3B"/>
    <w:rsid w:val="00753D62"/>
    <w:rsid w:val="00754191"/>
    <w:rsid w:val="0075654D"/>
    <w:rsid w:val="00761B9C"/>
    <w:rsid w:val="007633F8"/>
    <w:rsid w:val="00781A62"/>
    <w:rsid w:val="0078301E"/>
    <w:rsid w:val="007834DD"/>
    <w:rsid w:val="0078715F"/>
    <w:rsid w:val="00795234"/>
    <w:rsid w:val="007A3639"/>
    <w:rsid w:val="007B3C41"/>
    <w:rsid w:val="007B6C25"/>
    <w:rsid w:val="007C4A77"/>
    <w:rsid w:val="007C7363"/>
    <w:rsid w:val="007D0BDF"/>
    <w:rsid w:val="007E0145"/>
    <w:rsid w:val="007E0855"/>
    <w:rsid w:val="007F0888"/>
    <w:rsid w:val="007F235D"/>
    <w:rsid w:val="0080340E"/>
    <w:rsid w:val="00803920"/>
    <w:rsid w:val="00807A3D"/>
    <w:rsid w:val="00814EF7"/>
    <w:rsid w:val="00816199"/>
    <w:rsid w:val="0081657E"/>
    <w:rsid w:val="00836499"/>
    <w:rsid w:val="0084411A"/>
    <w:rsid w:val="00844E8D"/>
    <w:rsid w:val="00845753"/>
    <w:rsid w:val="00846B8E"/>
    <w:rsid w:val="00860893"/>
    <w:rsid w:val="008713F9"/>
    <w:rsid w:val="00892509"/>
    <w:rsid w:val="008938BE"/>
    <w:rsid w:val="008A23A8"/>
    <w:rsid w:val="008C392D"/>
    <w:rsid w:val="008C5594"/>
    <w:rsid w:val="008E0AA9"/>
    <w:rsid w:val="008E21C8"/>
    <w:rsid w:val="008E4161"/>
    <w:rsid w:val="008E6637"/>
    <w:rsid w:val="008F55C6"/>
    <w:rsid w:val="008F7342"/>
    <w:rsid w:val="00900D9C"/>
    <w:rsid w:val="009047DB"/>
    <w:rsid w:val="00904B66"/>
    <w:rsid w:val="00904EBC"/>
    <w:rsid w:val="00905514"/>
    <w:rsid w:val="00905C89"/>
    <w:rsid w:val="009265AB"/>
    <w:rsid w:val="009330BF"/>
    <w:rsid w:val="00937342"/>
    <w:rsid w:val="00937A02"/>
    <w:rsid w:val="00942816"/>
    <w:rsid w:val="009477E4"/>
    <w:rsid w:val="00963F06"/>
    <w:rsid w:val="00963F6A"/>
    <w:rsid w:val="0096629F"/>
    <w:rsid w:val="009815B9"/>
    <w:rsid w:val="009827FA"/>
    <w:rsid w:val="00983739"/>
    <w:rsid w:val="00986F8A"/>
    <w:rsid w:val="0099568A"/>
    <w:rsid w:val="009A7A04"/>
    <w:rsid w:val="009B1AE0"/>
    <w:rsid w:val="009C20BF"/>
    <w:rsid w:val="009D0EA3"/>
    <w:rsid w:val="009F4F2F"/>
    <w:rsid w:val="00A136CF"/>
    <w:rsid w:val="00A1520A"/>
    <w:rsid w:val="00A22966"/>
    <w:rsid w:val="00A2448A"/>
    <w:rsid w:val="00A3247F"/>
    <w:rsid w:val="00A41F87"/>
    <w:rsid w:val="00A52145"/>
    <w:rsid w:val="00A61CFC"/>
    <w:rsid w:val="00A62371"/>
    <w:rsid w:val="00A653E6"/>
    <w:rsid w:val="00A6664C"/>
    <w:rsid w:val="00A8051A"/>
    <w:rsid w:val="00A80C76"/>
    <w:rsid w:val="00A879B9"/>
    <w:rsid w:val="00A92CFA"/>
    <w:rsid w:val="00A949F2"/>
    <w:rsid w:val="00A94FCE"/>
    <w:rsid w:val="00AA0A85"/>
    <w:rsid w:val="00AA26E9"/>
    <w:rsid w:val="00AA36AB"/>
    <w:rsid w:val="00AA7E8C"/>
    <w:rsid w:val="00AB2EF1"/>
    <w:rsid w:val="00AB386B"/>
    <w:rsid w:val="00AD3EEC"/>
    <w:rsid w:val="00AE3838"/>
    <w:rsid w:val="00AE3A5A"/>
    <w:rsid w:val="00AE4BBC"/>
    <w:rsid w:val="00AE7441"/>
    <w:rsid w:val="00AF1287"/>
    <w:rsid w:val="00AF3188"/>
    <w:rsid w:val="00AF66F6"/>
    <w:rsid w:val="00AF75DE"/>
    <w:rsid w:val="00B07BE3"/>
    <w:rsid w:val="00B109B2"/>
    <w:rsid w:val="00B154F0"/>
    <w:rsid w:val="00B2045A"/>
    <w:rsid w:val="00B2365D"/>
    <w:rsid w:val="00B30AF3"/>
    <w:rsid w:val="00B33D72"/>
    <w:rsid w:val="00B37445"/>
    <w:rsid w:val="00B4476C"/>
    <w:rsid w:val="00B46117"/>
    <w:rsid w:val="00B46973"/>
    <w:rsid w:val="00B47009"/>
    <w:rsid w:val="00B53D69"/>
    <w:rsid w:val="00B7054B"/>
    <w:rsid w:val="00B70B60"/>
    <w:rsid w:val="00B7168B"/>
    <w:rsid w:val="00B862BE"/>
    <w:rsid w:val="00B93ABE"/>
    <w:rsid w:val="00B94C90"/>
    <w:rsid w:val="00B95AAA"/>
    <w:rsid w:val="00B96A3B"/>
    <w:rsid w:val="00BA0ADF"/>
    <w:rsid w:val="00BA170D"/>
    <w:rsid w:val="00BB1C13"/>
    <w:rsid w:val="00BB7FEC"/>
    <w:rsid w:val="00BC04D8"/>
    <w:rsid w:val="00BC1E45"/>
    <w:rsid w:val="00BD4286"/>
    <w:rsid w:val="00BD4A4B"/>
    <w:rsid w:val="00BE0FE5"/>
    <w:rsid w:val="00BE4A66"/>
    <w:rsid w:val="00BE57B6"/>
    <w:rsid w:val="00BE7CD7"/>
    <w:rsid w:val="00BF2AFB"/>
    <w:rsid w:val="00BF4BEF"/>
    <w:rsid w:val="00BF7C78"/>
    <w:rsid w:val="00C073B2"/>
    <w:rsid w:val="00C1334F"/>
    <w:rsid w:val="00C20F66"/>
    <w:rsid w:val="00C27EE3"/>
    <w:rsid w:val="00C3155C"/>
    <w:rsid w:val="00C331D5"/>
    <w:rsid w:val="00C36C73"/>
    <w:rsid w:val="00C414CC"/>
    <w:rsid w:val="00C43C54"/>
    <w:rsid w:val="00C45F7E"/>
    <w:rsid w:val="00C62A64"/>
    <w:rsid w:val="00C62AAC"/>
    <w:rsid w:val="00C645DC"/>
    <w:rsid w:val="00C64C42"/>
    <w:rsid w:val="00C80891"/>
    <w:rsid w:val="00C809FA"/>
    <w:rsid w:val="00C8524F"/>
    <w:rsid w:val="00C86935"/>
    <w:rsid w:val="00C90C75"/>
    <w:rsid w:val="00C93D88"/>
    <w:rsid w:val="00C951AF"/>
    <w:rsid w:val="00C951C2"/>
    <w:rsid w:val="00CA2557"/>
    <w:rsid w:val="00CA357D"/>
    <w:rsid w:val="00CA410C"/>
    <w:rsid w:val="00CA574D"/>
    <w:rsid w:val="00CC0FB3"/>
    <w:rsid w:val="00CD4CDC"/>
    <w:rsid w:val="00CD5223"/>
    <w:rsid w:val="00CE404B"/>
    <w:rsid w:val="00CE5A7C"/>
    <w:rsid w:val="00CE7CAF"/>
    <w:rsid w:val="00CF02AE"/>
    <w:rsid w:val="00CF3C5D"/>
    <w:rsid w:val="00CF3DCA"/>
    <w:rsid w:val="00D00B47"/>
    <w:rsid w:val="00D00F87"/>
    <w:rsid w:val="00D02103"/>
    <w:rsid w:val="00D13EFE"/>
    <w:rsid w:val="00D158F5"/>
    <w:rsid w:val="00D20EA1"/>
    <w:rsid w:val="00D2485E"/>
    <w:rsid w:val="00D24CAD"/>
    <w:rsid w:val="00D32F49"/>
    <w:rsid w:val="00D406A6"/>
    <w:rsid w:val="00D42B5E"/>
    <w:rsid w:val="00D473B8"/>
    <w:rsid w:val="00D51300"/>
    <w:rsid w:val="00D526DD"/>
    <w:rsid w:val="00D56A7E"/>
    <w:rsid w:val="00D7629D"/>
    <w:rsid w:val="00D81C33"/>
    <w:rsid w:val="00D81D5F"/>
    <w:rsid w:val="00D85E4A"/>
    <w:rsid w:val="00D86A35"/>
    <w:rsid w:val="00D905D9"/>
    <w:rsid w:val="00D93EA5"/>
    <w:rsid w:val="00D9555A"/>
    <w:rsid w:val="00DA12EA"/>
    <w:rsid w:val="00DA1BC0"/>
    <w:rsid w:val="00DB29D7"/>
    <w:rsid w:val="00DB3B37"/>
    <w:rsid w:val="00DC71CE"/>
    <w:rsid w:val="00DD43C0"/>
    <w:rsid w:val="00DD6B43"/>
    <w:rsid w:val="00DE3F02"/>
    <w:rsid w:val="00DE57CF"/>
    <w:rsid w:val="00DF0708"/>
    <w:rsid w:val="00DF30BD"/>
    <w:rsid w:val="00E10881"/>
    <w:rsid w:val="00E13AD3"/>
    <w:rsid w:val="00E13D88"/>
    <w:rsid w:val="00E15B7A"/>
    <w:rsid w:val="00E16439"/>
    <w:rsid w:val="00E31B0E"/>
    <w:rsid w:val="00E32330"/>
    <w:rsid w:val="00E43A64"/>
    <w:rsid w:val="00E45949"/>
    <w:rsid w:val="00E54186"/>
    <w:rsid w:val="00E60DCB"/>
    <w:rsid w:val="00E62602"/>
    <w:rsid w:val="00E62F48"/>
    <w:rsid w:val="00E651F8"/>
    <w:rsid w:val="00E70533"/>
    <w:rsid w:val="00E71278"/>
    <w:rsid w:val="00E73D85"/>
    <w:rsid w:val="00E8404D"/>
    <w:rsid w:val="00E8503F"/>
    <w:rsid w:val="00EA36C5"/>
    <w:rsid w:val="00EA5059"/>
    <w:rsid w:val="00EA78C3"/>
    <w:rsid w:val="00EA7EE2"/>
    <w:rsid w:val="00EC56D2"/>
    <w:rsid w:val="00ED08FC"/>
    <w:rsid w:val="00ED10DA"/>
    <w:rsid w:val="00ED13E3"/>
    <w:rsid w:val="00ED71BB"/>
    <w:rsid w:val="00EE0E8F"/>
    <w:rsid w:val="00EE4A16"/>
    <w:rsid w:val="00EE4BE5"/>
    <w:rsid w:val="00EF1565"/>
    <w:rsid w:val="00F07887"/>
    <w:rsid w:val="00F14545"/>
    <w:rsid w:val="00F23FE1"/>
    <w:rsid w:val="00F2417C"/>
    <w:rsid w:val="00F2603B"/>
    <w:rsid w:val="00F317A8"/>
    <w:rsid w:val="00F41C92"/>
    <w:rsid w:val="00F42C6B"/>
    <w:rsid w:val="00F42F9F"/>
    <w:rsid w:val="00F4386E"/>
    <w:rsid w:val="00F4617B"/>
    <w:rsid w:val="00F47D7B"/>
    <w:rsid w:val="00F5152A"/>
    <w:rsid w:val="00F55B99"/>
    <w:rsid w:val="00F63698"/>
    <w:rsid w:val="00F66BAE"/>
    <w:rsid w:val="00F7658A"/>
    <w:rsid w:val="00F8168D"/>
    <w:rsid w:val="00F82301"/>
    <w:rsid w:val="00F8295C"/>
    <w:rsid w:val="00F94CCA"/>
    <w:rsid w:val="00F961C9"/>
    <w:rsid w:val="00F9643B"/>
    <w:rsid w:val="00F96AD6"/>
    <w:rsid w:val="00FA53FE"/>
    <w:rsid w:val="00FA5798"/>
    <w:rsid w:val="00FB2733"/>
    <w:rsid w:val="00FB3E8B"/>
    <w:rsid w:val="00FB55E4"/>
    <w:rsid w:val="00FC09FD"/>
    <w:rsid w:val="00FC2212"/>
    <w:rsid w:val="00FC4B34"/>
    <w:rsid w:val="00FD1AF9"/>
    <w:rsid w:val="00FE0654"/>
    <w:rsid w:val="00FE7F53"/>
    <w:rsid w:val="00FF25AB"/>
    <w:rsid w:val="00FF321A"/>
    <w:rsid w:val="00FF4FE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E3B9E6"/>
  <w15:docId w15:val="{CB540FD6-5373-44BF-B7ED-3113954E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A3"/>
    <w:rPr>
      <w:sz w:val="24"/>
      <w:szCs w:val="24"/>
      <w:lang w:eastAsia="en-US"/>
    </w:rPr>
  </w:style>
  <w:style w:type="paragraph" w:styleId="Heading1">
    <w:name w:val="heading 1"/>
    <w:basedOn w:val="Normal"/>
    <w:next w:val="Normal"/>
    <w:link w:val="Heading1Char"/>
    <w:uiPriority w:val="9"/>
    <w:qFormat/>
    <w:rsid w:val="00696D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577B"/>
    <w:pPr>
      <w:spacing w:before="100"/>
    </w:pPr>
    <w:rPr>
      <w:lang w:eastAsia="lv-LV"/>
    </w:rPr>
  </w:style>
  <w:style w:type="paragraph" w:styleId="Header">
    <w:name w:val="header"/>
    <w:basedOn w:val="Normal"/>
    <w:rsid w:val="0067577B"/>
    <w:pPr>
      <w:tabs>
        <w:tab w:val="center" w:pos="4153"/>
        <w:tab w:val="right" w:pos="8306"/>
      </w:tabs>
    </w:pPr>
  </w:style>
  <w:style w:type="character" w:styleId="PageNumber">
    <w:name w:val="page number"/>
    <w:basedOn w:val="DefaultParagraphFont"/>
    <w:rsid w:val="0067577B"/>
  </w:style>
  <w:style w:type="paragraph" w:customStyle="1" w:styleId="naisc">
    <w:name w:val="naisc"/>
    <w:basedOn w:val="Normal"/>
    <w:rsid w:val="0067577B"/>
    <w:pPr>
      <w:spacing w:before="100" w:beforeAutospacing="1" w:after="100" w:afterAutospacing="1"/>
      <w:jc w:val="center"/>
    </w:pPr>
    <w:rPr>
      <w:rFonts w:eastAsia="Arial Unicode MS"/>
      <w:lang w:val="en-GB"/>
    </w:rPr>
  </w:style>
  <w:style w:type="paragraph" w:styleId="Footer">
    <w:name w:val="footer"/>
    <w:basedOn w:val="Normal"/>
    <w:link w:val="FooterChar"/>
    <w:uiPriority w:val="99"/>
    <w:rsid w:val="00FA53FE"/>
    <w:pPr>
      <w:tabs>
        <w:tab w:val="center" w:pos="4153"/>
        <w:tab w:val="right" w:pos="8306"/>
      </w:tabs>
    </w:pPr>
  </w:style>
  <w:style w:type="character" w:customStyle="1" w:styleId="FooterChar">
    <w:name w:val="Footer Char"/>
    <w:basedOn w:val="DefaultParagraphFont"/>
    <w:link w:val="Footer"/>
    <w:uiPriority w:val="99"/>
    <w:rsid w:val="00FA53FE"/>
    <w:rPr>
      <w:sz w:val="24"/>
      <w:szCs w:val="24"/>
      <w:lang w:eastAsia="en-US"/>
    </w:rPr>
  </w:style>
  <w:style w:type="paragraph" w:styleId="BalloonText">
    <w:name w:val="Balloon Text"/>
    <w:basedOn w:val="Normal"/>
    <w:link w:val="BalloonTextChar"/>
    <w:rsid w:val="00492E12"/>
    <w:rPr>
      <w:rFonts w:ascii="Tahoma" w:hAnsi="Tahoma" w:cs="Tahoma"/>
      <w:sz w:val="16"/>
      <w:szCs w:val="16"/>
    </w:rPr>
  </w:style>
  <w:style w:type="character" w:customStyle="1" w:styleId="BalloonTextChar">
    <w:name w:val="Balloon Text Char"/>
    <w:basedOn w:val="DefaultParagraphFont"/>
    <w:link w:val="BalloonText"/>
    <w:rsid w:val="00492E12"/>
    <w:rPr>
      <w:rFonts w:ascii="Tahoma" w:hAnsi="Tahoma" w:cs="Tahoma"/>
      <w:sz w:val="16"/>
      <w:szCs w:val="16"/>
      <w:lang w:eastAsia="en-US"/>
    </w:rPr>
  </w:style>
  <w:style w:type="paragraph" w:customStyle="1" w:styleId="naiskr">
    <w:name w:val="naiskr"/>
    <w:basedOn w:val="Normal"/>
    <w:rsid w:val="0001385F"/>
    <w:pPr>
      <w:spacing w:before="75" w:after="75"/>
    </w:pPr>
    <w:rPr>
      <w:lang w:eastAsia="lv-LV"/>
    </w:rPr>
  </w:style>
  <w:style w:type="paragraph" w:styleId="Title">
    <w:name w:val="Title"/>
    <w:basedOn w:val="Normal"/>
    <w:link w:val="TitleChar"/>
    <w:uiPriority w:val="10"/>
    <w:qFormat/>
    <w:rsid w:val="00522548"/>
    <w:pPr>
      <w:jc w:val="center"/>
    </w:pPr>
    <w:rPr>
      <w:b/>
      <w:sz w:val="28"/>
      <w:szCs w:val="28"/>
      <w:lang w:val="x-none" w:eastAsia="x-none"/>
    </w:rPr>
  </w:style>
  <w:style w:type="character" w:customStyle="1" w:styleId="TitleChar">
    <w:name w:val="Title Char"/>
    <w:basedOn w:val="DefaultParagraphFont"/>
    <w:link w:val="Title"/>
    <w:uiPriority w:val="10"/>
    <w:rsid w:val="00522548"/>
    <w:rPr>
      <w:b/>
      <w:sz w:val="28"/>
      <w:szCs w:val="28"/>
      <w:lang w:val="x-none" w:eastAsia="x-none"/>
    </w:rPr>
  </w:style>
  <w:style w:type="paragraph" w:styleId="ListParagraph">
    <w:name w:val="List Paragraph"/>
    <w:basedOn w:val="Normal"/>
    <w:link w:val="ListParagraphChar"/>
    <w:uiPriority w:val="34"/>
    <w:qFormat/>
    <w:rsid w:val="00522548"/>
    <w:pPr>
      <w:ind w:left="720"/>
      <w:contextualSpacing/>
    </w:pPr>
    <w:rPr>
      <w:rFonts w:eastAsiaTheme="minorHAnsi" w:cstheme="minorBidi"/>
      <w:sz w:val="28"/>
      <w:szCs w:val="22"/>
    </w:rPr>
  </w:style>
  <w:style w:type="paragraph" w:styleId="BodyText">
    <w:name w:val="Body Text"/>
    <w:basedOn w:val="Normal"/>
    <w:link w:val="BodyTextChar"/>
    <w:rsid w:val="001811EF"/>
    <w:pPr>
      <w:jc w:val="both"/>
    </w:pPr>
    <w:rPr>
      <w:szCs w:val="20"/>
    </w:rPr>
  </w:style>
  <w:style w:type="character" w:customStyle="1" w:styleId="BodyTextChar">
    <w:name w:val="Body Text Char"/>
    <w:basedOn w:val="DefaultParagraphFont"/>
    <w:link w:val="BodyText"/>
    <w:rsid w:val="001811EF"/>
    <w:rPr>
      <w:sz w:val="24"/>
      <w:lang w:eastAsia="en-US"/>
    </w:rPr>
  </w:style>
  <w:style w:type="character" w:styleId="CommentReference">
    <w:name w:val="annotation reference"/>
    <w:basedOn w:val="DefaultParagraphFont"/>
    <w:rsid w:val="00E31B0E"/>
    <w:rPr>
      <w:sz w:val="16"/>
      <w:szCs w:val="16"/>
    </w:rPr>
  </w:style>
  <w:style w:type="paragraph" w:styleId="CommentText">
    <w:name w:val="annotation text"/>
    <w:basedOn w:val="Normal"/>
    <w:link w:val="CommentTextChar"/>
    <w:uiPriority w:val="99"/>
    <w:rsid w:val="00E31B0E"/>
    <w:rPr>
      <w:sz w:val="20"/>
      <w:szCs w:val="20"/>
    </w:rPr>
  </w:style>
  <w:style w:type="character" w:customStyle="1" w:styleId="CommentTextChar">
    <w:name w:val="Comment Text Char"/>
    <w:basedOn w:val="DefaultParagraphFont"/>
    <w:link w:val="CommentText"/>
    <w:uiPriority w:val="99"/>
    <w:rsid w:val="00E31B0E"/>
    <w:rPr>
      <w:lang w:eastAsia="en-US"/>
    </w:rPr>
  </w:style>
  <w:style w:type="paragraph" w:styleId="CommentSubject">
    <w:name w:val="annotation subject"/>
    <w:basedOn w:val="CommentText"/>
    <w:next w:val="CommentText"/>
    <w:link w:val="CommentSubjectChar"/>
    <w:rsid w:val="00E31B0E"/>
    <w:rPr>
      <w:b/>
      <w:bCs/>
    </w:rPr>
  </w:style>
  <w:style w:type="character" w:customStyle="1" w:styleId="CommentSubjectChar">
    <w:name w:val="Comment Subject Char"/>
    <w:basedOn w:val="CommentTextChar"/>
    <w:link w:val="CommentSubject"/>
    <w:rsid w:val="00E31B0E"/>
    <w:rPr>
      <w:b/>
      <w:bCs/>
      <w:lang w:eastAsia="en-U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qFormat/>
    <w:rsid w:val="0099568A"/>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99568A"/>
    <w:rPr>
      <w:lang w:eastAsia="en-US"/>
    </w:rPr>
  </w:style>
  <w:style w:type="character" w:styleId="FootnoteReference">
    <w:name w:val="footnote reference"/>
    <w:aliases w:val="Footnote Reference Number,Footnote symbol,Stinking Styles22,SUPERS,ftref,Footnote Refernece,stylish,BVI fnr,Fußnotenzeichen_Raxen,callout,Footnote Reference Superscript,Odwołanie przypisu,Footnotes refss,Ref,de nota al pie,E,E FNZ"/>
    <w:basedOn w:val="DefaultParagraphFont"/>
    <w:link w:val="CharCharCharChar"/>
    <w:uiPriority w:val="99"/>
    <w:qFormat/>
    <w:rsid w:val="0099568A"/>
    <w:rPr>
      <w:vertAlign w:val="superscript"/>
    </w:rPr>
  </w:style>
  <w:style w:type="character" w:styleId="Hyperlink">
    <w:name w:val="Hyperlink"/>
    <w:basedOn w:val="DefaultParagraphFont"/>
    <w:uiPriority w:val="99"/>
    <w:unhideWhenUsed/>
    <w:rsid w:val="00646869"/>
    <w:rPr>
      <w:color w:val="0000FF" w:themeColor="hyperlink"/>
      <w:u w:val="single"/>
    </w:rPr>
  </w:style>
  <w:style w:type="character" w:customStyle="1" w:styleId="ListParagraphChar">
    <w:name w:val="List Paragraph Char"/>
    <w:basedOn w:val="DefaultParagraphFont"/>
    <w:link w:val="ListParagraph"/>
    <w:uiPriority w:val="34"/>
    <w:rsid w:val="00646869"/>
    <w:rPr>
      <w:rFonts w:eastAsiaTheme="minorHAnsi" w:cstheme="minorBidi"/>
      <w:sz w:val="28"/>
      <w:szCs w:val="22"/>
      <w:lang w:eastAsia="en-US"/>
    </w:rPr>
  </w:style>
  <w:style w:type="character" w:customStyle="1" w:styleId="st1">
    <w:name w:val="st1"/>
    <w:basedOn w:val="DefaultParagraphFont"/>
    <w:rsid w:val="00C43C54"/>
  </w:style>
  <w:style w:type="paragraph" w:customStyle="1" w:styleId="Default">
    <w:name w:val="Default"/>
    <w:rsid w:val="00904B66"/>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696DA9"/>
    <w:rPr>
      <w:rFonts w:asciiTheme="majorHAnsi" w:eastAsiaTheme="majorEastAsia" w:hAnsiTheme="majorHAnsi" w:cstheme="majorBidi"/>
      <w:b/>
      <w:bCs/>
      <w:color w:val="365F91" w:themeColor="accent1" w:themeShade="BF"/>
      <w:sz w:val="28"/>
      <w:szCs w:val="28"/>
      <w:lang w:eastAsia="en-US"/>
    </w:rPr>
  </w:style>
  <w:style w:type="paragraph" w:customStyle="1" w:styleId="CharCharCharChar">
    <w:name w:val="Char Char Char Char"/>
    <w:aliases w:val="Char2"/>
    <w:basedOn w:val="Normal"/>
    <w:next w:val="Normal"/>
    <w:link w:val="FootnoteReference"/>
    <w:uiPriority w:val="99"/>
    <w:rsid w:val="0080340E"/>
    <w:pPr>
      <w:spacing w:after="160" w:line="240" w:lineRule="exact"/>
      <w:jc w:val="both"/>
    </w:pPr>
    <w:rPr>
      <w:sz w:val="20"/>
      <w:szCs w:val="20"/>
      <w:vertAlign w:val="superscript"/>
      <w:lang w:eastAsia="lv-LV"/>
    </w:rPr>
  </w:style>
  <w:style w:type="paragraph" w:styleId="Caption">
    <w:name w:val="caption"/>
    <w:basedOn w:val="Normal"/>
    <w:next w:val="Normal"/>
    <w:uiPriority w:val="35"/>
    <w:unhideWhenUsed/>
    <w:qFormat/>
    <w:rsid w:val="00ED08FC"/>
    <w:pPr>
      <w:spacing w:after="200"/>
    </w:pPr>
    <w:rPr>
      <w:i/>
      <w:iCs/>
      <w:color w:val="1F497D" w:themeColor="text2"/>
      <w:sz w:val="18"/>
      <w:szCs w:val="18"/>
      <w:lang w:val="en-GB"/>
    </w:rPr>
  </w:style>
  <w:style w:type="paragraph" w:customStyle="1" w:styleId="li">
    <w:name w:val="li"/>
    <w:basedOn w:val="Normal"/>
    <w:rsid w:val="0008738D"/>
    <w:pPr>
      <w:ind w:left="468"/>
      <w:jc w:val="both"/>
    </w:pPr>
    <w:rPr>
      <w:lang w:eastAsia="lv-LV"/>
    </w:rPr>
  </w:style>
  <w:style w:type="character" w:customStyle="1" w:styleId="num4">
    <w:name w:val="num4"/>
    <w:basedOn w:val="DefaultParagraphFont"/>
    <w:rsid w:val="0008738D"/>
  </w:style>
  <w:style w:type="paragraph" w:customStyle="1" w:styleId="titrearticle">
    <w:name w:val="titrearticle"/>
    <w:basedOn w:val="Normal"/>
    <w:rsid w:val="00CD4CDC"/>
    <w:pPr>
      <w:spacing w:before="360"/>
      <w:jc w:val="center"/>
    </w:pPr>
    <w:rPr>
      <w:i/>
      <w:iCs/>
      <w:lang w:eastAsia="lv-LV"/>
    </w:rPr>
  </w:style>
  <w:style w:type="paragraph" w:customStyle="1" w:styleId="titlecol">
    <w:name w:val="titlecol"/>
    <w:basedOn w:val="Normal"/>
    <w:uiPriority w:val="99"/>
    <w:rsid w:val="00B70B60"/>
    <w:pPr>
      <w:spacing w:before="100" w:beforeAutospacing="1" w:after="100" w:afterAutospacing="1"/>
      <w:jc w:val="right"/>
    </w:pPr>
    <w:rPr>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1306">
      <w:bodyDiv w:val="1"/>
      <w:marLeft w:val="0"/>
      <w:marRight w:val="0"/>
      <w:marTop w:val="0"/>
      <w:marBottom w:val="0"/>
      <w:divBdr>
        <w:top w:val="none" w:sz="0" w:space="0" w:color="auto"/>
        <w:left w:val="none" w:sz="0" w:space="0" w:color="auto"/>
        <w:bottom w:val="none" w:sz="0" w:space="0" w:color="auto"/>
        <w:right w:val="none" w:sz="0" w:space="0" w:color="auto"/>
      </w:divBdr>
      <w:divsChild>
        <w:div w:id="1496726440">
          <w:marLeft w:val="547"/>
          <w:marRight w:val="0"/>
          <w:marTop w:val="0"/>
          <w:marBottom w:val="0"/>
          <w:divBdr>
            <w:top w:val="none" w:sz="0" w:space="0" w:color="auto"/>
            <w:left w:val="none" w:sz="0" w:space="0" w:color="auto"/>
            <w:bottom w:val="none" w:sz="0" w:space="0" w:color="auto"/>
            <w:right w:val="none" w:sz="0" w:space="0" w:color="auto"/>
          </w:divBdr>
        </w:div>
      </w:divsChild>
    </w:div>
    <w:div w:id="766849379">
      <w:bodyDiv w:val="1"/>
      <w:marLeft w:val="390"/>
      <w:marRight w:val="390"/>
      <w:marTop w:val="0"/>
      <w:marBottom w:val="0"/>
      <w:divBdr>
        <w:top w:val="none" w:sz="0" w:space="0" w:color="auto"/>
        <w:left w:val="none" w:sz="0" w:space="0" w:color="auto"/>
        <w:bottom w:val="none" w:sz="0" w:space="0" w:color="auto"/>
        <w:right w:val="none" w:sz="0" w:space="0" w:color="auto"/>
      </w:divBdr>
      <w:divsChild>
        <w:div w:id="238373127">
          <w:marLeft w:val="0"/>
          <w:marRight w:val="0"/>
          <w:marTop w:val="0"/>
          <w:marBottom w:val="0"/>
          <w:divBdr>
            <w:top w:val="none" w:sz="0" w:space="0" w:color="auto"/>
            <w:left w:val="none" w:sz="0" w:space="0" w:color="auto"/>
            <w:bottom w:val="none" w:sz="0" w:space="0" w:color="auto"/>
            <w:right w:val="none" w:sz="0" w:space="0" w:color="auto"/>
          </w:divBdr>
          <w:divsChild>
            <w:div w:id="12145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26275">
      <w:bodyDiv w:val="1"/>
      <w:marLeft w:val="390"/>
      <w:marRight w:val="390"/>
      <w:marTop w:val="0"/>
      <w:marBottom w:val="0"/>
      <w:divBdr>
        <w:top w:val="none" w:sz="0" w:space="0" w:color="auto"/>
        <w:left w:val="none" w:sz="0" w:space="0" w:color="auto"/>
        <w:bottom w:val="none" w:sz="0" w:space="0" w:color="auto"/>
        <w:right w:val="none" w:sz="0" w:space="0" w:color="auto"/>
      </w:divBdr>
      <w:divsChild>
        <w:div w:id="1151218546">
          <w:marLeft w:val="0"/>
          <w:marRight w:val="0"/>
          <w:marTop w:val="0"/>
          <w:marBottom w:val="0"/>
          <w:divBdr>
            <w:top w:val="none" w:sz="0" w:space="0" w:color="auto"/>
            <w:left w:val="none" w:sz="0" w:space="0" w:color="auto"/>
            <w:bottom w:val="none" w:sz="0" w:space="0" w:color="auto"/>
            <w:right w:val="none" w:sz="0" w:space="0" w:color="auto"/>
          </w:divBdr>
          <w:divsChild>
            <w:div w:id="3251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480">
      <w:bodyDiv w:val="1"/>
      <w:marLeft w:val="390"/>
      <w:marRight w:val="390"/>
      <w:marTop w:val="0"/>
      <w:marBottom w:val="0"/>
      <w:divBdr>
        <w:top w:val="none" w:sz="0" w:space="0" w:color="auto"/>
        <w:left w:val="none" w:sz="0" w:space="0" w:color="auto"/>
        <w:bottom w:val="none" w:sz="0" w:space="0" w:color="auto"/>
        <w:right w:val="none" w:sz="0" w:space="0" w:color="auto"/>
      </w:divBdr>
      <w:divsChild>
        <w:div w:id="1140347642">
          <w:marLeft w:val="0"/>
          <w:marRight w:val="0"/>
          <w:marTop w:val="0"/>
          <w:marBottom w:val="0"/>
          <w:divBdr>
            <w:top w:val="none" w:sz="0" w:space="0" w:color="auto"/>
            <w:left w:val="none" w:sz="0" w:space="0" w:color="auto"/>
            <w:bottom w:val="none" w:sz="0" w:space="0" w:color="auto"/>
            <w:right w:val="none" w:sz="0" w:space="0" w:color="auto"/>
          </w:divBdr>
          <w:divsChild>
            <w:div w:id="11458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2823">
      <w:bodyDiv w:val="1"/>
      <w:marLeft w:val="390"/>
      <w:marRight w:val="390"/>
      <w:marTop w:val="0"/>
      <w:marBottom w:val="0"/>
      <w:divBdr>
        <w:top w:val="none" w:sz="0" w:space="0" w:color="auto"/>
        <w:left w:val="none" w:sz="0" w:space="0" w:color="auto"/>
        <w:bottom w:val="none" w:sz="0" w:space="0" w:color="auto"/>
        <w:right w:val="none" w:sz="0" w:space="0" w:color="auto"/>
      </w:divBdr>
      <w:divsChild>
        <w:div w:id="1892226977">
          <w:marLeft w:val="0"/>
          <w:marRight w:val="0"/>
          <w:marTop w:val="0"/>
          <w:marBottom w:val="0"/>
          <w:divBdr>
            <w:top w:val="none" w:sz="0" w:space="0" w:color="auto"/>
            <w:left w:val="none" w:sz="0" w:space="0" w:color="auto"/>
            <w:bottom w:val="none" w:sz="0" w:space="0" w:color="auto"/>
            <w:right w:val="none" w:sz="0" w:space="0" w:color="auto"/>
          </w:divBdr>
          <w:divsChild>
            <w:div w:id="10225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langId=en&amp;catId=89&amp;newsId=9114" TargetMode="External"/><Relationship Id="rId2" Type="http://schemas.openxmlformats.org/officeDocument/2006/relationships/hyperlink" Target="https://ec.europa.eu/commission/publications/regional-development-and-cohesion_en" TargetMode="External"/><Relationship Id="rId1" Type="http://schemas.openxmlformats.org/officeDocument/2006/relationships/hyperlink" Target="https://eur-lex.europa.eu/legal-content/EN/TXT/?uri=COM%3A2018%3A375%3AFIN" TargetMode="External"/><Relationship Id="rId4" Type="http://schemas.openxmlformats.org/officeDocument/2006/relationships/hyperlink" Target="https://ec.europa.eu/commission/sites/beta-political/files/budget-may2018-specific-provisions_en.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407984-5790-4559-832C-D0234096B38E}" type="doc">
      <dgm:prSet loTypeId="urn:microsoft.com/office/officeart/2005/8/layout/hierarchy4" loCatId="hierarchy" qsTypeId="urn:microsoft.com/office/officeart/2005/8/quickstyle/3d3" qsCatId="3D" csTypeId="urn:microsoft.com/office/officeart/2005/8/colors/accent0_1" csCatId="mainScheme" phldr="1"/>
      <dgm:spPr/>
      <dgm:t>
        <a:bodyPr/>
        <a:lstStyle/>
        <a:p>
          <a:endParaRPr lang="en-US"/>
        </a:p>
      </dgm:t>
    </dgm:pt>
    <dgm:pt modelId="{65129806-6A37-4449-B696-764DF2E4FAFA}">
      <dgm:prSet phldrT="[Text]" custT="1"/>
      <dgm:spPr/>
      <dgm:t>
        <a:bodyPr/>
        <a:lstStyle/>
        <a:p>
          <a:r>
            <a:rPr lang="lv-LV" sz="1800" dirty="0" smtClean="0"/>
            <a:t>Kopējās fondu regulas priekšlikums</a:t>
          </a:r>
          <a:endParaRPr lang="en-US" sz="1800" dirty="0"/>
        </a:p>
      </dgm:t>
    </dgm:pt>
    <dgm:pt modelId="{CB71E96F-2351-44E2-9302-9F553CEA5B6E}" type="parTrans" cxnId="{79F82791-8F5C-427B-A491-0B9E667B1094}">
      <dgm:prSet/>
      <dgm:spPr/>
      <dgm:t>
        <a:bodyPr/>
        <a:lstStyle/>
        <a:p>
          <a:endParaRPr lang="en-US" sz="1100"/>
        </a:p>
      </dgm:t>
    </dgm:pt>
    <dgm:pt modelId="{E73C5626-8E1F-45B2-8E14-7A83F0F5B80A}" type="sibTrans" cxnId="{79F82791-8F5C-427B-A491-0B9E667B1094}">
      <dgm:prSet/>
      <dgm:spPr/>
      <dgm:t>
        <a:bodyPr/>
        <a:lstStyle/>
        <a:p>
          <a:endParaRPr lang="en-US" sz="1100"/>
        </a:p>
      </dgm:t>
    </dgm:pt>
    <dgm:pt modelId="{AB11CB90-3D5D-420B-BF2D-1E771C5B568E}">
      <dgm:prSet phldrT="[Text]" custT="1"/>
      <dgm:spPr/>
      <dgm:t>
        <a:bodyPr/>
        <a:lstStyle/>
        <a:p>
          <a:r>
            <a:rPr lang="lv-LV" sz="1000" b="1" dirty="0" smtClean="0"/>
            <a:t>ESF+ </a:t>
          </a:r>
          <a:r>
            <a:rPr lang="lv-LV" sz="1000" dirty="0" smtClean="0"/>
            <a:t>regula</a:t>
          </a:r>
        </a:p>
        <a:p>
          <a:r>
            <a:rPr lang="lv-LV" sz="1000" dirty="0" smtClean="0"/>
            <a:t>(ESF,</a:t>
          </a:r>
          <a:r>
            <a:rPr lang="en-US" sz="1000" dirty="0" smtClean="0"/>
            <a:t> </a:t>
          </a:r>
          <a:r>
            <a:rPr lang="lv-LV" sz="1000" dirty="0" err="1" smtClean="0"/>
            <a:t>EaSI</a:t>
          </a:r>
          <a:r>
            <a:rPr lang="lv-LV" sz="1000" dirty="0" smtClean="0"/>
            <a:t>, JNI, </a:t>
          </a:r>
          <a:r>
            <a:rPr lang="en-US" sz="1000" dirty="0" err="1" smtClean="0"/>
            <a:t>Eiropas</a:t>
          </a:r>
          <a:r>
            <a:rPr lang="en-US" sz="1000" dirty="0" smtClean="0"/>
            <a:t> </a:t>
          </a:r>
          <a:r>
            <a:rPr lang="en-US" sz="1000" dirty="0" err="1" smtClean="0"/>
            <a:t>atbalsta</a:t>
          </a:r>
          <a:r>
            <a:rPr lang="en-US" sz="1000" dirty="0" smtClean="0"/>
            <a:t> fond</a:t>
          </a:r>
          <a:r>
            <a:rPr lang="lv-LV" sz="1000" dirty="0" smtClean="0"/>
            <a:t>s</a:t>
          </a:r>
          <a:r>
            <a:rPr lang="en-US" sz="1000" dirty="0" smtClean="0"/>
            <a:t> </a:t>
          </a:r>
          <a:r>
            <a:rPr lang="en-US" sz="1000" dirty="0" err="1" smtClean="0"/>
            <a:t>vistrūcīgākajām</a:t>
          </a:r>
          <a:r>
            <a:rPr lang="en-US" sz="1000" dirty="0" smtClean="0"/>
            <a:t> </a:t>
          </a:r>
          <a:r>
            <a:rPr lang="en-US" sz="1000" dirty="0" err="1" smtClean="0"/>
            <a:t>personām</a:t>
          </a:r>
          <a:r>
            <a:rPr lang="lv-LV" sz="1000" dirty="0" smtClean="0"/>
            <a:t> un veselības programma)</a:t>
          </a:r>
          <a:endParaRPr lang="en-US" sz="1000" dirty="0"/>
        </a:p>
      </dgm:t>
    </dgm:pt>
    <dgm:pt modelId="{67112D4C-F495-453E-9A72-609FD68B535D}" type="parTrans" cxnId="{C5CE2E8E-C947-4CEF-B8FF-2451C4738295}">
      <dgm:prSet/>
      <dgm:spPr/>
      <dgm:t>
        <a:bodyPr/>
        <a:lstStyle/>
        <a:p>
          <a:endParaRPr lang="en-US" sz="1100"/>
        </a:p>
      </dgm:t>
    </dgm:pt>
    <dgm:pt modelId="{1F4005F7-6673-4A08-B990-648A50D35054}" type="sibTrans" cxnId="{C5CE2E8E-C947-4CEF-B8FF-2451C4738295}">
      <dgm:prSet/>
      <dgm:spPr/>
      <dgm:t>
        <a:bodyPr/>
        <a:lstStyle/>
        <a:p>
          <a:endParaRPr lang="en-US" sz="1100"/>
        </a:p>
      </dgm:t>
    </dgm:pt>
    <dgm:pt modelId="{1688ADC6-735D-4E69-A613-3D2F0C2A6806}">
      <dgm:prSet phldrT="[Text]" custT="1"/>
      <dgm:spPr/>
      <dgm:t>
        <a:bodyPr/>
        <a:lstStyle/>
        <a:p>
          <a:r>
            <a:rPr lang="lv-LV" sz="1000" b="1" dirty="0" smtClean="0"/>
            <a:t>EJZF</a:t>
          </a:r>
          <a:r>
            <a:rPr lang="lv-LV" sz="1000" dirty="0" smtClean="0"/>
            <a:t> </a:t>
          </a:r>
        </a:p>
        <a:p>
          <a:r>
            <a:rPr lang="en-US" sz="1000" dirty="0" smtClean="0"/>
            <a:t>Eiropas Jūrlietu un zivsaimniecības fond</a:t>
          </a:r>
          <a:r>
            <a:rPr lang="lv-LV" sz="1000" dirty="0" smtClean="0"/>
            <a:t>a regula</a:t>
          </a:r>
          <a:endParaRPr lang="en-US" sz="1000" dirty="0"/>
        </a:p>
      </dgm:t>
    </dgm:pt>
    <dgm:pt modelId="{6DB0FB38-B9FA-49B9-9846-8E25A9D3F3ED}" type="parTrans" cxnId="{8624FF87-67A7-493E-8F06-875E00D38D04}">
      <dgm:prSet/>
      <dgm:spPr/>
      <dgm:t>
        <a:bodyPr/>
        <a:lstStyle/>
        <a:p>
          <a:endParaRPr lang="en-US" sz="1100"/>
        </a:p>
      </dgm:t>
    </dgm:pt>
    <dgm:pt modelId="{C52F6F90-F590-49E0-B814-8EEF7CBA6ADB}" type="sibTrans" cxnId="{8624FF87-67A7-493E-8F06-875E00D38D04}">
      <dgm:prSet/>
      <dgm:spPr/>
      <dgm:t>
        <a:bodyPr/>
        <a:lstStyle/>
        <a:p>
          <a:endParaRPr lang="en-US" sz="1100"/>
        </a:p>
      </dgm:t>
    </dgm:pt>
    <dgm:pt modelId="{02A11F0C-8802-41BD-BD14-D3761A0ABEA6}">
      <dgm:prSet phldrT="[Text]" custT="1"/>
      <dgm:spPr/>
      <dgm:t>
        <a:bodyPr/>
        <a:lstStyle/>
        <a:p>
          <a:r>
            <a:rPr lang="lv-LV" sz="1000" b="1" dirty="0" smtClean="0"/>
            <a:t>ERAF</a:t>
          </a:r>
          <a:r>
            <a:rPr lang="lv-LV" sz="1000" dirty="0" smtClean="0"/>
            <a:t> un </a:t>
          </a:r>
          <a:r>
            <a:rPr lang="lv-LV" sz="1000" b="1" dirty="0" smtClean="0"/>
            <a:t>KF</a:t>
          </a:r>
          <a:r>
            <a:rPr lang="lv-LV" sz="1000" dirty="0" smtClean="0"/>
            <a:t> regula</a:t>
          </a:r>
          <a:endParaRPr lang="en-US" sz="1000" dirty="0"/>
        </a:p>
      </dgm:t>
    </dgm:pt>
    <dgm:pt modelId="{8B88EA5C-66A3-4735-AA7A-26DD5D23EC13}" type="parTrans" cxnId="{BEE345EB-F04F-4C6F-8847-714E7426A701}">
      <dgm:prSet/>
      <dgm:spPr/>
      <dgm:t>
        <a:bodyPr/>
        <a:lstStyle/>
        <a:p>
          <a:endParaRPr lang="en-US" sz="1100"/>
        </a:p>
      </dgm:t>
    </dgm:pt>
    <dgm:pt modelId="{2B934C01-999C-4554-96EF-3C866F99965B}" type="sibTrans" cxnId="{BEE345EB-F04F-4C6F-8847-714E7426A701}">
      <dgm:prSet/>
      <dgm:spPr/>
      <dgm:t>
        <a:bodyPr/>
        <a:lstStyle/>
        <a:p>
          <a:endParaRPr lang="en-US" sz="1100"/>
        </a:p>
      </dgm:t>
    </dgm:pt>
    <dgm:pt modelId="{B904D269-94CD-470D-AFD4-ADE4573BD855}">
      <dgm:prSet phldrT="[Text]" custT="1"/>
      <dgm:spPr/>
      <dgm:t>
        <a:bodyPr/>
        <a:lstStyle/>
        <a:p>
          <a:r>
            <a:rPr lang="lv-LV" sz="1000" b="1" dirty="0" smtClean="0"/>
            <a:t>(INTERREG)</a:t>
          </a:r>
        </a:p>
        <a:p>
          <a:r>
            <a:rPr lang="lv-LV" sz="1000" dirty="0" smtClean="0"/>
            <a:t>Eiropas Teritoriālās sadarbības regula</a:t>
          </a:r>
        </a:p>
      </dgm:t>
    </dgm:pt>
    <dgm:pt modelId="{9A53447C-0064-414C-AAC5-54A407BFCAEC}" type="parTrans" cxnId="{49EB0015-27E5-4E49-80B4-F93327A37CC4}">
      <dgm:prSet/>
      <dgm:spPr/>
      <dgm:t>
        <a:bodyPr/>
        <a:lstStyle/>
        <a:p>
          <a:endParaRPr lang="en-US" sz="1100"/>
        </a:p>
      </dgm:t>
    </dgm:pt>
    <dgm:pt modelId="{72039D51-8079-44C3-93BB-3A5E4F3F944D}" type="sibTrans" cxnId="{49EB0015-27E5-4E49-80B4-F93327A37CC4}">
      <dgm:prSet/>
      <dgm:spPr/>
      <dgm:t>
        <a:bodyPr/>
        <a:lstStyle/>
        <a:p>
          <a:endParaRPr lang="en-US" sz="1100"/>
        </a:p>
      </dgm:t>
    </dgm:pt>
    <dgm:pt modelId="{AD4A691B-87B9-4B1E-8B29-286AD56C876B}">
      <dgm:prSet phldrT="[Text]" custT="1"/>
      <dgm:spPr/>
      <dgm:t>
        <a:bodyPr/>
        <a:lstStyle/>
        <a:p>
          <a:r>
            <a:rPr lang="en-US" sz="1000" b="1" dirty="0" smtClean="0"/>
            <a:t>AMIF</a:t>
          </a:r>
          <a:endParaRPr lang="lv-LV" sz="1000" b="1" dirty="0" smtClean="0"/>
        </a:p>
        <a:p>
          <a:r>
            <a:rPr lang="lv-LV" sz="1000" dirty="0" smtClean="0"/>
            <a:t>Patvēruma un migrācijas fonda regula</a:t>
          </a:r>
          <a:endParaRPr lang="en-US" sz="1000" dirty="0"/>
        </a:p>
      </dgm:t>
    </dgm:pt>
    <dgm:pt modelId="{CAB596E2-B619-4A1E-B321-E4E5E3FDFC5B}" type="parTrans" cxnId="{C78507B1-452B-482F-9DBC-64036ECBC74B}">
      <dgm:prSet/>
      <dgm:spPr/>
      <dgm:t>
        <a:bodyPr/>
        <a:lstStyle/>
        <a:p>
          <a:endParaRPr lang="en-US"/>
        </a:p>
      </dgm:t>
    </dgm:pt>
    <dgm:pt modelId="{5D9D7284-5DC9-4030-BFEB-AA6C9EA205FA}" type="sibTrans" cxnId="{C78507B1-452B-482F-9DBC-64036ECBC74B}">
      <dgm:prSet/>
      <dgm:spPr/>
      <dgm:t>
        <a:bodyPr/>
        <a:lstStyle/>
        <a:p>
          <a:endParaRPr lang="en-US"/>
        </a:p>
      </dgm:t>
    </dgm:pt>
    <dgm:pt modelId="{8D17F38D-3AA6-4B26-8229-D7D27BDFAB84}">
      <dgm:prSet phldrT="[Text]" custT="1"/>
      <dgm:spPr/>
      <dgm:t>
        <a:bodyPr/>
        <a:lstStyle/>
        <a:p>
          <a:r>
            <a:rPr lang="lv-LV" sz="1000" b="1" dirty="0" smtClean="0"/>
            <a:t>IDF un BMVI</a:t>
          </a:r>
        </a:p>
        <a:p>
          <a:r>
            <a:rPr lang="lv-LV" sz="1000" dirty="0" smtClean="0"/>
            <a:t>Iekšējās drošības un robežu pārvaldības un vīzu instrumenta regula</a:t>
          </a:r>
          <a:endParaRPr lang="en-US" sz="1000" dirty="0"/>
        </a:p>
      </dgm:t>
    </dgm:pt>
    <dgm:pt modelId="{745F20BC-348B-4E00-8A9F-B4F6D4415CB1}" type="parTrans" cxnId="{D574B79F-ED5A-4BAB-AACF-593E48981324}">
      <dgm:prSet/>
      <dgm:spPr/>
      <dgm:t>
        <a:bodyPr/>
        <a:lstStyle/>
        <a:p>
          <a:endParaRPr lang="en-US"/>
        </a:p>
      </dgm:t>
    </dgm:pt>
    <dgm:pt modelId="{0A74CDD0-4134-4C6D-8D9D-48ED504D2445}" type="sibTrans" cxnId="{D574B79F-ED5A-4BAB-AACF-593E48981324}">
      <dgm:prSet/>
      <dgm:spPr/>
      <dgm:t>
        <a:bodyPr/>
        <a:lstStyle/>
        <a:p>
          <a:endParaRPr lang="en-US"/>
        </a:p>
      </dgm:t>
    </dgm:pt>
    <dgm:pt modelId="{54A037DE-8CCC-476E-9BCA-04A219CFAE78}" type="pres">
      <dgm:prSet presAssocID="{C0407984-5790-4559-832C-D0234096B38E}" presName="Name0" presStyleCnt="0">
        <dgm:presLayoutVars>
          <dgm:chPref val="1"/>
          <dgm:dir/>
          <dgm:animOne val="branch"/>
          <dgm:animLvl val="lvl"/>
          <dgm:resizeHandles/>
        </dgm:presLayoutVars>
      </dgm:prSet>
      <dgm:spPr/>
      <dgm:t>
        <a:bodyPr/>
        <a:lstStyle/>
        <a:p>
          <a:endParaRPr lang="en-US"/>
        </a:p>
      </dgm:t>
    </dgm:pt>
    <dgm:pt modelId="{6794C4FC-208C-47F6-9583-B027285E91DB}" type="pres">
      <dgm:prSet presAssocID="{65129806-6A37-4449-B696-764DF2E4FAFA}" presName="vertOne" presStyleCnt="0"/>
      <dgm:spPr/>
      <dgm:t>
        <a:bodyPr/>
        <a:lstStyle/>
        <a:p>
          <a:endParaRPr lang="en-US"/>
        </a:p>
      </dgm:t>
    </dgm:pt>
    <dgm:pt modelId="{8E1233E6-9974-4DFB-94BD-A551CADF377D}" type="pres">
      <dgm:prSet presAssocID="{65129806-6A37-4449-B696-764DF2E4FAFA}" presName="txOne" presStyleLbl="node0" presStyleIdx="0" presStyleCnt="1" custScaleY="15287" custLinFactNeighborX="284" custLinFactNeighborY="-60955">
        <dgm:presLayoutVars>
          <dgm:chPref val="3"/>
        </dgm:presLayoutVars>
      </dgm:prSet>
      <dgm:spPr/>
      <dgm:t>
        <a:bodyPr/>
        <a:lstStyle/>
        <a:p>
          <a:endParaRPr lang="en-US"/>
        </a:p>
      </dgm:t>
    </dgm:pt>
    <dgm:pt modelId="{B77F2C95-0812-4DD0-8FBE-B2E4A0C2019D}" type="pres">
      <dgm:prSet presAssocID="{65129806-6A37-4449-B696-764DF2E4FAFA}" presName="parTransOne" presStyleCnt="0"/>
      <dgm:spPr/>
      <dgm:t>
        <a:bodyPr/>
        <a:lstStyle/>
        <a:p>
          <a:endParaRPr lang="en-US"/>
        </a:p>
      </dgm:t>
    </dgm:pt>
    <dgm:pt modelId="{728CD810-E693-42AC-9775-F40B7841A1F5}" type="pres">
      <dgm:prSet presAssocID="{65129806-6A37-4449-B696-764DF2E4FAFA}" presName="horzOne" presStyleCnt="0"/>
      <dgm:spPr/>
      <dgm:t>
        <a:bodyPr/>
        <a:lstStyle/>
        <a:p>
          <a:endParaRPr lang="en-US"/>
        </a:p>
      </dgm:t>
    </dgm:pt>
    <dgm:pt modelId="{EAA68312-6A9B-417C-949C-1D7FE105D705}" type="pres">
      <dgm:prSet presAssocID="{AD4A691B-87B9-4B1E-8B29-286AD56C876B}" presName="vertTwo" presStyleCnt="0"/>
      <dgm:spPr/>
      <dgm:t>
        <a:bodyPr/>
        <a:lstStyle/>
        <a:p>
          <a:endParaRPr lang="en-US"/>
        </a:p>
      </dgm:t>
    </dgm:pt>
    <dgm:pt modelId="{9985D161-3B95-43DA-8921-C9BD850E0144}" type="pres">
      <dgm:prSet presAssocID="{AD4A691B-87B9-4B1E-8B29-286AD56C876B}" presName="txTwo" presStyleLbl="node2" presStyleIdx="0" presStyleCnt="6" custScaleY="74614" custLinFactNeighborX="9276" custLinFactNeighborY="-6981">
        <dgm:presLayoutVars>
          <dgm:chPref val="3"/>
        </dgm:presLayoutVars>
      </dgm:prSet>
      <dgm:spPr/>
      <dgm:t>
        <a:bodyPr/>
        <a:lstStyle/>
        <a:p>
          <a:endParaRPr lang="en-US"/>
        </a:p>
      </dgm:t>
    </dgm:pt>
    <dgm:pt modelId="{916D014D-5216-4876-BC66-0BFC32F487ED}" type="pres">
      <dgm:prSet presAssocID="{AD4A691B-87B9-4B1E-8B29-286AD56C876B}" presName="horzTwo" presStyleCnt="0"/>
      <dgm:spPr/>
      <dgm:t>
        <a:bodyPr/>
        <a:lstStyle/>
        <a:p>
          <a:endParaRPr lang="en-US"/>
        </a:p>
      </dgm:t>
    </dgm:pt>
    <dgm:pt modelId="{EF57B7D8-9443-4D1E-96C2-6ACF7A7FAC3A}" type="pres">
      <dgm:prSet presAssocID="{5D9D7284-5DC9-4030-BFEB-AA6C9EA205FA}" presName="sibSpaceTwo" presStyleCnt="0"/>
      <dgm:spPr/>
      <dgm:t>
        <a:bodyPr/>
        <a:lstStyle/>
        <a:p>
          <a:endParaRPr lang="en-US"/>
        </a:p>
      </dgm:t>
    </dgm:pt>
    <dgm:pt modelId="{19961D8D-EB9D-4923-ABAE-C032F303A014}" type="pres">
      <dgm:prSet presAssocID="{B904D269-94CD-470D-AFD4-ADE4573BD855}" presName="vertTwo" presStyleCnt="0"/>
      <dgm:spPr/>
      <dgm:t>
        <a:bodyPr/>
        <a:lstStyle/>
        <a:p>
          <a:endParaRPr lang="en-US"/>
        </a:p>
      </dgm:t>
    </dgm:pt>
    <dgm:pt modelId="{9013CF96-32C7-426A-BBA1-82ADD4C83FB7}" type="pres">
      <dgm:prSet presAssocID="{B904D269-94CD-470D-AFD4-ADE4573BD855}" presName="txTwo" presStyleLbl="node2" presStyleIdx="1" presStyleCnt="6" custScaleY="74614" custLinFactNeighborX="9276" custLinFactNeighborY="-6981">
        <dgm:presLayoutVars>
          <dgm:chPref val="3"/>
        </dgm:presLayoutVars>
      </dgm:prSet>
      <dgm:spPr/>
      <dgm:t>
        <a:bodyPr/>
        <a:lstStyle/>
        <a:p>
          <a:endParaRPr lang="en-US"/>
        </a:p>
      </dgm:t>
    </dgm:pt>
    <dgm:pt modelId="{361A32D9-6246-4F07-807B-B889BE44611D}" type="pres">
      <dgm:prSet presAssocID="{B904D269-94CD-470D-AFD4-ADE4573BD855}" presName="horzTwo" presStyleCnt="0"/>
      <dgm:spPr/>
      <dgm:t>
        <a:bodyPr/>
        <a:lstStyle/>
        <a:p>
          <a:endParaRPr lang="en-US"/>
        </a:p>
      </dgm:t>
    </dgm:pt>
    <dgm:pt modelId="{7CB39BA8-FE5F-46E4-8E06-39B4DF465781}" type="pres">
      <dgm:prSet presAssocID="{72039D51-8079-44C3-93BB-3A5E4F3F944D}" presName="sibSpaceTwo" presStyleCnt="0"/>
      <dgm:spPr/>
      <dgm:t>
        <a:bodyPr/>
        <a:lstStyle/>
        <a:p>
          <a:endParaRPr lang="en-US"/>
        </a:p>
      </dgm:t>
    </dgm:pt>
    <dgm:pt modelId="{0946C923-91D8-436B-87FB-2052055120D5}" type="pres">
      <dgm:prSet presAssocID="{02A11F0C-8802-41BD-BD14-D3761A0ABEA6}" presName="vertTwo" presStyleCnt="0"/>
      <dgm:spPr/>
      <dgm:t>
        <a:bodyPr/>
        <a:lstStyle/>
        <a:p>
          <a:endParaRPr lang="en-US"/>
        </a:p>
      </dgm:t>
    </dgm:pt>
    <dgm:pt modelId="{392084BC-444F-42FB-9040-C96C625AAE19}" type="pres">
      <dgm:prSet presAssocID="{02A11F0C-8802-41BD-BD14-D3761A0ABEA6}" presName="txTwo" presStyleLbl="node2" presStyleIdx="2" presStyleCnt="6" custScaleY="74614" custLinFactNeighborX="9276" custLinFactNeighborY="-6981">
        <dgm:presLayoutVars>
          <dgm:chPref val="3"/>
        </dgm:presLayoutVars>
      </dgm:prSet>
      <dgm:spPr/>
      <dgm:t>
        <a:bodyPr/>
        <a:lstStyle/>
        <a:p>
          <a:endParaRPr lang="en-US"/>
        </a:p>
      </dgm:t>
    </dgm:pt>
    <dgm:pt modelId="{8B5E4ECC-428C-457A-9F1D-0C6D74FA6335}" type="pres">
      <dgm:prSet presAssocID="{02A11F0C-8802-41BD-BD14-D3761A0ABEA6}" presName="horzTwo" presStyleCnt="0"/>
      <dgm:spPr/>
      <dgm:t>
        <a:bodyPr/>
        <a:lstStyle/>
        <a:p>
          <a:endParaRPr lang="en-US"/>
        </a:p>
      </dgm:t>
    </dgm:pt>
    <dgm:pt modelId="{1D677404-FBE5-41FF-A041-26FE5DAFEF76}" type="pres">
      <dgm:prSet presAssocID="{2B934C01-999C-4554-96EF-3C866F99965B}" presName="sibSpaceTwo" presStyleCnt="0"/>
      <dgm:spPr/>
      <dgm:t>
        <a:bodyPr/>
        <a:lstStyle/>
        <a:p>
          <a:endParaRPr lang="en-US"/>
        </a:p>
      </dgm:t>
    </dgm:pt>
    <dgm:pt modelId="{5449EA06-16C1-4004-BE70-4858A79E62CD}" type="pres">
      <dgm:prSet presAssocID="{AB11CB90-3D5D-420B-BF2D-1E771C5B568E}" presName="vertTwo" presStyleCnt="0"/>
      <dgm:spPr/>
      <dgm:t>
        <a:bodyPr/>
        <a:lstStyle/>
        <a:p>
          <a:endParaRPr lang="en-US"/>
        </a:p>
      </dgm:t>
    </dgm:pt>
    <dgm:pt modelId="{12470744-2E06-4C57-A64E-E2370049C2C5}" type="pres">
      <dgm:prSet presAssocID="{AB11CB90-3D5D-420B-BF2D-1E771C5B568E}" presName="txTwo" presStyleLbl="node2" presStyleIdx="3" presStyleCnt="6" custScaleX="101811" custScaleY="74614" custLinFactNeighborX="9276" custLinFactNeighborY="-6981">
        <dgm:presLayoutVars>
          <dgm:chPref val="3"/>
        </dgm:presLayoutVars>
      </dgm:prSet>
      <dgm:spPr/>
      <dgm:t>
        <a:bodyPr/>
        <a:lstStyle/>
        <a:p>
          <a:endParaRPr lang="en-US"/>
        </a:p>
      </dgm:t>
    </dgm:pt>
    <dgm:pt modelId="{0062697C-E2D9-44A5-A358-C880964A2B92}" type="pres">
      <dgm:prSet presAssocID="{AB11CB90-3D5D-420B-BF2D-1E771C5B568E}" presName="horzTwo" presStyleCnt="0"/>
      <dgm:spPr/>
      <dgm:t>
        <a:bodyPr/>
        <a:lstStyle/>
        <a:p>
          <a:endParaRPr lang="en-US"/>
        </a:p>
      </dgm:t>
    </dgm:pt>
    <dgm:pt modelId="{6CFBB12B-7DF3-41D2-B3DA-91353C6CD658}" type="pres">
      <dgm:prSet presAssocID="{1F4005F7-6673-4A08-B990-648A50D35054}" presName="sibSpaceTwo" presStyleCnt="0"/>
      <dgm:spPr/>
      <dgm:t>
        <a:bodyPr/>
        <a:lstStyle/>
        <a:p>
          <a:endParaRPr lang="en-US"/>
        </a:p>
      </dgm:t>
    </dgm:pt>
    <dgm:pt modelId="{2B26BDAC-15D2-4775-B677-FB99A65C5EB6}" type="pres">
      <dgm:prSet presAssocID="{1688ADC6-735D-4E69-A613-3D2F0C2A6806}" presName="vertTwo" presStyleCnt="0"/>
      <dgm:spPr/>
      <dgm:t>
        <a:bodyPr/>
        <a:lstStyle/>
        <a:p>
          <a:endParaRPr lang="en-US"/>
        </a:p>
      </dgm:t>
    </dgm:pt>
    <dgm:pt modelId="{B5971B11-69CC-441C-9C73-8F7D115BDF16}" type="pres">
      <dgm:prSet presAssocID="{1688ADC6-735D-4E69-A613-3D2F0C2A6806}" presName="txTwo" presStyleLbl="node2" presStyleIdx="4" presStyleCnt="6" custScaleX="100601" custScaleY="74614" custLinFactNeighborX="6351" custLinFactNeighborY="-6981">
        <dgm:presLayoutVars>
          <dgm:chPref val="3"/>
        </dgm:presLayoutVars>
      </dgm:prSet>
      <dgm:spPr/>
      <dgm:t>
        <a:bodyPr/>
        <a:lstStyle/>
        <a:p>
          <a:endParaRPr lang="en-US"/>
        </a:p>
      </dgm:t>
    </dgm:pt>
    <dgm:pt modelId="{DADF8089-AA2C-45DA-8FEC-941EBE34EFB2}" type="pres">
      <dgm:prSet presAssocID="{1688ADC6-735D-4E69-A613-3D2F0C2A6806}" presName="horzTwo" presStyleCnt="0"/>
      <dgm:spPr/>
      <dgm:t>
        <a:bodyPr/>
        <a:lstStyle/>
        <a:p>
          <a:endParaRPr lang="en-US"/>
        </a:p>
      </dgm:t>
    </dgm:pt>
    <dgm:pt modelId="{3E6FF0D0-2464-4797-9102-CC74E5AF7D42}" type="pres">
      <dgm:prSet presAssocID="{C52F6F90-F590-49E0-B814-8EEF7CBA6ADB}" presName="sibSpaceTwo" presStyleCnt="0"/>
      <dgm:spPr/>
      <dgm:t>
        <a:bodyPr/>
        <a:lstStyle/>
        <a:p>
          <a:endParaRPr lang="en-US"/>
        </a:p>
      </dgm:t>
    </dgm:pt>
    <dgm:pt modelId="{878FA015-2A26-4B7F-A457-04FE0FC6A105}" type="pres">
      <dgm:prSet presAssocID="{8D17F38D-3AA6-4B26-8229-D7D27BDFAB84}" presName="vertTwo" presStyleCnt="0"/>
      <dgm:spPr/>
      <dgm:t>
        <a:bodyPr/>
        <a:lstStyle/>
        <a:p>
          <a:endParaRPr lang="en-US"/>
        </a:p>
      </dgm:t>
    </dgm:pt>
    <dgm:pt modelId="{30B88128-6F20-4F5B-B460-F6649947CB58}" type="pres">
      <dgm:prSet presAssocID="{8D17F38D-3AA6-4B26-8229-D7D27BDFAB84}" presName="txTwo" presStyleLbl="node2" presStyleIdx="5" presStyleCnt="6" custScaleY="74614" custLinFactNeighborX="77" custLinFactNeighborY="-6981">
        <dgm:presLayoutVars>
          <dgm:chPref val="3"/>
        </dgm:presLayoutVars>
      </dgm:prSet>
      <dgm:spPr/>
      <dgm:t>
        <a:bodyPr/>
        <a:lstStyle/>
        <a:p>
          <a:endParaRPr lang="en-US"/>
        </a:p>
      </dgm:t>
    </dgm:pt>
    <dgm:pt modelId="{D583B5D0-F700-4D4C-9A9E-7662F43751AD}" type="pres">
      <dgm:prSet presAssocID="{8D17F38D-3AA6-4B26-8229-D7D27BDFAB84}" presName="horzTwo" presStyleCnt="0"/>
      <dgm:spPr/>
      <dgm:t>
        <a:bodyPr/>
        <a:lstStyle/>
        <a:p>
          <a:endParaRPr lang="en-US"/>
        </a:p>
      </dgm:t>
    </dgm:pt>
  </dgm:ptLst>
  <dgm:cxnLst>
    <dgm:cxn modelId="{4AD5BF3E-9A66-4B2F-BC8A-A2EC1D61E575}" type="presOf" srcId="{02A11F0C-8802-41BD-BD14-D3761A0ABEA6}" destId="{392084BC-444F-42FB-9040-C96C625AAE19}" srcOrd="0" destOrd="0" presId="urn:microsoft.com/office/officeart/2005/8/layout/hierarchy4"/>
    <dgm:cxn modelId="{8210AA13-9803-433D-9667-74435416617F}" type="presOf" srcId="{C0407984-5790-4559-832C-D0234096B38E}" destId="{54A037DE-8CCC-476E-9BCA-04A219CFAE78}" srcOrd="0" destOrd="0" presId="urn:microsoft.com/office/officeart/2005/8/layout/hierarchy4"/>
    <dgm:cxn modelId="{8923BB2A-60D6-47FA-8D83-98DE6AC16E5F}" type="presOf" srcId="{AD4A691B-87B9-4B1E-8B29-286AD56C876B}" destId="{9985D161-3B95-43DA-8921-C9BD850E0144}" srcOrd="0" destOrd="0" presId="urn:microsoft.com/office/officeart/2005/8/layout/hierarchy4"/>
    <dgm:cxn modelId="{8624FF87-67A7-493E-8F06-875E00D38D04}" srcId="{65129806-6A37-4449-B696-764DF2E4FAFA}" destId="{1688ADC6-735D-4E69-A613-3D2F0C2A6806}" srcOrd="4" destOrd="0" parTransId="{6DB0FB38-B9FA-49B9-9846-8E25A9D3F3ED}" sibTransId="{C52F6F90-F590-49E0-B814-8EEF7CBA6ADB}"/>
    <dgm:cxn modelId="{4574EFEC-B5CA-4010-A343-69CD9925C28C}" type="presOf" srcId="{AB11CB90-3D5D-420B-BF2D-1E771C5B568E}" destId="{12470744-2E06-4C57-A64E-E2370049C2C5}" srcOrd="0" destOrd="0" presId="urn:microsoft.com/office/officeart/2005/8/layout/hierarchy4"/>
    <dgm:cxn modelId="{C5CE2E8E-C947-4CEF-B8FF-2451C4738295}" srcId="{65129806-6A37-4449-B696-764DF2E4FAFA}" destId="{AB11CB90-3D5D-420B-BF2D-1E771C5B568E}" srcOrd="3" destOrd="0" parTransId="{67112D4C-F495-453E-9A72-609FD68B535D}" sibTransId="{1F4005F7-6673-4A08-B990-648A50D35054}"/>
    <dgm:cxn modelId="{5184FBCA-4B9D-4311-841F-9365B04A41BE}" type="presOf" srcId="{B904D269-94CD-470D-AFD4-ADE4573BD855}" destId="{9013CF96-32C7-426A-BBA1-82ADD4C83FB7}" srcOrd="0" destOrd="0" presId="urn:microsoft.com/office/officeart/2005/8/layout/hierarchy4"/>
    <dgm:cxn modelId="{8ECD6273-3CD5-4B94-83D9-66161A873E6F}" type="presOf" srcId="{65129806-6A37-4449-B696-764DF2E4FAFA}" destId="{8E1233E6-9974-4DFB-94BD-A551CADF377D}" srcOrd="0" destOrd="0" presId="urn:microsoft.com/office/officeart/2005/8/layout/hierarchy4"/>
    <dgm:cxn modelId="{2A39F5B9-885A-4590-966B-F5D271A571F7}" type="presOf" srcId="{1688ADC6-735D-4E69-A613-3D2F0C2A6806}" destId="{B5971B11-69CC-441C-9C73-8F7D115BDF16}" srcOrd="0" destOrd="0" presId="urn:microsoft.com/office/officeart/2005/8/layout/hierarchy4"/>
    <dgm:cxn modelId="{49EB0015-27E5-4E49-80B4-F93327A37CC4}" srcId="{65129806-6A37-4449-B696-764DF2E4FAFA}" destId="{B904D269-94CD-470D-AFD4-ADE4573BD855}" srcOrd="1" destOrd="0" parTransId="{9A53447C-0064-414C-AAC5-54A407BFCAEC}" sibTransId="{72039D51-8079-44C3-93BB-3A5E4F3F944D}"/>
    <dgm:cxn modelId="{BEE345EB-F04F-4C6F-8847-714E7426A701}" srcId="{65129806-6A37-4449-B696-764DF2E4FAFA}" destId="{02A11F0C-8802-41BD-BD14-D3761A0ABEA6}" srcOrd="2" destOrd="0" parTransId="{8B88EA5C-66A3-4735-AA7A-26DD5D23EC13}" sibTransId="{2B934C01-999C-4554-96EF-3C866F99965B}"/>
    <dgm:cxn modelId="{C78507B1-452B-482F-9DBC-64036ECBC74B}" srcId="{65129806-6A37-4449-B696-764DF2E4FAFA}" destId="{AD4A691B-87B9-4B1E-8B29-286AD56C876B}" srcOrd="0" destOrd="0" parTransId="{CAB596E2-B619-4A1E-B321-E4E5E3FDFC5B}" sibTransId="{5D9D7284-5DC9-4030-BFEB-AA6C9EA205FA}"/>
    <dgm:cxn modelId="{445375D6-8F47-4BEA-898A-AD1502E8F149}" type="presOf" srcId="{8D17F38D-3AA6-4B26-8229-D7D27BDFAB84}" destId="{30B88128-6F20-4F5B-B460-F6649947CB58}" srcOrd="0" destOrd="0" presId="urn:microsoft.com/office/officeart/2005/8/layout/hierarchy4"/>
    <dgm:cxn modelId="{D574B79F-ED5A-4BAB-AACF-593E48981324}" srcId="{65129806-6A37-4449-B696-764DF2E4FAFA}" destId="{8D17F38D-3AA6-4B26-8229-D7D27BDFAB84}" srcOrd="5" destOrd="0" parTransId="{745F20BC-348B-4E00-8A9F-B4F6D4415CB1}" sibTransId="{0A74CDD0-4134-4C6D-8D9D-48ED504D2445}"/>
    <dgm:cxn modelId="{79F82791-8F5C-427B-A491-0B9E667B1094}" srcId="{C0407984-5790-4559-832C-D0234096B38E}" destId="{65129806-6A37-4449-B696-764DF2E4FAFA}" srcOrd="0" destOrd="0" parTransId="{CB71E96F-2351-44E2-9302-9F553CEA5B6E}" sibTransId="{E73C5626-8E1F-45B2-8E14-7A83F0F5B80A}"/>
    <dgm:cxn modelId="{FF4C40B5-8846-4AFE-BCF6-B9BA3E26B2FB}" type="presParOf" srcId="{54A037DE-8CCC-476E-9BCA-04A219CFAE78}" destId="{6794C4FC-208C-47F6-9583-B027285E91DB}" srcOrd="0" destOrd="0" presId="urn:microsoft.com/office/officeart/2005/8/layout/hierarchy4"/>
    <dgm:cxn modelId="{C52FF21F-A0B0-4A27-A5C4-508F36E557CD}" type="presParOf" srcId="{6794C4FC-208C-47F6-9583-B027285E91DB}" destId="{8E1233E6-9974-4DFB-94BD-A551CADF377D}" srcOrd="0" destOrd="0" presId="urn:microsoft.com/office/officeart/2005/8/layout/hierarchy4"/>
    <dgm:cxn modelId="{A2D59932-7E0C-4FF2-BFEE-38D1096770D2}" type="presParOf" srcId="{6794C4FC-208C-47F6-9583-B027285E91DB}" destId="{B77F2C95-0812-4DD0-8FBE-B2E4A0C2019D}" srcOrd="1" destOrd="0" presId="urn:microsoft.com/office/officeart/2005/8/layout/hierarchy4"/>
    <dgm:cxn modelId="{B8EBBF97-1601-4A42-B0D2-A8D838AB2406}" type="presParOf" srcId="{6794C4FC-208C-47F6-9583-B027285E91DB}" destId="{728CD810-E693-42AC-9775-F40B7841A1F5}" srcOrd="2" destOrd="0" presId="urn:microsoft.com/office/officeart/2005/8/layout/hierarchy4"/>
    <dgm:cxn modelId="{41EA5BA3-D889-466F-AD5A-EBEE8E106BD1}" type="presParOf" srcId="{728CD810-E693-42AC-9775-F40B7841A1F5}" destId="{EAA68312-6A9B-417C-949C-1D7FE105D705}" srcOrd="0" destOrd="0" presId="urn:microsoft.com/office/officeart/2005/8/layout/hierarchy4"/>
    <dgm:cxn modelId="{6F6B7952-F4B1-4298-AB5B-E54310245CA2}" type="presParOf" srcId="{EAA68312-6A9B-417C-949C-1D7FE105D705}" destId="{9985D161-3B95-43DA-8921-C9BD850E0144}" srcOrd="0" destOrd="0" presId="urn:microsoft.com/office/officeart/2005/8/layout/hierarchy4"/>
    <dgm:cxn modelId="{6DA1CAE8-5728-4B57-8FD2-1632942CCD98}" type="presParOf" srcId="{EAA68312-6A9B-417C-949C-1D7FE105D705}" destId="{916D014D-5216-4876-BC66-0BFC32F487ED}" srcOrd="1" destOrd="0" presId="urn:microsoft.com/office/officeart/2005/8/layout/hierarchy4"/>
    <dgm:cxn modelId="{0FC347E4-959D-47A0-980B-46110A5A7170}" type="presParOf" srcId="{728CD810-E693-42AC-9775-F40B7841A1F5}" destId="{EF57B7D8-9443-4D1E-96C2-6ACF7A7FAC3A}" srcOrd="1" destOrd="0" presId="urn:microsoft.com/office/officeart/2005/8/layout/hierarchy4"/>
    <dgm:cxn modelId="{9B3F8623-49C0-415F-B4CA-3F93749F5145}" type="presParOf" srcId="{728CD810-E693-42AC-9775-F40B7841A1F5}" destId="{19961D8D-EB9D-4923-ABAE-C032F303A014}" srcOrd="2" destOrd="0" presId="urn:microsoft.com/office/officeart/2005/8/layout/hierarchy4"/>
    <dgm:cxn modelId="{5D77E07A-7B0E-41B8-A202-556D76E87764}" type="presParOf" srcId="{19961D8D-EB9D-4923-ABAE-C032F303A014}" destId="{9013CF96-32C7-426A-BBA1-82ADD4C83FB7}" srcOrd="0" destOrd="0" presId="urn:microsoft.com/office/officeart/2005/8/layout/hierarchy4"/>
    <dgm:cxn modelId="{207E8DC4-62FF-4F3C-80A9-8E8227148640}" type="presParOf" srcId="{19961D8D-EB9D-4923-ABAE-C032F303A014}" destId="{361A32D9-6246-4F07-807B-B889BE44611D}" srcOrd="1" destOrd="0" presId="urn:microsoft.com/office/officeart/2005/8/layout/hierarchy4"/>
    <dgm:cxn modelId="{0BEE9F55-B709-4AD0-A2B4-C9FCEA476DB9}" type="presParOf" srcId="{728CD810-E693-42AC-9775-F40B7841A1F5}" destId="{7CB39BA8-FE5F-46E4-8E06-39B4DF465781}" srcOrd="3" destOrd="0" presId="urn:microsoft.com/office/officeart/2005/8/layout/hierarchy4"/>
    <dgm:cxn modelId="{D52E7FBD-CB32-4EBD-84F9-876C9E103958}" type="presParOf" srcId="{728CD810-E693-42AC-9775-F40B7841A1F5}" destId="{0946C923-91D8-436B-87FB-2052055120D5}" srcOrd="4" destOrd="0" presId="urn:microsoft.com/office/officeart/2005/8/layout/hierarchy4"/>
    <dgm:cxn modelId="{DA0784B9-D0E4-4653-94B6-5137C2A5930D}" type="presParOf" srcId="{0946C923-91D8-436B-87FB-2052055120D5}" destId="{392084BC-444F-42FB-9040-C96C625AAE19}" srcOrd="0" destOrd="0" presId="urn:microsoft.com/office/officeart/2005/8/layout/hierarchy4"/>
    <dgm:cxn modelId="{62AB203A-85F4-46A1-9AA3-D8960454AE5F}" type="presParOf" srcId="{0946C923-91D8-436B-87FB-2052055120D5}" destId="{8B5E4ECC-428C-457A-9F1D-0C6D74FA6335}" srcOrd="1" destOrd="0" presId="urn:microsoft.com/office/officeart/2005/8/layout/hierarchy4"/>
    <dgm:cxn modelId="{6351C75F-FD4A-45D4-A748-4886D4CF6642}" type="presParOf" srcId="{728CD810-E693-42AC-9775-F40B7841A1F5}" destId="{1D677404-FBE5-41FF-A041-26FE5DAFEF76}" srcOrd="5" destOrd="0" presId="urn:microsoft.com/office/officeart/2005/8/layout/hierarchy4"/>
    <dgm:cxn modelId="{8056BCF4-1FD8-4C7E-AA80-05C6153191E8}" type="presParOf" srcId="{728CD810-E693-42AC-9775-F40B7841A1F5}" destId="{5449EA06-16C1-4004-BE70-4858A79E62CD}" srcOrd="6" destOrd="0" presId="urn:microsoft.com/office/officeart/2005/8/layout/hierarchy4"/>
    <dgm:cxn modelId="{42185E9B-A859-4F60-B2F8-2FEA08985EF6}" type="presParOf" srcId="{5449EA06-16C1-4004-BE70-4858A79E62CD}" destId="{12470744-2E06-4C57-A64E-E2370049C2C5}" srcOrd="0" destOrd="0" presId="urn:microsoft.com/office/officeart/2005/8/layout/hierarchy4"/>
    <dgm:cxn modelId="{99FE5E47-E247-4FE0-9DAD-29AD4FB05E1D}" type="presParOf" srcId="{5449EA06-16C1-4004-BE70-4858A79E62CD}" destId="{0062697C-E2D9-44A5-A358-C880964A2B92}" srcOrd="1" destOrd="0" presId="urn:microsoft.com/office/officeart/2005/8/layout/hierarchy4"/>
    <dgm:cxn modelId="{34F82A4D-D807-48FE-BDF6-B3291D102E33}" type="presParOf" srcId="{728CD810-E693-42AC-9775-F40B7841A1F5}" destId="{6CFBB12B-7DF3-41D2-B3DA-91353C6CD658}" srcOrd="7" destOrd="0" presId="urn:microsoft.com/office/officeart/2005/8/layout/hierarchy4"/>
    <dgm:cxn modelId="{33BF64FF-5E3B-4727-9EDA-776C6C9FF7FD}" type="presParOf" srcId="{728CD810-E693-42AC-9775-F40B7841A1F5}" destId="{2B26BDAC-15D2-4775-B677-FB99A65C5EB6}" srcOrd="8" destOrd="0" presId="urn:microsoft.com/office/officeart/2005/8/layout/hierarchy4"/>
    <dgm:cxn modelId="{2E181556-286C-4847-9FFB-3351295DC3F8}" type="presParOf" srcId="{2B26BDAC-15D2-4775-B677-FB99A65C5EB6}" destId="{B5971B11-69CC-441C-9C73-8F7D115BDF16}" srcOrd="0" destOrd="0" presId="urn:microsoft.com/office/officeart/2005/8/layout/hierarchy4"/>
    <dgm:cxn modelId="{09EB1A29-66DF-4D83-92EC-DC5AB757A72D}" type="presParOf" srcId="{2B26BDAC-15D2-4775-B677-FB99A65C5EB6}" destId="{DADF8089-AA2C-45DA-8FEC-941EBE34EFB2}" srcOrd="1" destOrd="0" presId="urn:microsoft.com/office/officeart/2005/8/layout/hierarchy4"/>
    <dgm:cxn modelId="{DA502453-FB82-47D4-B200-D8F111EA2735}" type="presParOf" srcId="{728CD810-E693-42AC-9775-F40B7841A1F5}" destId="{3E6FF0D0-2464-4797-9102-CC74E5AF7D42}" srcOrd="9" destOrd="0" presId="urn:microsoft.com/office/officeart/2005/8/layout/hierarchy4"/>
    <dgm:cxn modelId="{50B49F2B-2EF9-46E5-AC54-0271EFED6454}" type="presParOf" srcId="{728CD810-E693-42AC-9775-F40B7841A1F5}" destId="{878FA015-2A26-4B7F-A457-04FE0FC6A105}" srcOrd="10" destOrd="0" presId="urn:microsoft.com/office/officeart/2005/8/layout/hierarchy4"/>
    <dgm:cxn modelId="{9EE5D0C9-F6E7-4C74-B158-EB22569AC3BF}" type="presParOf" srcId="{878FA015-2A26-4B7F-A457-04FE0FC6A105}" destId="{30B88128-6F20-4F5B-B460-F6649947CB58}" srcOrd="0" destOrd="0" presId="urn:microsoft.com/office/officeart/2005/8/layout/hierarchy4"/>
    <dgm:cxn modelId="{A53EE0FA-FA20-4FC1-B7C7-DBD8F7245761}" type="presParOf" srcId="{878FA015-2A26-4B7F-A457-04FE0FC6A105}" destId="{D583B5D0-F700-4D4C-9A9E-7662F43751AD}" srcOrd="1" destOrd="0" presId="urn:microsoft.com/office/officeart/2005/8/layout/hierarchy4"/>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1233E6-9974-4DFB-94BD-A551CADF377D}">
      <dsp:nvSpPr>
        <dsp:cNvPr id="0" name=""/>
        <dsp:cNvSpPr/>
      </dsp:nvSpPr>
      <dsp:spPr>
        <a:xfrm>
          <a:off x="5747" y="0"/>
          <a:ext cx="5903347" cy="254349"/>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lv-LV" sz="1800" kern="1200" dirty="0" smtClean="0"/>
            <a:t>Kopējās fondu regulas priekšlikums</a:t>
          </a:r>
          <a:endParaRPr lang="en-US" sz="1800" kern="1200" dirty="0"/>
        </a:p>
      </dsp:txBody>
      <dsp:txXfrm>
        <a:off x="13197" y="7450"/>
        <a:ext cx="5888447" cy="239449"/>
      </dsp:txXfrm>
    </dsp:sp>
    <dsp:sp modelId="{9985D161-3B95-43DA-8921-C9BD850E0144}">
      <dsp:nvSpPr>
        <dsp:cNvPr id="0" name=""/>
        <dsp:cNvSpPr/>
      </dsp:nvSpPr>
      <dsp:spPr>
        <a:xfrm>
          <a:off x="87849" y="444448"/>
          <a:ext cx="916082"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dirty="0" smtClean="0"/>
            <a:t>AMIF</a:t>
          </a:r>
          <a:endParaRPr lang="lv-LV" sz="1000" b="1" kern="1200" dirty="0" smtClean="0"/>
        </a:p>
        <a:p>
          <a:pPr lvl="0" algn="ctr" defTabSz="444500">
            <a:lnSpc>
              <a:spcPct val="90000"/>
            </a:lnSpc>
            <a:spcBef>
              <a:spcPct val="0"/>
            </a:spcBef>
            <a:spcAft>
              <a:spcPct val="35000"/>
            </a:spcAft>
          </a:pPr>
          <a:r>
            <a:rPr lang="lv-LV" sz="1000" kern="1200" dirty="0" smtClean="0"/>
            <a:t>Patvēruma un migrācijas fonda regula</a:t>
          </a:r>
          <a:endParaRPr lang="en-US" sz="1000" kern="1200" dirty="0"/>
        </a:p>
      </dsp:txBody>
      <dsp:txXfrm>
        <a:off x="114680" y="471279"/>
        <a:ext cx="862420" cy="1187786"/>
      </dsp:txXfrm>
    </dsp:sp>
    <dsp:sp modelId="{9013CF96-32C7-426A-BBA1-82ADD4C83FB7}">
      <dsp:nvSpPr>
        <dsp:cNvPr id="0" name=""/>
        <dsp:cNvSpPr/>
      </dsp:nvSpPr>
      <dsp:spPr>
        <a:xfrm>
          <a:off x="1080883" y="444448"/>
          <a:ext cx="916082"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dirty="0" smtClean="0"/>
            <a:t>(INTERREG)</a:t>
          </a:r>
        </a:p>
        <a:p>
          <a:pPr lvl="0" algn="ctr" defTabSz="444500">
            <a:lnSpc>
              <a:spcPct val="90000"/>
            </a:lnSpc>
            <a:spcBef>
              <a:spcPct val="0"/>
            </a:spcBef>
            <a:spcAft>
              <a:spcPct val="35000"/>
            </a:spcAft>
          </a:pPr>
          <a:r>
            <a:rPr lang="lv-LV" sz="1000" kern="1200" dirty="0" smtClean="0"/>
            <a:t>Eiropas Teritoriālās sadarbības regula</a:t>
          </a:r>
        </a:p>
      </dsp:txBody>
      <dsp:txXfrm>
        <a:off x="1107714" y="471279"/>
        <a:ext cx="862420" cy="1187786"/>
      </dsp:txXfrm>
    </dsp:sp>
    <dsp:sp modelId="{392084BC-444F-42FB-9040-C96C625AAE19}">
      <dsp:nvSpPr>
        <dsp:cNvPr id="0" name=""/>
        <dsp:cNvSpPr/>
      </dsp:nvSpPr>
      <dsp:spPr>
        <a:xfrm>
          <a:off x="2073917" y="444448"/>
          <a:ext cx="916082"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dirty="0" smtClean="0"/>
            <a:t>ERAF</a:t>
          </a:r>
          <a:r>
            <a:rPr lang="lv-LV" sz="1000" kern="1200" dirty="0" smtClean="0"/>
            <a:t> un </a:t>
          </a:r>
          <a:r>
            <a:rPr lang="lv-LV" sz="1000" b="1" kern="1200" dirty="0" smtClean="0"/>
            <a:t>KF</a:t>
          </a:r>
          <a:r>
            <a:rPr lang="lv-LV" sz="1000" kern="1200" dirty="0" smtClean="0"/>
            <a:t> regula</a:t>
          </a:r>
          <a:endParaRPr lang="en-US" sz="1000" kern="1200" dirty="0"/>
        </a:p>
      </dsp:txBody>
      <dsp:txXfrm>
        <a:off x="2100748" y="471279"/>
        <a:ext cx="862420" cy="1187786"/>
      </dsp:txXfrm>
    </dsp:sp>
    <dsp:sp modelId="{12470744-2E06-4C57-A64E-E2370049C2C5}">
      <dsp:nvSpPr>
        <dsp:cNvPr id="0" name=""/>
        <dsp:cNvSpPr/>
      </dsp:nvSpPr>
      <dsp:spPr>
        <a:xfrm>
          <a:off x="3066950" y="444448"/>
          <a:ext cx="932673"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dirty="0" smtClean="0"/>
            <a:t>ESF+ </a:t>
          </a:r>
          <a:r>
            <a:rPr lang="lv-LV" sz="1000" kern="1200" dirty="0" smtClean="0"/>
            <a:t>regula</a:t>
          </a:r>
        </a:p>
        <a:p>
          <a:pPr lvl="0" algn="ctr" defTabSz="444500">
            <a:lnSpc>
              <a:spcPct val="90000"/>
            </a:lnSpc>
            <a:spcBef>
              <a:spcPct val="0"/>
            </a:spcBef>
            <a:spcAft>
              <a:spcPct val="35000"/>
            </a:spcAft>
          </a:pPr>
          <a:r>
            <a:rPr lang="lv-LV" sz="1000" kern="1200" dirty="0" smtClean="0"/>
            <a:t>(ESF,</a:t>
          </a:r>
          <a:r>
            <a:rPr lang="en-US" sz="1000" kern="1200" dirty="0" smtClean="0"/>
            <a:t> </a:t>
          </a:r>
          <a:r>
            <a:rPr lang="lv-LV" sz="1000" kern="1200" dirty="0" err="1" smtClean="0"/>
            <a:t>EaSI</a:t>
          </a:r>
          <a:r>
            <a:rPr lang="lv-LV" sz="1000" kern="1200" dirty="0" smtClean="0"/>
            <a:t>, JNI, </a:t>
          </a:r>
          <a:r>
            <a:rPr lang="en-US" sz="1000" kern="1200" dirty="0" err="1" smtClean="0"/>
            <a:t>Eiropas</a:t>
          </a:r>
          <a:r>
            <a:rPr lang="en-US" sz="1000" kern="1200" dirty="0" smtClean="0"/>
            <a:t> </a:t>
          </a:r>
          <a:r>
            <a:rPr lang="en-US" sz="1000" kern="1200" dirty="0" err="1" smtClean="0"/>
            <a:t>atbalsta</a:t>
          </a:r>
          <a:r>
            <a:rPr lang="en-US" sz="1000" kern="1200" dirty="0" smtClean="0"/>
            <a:t> fond</a:t>
          </a:r>
          <a:r>
            <a:rPr lang="lv-LV" sz="1000" kern="1200" dirty="0" smtClean="0"/>
            <a:t>s</a:t>
          </a:r>
          <a:r>
            <a:rPr lang="en-US" sz="1000" kern="1200" dirty="0" smtClean="0"/>
            <a:t> </a:t>
          </a:r>
          <a:r>
            <a:rPr lang="en-US" sz="1000" kern="1200" dirty="0" err="1" smtClean="0"/>
            <a:t>vistrūcīgākajām</a:t>
          </a:r>
          <a:r>
            <a:rPr lang="en-US" sz="1000" kern="1200" dirty="0" smtClean="0"/>
            <a:t> </a:t>
          </a:r>
          <a:r>
            <a:rPr lang="en-US" sz="1000" kern="1200" dirty="0" err="1" smtClean="0"/>
            <a:t>personām</a:t>
          </a:r>
          <a:r>
            <a:rPr lang="lv-LV" sz="1000" kern="1200" dirty="0" smtClean="0"/>
            <a:t> un veselības programma)</a:t>
          </a:r>
          <a:endParaRPr lang="en-US" sz="1000" kern="1200" dirty="0"/>
        </a:p>
      </dsp:txBody>
      <dsp:txXfrm>
        <a:off x="3094267" y="471765"/>
        <a:ext cx="878039" cy="1186814"/>
      </dsp:txXfrm>
    </dsp:sp>
    <dsp:sp modelId="{B5971B11-69CC-441C-9C73-8F7D115BDF16}">
      <dsp:nvSpPr>
        <dsp:cNvPr id="0" name=""/>
        <dsp:cNvSpPr/>
      </dsp:nvSpPr>
      <dsp:spPr>
        <a:xfrm>
          <a:off x="4049779" y="444448"/>
          <a:ext cx="921588"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dirty="0" smtClean="0"/>
            <a:t>EJZF</a:t>
          </a:r>
          <a:r>
            <a:rPr lang="lv-LV" sz="1000" kern="1200" dirty="0" smtClean="0"/>
            <a:t> </a:t>
          </a:r>
        </a:p>
        <a:p>
          <a:pPr lvl="0" algn="ctr" defTabSz="444500">
            <a:lnSpc>
              <a:spcPct val="90000"/>
            </a:lnSpc>
            <a:spcBef>
              <a:spcPct val="0"/>
            </a:spcBef>
            <a:spcAft>
              <a:spcPct val="35000"/>
            </a:spcAft>
          </a:pPr>
          <a:r>
            <a:rPr lang="en-US" sz="1000" kern="1200" dirty="0" smtClean="0"/>
            <a:t>Eiropas Jūrlietu un zivsaimniecības fond</a:t>
          </a:r>
          <a:r>
            <a:rPr lang="lv-LV" sz="1000" kern="1200" dirty="0" smtClean="0"/>
            <a:t>a regula</a:t>
          </a:r>
          <a:endParaRPr lang="en-US" sz="1000" kern="1200" dirty="0"/>
        </a:p>
      </dsp:txBody>
      <dsp:txXfrm>
        <a:off x="4076771" y="471440"/>
        <a:ext cx="867604" cy="1187464"/>
      </dsp:txXfrm>
    </dsp:sp>
    <dsp:sp modelId="{30B88128-6F20-4F5B-B460-F6649947CB58}">
      <dsp:nvSpPr>
        <dsp:cNvPr id="0" name=""/>
        <dsp:cNvSpPr/>
      </dsp:nvSpPr>
      <dsp:spPr>
        <a:xfrm>
          <a:off x="4990843" y="444448"/>
          <a:ext cx="916082" cy="124144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1" kern="1200" dirty="0" smtClean="0"/>
            <a:t>IDF un BMVI</a:t>
          </a:r>
        </a:p>
        <a:p>
          <a:pPr lvl="0" algn="ctr" defTabSz="444500">
            <a:lnSpc>
              <a:spcPct val="90000"/>
            </a:lnSpc>
            <a:spcBef>
              <a:spcPct val="0"/>
            </a:spcBef>
            <a:spcAft>
              <a:spcPct val="35000"/>
            </a:spcAft>
          </a:pPr>
          <a:r>
            <a:rPr lang="lv-LV" sz="1000" kern="1200" dirty="0" smtClean="0"/>
            <a:t>Iekšējās drošības un robežu pārvaldības un vīzu instrumenta regula</a:t>
          </a:r>
          <a:endParaRPr lang="en-US" sz="1000" kern="1200" dirty="0"/>
        </a:p>
      </dsp:txBody>
      <dsp:txXfrm>
        <a:off x="5017674" y="471279"/>
        <a:ext cx="862420" cy="11877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60A2-7C93-406C-96AE-6306B078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12</Pages>
  <Words>3010</Words>
  <Characters>20852</Characters>
  <Application>Microsoft Office Word</Application>
  <DocSecurity>0</DocSecurity>
  <Lines>173</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Reģionālās attīstības fonda, Eiropas Sociālā fonda plus un Kohēzijas fonda ieviešanu 2021. – 2027. gadā Latvijā</vt:lpstr>
      <vt:lpstr>Par 2008</vt:lpstr>
    </vt:vector>
  </TitlesOfParts>
  <Company>Finanšu ministrija</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Reģionālās attīstības fonda, Eiropas Sociālā fonda plus un Kohēzijas fonda ieviešanu 2021. – 2027. gadā Latvijā</dc:title>
  <dc:creator/>
  <dc:description>Tālr.: (+371) 67095631
E-pasts: laura.naudina@fm.gov.lv</dc:description>
  <cp:lastModifiedBy>Laura Naudiņa</cp:lastModifiedBy>
  <cp:revision>67</cp:revision>
  <cp:lastPrinted>2019-04-02T11:12:00Z</cp:lastPrinted>
  <dcterms:created xsi:type="dcterms:W3CDTF">2019-04-15T08:41:00Z</dcterms:created>
  <dcterms:modified xsi:type="dcterms:W3CDTF">2019-05-30T09:17:00Z</dcterms:modified>
  <cp:category>Informatīvais ziņojums</cp:category>
</cp:coreProperties>
</file>