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054D" w14:textId="77777777" w:rsidR="00AF437B" w:rsidRPr="006D0045" w:rsidRDefault="00FE259C" w:rsidP="00253FA2">
      <w:pPr>
        <w:pStyle w:val="NormalWeb"/>
        <w:spacing w:before="0" w:beforeAutospacing="0" w:after="0" w:afterAutospacing="0"/>
        <w:jc w:val="center"/>
        <w:rPr>
          <w:rFonts w:ascii="Times New Roman" w:hAnsi="Times New Roman"/>
          <w:sz w:val="24"/>
          <w:szCs w:val="24"/>
        </w:rPr>
      </w:pPr>
      <w:smartTag w:uri="schemas-tilde-lv/tildestengine" w:element="veidnes">
        <w:smartTagPr>
          <w:attr w:name="id" w:val="-1"/>
          <w:attr w:name="baseform" w:val="izziņa"/>
          <w:attr w:name="text" w:val="Izziņa "/>
        </w:smartTagPr>
        <w:r w:rsidRPr="006D0045">
          <w:rPr>
            <w:rFonts w:ascii="Times New Roman" w:hAnsi="Times New Roman"/>
            <w:sz w:val="24"/>
            <w:szCs w:val="24"/>
          </w:rPr>
          <w:t>Izziņa</w:t>
        </w:r>
      </w:smartTag>
      <w:r w:rsidRPr="006D0045">
        <w:rPr>
          <w:rFonts w:ascii="Times New Roman" w:hAnsi="Times New Roman"/>
          <w:sz w:val="24"/>
          <w:szCs w:val="24"/>
        </w:rPr>
        <w:t xml:space="preserve"> par atzinumos sniegtajiem iebildumiem</w:t>
      </w:r>
      <w:r w:rsidR="00DA2AE2" w:rsidRPr="006D0045">
        <w:rPr>
          <w:rFonts w:ascii="Times New Roman" w:hAnsi="Times New Roman"/>
          <w:sz w:val="24"/>
          <w:szCs w:val="24"/>
        </w:rPr>
        <w:t xml:space="preserve"> </w:t>
      </w:r>
      <w:r w:rsidRPr="006D0045">
        <w:rPr>
          <w:rFonts w:ascii="Times New Roman" w:hAnsi="Times New Roman"/>
          <w:sz w:val="24"/>
          <w:szCs w:val="24"/>
        </w:rPr>
        <w:t>par</w:t>
      </w:r>
      <w:r w:rsidR="00294A48" w:rsidRPr="006D0045">
        <w:rPr>
          <w:rFonts w:ascii="Times New Roman" w:hAnsi="Times New Roman"/>
          <w:sz w:val="24"/>
          <w:szCs w:val="24"/>
        </w:rPr>
        <w:t xml:space="preserve"> </w:t>
      </w:r>
      <w:r w:rsidR="00AF437B" w:rsidRPr="006D0045">
        <w:rPr>
          <w:rFonts w:ascii="Times New Roman" w:hAnsi="Times New Roman"/>
          <w:sz w:val="24"/>
          <w:szCs w:val="24"/>
        </w:rPr>
        <w:t xml:space="preserve">informatīvo ziņojumu </w:t>
      </w:r>
    </w:p>
    <w:p w14:paraId="27F73304" w14:textId="77777777" w:rsidR="008C1CCC" w:rsidRDefault="006D0045" w:rsidP="006D0045">
      <w:pPr>
        <w:pStyle w:val="NormalWeb"/>
        <w:spacing w:before="0" w:beforeAutospacing="0" w:after="0" w:afterAutospacing="0"/>
        <w:jc w:val="center"/>
        <w:rPr>
          <w:rFonts w:ascii="Times New Roman" w:hAnsi="Times New Roman"/>
          <w:b/>
          <w:sz w:val="24"/>
          <w:szCs w:val="24"/>
        </w:rPr>
      </w:pPr>
      <w:r w:rsidRPr="006D0045">
        <w:rPr>
          <w:rFonts w:ascii="Times New Roman" w:hAnsi="Times New Roman"/>
          <w:sz w:val="24"/>
          <w:szCs w:val="24"/>
        </w:rPr>
        <w:t>“</w:t>
      </w:r>
      <w:r w:rsidRPr="006D0045">
        <w:rPr>
          <w:rFonts w:ascii="Times New Roman" w:hAnsi="Times New Roman"/>
          <w:b/>
          <w:sz w:val="24"/>
          <w:szCs w:val="24"/>
        </w:rPr>
        <w:t>Par tehnisko līdzekļu (fotoradaru) turpmākās darbības nodrošināšanu (atjaunošanu) un tās finansēšanas avotiem”</w:t>
      </w:r>
    </w:p>
    <w:p w14:paraId="516CE456" w14:textId="77777777" w:rsidR="00253FA2" w:rsidRPr="006D0045" w:rsidRDefault="006D0045" w:rsidP="006D0045">
      <w:pPr>
        <w:pStyle w:val="NormalWeb"/>
        <w:spacing w:before="0" w:beforeAutospacing="0" w:after="0" w:afterAutospacing="0"/>
        <w:jc w:val="center"/>
        <w:rPr>
          <w:rFonts w:ascii="Times New Roman" w:hAnsi="Times New Roman"/>
          <w:sz w:val="24"/>
          <w:szCs w:val="24"/>
        </w:rPr>
      </w:pPr>
      <w:r w:rsidRPr="006D0045">
        <w:rPr>
          <w:rFonts w:ascii="Times New Roman" w:hAnsi="Times New Roman"/>
          <w:b/>
          <w:sz w:val="24"/>
          <w:szCs w:val="24"/>
        </w:rPr>
        <w:t xml:space="preserve"> (VSS-67)</w:t>
      </w:r>
    </w:p>
    <w:p w14:paraId="5980A6CF" w14:textId="77777777" w:rsidR="00FE259C" w:rsidRPr="005D45D1" w:rsidRDefault="00FE259C" w:rsidP="00FE259C">
      <w:pPr>
        <w:jc w:val="center"/>
        <w:rPr>
          <w:b/>
        </w:rPr>
      </w:pPr>
    </w:p>
    <w:p w14:paraId="378C3ECC" w14:textId="5143EE8E" w:rsidR="00FE259C" w:rsidRPr="00A26DDD" w:rsidRDefault="00FE259C" w:rsidP="00FE259C">
      <w:pPr>
        <w:ind w:left="360"/>
        <w:jc w:val="center"/>
        <w:rPr>
          <w:b/>
          <w:sz w:val="20"/>
          <w:szCs w:val="20"/>
        </w:rPr>
      </w:pPr>
      <w:r w:rsidRPr="00A26DDD">
        <w:rPr>
          <w:b/>
          <w:sz w:val="20"/>
          <w:szCs w:val="20"/>
        </w:rPr>
        <w:t xml:space="preserve">I. Jautājumi, par kuriem saskaņošanā vienošanās nav panākta </w:t>
      </w:r>
    </w:p>
    <w:p w14:paraId="1A51EBA8" w14:textId="77777777" w:rsidR="00FE259C" w:rsidRPr="00A26DDD" w:rsidRDefault="00FE259C" w:rsidP="00FE259C">
      <w:pPr>
        <w:ind w:left="360"/>
        <w:jc w:val="center"/>
        <w:rPr>
          <w:sz w:val="20"/>
          <w:szCs w:val="20"/>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238"/>
        <w:gridCol w:w="4344"/>
        <w:gridCol w:w="3497"/>
        <w:gridCol w:w="1823"/>
        <w:gridCol w:w="2238"/>
      </w:tblGrid>
      <w:tr w:rsidR="000D3F6A" w:rsidRPr="00A26DDD" w14:paraId="0FAE45CD" w14:textId="77777777" w:rsidTr="005C1100">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3CA53D0" w14:textId="4707B99B" w:rsidR="00FE259C" w:rsidRPr="00A26DDD" w:rsidRDefault="00FE259C" w:rsidP="00C84E47">
            <w:pPr>
              <w:jc w:val="center"/>
              <w:rPr>
                <w:sz w:val="20"/>
                <w:szCs w:val="20"/>
              </w:rPr>
            </w:pPr>
            <w:r w:rsidRPr="00A26DDD">
              <w:rPr>
                <w:sz w:val="20"/>
                <w:szCs w:val="20"/>
              </w:rPr>
              <w:t>Nr. p.k.</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3FE2CDB" w14:textId="65B0B474" w:rsidR="00FE259C" w:rsidRPr="00A26DDD" w:rsidRDefault="00FE259C" w:rsidP="00C84E47">
            <w:pPr>
              <w:jc w:val="center"/>
              <w:rPr>
                <w:sz w:val="20"/>
                <w:szCs w:val="20"/>
              </w:rPr>
            </w:pPr>
            <w:r w:rsidRPr="00A26DDD">
              <w:rPr>
                <w:sz w:val="20"/>
                <w:szCs w:val="20"/>
              </w:rPr>
              <w:t>Saskaņošanai nosūtītā projekta redakcija (konkrēta punkta (panta) redakcija)</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190B7C51" w14:textId="606A3644" w:rsidR="00FE259C" w:rsidRPr="00A26DDD" w:rsidRDefault="00FE259C" w:rsidP="00C84E47">
            <w:pPr>
              <w:jc w:val="center"/>
              <w:rPr>
                <w:sz w:val="20"/>
                <w:szCs w:val="20"/>
              </w:rPr>
            </w:pPr>
            <w:r w:rsidRPr="00A26DDD">
              <w:rPr>
                <w:sz w:val="20"/>
                <w:szCs w:val="20"/>
              </w:rPr>
              <w:t>Atzinumā norādītais ministrijas (citas institūcijas) iebildums, kā arī saskaņošanā papildus izteiktais iebildums par projekta konkrēto punktu (pantu)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8ACF016" w14:textId="5328C34A" w:rsidR="00FE259C" w:rsidRPr="00A26DDD" w:rsidRDefault="00FE259C" w:rsidP="00C84E47">
            <w:pPr>
              <w:jc w:val="center"/>
              <w:rPr>
                <w:sz w:val="20"/>
                <w:szCs w:val="20"/>
              </w:rPr>
            </w:pPr>
            <w:r w:rsidRPr="00A26DDD">
              <w:rPr>
                <w:sz w:val="20"/>
                <w:szCs w:val="20"/>
              </w:rPr>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8372D4" w14:textId="51AF7503" w:rsidR="00FE259C" w:rsidRPr="00A26DDD" w:rsidRDefault="00FE259C" w:rsidP="00C84E47">
            <w:pPr>
              <w:jc w:val="center"/>
              <w:rPr>
                <w:sz w:val="20"/>
                <w:szCs w:val="20"/>
              </w:rPr>
            </w:pPr>
            <w:r w:rsidRPr="00A26DDD">
              <w:rPr>
                <w:sz w:val="20"/>
                <w:szCs w:val="20"/>
              </w:rPr>
              <w:t>Atzinuma sniedzēja uzturētais iebildums, ja tas atšķiras no atzinumā norādītā iebilduma pamatojuma</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6D90C00" w14:textId="46D76E4E" w:rsidR="00FE259C" w:rsidRPr="00A26DDD" w:rsidRDefault="00FE259C" w:rsidP="00C84E47">
            <w:pPr>
              <w:jc w:val="center"/>
              <w:rPr>
                <w:sz w:val="20"/>
                <w:szCs w:val="20"/>
              </w:rPr>
            </w:pPr>
            <w:r w:rsidRPr="00A26DDD">
              <w:rPr>
                <w:sz w:val="20"/>
                <w:szCs w:val="20"/>
              </w:rPr>
              <w:t>Projekta attiecīgā punkta (panta) galīgā redakcija</w:t>
            </w:r>
          </w:p>
        </w:tc>
      </w:tr>
      <w:tr w:rsidR="000D3F6A" w:rsidRPr="00A26DDD" w14:paraId="3462D1AA" w14:textId="77777777" w:rsidTr="005C1100">
        <w:tc>
          <w:tcPr>
            <w:tcW w:w="648" w:type="dxa"/>
            <w:tcBorders>
              <w:top w:val="single" w:sz="4" w:space="0" w:color="auto"/>
              <w:left w:val="single" w:sz="4" w:space="0" w:color="auto"/>
              <w:bottom w:val="single" w:sz="4" w:space="0" w:color="auto"/>
              <w:right w:val="single" w:sz="4" w:space="0" w:color="auto"/>
            </w:tcBorders>
            <w:shd w:val="clear" w:color="auto" w:fill="auto"/>
          </w:tcPr>
          <w:p w14:paraId="2BB88F3C" w14:textId="77777777" w:rsidR="00FE259C" w:rsidRPr="009C548A" w:rsidRDefault="00FE259C" w:rsidP="00C84E47">
            <w:pPr>
              <w:jc w:val="center"/>
              <w:rPr>
                <w:sz w:val="18"/>
                <w:szCs w:val="18"/>
              </w:rPr>
            </w:pPr>
            <w:r w:rsidRPr="009C548A">
              <w:rPr>
                <w:sz w:val="18"/>
                <w:szCs w:val="18"/>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25BA864" w14:textId="77777777" w:rsidR="00FE259C" w:rsidRPr="009C548A" w:rsidRDefault="00FE259C" w:rsidP="00C84E47">
            <w:pPr>
              <w:jc w:val="center"/>
              <w:rPr>
                <w:sz w:val="18"/>
                <w:szCs w:val="18"/>
              </w:rPr>
            </w:pPr>
            <w:r w:rsidRPr="009C548A">
              <w:rPr>
                <w:sz w:val="18"/>
                <w:szCs w:val="18"/>
              </w:rPr>
              <w:t>2</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7157FBFC" w14:textId="77777777" w:rsidR="00FE259C" w:rsidRPr="009C548A" w:rsidRDefault="00FE259C" w:rsidP="00C84E47">
            <w:pPr>
              <w:jc w:val="center"/>
              <w:rPr>
                <w:sz w:val="18"/>
                <w:szCs w:val="18"/>
              </w:rPr>
            </w:pPr>
            <w:r w:rsidRPr="009C548A">
              <w:rPr>
                <w:sz w:val="18"/>
                <w:szCs w:val="18"/>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76AF5D2" w14:textId="77777777" w:rsidR="00FE259C" w:rsidRPr="009C548A" w:rsidRDefault="00FE259C" w:rsidP="00C84E47">
            <w:pPr>
              <w:jc w:val="center"/>
              <w:rPr>
                <w:sz w:val="18"/>
                <w:szCs w:val="18"/>
              </w:rPr>
            </w:pPr>
            <w:r w:rsidRPr="009C548A">
              <w:rPr>
                <w:sz w:val="18"/>
                <w:szCs w:val="18"/>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655C1F" w14:textId="77777777" w:rsidR="00FE259C" w:rsidRPr="009C548A" w:rsidRDefault="00FE259C" w:rsidP="00C84E47">
            <w:pPr>
              <w:jc w:val="center"/>
              <w:rPr>
                <w:sz w:val="18"/>
                <w:szCs w:val="18"/>
              </w:rPr>
            </w:pPr>
            <w:r w:rsidRPr="009C548A">
              <w:rPr>
                <w:sz w:val="18"/>
                <w:szCs w:val="18"/>
              </w:rPr>
              <w:t>5</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748BDB23" w14:textId="77777777" w:rsidR="00FE259C" w:rsidRPr="009C548A" w:rsidRDefault="00FE259C" w:rsidP="00C84E47">
            <w:pPr>
              <w:jc w:val="center"/>
              <w:rPr>
                <w:sz w:val="18"/>
                <w:szCs w:val="18"/>
              </w:rPr>
            </w:pPr>
            <w:r w:rsidRPr="009C548A">
              <w:rPr>
                <w:sz w:val="18"/>
                <w:szCs w:val="18"/>
              </w:rPr>
              <w:t>6</w:t>
            </w:r>
          </w:p>
        </w:tc>
      </w:tr>
      <w:tr w:rsidR="000D3F6A" w:rsidRPr="00A26DDD" w14:paraId="3C9F37B5" w14:textId="77777777" w:rsidTr="005C1100">
        <w:tc>
          <w:tcPr>
            <w:tcW w:w="648" w:type="dxa"/>
            <w:tcBorders>
              <w:top w:val="single" w:sz="4" w:space="0" w:color="auto"/>
              <w:left w:val="single" w:sz="4" w:space="0" w:color="auto"/>
              <w:bottom w:val="single" w:sz="4" w:space="0" w:color="auto"/>
              <w:right w:val="single" w:sz="4" w:space="0" w:color="auto"/>
            </w:tcBorders>
            <w:shd w:val="clear" w:color="auto" w:fill="auto"/>
          </w:tcPr>
          <w:p w14:paraId="09F5CB2B" w14:textId="4328E04A" w:rsidR="007875A5" w:rsidRPr="009C548A" w:rsidRDefault="007875A5" w:rsidP="00C84E47">
            <w:pPr>
              <w:jc w:val="center"/>
              <w:rPr>
                <w:sz w:val="18"/>
                <w:szCs w:val="18"/>
              </w:rPr>
            </w:pPr>
            <w:r>
              <w:rPr>
                <w:sz w:val="18"/>
                <w:szCs w:val="18"/>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43981D18" w14:textId="77777777" w:rsidR="00D75A8B" w:rsidRDefault="00D75A8B" w:rsidP="00D75A8B">
            <w:pPr>
              <w:pStyle w:val="NormalWeb"/>
              <w:spacing w:before="0" w:beforeAutospacing="0" w:after="0" w:afterAutospacing="0"/>
              <w:jc w:val="both"/>
              <w:rPr>
                <w:rFonts w:ascii="Times New Roman" w:hAnsi="Times New Roman"/>
                <w:sz w:val="20"/>
                <w:szCs w:val="20"/>
              </w:rPr>
            </w:pPr>
            <w:r w:rsidRPr="00D75A8B">
              <w:rPr>
                <w:rStyle w:val="spelle"/>
                <w:rFonts w:ascii="Times New Roman" w:hAnsi="Times New Roman"/>
                <w:sz w:val="20"/>
                <w:szCs w:val="20"/>
              </w:rPr>
              <w:t>P</w:t>
            </w:r>
            <w:r w:rsidRPr="00D75A8B">
              <w:rPr>
                <w:rFonts w:ascii="Times New Roman" w:hAnsi="Times New Roman"/>
                <w:sz w:val="20"/>
                <w:szCs w:val="20"/>
              </w:rPr>
              <w:t>rotokollēmuma projekts:</w:t>
            </w:r>
          </w:p>
          <w:p w14:paraId="6FCC04FC" w14:textId="77777777" w:rsidR="00960B96" w:rsidRPr="00960B96" w:rsidRDefault="00960B96" w:rsidP="00960B96">
            <w:pPr>
              <w:pStyle w:val="ListParagraph"/>
              <w:ind w:left="0"/>
              <w:jc w:val="both"/>
              <w:rPr>
                <w:rStyle w:val="spelle"/>
                <w:rFonts w:ascii="Times New Roman" w:hAnsi="Times New Roman" w:cs="Times New Roman"/>
                <w:sz w:val="20"/>
                <w:szCs w:val="20"/>
              </w:rPr>
            </w:pPr>
            <w:r w:rsidRPr="00960B96">
              <w:rPr>
                <w:rStyle w:val="spelle"/>
                <w:rFonts w:ascii="Times New Roman" w:hAnsi="Times New Roman" w:cs="Times New Roman"/>
                <w:sz w:val="20"/>
                <w:szCs w:val="20"/>
              </w:rPr>
              <w:t>2. Atbalstīt priekšlikumus par:</w:t>
            </w:r>
          </w:p>
          <w:p w14:paraId="00E81B5B" w14:textId="77777777" w:rsidR="00960B96" w:rsidRPr="00960B96" w:rsidRDefault="00960B96" w:rsidP="00960B96">
            <w:pPr>
              <w:pStyle w:val="ListParagraph"/>
              <w:ind w:left="0" w:firstLine="709"/>
              <w:jc w:val="both"/>
              <w:rPr>
                <w:rStyle w:val="spelle"/>
                <w:rFonts w:ascii="Times New Roman" w:hAnsi="Times New Roman" w:cs="Times New Roman"/>
                <w:sz w:val="20"/>
                <w:szCs w:val="20"/>
              </w:rPr>
            </w:pPr>
            <w:r w:rsidRPr="00960B96">
              <w:rPr>
                <w:rStyle w:val="spelle"/>
                <w:rFonts w:ascii="Times New Roman" w:hAnsi="Times New Roman" w:cs="Times New Roman"/>
                <w:sz w:val="20"/>
                <w:szCs w:val="20"/>
              </w:rPr>
              <w:t xml:space="preserve">2.1. laikposmā no </w:t>
            </w:r>
            <w:proofErr w:type="gramStart"/>
            <w:r w:rsidRPr="00960B96">
              <w:rPr>
                <w:rStyle w:val="spelle"/>
                <w:rFonts w:ascii="Times New Roman" w:hAnsi="Times New Roman" w:cs="Times New Roman"/>
                <w:sz w:val="20"/>
                <w:szCs w:val="20"/>
              </w:rPr>
              <w:t>2015.gada</w:t>
            </w:r>
            <w:proofErr w:type="gramEnd"/>
            <w:r w:rsidRPr="00960B96">
              <w:rPr>
                <w:rStyle w:val="spelle"/>
                <w:rFonts w:ascii="Times New Roman" w:hAnsi="Times New Roman" w:cs="Times New Roman"/>
                <w:sz w:val="20"/>
                <w:szCs w:val="20"/>
              </w:rPr>
              <w:t xml:space="preserve">  līdz 2018.gadam uzstādīto 100 tehnisko līdzekļu (fotoradaru) darbības nodrošināšanu līdz laikam</w:t>
            </w:r>
            <w:r w:rsidRPr="00960B96">
              <w:rPr>
                <w:sz w:val="20"/>
                <w:szCs w:val="20"/>
              </w:rPr>
              <w:t xml:space="preserve">, </w:t>
            </w:r>
            <w:r w:rsidRPr="00960B96">
              <w:rPr>
                <w:rStyle w:val="spelle"/>
                <w:rFonts w:ascii="Times New Roman" w:hAnsi="Times New Roman" w:cs="Times New Roman"/>
                <w:sz w:val="20"/>
                <w:szCs w:val="20"/>
              </w:rPr>
              <w:t>kamēr tie tiks atzīti par derīgiem (atkārtoti verificēti) atbilstoši  normatīvajos aktos noteiktajām metroloģiskajām prasībām;</w:t>
            </w:r>
          </w:p>
          <w:p w14:paraId="636E236F" w14:textId="77777777" w:rsidR="00960B96" w:rsidRDefault="00960B96" w:rsidP="00960B96">
            <w:pPr>
              <w:pStyle w:val="ListParagraph"/>
              <w:ind w:left="0" w:firstLine="709"/>
              <w:jc w:val="both"/>
              <w:rPr>
                <w:rStyle w:val="spelle"/>
                <w:rFonts w:ascii="Times New Roman" w:hAnsi="Times New Roman" w:cs="Times New Roman"/>
                <w:sz w:val="20"/>
                <w:szCs w:val="20"/>
              </w:rPr>
            </w:pPr>
            <w:r w:rsidRPr="00960B96">
              <w:rPr>
                <w:rStyle w:val="spelle"/>
                <w:rFonts w:ascii="Times New Roman" w:hAnsi="Times New Roman" w:cs="Times New Roman"/>
                <w:sz w:val="20"/>
                <w:szCs w:val="20"/>
              </w:rPr>
              <w:t>2.2. papildu 50 tehnisko līdzekļu (fotoradaru)</w:t>
            </w:r>
            <w:proofErr w:type="gramStart"/>
            <w:r w:rsidRPr="00960B96">
              <w:rPr>
                <w:rStyle w:val="spelle"/>
                <w:rFonts w:ascii="Times New Roman" w:hAnsi="Times New Roman" w:cs="Times New Roman"/>
                <w:sz w:val="20"/>
                <w:szCs w:val="20"/>
              </w:rPr>
              <w:t xml:space="preserve">  </w:t>
            </w:r>
            <w:proofErr w:type="gramEnd"/>
            <w:r w:rsidRPr="00960B96">
              <w:rPr>
                <w:rStyle w:val="spelle"/>
                <w:rFonts w:ascii="Times New Roman" w:hAnsi="Times New Roman" w:cs="Times New Roman"/>
                <w:sz w:val="20"/>
                <w:szCs w:val="20"/>
              </w:rPr>
              <w:t>un 50 to “mulāžu” uzstādīšanu un darbības nodrošināšanu laikposmā no 2021. līdz 2023.gadam;</w:t>
            </w:r>
          </w:p>
          <w:p w14:paraId="0C1CB5C2" w14:textId="77777777" w:rsidR="00960B96" w:rsidRDefault="00960B96" w:rsidP="00960B96">
            <w:pPr>
              <w:pStyle w:val="ListParagraph"/>
              <w:ind w:left="0" w:firstLine="709"/>
              <w:jc w:val="both"/>
              <w:rPr>
                <w:rStyle w:val="spelle"/>
                <w:rFonts w:ascii="Times New Roman" w:hAnsi="Times New Roman" w:cs="Times New Roman"/>
                <w:sz w:val="20"/>
                <w:szCs w:val="20"/>
              </w:rPr>
            </w:pPr>
          </w:p>
          <w:p w14:paraId="3F06F551" w14:textId="77777777" w:rsidR="00F91D8E" w:rsidRPr="00F91D8E" w:rsidRDefault="00F91D8E" w:rsidP="00F91D8E">
            <w:pPr>
              <w:jc w:val="both"/>
              <w:rPr>
                <w:rStyle w:val="spelle"/>
                <w:sz w:val="20"/>
                <w:szCs w:val="20"/>
              </w:rPr>
            </w:pPr>
            <w:r w:rsidRPr="00F91D8E">
              <w:rPr>
                <w:rStyle w:val="spelle"/>
                <w:sz w:val="20"/>
                <w:szCs w:val="20"/>
              </w:rPr>
              <w:lastRenderedPageBreak/>
              <w:t>7. Noteikt, ka no valsts budžeta līdzekļiem</w:t>
            </w:r>
            <w:proofErr w:type="gramStart"/>
            <w:r w:rsidRPr="00F91D8E">
              <w:rPr>
                <w:rStyle w:val="spelle"/>
                <w:sz w:val="20"/>
                <w:szCs w:val="20"/>
              </w:rPr>
              <w:t xml:space="preserve">  </w:t>
            </w:r>
            <w:proofErr w:type="gramEnd"/>
            <w:r w:rsidRPr="00F91D8E">
              <w:rPr>
                <w:rStyle w:val="spelle"/>
                <w:sz w:val="20"/>
                <w:szCs w:val="20"/>
              </w:rPr>
              <w:t xml:space="preserve">finansēto  tehnisko līdzekļu (fotoradaru) nolietojuma uzkrājumu 310 643 </w:t>
            </w:r>
            <w:r w:rsidRPr="00F91D8E">
              <w:rPr>
                <w:rStyle w:val="spelle"/>
                <w:i/>
                <w:sz w:val="20"/>
                <w:szCs w:val="20"/>
              </w:rPr>
              <w:t>euro</w:t>
            </w:r>
            <w:r w:rsidRPr="00F91D8E">
              <w:rPr>
                <w:rStyle w:val="spelle"/>
                <w:sz w:val="20"/>
                <w:szCs w:val="20"/>
              </w:rPr>
              <w:t xml:space="preserve"> apmērā Ceļu satiksmes drošības direkcija izlieto:</w:t>
            </w:r>
          </w:p>
          <w:p w14:paraId="08FDF307" w14:textId="77777777" w:rsidR="00F91D8E" w:rsidRPr="00F91D8E" w:rsidRDefault="00F91D8E" w:rsidP="00F91D8E">
            <w:pPr>
              <w:ind w:firstLine="709"/>
              <w:jc w:val="both"/>
              <w:rPr>
                <w:rStyle w:val="spelle"/>
                <w:sz w:val="20"/>
                <w:szCs w:val="20"/>
              </w:rPr>
            </w:pPr>
            <w:r w:rsidRPr="00F91D8E">
              <w:rPr>
                <w:rStyle w:val="spelle"/>
                <w:sz w:val="20"/>
                <w:szCs w:val="20"/>
              </w:rPr>
              <w:t xml:space="preserve">7.1. </w:t>
            </w:r>
            <w:proofErr w:type="gramStart"/>
            <w:r w:rsidRPr="00F91D8E">
              <w:rPr>
                <w:rStyle w:val="spelle"/>
                <w:sz w:val="20"/>
                <w:szCs w:val="20"/>
              </w:rPr>
              <w:t>2019.gadā</w:t>
            </w:r>
            <w:proofErr w:type="gramEnd"/>
            <w:r w:rsidRPr="00F91D8E">
              <w:rPr>
                <w:rStyle w:val="spelle"/>
                <w:sz w:val="20"/>
                <w:szCs w:val="20"/>
              </w:rPr>
              <w:t>, lai segtu izdevumus, kas saistīti ar  luksoforu signālu kontroles ierīču iegādi un uzstādīšanu</w:t>
            </w:r>
            <w:r w:rsidRPr="00F91D8E">
              <w:rPr>
                <w:sz w:val="20"/>
                <w:szCs w:val="20"/>
              </w:rPr>
              <w:t xml:space="preserve"> </w:t>
            </w:r>
            <w:r w:rsidRPr="00F91D8E">
              <w:rPr>
                <w:rStyle w:val="spelle"/>
                <w:sz w:val="20"/>
                <w:szCs w:val="20"/>
              </w:rPr>
              <w:t xml:space="preserve">(papildu funkcionalitātes programmnodrošinājuma izstrādi, fotoradaru saslēgšanu ar luksoforiem, ierīces tipa apstiprināšanu un verifikāciju) ne vairāk kā 31 440 </w:t>
            </w:r>
            <w:r w:rsidRPr="00F91D8E">
              <w:rPr>
                <w:rStyle w:val="spelle"/>
                <w:i/>
                <w:sz w:val="20"/>
                <w:szCs w:val="20"/>
              </w:rPr>
              <w:t>euro</w:t>
            </w:r>
            <w:r w:rsidRPr="00F91D8E">
              <w:rPr>
                <w:rStyle w:val="spelle"/>
                <w:sz w:val="20"/>
                <w:szCs w:val="20"/>
              </w:rPr>
              <w:t xml:space="preserve"> apmērā;</w:t>
            </w:r>
          </w:p>
          <w:p w14:paraId="11611BC7" w14:textId="77777777" w:rsidR="00F91D8E" w:rsidRPr="00F91D8E" w:rsidRDefault="00F91D8E" w:rsidP="00F91D8E">
            <w:pPr>
              <w:ind w:firstLine="709"/>
              <w:jc w:val="both"/>
              <w:rPr>
                <w:rStyle w:val="spelle"/>
                <w:sz w:val="20"/>
                <w:szCs w:val="20"/>
              </w:rPr>
            </w:pPr>
            <w:r w:rsidRPr="00F91D8E">
              <w:rPr>
                <w:rStyle w:val="spelle"/>
                <w:sz w:val="20"/>
                <w:szCs w:val="20"/>
              </w:rPr>
              <w:t xml:space="preserve">7.2. 2022. un </w:t>
            </w:r>
            <w:proofErr w:type="gramStart"/>
            <w:r w:rsidRPr="00F91D8E">
              <w:rPr>
                <w:rStyle w:val="spelle"/>
                <w:sz w:val="20"/>
                <w:szCs w:val="20"/>
              </w:rPr>
              <w:t>2023.gadā</w:t>
            </w:r>
            <w:proofErr w:type="gramEnd"/>
            <w:r w:rsidRPr="00F91D8E">
              <w:rPr>
                <w:rStyle w:val="spelle"/>
                <w:sz w:val="20"/>
                <w:szCs w:val="20"/>
              </w:rPr>
              <w:t>,  lai segtu izdevumus, kas saistīti ar šā protokollēmuma 2.2.apakšpunktā minēto fotoradaru iegādi un uzstādīšanu.</w:t>
            </w:r>
          </w:p>
          <w:p w14:paraId="44759B7C" w14:textId="77777777" w:rsidR="00960B96" w:rsidRPr="00960B96" w:rsidRDefault="00960B96" w:rsidP="00960B96">
            <w:pPr>
              <w:pStyle w:val="ListParagraph"/>
              <w:ind w:left="0"/>
              <w:jc w:val="both"/>
              <w:rPr>
                <w:rStyle w:val="spelle"/>
                <w:rFonts w:ascii="Times New Roman" w:hAnsi="Times New Roman" w:cs="Times New Roman"/>
                <w:sz w:val="20"/>
                <w:szCs w:val="20"/>
              </w:rPr>
            </w:pPr>
          </w:p>
          <w:p w14:paraId="4B5DFD52" w14:textId="77777777" w:rsidR="00960B96" w:rsidRPr="00D75A8B" w:rsidRDefault="00960B96" w:rsidP="00D75A8B">
            <w:pPr>
              <w:pStyle w:val="NormalWeb"/>
              <w:spacing w:before="0" w:beforeAutospacing="0" w:after="0" w:afterAutospacing="0"/>
              <w:jc w:val="both"/>
              <w:rPr>
                <w:rFonts w:ascii="Times New Roman" w:hAnsi="Times New Roman"/>
                <w:sz w:val="20"/>
                <w:szCs w:val="20"/>
              </w:rPr>
            </w:pPr>
          </w:p>
          <w:p w14:paraId="357FEBE5" w14:textId="77777777" w:rsidR="007875A5" w:rsidRPr="009C548A" w:rsidRDefault="007875A5" w:rsidP="00960B96">
            <w:pPr>
              <w:ind w:right="551"/>
              <w:jc w:val="center"/>
              <w:rPr>
                <w:sz w:val="18"/>
                <w:szCs w:val="18"/>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5B85F91B" w14:textId="77777777" w:rsidR="00D75A8B" w:rsidRPr="00BD72F8" w:rsidRDefault="00D75A8B" w:rsidP="00D75A8B">
            <w:pPr>
              <w:jc w:val="center"/>
              <w:rPr>
                <w:b/>
                <w:sz w:val="20"/>
                <w:szCs w:val="20"/>
              </w:rPr>
            </w:pPr>
            <w:r w:rsidRPr="00BD72F8">
              <w:rPr>
                <w:b/>
                <w:sz w:val="20"/>
                <w:szCs w:val="20"/>
              </w:rPr>
              <w:lastRenderedPageBreak/>
              <w:t>Finanšu ministrija</w:t>
            </w:r>
          </w:p>
          <w:p w14:paraId="3DB27147" w14:textId="05E13421" w:rsidR="00D75A8B" w:rsidRPr="00BD72F8" w:rsidRDefault="00D75A8B" w:rsidP="00D75A8B">
            <w:pPr>
              <w:jc w:val="both"/>
              <w:rPr>
                <w:sz w:val="20"/>
                <w:szCs w:val="20"/>
              </w:rPr>
            </w:pPr>
            <w:r>
              <w:rPr>
                <w:sz w:val="20"/>
                <w:szCs w:val="20"/>
              </w:rPr>
              <w:t xml:space="preserve">  </w:t>
            </w:r>
            <w:r w:rsidRPr="00BD72F8">
              <w:rPr>
                <w:sz w:val="20"/>
                <w:szCs w:val="20"/>
              </w:rPr>
              <w:t>(</w:t>
            </w:r>
            <w:r>
              <w:rPr>
                <w:sz w:val="20"/>
                <w:szCs w:val="20"/>
              </w:rPr>
              <w:t>08.05</w:t>
            </w:r>
            <w:r w:rsidRPr="00DB0375">
              <w:rPr>
                <w:sz w:val="20"/>
                <w:szCs w:val="20"/>
              </w:rPr>
              <w:t>.2</w:t>
            </w:r>
            <w:r>
              <w:rPr>
                <w:sz w:val="20"/>
                <w:szCs w:val="20"/>
              </w:rPr>
              <w:t>019. atzinums Nr. 10.1-6/7-1/447</w:t>
            </w:r>
            <w:r w:rsidRPr="00BD72F8">
              <w:rPr>
                <w:sz w:val="20"/>
                <w:szCs w:val="20"/>
              </w:rPr>
              <w:t>)</w:t>
            </w:r>
          </w:p>
          <w:p w14:paraId="4B9E3C75" w14:textId="77777777" w:rsidR="00D75A8B" w:rsidRPr="00D75A8B" w:rsidRDefault="00D75A8B" w:rsidP="00D75A8B">
            <w:pPr>
              <w:spacing w:before="100" w:beforeAutospacing="1" w:after="100" w:afterAutospacing="1"/>
              <w:ind w:firstLine="720"/>
              <w:jc w:val="both"/>
              <w:rPr>
                <w:sz w:val="20"/>
                <w:szCs w:val="20"/>
              </w:rPr>
            </w:pPr>
            <w:r w:rsidRPr="00D75A8B">
              <w:rPr>
                <w:sz w:val="20"/>
                <w:szCs w:val="20"/>
              </w:rPr>
              <w:t>Informējam, ka valsts akciju sabiedrība "Ceļu satiksmes drošības direkcija" (turpmāk – CSDD) atbilstoši Centrālās statistikas pārvaldes izveidotajam un uzturētajam institucionālo vienību klasifikācijas sarakstam ir piederīga pie vispārējās valdības institucionālā sektora, kas</w:t>
            </w:r>
            <w:proofErr w:type="gramStart"/>
            <w:r w:rsidRPr="00D75A8B">
              <w:rPr>
                <w:sz w:val="20"/>
                <w:szCs w:val="20"/>
              </w:rPr>
              <w:t>, savukārt,</w:t>
            </w:r>
            <w:proofErr w:type="gramEnd"/>
            <w:r w:rsidRPr="00D75A8B">
              <w:rPr>
                <w:sz w:val="20"/>
                <w:szCs w:val="20"/>
              </w:rPr>
              <w:t xml:space="preserve"> nozīmē, ka šī institucionālā vienība ar savu saimnieciskās darbības rezultātu (veiktajiem kapitālieguldījumiem, nekustamā īpašuma atsavināšanu,  peļņu/zaudējumiem u.c. rādītājiem) Eiropas kontu sistēmas (turpmāk – EKS) metodoloģijas izpratnē ietekmē vispārējās valdības budžeta bilanci (neto aizdevumus/neto aizņēmumus). Atbilstoši EKS metodoloģijai Ministru kabineta sēdes protokollēmuma projekta 2.2.apakšpunktā un 7.punktā paredzētie pasākumi tiks uzskaitīti kā vispārējās valdības budžeta izdevumi un sekojoši provizoriski pasliktinās vispārējās valdības budžeta bilanci (fiskālo telpu) (VVBB) kapitālo ieguldījumu un ar to saistīto izmaksu apmērā 2019.-2022.gadam. Tajā pašā laikā informējam, ka atbilstoši EKS metodoloģijai </w:t>
            </w:r>
            <w:r w:rsidRPr="00D75A8B">
              <w:rPr>
                <w:sz w:val="20"/>
                <w:szCs w:val="20"/>
              </w:rPr>
              <w:lastRenderedPageBreak/>
              <w:t xml:space="preserve">iepriekšminēto </w:t>
            </w:r>
            <w:r w:rsidRPr="00D75A8B">
              <w:rPr>
                <w:b/>
                <w:bCs/>
                <w:sz w:val="20"/>
                <w:szCs w:val="20"/>
              </w:rPr>
              <w:t>pasākumu finansēšana no CSDD valsts budžetā neiemaksātajām dividendēm vai nolietojuma uzkrājuma nav atzīstami par papildu izdevumu neitralizējošiem pasākumiem</w:t>
            </w:r>
            <w:r w:rsidRPr="00D75A8B">
              <w:rPr>
                <w:sz w:val="20"/>
                <w:szCs w:val="20"/>
              </w:rPr>
              <w:t xml:space="preserve"> (t.i. tie nav ieņēmumi un tie nesamazina plānotos izdevumus). Tādējādi negatīvo ietekmi no pasākumu īstenošanas, kas paredzēti Ministru kabineta sēdes protokollēmuma projekta 2.2.apakšpunktā un 7.punktā, varēs neitralizēt tikai par </w:t>
            </w:r>
            <w:r w:rsidRPr="00D75A8B">
              <w:rPr>
                <w:sz w:val="20"/>
                <w:szCs w:val="20"/>
                <w:u w:val="single"/>
              </w:rPr>
              <w:t>papildus</w:t>
            </w:r>
            <w:r w:rsidRPr="00D75A8B">
              <w:rPr>
                <w:sz w:val="20"/>
                <w:szCs w:val="20"/>
              </w:rPr>
              <w:t xml:space="preserve"> valsts budžeta ieņēmumu apmēru. </w:t>
            </w:r>
          </w:p>
          <w:p w14:paraId="1082213C" w14:textId="77777777" w:rsidR="00D75A8B" w:rsidRPr="00D75A8B" w:rsidRDefault="00D75A8B" w:rsidP="00D75A8B">
            <w:pPr>
              <w:spacing w:before="100" w:beforeAutospacing="1" w:after="100" w:afterAutospacing="1"/>
              <w:ind w:firstLine="720"/>
              <w:jc w:val="both"/>
              <w:rPr>
                <w:sz w:val="20"/>
                <w:szCs w:val="20"/>
              </w:rPr>
            </w:pPr>
            <w:r w:rsidRPr="00D75A8B">
              <w:rPr>
                <w:sz w:val="20"/>
                <w:szCs w:val="20"/>
              </w:rPr>
              <w:t xml:space="preserve">Ņemot vērā to, ka fotoradaru darbības rezultātā gūtie papildu valsts budžeta ieņēmumi nesedz plānotos kapitālieguldījumus to pilnā apmērā, </w:t>
            </w:r>
            <w:r w:rsidRPr="00D75A8B">
              <w:rPr>
                <w:b/>
                <w:bCs/>
                <w:sz w:val="20"/>
                <w:szCs w:val="20"/>
              </w:rPr>
              <w:t xml:space="preserve">tiek radīta negatīva ietekme uz vispārējās valdības budžeta bilanci </w:t>
            </w:r>
            <w:proofErr w:type="gramStart"/>
            <w:r w:rsidRPr="00D75A8B">
              <w:rPr>
                <w:b/>
                <w:bCs/>
                <w:sz w:val="20"/>
                <w:szCs w:val="20"/>
              </w:rPr>
              <w:t>2021.gadā</w:t>
            </w:r>
            <w:proofErr w:type="gramEnd"/>
            <w:r w:rsidRPr="00D75A8B">
              <w:rPr>
                <w:b/>
                <w:bCs/>
                <w:sz w:val="20"/>
                <w:szCs w:val="20"/>
              </w:rPr>
              <w:t xml:space="preserve"> 1 483 441 </w:t>
            </w:r>
            <w:r w:rsidRPr="00D75A8B">
              <w:rPr>
                <w:b/>
                <w:bCs/>
                <w:i/>
                <w:iCs/>
                <w:sz w:val="20"/>
                <w:szCs w:val="20"/>
              </w:rPr>
              <w:t>euro</w:t>
            </w:r>
            <w:r w:rsidRPr="00D75A8B">
              <w:rPr>
                <w:b/>
                <w:bCs/>
                <w:sz w:val="20"/>
                <w:szCs w:val="20"/>
              </w:rPr>
              <w:t xml:space="preserve"> apmērā, 2022.gadā 1 647 759</w:t>
            </w:r>
            <w:r w:rsidRPr="00D75A8B">
              <w:rPr>
                <w:sz w:val="20"/>
                <w:szCs w:val="20"/>
              </w:rPr>
              <w:t xml:space="preserve"> </w:t>
            </w:r>
            <w:r w:rsidRPr="00D75A8B">
              <w:rPr>
                <w:b/>
                <w:bCs/>
                <w:i/>
                <w:iCs/>
                <w:sz w:val="20"/>
                <w:szCs w:val="20"/>
              </w:rPr>
              <w:t>euro</w:t>
            </w:r>
            <w:r w:rsidRPr="00D75A8B">
              <w:rPr>
                <w:b/>
                <w:bCs/>
                <w:sz w:val="20"/>
                <w:szCs w:val="20"/>
              </w:rPr>
              <w:t xml:space="preserve"> apmērā un 2023.gadā 1 632 279 </w:t>
            </w:r>
            <w:r w:rsidRPr="00D75A8B">
              <w:rPr>
                <w:b/>
                <w:bCs/>
                <w:i/>
                <w:iCs/>
                <w:sz w:val="20"/>
                <w:szCs w:val="20"/>
              </w:rPr>
              <w:t>euro</w:t>
            </w:r>
            <w:r w:rsidRPr="00D75A8B">
              <w:rPr>
                <w:b/>
                <w:bCs/>
                <w:sz w:val="20"/>
                <w:szCs w:val="20"/>
              </w:rPr>
              <w:t xml:space="preserve"> apmērā</w:t>
            </w:r>
            <w:r w:rsidRPr="00D75A8B">
              <w:rPr>
                <w:sz w:val="20"/>
                <w:szCs w:val="20"/>
              </w:rPr>
              <w:t xml:space="preserve">. Papildus, izdevumi, kas saistīti ar luksoforu signālu kontroles ierīču iegādi un uzstādīšanu, </w:t>
            </w:r>
            <w:r w:rsidRPr="00D75A8B">
              <w:rPr>
                <w:b/>
                <w:bCs/>
                <w:sz w:val="20"/>
                <w:szCs w:val="20"/>
              </w:rPr>
              <w:t xml:space="preserve">2019.gadā pasliktināts vispārējās valdības budžeta deficītu par 31 440 </w:t>
            </w:r>
            <w:r w:rsidRPr="00D75A8B">
              <w:rPr>
                <w:b/>
                <w:bCs/>
                <w:i/>
                <w:iCs/>
                <w:sz w:val="20"/>
                <w:szCs w:val="20"/>
              </w:rPr>
              <w:t>euro.</w:t>
            </w:r>
          </w:p>
          <w:p w14:paraId="6B41AE45" w14:textId="77777777" w:rsidR="00D75A8B" w:rsidRPr="00D75A8B" w:rsidRDefault="00D75A8B" w:rsidP="00D75A8B">
            <w:pPr>
              <w:spacing w:before="100" w:beforeAutospacing="1" w:after="100" w:afterAutospacing="1"/>
              <w:ind w:firstLine="720"/>
              <w:jc w:val="both"/>
              <w:rPr>
                <w:sz w:val="20"/>
                <w:szCs w:val="20"/>
              </w:rPr>
            </w:pPr>
            <w:r w:rsidRPr="00D75A8B">
              <w:rPr>
                <w:sz w:val="20"/>
                <w:szCs w:val="20"/>
              </w:rPr>
              <w:t xml:space="preserve">Informējam, ka valdība, sagatavojot likumprojektu “Par valsts budžetu </w:t>
            </w:r>
            <w:proofErr w:type="gramStart"/>
            <w:r w:rsidRPr="00D75A8B">
              <w:rPr>
                <w:sz w:val="20"/>
                <w:szCs w:val="20"/>
              </w:rPr>
              <w:t>2019.gadam</w:t>
            </w:r>
            <w:proofErr w:type="gramEnd"/>
            <w:r w:rsidRPr="00D75A8B">
              <w:rPr>
                <w:sz w:val="20"/>
                <w:szCs w:val="20"/>
              </w:rPr>
              <w:t xml:space="preserve">”, ir pilnībā izlietojusi atbilstoši nacionālā un Eiropas Savienības līmeņa fiskālo nosacījumu prasībām noteiktos pieejamos līdzekļus jeb “fiskālo telpu” valdības prioritāšu finansēšanai 2019.gadā. Savukārt, atbilstoši pašreizējām Finanšu ministrijas prognozēm 2020. un </w:t>
            </w:r>
            <w:proofErr w:type="gramStart"/>
            <w:r w:rsidRPr="00D75A8B">
              <w:rPr>
                <w:sz w:val="20"/>
                <w:szCs w:val="20"/>
              </w:rPr>
              <w:t>2021.gadā</w:t>
            </w:r>
            <w:proofErr w:type="gramEnd"/>
            <w:r w:rsidRPr="00D75A8B">
              <w:rPr>
                <w:sz w:val="20"/>
                <w:szCs w:val="20"/>
              </w:rPr>
              <w:t xml:space="preserve"> fiskālā telpa ir negatīva, savukārt, 2022.gadā tā ir pieejama. </w:t>
            </w:r>
          </w:p>
          <w:p w14:paraId="07896E4D" w14:textId="23A92D0D" w:rsidR="007875A5" w:rsidRPr="009C548A" w:rsidRDefault="00D75A8B" w:rsidP="00E574E7">
            <w:pPr>
              <w:spacing w:before="100" w:beforeAutospacing="1" w:after="100" w:afterAutospacing="1"/>
              <w:ind w:firstLine="720"/>
              <w:jc w:val="both"/>
              <w:rPr>
                <w:sz w:val="18"/>
                <w:szCs w:val="18"/>
              </w:rPr>
            </w:pPr>
            <w:r w:rsidRPr="00D75A8B">
              <w:rPr>
                <w:sz w:val="20"/>
                <w:szCs w:val="20"/>
              </w:rPr>
              <w:t xml:space="preserve">Tādējādi, uzskatām, ka par izdevumiem, kas saistīti ar luksoforu signālu kontroles ierīču iegādi un uzstādīšanu </w:t>
            </w:r>
            <w:proofErr w:type="gramStart"/>
            <w:r w:rsidRPr="00D75A8B">
              <w:rPr>
                <w:sz w:val="20"/>
                <w:szCs w:val="20"/>
              </w:rPr>
              <w:t>2019.gadā</w:t>
            </w:r>
            <w:proofErr w:type="gramEnd"/>
            <w:r w:rsidRPr="00D75A8B">
              <w:rPr>
                <w:sz w:val="20"/>
                <w:szCs w:val="20"/>
              </w:rPr>
              <w:t xml:space="preserve">, ir jāpiedāvā izdevumu neitralizējoši pasākumi 31 440 </w:t>
            </w:r>
            <w:r w:rsidRPr="00D75A8B">
              <w:rPr>
                <w:i/>
                <w:iCs/>
                <w:sz w:val="20"/>
                <w:szCs w:val="20"/>
              </w:rPr>
              <w:t>euro</w:t>
            </w:r>
            <w:r w:rsidRPr="00D75A8B">
              <w:rPr>
                <w:sz w:val="20"/>
                <w:szCs w:val="20"/>
              </w:rPr>
              <w:t xml:space="preserve"> apmērā. Vienlaikus jautājums par papildu fotoradaru un to “mulāžu” uzstādīšanu un darbības </w:t>
            </w:r>
            <w:r w:rsidRPr="00D75A8B">
              <w:rPr>
                <w:sz w:val="20"/>
                <w:szCs w:val="20"/>
              </w:rPr>
              <w:lastRenderedPageBreak/>
              <w:t xml:space="preserve">nodrošināšanu 2021. un </w:t>
            </w:r>
            <w:proofErr w:type="gramStart"/>
            <w:r w:rsidRPr="00D75A8B">
              <w:rPr>
                <w:sz w:val="20"/>
                <w:szCs w:val="20"/>
              </w:rPr>
              <w:t>2022.gadā</w:t>
            </w:r>
            <w:proofErr w:type="gramEnd"/>
            <w:r w:rsidRPr="00D75A8B">
              <w:rPr>
                <w:sz w:val="20"/>
                <w:szCs w:val="20"/>
              </w:rPr>
              <w:t xml:space="preserve"> jāskata likumprojekta “Par valsts budžetu 2020.gadam” un likumprojekta “Par vidēja termiņa budžeta ietvaru 2020., 2021. un 2022.gadam” sagatavošanas procesā.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9B349D" w14:textId="77777777" w:rsidR="007875A5" w:rsidRPr="00F91D8E" w:rsidRDefault="00F91D8E" w:rsidP="00C84E47">
            <w:pPr>
              <w:jc w:val="center"/>
              <w:rPr>
                <w:b/>
                <w:sz w:val="20"/>
                <w:szCs w:val="20"/>
              </w:rPr>
            </w:pPr>
            <w:r w:rsidRPr="00F91D8E">
              <w:rPr>
                <w:b/>
                <w:sz w:val="20"/>
                <w:szCs w:val="20"/>
              </w:rPr>
              <w:lastRenderedPageBreak/>
              <w:t>Iebildums nav ņemts vērā.</w:t>
            </w:r>
          </w:p>
          <w:p w14:paraId="3991D076" w14:textId="4A93E393" w:rsidR="005744CC" w:rsidRPr="005744CC" w:rsidRDefault="006E2706" w:rsidP="006E2706">
            <w:pPr>
              <w:pStyle w:val="liknoteik"/>
              <w:spacing w:before="0" w:beforeAutospacing="0" w:after="0" w:afterAutospacing="0"/>
              <w:jc w:val="both"/>
              <w:rPr>
                <w:sz w:val="20"/>
                <w:szCs w:val="20"/>
              </w:rPr>
            </w:pPr>
            <w:r>
              <w:rPr>
                <w:sz w:val="20"/>
                <w:szCs w:val="20"/>
              </w:rPr>
              <w:t xml:space="preserve">1) </w:t>
            </w:r>
            <w:r w:rsidR="005744CC" w:rsidRPr="005744CC">
              <w:rPr>
                <w:sz w:val="20"/>
                <w:szCs w:val="20"/>
              </w:rPr>
              <w:t>Ministru kabineta 2016. gada 14. novembra rīkojuma Nr. 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(turpmāk – rīkojums Nr. 678) 5. punktā dots uzdevums Iekšlietu ministrijai kopīgi ar Satiksmes ministriju sagatavot un līdz 2019. gada 1. martam iesniegt Ministru kabinetā informatīvo ziņojumu par fotoradaru turpmākās darbības nodrošināšanu (atjaunošanu) un tās finansēšanas avotiem.</w:t>
            </w:r>
          </w:p>
          <w:p w14:paraId="29F719AF" w14:textId="77777777" w:rsidR="005744CC" w:rsidRPr="005744CC" w:rsidRDefault="005744CC" w:rsidP="005744CC">
            <w:pPr>
              <w:pStyle w:val="liknoteik"/>
              <w:spacing w:before="0" w:beforeAutospacing="0" w:after="0" w:afterAutospacing="0"/>
              <w:ind w:firstLine="720"/>
              <w:jc w:val="both"/>
              <w:rPr>
                <w:sz w:val="20"/>
                <w:szCs w:val="20"/>
              </w:rPr>
            </w:pPr>
            <w:r w:rsidRPr="005744CC">
              <w:rPr>
                <w:sz w:val="20"/>
                <w:szCs w:val="20"/>
              </w:rPr>
              <w:t xml:space="preserve">Ministru kabinets </w:t>
            </w:r>
            <w:proofErr w:type="gramStart"/>
            <w:r w:rsidRPr="005744CC">
              <w:rPr>
                <w:sz w:val="20"/>
                <w:szCs w:val="20"/>
              </w:rPr>
              <w:t>2018.gada</w:t>
            </w:r>
            <w:proofErr w:type="gramEnd"/>
            <w:r w:rsidRPr="005744CC">
              <w:rPr>
                <w:sz w:val="20"/>
                <w:szCs w:val="20"/>
              </w:rPr>
              <w:t xml:space="preserve"> 20.marta sēdē (prot. Nr.16, 12.§, 3.punkts), izskatot noteikumu projektu „Samaksas noteikumi valsts akciju sabiedrībai “Ceļu satiksmes drošības direkcija” par deleģēto valsts pārvaldes </w:t>
            </w:r>
            <w:r w:rsidRPr="005744CC">
              <w:rPr>
                <w:sz w:val="20"/>
                <w:szCs w:val="20"/>
              </w:rPr>
              <w:lastRenderedPageBreak/>
              <w:t>uzdevumu izpildi” (Ministru kabineta 2018. gada 20. marta noteikumi Nr. 170), ievērojot arī problemātiskos jautājumus, kas saistīti ar fotoradaru un to pamatņu nolietojuma izmaksu segšanas kārtību un atspoguļošanu grāmatvedības dokumentos, deva uzdevumu rīkojuma Nr.678 5.punktā paredzēto informatīvo ziņojumu par fotoradaru turpmākās darbības nodrošināšanu (atjaunošanu) un tās finansēšanas avotiem (turpmāk – informatīvais ziņojums) sagatavot un virzīt likumprojekta “Par valsts budžetu 2019.gadam” un “Par vidējā termiņa budžeta ietvaru 2019., 2020. un 2021. gadam” sagatavošanas procesā.</w:t>
            </w:r>
          </w:p>
          <w:p w14:paraId="07A107C0" w14:textId="1DB0651B" w:rsidR="005744CC" w:rsidRPr="00F163BC" w:rsidRDefault="005744CC" w:rsidP="005744CC">
            <w:pPr>
              <w:pStyle w:val="liknoteik"/>
              <w:spacing w:before="0" w:beforeAutospacing="0" w:after="0" w:afterAutospacing="0"/>
              <w:ind w:firstLine="720"/>
              <w:jc w:val="both"/>
            </w:pPr>
            <w:r w:rsidRPr="005744CC">
              <w:rPr>
                <w:sz w:val="20"/>
                <w:szCs w:val="20"/>
              </w:rPr>
              <w:t>Informatīvo ziņojumu sagatavoja ar Iekšlietu ministrijas 2018.</w:t>
            </w:r>
            <w:r w:rsidR="00121AF1">
              <w:rPr>
                <w:sz w:val="20"/>
                <w:szCs w:val="20"/>
              </w:rPr>
              <w:t> </w:t>
            </w:r>
            <w:r w:rsidRPr="005744CC">
              <w:rPr>
                <w:sz w:val="20"/>
                <w:szCs w:val="20"/>
              </w:rPr>
              <w:t>gada 21.</w:t>
            </w:r>
            <w:r w:rsidR="00121AF1">
              <w:rPr>
                <w:sz w:val="20"/>
                <w:szCs w:val="20"/>
              </w:rPr>
              <w:t xml:space="preserve"> </w:t>
            </w:r>
            <w:r w:rsidRPr="005744CC">
              <w:rPr>
                <w:sz w:val="20"/>
                <w:szCs w:val="20"/>
              </w:rPr>
              <w:t>maija rīkojumu Nr.1-12/826 izveidotā darba grupa, kurā bija iekļautas Iekšlietu ministrijas, Satiksmes ministrijas, Valsts policijas un valsts akciju sabiedrības “Ceļu satiksmes drošības direkcija” amatpersonas.</w:t>
            </w:r>
          </w:p>
          <w:p w14:paraId="680EDBB0" w14:textId="77777777" w:rsidR="00F91D8E" w:rsidRDefault="00F91D8E" w:rsidP="00F91D8E">
            <w:pPr>
              <w:jc w:val="both"/>
              <w:rPr>
                <w:sz w:val="20"/>
                <w:szCs w:val="20"/>
              </w:rPr>
            </w:pPr>
          </w:p>
          <w:p w14:paraId="3A8F8AED" w14:textId="1772F7D0" w:rsidR="002E0BBB" w:rsidRPr="000D3F6A" w:rsidRDefault="006E2706" w:rsidP="00F91D8E">
            <w:pPr>
              <w:jc w:val="both"/>
              <w:rPr>
                <w:rStyle w:val="spelle"/>
                <w:sz w:val="28"/>
                <w:szCs w:val="28"/>
              </w:rPr>
            </w:pPr>
            <w:r>
              <w:rPr>
                <w:sz w:val="20"/>
                <w:szCs w:val="20"/>
              </w:rPr>
              <w:t xml:space="preserve">2) </w:t>
            </w:r>
            <w:r w:rsidR="002E0BBB" w:rsidRPr="002E0BBB">
              <w:rPr>
                <w:rStyle w:val="spelle"/>
                <w:sz w:val="20"/>
                <w:szCs w:val="20"/>
              </w:rPr>
              <w:t>Saskaņā ar Ministru kabineta 2014. gada 29. jūlija rīkojuma Nr.382 “Par Iekšlietu ministrijas ilgtermiņa saistībām ceļu satiksmes pārkāpumu fiksēšanas tehnisko līdzekļu (fotoradaru) darbības nodrošināšanai” 8. punktu</w:t>
            </w:r>
            <w:r w:rsidR="002E0BBB" w:rsidRPr="001C47E7">
              <w:rPr>
                <w:rStyle w:val="spelle"/>
                <w:sz w:val="28"/>
                <w:szCs w:val="28"/>
              </w:rPr>
              <w:t xml:space="preserve"> </w:t>
            </w:r>
            <w:r w:rsidR="000D3F6A">
              <w:rPr>
                <w:color w:val="414142"/>
                <w:sz w:val="20"/>
                <w:szCs w:val="20"/>
                <w:shd w:val="clear" w:color="auto" w:fill="FFFFFF"/>
              </w:rPr>
              <w:t>j</w:t>
            </w:r>
            <w:r w:rsidR="000D3F6A" w:rsidRPr="000D3F6A">
              <w:rPr>
                <w:color w:val="414142"/>
                <w:sz w:val="20"/>
                <w:szCs w:val="20"/>
                <w:shd w:val="clear" w:color="auto" w:fill="FFFFFF"/>
              </w:rPr>
              <w:t xml:space="preserve">autājumu par tehnisko līdzekļu (fotoradaru) iegādes finansēšanas avotiem 2018. gadā </w:t>
            </w:r>
            <w:proofErr w:type="gramStart"/>
            <w:r w:rsidR="000D3F6A" w:rsidRPr="000D3F6A">
              <w:rPr>
                <w:color w:val="414142"/>
                <w:sz w:val="20"/>
                <w:szCs w:val="20"/>
                <w:shd w:val="clear" w:color="auto" w:fill="FFFFFF"/>
              </w:rPr>
              <w:t>(</w:t>
            </w:r>
            <w:proofErr w:type="gramEnd"/>
            <w:r w:rsidR="000D3F6A" w:rsidRPr="000D3F6A">
              <w:rPr>
                <w:color w:val="414142"/>
                <w:sz w:val="20"/>
                <w:szCs w:val="20"/>
                <w:shd w:val="clear" w:color="auto" w:fill="FFFFFF"/>
              </w:rPr>
              <w:t xml:space="preserve">Ceļu satiksmes drošības direkcijas peļņas daļa, no valsts budžeta līdzekļiem finansētais nolietojuma uzkrājums) </w:t>
            </w:r>
            <w:r w:rsidR="000D3F6A">
              <w:rPr>
                <w:color w:val="414142"/>
                <w:sz w:val="20"/>
                <w:szCs w:val="20"/>
                <w:shd w:val="clear" w:color="auto" w:fill="FFFFFF"/>
              </w:rPr>
              <w:t>jāizskata</w:t>
            </w:r>
            <w:r w:rsidR="000D3F6A" w:rsidRPr="000D3F6A">
              <w:rPr>
                <w:color w:val="414142"/>
                <w:sz w:val="20"/>
                <w:szCs w:val="20"/>
                <w:shd w:val="clear" w:color="auto" w:fill="FFFFFF"/>
              </w:rPr>
              <w:t xml:space="preserve"> Ministru kabinetā vienlaikus ar rīkojuma projektu par valstij dividendēs izmaksājamo Ceļu satiksmes drošības direkcijas peļņas daļu.</w:t>
            </w:r>
          </w:p>
          <w:p w14:paraId="49FF022D" w14:textId="0665A7B0" w:rsidR="00F62878" w:rsidRPr="000D3F6A" w:rsidRDefault="000D3F6A" w:rsidP="00F91D8E">
            <w:pPr>
              <w:jc w:val="both"/>
              <w:rPr>
                <w:rStyle w:val="spelle"/>
                <w:sz w:val="20"/>
                <w:szCs w:val="20"/>
              </w:rPr>
            </w:pPr>
            <w:r>
              <w:rPr>
                <w:rStyle w:val="spelle"/>
                <w:sz w:val="20"/>
                <w:szCs w:val="20"/>
              </w:rPr>
              <w:lastRenderedPageBreak/>
              <w:t>J</w:t>
            </w:r>
            <w:r w:rsidRPr="000D3F6A">
              <w:rPr>
                <w:rStyle w:val="spelle"/>
                <w:sz w:val="20"/>
                <w:szCs w:val="20"/>
              </w:rPr>
              <w:t>autājums par nolietojuma uzkrājuma izlietojumu 2018. gadā netika skatīts</w:t>
            </w:r>
            <w:proofErr w:type="gramStart"/>
            <w:r w:rsidRPr="000D3F6A">
              <w:rPr>
                <w:rStyle w:val="spelle"/>
                <w:sz w:val="20"/>
                <w:szCs w:val="20"/>
              </w:rPr>
              <w:t xml:space="preserve"> un</w:t>
            </w:r>
            <w:proofErr w:type="gramEnd"/>
            <w:r w:rsidRPr="000D3F6A">
              <w:rPr>
                <w:rStyle w:val="spelle"/>
                <w:sz w:val="20"/>
                <w:szCs w:val="20"/>
              </w:rPr>
              <w:t xml:space="preserve"> </w:t>
            </w:r>
            <w:r w:rsidR="00F62878" w:rsidRPr="000D3F6A">
              <w:rPr>
                <w:rStyle w:val="spelle"/>
                <w:sz w:val="20"/>
                <w:szCs w:val="20"/>
              </w:rPr>
              <w:t xml:space="preserve">nolietojuma uzkrājums </w:t>
            </w:r>
            <w:r w:rsidRPr="000D3F6A">
              <w:rPr>
                <w:rStyle w:val="spelle"/>
                <w:sz w:val="20"/>
                <w:szCs w:val="20"/>
              </w:rPr>
              <w:t xml:space="preserve">var būt </w:t>
            </w:r>
            <w:r w:rsidR="00F62878" w:rsidRPr="000D3F6A">
              <w:rPr>
                <w:rStyle w:val="spelle"/>
                <w:sz w:val="20"/>
                <w:szCs w:val="20"/>
              </w:rPr>
              <w:t>viens no tehnisko līdzekļu (fotoradaru) iegādes finansēšanas avotiem.</w:t>
            </w:r>
          </w:p>
          <w:p w14:paraId="2F1DDEF3" w14:textId="75D34DCF" w:rsidR="00F62878" w:rsidRDefault="002E0BBB" w:rsidP="00F62878">
            <w:pPr>
              <w:ind w:firstLine="709"/>
              <w:jc w:val="both"/>
              <w:rPr>
                <w:rStyle w:val="spelle"/>
                <w:sz w:val="20"/>
                <w:szCs w:val="20"/>
              </w:rPr>
            </w:pPr>
            <w:r w:rsidRPr="00F62878">
              <w:rPr>
                <w:rStyle w:val="spelle"/>
                <w:sz w:val="20"/>
                <w:szCs w:val="20"/>
              </w:rPr>
              <w:t xml:space="preserve">Lai risinātu jautājumu par nolietojuma uzkrājuma izmantošanu, </w:t>
            </w:r>
            <w:r w:rsidR="00F62878" w:rsidRPr="00F62878">
              <w:rPr>
                <w:rStyle w:val="spelle"/>
                <w:sz w:val="20"/>
                <w:szCs w:val="20"/>
              </w:rPr>
              <w:t>protokollēmuma projekta 7.punkts paredz noteikt, kam</w:t>
            </w:r>
            <w:r w:rsidR="00F62878">
              <w:rPr>
                <w:rStyle w:val="spelle"/>
                <w:sz w:val="28"/>
                <w:szCs w:val="28"/>
              </w:rPr>
              <w:t xml:space="preserve"> </w:t>
            </w:r>
            <w:r w:rsidR="00F62878" w:rsidRPr="00F91D8E">
              <w:rPr>
                <w:rStyle w:val="spelle"/>
                <w:sz w:val="20"/>
                <w:szCs w:val="20"/>
              </w:rPr>
              <w:t>Ceļu satiksmes drošības direkcija izlieto</w:t>
            </w:r>
            <w:r w:rsidR="00F62878">
              <w:rPr>
                <w:rStyle w:val="spelle"/>
                <w:sz w:val="20"/>
                <w:szCs w:val="20"/>
              </w:rPr>
              <w:t xml:space="preserve"> </w:t>
            </w:r>
            <w:r w:rsidR="000D3F6A">
              <w:rPr>
                <w:rStyle w:val="spelle"/>
                <w:sz w:val="20"/>
                <w:szCs w:val="20"/>
              </w:rPr>
              <w:t xml:space="preserve">no valsts budžeta līdzekļiem </w:t>
            </w:r>
            <w:r w:rsidR="00F62878" w:rsidRPr="00F91D8E">
              <w:rPr>
                <w:rStyle w:val="spelle"/>
                <w:sz w:val="20"/>
                <w:szCs w:val="20"/>
              </w:rPr>
              <w:t>finansēto</w:t>
            </w:r>
            <w:proofErr w:type="gramStart"/>
            <w:r w:rsidR="00F62878" w:rsidRPr="00F91D8E">
              <w:rPr>
                <w:rStyle w:val="spelle"/>
                <w:sz w:val="20"/>
                <w:szCs w:val="20"/>
              </w:rPr>
              <w:t xml:space="preserve">  </w:t>
            </w:r>
            <w:proofErr w:type="gramEnd"/>
            <w:r w:rsidR="00F62878" w:rsidRPr="00F91D8E">
              <w:rPr>
                <w:rStyle w:val="spelle"/>
                <w:sz w:val="20"/>
                <w:szCs w:val="20"/>
              </w:rPr>
              <w:t xml:space="preserve">tehnisko līdzekļu (fotoradaru) nolietojuma uzkrājumu 310 643 </w:t>
            </w:r>
            <w:r w:rsidR="00F62878" w:rsidRPr="00F91D8E">
              <w:rPr>
                <w:rStyle w:val="spelle"/>
                <w:i/>
                <w:sz w:val="20"/>
                <w:szCs w:val="20"/>
              </w:rPr>
              <w:t>euro</w:t>
            </w:r>
            <w:r w:rsidR="00F62878" w:rsidRPr="00F91D8E">
              <w:rPr>
                <w:rStyle w:val="spelle"/>
                <w:sz w:val="20"/>
                <w:szCs w:val="20"/>
              </w:rPr>
              <w:t xml:space="preserve"> apmērā</w:t>
            </w:r>
            <w:r w:rsidR="00F62878">
              <w:rPr>
                <w:rStyle w:val="spelle"/>
                <w:sz w:val="20"/>
                <w:szCs w:val="20"/>
              </w:rPr>
              <w:t>. Proti:</w:t>
            </w:r>
          </w:p>
          <w:p w14:paraId="45F8DF23" w14:textId="13238BB6" w:rsidR="00F62878" w:rsidRPr="00F91D8E" w:rsidRDefault="00121AF1" w:rsidP="00F62878">
            <w:pPr>
              <w:ind w:firstLine="709"/>
              <w:jc w:val="both"/>
              <w:rPr>
                <w:rStyle w:val="spelle"/>
                <w:sz w:val="20"/>
                <w:szCs w:val="20"/>
              </w:rPr>
            </w:pPr>
            <w:r>
              <w:rPr>
                <w:rStyle w:val="spelle"/>
                <w:sz w:val="20"/>
                <w:szCs w:val="20"/>
              </w:rPr>
              <w:t xml:space="preserve">– </w:t>
            </w:r>
            <w:r w:rsidR="00F62878" w:rsidRPr="00F91D8E">
              <w:rPr>
                <w:rStyle w:val="spelle"/>
                <w:sz w:val="20"/>
                <w:szCs w:val="20"/>
              </w:rPr>
              <w:t>2019.</w:t>
            </w:r>
            <w:r w:rsidR="00F62878">
              <w:rPr>
                <w:rStyle w:val="spelle"/>
                <w:sz w:val="20"/>
                <w:szCs w:val="20"/>
              </w:rPr>
              <w:t xml:space="preserve"> </w:t>
            </w:r>
            <w:r w:rsidR="00F62878" w:rsidRPr="00F91D8E">
              <w:rPr>
                <w:rStyle w:val="spelle"/>
                <w:sz w:val="20"/>
                <w:szCs w:val="20"/>
              </w:rPr>
              <w:t>gadā, lai se</w:t>
            </w:r>
            <w:r w:rsidR="000D3F6A">
              <w:rPr>
                <w:rStyle w:val="spelle"/>
                <w:sz w:val="20"/>
                <w:szCs w:val="20"/>
              </w:rPr>
              <w:t xml:space="preserve">gtu izdevumus, kas saistīti ar </w:t>
            </w:r>
            <w:r w:rsidR="00F62878" w:rsidRPr="00F91D8E">
              <w:rPr>
                <w:rStyle w:val="spelle"/>
                <w:sz w:val="20"/>
                <w:szCs w:val="20"/>
              </w:rPr>
              <w:t>luksoforu signālu kontroles ierīču iegādi un uzstādīšanu</w:t>
            </w:r>
            <w:r w:rsidR="00F62878" w:rsidRPr="00F91D8E">
              <w:rPr>
                <w:sz w:val="20"/>
                <w:szCs w:val="20"/>
              </w:rPr>
              <w:t xml:space="preserve"> </w:t>
            </w:r>
            <w:r w:rsidR="00F62878" w:rsidRPr="00F91D8E">
              <w:rPr>
                <w:rStyle w:val="spelle"/>
                <w:sz w:val="20"/>
                <w:szCs w:val="20"/>
              </w:rPr>
              <w:t xml:space="preserve">(papildu funkcionalitātes programmnodrošinājuma izstrādi, fotoradaru saslēgšanu ar luksoforiem, ierīces tipa apstiprināšanu un verifikāciju) ne vairāk kā 31 440 </w:t>
            </w:r>
            <w:r w:rsidR="00F62878" w:rsidRPr="00F91D8E">
              <w:rPr>
                <w:rStyle w:val="spelle"/>
                <w:i/>
                <w:sz w:val="20"/>
                <w:szCs w:val="20"/>
              </w:rPr>
              <w:t>euro</w:t>
            </w:r>
            <w:r w:rsidR="00F62878" w:rsidRPr="00F91D8E">
              <w:rPr>
                <w:rStyle w:val="spelle"/>
                <w:sz w:val="20"/>
                <w:szCs w:val="20"/>
              </w:rPr>
              <w:t xml:space="preserve"> apmērā;</w:t>
            </w:r>
          </w:p>
          <w:p w14:paraId="779520F2" w14:textId="55B382DB" w:rsidR="00F62878" w:rsidRPr="00F91D8E" w:rsidRDefault="00121AF1" w:rsidP="00F62878">
            <w:pPr>
              <w:ind w:firstLine="709"/>
              <w:jc w:val="both"/>
              <w:rPr>
                <w:rStyle w:val="spelle"/>
                <w:sz w:val="20"/>
                <w:szCs w:val="20"/>
              </w:rPr>
            </w:pPr>
            <w:r>
              <w:rPr>
                <w:rStyle w:val="spelle"/>
                <w:sz w:val="20"/>
                <w:szCs w:val="20"/>
              </w:rPr>
              <w:t xml:space="preserve">– </w:t>
            </w:r>
            <w:r w:rsidR="00F62878" w:rsidRPr="00F91D8E">
              <w:rPr>
                <w:rStyle w:val="spelle"/>
                <w:sz w:val="20"/>
                <w:szCs w:val="20"/>
              </w:rPr>
              <w:t>2022. un 2023.</w:t>
            </w:r>
            <w:r w:rsidR="00F62878">
              <w:rPr>
                <w:rStyle w:val="spelle"/>
                <w:sz w:val="20"/>
                <w:szCs w:val="20"/>
              </w:rPr>
              <w:t xml:space="preserve"> </w:t>
            </w:r>
            <w:r w:rsidR="00F62878" w:rsidRPr="00F91D8E">
              <w:rPr>
                <w:rStyle w:val="spelle"/>
                <w:sz w:val="20"/>
                <w:szCs w:val="20"/>
              </w:rPr>
              <w:t>gadā</w:t>
            </w:r>
            <w:r w:rsidR="000D3F6A">
              <w:rPr>
                <w:rStyle w:val="spelle"/>
                <w:sz w:val="20"/>
                <w:szCs w:val="20"/>
              </w:rPr>
              <w:t xml:space="preserve">, </w:t>
            </w:r>
            <w:r w:rsidR="00F62878" w:rsidRPr="00F91D8E">
              <w:rPr>
                <w:rStyle w:val="spelle"/>
                <w:sz w:val="20"/>
                <w:szCs w:val="20"/>
              </w:rPr>
              <w:t>lai segtu izdevumus, kas saistīti ar šā protokollēmuma 2.2.apakšpunktā minēto fotoradaru iegādi un uzstādīšanu.</w:t>
            </w:r>
          </w:p>
          <w:p w14:paraId="2F7DC456" w14:textId="77777777" w:rsidR="00991E34" w:rsidRDefault="00991E34" w:rsidP="00F62878">
            <w:pPr>
              <w:jc w:val="both"/>
              <w:rPr>
                <w:sz w:val="20"/>
                <w:szCs w:val="20"/>
              </w:rPr>
            </w:pPr>
          </w:p>
          <w:p w14:paraId="08F6185D" w14:textId="0D4ED7CF" w:rsidR="008F2136" w:rsidRPr="0034489C" w:rsidRDefault="008F2136" w:rsidP="008F2136">
            <w:pPr>
              <w:jc w:val="both"/>
              <w:rPr>
                <w:rStyle w:val="spelle"/>
                <w:sz w:val="20"/>
                <w:szCs w:val="20"/>
              </w:rPr>
            </w:pPr>
            <w:r>
              <w:rPr>
                <w:rStyle w:val="spelle"/>
                <w:sz w:val="20"/>
                <w:szCs w:val="20"/>
              </w:rPr>
              <w:t>3) Papildus tam, Iekšlietu ministrija informē, ka nesaskata izdevumu neitralizējošos pasākumus 2019.</w:t>
            </w:r>
            <w:r w:rsidR="00FF6783">
              <w:rPr>
                <w:rStyle w:val="spelle"/>
                <w:sz w:val="20"/>
                <w:szCs w:val="20"/>
              </w:rPr>
              <w:t xml:space="preserve"> </w:t>
            </w:r>
            <w:r>
              <w:rPr>
                <w:rStyle w:val="spelle"/>
                <w:sz w:val="20"/>
                <w:szCs w:val="20"/>
              </w:rPr>
              <w:t>gadā, kā arī neredz pamatojumu jautājuma izskatīšanas atlikšanai. Saskaņā ar Ministru kabineta 2019. gada 20. marta rīkojumu Nr.116</w:t>
            </w:r>
            <w:r w:rsidR="0034489C">
              <w:rPr>
                <w:rStyle w:val="spelle"/>
                <w:sz w:val="20"/>
                <w:szCs w:val="20"/>
              </w:rPr>
              <w:t xml:space="preserve"> “</w:t>
            </w:r>
            <w:r w:rsidR="00F60629">
              <w:rPr>
                <w:rStyle w:val="spelle"/>
                <w:sz w:val="20"/>
                <w:szCs w:val="20"/>
              </w:rPr>
              <w:t>Par likumprojekta “</w:t>
            </w:r>
            <w:r w:rsidR="0034489C" w:rsidRPr="0034489C">
              <w:rPr>
                <w:rStyle w:val="spelle"/>
                <w:sz w:val="20"/>
                <w:szCs w:val="20"/>
              </w:rPr>
              <w:t>Par vidēja termiņa budžeta ietv</w:t>
            </w:r>
            <w:r w:rsidR="00F60629">
              <w:rPr>
                <w:rStyle w:val="spelle"/>
                <w:sz w:val="20"/>
                <w:szCs w:val="20"/>
              </w:rPr>
              <w:t>aru 2020., 2021. un 2022. gadam” un likumprojekta “Par valsts budžetu 2020. gadam”</w:t>
            </w:r>
            <w:r w:rsidR="0034489C" w:rsidRPr="0034489C">
              <w:rPr>
                <w:rStyle w:val="spelle"/>
                <w:sz w:val="20"/>
                <w:szCs w:val="20"/>
              </w:rPr>
              <w:t xml:space="preserve"> sagatavošanas grafiku</w:t>
            </w:r>
            <w:r w:rsidR="0034489C">
              <w:rPr>
                <w:rStyle w:val="spelle"/>
                <w:sz w:val="20"/>
                <w:szCs w:val="20"/>
              </w:rPr>
              <w:t xml:space="preserve">” </w:t>
            </w:r>
            <w:r w:rsidR="00E46A20">
              <w:rPr>
                <w:rStyle w:val="spelle"/>
                <w:sz w:val="20"/>
                <w:szCs w:val="20"/>
              </w:rPr>
              <w:t xml:space="preserve">un atbilstoši Ministru kabineta 2019. gada </w:t>
            </w:r>
            <w:r w:rsidR="00402223">
              <w:rPr>
                <w:rStyle w:val="spelle"/>
                <w:sz w:val="20"/>
                <w:szCs w:val="20"/>
              </w:rPr>
              <w:t xml:space="preserve">15. aprīļa ārkārtas sēdē nolemtajam (prot. </w:t>
            </w:r>
            <w:r w:rsidR="00E46A20">
              <w:rPr>
                <w:rStyle w:val="spelle"/>
                <w:sz w:val="20"/>
                <w:szCs w:val="20"/>
              </w:rPr>
              <w:t>Nr</w:t>
            </w:r>
            <w:r w:rsidR="00CC3C27">
              <w:rPr>
                <w:rStyle w:val="spelle"/>
                <w:sz w:val="20"/>
                <w:szCs w:val="20"/>
              </w:rPr>
              <w:t>.19</w:t>
            </w:r>
            <w:r w:rsidR="00C9048C">
              <w:rPr>
                <w:rStyle w:val="spelle"/>
                <w:sz w:val="20"/>
                <w:szCs w:val="20"/>
              </w:rPr>
              <w:t xml:space="preserve"> </w:t>
            </w:r>
            <w:r w:rsidR="00C9048C">
              <w:rPr>
                <w:rStyle w:val="spelle"/>
                <w:sz w:val="20"/>
                <w:szCs w:val="20"/>
              </w:rPr>
              <w:lastRenderedPageBreak/>
              <w:t>1.§)</w:t>
            </w:r>
            <w:r w:rsidR="00E46A20">
              <w:rPr>
                <w:rStyle w:val="spelle"/>
                <w:sz w:val="20"/>
                <w:szCs w:val="20"/>
              </w:rPr>
              <w:t xml:space="preserve"> </w:t>
            </w:r>
            <w:r w:rsidR="0034489C">
              <w:rPr>
                <w:rStyle w:val="spelle"/>
                <w:sz w:val="20"/>
                <w:szCs w:val="20"/>
              </w:rPr>
              <w:t>jau</w:t>
            </w:r>
            <w:r>
              <w:rPr>
                <w:rStyle w:val="spelle"/>
                <w:sz w:val="20"/>
                <w:szCs w:val="20"/>
              </w:rPr>
              <w:t xml:space="preserve"> šobrīd ir noteiktas makroekonomisko rādītāju prognozes un nākamā gada un vidējā termiņa fiskālā telpa. Atliekot informatīvā ziņojuma izskatīšanu, nemainīsies tā ietekme uz budžetu. Līdz ar to, jo īpaši ievērojot projekta nozīmi ceļu satiksmes drošības uzlabošanā, Iekšlietu ministrija uzskata, ka projekta virzība nav atliekama, un tajā noteiktā ietekme uz budžetu ir jāņem vērā turpmākajā nākamā gada un vidējā termiņa budžetu likumprojektu sagatavošanas procesā.</w:t>
            </w:r>
          </w:p>
          <w:p w14:paraId="3E593A6B" w14:textId="3C21B23B" w:rsidR="008F2136" w:rsidRPr="00F91D8E" w:rsidRDefault="008F2136" w:rsidP="00F62878">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22E86D" w14:textId="77777777" w:rsidR="007875A5" w:rsidRPr="009C548A" w:rsidRDefault="007875A5" w:rsidP="00C84E47">
            <w:pPr>
              <w:jc w:val="center"/>
              <w:rPr>
                <w:sz w:val="18"/>
                <w:szCs w:val="18"/>
              </w:rPr>
            </w:pP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3F3F1F64" w14:textId="77777777" w:rsidR="00F91D8E" w:rsidRDefault="00F91D8E" w:rsidP="00F91D8E">
            <w:pPr>
              <w:pStyle w:val="NormalWeb"/>
              <w:spacing w:before="0" w:beforeAutospacing="0" w:after="0" w:afterAutospacing="0"/>
              <w:jc w:val="both"/>
              <w:rPr>
                <w:rFonts w:ascii="Times New Roman" w:hAnsi="Times New Roman"/>
                <w:sz w:val="20"/>
                <w:szCs w:val="20"/>
              </w:rPr>
            </w:pPr>
            <w:r w:rsidRPr="00D75A8B">
              <w:rPr>
                <w:rStyle w:val="spelle"/>
                <w:rFonts w:ascii="Times New Roman" w:hAnsi="Times New Roman"/>
                <w:sz w:val="20"/>
                <w:szCs w:val="20"/>
              </w:rPr>
              <w:t>P</w:t>
            </w:r>
            <w:r w:rsidRPr="00D75A8B">
              <w:rPr>
                <w:rFonts w:ascii="Times New Roman" w:hAnsi="Times New Roman"/>
                <w:sz w:val="20"/>
                <w:szCs w:val="20"/>
              </w:rPr>
              <w:t>rotokollēmuma projekts:</w:t>
            </w:r>
          </w:p>
          <w:p w14:paraId="73A41591" w14:textId="77777777" w:rsidR="00F91D8E" w:rsidRPr="00960B96" w:rsidRDefault="00F91D8E" w:rsidP="00F91D8E">
            <w:pPr>
              <w:pStyle w:val="ListParagraph"/>
              <w:ind w:left="0"/>
              <w:jc w:val="both"/>
              <w:rPr>
                <w:rStyle w:val="spelle"/>
                <w:rFonts w:ascii="Times New Roman" w:hAnsi="Times New Roman" w:cs="Times New Roman"/>
                <w:sz w:val="20"/>
                <w:szCs w:val="20"/>
              </w:rPr>
            </w:pPr>
            <w:r w:rsidRPr="00960B96">
              <w:rPr>
                <w:rStyle w:val="spelle"/>
                <w:rFonts w:ascii="Times New Roman" w:hAnsi="Times New Roman" w:cs="Times New Roman"/>
                <w:sz w:val="20"/>
                <w:szCs w:val="20"/>
              </w:rPr>
              <w:t>2. Atbalstīt priekšlikumus par:</w:t>
            </w:r>
          </w:p>
          <w:p w14:paraId="78DC5E7F" w14:textId="77777777" w:rsidR="00F91D8E" w:rsidRPr="00960B96" w:rsidRDefault="00F91D8E" w:rsidP="00F91D8E">
            <w:pPr>
              <w:pStyle w:val="ListParagraph"/>
              <w:ind w:left="0" w:firstLine="709"/>
              <w:jc w:val="both"/>
              <w:rPr>
                <w:rStyle w:val="spelle"/>
                <w:rFonts w:ascii="Times New Roman" w:hAnsi="Times New Roman" w:cs="Times New Roman"/>
                <w:sz w:val="20"/>
                <w:szCs w:val="20"/>
              </w:rPr>
            </w:pPr>
            <w:r w:rsidRPr="00960B96">
              <w:rPr>
                <w:rStyle w:val="spelle"/>
                <w:rFonts w:ascii="Times New Roman" w:hAnsi="Times New Roman" w:cs="Times New Roman"/>
                <w:sz w:val="20"/>
                <w:szCs w:val="20"/>
              </w:rPr>
              <w:t xml:space="preserve">2.1. laikposmā no </w:t>
            </w:r>
            <w:proofErr w:type="gramStart"/>
            <w:r w:rsidRPr="00960B96">
              <w:rPr>
                <w:rStyle w:val="spelle"/>
                <w:rFonts w:ascii="Times New Roman" w:hAnsi="Times New Roman" w:cs="Times New Roman"/>
                <w:sz w:val="20"/>
                <w:szCs w:val="20"/>
              </w:rPr>
              <w:t>2015.gada</w:t>
            </w:r>
            <w:proofErr w:type="gramEnd"/>
            <w:r w:rsidRPr="00960B96">
              <w:rPr>
                <w:rStyle w:val="spelle"/>
                <w:rFonts w:ascii="Times New Roman" w:hAnsi="Times New Roman" w:cs="Times New Roman"/>
                <w:sz w:val="20"/>
                <w:szCs w:val="20"/>
              </w:rPr>
              <w:t xml:space="preserve">  līdz 2018.gadam uzstādīto 100 tehnisko līdzekļu (fotoradaru) darbības nodrošināšanu līdz laikam</w:t>
            </w:r>
            <w:r w:rsidRPr="00960B96">
              <w:rPr>
                <w:sz w:val="20"/>
                <w:szCs w:val="20"/>
              </w:rPr>
              <w:t xml:space="preserve">, </w:t>
            </w:r>
            <w:r w:rsidRPr="00960B96">
              <w:rPr>
                <w:rStyle w:val="spelle"/>
                <w:rFonts w:ascii="Times New Roman" w:hAnsi="Times New Roman" w:cs="Times New Roman"/>
                <w:sz w:val="20"/>
                <w:szCs w:val="20"/>
              </w:rPr>
              <w:t>kamēr tie tiks atzīti par derīgiem (atkārtoti verificēti) atbilstoši  normatīvajos aktos noteiktajām metroloģiskajām prasībām;</w:t>
            </w:r>
          </w:p>
          <w:p w14:paraId="39223409" w14:textId="77777777" w:rsidR="00F91D8E" w:rsidRDefault="00F91D8E" w:rsidP="00F91D8E">
            <w:pPr>
              <w:pStyle w:val="ListParagraph"/>
              <w:ind w:left="0" w:firstLine="709"/>
              <w:jc w:val="both"/>
              <w:rPr>
                <w:rStyle w:val="spelle"/>
                <w:rFonts w:ascii="Times New Roman" w:hAnsi="Times New Roman" w:cs="Times New Roman"/>
                <w:sz w:val="20"/>
                <w:szCs w:val="20"/>
              </w:rPr>
            </w:pPr>
            <w:r w:rsidRPr="00960B96">
              <w:rPr>
                <w:rStyle w:val="spelle"/>
                <w:rFonts w:ascii="Times New Roman" w:hAnsi="Times New Roman" w:cs="Times New Roman"/>
                <w:sz w:val="20"/>
                <w:szCs w:val="20"/>
              </w:rPr>
              <w:t>2.2. papildu 50 tehnisko līdzekļu (fotoradaru)</w:t>
            </w:r>
            <w:proofErr w:type="gramStart"/>
            <w:r w:rsidRPr="00960B96">
              <w:rPr>
                <w:rStyle w:val="spelle"/>
                <w:rFonts w:ascii="Times New Roman" w:hAnsi="Times New Roman" w:cs="Times New Roman"/>
                <w:sz w:val="20"/>
                <w:szCs w:val="20"/>
              </w:rPr>
              <w:t xml:space="preserve">  </w:t>
            </w:r>
            <w:proofErr w:type="gramEnd"/>
            <w:r w:rsidRPr="00960B96">
              <w:rPr>
                <w:rStyle w:val="spelle"/>
                <w:rFonts w:ascii="Times New Roman" w:hAnsi="Times New Roman" w:cs="Times New Roman"/>
                <w:sz w:val="20"/>
                <w:szCs w:val="20"/>
              </w:rPr>
              <w:t>un 50 to “mulāžu” uzstādīšanu un darbības nodrošināšanu laikposmā no 2021. līdz 2023.gadam;</w:t>
            </w:r>
          </w:p>
          <w:p w14:paraId="70330785" w14:textId="77777777" w:rsidR="00F91D8E" w:rsidRDefault="00F91D8E" w:rsidP="00F91D8E">
            <w:pPr>
              <w:pStyle w:val="ListParagraph"/>
              <w:ind w:left="0" w:firstLine="709"/>
              <w:jc w:val="both"/>
              <w:rPr>
                <w:rStyle w:val="spelle"/>
                <w:rFonts w:ascii="Times New Roman" w:hAnsi="Times New Roman" w:cs="Times New Roman"/>
                <w:sz w:val="20"/>
                <w:szCs w:val="20"/>
              </w:rPr>
            </w:pPr>
          </w:p>
          <w:p w14:paraId="70B479BE" w14:textId="77777777" w:rsidR="00F91D8E" w:rsidRPr="00F91D8E" w:rsidRDefault="00F91D8E" w:rsidP="00F91D8E">
            <w:pPr>
              <w:jc w:val="both"/>
              <w:rPr>
                <w:rStyle w:val="spelle"/>
                <w:sz w:val="20"/>
                <w:szCs w:val="20"/>
              </w:rPr>
            </w:pPr>
            <w:r w:rsidRPr="00F91D8E">
              <w:rPr>
                <w:rStyle w:val="spelle"/>
                <w:sz w:val="20"/>
                <w:szCs w:val="20"/>
              </w:rPr>
              <w:lastRenderedPageBreak/>
              <w:t>7. Noteikt, ka no valsts budžeta līdzekļiem</w:t>
            </w:r>
            <w:proofErr w:type="gramStart"/>
            <w:r w:rsidRPr="00F91D8E">
              <w:rPr>
                <w:rStyle w:val="spelle"/>
                <w:sz w:val="20"/>
                <w:szCs w:val="20"/>
              </w:rPr>
              <w:t xml:space="preserve">  </w:t>
            </w:r>
            <w:proofErr w:type="gramEnd"/>
            <w:r w:rsidRPr="00F91D8E">
              <w:rPr>
                <w:rStyle w:val="spelle"/>
                <w:sz w:val="20"/>
                <w:szCs w:val="20"/>
              </w:rPr>
              <w:t xml:space="preserve">finansēto  tehnisko līdzekļu (fotoradaru) nolietojuma uzkrājumu 310 643 </w:t>
            </w:r>
            <w:r w:rsidRPr="00F91D8E">
              <w:rPr>
                <w:rStyle w:val="spelle"/>
                <w:i/>
                <w:sz w:val="20"/>
                <w:szCs w:val="20"/>
              </w:rPr>
              <w:t>euro</w:t>
            </w:r>
            <w:r w:rsidRPr="00F91D8E">
              <w:rPr>
                <w:rStyle w:val="spelle"/>
                <w:sz w:val="20"/>
                <w:szCs w:val="20"/>
              </w:rPr>
              <w:t xml:space="preserve"> apmērā Ceļu satiksmes drošības direkcija izlieto:</w:t>
            </w:r>
          </w:p>
          <w:p w14:paraId="56AF54C0" w14:textId="77777777" w:rsidR="00F91D8E" w:rsidRPr="00F91D8E" w:rsidRDefault="00F91D8E" w:rsidP="00F91D8E">
            <w:pPr>
              <w:ind w:firstLine="709"/>
              <w:jc w:val="both"/>
              <w:rPr>
                <w:rStyle w:val="spelle"/>
                <w:sz w:val="20"/>
                <w:szCs w:val="20"/>
              </w:rPr>
            </w:pPr>
            <w:r w:rsidRPr="00F91D8E">
              <w:rPr>
                <w:rStyle w:val="spelle"/>
                <w:sz w:val="20"/>
                <w:szCs w:val="20"/>
              </w:rPr>
              <w:t xml:space="preserve">7.1. </w:t>
            </w:r>
            <w:proofErr w:type="gramStart"/>
            <w:r w:rsidRPr="00F91D8E">
              <w:rPr>
                <w:rStyle w:val="spelle"/>
                <w:sz w:val="20"/>
                <w:szCs w:val="20"/>
              </w:rPr>
              <w:t>2019.gadā</w:t>
            </w:r>
            <w:proofErr w:type="gramEnd"/>
            <w:r w:rsidRPr="00F91D8E">
              <w:rPr>
                <w:rStyle w:val="spelle"/>
                <w:sz w:val="20"/>
                <w:szCs w:val="20"/>
              </w:rPr>
              <w:t>, lai segtu izdevumus, kas saistīti ar  luksoforu signālu kontroles ierīču iegādi un uzstādīšanu</w:t>
            </w:r>
            <w:r w:rsidRPr="00F91D8E">
              <w:rPr>
                <w:sz w:val="20"/>
                <w:szCs w:val="20"/>
              </w:rPr>
              <w:t xml:space="preserve"> </w:t>
            </w:r>
            <w:r w:rsidRPr="00F91D8E">
              <w:rPr>
                <w:rStyle w:val="spelle"/>
                <w:sz w:val="20"/>
                <w:szCs w:val="20"/>
              </w:rPr>
              <w:t xml:space="preserve">(papildu funkcionalitātes programmnodrošinājuma izstrādi, fotoradaru saslēgšanu ar luksoforiem, ierīces tipa apstiprināšanu un verifikāciju) ne vairāk kā 31 440 </w:t>
            </w:r>
            <w:r w:rsidRPr="00F91D8E">
              <w:rPr>
                <w:rStyle w:val="spelle"/>
                <w:i/>
                <w:sz w:val="20"/>
                <w:szCs w:val="20"/>
              </w:rPr>
              <w:t>euro</w:t>
            </w:r>
            <w:r w:rsidRPr="00F91D8E">
              <w:rPr>
                <w:rStyle w:val="spelle"/>
                <w:sz w:val="20"/>
                <w:szCs w:val="20"/>
              </w:rPr>
              <w:t xml:space="preserve"> apmērā;</w:t>
            </w:r>
          </w:p>
          <w:p w14:paraId="1F5324CA" w14:textId="77777777" w:rsidR="00F91D8E" w:rsidRPr="00F91D8E" w:rsidRDefault="00F91D8E" w:rsidP="00F91D8E">
            <w:pPr>
              <w:ind w:firstLine="709"/>
              <w:jc w:val="both"/>
              <w:rPr>
                <w:rStyle w:val="spelle"/>
                <w:sz w:val="20"/>
                <w:szCs w:val="20"/>
              </w:rPr>
            </w:pPr>
            <w:r w:rsidRPr="00F91D8E">
              <w:rPr>
                <w:rStyle w:val="spelle"/>
                <w:sz w:val="20"/>
                <w:szCs w:val="20"/>
              </w:rPr>
              <w:t xml:space="preserve">7.2. 2022. un </w:t>
            </w:r>
            <w:proofErr w:type="gramStart"/>
            <w:r w:rsidRPr="00F91D8E">
              <w:rPr>
                <w:rStyle w:val="spelle"/>
                <w:sz w:val="20"/>
                <w:szCs w:val="20"/>
              </w:rPr>
              <w:t>2023.gadā</w:t>
            </w:r>
            <w:proofErr w:type="gramEnd"/>
            <w:r w:rsidRPr="00F91D8E">
              <w:rPr>
                <w:rStyle w:val="spelle"/>
                <w:sz w:val="20"/>
                <w:szCs w:val="20"/>
              </w:rPr>
              <w:t>,  lai segtu izdevumus, kas saistīti ar šā protokollēmuma 2.2.apakšpunktā minēto fotoradaru iegādi un uzstādīšanu.</w:t>
            </w:r>
          </w:p>
          <w:p w14:paraId="563B50FF" w14:textId="77777777" w:rsidR="007875A5" w:rsidRPr="009C548A" w:rsidRDefault="007875A5" w:rsidP="00C84E47">
            <w:pPr>
              <w:jc w:val="center"/>
              <w:rPr>
                <w:sz w:val="18"/>
                <w:szCs w:val="18"/>
              </w:rPr>
            </w:pPr>
          </w:p>
        </w:tc>
      </w:tr>
    </w:tbl>
    <w:p w14:paraId="424D4047" w14:textId="77777777" w:rsidR="00854B43" w:rsidRDefault="00854B43" w:rsidP="00FE259C">
      <w:pPr>
        <w:jc w:val="both"/>
        <w:rPr>
          <w:b/>
          <w:sz w:val="22"/>
          <w:szCs w:val="22"/>
        </w:rPr>
      </w:pPr>
    </w:p>
    <w:p w14:paraId="28A7CCEB" w14:textId="77777777" w:rsidR="00FE259C" w:rsidRPr="00105EC0" w:rsidRDefault="00FE259C" w:rsidP="00FE259C">
      <w:pPr>
        <w:jc w:val="both"/>
        <w:rPr>
          <w:b/>
          <w:sz w:val="22"/>
          <w:szCs w:val="22"/>
        </w:rPr>
      </w:pPr>
      <w:r w:rsidRPr="00105EC0">
        <w:rPr>
          <w:b/>
          <w:sz w:val="22"/>
          <w:szCs w:val="22"/>
        </w:rPr>
        <w:t xml:space="preserve">Informācija par </w:t>
      </w:r>
      <w:r w:rsidRPr="00E92B6B">
        <w:rPr>
          <w:b/>
          <w:sz w:val="22"/>
          <w:szCs w:val="22"/>
        </w:rPr>
        <w:t>starpministriju (starpinstitūciju) sanāksmi vai elektronisko saskaņošanu</w:t>
      </w:r>
      <w:r w:rsidRPr="00105EC0">
        <w:rPr>
          <w:b/>
          <w:sz w:val="22"/>
          <w:szCs w:val="22"/>
        </w:rPr>
        <w:t xml:space="preserve"> </w:t>
      </w:r>
    </w:p>
    <w:p w14:paraId="486D2724" w14:textId="77777777" w:rsidR="00FE259C" w:rsidRPr="00105EC0" w:rsidRDefault="00FE259C" w:rsidP="00FE259C">
      <w:pPr>
        <w:jc w:val="both"/>
        <w:rPr>
          <w:sz w:val="22"/>
          <w:szCs w:val="22"/>
        </w:rPr>
      </w:pPr>
    </w:p>
    <w:p w14:paraId="75976E24" w14:textId="77777777" w:rsidR="001F0FE8" w:rsidRDefault="00FE259C" w:rsidP="00513C4A">
      <w:pPr>
        <w:jc w:val="both"/>
        <w:rPr>
          <w:b/>
          <w:sz w:val="22"/>
          <w:szCs w:val="22"/>
        </w:rPr>
      </w:pPr>
      <w:r w:rsidRPr="00105EC0">
        <w:rPr>
          <w:sz w:val="22"/>
          <w:szCs w:val="22"/>
        </w:rPr>
        <w:t>Datums</w:t>
      </w:r>
      <w:r w:rsidR="00281174" w:rsidRPr="00105EC0">
        <w:rPr>
          <w:sz w:val="22"/>
          <w:szCs w:val="22"/>
        </w:rPr>
        <w:t xml:space="preserve">: </w:t>
      </w:r>
      <w:r w:rsidR="007875A5" w:rsidRPr="000C567C">
        <w:rPr>
          <w:b/>
          <w:sz w:val="22"/>
          <w:szCs w:val="22"/>
        </w:rPr>
        <w:t>starpminist</w:t>
      </w:r>
      <w:r w:rsidR="000C567C">
        <w:rPr>
          <w:b/>
          <w:sz w:val="22"/>
          <w:szCs w:val="22"/>
        </w:rPr>
        <w:t>riju (starpinstitūciju) sanāksme</w:t>
      </w:r>
      <w:r w:rsidR="007875A5" w:rsidRPr="00105EC0">
        <w:rPr>
          <w:b/>
          <w:sz w:val="22"/>
          <w:szCs w:val="22"/>
        </w:rPr>
        <w:t xml:space="preserve"> </w:t>
      </w:r>
      <w:r w:rsidR="00A76C4B">
        <w:rPr>
          <w:b/>
          <w:sz w:val="22"/>
          <w:szCs w:val="22"/>
        </w:rPr>
        <w:t>19</w:t>
      </w:r>
      <w:r w:rsidR="007D3747" w:rsidRPr="00CE0F22">
        <w:rPr>
          <w:b/>
          <w:sz w:val="22"/>
          <w:szCs w:val="22"/>
        </w:rPr>
        <w:t>.0</w:t>
      </w:r>
      <w:r w:rsidR="00BD72F8">
        <w:rPr>
          <w:b/>
          <w:sz w:val="22"/>
          <w:szCs w:val="22"/>
        </w:rPr>
        <w:t>3</w:t>
      </w:r>
      <w:r w:rsidR="007D3747" w:rsidRPr="00CE0F22">
        <w:rPr>
          <w:b/>
          <w:sz w:val="22"/>
          <w:szCs w:val="22"/>
        </w:rPr>
        <w:t>.2019.</w:t>
      </w:r>
      <w:r w:rsidR="00B219EE">
        <w:rPr>
          <w:b/>
          <w:sz w:val="22"/>
          <w:szCs w:val="22"/>
        </w:rPr>
        <w:t>, elektroniskā saskaņošana 18.04.2019., tikšanās Finanšu ministrijā 02.</w:t>
      </w:r>
      <w:r w:rsidR="00B1442D">
        <w:rPr>
          <w:b/>
          <w:sz w:val="22"/>
          <w:szCs w:val="22"/>
        </w:rPr>
        <w:t>05</w:t>
      </w:r>
      <w:r w:rsidR="00B219EE">
        <w:rPr>
          <w:b/>
          <w:sz w:val="22"/>
          <w:szCs w:val="22"/>
        </w:rPr>
        <w:t>.2019.</w:t>
      </w:r>
      <w:r w:rsidR="007875A5">
        <w:rPr>
          <w:b/>
          <w:sz w:val="22"/>
          <w:szCs w:val="22"/>
        </w:rPr>
        <w:t>, elektroniskā saskaņošana ar Finanšu ministriju 03.05.2019.</w:t>
      </w:r>
    </w:p>
    <w:p w14:paraId="1E836CC4" w14:textId="4D69495F" w:rsidR="00FC627E" w:rsidRPr="00105EC0" w:rsidRDefault="00FE259C" w:rsidP="00513C4A">
      <w:pPr>
        <w:jc w:val="both"/>
        <w:rPr>
          <w:sz w:val="22"/>
          <w:szCs w:val="22"/>
        </w:rPr>
      </w:pPr>
      <w:r w:rsidRPr="00105EC0">
        <w:rPr>
          <w:sz w:val="22"/>
          <w:szCs w:val="22"/>
        </w:rPr>
        <w:tab/>
      </w:r>
      <w:r w:rsidRPr="00105EC0">
        <w:rPr>
          <w:sz w:val="22"/>
          <w:szCs w:val="22"/>
        </w:rPr>
        <w:tab/>
      </w:r>
      <w:r w:rsidRPr="00105EC0">
        <w:rPr>
          <w:sz w:val="22"/>
          <w:szCs w:val="22"/>
        </w:rPr>
        <w:tab/>
      </w:r>
      <w:r w:rsidRPr="00105EC0">
        <w:rPr>
          <w:sz w:val="22"/>
          <w:szCs w:val="22"/>
        </w:rPr>
        <w:tab/>
      </w:r>
      <w:r w:rsidRPr="00105EC0">
        <w:rPr>
          <w:sz w:val="22"/>
          <w:szCs w:val="22"/>
        </w:rPr>
        <w:tab/>
      </w:r>
      <w:r w:rsidR="006B294F" w:rsidRPr="00105EC0">
        <w:rPr>
          <w:sz w:val="22"/>
          <w:szCs w:val="22"/>
        </w:rPr>
        <w:t xml:space="preserve"> </w:t>
      </w:r>
    </w:p>
    <w:p w14:paraId="32F06921" w14:textId="77777777" w:rsidR="009007E9" w:rsidRDefault="00FE259C" w:rsidP="009007E9">
      <w:pPr>
        <w:ind w:left="7088" w:hanging="7088"/>
        <w:rPr>
          <w:sz w:val="22"/>
          <w:szCs w:val="22"/>
        </w:rPr>
      </w:pPr>
      <w:r w:rsidRPr="00105EC0">
        <w:rPr>
          <w:sz w:val="22"/>
          <w:szCs w:val="22"/>
        </w:rPr>
        <w:t>Saskaņošanas dalībnieki izskatīja šādu ministriju (citu institūciju) iebildumus</w:t>
      </w:r>
      <w:r w:rsidR="0018156A" w:rsidRPr="00105EC0">
        <w:rPr>
          <w:sz w:val="22"/>
          <w:szCs w:val="22"/>
        </w:rPr>
        <w:t>:</w:t>
      </w:r>
    </w:p>
    <w:p w14:paraId="4BFDED3B" w14:textId="55ADE76E" w:rsidR="00585907" w:rsidRPr="00CE0F22" w:rsidRDefault="009007E9" w:rsidP="001F0FE8">
      <w:pPr>
        <w:rPr>
          <w:b/>
          <w:sz w:val="22"/>
          <w:szCs w:val="22"/>
        </w:rPr>
      </w:pPr>
      <w:r w:rsidRPr="00CE0F22">
        <w:rPr>
          <w:b/>
          <w:sz w:val="22"/>
          <w:szCs w:val="22"/>
        </w:rPr>
        <w:t>Finanšu ministrija</w:t>
      </w:r>
      <w:r w:rsidR="00105EC0" w:rsidRPr="00CE0F22">
        <w:rPr>
          <w:b/>
          <w:sz w:val="22"/>
          <w:szCs w:val="22"/>
        </w:rPr>
        <w:t xml:space="preserve">, </w:t>
      </w:r>
      <w:r w:rsidR="009A43CC" w:rsidRPr="00CE0F22">
        <w:rPr>
          <w:b/>
          <w:sz w:val="22"/>
          <w:szCs w:val="22"/>
        </w:rPr>
        <w:t>Ekonomikas ministrija, Satiksmes ministrija, Pārresoru koordinācijas centrs</w:t>
      </w:r>
      <w:r w:rsidR="00FE259C" w:rsidRPr="00CE0F22">
        <w:rPr>
          <w:b/>
          <w:sz w:val="22"/>
          <w:szCs w:val="22"/>
        </w:rPr>
        <w:tab/>
      </w:r>
      <w:r w:rsidR="00FE259C" w:rsidRPr="00CE0F22">
        <w:rPr>
          <w:b/>
          <w:sz w:val="22"/>
          <w:szCs w:val="22"/>
        </w:rPr>
        <w:tab/>
      </w:r>
      <w:r w:rsidR="00585907" w:rsidRPr="00CE0F22">
        <w:rPr>
          <w:b/>
          <w:sz w:val="22"/>
          <w:szCs w:val="22"/>
        </w:rPr>
        <w:t xml:space="preserve"> </w:t>
      </w:r>
    </w:p>
    <w:p w14:paraId="6782CCE5" w14:textId="77777777" w:rsidR="00FE259C" w:rsidRPr="00105EC0" w:rsidRDefault="00FE259C" w:rsidP="00C24D24">
      <w:pPr>
        <w:jc w:val="both"/>
        <w:rPr>
          <w:sz w:val="22"/>
          <w:szCs w:val="22"/>
        </w:rPr>
      </w:pPr>
      <w:r w:rsidRPr="00105EC0">
        <w:rPr>
          <w:sz w:val="22"/>
          <w:szCs w:val="22"/>
        </w:rPr>
        <w:tab/>
      </w:r>
      <w:r w:rsidRPr="00105EC0">
        <w:rPr>
          <w:sz w:val="22"/>
          <w:szCs w:val="22"/>
        </w:rPr>
        <w:tab/>
      </w:r>
      <w:r w:rsidRPr="00105EC0">
        <w:rPr>
          <w:sz w:val="22"/>
          <w:szCs w:val="22"/>
        </w:rPr>
        <w:tab/>
        <w:t xml:space="preserve"> </w:t>
      </w:r>
    </w:p>
    <w:p w14:paraId="1FFB4C94" w14:textId="77777777" w:rsidR="00134D02" w:rsidRDefault="00FE259C" w:rsidP="00FE259C">
      <w:pPr>
        <w:jc w:val="both"/>
        <w:rPr>
          <w:b/>
          <w:sz w:val="20"/>
          <w:szCs w:val="20"/>
        </w:rPr>
      </w:pPr>
      <w:r w:rsidRPr="00105EC0">
        <w:rPr>
          <w:sz w:val="22"/>
          <w:szCs w:val="22"/>
        </w:rPr>
        <w:t xml:space="preserve">Ministrijas (citas institūcijas), kuras nav ieradušās uz </w:t>
      </w:r>
      <w:r w:rsidRPr="00105EC0">
        <w:rPr>
          <w:sz w:val="22"/>
          <w:szCs w:val="22"/>
        </w:rPr>
        <w:tab/>
      </w:r>
      <w:r w:rsidR="00134D02" w:rsidRPr="00134D02">
        <w:rPr>
          <w:b/>
          <w:sz w:val="22"/>
          <w:szCs w:val="22"/>
        </w:rPr>
        <w:t>Tieslietu ministrija, Valsts kancelejas Valsts pārvaldes politikas departaments, Valsts kontrole</w:t>
      </w:r>
    </w:p>
    <w:p w14:paraId="06B58603" w14:textId="77777777" w:rsidR="00FE259C" w:rsidRPr="00105EC0" w:rsidRDefault="00FE259C" w:rsidP="00FE259C">
      <w:pPr>
        <w:jc w:val="both"/>
        <w:rPr>
          <w:sz w:val="22"/>
          <w:szCs w:val="22"/>
        </w:rPr>
      </w:pPr>
      <w:r w:rsidRPr="00105EC0">
        <w:rPr>
          <w:sz w:val="22"/>
          <w:szCs w:val="22"/>
        </w:rPr>
        <w:t xml:space="preserve">sanāksmi vai kuras nav atbildējušas uz uzaicinājumu             </w:t>
      </w:r>
    </w:p>
    <w:p w14:paraId="7CE2D610" w14:textId="77777777" w:rsidR="00FE259C" w:rsidRPr="00A26DDD" w:rsidRDefault="00FE259C" w:rsidP="00FE259C">
      <w:pPr>
        <w:jc w:val="both"/>
        <w:rPr>
          <w:sz w:val="20"/>
          <w:szCs w:val="20"/>
        </w:rPr>
      </w:pPr>
      <w:r w:rsidRPr="00105EC0">
        <w:rPr>
          <w:sz w:val="22"/>
          <w:szCs w:val="22"/>
        </w:rPr>
        <w:t xml:space="preserve">piedalīties elektroniskajā saskaņošanā </w:t>
      </w:r>
      <w:r w:rsidRPr="00105EC0">
        <w:rPr>
          <w:sz w:val="22"/>
          <w:szCs w:val="22"/>
        </w:rPr>
        <w:tab/>
      </w:r>
      <w:r w:rsidRPr="00A26DDD">
        <w:rPr>
          <w:sz w:val="20"/>
          <w:szCs w:val="20"/>
        </w:rPr>
        <w:tab/>
      </w:r>
      <w:r w:rsidRPr="00A26DDD">
        <w:rPr>
          <w:sz w:val="20"/>
          <w:szCs w:val="20"/>
        </w:rPr>
        <w:tab/>
        <w:t xml:space="preserve"> </w:t>
      </w:r>
    </w:p>
    <w:p w14:paraId="253B0DC3" w14:textId="77777777" w:rsidR="00DF499D" w:rsidRDefault="00FE259C" w:rsidP="00EB69A4">
      <w:pPr>
        <w:jc w:val="both"/>
        <w:rPr>
          <w:sz w:val="20"/>
          <w:szCs w:val="20"/>
        </w:rPr>
      </w:pPr>
      <w:r w:rsidRPr="00A26DDD">
        <w:rPr>
          <w:sz w:val="20"/>
          <w:szCs w:val="20"/>
        </w:rPr>
        <w:tab/>
      </w:r>
      <w:r w:rsidRPr="00A26DDD">
        <w:rPr>
          <w:sz w:val="20"/>
          <w:szCs w:val="20"/>
        </w:rPr>
        <w:tab/>
      </w:r>
      <w:r w:rsidRPr="00A26DDD">
        <w:rPr>
          <w:sz w:val="20"/>
          <w:szCs w:val="20"/>
        </w:rPr>
        <w:tab/>
      </w:r>
      <w:r w:rsidRPr="00A26DDD">
        <w:rPr>
          <w:sz w:val="20"/>
          <w:szCs w:val="20"/>
        </w:rPr>
        <w:tab/>
      </w:r>
      <w:r w:rsidRPr="00A26DDD">
        <w:rPr>
          <w:sz w:val="20"/>
          <w:szCs w:val="20"/>
        </w:rPr>
        <w:tab/>
      </w:r>
      <w:r w:rsidRPr="00A26DDD">
        <w:rPr>
          <w:sz w:val="20"/>
          <w:szCs w:val="20"/>
        </w:rPr>
        <w:tab/>
      </w:r>
      <w:r w:rsidRPr="00A26DDD">
        <w:rPr>
          <w:sz w:val="20"/>
          <w:szCs w:val="20"/>
        </w:rPr>
        <w:tab/>
      </w:r>
    </w:p>
    <w:p w14:paraId="396E7490" w14:textId="77777777" w:rsidR="0089642C" w:rsidRDefault="0089642C" w:rsidP="00EB69A4">
      <w:pPr>
        <w:jc w:val="both"/>
        <w:rPr>
          <w:sz w:val="20"/>
          <w:szCs w:val="20"/>
        </w:rPr>
      </w:pPr>
    </w:p>
    <w:p w14:paraId="658BC5AF" w14:textId="77777777" w:rsidR="00FE259C" w:rsidRPr="00A26DDD" w:rsidRDefault="00FE259C" w:rsidP="00DF499D">
      <w:pPr>
        <w:jc w:val="center"/>
        <w:rPr>
          <w:b/>
          <w:sz w:val="20"/>
          <w:szCs w:val="20"/>
        </w:rPr>
      </w:pPr>
      <w:r w:rsidRPr="00A26DDD">
        <w:rPr>
          <w:b/>
          <w:sz w:val="20"/>
          <w:szCs w:val="20"/>
        </w:rPr>
        <w:t>II. Jautājumi, par kuriem saskaņošanā vienošanās ir panākta</w:t>
      </w:r>
    </w:p>
    <w:p w14:paraId="3E2BAE3B" w14:textId="77777777" w:rsidR="00FE259C" w:rsidRPr="00A26DDD" w:rsidRDefault="00FE259C" w:rsidP="00FE259C">
      <w:pPr>
        <w:jc w:val="center"/>
        <w:rPr>
          <w:sz w:val="20"/>
          <w:szCs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6662"/>
        <w:gridCol w:w="3402"/>
        <w:gridCol w:w="2410"/>
      </w:tblGrid>
      <w:tr w:rsidR="00FE259C" w:rsidRPr="00A26DDD" w14:paraId="125C8AD6" w14:textId="77777777" w:rsidTr="006E668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C7D73D" w14:textId="77777777" w:rsidR="00FE259C" w:rsidRPr="00A26DDD" w:rsidRDefault="00FE259C" w:rsidP="00C84E47">
            <w:pPr>
              <w:jc w:val="center"/>
              <w:rPr>
                <w:sz w:val="20"/>
                <w:szCs w:val="20"/>
              </w:rPr>
            </w:pPr>
            <w:r w:rsidRPr="00A26DDD">
              <w:rPr>
                <w:sz w:val="20"/>
                <w:szCs w:val="20"/>
              </w:rPr>
              <w:t>Nr. p.k.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9915C8" w14:textId="77777777" w:rsidR="00FE259C" w:rsidRPr="00A26DDD" w:rsidRDefault="00FE259C" w:rsidP="00C84E47">
            <w:pPr>
              <w:jc w:val="center"/>
              <w:rPr>
                <w:sz w:val="20"/>
                <w:szCs w:val="20"/>
              </w:rPr>
            </w:pPr>
            <w:r w:rsidRPr="00A26DDD">
              <w:rPr>
                <w:sz w:val="20"/>
                <w:szCs w:val="20"/>
              </w:rPr>
              <w:t>Saskaņošanai nosūtītā projekta redakcija (konkrēta punkta (panta) redakcija)</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E54C3B" w14:textId="77777777" w:rsidR="00FE259C" w:rsidRPr="00A26DDD" w:rsidRDefault="00FE259C" w:rsidP="00E51C6A">
            <w:pPr>
              <w:jc w:val="both"/>
              <w:rPr>
                <w:sz w:val="20"/>
                <w:szCs w:val="20"/>
              </w:rPr>
            </w:pPr>
            <w:r w:rsidRPr="00A26DDD">
              <w:rPr>
                <w:sz w:val="20"/>
                <w:szCs w:val="20"/>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AA6494" w14:textId="77777777" w:rsidR="00A10ED9" w:rsidRPr="00A26DDD" w:rsidRDefault="00FE259C" w:rsidP="00C84E47">
            <w:pPr>
              <w:jc w:val="center"/>
              <w:rPr>
                <w:sz w:val="20"/>
                <w:szCs w:val="20"/>
              </w:rPr>
            </w:pPr>
            <w:r w:rsidRPr="00A26DDD">
              <w:rPr>
                <w:sz w:val="20"/>
                <w:szCs w:val="20"/>
              </w:rPr>
              <w:t>Atbildīgās ministrijas norāde par to, ka iebildums ir ņemts vērā, vai informācija par saskaņošanā panākto alternatīvo risinājumu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13FE2" w14:textId="77777777" w:rsidR="00FE259C" w:rsidRPr="00A26DDD" w:rsidRDefault="00FE259C" w:rsidP="00C84E47">
            <w:pPr>
              <w:jc w:val="center"/>
              <w:rPr>
                <w:sz w:val="20"/>
                <w:szCs w:val="20"/>
                <w:highlight w:val="yellow"/>
              </w:rPr>
            </w:pPr>
            <w:r w:rsidRPr="00A26DDD">
              <w:rPr>
                <w:sz w:val="20"/>
                <w:szCs w:val="20"/>
              </w:rPr>
              <w:t>Projekta attiecīgā punkta (panta) galīgā redakcija</w:t>
            </w:r>
          </w:p>
        </w:tc>
      </w:tr>
      <w:tr w:rsidR="00FE259C" w:rsidRPr="00A26DDD" w14:paraId="1FFA9502" w14:textId="77777777" w:rsidTr="006E668A">
        <w:tc>
          <w:tcPr>
            <w:tcW w:w="534" w:type="dxa"/>
            <w:tcBorders>
              <w:top w:val="single" w:sz="4" w:space="0" w:color="auto"/>
              <w:left w:val="single" w:sz="4" w:space="0" w:color="auto"/>
              <w:bottom w:val="single" w:sz="4" w:space="0" w:color="auto"/>
              <w:right w:val="single" w:sz="4" w:space="0" w:color="auto"/>
            </w:tcBorders>
            <w:shd w:val="clear" w:color="auto" w:fill="auto"/>
          </w:tcPr>
          <w:p w14:paraId="0346DD08" w14:textId="77777777" w:rsidR="00FE259C" w:rsidRPr="00A26DDD" w:rsidRDefault="00FE259C" w:rsidP="00C84E47">
            <w:pPr>
              <w:jc w:val="center"/>
              <w:rPr>
                <w:sz w:val="20"/>
                <w:szCs w:val="20"/>
              </w:rPr>
            </w:pPr>
            <w:r w:rsidRPr="00A26DDD">
              <w:rP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A329A" w14:textId="77777777" w:rsidR="00FE259C" w:rsidRPr="00A26DDD" w:rsidRDefault="00FE259C" w:rsidP="00C84E47">
            <w:pPr>
              <w:jc w:val="center"/>
              <w:rPr>
                <w:sz w:val="20"/>
                <w:szCs w:val="20"/>
              </w:rPr>
            </w:pPr>
            <w:r w:rsidRPr="00A26DDD">
              <w:rPr>
                <w:sz w:val="20"/>
                <w:szCs w:val="20"/>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942EB7" w14:textId="77777777" w:rsidR="00FE259C" w:rsidRPr="00A26DDD" w:rsidRDefault="00FE259C" w:rsidP="00AB75FC">
            <w:pPr>
              <w:jc w:val="center"/>
              <w:rPr>
                <w:sz w:val="20"/>
                <w:szCs w:val="20"/>
              </w:rPr>
            </w:pPr>
            <w:r w:rsidRPr="00A26DDD">
              <w:rPr>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D0FB1F" w14:textId="77777777" w:rsidR="00FE259C" w:rsidRPr="00A26DDD" w:rsidRDefault="00FE259C" w:rsidP="00C84E47">
            <w:pPr>
              <w:jc w:val="center"/>
              <w:rPr>
                <w:sz w:val="20"/>
                <w:szCs w:val="20"/>
              </w:rPr>
            </w:pPr>
            <w:r w:rsidRPr="00A26DDD">
              <w:rPr>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3EA988" w14:textId="2CA73E89" w:rsidR="00FE259C" w:rsidRPr="00A26DDD" w:rsidRDefault="009556C6" w:rsidP="00C84E47">
            <w:pPr>
              <w:jc w:val="center"/>
              <w:rPr>
                <w:sz w:val="20"/>
                <w:szCs w:val="20"/>
                <w:highlight w:val="yellow"/>
              </w:rPr>
            </w:pPr>
            <w:r w:rsidRPr="009556C6">
              <w:rPr>
                <w:sz w:val="20"/>
                <w:szCs w:val="20"/>
              </w:rPr>
              <w:t>5</w:t>
            </w:r>
          </w:p>
        </w:tc>
      </w:tr>
      <w:tr w:rsidR="00146ED2" w:rsidRPr="00A26DDD" w14:paraId="7F634700" w14:textId="77777777" w:rsidTr="006E668A">
        <w:tc>
          <w:tcPr>
            <w:tcW w:w="534" w:type="dxa"/>
            <w:tcBorders>
              <w:top w:val="single" w:sz="4" w:space="0" w:color="auto"/>
              <w:left w:val="single" w:sz="4" w:space="0" w:color="auto"/>
              <w:bottom w:val="nil"/>
              <w:right w:val="single" w:sz="4" w:space="0" w:color="auto"/>
            </w:tcBorders>
            <w:shd w:val="clear" w:color="auto" w:fill="auto"/>
          </w:tcPr>
          <w:p w14:paraId="6B3335F5" w14:textId="362398D9" w:rsidR="00146ED2" w:rsidRPr="00844AE7" w:rsidRDefault="00160BAF" w:rsidP="00C84E47">
            <w:pPr>
              <w:jc w:val="center"/>
              <w:rPr>
                <w:sz w:val="22"/>
                <w:szCs w:val="22"/>
              </w:rPr>
            </w:pPr>
            <w:r>
              <w:rPr>
                <w:sz w:val="22"/>
                <w:szCs w:val="22"/>
              </w:rPr>
              <w:t>1.</w:t>
            </w:r>
          </w:p>
        </w:tc>
        <w:tc>
          <w:tcPr>
            <w:tcW w:w="2126" w:type="dxa"/>
            <w:tcBorders>
              <w:top w:val="single" w:sz="4" w:space="0" w:color="auto"/>
              <w:left w:val="single" w:sz="4" w:space="0" w:color="auto"/>
              <w:bottom w:val="nil"/>
              <w:right w:val="single" w:sz="4" w:space="0" w:color="auto"/>
            </w:tcBorders>
            <w:shd w:val="clear" w:color="auto" w:fill="auto"/>
          </w:tcPr>
          <w:p w14:paraId="26A9D5BE" w14:textId="77777777" w:rsidR="00146ED2" w:rsidRPr="00844AE7" w:rsidRDefault="00146ED2" w:rsidP="00351896">
            <w:pPr>
              <w:pStyle w:val="NoSpacing"/>
              <w:jc w:val="both"/>
            </w:pPr>
          </w:p>
        </w:tc>
        <w:tc>
          <w:tcPr>
            <w:tcW w:w="6662" w:type="dxa"/>
            <w:tcBorders>
              <w:top w:val="single" w:sz="4" w:space="0" w:color="auto"/>
              <w:left w:val="single" w:sz="4" w:space="0" w:color="auto"/>
              <w:bottom w:val="nil"/>
              <w:right w:val="single" w:sz="4" w:space="0" w:color="auto"/>
            </w:tcBorders>
            <w:shd w:val="clear" w:color="auto" w:fill="auto"/>
          </w:tcPr>
          <w:p w14:paraId="5C79967D" w14:textId="77777777" w:rsidR="00146ED2" w:rsidRPr="00D115E2" w:rsidRDefault="00146ED2" w:rsidP="00146ED2">
            <w:pPr>
              <w:jc w:val="center"/>
              <w:rPr>
                <w:b/>
                <w:sz w:val="20"/>
                <w:szCs w:val="20"/>
              </w:rPr>
            </w:pPr>
            <w:r w:rsidRPr="00D115E2">
              <w:rPr>
                <w:b/>
                <w:sz w:val="20"/>
                <w:szCs w:val="20"/>
              </w:rPr>
              <w:t xml:space="preserve">Valsts kontrole </w:t>
            </w:r>
          </w:p>
          <w:p w14:paraId="3F8F29A7" w14:textId="77777777" w:rsidR="00146ED2" w:rsidRPr="00D115E2" w:rsidRDefault="00146ED2" w:rsidP="00146ED2">
            <w:pPr>
              <w:jc w:val="center"/>
              <w:rPr>
                <w:sz w:val="20"/>
                <w:szCs w:val="20"/>
              </w:rPr>
            </w:pPr>
            <w:r w:rsidRPr="00D115E2">
              <w:rPr>
                <w:sz w:val="20"/>
                <w:szCs w:val="20"/>
              </w:rPr>
              <w:t>(07.02.2019. Nr.8-2.3.1e/138)</w:t>
            </w:r>
          </w:p>
          <w:p w14:paraId="723DC940" w14:textId="77777777" w:rsidR="00146ED2" w:rsidRPr="00D115E2" w:rsidRDefault="00146ED2" w:rsidP="00146ED2">
            <w:pPr>
              <w:jc w:val="center"/>
              <w:rPr>
                <w:b/>
                <w:sz w:val="20"/>
                <w:szCs w:val="20"/>
              </w:rPr>
            </w:pPr>
            <w:r w:rsidRPr="00D115E2">
              <w:rPr>
                <w:b/>
                <w:sz w:val="20"/>
                <w:szCs w:val="20"/>
              </w:rPr>
              <w:t>(viedoklis)</w:t>
            </w:r>
          </w:p>
          <w:p w14:paraId="475E976F" w14:textId="77777777" w:rsidR="00146ED2" w:rsidRPr="00D115E2" w:rsidRDefault="00146ED2" w:rsidP="00146ED2">
            <w:pPr>
              <w:ind w:firstLine="709"/>
              <w:jc w:val="both"/>
              <w:rPr>
                <w:sz w:val="20"/>
                <w:szCs w:val="20"/>
              </w:rPr>
            </w:pPr>
            <w:r w:rsidRPr="00D115E2">
              <w:rPr>
                <w:sz w:val="20"/>
                <w:szCs w:val="20"/>
              </w:rPr>
              <w:lastRenderedPageBreak/>
              <w:t>Valsts kontrole savas kompetences ietvaros ir izvērtējusi 2019.gada 24.janvāra Valsts sekretāru sanāksmē izsludināto informatīvā ziņojuma “Par tehnisko līdzekļu (fotoradaru) turpmākās darbības nodrošināšanu (atjaunošanu) un tās finansēšanas avotiem valsts politiku ugunsdrošības jomā” projektu (VSS-67) (turpmāk – Projekts) un to pavadošo Ministru kabineta sēdes protokollēmuma projektu.</w:t>
            </w:r>
          </w:p>
          <w:p w14:paraId="12E4487B" w14:textId="77777777" w:rsidR="00146ED2" w:rsidRPr="00D115E2" w:rsidRDefault="00146ED2" w:rsidP="00146ED2">
            <w:pPr>
              <w:ind w:firstLine="709"/>
              <w:jc w:val="both"/>
              <w:rPr>
                <w:sz w:val="20"/>
                <w:szCs w:val="20"/>
              </w:rPr>
            </w:pPr>
            <w:r w:rsidRPr="00D115E2">
              <w:rPr>
                <w:sz w:val="20"/>
                <w:szCs w:val="20"/>
              </w:rPr>
              <w:t>Finanšu revīzijas par Iekšlietu ministrijas 2015.gada pārskata sagatavošanas pareizību ietvaros Valsts kontrole veica pārbaudes par pasākumam “Ceļu satiksmes pārkāpumu fiksēšanas tehnisko līdzekļu (fotoradaru) darbības nodrošināšana” piešķirto valsts budžeta līdzekļu izlietojumu.</w:t>
            </w:r>
          </w:p>
          <w:p w14:paraId="5ABD5147" w14:textId="77777777" w:rsidR="00146ED2" w:rsidRPr="00D115E2" w:rsidRDefault="00146ED2" w:rsidP="00146ED2">
            <w:pPr>
              <w:ind w:firstLine="709"/>
              <w:jc w:val="both"/>
              <w:rPr>
                <w:sz w:val="20"/>
                <w:szCs w:val="20"/>
              </w:rPr>
            </w:pPr>
            <w:r w:rsidRPr="00D115E2">
              <w:rPr>
                <w:sz w:val="20"/>
                <w:szCs w:val="20"/>
              </w:rPr>
              <w:t>Revīzijā tika norādīts uz nepieciešamību pārskatīt ceļu satiksmes pārkāpumu fiksēšanas tehnisko līdzekļu (fotoradaru) darbības nodrošināšanai noslēgtā valsts pārvaldes uzdevuma deleģēšanas līguma finansēšanas kārtību un līguma nosacījumu atbilstību normatīvo aktu prasībām. Ceļu satiksmes drošības  direkcijai (turpmāk – CSDD) deleģētais uzdevums saistībā ar fotoradaru iegādi, uzstādīšanu un darbības nodrošināšanu nav uzskatāms par ierastu publiskās personas komercdarbību atbilstoši Publiskas personas kapitāla daļu un kapitālsabiedrību pārvaldības likumam, jo dotais uzdevums ir politikas plānošanas dokumentos definēts pasākums sabiedrības drošības interesēs. Valsts kontroles vērtējumā bija  jāpārskata šī pasākuma statuss un finansēšanas kārtība, tajā skaitā nosakot šajā īpašajā gadījumā piemērojamas prasības attiecībā uz kapitālsabiedrības peļņu, nolietojuma un administratīvo izmaksu attiecināšanu.</w:t>
            </w:r>
          </w:p>
          <w:p w14:paraId="2BE3EC48" w14:textId="77777777" w:rsidR="00146ED2" w:rsidRPr="00D115E2" w:rsidRDefault="00146ED2" w:rsidP="00146ED2">
            <w:pPr>
              <w:ind w:firstLine="709"/>
              <w:jc w:val="both"/>
              <w:rPr>
                <w:sz w:val="20"/>
                <w:szCs w:val="20"/>
              </w:rPr>
            </w:pPr>
            <w:r w:rsidRPr="00D115E2">
              <w:rPr>
                <w:sz w:val="20"/>
                <w:szCs w:val="20"/>
              </w:rPr>
              <w:t xml:space="preserve">Ieviešot Valsts kontroles sniegtos ieteikumus, Ministru kabinets pārskatīja CSDD sniegtā pakalpojuma fotoradaru iegādei, uzstādīšanai un apkalpošanai izmaksas un pieņēma lēmumu atteikties no fotoradaru nolietojuma iekļaušanas pakalpojuma izmaksās, kā arī samazināja CSDD garantēto peļņu no 10% uz 5%. Tā rezultātā CSDD sniegtā pakalpojuma izmaksas 3 gadu laikā (2017.-2019.gads) Iekšlietu ministrijai samazinājās  par 2,5 miljoniem </w:t>
            </w:r>
            <w:r w:rsidRPr="00D115E2">
              <w:rPr>
                <w:i/>
                <w:sz w:val="20"/>
                <w:szCs w:val="20"/>
              </w:rPr>
              <w:t>euro</w:t>
            </w:r>
            <w:r w:rsidRPr="00D115E2">
              <w:rPr>
                <w:sz w:val="20"/>
                <w:szCs w:val="20"/>
              </w:rPr>
              <w:t>.</w:t>
            </w:r>
          </w:p>
          <w:p w14:paraId="0FE08D14" w14:textId="67ED3A1B" w:rsidR="00A14E6B" w:rsidRPr="006F03C9" w:rsidRDefault="00146ED2" w:rsidP="00D115E2">
            <w:pPr>
              <w:ind w:firstLine="709"/>
              <w:jc w:val="both"/>
              <w:rPr>
                <w:b/>
                <w:sz w:val="20"/>
                <w:szCs w:val="20"/>
              </w:rPr>
            </w:pPr>
            <w:r w:rsidRPr="00D115E2">
              <w:rPr>
                <w:sz w:val="20"/>
                <w:szCs w:val="20"/>
              </w:rPr>
              <w:t>Valsts kontroles vērtējumā Iekšlietu ministrijas sagatavotajā Projektā  piedāvātais 2.modelis, kad fotoradaru iegādi un uzstādīšanu nodrošina CSDD no valstij izmaksājamām dividendēm, kas netiek ieskaitītas valsts pamatbudžeta ieņēmumos, un netiek veidots nolietojuma uzkrājums, nodrošina Valsts kontroles 2015.gadā veiktās revīzijas ieteikumu ieviešanas rezultātā panākto uzlabojumu  pēctecību. Līdz ar to Valsts kontrole atbalsta tālāku Projekta virzību, ja kā Ministru kabinetā atbalstāmais variants tiek virzīts piedāvātais 2.modelis.</w:t>
            </w:r>
          </w:p>
        </w:tc>
        <w:tc>
          <w:tcPr>
            <w:tcW w:w="3402" w:type="dxa"/>
            <w:tcBorders>
              <w:top w:val="single" w:sz="4" w:space="0" w:color="auto"/>
              <w:left w:val="single" w:sz="4" w:space="0" w:color="auto"/>
              <w:bottom w:val="nil"/>
              <w:right w:val="single" w:sz="4" w:space="0" w:color="auto"/>
            </w:tcBorders>
            <w:shd w:val="clear" w:color="auto" w:fill="auto"/>
          </w:tcPr>
          <w:p w14:paraId="3490E4ED" w14:textId="77777777" w:rsidR="00146ED2" w:rsidRDefault="00146ED2" w:rsidP="000244AA">
            <w:pPr>
              <w:pStyle w:val="NormalWeb"/>
              <w:spacing w:before="0" w:beforeAutospacing="0" w:after="0" w:afterAutospacing="0"/>
              <w:ind w:firstLine="176"/>
              <w:jc w:val="both"/>
              <w:rPr>
                <w:rFonts w:ascii="Times New Roman" w:hAnsi="Times New Roman"/>
                <w:b/>
                <w:sz w:val="20"/>
                <w:szCs w:val="20"/>
              </w:rPr>
            </w:pPr>
          </w:p>
        </w:tc>
        <w:tc>
          <w:tcPr>
            <w:tcW w:w="2410" w:type="dxa"/>
            <w:tcBorders>
              <w:top w:val="single" w:sz="4" w:space="0" w:color="auto"/>
              <w:left w:val="single" w:sz="4" w:space="0" w:color="auto"/>
              <w:bottom w:val="nil"/>
              <w:right w:val="single" w:sz="4" w:space="0" w:color="auto"/>
            </w:tcBorders>
            <w:shd w:val="clear" w:color="auto" w:fill="auto"/>
          </w:tcPr>
          <w:p w14:paraId="35AB1577" w14:textId="77777777" w:rsidR="00146ED2" w:rsidRDefault="00146ED2" w:rsidP="00351896">
            <w:pPr>
              <w:jc w:val="both"/>
              <w:rPr>
                <w:sz w:val="22"/>
                <w:szCs w:val="22"/>
                <w:highlight w:val="yellow"/>
              </w:rPr>
            </w:pPr>
          </w:p>
        </w:tc>
      </w:tr>
      <w:tr w:rsidR="003D7FB9" w:rsidRPr="00A26DDD" w14:paraId="7B745846" w14:textId="77777777" w:rsidTr="006E668A">
        <w:tc>
          <w:tcPr>
            <w:tcW w:w="534" w:type="dxa"/>
            <w:tcBorders>
              <w:top w:val="single" w:sz="4" w:space="0" w:color="auto"/>
              <w:left w:val="single" w:sz="4" w:space="0" w:color="auto"/>
              <w:bottom w:val="nil"/>
              <w:right w:val="single" w:sz="4" w:space="0" w:color="auto"/>
            </w:tcBorders>
            <w:shd w:val="clear" w:color="auto" w:fill="auto"/>
          </w:tcPr>
          <w:p w14:paraId="6153A80F" w14:textId="105697E0" w:rsidR="003D7FB9" w:rsidRDefault="001823FB" w:rsidP="00C84E47">
            <w:pPr>
              <w:jc w:val="center"/>
              <w:rPr>
                <w:sz w:val="22"/>
                <w:szCs w:val="22"/>
              </w:rPr>
            </w:pPr>
            <w:r>
              <w:rPr>
                <w:sz w:val="22"/>
                <w:szCs w:val="22"/>
              </w:rPr>
              <w:t>2.</w:t>
            </w:r>
          </w:p>
        </w:tc>
        <w:tc>
          <w:tcPr>
            <w:tcW w:w="2126" w:type="dxa"/>
            <w:tcBorders>
              <w:top w:val="single" w:sz="4" w:space="0" w:color="auto"/>
              <w:left w:val="single" w:sz="4" w:space="0" w:color="auto"/>
              <w:bottom w:val="nil"/>
              <w:right w:val="single" w:sz="4" w:space="0" w:color="auto"/>
            </w:tcBorders>
            <w:shd w:val="clear" w:color="auto" w:fill="auto"/>
          </w:tcPr>
          <w:p w14:paraId="60DA9244" w14:textId="61EE3110" w:rsidR="005238F5" w:rsidRDefault="005238F5" w:rsidP="005238F5">
            <w:pPr>
              <w:pStyle w:val="NormalWeb"/>
              <w:spacing w:before="0" w:beforeAutospacing="0" w:after="0" w:afterAutospacing="0"/>
              <w:jc w:val="both"/>
              <w:rPr>
                <w:rFonts w:ascii="Times New Roman" w:hAnsi="Times New Roman"/>
                <w:sz w:val="20"/>
                <w:szCs w:val="20"/>
              </w:rPr>
            </w:pPr>
            <w:r w:rsidRPr="005238F5">
              <w:rPr>
                <w:rFonts w:ascii="Times New Roman" w:hAnsi="Times New Roman"/>
              </w:rPr>
              <w:t>Informatīvā ziņojuma 10. tabula</w:t>
            </w:r>
            <w:r>
              <w:rPr>
                <w:rFonts w:ascii="Times New Roman" w:hAnsi="Times New Roman"/>
              </w:rPr>
              <w:t xml:space="preserve"> un</w:t>
            </w:r>
            <w:proofErr w:type="gramStart"/>
            <w:r>
              <w:rPr>
                <w:rFonts w:ascii="Times New Roman" w:hAnsi="Times New Roman"/>
              </w:rPr>
              <w:t xml:space="preserve"> </w:t>
            </w:r>
            <w:r w:rsidRPr="00D75A8B">
              <w:rPr>
                <w:rStyle w:val="spelle"/>
                <w:rFonts w:ascii="Times New Roman" w:hAnsi="Times New Roman"/>
                <w:sz w:val="20"/>
                <w:szCs w:val="20"/>
              </w:rPr>
              <w:t xml:space="preserve"> </w:t>
            </w:r>
            <w:proofErr w:type="gramEnd"/>
            <w:r>
              <w:rPr>
                <w:rStyle w:val="spelle"/>
                <w:rFonts w:ascii="Times New Roman" w:hAnsi="Times New Roman"/>
                <w:sz w:val="20"/>
                <w:szCs w:val="20"/>
              </w:rPr>
              <w:t>p</w:t>
            </w:r>
            <w:r w:rsidRPr="00D75A8B">
              <w:rPr>
                <w:rFonts w:ascii="Times New Roman" w:hAnsi="Times New Roman"/>
                <w:sz w:val="20"/>
                <w:szCs w:val="20"/>
              </w:rPr>
              <w:t xml:space="preserve">rotokollēmuma </w:t>
            </w:r>
            <w:r w:rsidR="003133DA">
              <w:rPr>
                <w:rFonts w:ascii="Times New Roman" w:hAnsi="Times New Roman"/>
                <w:sz w:val="20"/>
                <w:szCs w:val="20"/>
              </w:rPr>
              <w:t>13.punkts.</w:t>
            </w:r>
          </w:p>
          <w:p w14:paraId="5E1E7FC1" w14:textId="18686385" w:rsidR="00311933" w:rsidRPr="00311933" w:rsidRDefault="00311933" w:rsidP="005238F5">
            <w:pPr>
              <w:pStyle w:val="NormalWeb"/>
              <w:spacing w:before="0" w:beforeAutospacing="0" w:after="0" w:afterAutospacing="0"/>
              <w:jc w:val="both"/>
              <w:rPr>
                <w:rFonts w:ascii="Times New Roman" w:hAnsi="Times New Roman"/>
                <w:sz w:val="20"/>
                <w:szCs w:val="20"/>
              </w:rPr>
            </w:pPr>
            <w:r>
              <w:rPr>
                <w:rStyle w:val="spelle"/>
                <w:rFonts w:ascii="Times New Roman" w:eastAsiaTheme="minorHAnsi" w:hAnsi="Times New Roman"/>
                <w:sz w:val="20"/>
                <w:szCs w:val="20"/>
                <w:lang w:eastAsia="en-US"/>
              </w:rPr>
              <w:lastRenderedPageBreak/>
              <w:t>“</w:t>
            </w:r>
            <w:r w:rsidRPr="00311933">
              <w:rPr>
                <w:rStyle w:val="spelle"/>
                <w:rFonts w:ascii="Times New Roman" w:eastAsiaTheme="minorHAnsi" w:hAnsi="Times New Roman"/>
                <w:sz w:val="20"/>
                <w:szCs w:val="20"/>
                <w:lang w:eastAsia="en-US"/>
              </w:rPr>
              <w:t>13. Pieņemt zināšanai, ka protokollēmuma 2.2. un 2.3. apakšpunktā minēto pasākumu ieviešana, kā arī 2.4. apakšpunktā un 7. punktā piedāvātais izdevumu finansēšanas modelis rada negatīvu fiskālo ietekmi uz visp</w:t>
            </w:r>
            <w:r w:rsidRPr="00311933">
              <w:rPr>
                <w:rStyle w:val="spelle"/>
                <w:rFonts w:ascii="Times New Roman" w:hAnsi="Times New Roman"/>
                <w:sz w:val="20"/>
                <w:szCs w:val="20"/>
              </w:rPr>
              <w:t>ā</w:t>
            </w:r>
            <w:r w:rsidRPr="00311933">
              <w:rPr>
                <w:rStyle w:val="spelle"/>
                <w:rFonts w:ascii="Times New Roman" w:eastAsiaTheme="minorHAnsi" w:hAnsi="Times New Roman"/>
                <w:sz w:val="20"/>
                <w:szCs w:val="20"/>
                <w:lang w:eastAsia="en-US"/>
              </w:rPr>
              <w:t xml:space="preserve">rējās valdības budžeta bilanci 2019. gadā 31 440 </w:t>
            </w:r>
            <w:r w:rsidRPr="00311933">
              <w:rPr>
                <w:rStyle w:val="spelle"/>
                <w:rFonts w:ascii="Times New Roman" w:eastAsiaTheme="minorHAnsi" w:hAnsi="Times New Roman"/>
                <w:i/>
                <w:sz w:val="20"/>
                <w:szCs w:val="20"/>
                <w:lang w:eastAsia="en-US"/>
              </w:rPr>
              <w:t>euro</w:t>
            </w:r>
            <w:r w:rsidRPr="00311933">
              <w:rPr>
                <w:rStyle w:val="spelle"/>
                <w:rFonts w:ascii="Times New Roman" w:eastAsiaTheme="minorHAnsi" w:hAnsi="Times New Roman"/>
                <w:sz w:val="20"/>
                <w:szCs w:val="20"/>
                <w:lang w:eastAsia="en-US"/>
              </w:rPr>
              <w:t xml:space="preserve"> apmērā </w:t>
            </w:r>
            <w:proofErr w:type="gramStart"/>
            <w:r w:rsidRPr="00311933">
              <w:rPr>
                <w:rStyle w:val="spelle"/>
                <w:rFonts w:ascii="Times New Roman" w:eastAsiaTheme="minorHAnsi" w:hAnsi="Times New Roman"/>
                <w:sz w:val="20"/>
                <w:szCs w:val="20"/>
                <w:lang w:eastAsia="en-US"/>
              </w:rPr>
              <w:t>(</w:t>
            </w:r>
            <w:proofErr w:type="gramEnd"/>
            <w:r w:rsidRPr="00311933">
              <w:rPr>
                <w:rStyle w:val="spelle"/>
                <w:rFonts w:ascii="Times New Roman" w:eastAsiaTheme="minorHAnsi" w:hAnsi="Times New Roman"/>
                <w:sz w:val="20"/>
                <w:szCs w:val="20"/>
                <w:lang w:eastAsia="en-US"/>
              </w:rPr>
              <w:t xml:space="preserve">saskaņā ar Ministru kabineta 2014. gada 29. jūlija rīkojuma Nr.382 “Par Iekšlietu ministrijas ilgtermiņa saistībām ceļu satiksmes pārkāpumu fiksēšanas tehnisko līdzekļu (fotoradaru) darbības nodrošināšanai” 8. punktu nolietojuma uzkrājums ir viens no tehnisko līdzekļu (fotoradaru) iegādes finansēšanas avotiem), 2021. gadā 1 483 441 </w:t>
            </w:r>
            <w:r w:rsidRPr="00311933">
              <w:rPr>
                <w:rStyle w:val="spelle"/>
                <w:rFonts w:ascii="Times New Roman" w:eastAsiaTheme="minorHAnsi" w:hAnsi="Times New Roman"/>
                <w:i/>
                <w:sz w:val="20"/>
                <w:szCs w:val="20"/>
                <w:lang w:eastAsia="en-US"/>
              </w:rPr>
              <w:t>euro</w:t>
            </w:r>
            <w:r w:rsidRPr="00311933">
              <w:rPr>
                <w:rStyle w:val="spelle"/>
                <w:rFonts w:ascii="Times New Roman" w:eastAsiaTheme="minorHAnsi" w:hAnsi="Times New Roman"/>
                <w:sz w:val="20"/>
                <w:szCs w:val="20"/>
                <w:lang w:eastAsia="en-US"/>
              </w:rPr>
              <w:t xml:space="preserve"> apmērā , 2022. gadā 1 163 566 </w:t>
            </w:r>
            <w:r w:rsidRPr="00311933">
              <w:rPr>
                <w:rStyle w:val="spelle"/>
                <w:rFonts w:ascii="Times New Roman" w:eastAsiaTheme="minorHAnsi" w:hAnsi="Times New Roman"/>
                <w:i/>
                <w:sz w:val="20"/>
                <w:szCs w:val="20"/>
                <w:lang w:eastAsia="en-US"/>
              </w:rPr>
              <w:t>euro</w:t>
            </w:r>
            <w:r w:rsidRPr="00311933">
              <w:rPr>
                <w:rStyle w:val="spelle"/>
                <w:rFonts w:ascii="Times New Roman" w:eastAsiaTheme="minorHAnsi" w:hAnsi="Times New Roman"/>
                <w:sz w:val="20"/>
                <w:szCs w:val="20"/>
                <w:lang w:eastAsia="en-US"/>
              </w:rPr>
              <w:t xml:space="preserve"> apmērā un 2023. gadā 1 632 279 </w:t>
            </w:r>
            <w:r w:rsidRPr="00311933">
              <w:rPr>
                <w:rStyle w:val="spelle"/>
                <w:rFonts w:ascii="Times New Roman" w:eastAsiaTheme="minorHAnsi" w:hAnsi="Times New Roman"/>
                <w:i/>
                <w:sz w:val="20"/>
                <w:szCs w:val="20"/>
                <w:lang w:eastAsia="en-US"/>
              </w:rPr>
              <w:t>euro</w:t>
            </w:r>
            <w:r w:rsidRPr="00311933">
              <w:rPr>
                <w:rStyle w:val="spelle"/>
                <w:rFonts w:ascii="Times New Roman" w:eastAsiaTheme="minorHAnsi" w:hAnsi="Times New Roman"/>
                <w:sz w:val="20"/>
                <w:szCs w:val="20"/>
                <w:lang w:eastAsia="en-US"/>
              </w:rPr>
              <w:t xml:space="preserve"> apmērā.</w:t>
            </w:r>
            <w:r>
              <w:rPr>
                <w:rStyle w:val="spelle"/>
                <w:rFonts w:ascii="Times New Roman" w:eastAsiaTheme="minorHAnsi" w:hAnsi="Times New Roman"/>
                <w:sz w:val="20"/>
                <w:szCs w:val="20"/>
                <w:lang w:eastAsia="en-US"/>
              </w:rPr>
              <w:t>”.</w:t>
            </w:r>
          </w:p>
          <w:p w14:paraId="616344A7" w14:textId="5E05876B" w:rsidR="003D7FB9" w:rsidRPr="005238F5" w:rsidRDefault="003D7FB9" w:rsidP="00351896">
            <w:pPr>
              <w:pStyle w:val="NoSpacing"/>
              <w:jc w:val="both"/>
              <w:rPr>
                <w:rFonts w:ascii="Times New Roman" w:hAnsi="Times New Roman"/>
                <w:lang w:val="lv-LV"/>
              </w:rPr>
            </w:pPr>
          </w:p>
        </w:tc>
        <w:tc>
          <w:tcPr>
            <w:tcW w:w="6662" w:type="dxa"/>
            <w:tcBorders>
              <w:top w:val="single" w:sz="4" w:space="0" w:color="auto"/>
              <w:left w:val="single" w:sz="4" w:space="0" w:color="auto"/>
              <w:bottom w:val="nil"/>
              <w:right w:val="single" w:sz="4" w:space="0" w:color="auto"/>
            </w:tcBorders>
            <w:shd w:val="clear" w:color="auto" w:fill="auto"/>
          </w:tcPr>
          <w:p w14:paraId="2207A879" w14:textId="77777777" w:rsidR="003D7FB9" w:rsidRPr="00BD72F8" w:rsidRDefault="003D7FB9" w:rsidP="003D7FB9">
            <w:pPr>
              <w:jc w:val="center"/>
              <w:rPr>
                <w:b/>
                <w:sz w:val="20"/>
                <w:szCs w:val="20"/>
              </w:rPr>
            </w:pPr>
            <w:r w:rsidRPr="00BD72F8">
              <w:rPr>
                <w:b/>
                <w:sz w:val="20"/>
                <w:szCs w:val="20"/>
              </w:rPr>
              <w:lastRenderedPageBreak/>
              <w:t>Finanšu ministrija</w:t>
            </w:r>
          </w:p>
          <w:p w14:paraId="1AD6E65A" w14:textId="414FCD9B" w:rsidR="003D7FB9" w:rsidRPr="00BD72F8" w:rsidRDefault="003D7FB9" w:rsidP="003D7FB9">
            <w:pPr>
              <w:jc w:val="center"/>
              <w:rPr>
                <w:sz w:val="20"/>
                <w:szCs w:val="20"/>
              </w:rPr>
            </w:pPr>
            <w:r w:rsidRPr="00BD72F8">
              <w:rPr>
                <w:sz w:val="20"/>
                <w:szCs w:val="20"/>
              </w:rPr>
              <w:t>(</w:t>
            </w:r>
            <w:r>
              <w:rPr>
                <w:sz w:val="20"/>
                <w:szCs w:val="20"/>
              </w:rPr>
              <w:t>08.05</w:t>
            </w:r>
            <w:r w:rsidRPr="00DB0375">
              <w:rPr>
                <w:sz w:val="20"/>
                <w:szCs w:val="20"/>
              </w:rPr>
              <w:t>.2</w:t>
            </w:r>
            <w:r>
              <w:rPr>
                <w:sz w:val="20"/>
                <w:szCs w:val="20"/>
              </w:rPr>
              <w:t>019. atzinums Nr. 10.1-6/7-1/447</w:t>
            </w:r>
            <w:r w:rsidRPr="00BD72F8">
              <w:rPr>
                <w:sz w:val="20"/>
                <w:szCs w:val="20"/>
              </w:rPr>
              <w:t>)</w:t>
            </w:r>
          </w:p>
          <w:p w14:paraId="1A887DC1" w14:textId="5E827166" w:rsidR="005238F5" w:rsidRPr="005238F5" w:rsidRDefault="005238F5" w:rsidP="005238F5">
            <w:pPr>
              <w:spacing w:before="100" w:beforeAutospacing="1" w:after="100" w:afterAutospacing="1"/>
              <w:jc w:val="both"/>
              <w:rPr>
                <w:sz w:val="20"/>
                <w:szCs w:val="20"/>
              </w:rPr>
            </w:pPr>
            <w:r w:rsidRPr="005238F5">
              <w:rPr>
                <w:sz w:val="20"/>
                <w:szCs w:val="20"/>
              </w:rPr>
              <w:t xml:space="preserve">Ņemot vērā, ka izmaiņu veikšana spēkā esošajā Ministru kabineta </w:t>
            </w:r>
            <w:proofErr w:type="gramStart"/>
            <w:r w:rsidRPr="005238F5">
              <w:rPr>
                <w:sz w:val="20"/>
                <w:szCs w:val="20"/>
              </w:rPr>
              <w:t>2014.gada</w:t>
            </w:r>
            <w:proofErr w:type="gramEnd"/>
            <w:r w:rsidRPr="005238F5">
              <w:rPr>
                <w:sz w:val="20"/>
                <w:szCs w:val="20"/>
              </w:rPr>
              <w:t xml:space="preserve"> 29.jūlija rīkojumā Nr.382 “Par Iekšlietu ministrijas ilgtermiņa saistībām ceļu </w:t>
            </w:r>
            <w:r w:rsidRPr="005238F5">
              <w:rPr>
                <w:sz w:val="20"/>
                <w:szCs w:val="20"/>
              </w:rPr>
              <w:lastRenderedPageBreak/>
              <w:t xml:space="preserve">satiksmes pārkāpumu fiksēšanas tehnisko līdzekļu (fotoradaru) darbības nodrošināšanai” laika periodā no 2020.-2023.gadam rada gan negatīvu, gan pozitīvu ietekmi, kā izdevumu kompensējoši pasākumi informatīvā ziņojuma II posma kapitālieguldījumu veikšanai būs atzīstami tikai II posma papildu ieņēmumi. Tādējādi lūdzam precizēt fiskālās ietekmes aprēķinu informatīvā ziņojuma 10.tabulā, ietekmes novērtējumā atspoguļojot tikai II posma kapitālieguldījumus un II posma papildu valsts budžeta ieņēmumus, kur novērtētā fiskālā ietekme no II posma īstenošanas 2021.gadā būs - 1 483 441 </w:t>
            </w:r>
            <w:r w:rsidRPr="005238F5">
              <w:rPr>
                <w:i/>
                <w:iCs/>
                <w:sz w:val="20"/>
                <w:szCs w:val="20"/>
              </w:rPr>
              <w:t>euro</w:t>
            </w:r>
            <w:r w:rsidRPr="005238F5">
              <w:rPr>
                <w:sz w:val="20"/>
                <w:szCs w:val="20"/>
              </w:rPr>
              <w:t xml:space="preserve">, 2022.gadā 1 647 759 </w:t>
            </w:r>
            <w:r w:rsidRPr="005238F5">
              <w:rPr>
                <w:i/>
                <w:iCs/>
                <w:sz w:val="20"/>
                <w:szCs w:val="20"/>
              </w:rPr>
              <w:t>euro</w:t>
            </w:r>
            <w:r w:rsidRPr="005238F5">
              <w:rPr>
                <w:sz w:val="20"/>
                <w:szCs w:val="20"/>
              </w:rPr>
              <w:t xml:space="preserve"> un 2023.gadā -1 632 279 </w:t>
            </w:r>
            <w:r w:rsidRPr="005238F5">
              <w:rPr>
                <w:i/>
                <w:iCs/>
                <w:sz w:val="20"/>
                <w:szCs w:val="20"/>
              </w:rPr>
              <w:t>euro</w:t>
            </w:r>
            <w:r w:rsidRPr="005238F5">
              <w:rPr>
                <w:sz w:val="20"/>
                <w:szCs w:val="20"/>
              </w:rPr>
              <w:t xml:space="preserve">, 2024. un 2025.gadā 337 784 </w:t>
            </w:r>
            <w:r w:rsidRPr="005238F5">
              <w:rPr>
                <w:i/>
                <w:iCs/>
                <w:sz w:val="20"/>
                <w:szCs w:val="20"/>
              </w:rPr>
              <w:t>euro</w:t>
            </w:r>
            <w:r w:rsidRPr="005238F5">
              <w:rPr>
                <w:sz w:val="20"/>
                <w:szCs w:val="20"/>
              </w:rPr>
              <w:t xml:space="preserve">. Vienlaikus, atbilstoši veiktajam pārrēķinam, lūdzam precizēt Ministru kabineta sēdes protokollēmuma  projekta 13.punktu. </w:t>
            </w:r>
          </w:p>
          <w:p w14:paraId="384DA883" w14:textId="77777777" w:rsidR="003D7FB9" w:rsidRPr="00D115E2" w:rsidRDefault="003D7FB9" w:rsidP="003D7FB9">
            <w:pPr>
              <w:jc w:val="both"/>
              <w:rPr>
                <w:b/>
                <w:sz w:val="20"/>
                <w:szCs w:val="20"/>
              </w:rPr>
            </w:pPr>
          </w:p>
        </w:tc>
        <w:tc>
          <w:tcPr>
            <w:tcW w:w="3402" w:type="dxa"/>
            <w:tcBorders>
              <w:top w:val="single" w:sz="4" w:space="0" w:color="auto"/>
              <w:left w:val="single" w:sz="4" w:space="0" w:color="auto"/>
              <w:bottom w:val="nil"/>
              <w:right w:val="single" w:sz="4" w:space="0" w:color="auto"/>
            </w:tcBorders>
            <w:shd w:val="clear" w:color="auto" w:fill="auto"/>
          </w:tcPr>
          <w:p w14:paraId="37A40654" w14:textId="77777777" w:rsidR="003133DA" w:rsidRDefault="003133DA" w:rsidP="003133D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lastRenderedPageBreak/>
              <w:t>Iebildums ņemts vērā.</w:t>
            </w:r>
          </w:p>
          <w:p w14:paraId="16468E5F" w14:textId="77777777" w:rsidR="003D7FB9" w:rsidRDefault="003D7FB9" w:rsidP="000244AA">
            <w:pPr>
              <w:pStyle w:val="NormalWeb"/>
              <w:spacing w:before="0" w:beforeAutospacing="0" w:after="0" w:afterAutospacing="0"/>
              <w:ind w:firstLine="176"/>
              <w:jc w:val="both"/>
              <w:rPr>
                <w:rFonts w:ascii="Times New Roman" w:hAnsi="Times New Roman"/>
                <w:b/>
                <w:sz w:val="20"/>
                <w:szCs w:val="20"/>
              </w:rPr>
            </w:pPr>
          </w:p>
        </w:tc>
        <w:tc>
          <w:tcPr>
            <w:tcW w:w="2410" w:type="dxa"/>
            <w:tcBorders>
              <w:top w:val="single" w:sz="4" w:space="0" w:color="auto"/>
              <w:left w:val="single" w:sz="4" w:space="0" w:color="auto"/>
              <w:bottom w:val="nil"/>
              <w:right w:val="single" w:sz="4" w:space="0" w:color="auto"/>
            </w:tcBorders>
            <w:shd w:val="clear" w:color="auto" w:fill="auto"/>
          </w:tcPr>
          <w:p w14:paraId="2513A4EC" w14:textId="6AEFC97C" w:rsidR="00311933" w:rsidRPr="003133DA" w:rsidRDefault="00311933" w:rsidP="00311933">
            <w:pPr>
              <w:pStyle w:val="NormalWeb"/>
              <w:spacing w:before="0" w:beforeAutospacing="0" w:after="0" w:afterAutospacing="0"/>
              <w:jc w:val="both"/>
              <w:rPr>
                <w:rFonts w:ascii="Times New Roman" w:hAnsi="Times New Roman"/>
                <w:sz w:val="20"/>
                <w:szCs w:val="20"/>
              </w:rPr>
            </w:pPr>
            <w:r w:rsidRPr="003133DA">
              <w:rPr>
                <w:rFonts w:ascii="Times New Roman" w:hAnsi="Times New Roman"/>
                <w:sz w:val="20"/>
                <w:szCs w:val="20"/>
              </w:rPr>
              <w:t>Precizēta informatīvā ziņojuma 10. tabula un</w:t>
            </w:r>
            <w:proofErr w:type="gramStart"/>
            <w:r w:rsidRPr="003133DA">
              <w:rPr>
                <w:rFonts w:ascii="Times New Roman" w:hAnsi="Times New Roman"/>
                <w:sz w:val="20"/>
                <w:szCs w:val="20"/>
              </w:rPr>
              <w:t xml:space="preserve"> </w:t>
            </w:r>
            <w:r w:rsidRPr="003133DA">
              <w:rPr>
                <w:rStyle w:val="spelle"/>
                <w:rFonts w:ascii="Times New Roman" w:hAnsi="Times New Roman"/>
                <w:sz w:val="20"/>
                <w:szCs w:val="20"/>
              </w:rPr>
              <w:t xml:space="preserve"> </w:t>
            </w:r>
            <w:proofErr w:type="gramEnd"/>
            <w:r w:rsidRPr="003133DA">
              <w:rPr>
                <w:rStyle w:val="spelle"/>
                <w:rFonts w:ascii="Times New Roman" w:hAnsi="Times New Roman"/>
                <w:sz w:val="20"/>
                <w:szCs w:val="20"/>
              </w:rPr>
              <w:t>p</w:t>
            </w:r>
            <w:r w:rsidRPr="003133DA">
              <w:rPr>
                <w:rFonts w:ascii="Times New Roman" w:hAnsi="Times New Roman"/>
                <w:sz w:val="20"/>
                <w:szCs w:val="20"/>
              </w:rPr>
              <w:t>rotokollēmuma 13. punkts izteikts šādā redakcijā:</w:t>
            </w:r>
          </w:p>
          <w:p w14:paraId="5F235491" w14:textId="659231C4" w:rsidR="00C62AD5" w:rsidRPr="00C62AD5" w:rsidRDefault="00C62AD5" w:rsidP="00C62AD5">
            <w:pPr>
              <w:jc w:val="both"/>
              <w:rPr>
                <w:rStyle w:val="spelle"/>
                <w:sz w:val="20"/>
                <w:szCs w:val="20"/>
              </w:rPr>
            </w:pPr>
            <w:r w:rsidRPr="00C62AD5">
              <w:rPr>
                <w:rStyle w:val="spelle"/>
                <w:sz w:val="20"/>
                <w:szCs w:val="20"/>
              </w:rPr>
              <w:lastRenderedPageBreak/>
              <w:t>“13. Pieņemt zināšanai, ka protokollēmuma 2.2. un 2.3. apakšpunktā minēto pasākumu ieviešana, kā arī 2.4. apakšpunktā un 7. punktā piedāvātais izdevumu finansēšanas modelis rada fiskālo ietekmi uz vispārējās valdības budžeta bilanci 2019. gadā</w:t>
            </w:r>
            <w:proofErr w:type="gramStart"/>
            <w:r w:rsidRPr="00C62AD5">
              <w:rPr>
                <w:rStyle w:val="spelle"/>
                <w:sz w:val="20"/>
                <w:szCs w:val="20"/>
              </w:rPr>
              <w:t xml:space="preserve">  </w:t>
            </w:r>
            <w:proofErr w:type="gramEnd"/>
            <w:r w:rsidRPr="00C62AD5">
              <w:rPr>
                <w:rStyle w:val="spelle"/>
                <w:sz w:val="20"/>
                <w:szCs w:val="20"/>
              </w:rPr>
              <w:t xml:space="preserve">– 31 440 </w:t>
            </w:r>
            <w:r w:rsidRPr="00C62AD5">
              <w:rPr>
                <w:rStyle w:val="spelle"/>
                <w:i/>
                <w:sz w:val="20"/>
                <w:szCs w:val="20"/>
              </w:rPr>
              <w:t>euro</w:t>
            </w:r>
            <w:r w:rsidRPr="00C62AD5">
              <w:rPr>
                <w:rStyle w:val="spelle"/>
                <w:sz w:val="20"/>
                <w:szCs w:val="20"/>
              </w:rPr>
              <w:t xml:space="preserve"> apmērā (saskaņā ar Ministru kabineta 2014. gada 29. jūlija rīkojuma Nr.382 “Par Iekšlietu ministrijas ilgtermiņa saistībām ceļu satiksmes pārkāpumu fiksēšanas tehnisko līdzekļu (fotoradaru) darbības nodrošināšanai” 8. punktu nolietojuma uzkrājums ir viens no tehnisko līdzekļu (fotoradaru) iegādes finansēšanas avotiem), 2021. gadā – 1 483 441 </w:t>
            </w:r>
            <w:r w:rsidRPr="00C62AD5">
              <w:rPr>
                <w:rStyle w:val="spelle"/>
                <w:i/>
                <w:sz w:val="20"/>
                <w:szCs w:val="20"/>
              </w:rPr>
              <w:t>euro</w:t>
            </w:r>
            <w:r w:rsidRPr="00C62AD5">
              <w:rPr>
                <w:rStyle w:val="spelle"/>
                <w:sz w:val="20"/>
                <w:szCs w:val="20"/>
              </w:rPr>
              <w:t xml:space="preserve"> apmērā, 2022. gadā – 1 647 759 </w:t>
            </w:r>
            <w:r w:rsidRPr="00C62AD5">
              <w:rPr>
                <w:rStyle w:val="spelle"/>
                <w:i/>
                <w:sz w:val="20"/>
                <w:szCs w:val="20"/>
              </w:rPr>
              <w:t>euro</w:t>
            </w:r>
            <w:r w:rsidRPr="00C62AD5">
              <w:rPr>
                <w:rStyle w:val="spelle"/>
                <w:sz w:val="20"/>
                <w:szCs w:val="20"/>
              </w:rPr>
              <w:t xml:space="preserve"> apmērā, 2023. gadā – 1 632 279 </w:t>
            </w:r>
            <w:r w:rsidRPr="00C62AD5">
              <w:rPr>
                <w:rStyle w:val="spelle"/>
                <w:i/>
                <w:sz w:val="20"/>
                <w:szCs w:val="20"/>
              </w:rPr>
              <w:t>euro</w:t>
            </w:r>
            <w:r w:rsidRPr="00C62AD5">
              <w:rPr>
                <w:rStyle w:val="spelle"/>
                <w:sz w:val="20"/>
                <w:szCs w:val="20"/>
              </w:rPr>
              <w:t xml:space="preserve"> apmērā, 2024. gadā + 337 784 </w:t>
            </w:r>
            <w:r w:rsidRPr="00C62AD5">
              <w:rPr>
                <w:rStyle w:val="spelle"/>
                <w:i/>
                <w:sz w:val="20"/>
                <w:szCs w:val="20"/>
              </w:rPr>
              <w:t>euro</w:t>
            </w:r>
            <w:r w:rsidRPr="00C62AD5">
              <w:rPr>
                <w:rStyle w:val="spelle"/>
                <w:sz w:val="20"/>
                <w:szCs w:val="20"/>
              </w:rPr>
              <w:t xml:space="preserve"> apmērā, 2025. gadā + 337 784 </w:t>
            </w:r>
            <w:r w:rsidRPr="00C62AD5">
              <w:rPr>
                <w:rStyle w:val="spelle"/>
                <w:i/>
                <w:sz w:val="20"/>
                <w:szCs w:val="20"/>
              </w:rPr>
              <w:t>euro</w:t>
            </w:r>
            <w:r w:rsidRPr="00C62AD5">
              <w:rPr>
                <w:rStyle w:val="spelle"/>
                <w:sz w:val="20"/>
                <w:szCs w:val="20"/>
              </w:rPr>
              <w:t xml:space="preserve"> apmērā.”.</w:t>
            </w:r>
          </w:p>
          <w:p w14:paraId="31429311" w14:textId="17A7ADBF" w:rsidR="00311933" w:rsidRDefault="00311933" w:rsidP="00311933">
            <w:pPr>
              <w:pStyle w:val="NormalWeb"/>
              <w:spacing w:before="0" w:beforeAutospacing="0" w:after="0" w:afterAutospacing="0"/>
              <w:jc w:val="both"/>
              <w:rPr>
                <w:rFonts w:ascii="Times New Roman" w:hAnsi="Times New Roman"/>
                <w:sz w:val="20"/>
                <w:szCs w:val="20"/>
              </w:rPr>
            </w:pPr>
          </w:p>
          <w:p w14:paraId="2BD091C1" w14:textId="77777777" w:rsidR="003D7FB9" w:rsidRDefault="003D7FB9" w:rsidP="00351896">
            <w:pPr>
              <w:jc w:val="both"/>
              <w:rPr>
                <w:sz w:val="22"/>
                <w:szCs w:val="22"/>
                <w:highlight w:val="yellow"/>
              </w:rPr>
            </w:pPr>
          </w:p>
        </w:tc>
      </w:tr>
      <w:tr w:rsidR="003133DA" w:rsidRPr="00A26DDD" w14:paraId="6DF7EE89" w14:textId="77777777" w:rsidTr="00DB0375">
        <w:trPr>
          <w:trHeight w:val="419"/>
        </w:trPr>
        <w:tc>
          <w:tcPr>
            <w:tcW w:w="534" w:type="dxa"/>
            <w:tcBorders>
              <w:top w:val="single" w:sz="4" w:space="0" w:color="auto"/>
              <w:left w:val="single" w:sz="4" w:space="0" w:color="auto"/>
              <w:right w:val="single" w:sz="4" w:space="0" w:color="auto"/>
            </w:tcBorders>
            <w:shd w:val="clear" w:color="auto" w:fill="auto"/>
          </w:tcPr>
          <w:p w14:paraId="0A180833" w14:textId="5B86E060" w:rsidR="003133DA" w:rsidRPr="000C567C" w:rsidRDefault="003133DA" w:rsidP="00351896">
            <w:pPr>
              <w:jc w:val="center"/>
              <w:rPr>
                <w:sz w:val="22"/>
                <w:szCs w:val="22"/>
              </w:rPr>
            </w:pPr>
            <w:r>
              <w:rPr>
                <w:sz w:val="22"/>
                <w:szCs w:val="22"/>
              </w:rPr>
              <w:lastRenderedPageBreak/>
              <w:t>3.</w:t>
            </w:r>
          </w:p>
        </w:tc>
        <w:tc>
          <w:tcPr>
            <w:tcW w:w="2126" w:type="dxa"/>
            <w:tcBorders>
              <w:top w:val="single" w:sz="4" w:space="0" w:color="auto"/>
              <w:left w:val="single" w:sz="4" w:space="0" w:color="auto"/>
              <w:right w:val="single" w:sz="4" w:space="0" w:color="auto"/>
            </w:tcBorders>
            <w:shd w:val="clear" w:color="auto" w:fill="auto"/>
          </w:tcPr>
          <w:p w14:paraId="4ABF436D" w14:textId="6C90AB7E" w:rsidR="003133DA" w:rsidRDefault="00627EF3" w:rsidP="00351896">
            <w:pPr>
              <w:jc w:val="both"/>
              <w:rPr>
                <w:sz w:val="20"/>
                <w:szCs w:val="20"/>
              </w:rPr>
            </w:pPr>
            <w:r>
              <w:rPr>
                <w:sz w:val="20"/>
                <w:szCs w:val="20"/>
              </w:rPr>
              <w:t>I</w:t>
            </w:r>
            <w:r w:rsidRPr="00627EF3">
              <w:rPr>
                <w:sz w:val="20"/>
                <w:szCs w:val="20"/>
              </w:rPr>
              <w:t>nformatīvā ziņojuma 2.modeļa un 3.modeļa tabulās “Nepieciešamie</w:t>
            </w:r>
            <w:r w:rsidR="00B044FB">
              <w:rPr>
                <w:sz w:val="20"/>
                <w:szCs w:val="20"/>
              </w:rPr>
              <w:t xml:space="preserve"> </w:t>
            </w:r>
            <w:r w:rsidR="00B044FB">
              <w:rPr>
                <w:sz w:val="20"/>
                <w:szCs w:val="20"/>
              </w:rPr>
              <w:lastRenderedPageBreak/>
              <w:t>tiesību aktu projekti” norādītā informācija:</w:t>
            </w:r>
          </w:p>
          <w:p w14:paraId="526E65E5" w14:textId="78E89E96" w:rsidR="00B044FB" w:rsidRPr="00B044FB" w:rsidRDefault="00B044FB" w:rsidP="00B044FB">
            <w:pPr>
              <w:pStyle w:val="NormalWeb"/>
              <w:spacing w:before="0" w:beforeAutospacing="0" w:after="0" w:afterAutospacing="0"/>
              <w:jc w:val="both"/>
              <w:rPr>
                <w:rFonts w:ascii="Times New Roman" w:hAnsi="Times New Roman"/>
                <w:sz w:val="20"/>
                <w:szCs w:val="20"/>
              </w:rPr>
            </w:pPr>
            <w:r>
              <w:rPr>
                <w:rFonts w:ascii="Times New Roman" w:hAnsi="Times New Roman"/>
                <w:sz w:val="20"/>
                <w:szCs w:val="20"/>
              </w:rPr>
              <w:t xml:space="preserve">“Nepieciešams izvērtēt grozījumu nepieciešamību tiesību aktos: </w:t>
            </w:r>
            <w:r w:rsidRPr="00B044FB">
              <w:rPr>
                <w:rFonts w:ascii="Times New Roman" w:hAnsi="Times New Roman"/>
                <w:sz w:val="20"/>
                <w:szCs w:val="20"/>
              </w:rPr>
              <w:t>Grozījumi valsts kustamās mantas atsavināšanu regulējošos normatīvajos aktos, nosakot, ka, ja valsts kapitālsabiedrība realizē kustamo mantu, ko tā valsts pārvaldes deleģēta uzdevuma ietvaros iegādājusies par šim mērķim piešķirtajām valstij izmaksājamām dividendēm, ieņēmumi ieskaitāmi valsts pamatbudžetā.</w:t>
            </w:r>
            <w:r>
              <w:rPr>
                <w:rFonts w:ascii="Times New Roman" w:hAnsi="Times New Roman"/>
                <w:sz w:val="20"/>
                <w:szCs w:val="20"/>
              </w:rPr>
              <w:t>”.</w:t>
            </w:r>
          </w:p>
          <w:p w14:paraId="56FF42D9" w14:textId="2EE2B826" w:rsidR="00627EF3" w:rsidRDefault="00627EF3" w:rsidP="00351896">
            <w:pPr>
              <w:jc w:val="both"/>
              <w:rPr>
                <w:sz w:val="20"/>
                <w:szCs w:val="20"/>
              </w:rPr>
            </w:pPr>
          </w:p>
        </w:tc>
        <w:tc>
          <w:tcPr>
            <w:tcW w:w="6662" w:type="dxa"/>
            <w:tcBorders>
              <w:top w:val="single" w:sz="4" w:space="0" w:color="auto"/>
              <w:left w:val="single" w:sz="4" w:space="0" w:color="auto"/>
              <w:right w:val="single" w:sz="4" w:space="0" w:color="auto"/>
            </w:tcBorders>
            <w:shd w:val="clear" w:color="auto" w:fill="auto"/>
          </w:tcPr>
          <w:p w14:paraId="45633BF9" w14:textId="77777777" w:rsidR="00627EF3" w:rsidRPr="00BD72F8" w:rsidRDefault="00627EF3" w:rsidP="00627EF3">
            <w:pPr>
              <w:jc w:val="center"/>
              <w:rPr>
                <w:b/>
                <w:sz w:val="20"/>
                <w:szCs w:val="20"/>
              </w:rPr>
            </w:pPr>
            <w:r w:rsidRPr="00BD72F8">
              <w:rPr>
                <w:b/>
                <w:sz w:val="20"/>
                <w:szCs w:val="20"/>
              </w:rPr>
              <w:lastRenderedPageBreak/>
              <w:t>Finanšu ministrija</w:t>
            </w:r>
          </w:p>
          <w:p w14:paraId="0B009BEC" w14:textId="77777777" w:rsidR="00627EF3" w:rsidRPr="00BD72F8" w:rsidRDefault="00627EF3" w:rsidP="00627EF3">
            <w:pPr>
              <w:jc w:val="both"/>
              <w:rPr>
                <w:sz w:val="20"/>
                <w:szCs w:val="20"/>
              </w:rPr>
            </w:pPr>
            <w:r>
              <w:rPr>
                <w:sz w:val="20"/>
                <w:szCs w:val="20"/>
              </w:rPr>
              <w:t xml:space="preserve">                       </w:t>
            </w:r>
            <w:r w:rsidRPr="00BD72F8">
              <w:rPr>
                <w:sz w:val="20"/>
                <w:szCs w:val="20"/>
              </w:rPr>
              <w:t>(</w:t>
            </w:r>
            <w:r w:rsidRPr="00DB0375">
              <w:rPr>
                <w:sz w:val="20"/>
                <w:szCs w:val="20"/>
              </w:rPr>
              <w:t>30.04.2019. atzinums Nr. 10.1-6/7-1/428</w:t>
            </w:r>
            <w:r w:rsidRPr="00BD72F8">
              <w:rPr>
                <w:sz w:val="20"/>
                <w:szCs w:val="20"/>
              </w:rPr>
              <w:t>)</w:t>
            </w:r>
          </w:p>
          <w:p w14:paraId="2D75D3C4" w14:textId="1548CC92" w:rsidR="00627EF3" w:rsidRPr="00627EF3" w:rsidRDefault="00627EF3" w:rsidP="00627EF3">
            <w:pPr>
              <w:spacing w:before="100" w:beforeAutospacing="1" w:after="100" w:afterAutospacing="1"/>
              <w:ind w:firstLine="720"/>
              <w:jc w:val="both"/>
              <w:rPr>
                <w:sz w:val="20"/>
                <w:szCs w:val="20"/>
              </w:rPr>
            </w:pPr>
            <w:r w:rsidRPr="00627EF3">
              <w:rPr>
                <w:sz w:val="20"/>
                <w:szCs w:val="20"/>
              </w:rPr>
              <w:lastRenderedPageBreak/>
              <w:t>Atkārtoti vēršam uzmanību, ka Publiskas personas mantas atsavināšanas likums regulē publiskas personas mantas, kā arī publiskas personas mantas, kas nodota iestādes vai kapitālsabiedrības valdījumā vai turējumā, atsavināšanas kārtību (nevis publiskas personas kapitālsabiedrības mantas atsavināšanas kārtību), līdz ar to ir jāizvērtē valsts kapitālsabiedrības iegādātās mantas īpašuma tiesību jautājums, t.sk. izvērtējot, kurā normatīvajā aktā būtu nepieciešami minētie grozījumi. Ņemot vērā minēto, lūdzam precizēt informatīvā ziņojuma 2.modeļa un 3.modeļa tabulās “Nepieciešamie tiesību aktu projekti” norādīto informāciju par to, ka</w:t>
            </w:r>
            <w:r w:rsidRPr="00627EF3">
              <w:rPr>
                <w:i/>
                <w:iCs/>
                <w:sz w:val="20"/>
                <w:szCs w:val="20"/>
              </w:rPr>
              <w:t xml:space="preserve"> nepieciešami grozījumi valsts kustamās mantas atsavināšanu regulējošos normatīvajos aktos, nosakot, ja valsts kapitālsabiedrība realizē kustamo mantu, ko tā valsts pārvaldes deleģēta uzdevuma ietvaros iegādājusies par šim mērķim piešķirtajām valstij izmaksājamām dividendēm, ieņēmumi ieskaitāmi valsts pamatbudžetā</w:t>
            </w:r>
            <w:r w:rsidRPr="00627EF3">
              <w:rPr>
                <w:sz w:val="20"/>
                <w:szCs w:val="20"/>
              </w:rPr>
              <w:t>, izsakot minēto teikumu šādā redakcijā:</w:t>
            </w:r>
          </w:p>
          <w:p w14:paraId="1C49D1CF" w14:textId="77777777" w:rsidR="00627EF3" w:rsidRPr="00627EF3" w:rsidRDefault="00627EF3" w:rsidP="00627EF3">
            <w:pPr>
              <w:spacing w:before="100" w:beforeAutospacing="1" w:after="100" w:afterAutospacing="1"/>
              <w:ind w:firstLine="720"/>
              <w:jc w:val="both"/>
              <w:rPr>
                <w:sz w:val="20"/>
                <w:szCs w:val="20"/>
              </w:rPr>
            </w:pPr>
            <w:r w:rsidRPr="00627EF3">
              <w:rPr>
                <w:sz w:val="20"/>
                <w:szCs w:val="20"/>
              </w:rPr>
              <w:t xml:space="preserve">“Noteikt, ja valsts kapitālsabiedrība realizē kustamo mantu, ko tā valsts pārvaldes deleģēta uzdevuma ietvaros iegādājusies par šim mērķim piešķirtajām valstij izmaksājamām dividendēm vai nolietojuma uzkrājumu, ieņēmumi ieskaitāmi valsts pamatbudžetā.” </w:t>
            </w:r>
          </w:p>
          <w:p w14:paraId="19B47320" w14:textId="77777777" w:rsidR="003133DA" w:rsidRPr="00BD72F8" w:rsidRDefault="003133DA" w:rsidP="00DB0375">
            <w:pPr>
              <w:jc w:val="center"/>
              <w:rPr>
                <w:b/>
                <w:sz w:val="20"/>
                <w:szCs w:val="20"/>
              </w:rPr>
            </w:pPr>
          </w:p>
        </w:tc>
        <w:tc>
          <w:tcPr>
            <w:tcW w:w="3402" w:type="dxa"/>
            <w:tcBorders>
              <w:top w:val="single" w:sz="4" w:space="0" w:color="auto"/>
              <w:left w:val="single" w:sz="4" w:space="0" w:color="auto"/>
              <w:right w:val="single" w:sz="4" w:space="0" w:color="auto"/>
            </w:tcBorders>
            <w:shd w:val="clear" w:color="auto" w:fill="auto"/>
          </w:tcPr>
          <w:p w14:paraId="460F79D4" w14:textId="6BD9D017" w:rsidR="00B044FB" w:rsidRDefault="00B044FB" w:rsidP="00B044FB">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lastRenderedPageBreak/>
              <w:t xml:space="preserve">Iebildums ņemts vērā </w:t>
            </w:r>
            <w:r w:rsidR="00A85F5C">
              <w:rPr>
                <w:rFonts w:ascii="Times New Roman" w:hAnsi="Times New Roman"/>
                <w:b/>
                <w:sz w:val="20"/>
                <w:szCs w:val="20"/>
              </w:rPr>
              <w:t>daļēji (pēc būtības).</w:t>
            </w:r>
          </w:p>
          <w:p w14:paraId="3AB14281" w14:textId="1F66199E" w:rsidR="003133DA" w:rsidRDefault="00A85F5C" w:rsidP="00A85F5C">
            <w:pPr>
              <w:spacing w:before="100" w:beforeAutospacing="1" w:after="100" w:afterAutospacing="1"/>
              <w:ind w:firstLine="720"/>
              <w:jc w:val="both"/>
              <w:rPr>
                <w:b/>
                <w:sz w:val="20"/>
                <w:szCs w:val="20"/>
              </w:rPr>
            </w:pPr>
            <w:r>
              <w:rPr>
                <w:sz w:val="20"/>
                <w:szCs w:val="20"/>
              </w:rPr>
              <w:lastRenderedPageBreak/>
              <w:t>I</w:t>
            </w:r>
            <w:r w:rsidRPr="00627EF3">
              <w:rPr>
                <w:sz w:val="20"/>
                <w:szCs w:val="20"/>
              </w:rPr>
              <w:t>nformatīvā ziņojum</w:t>
            </w:r>
            <w:r w:rsidR="00DD7CFA">
              <w:rPr>
                <w:sz w:val="20"/>
                <w:szCs w:val="20"/>
              </w:rPr>
              <w:t>ā nevar noteikt šādu normu:</w:t>
            </w:r>
            <w:r>
              <w:rPr>
                <w:sz w:val="20"/>
                <w:szCs w:val="20"/>
              </w:rPr>
              <w:t xml:space="preserve"> </w:t>
            </w:r>
            <w:r w:rsidRPr="00627EF3">
              <w:rPr>
                <w:sz w:val="20"/>
                <w:szCs w:val="20"/>
              </w:rPr>
              <w:t>ja valsts kapitālsabiedrība realizē kustamo mantu, ko tā valsts pārvaldes deleģēta uzdevuma ietvaros iegādājusies par šim mērķim piešķirtajām valstij izmaksājamām dividendēm vai nolietojuma uzkrājumu, ieņēmumi ieskaitāmi valsts pamatbudžetā.</w:t>
            </w:r>
            <w:r>
              <w:rPr>
                <w:sz w:val="20"/>
                <w:szCs w:val="20"/>
              </w:rPr>
              <w:t xml:space="preserve"> Šāda norma, ja būs nepieciešams, jāparedz tiesību aktā. </w:t>
            </w:r>
          </w:p>
        </w:tc>
        <w:tc>
          <w:tcPr>
            <w:tcW w:w="2410" w:type="dxa"/>
            <w:tcBorders>
              <w:top w:val="single" w:sz="4" w:space="0" w:color="auto"/>
              <w:left w:val="single" w:sz="4" w:space="0" w:color="auto"/>
              <w:right w:val="single" w:sz="4" w:space="0" w:color="auto"/>
            </w:tcBorders>
            <w:shd w:val="clear" w:color="auto" w:fill="auto"/>
          </w:tcPr>
          <w:p w14:paraId="3449A427" w14:textId="355D9E2E" w:rsidR="00B044FB" w:rsidRDefault="00B044FB" w:rsidP="00B044FB">
            <w:pPr>
              <w:jc w:val="both"/>
              <w:rPr>
                <w:sz w:val="20"/>
                <w:szCs w:val="20"/>
              </w:rPr>
            </w:pPr>
            <w:r>
              <w:rPr>
                <w:sz w:val="20"/>
                <w:szCs w:val="20"/>
              </w:rPr>
              <w:lastRenderedPageBreak/>
              <w:t>I</w:t>
            </w:r>
            <w:r w:rsidRPr="00627EF3">
              <w:rPr>
                <w:sz w:val="20"/>
                <w:szCs w:val="20"/>
              </w:rPr>
              <w:t xml:space="preserve">nformatīvā ziņojuma 2.modeļa </w:t>
            </w:r>
            <w:r w:rsidR="00731FCE">
              <w:rPr>
                <w:sz w:val="20"/>
                <w:szCs w:val="20"/>
              </w:rPr>
              <w:t>tabula</w:t>
            </w:r>
            <w:r w:rsidRPr="00627EF3">
              <w:rPr>
                <w:sz w:val="20"/>
                <w:szCs w:val="20"/>
              </w:rPr>
              <w:t>s “Nepieciešamie</w:t>
            </w:r>
            <w:r>
              <w:rPr>
                <w:sz w:val="20"/>
                <w:szCs w:val="20"/>
              </w:rPr>
              <w:t xml:space="preserve"> tiesību aktu projekti” norādītā </w:t>
            </w:r>
            <w:r>
              <w:rPr>
                <w:sz w:val="20"/>
                <w:szCs w:val="20"/>
              </w:rPr>
              <w:lastRenderedPageBreak/>
              <w:t>informācija izteikta šādā redakcijā:</w:t>
            </w:r>
          </w:p>
          <w:p w14:paraId="50476E8D" w14:textId="77777777" w:rsidR="00731FCE" w:rsidRPr="00731FCE" w:rsidRDefault="00731FCE" w:rsidP="00731FCE">
            <w:pPr>
              <w:pStyle w:val="NormalWeb"/>
              <w:spacing w:before="0" w:beforeAutospacing="0" w:after="0" w:afterAutospacing="0"/>
              <w:jc w:val="both"/>
              <w:rPr>
                <w:rFonts w:ascii="Times New Roman" w:hAnsi="Times New Roman"/>
                <w:i/>
                <w:sz w:val="20"/>
                <w:szCs w:val="20"/>
              </w:rPr>
            </w:pPr>
            <w:r w:rsidRPr="00731FCE">
              <w:rPr>
                <w:rFonts w:ascii="Times New Roman" w:hAnsi="Times New Roman"/>
                <w:i/>
                <w:sz w:val="20"/>
                <w:szCs w:val="20"/>
              </w:rPr>
              <w:t>Ja šāda kārtība tiek saglabāta, nepieciešams izvērtēt grozījumu nepieciešamību tiesību aktos:</w:t>
            </w:r>
          </w:p>
          <w:p w14:paraId="5F68F196" w14:textId="77777777" w:rsidR="00731FCE" w:rsidRPr="00731FCE" w:rsidRDefault="00731FCE" w:rsidP="00731FCE">
            <w:pPr>
              <w:pStyle w:val="NormalWeb"/>
              <w:spacing w:before="0" w:beforeAutospacing="0" w:after="0" w:afterAutospacing="0"/>
              <w:jc w:val="both"/>
              <w:rPr>
                <w:rFonts w:ascii="Times New Roman" w:hAnsi="Times New Roman"/>
                <w:sz w:val="20"/>
                <w:szCs w:val="20"/>
              </w:rPr>
            </w:pPr>
            <w:r w:rsidRPr="00731FCE">
              <w:rPr>
                <w:rFonts w:ascii="Times New Roman" w:hAnsi="Times New Roman"/>
                <w:i/>
                <w:sz w:val="20"/>
                <w:szCs w:val="20"/>
              </w:rPr>
              <w:t xml:space="preserve">√ </w:t>
            </w:r>
            <w:r w:rsidRPr="00731FCE">
              <w:rPr>
                <w:rFonts w:ascii="Times New Roman" w:hAnsi="Times New Roman"/>
                <w:sz w:val="20"/>
                <w:szCs w:val="20"/>
              </w:rPr>
              <w:t>tiesību aktos (piemēram, pārvaldes uzdevuma deleģēšanas, budžeta, grāmatvedības vai kapitālsabiedrību pārvaldības jomā), nosakot, ka:</w:t>
            </w:r>
          </w:p>
          <w:p w14:paraId="16647059" w14:textId="022376F6" w:rsidR="00731FCE" w:rsidRDefault="00731FCE" w:rsidP="00731FCE">
            <w:pPr>
              <w:pStyle w:val="NormalWeb"/>
              <w:spacing w:before="0" w:beforeAutospacing="0" w:after="0" w:afterAutospacing="0"/>
              <w:jc w:val="both"/>
              <w:rPr>
                <w:rFonts w:ascii="Times New Roman" w:hAnsi="Times New Roman"/>
                <w:sz w:val="20"/>
                <w:szCs w:val="20"/>
              </w:rPr>
            </w:pPr>
            <w:r w:rsidRPr="00731FCE">
              <w:rPr>
                <w:rFonts w:ascii="Times New Roman" w:hAnsi="Times New Roman"/>
                <w:sz w:val="20"/>
                <w:szCs w:val="20"/>
              </w:rPr>
              <w:t>- ja valsts kapitālsabiedrība realizē kustamo mantu, ko tā valsts pārvaldes deleģēta uzdevuma ietvaros iegādājusies par šim mērķim piešķirtajām valstij izmaksājamām dividendēm vai nolietojuma uzkrājumu, ieņēmumi ieskaitāmi valsts pamatbudžetā.</w:t>
            </w:r>
            <w:r>
              <w:rPr>
                <w:rFonts w:ascii="Times New Roman" w:hAnsi="Times New Roman"/>
                <w:sz w:val="20"/>
                <w:szCs w:val="20"/>
              </w:rPr>
              <w:t>”</w:t>
            </w:r>
            <w:r w:rsidR="004058C1">
              <w:rPr>
                <w:rFonts w:ascii="Times New Roman" w:hAnsi="Times New Roman"/>
                <w:sz w:val="20"/>
                <w:szCs w:val="20"/>
              </w:rPr>
              <w:t>.</w:t>
            </w:r>
          </w:p>
          <w:p w14:paraId="573B3417" w14:textId="77777777" w:rsidR="004058C1" w:rsidRDefault="004058C1" w:rsidP="00731FCE">
            <w:pPr>
              <w:pStyle w:val="NormalWeb"/>
              <w:spacing w:before="0" w:beforeAutospacing="0" w:after="0" w:afterAutospacing="0"/>
              <w:jc w:val="both"/>
              <w:rPr>
                <w:rFonts w:ascii="Times New Roman" w:hAnsi="Times New Roman"/>
                <w:sz w:val="20"/>
                <w:szCs w:val="20"/>
              </w:rPr>
            </w:pPr>
          </w:p>
          <w:p w14:paraId="685210D8" w14:textId="2313E255" w:rsidR="00731FCE" w:rsidRDefault="00731FCE" w:rsidP="00731FCE">
            <w:pPr>
              <w:jc w:val="both"/>
              <w:rPr>
                <w:sz w:val="20"/>
                <w:szCs w:val="20"/>
              </w:rPr>
            </w:pPr>
            <w:r>
              <w:rPr>
                <w:sz w:val="20"/>
                <w:szCs w:val="20"/>
              </w:rPr>
              <w:t>Informatīvā ziņojuma 3</w:t>
            </w:r>
            <w:r w:rsidRPr="00627EF3">
              <w:rPr>
                <w:sz w:val="20"/>
                <w:szCs w:val="20"/>
              </w:rPr>
              <w:t xml:space="preserve">.modeļa </w:t>
            </w:r>
            <w:r>
              <w:rPr>
                <w:sz w:val="20"/>
                <w:szCs w:val="20"/>
              </w:rPr>
              <w:t>tabula</w:t>
            </w:r>
            <w:r w:rsidRPr="00627EF3">
              <w:rPr>
                <w:sz w:val="20"/>
                <w:szCs w:val="20"/>
              </w:rPr>
              <w:t>s “Nepieciešamie</w:t>
            </w:r>
            <w:r>
              <w:rPr>
                <w:sz w:val="20"/>
                <w:szCs w:val="20"/>
              </w:rPr>
              <w:t xml:space="preserve"> tiesību aktu projekti” norādītā informācija izteikta šādā redakcijā:</w:t>
            </w:r>
          </w:p>
          <w:p w14:paraId="4F42F297" w14:textId="77777777" w:rsidR="004058C1" w:rsidRPr="004058C1" w:rsidRDefault="004058C1" w:rsidP="004058C1">
            <w:pPr>
              <w:pStyle w:val="NormalWeb"/>
              <w:spacing w:before="0" w:beforeAutospacing="0" w:after="0" w:afterAutospacing="0"/>
              <w:jc w:val="both"/>
              <w:rPr>
                <w:rFonts w:ascii="Times New Roman" w:hAnsi="Times New Roman"/>
                <w:sz w:val="20"/>
                <w:szCs w:val="20"/>
              </w:rPr>
            </w:pPr>
            <w:r w:rsidRPr="004058C1">
              <w:rPr>
                <w:rFonts w:ascii="Times New Roman" w:hAnsi="Times New Roman"/>
                <w:i/>
                <w:sz w:val="20"/>
                <w:szCs w:val="20"/>
              </w:rPr>
              <w:t xml:space="preserve">√ </w:t>
            </w:r>
            <w:r w:rsidRPr="004058C1">
              <w:rPr>
                <w:rFonts w:ascii="Times New Roman" w:hAnsi="Times New Roman"/>
                <w:sz w:val="20"/>
                <w:szCs w:val="20"/>
              </w:rPr>
              <w:t>grozījumi</w:t>
            </w:r>
            <w:r w:rsidRPr="004058C1">
              <w:rPr>
                <w:rFonts w:ascii="Times New Roman" w:hAnsi="Times New Roman"/>
                <w:i/>
                <w:sz w:val="20"/>
                <w:szCs w:val="20"/>
              </w:rPr>
              <w:t xml:space="preserve"> </w:t>
            </w:r>
            <w:r w:rsidRPr="004058C1">
              <w:rPr>
                <w:rFonts w:ascii="Times New Roman" w:hAnsi="Times New Roman"/>
                <w:sz w:val="20"/>
                <w:szCs w:val="20"/>
              </w:rPr>
              <w:t>tiesību aktos (piemēram, pārvaldes uzdevuma deleģēšanas, budžeta, grāmatvedības vai kapitālsabiedrību pārvaldības jomā), nosakot, ka:</w:t>
            </w:r>
          </w:p>
          <w:p w14:paraId="392CD6A8" w14:textId="33C2E796" w:rsidR="004058C1" w:rsidRPr="004058C1" w:rsidRDefault="004058C1" w:rsidP="004058C1">
            <w:pPr>
              <w:pStyle w:val="NormalWeb"/>
              <w:spacing w:before="0" w:beforeAutospacing="0" w:after="0" w:afterAutospacing="0"/>
              <w:jc w:val="both"/>
              <w:rPr>
                <w:rFonts w:ascii="Times New Roman" w:hAnsi="Times New Roman"/>
                <w:sz w:val="20"/>
                <w:szCs w:val="20"/>
              </w:rPr>
            </w:pPr>
            <w:r w:rsidRPr="004058C1">
              <w:rPr>
                <w:rFonts w:ascii="Times New Roman" w:hAnsi="Times New Roman"/>
                <w:sz w:val="20"/>
                <w:szCs w:val="20"/>
              </w:rPr>
              <w:t xml:space="preserve">- ja valsts kapitālsabiedrība realizē kustamo mantu, ko </w:t>
            </w:r>
            <w:r w:rsidRPr="004058C1">
              <w:rPr>
                <w:rFonts w:ascii="Times New Roman" w:hAnsi="Times New Roman"/>
                <w:sz w:val="20"/>
                <w:szCs w:val="20"/>
              </w:rPr>
              <w:lastRenderedPageBreak/>
              <w:t>tā valsts pārvaldes deleģēta uzdevuma ietvaros iegādājusies par šim mērķim piešķirtajām valstij izmaksājamām dividendēm vai nolietojuma uzkrājumu, ieņēmumi ieskaitāmi valsts pamatbudžetā.</w:t>
            </w:r>
            <w:r>
              <w:rPr>
                <w:rFonts w:ascii="Times New Roman" w:hAnsi="Times New Roman"/>
                <w:sz w:val="20"/>
                <w:szCs w:val="20"/>
              </w:rPr>
              <w:t>”.</w:t>
            </w:r>
          </w:p>
          <w:p w14:paraId="259770A5" w14:textId="77777777" w:rsidR="00731FCE" w:rsidRPr="004058C1" w:rsidRDefault="00731FCE" w:rsidP="00731FCE">
            <w:pPr>
              <w:pStyle w:val="NormalWeb"/>
              <w:spacing w:before="0" w:beforeAutospacing="0" w:after="0" w:afterAutospacing="0"/>
              <w:jc w:val="both"/>
              <w:rPr>
                <w:rFonts w:ascii="Times New Roman" w:hAnsi="Times New Roman"/>
                <w:sz w:val="20"/>
                <w:szCs w:val="20"/>
              </w:rPr>
            </w:pPr>
          </w:p>
          <w:p w14:paraId="318023CB" w14:textId="77777777" w:rsidR="00B044FB" w:rsidRDefault="00B044FB" w:rsidP="00B044FB">
            <w:pPr>
              <w:jc w:val="both"/>
              <w:rPr>
                <w:sz w:val="20"/>
                <w:szCs w:val="20"/>
              </w:rPr>
            </w:pPr>
          </w:p>
          <w:p w14:paraId="3D512B53" w14:textId="77777777" w:rsidR="003133DA" w:rsidRPr="000C567C" w:rsidRDefault="003133DA" w:rsidP="00A67BC0">
            <w:pPr>
              <w:pStyle w:val="ListParagraph"/>
              <w:ind w:left="0"/>
              <w:jc w:val="both"/>
              <w:rPr>
                <w:rStyle w:val="spelle"/>
                <w:rFonts w:ascii="Times New Roman" w:hAnsi="Times New Roman" w:cs="Times New Roman"/>
                <w:sz w:val="20"/>
                <w:szCs w:val="20"/>
              </w:rPr>
            </w:pPr>
          </w:p>
        </w:tc>
      </w:tr>
      <w:tr w:rsidR="00E12590" w:rsidRPr="00A26DDD" w14:paraId="5606A11A" w14:textId="77777777" w:rsidTr="00DB0375">
        <w:trPr>
          <w:trHeight w:val="419"/>
        </w:trPr>
        <w:tc>
          <w:tcPr>
            <w:tcW w:w="534" w:type="dxa"/>
            <w:tcBorders>
              <w:top w:val="single" w:sz="4" w:space="0" w:color="auto"/>
              <w:left w:val="single" w:sz="4" w:space="0" w:color="auto"/>
              <w:right w:val="single" w:sz="4" w:space="0" w:color="auto"/>
            </w:tcBorders>
            <w:shd w:val="clear" w:color="auto" w:fill="auto"/>
          </w:tcPr>
          <w:p w14:paraId="20E93B7E" w14:textId="00A3F34F" w:rsidR="00E12590" w:rsidRPr="000C567C" w:rsidRDefault="001F041A" w:rsidP="00351896">
            <w:pPr>
              <w:jc w:val="center"/>
              <w:rPr>
                <w:sz w:val="22"/>
                <w:szCs w:val="22"/>
              </w:rPr>
            </w:pPr>
            <w:r>
              <w:rPr>
                <w:sz w:val="22"/>
                <w:szCs w:val="22"/>
              </w:rPr>
              <w:lastRenderedPageBreak/>
              <w:t>4.</w:t>
            </w:r>
          </w:p>
        </w:tc>
        <w:tc>
          <w:tcPr>
            <w:tcW w:w="2126" w:type="dxa"/>
            <w:tcBorders>
              <w:top w:val="single" w:sz="4" w:space="0" w:color="auto"/>
              <w:left w:val="single" w:sz="4" w:space="0" w:color="auto"/>
              <w:right w:val="single" w:sz="4" w:space="0" w:color="auto"/>
            </w:tcBorders>
            <w:shd w:val="clear" w:color="auto" w:fill="auto"/>
          </w:tcPr>
          <w:p w14:paraId="4E672E6B" w14:textId="77777777" w:rsidR="00DA3A01" w:rsidRDefault="00DA3A01" w:rsidP="00DA3A01">
            <w:pPr>
              <w:pStyle w:val="ListParagraph"/>
              <w:ind w:left="0"/>
              <w:jc w:val="both"/>
              <w:rPr>
                <w:rStyle w:val="spelle"/>
                <w:rFonts w:ascii="Times New Roman" w:hAnsi="Times New Roman" w:cs="Times New Roman"/>
                <w:sz w:val="20"/>
                <w:szCs w:val="20"/>
              </w:rPr>
            </w:pPr>
            <w:r>
              <w:rPr>
                <w:rStyle w:val="spelle"/>
                <w:rFonts w:ascii="Times New Roman" w:hAnsi="Times New Roman" w:cs="Times New Roman"/>
                <w:sz w:val="20"/>
                <w:szCs w:val="20"/>
              </w:rPr>
              <w:t>Protokollēmums:</w:t>
            </w:r>
          </w:p>
          <w:p w14:paraId="2E9C2631" w14:textId="1760F1E1" w:rsidR="00E12590" w:rsidRPr="00B3658B" w:rsidRDefault="00B3658B" w:rsidP="00351896">
            <w:pPr>
              <w:jc w:val="both"/>
              <w:rPr>
                <w:sz w:val="20"/>
                <w:szCs w:val="20"/>
              </w:rPr>
            </w:pPr>
            <w:r>
              <w:rPr>
                <w:rStyle w:val="spelle"/>
                <w:sz w:val="20"/>
                <w:szCs w:val="20"/>
              </w:rPr>
              <w:t>“</w:t>
            </w:r>
            <w:r w:rsidRPr="00B3658B">
              <w:rPr>
                <w:rStyle w:val="spelle"/>
                <w:sz w:val="20"/>
                <w:szCs w:val="20"/>
              </w:rPr>
              <w:t>6</w:t>
            </w:r>
            <w:r>
              <w:rPr>
                <w:rStyle w:val="spelle"/>
                <w:sz w:val="20"/>
                <w:szCs w:val="20"/>
              </w:rPr>
              <w:t>.</w:t>
            </w:r>
            <w:r w:rsidRPr="00B3658B">
              <w:rPr>
                <w:rStyle w:val="spelle"/>
                <w:sz w:val="20"/>
                <w:szCs w:val="20"/>
              </w:rPr>
              <w:t xml:space="preserve">Lai pilnveidotu samaksas kārtību Ceļu satiksmes drošības direkcijai, Iekšlietu ministrijai līdz </w:t>
            </w:r>
            <w:proofErr w:type="gramStart"/>
            <w:r w:rsidRPr="00B3658B">
              <w:rPr>
                <w:rStyle w:val="spelle"/>
                <w:sz w:val="20"/>
                <w:szCs w:val="20"/>
              </w:rPr>
              <w:t>2019.gada</w:t>
            </w:r>
            <w:proofErr w:type="gramEnd"/>
            <w:r w:rsidRPr="00B3658B">
              <w:rPr>
                <w:rStyle w:val="spelle"/>
                <w:sz w:val="20"/>
                <w:szCs w:val="20"/>
              </w:rPr>
              <w:t xml:space="preserve"> 1.maijam sagatavot un iekšlietu ministram normatīvajos aktos noteiktā kārtībā iesniegt Ministru kabinetā noteikumu projektu par grozījumiem Ministru kabineta 2018. gada 20. marta noteikumos Nr. 170 “Samaksas noteikumi valsts akciju sabiedrībai “Ceļu satiksmes drošības direkcija” par deleģēto valsts pārvaldes uzdevumu izpildi”, nosakot, ka no Valsts policijai piešķirtajiem valsts budžeta līdzekļiem CSDD tiek segtas ar fotoradaru uzturēšanu un darbības </w:t>
            </w:r>
            <w:r w:rsidRPr="00B3658B">
              <w:rPr>
                <w:rStyle w:val="spelle"/>
                <w:sz w:val="20"/>
                <w:szCs w:val="20"/>
              </w:rPr>
              <w:lastRenderedPageBreak/>
              <w:t>nodrošināšanu saistītās faktiskās izmaksas attiecīgajam saimnieciskajam gadam šim mērķim piešķirto valsts budžeta līdzekļu ietvaros.</w:t>
            </w:r>
            <w:r>
              <w:rPr>
                <w:rStyle w:val="spelle"/>
                <w:sz w:val="20"/>
                <w:szCs w:val="20"/>
              </w:rPr>
              <w:t>”.</w:t>
            </w:r>
          </w:p>
        </w:tc>
        <w:tc>
          <w:tcPr>
            <w:tcW w:w="6662" w:type="dxa"/>
            <w:tcBorders>
              <w:top w:val="single" w:sz="4" w:space="0" w:color="auto"/>
              <w:left w:val="single" w:sz="4" w:space="0" w:color="auto"/>
              <w:right w:val="single" w:sz="4" w:space="0" w:color="auto"/>
            </w:tcBorders>
            <w:shd w:val="clear" w:color="auto" w:fill="auto"/>
          </w:tcPr>
          <w:p w14:paraId="04C944D3" w14:textId="77777777" w:rsidR="00E12590" w:rsidRPr="00BD72F8" w:rsidRDefault="00E12590" w:rsidP="00E12590">
            <w:pPr>
              <w:jc w:val="center"/>
              <w:rPr>
                <w:b/>
                <w:sz w:val="20"/>
                <w:szCs w:val="20"/>
              </w:rPr>
            </w:pPr>
            <w:r w:rsidRPr="00BD72F8">
              <w:rPr>
                <w:b/>
                <w:sz w:val="20"/>
                <w:szCs w:val="20"/>
              </w:rPr>
              <w:lastRenderedPageBreak/>
              <w:t>Finanšu ministrija</w:t>
            </w:r>
          </w:p>
          <w:p w14:paraId="3862132B" w14:textId="77777777" w:rsidR="00E12590" w:rsidRPr="00BD72F8" w:rsidRDefault="00E12590" w:rsidP="00E12590">
            <w:pPr>
              <w:jc w:val="both"/>
              <w:rPr>
                <w:sz w:val="20"/>
                <w:szCs w:val="20"/>
              </w:rPr>
            </w:pPr>
            <w:r>
              <w:rPr>
                <w:sz w:val="20"/>
                <w:szCs w:val="20"/>
              </w:rPr>
              <w:t xml:space="preserve">                       </w:t>
            </w:r>
            <w:r w:rsidRPr="00BD72F8">
              <w:rPr>
                <w:sz w:val="20"/>
                <w:szCs w:val="20"/>
              </w:rPr>
              <w:t>(</w:t>
            </w:r>
            <w:r w:rsidRPr="00DB0375">
              <w:rPr>
                <w:sz w:val="20"/>
                <w:szCs w:val="20"/>
              </w:rPr>
              <w:t>30.04.2019. atzinums Nr. 10.1-6/7-1/428</w:t>
            </w:r>
            <w:r w:rsidRPr="00BD72F8">
              <w:rPr>
                <w:sz w:val="20"/>
                <w:szCs w:val="20"/>
              </w:rPr>
              <w:t>)</w:t>
            </w:r>
          </w:p>
          <w:p w14:paraId="4D8B5747" w14:textId="77777777" w:rsidR="00E12590" w:rsidRDefault="00E12590" w:rsidP="00DB0375">
            <w:pPr>
              <w:jc w:val="center"/>
              <w:rPr>
                <w:b/>
                <w:sz w:val="20"/>
                <w:szCs w:val="20"/>
              </w:rPr>
            </w:pPr>
            <w:r>
              <w:rPr>
                <w:b/>
                <w:sz w:val="20"/>
                <w:szCs w:val="20"/>
              </w:rPr>
              <w:t>(priekšlikums)</w:t>
            </w:r>
          </w:p>
          <w:p w14:paraId="3A68353E" w14:textId="6DE77541" w:rsidR="00DA3A01" w:rsidRPr="00DA3A01" w:rsidRDefault="00DA3A01" w:rsidP="00DA3A01">
            <w:pPr>
              <w:spacing w:before="100" w:beforeAutospacing="1" w:after="100" w:afterAutospacing="1"/>
              <w:jc w:val="both"/>
              <w:rPr>
                <w:sz w:val="20"/>
                <w:szCs w:val="20"/>
              </w:rPr>
            </w:pPr>
            <w:r w:rsidRPr="00DA3A01">
              <w:rPr>
                <w:sz w:val="20"/>
                <w:szCs w:val="20"/>
              </w:rPr>
              <w:t xml:space="preserve">Lūdzam precizēt Ministru kabineta sēdes protokollēmuma projekta 6.punktā norādīto termiņu, jo </w:t>
            </w:r>
            <w:proofErr w:type="gramStart"/>
            <w:r w:rsidRPr="00DA3A01">
              <w:rPr>
                <w:sz w:val="20"/>
                <w:szCs w:val="20"/>
              </w:rPr>
              <w:t>2019.gada</w:t>
            </w:r>
            <w:proofErr w:type="gramEnd"/>
            <w:r>
              <w:rPr>
                <w:sz w:val="20"/>
                <w:szCs w:val="20"/>
              </w:rPr>
              <w:t xml:space="preserve"> 1.maijs ir jau pagājis. </w:t>
            </w:r>
          </w:p>
          <w:p w14:paraId="222F88FC" w14:textId="77777777" w:rsidR="00DF6276" w:rsidRDefault="00DF6276" w:rsidP="00DF6276">
            <w:pPr>
              <w:jc w:val="both"/>
              <w:rPr>
                <w:b/>
                <w:sz w:val="20"/>
                <w:szCs w:val="20"/>
              </w:rPr>
            </w:pPr>
          </w:p>
          <w:p w14:paraId="37720257" w14:textId="06C4F8D9" w:rsidR="00E12590" w:rsidRPr="00BD72F8" w:rsidRDefault="00E12590" w:rsidP="00DB0375">
            <w:pPr>
              <w:jc w:val="center"/>
              <w:rPr>
                <w:b/>
                <w:sz w:val="20"/>
                <w:szCs w:val="20"/>
              </w:rPr>
            </w:pPr>
          </w:p>
        </w:tc>
        <w:tc>
          <w:tcPr>
            <w:tcW w:w="3402" w:type="dxa"/>
            <w:tcBorders>
              <w:top w:val="single" w:sz="4" w:space="0" w:color="auto"/>
              <w:left w:val="single" w:sz="4" w:space="0" w:color="auto"/>
              <w:right w:val="single" w:sz="4" w:space="0" w:color="auto"/>
            </w:tcBorders>
            <w:shd w:val="clear" w:color="auto" w:fill="auto"/>
          </w:tcPr>
          <w:p w14:paraId="180665BC" w14:textId="59DB7ECE" w:rsidR="00E12590" w:rsidRDefault="00E12590" w:rsidP="00E12590">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t>Priekšlikums ņemts vērā.</w:t>
            </w:r>
          </w:p>
          <w:p w14:paraId="2BD08399" w14:textId="77777777" w:rsidR="00E12590" w:rsidRDefault="00E12590" w:rsidP="00DB0375">
            <w:pPr>
              <w:pStyle w:val="NormalWeb"/>
              <w:spacing w:before="0" w:beforeAutospacing="0" w:after="0" w:afterAutospacing="0"/>
              <w:ind w:firstLine="176"/>
              <w:jc w:val="center"/>
              <w:rPr>
                <w:rFonts w:ascii="Times New Roman" w:hAnsi="Times New Roman"/>
                <w:b/>
                <w:sz w:val="20"/>
                <w:szCs w:val="20"/>
              </w:rPr>
            </w:pPr>
          </w:p>
        </w:tc>
        <w:tc>
          <w:tcPr>
            <w:tcW w:w="2410" w:type="dxa"/>
            <w:tcBorders>
              <w:top w:val="single" w:sz="4" w:space="0" w:color="auto"/>
              <w:left w:val="single" w:sz="4" w:space="0" w:color="auto"/>
              <w:right w:val="single" w:sz="4" w:space="0" w:color="auto"/>
            </w:tcBorders>
            <w:shd w:val="clear" w:color="auto" w:fill="auto"/>
          </w:tcPr>
          <w:p w14:paraId="5A8940DF" w14:textId="77777777" w:rsidR="00E12590" w:rsidRDefault="00DA3A01" w:rsidP="00A67BC0">
            <w:pPr>
              <w:pStyle w:val="ListParagraph"/>
              <w:ind w:left="0"/>
              <w:jc w:val="both"/>
              <w:rPr>
                <w:rStyle w:val="spelle"/>
                <w:rFonts w:ascii="Times New Roman" w:hAnsi="Times New Roman" w:cs="Times New Roman"/>
                <w:sz w:val="20"/>
                <w:szCs w:val="20"/>
              </w:rPr>
            </w:pPr>
            <w:r>
              <w:rPr>
                <w:rStyle w:val="spelle"/>
                <w:rFonts w:ascii="Times New Roman" w:hAnsi="Times New Roman" w:cs="Times New Roman"/>
                <w:sz w:val="20"/>
                <w:szCs w:val="20"/>
              </w:rPr>
              <w:t>Protokollēmums:</w:t>
            </w:r>
          </w:p>
          <w:p w14:paraId="613E2CEC" w14:textId="16C26C98" w:rsidR="00B71E40" w:rsidRPr="00B71E40" w:rsidRDefault="00B71E40" w:rsidP="00B71E40">
            <w:pPr>
              <w:jc w:val="both"/>
              <w:rPr>
                <w:rStyle w:val="spelle"/>
                <w:sz w:val="20"/>
                <w:szCs w:val="20"/>
              </w:rPr>
            </w:pPr>
            <w:r>
              <w:rPr>
                <w:rStyle w:val="spelle"/>
                <w:sz w:val="20"/>
                <w:szCs w:val="20"/>
              </w:rPr>
              <w:t>“</w:t>
            </w:r>
            <w:r w:rsidRPr="00B71E40">
              <w:rPr>
                <w:rStyle w:val="spelle"/>
                <w:sz w:val="20"/>
                <w:szCs w:val="20"/>
              </w:rPr>
              <w:t>6. Lai pilnveidotu samaksas kārtību</w:t>
            </w:r>
            <w:r w:rsidR="00294F6F">
              <w:rPr>
                <w:rStyle w:val="spelle"/>
                <w:sz w:val="20"/>
                <w:szCs w:val="20"/>
              </w:rPr>
              <w:t xml:space="preserve"> par šī valsts pārvaldes deleģētā uzdevuma izpildi</w:t>
            </w:r>
            <w:r w:rsidRPr="00B71E40">
              <w:rPr>
                <w:rStyle w:val="spelle"/>
                <w:sz w:val="20"/>
                <w:szCs w:val="20"/>
              </w:rPr>
              <w:t>, Iekšlietu ministrijai līdz 2019.</w:t>
            </w:r>
            <w:r w:rsidR="00CC3C27">
              <w:rPr>
                <w:rStyle w:val="spelle"/>
                <w:sz w:val="20"/>
                <w:szCs w:val="20"/>
              </w:rPr>
              <w:t xml:space="preserve"> </w:t>
            </w:r>
            <w:r w:rsidRPr="00B71E40">
              <w:rPr>
                <w:rStyle w:val="spelle"/>
                <w:sz w:val="20"/>
                <w:szCs w:val="20"/>
              </w:rPr>
              <w:t>gada 1.</w:t>
            </w:r>
            <w:r w:rsidR="00CC3C27">
              <w:rPr>
                <w:rStyle w:val="spelle"/>
                <w:sz w:val="20"/>
                <w:szCs w:val="20"/>
              </w:rPr>
              <w:t xml:space="preserve"> </w:t>
            </w:r>
            <w:r w:rsidRPr="00B71E40">
              <w:rPr>
                <w:rStyle w:val="spelle"/>
                <w:sz w:val="20"/>
                <w:szCs w:val="20"/>
              </w:rPr>
              <w:t xml:space="preserve">oktobrim sagatavot un iekšlietu ministram normatīvajos aktos noteiktā kārtībā iesniegt Ministru kabinetā noteikumu projektu par grozījumiem Ministru kabineta 2018. gada 20. marta noteikumos Nr. 170 “Samaksas noteikumi valsts akciju sabiedrībai “Ceļu satiksmes drošības direkcija” par deleģēto valsts pārvaldes uzdevumu izpildi”, nosakot, ka no Valsts policijai piešķirtajiem valsts budžeta līdzekļiem </w:t>
            </w:r>
            <w:r w:rsidR="00294F6F">
              <w:rPr>
                <w:rStyle w:val="spelle"/>
                <w:sz w:val="20"/>
                <w:szCs w:val="20"/>
              </w:rPr>
              <w:t>Ceļu satiksmes drošības direkcijai</w:t>
            </w:r>
            <w:r w:rsidRPr="00B71E40">
              <w:rPr>
                <w:rStyle w:val="spelle"/>
                <w:sz w:val="20"/>
                <w:szCs w:val="20"/>
              </w:rPr>
              <w:t xml:space="preserve"> tiek segtas ar fotoradaru uzturēšanu un darbības nodrošināšanu saistītās faktiskās izmaksas </w:t>
            </w:r>
            <w:r w:rsidRPr="00B71E40">
              <w:rPr>
                <w:rStyle w:val="spelle"/>
                <w:sz w:val="20"/>
                <w:szCs w:val="20"/>
              </w:rPr>
              <w:lastRenderedPageBreak/>
              <w:t>attiecīgajam saimnieciskajam gadam šim mērķim piešķirto valsts budžeta līdzekļu ietvaros.</w:t>
            </w:r>
            <w:r>
              <w:rPr>
                <w:rStyle w:val="spelle"/>
                <w:sz w:val="20"/>
                <w:szCs w:val="20"/>
              </w:rPr>
              <w:t>”.</w:t>
            </w:r>
            <w:r w:rsidRPr="00B71E40">
              <w:rPr>
                <w:rStyle w:val="spelle"/>
                <w:sz w:val="20"/>
                <w:szCs w:val="20"/>
              </w:rPr>
              <w:t xml:space="preserve">  </w:t>
            </w:r>
          </w:p>
          <w:p w14:paraId="79553CB3" w14:textId="445A62B3" w:rsidR="00DA3A01" w:rsidRPr="000C567C" w:rsidRDefault="00DA3A01" w:rsidP="00A67BC0">
            <w:pPr>
              <w:pStyle w:val="ListParagraph"/>
              <w:ind w:left="0"/>
              <w:jc w:val="both"/>
              <w:rPr>
                <w:rStyle w:val="spelle"/>
                <w:rFonts w:ascii="Times New Roman" w:hAnsi="Times New Roman" w:cs="Times New Roman"/>
                <w:sz w:val="20"/>
                <w:szCs w:val="20"/>
              </w:rPr>
            </w:pPr>
          </w:p>
        </w:tc>
      </w:tr>
      <w:tr w:rsidR="001F041A" w:rsidRPr="00A26DDD" w14:paraId="7AF1CC09" w14:textId="77777777" w:rsidTr="00DB0375">
        <w:trPr>
          <w:trHeight w:val="419"/>
        </w:trPr>
        <w:tc>
          <w:tcPr>
            <w:tcW w:w="534" w:type="dxa"/>
            <w:tcBorders>
              <w:top w:val="single" w:sz="4" w:space="0" w:color="auto"/>
              <w:left w:val="single" w:sz="4" w:space="0" w:color="auto"/>
              <w:right w:val="single" w:sz="4" w:space="0" w:color="auto"/>
            </w:tcBorders>
            <w:shd w:val="clear" w:color="auto" w:fill="auto"/>
          </w:tcPr>
          <w:p w14:paraId="3E01474F" w14:textId="5E8A8EAA" w:rsidR="001F041A" w:rsidRPr="000C567C" w:rsidRDefault="001F041A" w:rsidP="001F041A">
            <w:pPr>
              <w:jc w:val="center"/>
              <w:rPr>
                <w:sz w:val="22"/>
                <w:szCs w:val="22"/>
              </w:rPr>
            </w:pPr>
            <w:r>
              <w:rPr>
                <w:sz w:val="22"/>
                <w:szCs w:val="22"/>
              </w:rPr>
              <w:lastRenderedPageBreak/>
              <w:t>5.</w:t>
            </w:r>
          </w:p>
        </w:tc>
        <w:tc>
          <w:tcPr>
            <w:tcW w:w="2126" w:type="dxa"/>
            <w:tcBorders>
              <w:top w:val="single" w:sz="4" w:space="0" w:color="auto"/>
              <w:left w:val="single" w:sz="4" w:space="0" w:color="auto"/>
              <w:right w:val="single" w:sz="4" w:space="0" w:color="auto"/>
            </w:tcBorders>
            <w:shd w:val="clear" w:color="auto" w:fill="auto"/>
          </w:tcPr>
          <w:p w14:paraId="52196CDA" w14:textId="2BBC6265" w:rsidR="001F041A" w:rsidRDefault="00DA3A01" w:rsidP="00DA3A01">
            <w:pPr>
              <w:jc w:val="both"/>
              <w:rPr>
                <w:sz w:val="20"/>
                <w:szCs w:val="20"/>
              </w:rPr>
            </w:pPr>
            <w:r>
              <w:rPr>
                <w:sz w:val="20"/>
                <w:szCs w:val="20"/>
              </w:rPr>
              <w:t>Izziņa</w:t>
            </w:r>
            <w:r w:rsidRPr="00DA3A01">
              <w:rPr>
                <w:sz w:val="20"/>
                <w:szCs w:val="20"/>
              </w:rPr>
              <w:t xml:space="preserve"> par atzinumos sniegtajiem iebildumiem</w:t>
            </w:r>
            <w:r>
              <w:rPr>
                <w:sz w:val="20"/>
                <w:szCs w:val="20"/>
              </w:rPr>
              <w:t xml:space="preserve">. </w:t>
            </w:r>
            <w:r w:rsidRPr="00DA3A01">
              <w:rPr>
                <w:sz w:val="20"/>
                <w:szCs w:val="20"/>
              </w:rPr>
              <w:t xml:space="preserve"> </w:t>
            </w:r>
          </w:p>
        </w:tc>
        <w:tc>
          <w:tcPr>
            <w:tcW w:w="6662" w:type="dxa"/>
            <w:tcBorders>
              <w:top w:val="single" w:sz="4" w:space="0" w:color="auto"/>
              <w:left w:val="single" w:sz="4" w:space="0" w:color="auto"/>
              <w:right w:val="single" w:sz="4" w:space="0" w:color="auto"/>
            </w:tcBorders>
            <w:shd w:val="clear" w:color="auto" w:fill="auto"/>
          </w:tcPr>
          <w:p w14:paraId="7C8765BE" w14:textId="77777777" w:rsidR="001F041A" w:rsidRPr="00BD72F8" w:rsidRDefault="001F041A" w:rsidP="00DA3A01">
            <w:pPr>
              <w:jc w:val="center"/>
              <w:rPr>
                <w:b/>
                <w:sz w:val="20"/>
                <w:szCs w:val="20"/>
              </w:rPr>
            </w:pPr>
            <w:r w:rsidRPr="00BD72F8">
              <w:rPr>
                <w:b/>
                <w:sz w:val="20"/>
                <w:szCs w:val="20"/>
              </w:rPr>
              <w:t>Finanšu ministrija</w:t>
            </w:r>
          </w:p>
          <w:p w14:paraId="715737C9" w14:textId="77777777" w:rsidR="001F041A" w:rsidRPr="00BD72F8" w:rsidRDefault="001F041A" w:rsidP="00DA3A01">
            <w:pPr>
              <w:jc w:val="both"/>
              <w:rPr>
                <w:sz w:val="20"/>
                <w:szCs w:val="20"/>
              </w:rPr>
            </w:pPr>
            <w:r>
              <w:rPr>
                <w:sz w:val="20"/>
                <w:szCs w:val="20"/>
              </w:rPr>
              <w:t xml:space="preserve">                       </w:t>
            </w:r>
            <w:r w:rsidRPr="00BD72F8">
              <w:rPr>
                <w:sz w:val="20"/>
                <w:szCs w:val="20"/>
              </w:rPr>
              <w:t>(</w:t>
            </w:r>
            <w:r w:rsidRPr="00DB0375">
              <w:rPr>
                <w:sz w:val="20"/>
                <w:szCs w:val="20"/>
              </w:rPr>
              <w:t>30.04.2019. atzinums Nr. 10.1-6/7-1/428</w:t>
            </w:r>
            <w:r w:rsidRPr="00BD72F8">
              <w:rPr>
                <w:sz w:val="20"/>
                <w:szCs w:val="20"/>
              </w:rPr>
              <w:t>)</w:t>
            </w:r>
          </w:p>
          <w:p w14:paraId="3A040D56" w14:textId="77777777" w:rsidR="001F041A" w:rsidRDefault="001F041A" w:rsidP="00DA3A01">
            <w:pPr>
              <w:jc w:val="center"/>
              <w:rPr>
                <w:b/>
                <w:sz w:val="20"/>
                <w:szCs w:val="20"/>
              </w:rPr>
            </w:pPr>
            <w:r>
              <w:rPr>
                <w:b/>
                <w:sz w:val="20"/>
                <w:szCs w:val="20"/>
              </w:rPr>
              <w:t>(priekšlikums)</w:t>
            </w:r>
          </w:p>
          <w:p w14:paraId="4A23C6F3" w14:textId="6E8F5104" w:rsidR="00DA3A01" w:rsidRPr="00DA3A01" w:rsidRDefault="00DA3A01" w:rsidP="00DA3A01">
            <w:pPr>
              <w:ind w:firstLine="720"/>
              <w:jc w:val="both"/>
              <w:rPr>
                <w:sz w:val="20"/>
                <w:szCs w:val="20"/>
              </w:rPr>
            </w:pPr>
            <w:r w:rsidRPr="00DA3A01">
              <w:rPr>
                <w:sz w:val="20"/>
                <w:szCs w:val="20"/>
              </w:rPr>
              <w:t>Lūdzam pārskatīt un aktualizēt izziņas par atzinumos sniegtajiem iebildumiem pēdējā ailē norādīto informāciju atbilstoši veiktajiem precizējumiem informatīvajā ziņojumā un Ministru kabineta sēdes protokollēmuma projektā, piemēram, izziņas 7.punkta pēdējā ailē.</w:t>
            </w:r>
          </w:p>
          <w:p w14:paraId="3471C827" w14:textId="77777777" w:rsidR="001F041A" w:rsidRPr="00BD72F8" w:rsidRDefault="001F041A" w:rsidP="001F041A">
            <w:pPr>
              <w:jc w:val="center"/>
              <w:rPr>
                <w:b/>
                <w:sz w:val="20"/>
                <w:szCs w:val="20"/>
              </w:rPr>
            </w:pPr>
          </w:p>
        </w:tc>
        <w:tc>
          <w:tcPr>
            <w:tcW w:w="3402" w:type="dxa"/>
            <w:tcBorders>
              <w:top w:val="single" w:sz="4" w:space="0" w:color="auto"/>
              <w:left w:val="single" w:sz="4" w:space="0" w:color="auto"/>
              <w:right w:val="single" w:sz="4" w:space="0" w:color="auto"/>
            </w:tcBorders>
            <w:shd w:val="clear" w:color="auto" w:fill="auto"/>
          </w:tcPr>
          <w:p w14:paraId="488064B3"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t>Priekšlikums ņemts vērā.</w:t>
            </w:r>
          </w:p>
          <w:p w14:paraId="0C185BA9"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p>
        </w:tc>
        <w:tc>
          <w:tcPr>
            <w:tcW w:w="2410" w:type="dxa"/>
            <w:tcBorders>
              <w:top w:val="single" w:sz="4" w:space="0" w:color="auto"/>
              <w:left w:val="single" w:sz="4" w:space="0" w:color="auto"/>
              <w:right w:val="single" w:sz="4" w:space="0" w:color="auto"/>
            </w:tcBorders>
            <w:shd w:val="clear" w:color="auto" w:fill="auto"/>
          </w:tcPr>
          <w:p w14:paraId="1D810D8E" w14:textId="40928614" w:rsidR="001F041A" w:rsidRPr="000C567C" w:rsidRDefault="00DA3A01" w:rsidP="001F041A">
            <w:pPr>
              <w:pStyle w:val="ListParagraph"/>
              <w:ind w:left="0"/>
              <w:jc w:val="both"/>
              <w:rPr>
                <w:rStyle w:val="spelle"/>
                <w:rFonts w:ascii="Times New Roman" w:hAnsi="Times New Roman" w:cs="Times New Roman"/>
                <w:sz w:val="20"/>
                <w:szCs w:val="20"/>
              </w:rPr>
            </w:pPr>
            <w:r>
              <w:rPr>
                <w:rStyle w:val="spelle"/>
                <w:rFonts w:ascii="Times New Roman" w:hAnsi="Times New Roman" w:cs="Times New Roman"/>
                <w:sz w:val="20"/>
                <w:szCs w:val="20"/>
              </w:rPr>
              <w:t xml:space="preserve">Precizēta </w:t>
            </w:r>
            <w:r>
              <w:rPr>
                <w:rFonts w:ascii="Times New Roman" w:hAnsi="Times New Roman" w:cs="Times New Roman"/>
                <w:sz w:val="20"/>
                <w:szCs w:val="20"/>
              </w:rPr>
              <w:t>izziņas</w:t>
            </w:r>
            <w:r w:rsidRPr="00DA3A01">
              <w:rPr>
                <w:rFonts w:ascii="Times New Roman" w:hAnsi="Times New Roman" w:cs="Times New Roman"/>
                <w:sz w:val="20"/>
                <w:szCs w:val="20"/>
              </w:rPr>
              <w:t xml:space="preserve"> par atzinumos sniegtajiem </w:t>
            </w:r>
            <w:r>
              <w:rPr>
                <w:rFonts w:ascii="Times New Roman" w:hAnsi="Times New Roman" w:cs="Times New Roman"/>
                <w:sz w:val="20"/>
                <w:szCs w:val="20"/>
              </w:rPr>
              <w:t>iebildumiem pēdējā ailē norādītā</w:t>
            </w:r>
            <w:r w:rsidRPr="00DA3A01">
              <w:rPr>
                <w:rFonts w:ascii="Times New Roman" w:hAnsi="Times New Roman" w:cs="Times New Roman"/>
                <w:sz w:val="20"/>
                <w:szCs w:val="20"/>
              </w:rPr>
              <w:t xml:space="preserve"> informācij</w:t>
            </w:r>
            <w:r>
              <w:rPr>
                <w:rFonts w:ascii="Times New Roman" w:hAnsi="Times New Roman" w:cs="Times New Roman"/>
                <w:sz w:val="20"/>
                <w:szCs w:val="20"/>
              </w:rPr>
              <w:t>a.</w:t>
            </w:r>
          </w:p>
        </w:tc>
      </w:tr>
      <w:tr w:rsidR="001F041A" w:rsidRPr="00A26DDD" w14:paraId="065521CD" w14:textId="77777777" w:rsidTr="00DB0375">
        <w:trPr>
          <w:trHeight w:val="419"/>
        </w:trPr>
        <w:tc>
          <w:tcPr>
            <w:tcW w:w="534" w:type="dxa"/>
            <w:tcBorders>
              <w:top w:val="single" w:sz="4" w:space="0" w:color="auto"/>
              <w:left w:val="single" w:sz="4" w:space="0" w:color="auto"/>
              <w:right w:val="single" w:sz="4" w:space="0" w:color="auto"/>
            </w:tcBorders>
            <w:shd w:val="clear" w:color="auto" w:fill="auto"/>
          </w:tcPr>
          <w:p w14:paraId="7ED89F0A" w14:textId="4620E21F" w:rsidR="001F041A" w:rsidRDefault="001823FB" w:rsidP="001F041A">
            <w:pPr>
              <w:jc w:val="center"/>
              <w:rPr>
                <w:sz w:val="22"/>
                <w:szCs w:val="22"/>
                <w:highlight w:val="green"/>
              </w:rPr>
            </w:pPr>
            <w:r>
              <w:rPr>
                <w:sz w:val="22"/>
                <w:szCs w:val="22"/>
              </w:rPr>
              <w:t>6</w:t>
            </w:r>
            <w:r w:rsidR="001F041A" w:rsidRPr="000C567C">
              <w:rPr>
                <w:sz w:val="22"/>
                <w:szCs w:val="22"/>
              </w:rPr>
              <w:t>.</w:t>
            </w:r>
          </w:p>
        </w:tc>
        <w:tc>
          <w:tcPr>
            <w:tcW w:w="2126" w:type="dxa"/>
            <w:tcBorders>
              <w:top w:val="single" w:sz="4" w:space="0" w:color="auto"/>
              <w:left w:val="single" w:sz="4" w:space="0" w:color="auto"/>
              <w:right w:val="single" w:sz="4" w:space="0" w:color="auto"/>
            </w:tcBorders>
            <w:shd w:val="clear" w:color="auto" w:fill="auto"/>
          </w:tcPr>
          <w:p w14:paraId="575A5112" w14:textId="77777777" w:rsidR="001F041A" w:rsidRDefault="001F041A" w:rsidP="001F041A">
            <w:pPr>
              <w:jc w:val="both"/>
              <w:rPr>
                <w:sz w:val="20"/>
                <w:szCs w:val="20"/>
              </w:rPr>
            </w:pPr>
          </w:p>
        </w:tc>
        <w:tc>
          <w:tcPr>
            <w:tcW w:w="6662" w:type="dxa"/>
            <w:tcBorders>
              <w:top w:val="single" w:sz="4" w:space="0" w:color="auto"/>
              <w:left w:val="single" w:sz="4" w:space="0" w:color="auto"/>
              <w:right w:val="single" w:sz="4" w:space="0" w:color="auto"/>
            </w:tcBorders>
            <w:shd w:val="clear" w:color="auto" w:fill="auto"/>
          </w:tcPr>
          <w:p w14:paraId="0AFE5C97" w14:textId="77777777" w:rsidR="001F041A" w:rsidRPr="009F68FC" w:rsidRDefault="001F041A" w:rsidP="001F041A">
            <w:pPr>
              <w:jc w:val="center"/>
              <w:rPr>
                <w:b/>
                <w:sz w:val="20"/>
                <w:szCs w:val="20"/>
              </w:rPr>
            </w:pPr>
            <w:r w:rsidRPr="009F68FC">
              <w:rPr>
                <w:b/>
                <w:sz w:val="20"/>
                <w:szCs w:val="20"/>
              </w:rPr>
              <w:t>Finanšu ministrija</w:t>
            </w:r>
          </w:p>
          <w:p w14:paraId="5B32B949" w14:textId="29FC5CB9" w:rsidR="001F041A" w:rsidRPr="009F68FC" w:rsidRDefault="001F041A" w:rsidP="001F041A">
            <w:pPr>
              <w:jc w:val="both"/>
              <w:rPr>
                <w:sz w:val="20"/>
                <w:szCs w:val="20"/>
              </w:rPr>
            </w:pPr>
            <w:r w:rsidRPr="009F68FC">
              <w:rPr>
                <w:sz w:val="20"/>
                <w:szCs w:val="20"/>
              </w:rPr>
              <w:t xml:space="preserve">                       (30.04.2019. atzinums Nr. 10.1-6/7-1/428)</w:t>
            </w:r>
          </w:p>
          <w:p w14:paraId="3EE504EB" w14:textId="133C6EE5" w:rsidR="001F041A" w:rsidRPr="006F03C9" w:rsidRDefault="001F041A" w:rsidP="001F041A">
            <w:pPr>
              <w:ind w:firstLine="709"/>
              <w:jc w:val="both"/>
              <w:rPr>
                <w:b/>
                <w:sz w:val="20"/>
                <w:szCs w:val="20"/>
              </w:rPr>
            </w:pPr>
            <w:r w:rsidRPr="009F68FC">
              <w:rPr>
                <w:sz w:val="20"/>
                <w:szCs w:val="20"/>
              </w:rPr>
              <w:t xml:space="preserve">Ņemot vērā, ka pēc Ministru kabineta sēdes protokollēmuma projekta 3.punktā dotā uzdevuma izpildes, attiecībā pret šobrīd spēkā esošo Ministru kabineta </w:t>
            </w:r>
            <w:proofErr w:type="gramStart"/>
            <w:r w:rsidRPr="009F68FC">
              <w:rPr>
                <w:sz w:val="20"/>
                <w:szCs w:val="20"/>
              </w:rPr>
              <w:t>2014.gada</w:t>
            </w:r>
            <w:proofErr w:type="gramEnd"/>
            <w:r w:rsidRPr="009F68FC">
              <w:rPr>
                <w:sz w:val="20"/>
                <w:szCs w:val="20"/>
              </w:rPr>
              <w:t xml:space="preserve"> 29.jūlija rīkojumu Nr.382 “Par Iekšlietu ministrijas ilgtermiņa saistībām ceļu satiksmes pārkāpumu fiksēšanas tehnisko līdzekļu (fotoradaru) darbības nodrošināšanai” radīsies negatīva ietekme uz valsts budžetu, uzskatām, ka Iekšlietu ministrijai ir </w:t>
            </w:r>
            <w:r w:rsidRPr="009F68FC">
              <w:rPr>
                <w:b/>
                <w:sz w:val="20"/>
                <w:szCs w:val="20"/>
              </w:rPr>
              <w:t>jāpapildina Ministru kabineta sēdes protokollēmuma projekts ar jaunu punktu, norādot, ka izmaiņu veikšana šobrīd spēkā esošajā Ministru kabineta 2014.gada 29.jūlija rīkojumā Nr.382 “Par Iekšlietu ministrijas ilgtermiņa saistībām ceļu satiksmes pārkāpumu fiksēšanas tehnisko līdzekļu (fotoradaru) darbības nodrošināšanai” atbilstoši ar šo protokollēmumu pieņemtajiem lēmumiem, rada negatīvu ietekmi uz vispārējās valdības budžeta bilanci.</w:t>
            </w:r>
          </w:p>
        </w:tc>
        <w:tc>
          <w:tcPr>
            <w:tcW w:w="3402" w:type="dxa"/>
            <w:tcBorders>
              <w:top w:val="single" w:sz="4" w:space="0" w:color="auto"/>
              <w:left w:val="single" w:sz="4" w:space="0" w:color="auto"/>
              <w:right w:val="single" w:sz="4" w:space="0" w:color="auto"/>
            </w:tcBorders>
            <w:shd w:val="clear" w:color="auto" w:fill="auto"/>
          </w:tcPr>
          <w:p w14:paraId="18A3366A"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t>Iebildums ņemts vērā.</w:t>
            </w:r>
          </w:p>
          <w:p w14:paraId="72FA7BFE"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tc>
        <w:tc>
          <w:tcPr>
            <w:tcW w:w="2410" w:type="dxa"/>
            <w:tcBorders>
              <w:top w:val="single" w:sz="4" w:space="0" w:color="auto"/>
              <w:left w:val="single" w:sz="4" w:space="0" w:color="auto"/>
              <w:right w:val="single" w:sz="4" w:space="0" w:color="auto"/>
            </w:tcBorders>
            <w:shd w:val="clear" w:color="auto" w:fill="auto"/>
          </w:tcPr>
          <w:p w14:paraId="54BC8596" w14:textId="36D00B92" w:rsidR="001F041A" w:rsidRPr="009F68FC" w:rsidRDefault="001F041A" w:rsidP="001F041A">
            <w:pPr>
              <w:pStyle w:val="ListParagraph"/>
              <w:ind w:left="0"/>
              <w:jc w:val="both"/>
              <w:rPr>
                <w:rStyle w:val="spelle"/>
                <w:rFonts w:ascii="Times New Roman" w:hAnsi="Times New Roman" w:cs="Times New Roman"/>
                <w:sz w:val="20"/>
                <w:szCs w:val="20"/>
              </w:rPr>
            </w:pPr>
            <w:r w:rsidRPr="000C567C">
              <w:rPr>
                <w:rStyle w:val="spelle"/>
                <w:rFonts w:ascii="Times New Roman" w:hAnsi="Times New Roman" w:cs="Times New Roman"/>
                <w:sz w:val="20"/>
                <w:szCs w:val="20"/>
              </w:rPr>
              <w:t xml:space="preserve">Papildināts protokollēmums ar </w:t>
            </w:r>
            <w:r w:rsidRPr="009F68FC">
              <w:rPr>
                <w:rStyle w:val="spelle"/>
                <w:rFonts w:ascii="Times New Roman" w:hAnsi="Times New Roman" w:cs="Times New Roman"/>
                <w:sz w:val="20"/>
                <w:szCs w:val="20"/>
              </w:rPr>
              <w:t xml:space="preserve">12.punktu šādā redakcijā: </w:t>
            </w:r>
          </w:p>
          <w:p w14:paraId="296A1050" w14:textId="15E45EBC" w:rsidR="009F68FC" w:rsidRPr="009F68FC" w:rsidRDefault="009F68FC" w:rsidP="009F68FC">
            <w:pPr>
              <w:pStyle w:val="ListParagraph"/>
              <w:ind w:left="0"/>
              <w:jc w:val="both"/>
              <w:rPr>
                <w:rStyle w:val="spelle"/>
                <w:rFonts w:ascii="Times New Roman" w:hAnsi="Times New Roman" w:cs="Times New Roman"/>
                <w:sz w:val="20"/>
                <w:szCs w:val="20"/>
              </w:rPr>
            </w:pPr>
            <w:r>
              <w:rPr>
                <w:rStyle w:val="spelle"/>
                <w:rFonts w:ascii="Times New Roman" w:hAnsi="Times New Roman" w:cs="Times New Roman"/>
                <w:sz w:val="20"/>
                <w:szCs w:val="20"/>
              </w:rPr>
              <w:t>“</w:t>
            </w:r>
            <w:r w:rsidRPr="009F68FC">
              <w:rPr>
                <w:rStyle w:val="spelle"/>
                <w:rFonts w:ascii="Times New Roman" w:hAnsi="Times New Roman" w:cs="Times New Roman"/>
                <w:sz w:val="20"/>
                <w:szCs w:val="20"/>
              </w:rPr>
              <w:t xml:space="preserve">12. Pieņemt zināšanai, ka izmaiņu veikšana spēkā esošajā Ministru kabineta </w:t>
            </w:r>
            <w:proofErr w:type="gramStart"/>
            <w:r w:rsidRPr="009F68FC">
              <w:rPr>
                <w:rStyle w:val="spelle"/>
                <w:rFonts w:ascii="Times New Roman" w:hAnsi="Times New Roman" w:cs="Times New Roman"/>
                <w:sz w:val="20"/>
                <w:szCs w:val="20"/>
              </w:rPr>
              <w:t>2014.gada</w:t>
            </w:r>
            <w:proofErr w:type="gramEnd"/>
            <w:r w:rsidRPr="009F68FC">
              <w:rPr>
                <w:rStyle w:val="spelle"/>
                <w:rFonts w:ascii="Times New Roman" w:hAnsi="Times New Roman" w:cs="Times New Roman"/>
                <w:sz w:val="20"/>
                <w:szCs w:val="20"/>
              </w:rPr>
              <w:t xml:space="preserve"> 29.jūlija rīkojumā Nr.382 “Par Iekšlietu ministrijas ilgtermiņa saistībām ceļu satiksmes pārkāpumu fiksēšanas tehnisko līdzekļu (fotoradaru) darbības nodrošināšanai” atbilstoši ar šo protokollēmumu pieņemtajiem lēmumiem (2.1. apakšpunkts), rada negatīvu ietekmi uz vispārējās valdības budžeta bilanci 2020. gadā 3 842 195 </w:t>
            </w:r>
            <w:r w:rsidRPr="009F68FC">
              <w:rPr>
                <w:rStyle w:val="spelle"/>
                <w:rFonts w:ascii="Times New Roman" w:hAnsi="Times New Roman" w:cs="Times New Roman"/>
                <w:i/>
                <w:sz w:val="20"/>
                <w:szCs w:val="20"/>
              </w:rPr>
              <w:t>euro</w:t>
            </w:r>
            <w:r w:rsidRPr="009F68FC">
              <w:rPr>
                <w:rStyle w:val="spelle"/>
                <w:rFonts w:ascii="Times New Roman" w:hAnsi="Times New Roman" w:cs="Times New Roman"/>
                <w:sz w:val="20"/>
                <w:szCs w:val="20"/>
              </w:rPr>
              <w:t xml:space="preserve"> apmērā un 2021. gadā 2 177 910 </w:t>
            </w:r>
            <w:r w:rsidRPr="009F68FC">
              <w:rPr>
                <w:rStyle w:val="spelle"/>
                <w:rFonts w:ascii="Times New Roman" w:hAnsi="Times New Roman" w:cs="Times New Roman"/>
                <w:i/>
                <w:sz w:val="20"/>
                <w:szCs w:val="20"/>
              </w:rPr>
              <w:t>euro</w:t>
            </w:r>
            <w:r w:rsidRPr="009F68FC">
              <w:rPr>
                <w:rStyle w:val="spelle"/>
                <w:rFonts w:ascii="Times New Roman" w:hAnsi="Times New Roman" w:cs="Times New Roman"/>
                <w:sz w:val="20"/>
                <w:szCs w:val="20"/>
              </w:rPr>
              <w:t xml:space="preserve"> apmērā.”</w:t>
            </w:r>
          </w:p>
          <w:p w14:paraId="0E73AA33" w14:textId="39531DC0" w:rsidR="001F041A" w:rsidRPr="00725DEF" w:rsidRDefault="001F041A" w:rsidP="009F68FC">
            <w:pPr>
              <w:pStyle w:val="ListParagraph"/>
              <w:ind w:left="0"/>
              <w:jc w:val="both"/>
              <w:rPr>
                <w:sz w:val="20"/>
                <w:szCs w:val="20"/>
              </w:rPr>
            </w:pPr>
          </w:p>
        </w:tc>
      </w:tr>
      <w:tr w:rsidR="001F041A" w:rsidRPr="00A26DDD" w14:paraId="22A60EDE" w14:textId="77777777" w:rsidTr="00DB0375">
        <w:trPr>
          <w:trHeight w:val="419"/>
        </w:trPr>
        <w:tc>
          <w:tcPr>
            <w:tcW w:w="534" w:type="dxa"/>
            <w:tcBorders>
              <w:top w:val="single" w:sz="4" w:space="0" w:color="auto"/>
              <w:left w:val="single" w:sz="4" w:space="0" w:color="auto"/>
              <w:right w:val="single" w:sz="4" w:space="0" w:color="auto"/>
            </w:tcBorders>
            <w:shd w:val="clear" w:color="auto" w:fill="auto"/>
          </w:tcPr>
          <w:p w14:paraId="6C1F23E3" w14:textId="3A3D7B16" w:rsidR="001F041A" w:rsidRDefault="009F68FC" w:rsidP="001F041A">
            <w:pPr>
              <w:jc w:val="center"/>
              <w:rPr>
                <w:sz w:val="22"/>
                <w:szCs w:val="22"/>
                <w:highlight w:val="green"/>
              </w:rPr>
            </w:pPr>
            <w:r>
              <w:rPr>
                <w:sz w:val="22"/>
                <w:szCs w:val="22"/>
              </w:rPr>
              <w:lastRenderedPageBreak/>
              <w:t>7</w:t>
            </w:r>
            <w:r w:rsidR="001F041A" w:rsidRPr="000C567C">
              <w:rPr>
                <w:sz w:val="22"/>
                <w:szCs w:val="22"/>
              </w:rPr>
              <w:t>.</w:t>
            </w:r>
          </w:p>
        </w:tc>
        <w:tc>
          <w:tcPr>
            <w:tcW w:w="2126" w:type="dxa"/>
            <w:tcBorders>
              <w:top w:val="single" w:sz="4" w:space="0" w:color="auto"/>
              <w:left w:val="single" w:sz="4" w:space="0" w:color="auto"/>
              <w:right w:val="single" w:sz="4" w:space="0" w:color="auto"/>
            </w:tcBorders>
            <w:shd w:val="clear" w:color="auto" w:fill="auto"/>
          </w:tcPr>
          <w:p w14:paraId="43D3E632" w14:textId="2A66C8CE" w:rsidR="001F041A" w:rsidRPr="00DA1F00" w:rsidRDefault="001F041A" w:rsidP="001F041A">
            <w:pPr>
              <w:jc w:val="both"/>
              <w:rPr>
                <w:sz w:val="20"/>
                <w:szCs w:val="20"/>
              </w:rPr>
            </w:pPr>
            <w:r w:rsidRPr="00DA1F00">
              <w:rPr>
                <w:sz w:val="20"/>
                <w:szCs w:val="20"/>
              </w:rPr>
              <w:t xml:space="preserve">4. Tieslietu ministrijai kopīgi ar Finanšu ministriju un Pārresoru koordinācijas centru izvērtēt normatīvo regulējumu attiecībā uz valstij pienākošiem dividenžu maksājumiem, kas ar īpašu Ministru kabineta lēmumu atstāti kapitālsabiedrības rīcībā kā finansējums valsts pārvaldes deleģēta uzdevuma izpildei, un, ja nepieciešams, Tieslietu ministrijai līdz </w:t>
            </w:r>
            <w:proofErr w:type="gramStart"/>
            <w:r w:rsidRPr="00DA1F00">
              <w:rPr>
                <w:sz w:val="20"/>
                <w:szCs w:val="20"/>
              </w:rPr>
              <w:t>2019.gada</w:t>
            </w:r>
            <w:proofErr w:type="gramEnd"/>
            <w:r w:rsidRPr="00DA1F00">
              <w:rPr>
                <w:sz w:val="20"/>
                <w:szCs w:val="20"/>
              </w:rPr>
              <w:t xml:space="preserve"> 1.augustam sagatavot un tieslietu ministram iesniegt izskatīšanai Ministru kabinetā attiecīgus tiesību aktu projektus, paredzot, ka šis finansējums uzskatāms par kapitālsabiedrībai piešķirtu valsts finansējumu (dotāciju), ka, realizējot pamatlīdzekļus, kas iegādāti no</w:t>
            </w:r>
            <w:r>
              <w:rPr>
                <w:rStyle w:val="spelle"/>
                <w:sz w:val="28"/>
              </w:rPr>
              <w:t xml:space="preserve"> </w:t>
            </w:r>
            <w:r w:rsidRPr="00DA1F00">
              <w:rPr>
                <w:sz w:val="20"/>
                <w:szCs w:val="20"/>
              </w:rPr>
              <w:t>šī  finansējuma, iegūtie naudas līdzekļi ieskaitāmi valsts pamatbudžeta ieņēmumos un ka šo pamatlīdzekļu atjaunošanai neveido nolietojuma uzkrājumu.</w:t>
            </w:r>
            <w:r>
              <w:rPr>
                <w:sz w:val="20"/>
                <w:szCs w:val="20"/>
              </w:rPr>
              <w:t xml:space="preserve"> </w:t>
            </w:r>
            <w:r w:rsidRPr="00DA1F00">
              <w:rPr>
                <w:sz w:val="20"/>
                <w:szCs w:val="20"/>
              </w:rPr>
              <w:lastRenderedPageBreak/>
              <w:t>Ja izvērtējuma rezultātā tiek konstatēts, ka grozījumi tiesību aktos nav nepieciešami, sagatavot un iesniegt Ministru kabinetā attiecīgu informatīvo ziņojumu.</w:t>
            </w:r>
          </w:p>
          <w:p w14:paraId="01B0B946" w14:textId="77777777" w:rsidR="001F041A" w:rsidRDefault="001F041A" w:rsidP="001F041A">
            <w:pPr>
              <w:jc w:val="both"/>
              <w:rPr>
                <w:sz w:val="20"/>
                <w:szCs w:val="20"/>
              </w:rPr>
            </w:pPr>
          </w:p>
        </w:tc>
        <w:tc>
          <w:tcPr>
            <w:tcW w:w="6662" w:type="dxa"/>
            <w:tcBorders>
              <w:top w:val="single" w:sz="4" w:space="0" w:color="auto"/>
              <w:left w:val="single" w:sz="4" w:space="0" w:color="auto"/>
              <w:right w:val="single" w:sz="4" w:space="0" w:color="auto"/>
            </w:tcBorders>
            <w:shd w:val="clear" w:color="auto" w:fill="auto"/>
          </w:tcPr>
          <w:p w14:paraId="07184D92" w14:textId="77777777" w:rsidR="001F041A" w:rsidRPr="00BD72F8" w:rsidRDefault="001F041A" w:rsidP="001F041A">
            <w:pPr>
              <w:jc w:val="center"/>
              <w:rPr>
                <w:b/>
                <w:sz w:val="20"/>
                <w:szCs w:val="20"/>
              </w:rPr>
            </w:pPr>
            <w:r w:rsidRPr="00BD72F8">
              <w:rPr>
                <w:b/>
                <w:sz w:val="20"/>
                <w:szCs w:val="20"/>
              </w:rPr>
              <w:lastRenderedPageBreak/>
              <w:t>Finanšu ministrija</w:t>
            </w:r>
          </w:p>
          <w:p w14:paraId="064B0555" w14:textId="10DA7881" w:rsidR="001F041A" w:rsidRDefault="001F041A" w:rsidP="001F041A">
            <w:pPr>
              <w:jc w:val="both"/>
              <w:rPr>
                <w:sz w:val="28"/>
                <w:szCs w:val="28"/>
              </w:rPr>
            </w:pPr>
            <w:r>
              <w:rPr>
                <w:sz w:val="20"/>
                <w:szCs w:val="20"/>
              </w:rPr>
              <w:t xml:space="preserve">                       </w:t>
            </w:r>
            <w:r w:rsidRPr="00BD72F8">
              <w:rPr>
                <w:sz w:val="20"/>
                <w:szCs w:val="20"/>
              </w:rPr>
              <w:t>(</w:t>
            </w:r>
            <w:r w:rsidRPr="00DB0375">
              <w:rPr>
                <w:sz w:val="20"/>
                <w:szCs w:val="20"/>
              </w:rPr>
              <w:t>30.04.2019. atzinums Nr. 10.1-6/7-1/428</w:t>
            </w:r>
            <w:r w:rsidRPr="00BD72F8">
              <w:rPr>
                <w:sz w:val="20"/>
                <w:szCs w:val="20"/>
              </w:rPr>
              <w:t>)</w:t>
            </w:r>
          </w:p>
          <w:p w14:paraId="73C06501" w14:textId="57952700" w:rsidR="001F041A" w:rsidRPr="00BD72F8" w:rsidRDefault="001F041A" w:rsidP="001F041A">
            <w:pPr>
              <w:ind w:firstLine="709"/>
              <w:jc w:val="both"/>
              <w:rPr>
                <w:b/>
                <w:sz w:val="20"/>
                <w:szCs w:val="20"/>
              </w:rPr>
            </w:pPr>
            <w:r w:rsidRPr="00DA1F00">
              <w:rPr>
                <w:sz w:val="20"/>
                <w:szCs w:val="20"/>
              </w:rPr>
              <w:t xml:space="preserve">Lūdzam svītrot Ministru kabineta sēdes protokollēmuma projekta 4.punktā vārdu “(dotāciju)”, tādējādi to harmonizējot ar informatīvajā ziņojumā izklāstīto, kā arī vienlaikus lūdzam precizēt termiņu no </w:t>
            </w:r>
            <w:proofErr w:type="gramStart"/>
            <w:r w:rsidRPr="00DA1F00">
              <w:rPr>
                <w:sz w:val="20"/>
                <w:szCs w:val="20"/>
              </w:rPr>
              <w:t>2019.gada</w:t>
            </w:r>
            <w:proofErr w:type="gramEnd"/>
            <w:r w:rsidRPr="00DA1F00">
              <w:rPr>
                <w:sz w:val="20"/>
                <w:szCs w:val="20"/>
              </w:rPr>
              <w:t xml:space="preserve"> 1.augusta uz 2019.gada 1.novembri.</w:t>
            </w:r>
          </w:p>
        </w:tc>
        <w:tc>
          <w:tcPr>
            <w:tcW w:w="3402" w:type="dxa"/>
            <w:tcBorders>
              <w:top w:val="single" w:sz="4" w:space="0" w:color="auto"/>
              <w:left w:val="single" w:sz="4" w:space="0" w:color="auto"/>
              <w:right w:val="single" w:sz="4" w:space="0" w:color="auto"/>
            </w:tcBorders>
            <w:shd w:val="clear" w:color="auto" w:fill="auto"/>
          </w:tcPr>
          <w:p w14:paraId="34BA6FC2"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t>Iebildums ņemts vērā.</w:t>
            </w:r>
          </w:p>
          <w:p w14:paraId="36EFC882"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p>
        </w:tc>
        <w:tc>
          <w:tcPr>
            <w:tcW w:w="2410" w:type="dxa"/>
            <w:tcBorders>
              <w:top w:val="single" w:sz="4" w:space="0" w:color="auto"/>
              <w:left w:val="single" w:sz="4" w:space="0" w:color="auto"/>
              <w:right w:val="single" w:sz="4" w:space="0" w:color="auto"/>
            </w:tcBorders>
            <w:shd w:val="clear" w:color="auto" w:fill="auto"/>
          </w:tcPr>
          <w:p w14:paraId="63A7D534" w14:textId="213EF871" w:rsidR="009F68FC" w:rsidRDefault="009F68FC" w:rsidP="009F68FC">
            <w:pPr>
              <w:jc w:val="both"/>
              <w:rPr>
                <w:sz w:val="20"/>
                <w:szCs w:val="20"/>
              </w:rPr>
            </w:pPr>
            <w:r>
              <w:rPr>
                <w:rStyle w:val="spelle"/>
                <w:sz w:val="20"/>
                <w:szCs w:val="20"/>
              </w:rPr>
              <w:t>P</w:t>
            </w:r>
            <w:r w:rsidRPr="000C567C">
              <w:rPr>
                <w:rStyle w:val="spelle"/>
                <w:sz w:val="20"/>
                <w:szCs w:val="20"/>
              </w:rPr>
              <w:t>rotokollēmums</w:t>
            </w:r>
          </w:p>
          <w:p w14:paraId="3BC81E06" w14:textId="0663A665" w:rsidR="00994657" w:rsidRPr="00994657" w:rsidRDefault="00994657" w:rsidP="00994657">
            <w:pPr>
              <w:jc w:val="both"/>
              <w:rPr>
                <w:rStyle w:val="spelle"/>
                <w:sz w:val="20"/>
                <w:szCs w:val="20"/>
              </w:rPr>
            </w:pPr>
            <w:r>
              <w:rPr>
                <w:rStyle w:val="spelle"/>
                <w:sz w:val="20"/>
                <w:szCs w:val="20"/>
              </w:rPr>
              <w:t>“</w:t>
            </w:r>
            <w:r w:rsidRPr="00994657">
              <w:rPr>
                <w:rStyle w:val="spelle"/>
                <w:sz w:val="20"/>
                <w:szCs w:val="20"/>
              </w:rPr>
              <w:t xml:space="preserve">4. Tieslietu ministrijai kopīgi ar Finanšu ministriju un Pārresoru koordinācijas centru izvērtēt normatīvo regulējumu attiecībā uz valstij pienākošiem dividenžu maksājumiem, kas ar īpašu Ministru kabineta lēmumu atstāti kapitālsabiedrības rīcībā kā finansējums valsts pārvaldes deleģēta uzdevuma izpildei, un, ja nepieciešams, Tieslietu ministrijai līdz </w:t>
            </w:r>
            <w:proofErr w:type="gramStart"/>
            <w:r w:rsidRPr="00994657">
              <w:rPr>
                <w:rStyle w:val="spelle"/>
                <w:sz w:val="20"/>
                <w:szCs w:val="20"/>
              </w:rPr>
              <w:t>2019.gada</w:t>
            </w:r>
            <w:proofErr w:type="gramEnd"/>
            <w:r w:rsidRPr="00994657">
              <w:rPr>
                <w:rStyle w:val="spelle"/>
                <w:sz w:val="20"/>
                <w:szCs w:val="20"/>
              </w:rPr>
              <w:t xml:space="preserve"> 1.novembrim sagatavot un tieslietu ministram iesniegt izskatīšanai Ministru kabinetā attiecīgus tiesību aktu projektus, paredzot, ka šis finansējums uzskatāms par kapitālsabiedrībai piešķirtu valsts finansējumu, ka, realizējot pamatlīdzekļus, kas iegādāti no šī  finansējuma, iegūtie naudas līdzekļi ieskaitāmi valsts pamatbudžeta ieņēmumos un ka šo pamatlīdzekļu atjaunošanai neveido nolietojuma uzkrājumu.</w:t>
            </w:r>
            <w:r w:rsidR="008F0F88">
              <w:rPr>
                <w:rStyle w:val="spelle"/>
                <w:sz w:val="20"/>
                <w:szCs w:val="20"/>
              </w:rPr>
              <w:t xml:space="preserve"> </w:t>
            </w:r>
            <w:r w:rsidRPr="00994657">
              <w:rPr>
                <w:rStyle w:val="spelle"/>
                <w:sz w:val="20"/>
                <w:szCs w:val="20"/>
              </w:rPr>
              <w:t>Ja izvērtējuma rezultātā tiek konstatēts, ka grozījumi tiesību aktos nav nepieciešami, sagatavot un iesniegt Ministru kabinetā attiecīgu informatīvo ziņojumu.”.</w:t>
            </w:r>
          </w:p>
          <w:p w14:paraId="27EBF86C" w14:textId="77777777" w:rsidR="001F041A" w:rsidRDefault="001F041A" w:rsidP="00F61B2A">
            <w:pPr>
              <w:jc w:val="both"/>
              <w:rPr>
                <w:sz w:val="20"/>
                <w:szCs w:val="20"/>
              </w:rPr>
            </w:pPr>
          </w:p>
        </w:tc>
      </w:tr>
      <w:tr w:rsidR="001F041A" w:rsidRPr="00A26DDD" w14:paraId="099B2635" w14:textId="77777777" w:rsidTr="00DB0375">
        <w:trPr>
          <w:trHeight w:val="419"/>
        </w:trPr>
        <w:tc>
          <w:tcPr>
            <w:tcW w:w="534" w:type="dxa"/>
            <w:tcBorders>
              <w:top w:val="single" w:sz="4" w:space="0" w:color="auto"/>
              <w:left w:val="single" w:sz="4" w:space="0" w:color="auto"/>
              <w:right w:val="single" w:sz="4" w:space="0" w:color="auto"/>
            </w:tcBorders>
            <w:shd w:val="clear" w:color="auto" w:fill="auto"/>
          </w:tcPr>
          <w:p w14:paraId="76289B5B" w14:textId="11A45F65" w:rsidR="001F041A" w:rsidRDefault="00AB0F89" w:rsidP="001F041A">
            <w:pPr>
              <w:jc w:val="center"/>
              <w:rPr>
                <w:sz w:val="22"/>
                <w:szCs w:val="22"/>
                <w:highlight w:val="green"/>
              </w:rPr>
            </w:pPr>
            <w:r>
              <w:rPr>
                <w:sz w:val="22"/>
                <w:szCs w:val="22"/>
              </w:rPr>
              <w:lastRenderedPageBreak/>
              <w:t>8</w:t>
            </w:r>
            <w:r w:rsidR="001F041A" w:rsidRPr="000C567C">
              <w:rPr>
                <w:sz w:val="22"/>
                <w:szCs w:val="22"/>
              </w:rPr>
              <w:t>.</w:t>
            </w:r>
          </w:p>
        </w:tc>
        <w:tc>
          <w:tcPr>
            <w:tcW w:w="2126" w:type="dxa"/>
            <w:tcBorders>
              <w:top w:val="single" w:sz="4" w:space="0" w:color="auto"/>
              <w:left w:val="single" w:sz="4" w:space="0" w:color="auto"/>
              <w:right w:val="single" w:sz="4" w:space="0" w:color="auto"/>
            </w:tcBorders>
            <w:shd w:val="clear" w:color="auto" w:fill="auto"/>
          </w:tcPr>
          <w:p w14:paraId="0EDCE899" w14:textId="77777777" w:rsidR="001F041A" w:rsidRPr="00DA1F00" w:rsidRDefault="001F041A" w:rsidP="001F041A">
            <w:pPr>
              <w:jc w:val="both"/>
              <w:rPr>
                <w:sz w:val="20"/>
                <w:szCs w:val="20"/>
              </w:rPr>
            </w:pPr>
          </w:p>
        </w:tc>
        <w:tc>
          <w:tcPr>
            <w:tcW w:w="6662" w:type="dxa"/>
            <w:tcBorders>
              <w:top w:val="single" w:sz="4" w:space="0" w:color="auto"/>
              <w:left w:val="single" w:sz="4" w:space="0" w:color="auto"/>
              <w:right w:val="single" w:sz="4" w:space="0" w:color="auto"/>
            </w:tcBorders>
            <w:shd w:val="clear" w:color="auto" w:fill="auto"/>
          </w:tcPr>
          <w:p w14:paraId="40961721" w14:textId="77777777" w:rsidR="001F041A" w:rsidRPr="00BD72F8" w:rsidRDefault="001F041A" w:rsidP="001F041A">
            <w:pPr>
              <w:jc w:val="center"/>
              <w:rPr>
                <w:b/>
                <w:sz w:val="20"/>
                <w:szCs w:val="20"/>
              </w:rPr>
            </w:pPr>
            <w:r w:rsidRPr="00BD72F8">
              <w:rPr>
                <w:b/>
                <w:sz w:val="20"/>
                <w:szCs w:val="20"/>
              </w:rPr>
              <w:t>Finanšu ministrija</w:t>
            </w:r>
          </w:p>
          <w:p w14:paraId="59023690" w14:textId="77777777" w:rsidR="001F041A" w:rsidRDefault="001F041A" w:rsidP="001F041A">
            <w:pPr>
              <w:jc w:val="both"/>
              <w:rPr>
                <w:sz w:val="20"/>
                <w:szCs w:val="20"/>
              </w:rPr>
            </w:pPr>
            <w:r>
              <w:rPr>
                <w:sz w:val="20"/>
                <w:szCs w:val="20"/>
              </w:rPr>
              <w:t xml:space="preserve">                       </w:t>
            </w:r>
            <w:r w:rsidRPr="00BD72F8">
              <w:rPr>
                <w:sz w:val="20"/>
                <w:szCs w:val="20"/>
              </w:rPr>
              <w:t>(</w:t>
            </w:r>
            <w:r w:rsidRPr="00DB0375">
              <w:rPr>
                <w:sz w:val="20"/>
                <w:szCs w:val="20"/>
              </w:rPr>
              <w:t>30.04.2019. atzinums Nr. 10.1-6/7-1/428</w:t>
            </w:r>
            <w:r w:rsidRPr="00BD72F8">
              <w:rPr>
                <w:sz w:val="20"/>
                <w:szCs w:val="20"/>
              </w:rPr>
              <w:t>)</w:t>
            </w:r>
          </w:p>
          <w:p w14:paraId="2FBEB363" w14:textId="77777777" w:rsidR="001F041A" w:rsidRPr="00845E2D" w:rsidRDefault="001F041A" w:rsidP="001F041A">
            <w:pPr>
              <w:ind w:firstLine="709"/>
              <w:jc w:val="both"/>
              <w:rPr>
                <w:sz w:val="20"/>
                <w:szCs w:val="20"/>
              </w:rPr>
            </w:pPr>
            <w:r w:rsidRPr="00845E2D">
              <w:rPr>
                <w:sz w:val="20"/>
                <w:szCs w:val="20"/>
              </w:rPr>
              <w:t>Atkārtoti informējam, ka atbilstoši Eiropas kontu sistēmas (turpmāk – EKS) metodoloģijai Ministru kabineta sēdes protokollēmuma projekta 2.2.apakšpunktā un 7.punktā paredzētie pasākumi tiks uzskaitīti kā vispārējās valdības budžeta izdevumi</w:t>
            </w:r>
            <w:proofErr w:type="gramStart"/>
            <w:r w:rsidRPr="00845E2D">
              <w:rPr>
                <w:sz w:val="20"/>
                <w:szCs w:val="20"/>
              </w:rPr>
              <w:t xml:space="preserve"> un</w:t>
            </w:r>
            <w:proofErr w:type="gramEnd"/>
            <w:r w:rsidRPr="00845E2D">
              <w:rPr>
                <w:sz w:val="20"/>
                <w:szCs w:val="20"/>
              </w:rPr>
              <w:t xml:space="preserve"> sekojoši provizoriski pasliktinās vispārējās valdības budžeta bilanci (fiskālo telpu) kapitālo ieguldījumu un ar to saistīto izmaksu apmērā 2019.-2022.gadam. Tajā pašā laikā informējam, ka atbilstoši EKS metodoloģijai iepriekšminēto pasākumu finansēšana no valsts akciju sabiedrības "Ceļu satiksmes drošības direkcija" valsts budžetā neiemaksātajām dividendēm vai nolietojuma uzkrājuma nav atzīstami par papildu izdevumu neitralizējošiem pasākumiem (t.i. tie nav ieņēmumi un tie nesamazina plānotos izdevumus), jo uzņēmums atbilstoši Centrālās statistikas pārvaldes izveidotajam un uzturētajam institucionālo vienību klasifikācijas sarakstam ir piederīgs pie vispārējās valdības institucionālā sektora. Tādējādi negatīvo ietekmi no pasākumu īstenošanas, kas paredzēti Ministru kabineta sēdes protokollēmuma projekta 2.2.apakšpunktā un 7.punktā, varēs neitralizēt tikai par papildus valsts budžeta ieņēmumu apmēru. </w:t>
            </w:r>
          </w:p>
          <w:p w14:paraId="41F4A2B9" w14:textId="77777777" w:rsidR="001F041A" w:rsidRPr="00845E2D" w:rsidRDefault="001F041A" w:rsidP="001F041A">
            <w:pPr>
              <w:ind w:firstLine="709"/>
              <w:jc w:val="both"/>
              <w:rPr>
                <w:sz w:val="20"/>
                <w:szCs w:val="20"/>
              </w:rPr>
            </w:pPr>
            <w:r w:rsidRPr="00845E2D">
              <w:rPr>
                <w:sz w:val="20"/>
                <w:szCs w:val="20"/>
              </w:rPr>
              <w:t xml:space="preserve">Ņemot vērā to, ka fotoradaru darbības rezultātā gūtie papildu valsts budžeta ieņēmumi nesedz plānotos jaunu fotoradaru iegādes izdevumus to pilnā apmērā, tiek radīta negatīva ietekme uz vispārējās valdības budžeta bilanci - </w:t>
            </w:r>
            <w:proofErr w:type="gramStart"/>
            <w:r w:rsidRPr="00845E2D">
              <w:rPr>
                <w:sz w:val="20"/>
                <w:szCs w:val="20"/>
              </w:rPr>
              <w:t>2021.gadā</w:t>
            </w:r>
            <w:proofErr w:type="gramEnd"/>
            <w:r w:rsidRPr="00845E2D">
              <w:rPr>
                <w:sz w:val="20"/>
                <w:szCs w:val="20"/>
              </w:rPr>
              <w:t xml:space="preserve"> 1 483 441 euro apmērā, 2022.gadā 1 647 759 euro apmērā un 2023.gadā 1 632 279 euro apmērā. Lūdzam attiecīgi precizēt informatīvā ziņojuma 10.tabulu. Papildus, atbilstoši Ministru kabineta sēdes protokollēmuma projekta 7.1.apakšpunktam, vispārējās valdības budžeta bilance 2019.gadā pasliktināsies par 31 440 euro. </w:t>
            </w:r>
          </w:p>
          <w:p w14:paraId="6113712A" w14:textId="77777777" w:rsidR="001F041A" w:rsidRPr="00845E2D" w:rsidRDefault="001F041A" w:rsidP="001F041A">
            <w:pPr>
              <w:ind w:firstLine="709"/>
              <w:jc w:val="both"/>
              <w:rPr>
                <w:sz w:val="20"/>
                <w:szCs w:val="20"/>
              </w:rPr>
            </w:pPr>
            <w:r w:rsidRPr="00845E2D">
              <w:rPr>
                <w:sz w:val="20"/>
                <w:szCs w:val="20"/>
              </w:rPr>
              <w:t xml:space="preserve">Informējam, ka valdība, sagatavojot likumprojektu “Par valsts budžetu 2019. gadam”, ir pilnībā izlietojusi atbilstoši nacionālā un Eiropas Savienības līmeņa fiskālo nosacījumu prasībām noteiktos pieejamos līdzekļus jeb “fiskālo telpu” valdības prioritāšu finansēšanai </w:t>
            </w:r>
            <w:proofErr w:type="gramStart"/>
            <w:r w:rsidRPr="00845E2D">
              <w:rPr>
                <w:sz w:val="20"/>
                <w:szCs w:val="20"/>
              </w:rPr>
              <w:t>2019.gadā</w:t>
            </w:r>
            <w:proofErr w:type="gramEnd"/>
            <w:r w:rsidRPr="00845E2D">
              <w:rPr>
                <w:sz w:val="20"/>
                <w:szCs w:val="20"/>
              </w:rPr>
              <w:t xml:space="preserve">. Savukārt, atbilstoši pašreizējām Finanšu ministrijas prognozēm 2020. un </w:t>
            </w:r>
            <w:proofErr w:type="gramStart"/>
            <w:r w:rsidRPr="00845E2D">
              <w:rPr>
                <w:sz w:val="20"/>
                <w:szCs w:val="20"/>
              </w:rPr>
              <w:t>2021.gadā</w:t>
            </w:r>
            <w:proofErr w:type="gramEnd"/>
            <w:r w:rsidRPr="00845E2D">
              <w:rPr>
                <w:sz w:val="20"/>
                <w:szCs w:val="20"/>
              </w:rPr>
              <w:t xml:space="preserve"> fiskālā telpa ir </w:t>
            </w:r>
            <w:r w:rsidRPr="00845E2D">
              <w:rPr>
                <w:sz w:val="20"/>
                <w:szCs w:val="20"/>
              </w:rPr>
              <w:lastRenderedPageBreak/>
              <w:t xml:space="preserve">negatīva, savukārt, 2022.gadā tā ir pieejama. Tādējādi par izdevumiem, kas saistīti ar luksoforu signālu kontroles ierīču iegādi un uzstādīšanu </w:t>
            </w:r>
            <w:proofErr w:type="gramStart"/>
            <w:r w:rsidRPr="00845E2D">
              <w:rPr>
                <w:sz w:val="20"/>
                <w:szCs w:val="20"/>
              </w:rPr>
              <w:t>2019.gadā</w:t>
            </w:r>
            <w:proofErr w:type="gramEnd"/>
            <w:r w:rsidRPr="00845E2D">
              <w:rPr>
                <w:sz w:val="20"/>
                <w:szCs w:val="20"/>
              </w:rPr>
              <w:t xml:space="preserve">, ir jāpiedāvā izdevumu neitralizējoši pasākumi. Vienlaikus jautājums par papildu fotoradaru un to “mulāžu” uzstādīšanu un darbības nodrošināšanu 2021. un 2022. gadā jāskata likumprojekta “Par valsts budžetu </w:t>
            </w:r>
            <w:proofErr w:type="gramStart"/>
            <w:r w:rsidRPr="00845E2D">
              <w:rPr>
                <w:sz w:val="20"/>
                <w:szCs w:val="20"/>
              </w:rPr>
              <w:t>2020.gadam</w:t>
            </w:r>
            <w:proofErr w:type="gramEnd"/>
            <w:r w:rsidRPr="00845E2D">
              <w:rPr>
                <w:sz w:val="20"/>
                <w:szCs w:val="20"/>
              </w:rPr>
              <w:t>” un likumprojekta “Par vidēja termiņa budžeta ietvaru 2020., 2021. un 2022.gadam” sagatavošanas procesā.</w:t>
            </w:r>
          </w:p>
          <w:p w14:paraId="74D8799F" w14:textId="6E41AAC1" w:rsidR="001F041A" w:rsidRDefault="001F041A" w:rsidP="001F041A">
            <w:pPr>
              <w:ind w:firstLine="709"/>
              <w:jc w:val="both"/>
              <w:rPr>
                <w:sz w:val="28"/>
                <w:szCs w:val="28"/>
              </w:rPr>
            </w:pPr>
            <w:r w:rsidRPr="00845E2D">
              <w:rPr>
                <w:sz w:val="20"/>
                <w:szCs w:val="20"/>
              </w:rPr>
              <w:t>Ņemot vērā iepriekš minēto, nevaram atbalstīt Iekšlietu ministrijas izvēlētā 2.modeļa ieviešanu un atkārtoti lūdzam svītrot Ministru kabineta sēdes protokollēmuma projekta 2.2., 2.4. apakšpunktu, 3. un 7.punktu. Tādējādi Finanšu ministrija uztur iepriekš izteikto iebildumu, kas ietverts izziņas par atzinumos sniegtajiem iebildumiem I sadaļas 1.punktā un II sadaļas 6.punktā</w:t>
            </w:r>
            <w:r>
              <w:rPr>
                <w:sz w:val="20"/>
                <w:szCs w:val="20"/>
              </w:rPr>
              <w:t>.</w:t>
            </w:r>
          </w:p>
          <w:p w14:paraId="4BD3F6D8" w14:textId="77777777" w:rsidR="001F041A" w:rsidRPr="00BD72F8" w:rsidRDefault="001F041A" w:rsidP="001F041A">
            <w:pPr>
              <w:jc w:val="center"/>
              <w:rPr>
                <w:b/>
                <w:sz w:val="20"/>
                <w:szCs w:val="20"/>
              </w:rPr>
            </w:pPr>
          </w:p>
        </w:tc>
        <w:tc>
          <w:tcPr>
            <w:tcW w:w="3402" w:type="dxa"/>
            <w:tcBorders>
              <w:top w:val="single" w:sz="4" w:space="0" w:color="auto"/>
              <w:left w:val="single" w:sz="4" w:space="0" w:color="auto"/>
              <w:right w:val="single" w:sz="4" w:space="0" w:color="auto"/>
            </w:tcBorders>
            <w:shd w:val="clear" w:color="auto" w:fill="auto"/>
          </w:tcPr>
          <w:p w14:paraId="396F5131"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lastRenderedPageBreak/>
              <w:t>Iebildums ņemts vērā.</w:t>
            </w:r>
          </w:p>
          <w:p w14:paraId="457BCCDF" w14:textId="77777777" w:rsidR="001F041A" w:rsidRDefault="001F041A" w:rsidP="001F041A">
            <w:pPr>
              <w:pStyle w:val="NormalWeb"/>
              <w:spacing w:before="0" w:beforeAutospacing="0" w:after="0" w:afterAutospacing="0"/>
              <w:ind w:firstLine="176"/>
              <w:jc w:val="center"/>
              <w:rPr>
                <w:rFonts w:ascii="Times New Roman" w:hAnsi="Times New Roman"/>
                <w:sz w:val="20"/>
                <w:szCs w:val="20"/>
              </w:rPr>
            </w:pPr>
          </w:p>
          <w:p w14:paraId="1DB19E54" w14:textId="2017BBD8" w:rsidR="001F041A" w:rsidRPr="000C567C" w:rsidRDefault="001F041A" w:rsidP="00AB0F89">
            <w:pPr>
              <w:pStyle w:val="NormalWeb"/>
              <w:spacing w:before="0" w:beforeAutospacing="0" w:after="0" w:afterAutospacing="0"/>
              <w:ind w:right="147" w:hanging="79"/>
              <w:jc w:val="center"/>
              <w:rPr>
                <w:rFonts w:ascii="Times New Roman" w:hAnsi="Times New Roman"/>
                <w:sz w:val="20"/>
                <w:szCs w:val="20"/>
              </w:rPr>
            </w:pPr>
            <w:r w:rsidRPr="000C567C">
              <w:rPr>
                <w:rFonts w:ascii="Times New Roman" w:hAnsi="Times New Roman"/>
                <w:sz w:val="20"/>
                <w:szCs w:val="20"/>
              </w:rPr>
              <w:t>Panākta vienošanās 02.05.2019. tikšanās ar Finanšu ministriju.</w:t>
            </w:r>
          </w:p>
        </w:tc>
        <w:tc>
          <w:tcPr>
            <w:tcW w:w="2410" w:type="dxa"/>
            <w:tcBorders>
              <w:top w:val="single" w:sz="4" w:space="0" w:color="auto"/>
              <w:left w:val="single" w:sz="4" w:space="0" w:color="auto"/>
              <w:right w:val="single" w:sz="4" w:space="0" w:color="auto"/>
            </w:tcBorders>
            <w:shd w:val="clear" w:color="auto" w:fill="auto"/>
          </w:tcPr>
          <w:p w14:paraId="55CD5167" w14:textId="0B8D989F" w:rsidR="001F041A" w:rsidRPr="004B7A38" w:rsidRDefault="001F041A" w:rsidP="001F041A">
            <w:pPr>
              <w:pStyle w:val="ListParagraph"/>
              <w:ind w:left="0"/>
              <w:jc w:val="both"/>
              <w:rPr>
                <w:rStyle w:val="spelle"/>
                <w:rFonts w:ascii="Times New Roman" w:hAnsi="Times New Roman" w:cs="Times New Roman"/>
                <w:sz w:val="20"/>
                <w:szCs w:val="20"/>
              </w:rPr>
            </w:pPr>
            <w:r w:rsidRPr="004B7A38">
              <w:rPr>
                <w:rStyle w:val="spelle"/>
                <w:rFonts w:ascii="Times New Roman" w:hAnsi="Times New Roman" w:cs="Times New Roman"/>
                <w:sz w:val="20"/>
                <w:szCs w:val="20"/>
              </w:rPr>
              <w:t>Papildināts protokoll</w:t>
            </w:r>
            <w:r>
              <w:rPr>
                <w:rStyle w:val="spelle"/>
                <w:rFonts w:ascii="Times New Roman" w:hAnsi="Times New Roman" w:cs="Times New Roman"/>
                <w:sz w:val="20"/>
                <w:szCs w:val="20"/>
              </w:rPr>
              <w:t>ēmums ar 13</w:t>
            </w:r>
            <w:r w:rsidRPr="004B7A38">
              <w:rPr>
                <w:rStyle w:val="spelle"/>
                <w:rFonts w:ascii="Times New Roman" w:hAnsi="Times New Roman" w:cs="Times New Roman"/>
                <w:sz w:val="20"/>
                <w:szCs w:val="20"/>
              </w:rPr>
              <w:t xml:space="preserve">.punktu šādā redakcijā: </w:t>
            </w:r>
          </w:p>
          <w:p w14:paraId="3F2BF0D9" w14:textId="479E7B2B" w:rsidR="00C22B24" w:rsidRPr="00C22B24" w:rsidRDefault="00C22B24" w:rsidP="00C22B24">
            <w:pPr>
              <w:jc w:val="both"/>
              <w:rPr>
                <w:rStyle w:val="spelle"/>
                <w:sz w:val="20"/>
                <w:szCs w:val="20"/>
              </w:rPr>
            </w:pPr>
            <w:r>
              <w:rPr>
                <w:rStyle w:val="spelle"/>
                <w:sz w:val="20"/>
                <w:szCs w:val="20"/>
              </w:rPr>
              <w:t>“</w:t>
            </w:r>
            <w:r w:rsidRPr="00C22B24">
              <w:rPr>
                <w:rStyle w:val="spelle"/>
                <w:sz w:val="20"/>
                <w:szCs w:val="20"/>
              </w:rPr>
              <w:t>13. Pieņemt zināšanai, ka protokollēmuma 2.2. un 2.3. apakšpunktā minēto pasākumu ieviešana, kā arī 2.4. apakšpunktā un 7. punktā piedāvātais izdevumu finansēšanas modelis rada fiskālo ietekmi uz vispārējās valdības budžeta bilanci 2019. gadā</w:t>
            </w:r>
            <w:proofErr w:type="gramStart"/>
            <w:r w:rsidRPr="00C22B24">
              <w:rPr>
                <w:rStyle w:val="spelle"/>
                <w:sz w:val="20"/>
                <w:szCs w:val="20"/>
              </w:rPr>
              <w:t xml:space="preserve">  </w:t>
            </w:r>
            <w:proofErr w:type="gramEnd"/>
            <w:r w:rsidRPr="00C22B24">
              <w:rPr>
                <w:rStyle w:val="spelle"/>
                <w:sz w:val="20"/>
                <w:szCs w:val="20"/>
              </w:rPr>
              <w:t xml:space="preserve">– 31 440 </w:t>
            </w:r>
            <w:r w:rsidRPr="00C22B24">
              <w:rPr>
                <w:rStyle w:val="spelle"/>
                <w:i/>
                <w:sz w:val="20"/>
                <w:szCs w:val="20"/>
              </w:rPr>
              <w:t>euro</w:t>
            </w:r>
            <w:r w:rsidRPr="00C22B24">
              <w:rPr>
                <w:rStyle w:val="spelle"/>
                <w:sz w:val="20"/>
                <w:szCs w:val="20"/>
              </w:rPr>
              <w:t xml:space="preserve"> apmērā (saskaņā ar Ministru kabineta 2014. gada 29. jūlija rīkojuma Nr.382 “Par Iekšlietu ministrijas ilgtermiņa saistībām ceļu satiksmes pārkāpumu fiksēšanas tehnisko līdzekļu (fotoradaru) darbības nodrošināšanai” 8. punktu nolietojuma uzkrājums ir viens no tehnisko līdzekļu (fotoradaru) iegādes finansēšanas avotiem), 2021. gadā – 1 483 441 </w:t>
            </w:r>
            <w:r w:rsidRPr="00C22B24">
              <w:rPr>
                <w:rStyle w:val="spelle"/>
                <w:i/>
                <w:sz w:val="20"/>
                <w:szCs w:val="20"/>
              </w:rPr>
              <w:t>euro</w:t>
            </w:r>
            <w:r w:rsidRPr="00C22B24">
              <w:rPr>
                <w:rStyle w:val="spelle"/>
                <w:sz w:val="20"/>
                <w:szCs w:val="20"/>
              </w:rPr>
              <w:t xml:space="preserve"> apmērā, 2022. gadā – 1 647 759 </w:t>
            </w:r>
            <w:r w:rsidRPr="00C22B24">
              <w:rPr>
                <w:rStyle w:val="spelle"/>
                <w:i/>
                <w:sz w:val="20"/>
                <w:szCs w:val="20"/>
              </w:rPr>
              <w:t>euro</w:t>
            </w:r>
            <w:r w:rsidRPr="00C22B24">
              <w:rPr>
                <w:rStyle w:val="spelle"/>
                <w:sz w:val="20"/>
                <w:szCs w:val="20"/>
              </w:rPr>
              <w:t xml:space="preserve"> apmērā, </w:t>
            </w:r>
            <w:r w:rsidRPr="00C22B24">
              <w:rPr>
                <w:rStyle w:val="spelle"/>
                <w:sz w:val="20"/>
                <w:szCs w:val="20"/>
              </w:rPr>
              <w:lastRenderedPageBreak/>
              <w:t xml:space="preserve">2023. gadā – 1 632 279 </w:t>
            </w:r>
            <w:r w:rsidRPr="00C22B24">
              <w:rPr>
                <w:rStyle w:val="spelle"/>
                <w:i/>
                <w:sz w:val="20"/>
                <w:szCs w:val="20"/>
              </w:rPr>
              <w:t>euro</w:t>
            </w:r>
            <w:r w:rsidRPr="00C22B24">
              <w:rPr>
                <w:rStyle w:val="spelle"/>
                <w:sz w:val="20"/>
                <w:szCs w:val="20"/>
              </w:rPr>
              <w:t xml:space="preserve"> apmērā, 2024. gadā + 337 784 </w:t>
            </w:r>
            <w:r w:rsidRPr="00C22B24">
              <w:rPr>
                <w:rStyle w:val="spelle"/>
                <w:i/>
                <w:sz w:val="20"/>
                <w:szCs w:val="20"/>
              </w:rPr>
              <w:t>euro</w:t>
            </w:r>
            <w:r w:rsidRPr="00C22B24">
              <w:rPr>
                <w:rStyle w:val="spelle"/>
                <w:sz w:val="20"/>
                <w:szCs w:val="20"/>
              </w:rPr>
              <w:t xml:space="preserve"> apmērā, 2025. gadā + 337 784 </w:t>
            </w:r>
            <w:r w:rsidRPr="00C22B24">
              <w:rPr>
                <w:rStyle w:val="spelle"/>
                <w:i/>
                <w:sz w:val="20"/>
                <w:szCs w:val="20"/>
              </w:rPr>
              <w:t>euro</w:t>
            </w:r>
            <w:r w:rsidRPr="00C22B24">
              <w:rPr>
                <w:rStyle w:val="spelle"/>
                <w:sz w:val="20"/>
                <w:szCs w:val="20"/>
              </w:rPr>
              <w:t xml:space="preserve"> apmērā.”.</w:t>
            </w:r>
          </w:p>
          <w:p w14:paraId="4213B889" w14:textId="77777777" w:rsidR="001F041A" w:rsidRPr="00DA1F00" w:rsidRDefault="001F041A" w:rsidP="00AB0F89">
            <w:pPr>
              <w:ind w:firstLine="284"/>
              <w:jc w:val="both"/>
              <w:rPr>
                <w:sz w:val="20"/>
                <w:szCs w:val="20"/>
              </w:rPr>
            </w:pPr>
          </w:p>
        </w:tc>
      </w:tr>
      <w:tr w:rsidR="001F041A" w:rsidRPr="00A26DDD" w14:paraId="60B1E1AF" w14:textId="77777777" w:rsidTr="00DB0375">
        <w:trPr>
          <w:trHeight w:val="419"/>
        </w:trPr>
        <w:tc>
          <w:tcPr>
            <w:tcW w:w="534" w:type="dxa"/>
            <w:tcBorders>
              <w:top w:val="single" w:sz="4" w:space="0" w:color="auto"/>
              <w:left w:val="single" w:sz="4" w:space="0" w:color="auto"/>
              <w:right w:val="single" w:sz="4" w:space="0" w:color="auto"/>
            </w:tcBorders>
            <w:shd w:val="clear" w:color="auto" w:fill="auto"/>
          </w:tcPr>
          <w:p w14:paraId="6D843520" w14:textId="30E997DC" w:rsidR="001F041A" w:rsidRDefault="00A04F54" w:rsidP="001F041A">
            <w:pPr>
              <w:jc w:val="center"/>
              <w:rPr>
                <w:sz w:val="22"/>
                <w:szCs w:val="22"/>
                <w:highlight w:val="green"/>
              </w:rPr>
            </w:pPr>
            <w:r>
              <w:rPr>
                <w:sz w:val="22"/>
                <w:szCs w:val="22"/>
              </w:rPr>
              <w:lastRenderedPageBreak/>
              <w:t>9</w:t>
            </w:r>
            <w:r w:rsidR="001F041A" w:rsidRPr="000C567C">
              <w:rPr>
                <w:sz w:val="22"/>
                <w:szCs w:val="22"/>
              </w:rPr>
              <w:t>.</w:t>
            </w:r>
          </w:p>
        </w:tc>
        <w:tc>
          <w:tcPr>
            <w:tcW w:w="2126" w:type="dxa"/>
            <w:tcBorders>
              <w:top w:val="single" w:sz="4" w:space="0" w:color="auto"/>
              <w:left w:val="single" w:sz="4" w:space="0" w:color="auto"/>
              <w:right w:val="single" w:sz="4" w:space="0" w:color="auto"/>
            </w:tcBorders>
            <w:shd w:val="clear" w:color="auto" w:fill="auto"/>
          </w:tcPr>
          <w:p w14:paraId="03F6F36E" w14:textId="77777777" w:rsidR="001F041A" w:rsidRPr="00DA1F00" w:rsidRDefault="001F041A" w:rsidP="001F041A">
            <w:pPr>
              <w:jc w:val="both"/>
              <w:rPr>
                <w:sz w:val="20"/>
                <w:szCs w:val="20"/>
              </w:rPr>
            </w:pPr>
          </w:p>
        </w:tc>
        <w:tc>
          <w:tcPr>
            <w:tcW w:w="6662" w:type="dxa"/>
            <w:tcBorders>
              <w:top w:val="single" w:sz="4" w:space="0" w:color="auto"/>
              <w:left w:val="single" w:sz="4" w:space="0" w:color="auto"/>
              <w:right w:val="single" w:sz="4" w:space="0" w:color="auto"/>
            </w:tcBorders>
            <w:shd w:val="clear" w:color="auto" w:fill="auto"/>
          </w:tcPr>
          <w:p w14:paraId="4845F762" w14:textId="77777777" w:rsidR="001F041A" w:rsidRPr="00BD72F8" w:rsidRDefault="001F041A" w:rsidP="001F041A">
            <w:pPr>
              <w:jc w:val="center"/>
              <w:rPr>
                <w:b/>
                <w:sz w:val="20"/>
                <w:szCs w:val="20"/>
              </w:rPr>
            </w:pPr>
            <w:r w:rsidRPr="00BD72F8">
              <w:rPr>
                <w:b/>
                <w:sz w:val="20"/>
                <w:szCs w:val="20"/>
              </w:rPr>
              <w:t>Finanšu ministrija</w:t>
            </w:r>
          </w:p>
          <w:p w14:paraId="6156BB70" w14:textId="3C76156D" w:rsidR="001F041A" w:rsidRDefault="001F041A" w:rsidP="001F041A">
            <w:pPr>
              <w:jc w:val="both"/>
              <w:rPr>
                <w:sz w:val="20"/>
                <w:szCs w:val="20"/>
              </w:rPr>
            </w:pPr>
            <w:r>
              <w:rPr>
                <w:sz w:val="20"/>
                <w:szCs w:val="20"/>
              </w:rPr>
              <w:t xml:space="preserve">                       </w:t>
            </w:r>
            <w:r w:rsidRPr="00BD72F8">
              <w:rPr>
                <w:sz w:val="20"/>
                <w:szCs w:val="20"/>
              </w:rPr>
              <w:t>(</w:t>
            </w:r>
            <w:r w:rsidRPr="00DB0375">
              <w:rPr>
                <w:sz w:val="20"/>
                <w:szCs w:val="20"/>
              </w:rPr>
              <w:t>30.04.2019. atzinums Nr. 10.1-6/7-1/428</w:t>
            </w:r>
            <w:r w:rsidRPr="00BD72F8">
              <w:rPr>
                <w:sz w:val="20"/>
                <w:szCs w:val="20"/>
              </w:rPr>
              <w:t>)</w:t>
            </w:r>
          </w:p>
          <w:p w14:paraId="232BEBFD" w14:textId="77777777" w:rsidR="001F041A" w:rsidRPr="00CD76FA" w:rsidRDefault="001F041A" w:rsidP="001F041A">
            <w:pPr>
              <w:ind w:firstLine="720"/>
              <w:jc w:val="both"/>
              <w:rPr>
                <w:sz w:val="20"/>
                <w:szCs w:val="20"/>
              </w:rPr>
            </w:pPr>
            <w:r w:rsidRPr="00CD76FA">
              <w:rPr>
                <w:sz w:val="20"/>
                <w:szCs w:val="20"/>
              </w:rPr>
              <w:t>Atbilstoši informatīvā ziņojuma 1.A modelī un 1.B modelī norādītajam par valsts akciju sabiedrībai "Ceļu satiksmes drošības direkcija" piešķirtajiem valsts budžeta līdzekļiem iegādātie fotoradari ir valsts īpašums, kas paredzēts valsts pārvaldes deleģēta uzdevuma izpildei; naudas līdzekļi, kas iegūti, pārdodot izsolē vai</w:t>
            </w:r>
            <w:proofErr w:type="gramStart"/>
            <w:r w:rsidRPr="00CD76FA">
              <w:rPr>
                <w:sz w:val="20"/>
                <w:szCs w:val="20"/>
              </w:rPr>
              <w:t xml:space="preserve"> utilizējot fotoradarus pēc to darbības beigām</w:t>
            </w:r>
            <w:proofErr w:type="gramEnd"/>
            <w:r w:rsidRPr="00CD76FA">
              <w:rPr>
                <w:sz w:val="20"/>
                <w:szCs w:val="20"/>
              </w:rPr>
              <w:t>, ieskaitāmi valsts pamatbudžeta nenodokļu ieņēmumos. Pie minētajiem modeļiem norādīts, ka nepieciešami grozījumi valsts kustamās mantas atsavināšanu regulējošos normatīvajos aktos, nosakot, ja valsts kapitālsabiedrība realizē kustamo mantu, ko tā valsts pārvaldes deleģēta uzdevuma ietvaros iegādājusies par šim mērķim piešķirtajiem valsts budžeta līdzekļiem, ieņēmumi ieskaitāmi valsts pamatbudžetā. Vēršam uzmanību, ka atbilstoši Publiskas personas mantas atsavināšanas likuma 2.pantam likums nosaka publiskas personas mantas, kā arī publiskas personas mantas, kas nodota iestādes vai kapitālsabiedrības valdījumā vai turējumā, atsavināšanas kārtību, savukārt atbilstoši minētā likuma 47.pantam publiskas personas mantas atsavināšanā iegūtos līdzekļus pēc atsavināšanas izdevumu segšanas ieskaita attiecīgās publiskās personas budžetā. Ņemot vērā minēto, informatīvā ziņojuma 1.A modelī un 1.B modelī norādītie grozījumi normatīvajos aktos nav nepieciešami, līdz ar to lūdzam atbilstoši precizēt informatīvo ziņojumu.</w:t>
            </w:r>
          </w:p>
          <w:p w14:paraId="67091496" w14:textId="77777777" w:rsidR="001F041A" w:rsidRPr="00CD76FA" w:rsidRDefault="001F041A" w:rsidP="001F041A">
            <w:pPr>
              <w:ind w:firstLine="720"/>
              <w:jc w:val="both"/>
              <w:rPr>
                <w:sz w:val="20"/>
                <w:szCs w:val="20"/>
              </w:rPr>
            </w:pPr>
            <w:r w:rsidRPr="00CD76FA">
              <w:rPr>
                <w:sz w:val="20"/>
                <w:szCs w:val="20"/>
              </w:rPr>
              <w:t xml:space="preserve">Atbilstoši informatīvā ziņojuma 2.modelī un 3.modelī norādītajam nepieciešams pilnveidot esošo normatīvo regulējumu valsts pārvaldes uzdevuma deleģēšanas jomā, ņemot vērā praktisko pieredzi, kā arī nepieciešami grozījumi valsts kustamās mantas atsavināšanu regulējošos normatīvajos aktos, nosakot, ja valsts kapitālsabiedrība realizē kustamo mantu, ko tā valsts pārvaldes deleģēta uzdevuma ietvaros iegādājusies par šim mērķim piešķirtajām valstij </w:t>
            </w:r>
            <w:r w:rsidRPr="00CD76FA">
              <w:rPr>
                <w:sz w:val="20"/>
                <w:szCs w:val="20"/>
              </w:rPr>
              <w:lastRenderedPageBreak/>
              <w:t>izmaksājamām dividendēm, ieņēmumi ieskaitāmi valsts pamatbudžetā. Ņemot vērā, ka Publiskas personas mantas atsavināšanas likums regulē publiskas personas mantas, kā arī publiskas personas mantas, kas nodota iestādes vai kapitālsabiedrības valdījumā vai turējumā, atsavināšanas kārtību, ir jāizvērtē valsts kapitālsabiedrības iegādātās mantas īpašuma tiesību jautājums, t.sk. izvērtējot, kurā normatīvajā aktā būtu nepieciešami minētie grozījumi.  </w:t>
            </w:r>
          </w:p>
          <w:p w14:paraId="33E57E88" w14:textId="77777777" w:rsidR="001F041A" w:rsidRPr="00BD72F8" w:rsidRDefault="001F041A" w:rsidP="001F041A">
            <w:pPr>
              <w:jc w:val="center"/>
              <w:rPr>
                <w:b/>
                <w:sz w:val="20"/>
                <w:szCs w:val="20"/>
              </w:rPr>
            </w:pPr>
          </w:p>
        </w:tc>
        <w:tc>
          <w:tcPr>
            <w:tcW w:w="3402" w:type="dxa"/>
            <w:tcBorders>
              <w:top w:val="single" w:sz="4" w:space="0" w:color="auto"/>
              <w:left w:val="single" w:sz="4" w:space="0" w:color="auto"/>
              <w:right w:val="single" w:sz="4" w:space="0" w:color="auto"/>
            </w:tcBorders>
            <w:shd w:val="clear" w:color="auto" w:fill="auto"/>
          </w:tcPr>
          <w:p w14:paraId="7E8A97E5"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lastRenderedPageBreak/>
              <w:t>Iebildums ņemts vērā.</w:t>
            </w:r>
          </w:p>
          <w:p w14:paraId="0633EA65"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p>
        </w:tc>
        <w:tc>
          <w:tcPr>
            <w:tcW w:w="2410" w:type="dxa"/>
            <w:tcBorders>
              <w:top w:val="single" w:sz="4" w:space="0" w:color="auto"/>
              <w:left w:val="single" w:sz="4" w:space="0" w:color="auto"/>
              <w:right w:val="single" w:sz="4" w:space="0" w:color="auto"/>
            </w:tcBorders>
            <w:shd w:val="clear" w:color="auto" w:fill="auto"/>
          </w:tcPr>
          <w:p w14:paraId="10B3E702" w14:textId="16B3EDDE" w:rsidR="001F041A" w:rsidRPr="00DA1F00" w:rsidRDefault="001F041A" w:rsidP="001F041A">
            <w:pPr>
              <w:ind w:firstLine="709"/>
              <w:jc w:val="both"/>
              <w:rPr>
                <w:sz w:val="20"/>
                <w:szCs w:val="20"/>
              </w:rPr>
            </w:pPr>
            <w:r>
              <w:rPr>
                <w:sz w:val="20"/>
                <w:szCs w:val="20"/>
              </w:rPr>
              <w:t>Precizēts informatīvais ziņojums, svītrojot 3.2. sadaļā 1.A modelim un 1.B modelim attiecīgos priekšlikumus par nepieciešamību veikt grozījumus valsts kustamās mantas atsavināšanu regulējošos normatīvajos aktos.</w:t>
            </w:r>
          </w:p>
        </w:tc>
      </w:tr>
      <w:tr w:rsidR="001F041A" w:rsidRPr="00A26DDD" w14:paraId="245EE6BE" w14:textId="77777777" w:rsidTr="006E668A">
        <w:tc>
          <w:tcPr>
            <w:tcW w:w="534" w:type="dxa"/>
            <w:tcBorders>
              <w:top w:val="single" w:sz="4" w:space="0" w:color="auto"/>
              <w:left w:val="single" w:sz="4" w:space="0" w:color="auto"/>
              <w:right w:val="single" w:sz="4" w:space="0" w:color="auto"/>
            </w:tcBorders>
            <w:shd w:val="clear" w:color="auto" w:fill="auto"/>
          </w:tcPr>
          <w:p w14:paraId="1EA7C3DD" w14:textId="77777777" w:rsidR="001F041A" w:rsidRDefault="001F041A" w:rsidP="001F041A">
            <w:pPr>
              <w:jc w:val="center"/>
              <w:rPr>
                <w:sz w:val="22"/>
                <w:szCs w:val="22"/>
                <w:highlight w:val="green"/>
              </w:rPr>
            </w:pPr>
          </w:p>
          <w:p w14:paraId="2511A850" w14:textId="49E606F9" w:rsidR="001F041A" w:rsidRPr="00844AE7" w:rsidRDefault="00A04F54" w:rsidP="001F041A">
            <w:pPr>
              <w:jc w:val="center"/>
              <w:rPr>
                <w:sz w:val="22"/>
                <w:szCs w:val="22"/>
              </w:rPr>
            </w:pPr>
            <w:r>
              <w:rPr>
                <w:sz w:val="22"/>
                <w:szCs w:val="22"/>
              </w:rPr>
              <w:t>10</w:t>
            </w:r>
            <w:r w:rsidR="001F041A" w:rsidRPr="00DE7D9E">
              <w:rPr>
                <w:sz w:val="22"/>
                <w:szCs w:val="22"/>
              </w:rPr>
              <w:t>.</w:t>
            </w:r>
            <w:r w:rsidR="001F041A">
              <w:rPr>
                <w:sz w:val="22"/>
                <w:szCs w:val="22"/>
              </w:rPr>
              <w:t xml:space="preserve"> </w:t>
            </w:r>
          </w:p>
        </w:tc>
        <w:tc>
          <w:tcPr>
            <w:tcW w:w="2126" w:type="dxa"/>
            <w:tcBorders>
              <w:top w:val="single" w:sz="4" w:space="0" w:color="auto"/>
              <w:left w:val="single" w:sz="4" w:space="0" w:color="auto"/>
              <w:right w:val="single" w:sz="4" w:space="0" w:color="auto"/>
            </w:tcBorders>
            <w:shd w:val="clear" w:color="auto" w:fill="auto"/>
          </w:tcPr>
          <w:p w14:paraId="3172D34A" w14:textId="77777777" w:rsidR="001F041A" w:rsidRDefault="001F041A" w:rsidP="001F041A">
            <w:pPr>
              <w:jc w:val="both"/>
              <w:rPr>
                <w:sz w:val="20"/>
                <w:szCs w:val="20"/>
              </w:rPr>
            </w:pPr>
            <w:r>
              <w:rPr>
                <w:sz w:val="20"/>
                <w:szCs w:val="20"/>
              </w:rPr>
              <w:t xml:space="preserve">√ </w:t>
            </w:r>
            <w:r w:rsidRPr="00F506D3">
              <w:rPr>
                <w:sz w:val="20"/>
                <w:szCs w:val="20"/>
              </w:rPr>
              <w:t>Informatīvā</w:t>
            </w:r>
            <w:r>
              <w:rPr>
                <w:sz w:val="20"/>
                <w:szCs w:val="20"/>
              </w:rPr>
              <w:t xml:space="preserve"> </w:t>
            </w:r>
            <w:r w:rsidRPr="00F506D3">
              <w:rPr>
                <w:sz w:val="20"/>
                <w:szCs w:val="20"/>
              </w:rPr>
              <w:t xml:space="preserve"> ziņojuma 3.1.sadaļa</w:t>
            </w:r>
            <w:r>
              <w:rPr>
                <w:sz w:val="20"/>
                <w:szCs w:val="20"/>
              </w:rPr>
              <w:t xml:space="preserve"> un </w:t>
            </w:r>
            <w:r w:rsidRPr="00F506D3">
              <w:rPr>
                <w:sz w:val="20"/>
                <w:szCs w:val="20"/>
              </w:rPr>
              <w:t>3.pielikum</w:t>
            </w:r>
            <w:r>
              <w:rPr>
                <w:sz w:val="20"/>
                <w:szCs w:val="20"/>
              </w:rPr>
              <w:t>a</w:t>
            </w:r>
            <w:r w:rsidRPr="000829B7">
              <w:t xml:space="preserve"> </w:t>
            </w:r>
            <w:r w:rsidRPr="00F506D3">
              <w:rPr>
                <w:sz w:val="20"/>
                <w:szCs w:val="20"/>
              </w:rPr>
              <w:t>4.atsauce</w:t>
            </w:r>
          </w:p>
          <w:p w14:paraId="1D2089A3" w14:textId="77777777" w:rsidR="001F041A" w:rsidRPr="00844AE7" w:rsidRDefault="001F041A" w:rsidP="001F041A">
            <w:pPr>
              <w:jc w:val="both"/>
            </w:pPr>
            <w:r>
              <w:rPr>
                <w:sz w:val="20"/>
                <w:szCs w:val="20"/>
              </w:rPr>
              <w:t xml:space="preserve">√ </w:t>
            </w:r>
            <w:r w:rsidRPr="00725DEF">
              <w:rPr>
                <w:sz w:val="20"/>
                <w:szCs w:val="20"/>
              </w:rPr>
              <w:t>Informatīvā ziņojuma 3. un 4.pielikuma</w:t>
            </w:r>
            <w:r w:rsidRPr="00725DEF">
              <w:rPr>
                <w:b/>
                <w:bCs/>
                <w:sz w:val="20"/>
                <w:szCs w:val="20"/>
              </w:rPr>
              <w:t xml:space="preserve"> </w:t>
            </w:r>
            <w:r w:rsidRPr="00725DEF">
              <w:rPr>
                <w:sz w:val="20"/>
                <w:szCs w:val="20"/>
              </w:rPr>
              <w:t>1.1., 1.2., 3.tabula</w:t>
            </w:r>
          </w:p>
        </w:tc>
        <w:tc>
          <w:tcPr>
            <w:tcW w:w="6662" w:type="dxa"/>
            <w:tcBorders>
              <w:top w:val="single" w:sz="4" w:space="0" w:color="auto"/>
              <w:left w:val="single" w:sz="4" w:space="0" w:color="auto"/>
              <w:right w:val="single" w:sz="4" w:space="0" w:color="auto"/>
            </w:tcBorders>
            <w:shd w:val="clear" w:color="auto" w:fill="auto"/>
          </w:tcPr>
          <w:p w14:paraId="044CFE32" w14:textId="77777777" w:rsidR="001F041A" w:rsidRPr="00A04F54" w:rsidRDefault="001F041A" w:rsidP="001F041A">
            <w:pPr>
              <w:jc w:val="center"/>
              <w:rPr>
                <w:b/>
                <w:sz w:val="20"/>
                <w:szCs w:val="20"/>
              </w:rPr>
            </w:pPr>
            <w:r w:rsidRPr="00A04F54">
              <w:rPr>
                <w:b/>
                <w:sz w:val="20"/>
                <w:szCs w:val="20"/>
              </w:rPr>
              <w:t>Finanšu ministrija</w:t>
            </w:r>
          </w:p>
          <w:p w14:paraId="18C07EB0" w14:textId="77777777" w:rsidR="001F041A" w:rsidRPr="00A04F54" w:rsidRDefault="001F041A" w:rsidP="001F041A">
            <w:pPr>
              <w:pStyle w:val="NormalWeb"/>
              <w:spacing w:before="0" w:beforeAutospacing="0" w:after="0" w:afterAutospacing="0"/>
              <w:jc w:val="center"/>
              <w:rPr>
                <w:rFonts w:ascii="Times New Roman" w:hAnsi="Times New Roman"/>
                <w:sz w:val="20"/>
                <w:szCs w:val="20"/>
              </w:rPr>
            </w:pPr>
            <w:r w:rsidRPr="00A04F54">
              <w:rPr>
                <w:rFonts w:ascii="Times New Roman" w:hAnsi="Times New Roman"/>
                <w:sz w:val="20"/>
                <w:szCs w:val="20"/>
              </w:rPr>
              <w:t>(12.02.2019. atzinums Nr.12/A-7/742)</w:t>
            </w:r>
          </w:p>
          <w:p w14:paraId="2BC8D418" w14:textId="77777777" w:rsidR="001F041A" w:rsidRPr="00A04F54" w:rsidRDefault="001F041A" w:rsidP="001F041A">
            <w:pPr>
              <w:jc w:val="both"/>
              <w:rPr>
                <w:sz w:val="20"/>
                <w:szCs w:val="20"/>
              </w:rPr>
            </w:pPr>
            <w:r w:rsidRPr="00A04F54">
              <w:rPr>
                <w:sz w:val="20"/>
                <w:szCs w:val="20"/>
              </w:rPr>
              <w:t>Informatīvā ziņojuma 3.1.apakšsadaļā “</w:t>
            </w:r>
            <w:r w:rsidRPr="00A04F54">
              <w:rPr>
                <w:i/>
                <w:sz w:val="20"/>
                <w:szCs w:val="20"/>
              </w:rPr>
              <w:t>Pašreizējās situācijas raksturojums, identifikācijas problēmas un risinājumi</w:t>
            </w:r>
            <w:r w:rsidRPr="00A04F54">
              <w:rPr>
                <w:sz w:val="20"/>
                <w:szCs w:val="20"/>
              </w:rPr>
              <w:t xml:space="preserve">” (22.lpp.) norādīts, ka izmaksās tiek iekļauta tā </w:t>
            </w:r>
            <w:r w:rsidRPr="00A04F54">
              <w:rPr>
                <w:b/>
                <w:sz w:val="20"/>
                <w:szCs w:val="20"/>
              </w:rPr>
              <w:t>pievienotās vērtības nodokļa</w:t>
            </w:r>
            <w:r w:rsidRPr="00A04F54">
              <w:rPr>
                <w:sz w:val="20"/>
                <w:szCs w:val="20"/>
              </w:rPr>
              <w:t xml:space="preserve"> (turpmāk – PVN) daļa, kas netiek atgūta, un,  ka valsts akciju sabiedrībai "Ceļu satiksmes drošības direkcija" (turpmāk – CSDD) ir tiesības aprēķināt atskaitāmo priekšnodokli, izmantojot proporciju par precēm un pakalpojumiem, kas saistīti ne tikai ar deleģēto valsts pārvaldes uzdevumu izpildi, ja nav iespējams nodrošināt atsevišķu šo preču un pakalpojumu uzskaiti.</w:t>
            </w:r>
          </w:p>
          <w:p w14:paraId="527D725C" w14:textId="77777777" w:rsidR="001F041A" w:rsidRPr="00A04F54" w:rsidRDefault="001F041A" w:rsidP="001F041A">
            <w:pPr>
              <w:ind w:firstLine="720"/>
              <w:jc w:val="both"/>
              <w:rPr>
                <w:sz w:val="20"/>
                <w:szCs w:val="20"/>
              </w:rPr>
            </w:pPr>
            <w:r w:rsidRPr="00A04F54">
              <w:rPr>
                <w:sz w:val="20"/>
                <w:szCs w:val="20"/>
              </w:rPr>
              <w:t>Pievienotās vērtības nodokļa</w:t>
            </w:r>
            <w:r w:rsidRPr="00A04F54">
              <w:rPr>
                <w:b/>
                <w:sz w:val="20"/>
                <w:szCs w:val="20"/>
              </w:rPr>
              <w:t xml:space="preserve"> </w:t>
            </w:r>
            <w:r w:rsidRPr="00A04F54">
              <w:rPr>
                <w:sz w:val="20"/>
                <w:szCs w:val="20"/>
              </w:rPr>
              <w:t>likuma 98.panta pirmā daļa nosaka, ka reģistrēts PVN maksātājs priekšnodokļa atskaitīšanas vajadzībām nodrošina atsevišķu to preču un pakalpojumu uzskaiti, kas izmantoti tikai tādu darījumu nodrošināšanai, kas dod tiesības atskaitīt priekšnodokli, vai tikai tādu darījumu nodrošināšanai, kas nedod tiesības atskaitīt priekšnodokli.</w:t>
            </w:r>
          </w:p>
          <w:p w14:paraId="319924DD" w14:textId="77777777" w:rsidR="001F041A" w:rsidRPr="006F03C9" w:rsidRDefault="001F041A" w:rsidP="001F041A">
            <w:pPr>
              <w:ind w:firstLine="720"/>
              <w:jc w:val="both"/>
              <w:rPr>
                <w:sz w:val="20"/>
                <w:szCs w:val="20"/>
              </w:rPr>
            </w:pPr>
            <w:r w:rsidRPr="006F03C9">
              <w:rPr>
                <w:sz w:val="20"/>
                <w:szCs w:val="20"/>
              </w:rPr>
              <w:t>Ja iegādātās preces un saņemtos pakalpojumus izmanto gan tādu darījumu nodrošināšanai, kas dod tiesības atskaitīt priekšnodokli, gan tādu darījumu nodrošināšanai, kas nedod tiesības atskaitīt priekšnodokli, un nav iespējams nodrošināt to atsevišķu uzskaiti saskaņā ar šā panta pirmajā daļā noteikto kārtību, jo tālākas detalizētas izmaksu attiecināšanas nodrošināšanai reģistrēta PVN maksātāja resursu izlietojums būtu nesamērīgs, tad reģistrēts PVN maksātājs taksācijas periodā atskaitāmā priekšnodokļa summu aprēķina, izmantojot likumā noteikto proporciju (Pievienotās vērtības nodokļa likuma 98.panta otrā daļa). Priekšnodoklis ir atskaitāms tikai tad, ja preces iegādātas un pakalpojumi saņemti ar PVN apliekamu darījumu nodrošināšanai vai tādu citās valstīs veiktu darījumu nodrošināšanai, kuri būtu apliekami ar PVN, ja tie tiktu veikti iekšzemē. Pēc vispārēja principa valsts pārvaldes deleģēto uzdevumu izpilde, par to saņemot dotācijas, nav saistāma ar PVN apliekamu darījumu nodrošināšanu, un tas ir ņemams vērā arī aprēķinot priekšnodokli, kā arī aprēķinot sniedzamā valsts pārvaldes deleģētā uzdevumu izmaksas.</w:t>
            </w:r>
          </w:p>
          <w:p w14:paraId="5B280C46" w14:textId="77777777" w:rsidR="001F041A" w:rsidRPr="006F03C9" w:rsidRDefault="001F041A" w:rsidP="001F041A">
            <w:pPr>
              <w:ind w:firstLine="720"/>
              <w:jc w:val="both"/>
              <w:rPr>
                <w:sz w:val="20"/>
                <w:szCs w:val="20"/>
              </w:rPr>
            </w:pPr>
            <w:r w:rsidRPr="006F03C9">
              <w:rPr>
                <w:sz w:val="20"/>
                <w:szCs w:val="20"/>
              </w:rPr>
              <w:t xml:space="preserve">Ņemot vērā, to ka informatīvajā ziņojumā tiek vērtēts finansēšanas 2.modelis, kas paredz finansēt no valstij izmaksājamām CSDD dividendēm, kas netiek ieskaitītas valsts pamatbudžeta ieņēmumos, </w:t>
            </w:r>
            <w:r w:rsidRPr="00BD72F8">
              <w:rPr>
                <w:b/>
                <w:sz w:val="20"/>
                <w:szCs w:val="20"/>
              </w:rPr>
              <w:t xml:space="preserve">lūdzu papildināt </w:t>
            </w:r>
            <w:r w:rsidRPr="00BD72F8">
              <w:rPr>
                <w:b/>
                <w:sz w:val="20"/>
                <w:szCs w:val="20"/>
              </w:rPr>
              <w:lastRenderedPageBreak/>
              <w:t>informatīvo ziņojumu ar skaidrojumu, kā veidojas proporcija atskaitāmā priekšnodokļa daļas aprēķināšana</w:t>
            </w:r>
            <w:r w:rsidRPr="00BD72F8">
              <w:rPr>
                <w:sz w:val="20"/>
                <w:szCs w:val="20"/>
              </w:rPr>
              <w:t>i</w:t>
            </w:r>
            <w:r w:rsidRPr="006F03C9">
              <w:rPr>
                <w:sz w:val="20"/>
                <w:szCs w:val="20"/>
              </w:rPr>
              <w:t xml:space="preserve"> (ņemot vērā to, ka nav iespējams nodalīt preču un pakalpojumu atsevišķu uzskaiti), un precīzi noteikt neatskaitāmo PVN daļu. </w:t>
            </w:r>
          </w:p>
          <w:p w14:paraId="2A6BB90A" w14:textId="77777777" w:rsidR="001F041A" w:rsidRPr="00BD72F8" w:rsidRDefault="001F041A" w:rsidP="001F041A">
            <w:pPr>
              <w:jc w:val="both"/>
              <w:rPr>
                <w:sz w:val="20"/>
                <w:szCs w:val="20"/>
              </w:rPr>
            </w:pPr>
            <w:r w:rsidRPr="00BD72F8">
              <w:rPr>
                <w:sz w:val="20"/>
                <w:szCs w:val="20"/>
              </w:rPr>
              <w:t>Informatīvā ziņojuma 3. un 4.pielikuma</w:t>
            </w:r>
            <w:r w:rsidRPr="00BD72F8">
              <w:rPr>
                <w:b/>
                <w:bCs/>
                <w:sz w:val="20"/>
                <w:szCs w:val="20"/>
              </w:rPr>
              <w:t xml:space="preserve"> </w:t>
            </w:r>
            <w:r w:rsidRPr="00BD72F8">
              <w:rPr>
                <w:sz w:val="20"/>
                <w:szCs w:val="20"/>
              </w:rPr>
              <w:t>1.1., 1.2., 3.tabulas 1.1.8.rindā norādīta “Neatgūstamā PVN daļa”, kurai tiek piemērots koeficients 0,16. Turklāt neatgūstamās PVN daļas aprēķinā ir iekļauti autotransporta noma, datoru iegāde un atjaunošana, kā arī degvielas izmaksas, kas ir saistītas ar fotoradaru apsekošanu.</w:t>
            </w:r>
          </w:p>
          <w:p w14:paraId="24FB4325" w14:textId="77777777" w:rsidR="001F041A" w:rsidRDefault="001F041A" w:rsidP="001F041A">
            <w:pPr>
              <w:jc w:val="both"/>
              <w:rPr>
                <w:sz w:val="20"/>
                <w:szCs w:val="20"/>
              </w:rPr>
            </w:pPr>
            <w:r w:rsidRPr="00BD72F8">
              <w:rPr>
                <w:sz w:val="20"/>
                <w:szCs w:val="20"/>
              </w:rPr>
              <w:t xml:space="preserve">Finanšu ministrijas ieskatā šie izdevumi (t.sk. aprēķinātā PVN summa) ir nodalāmi no pārējiem izdevumiem un ir saistīti tikai ar deleģēto valsts pārvaldes uzdevuma izpildi. Līdz ar to tie ir nošķirami no citām minētajā rindā aprēķinā iekļautām izmaksām (t.i., informatīvo sistēmu uzturēšanas un datu pārraide (1.1.5.rinda) un ēku remonta, uzturēšanas un komunāliem pakalpojumi (1.1.6.rinda)), par kurām PVN ir atskaitāms, piemērojot proporciju atskaitāmā PVN daļai. Savukārt izdevumi par autotransporta nomu, datoru iegādi un atjaunošanu, degvielas izmaksas, kuras ir saistītas ar fotoradaru apsekošanu, ir atspoguļojami atsevišķā uzskaitē.  Finanšu ministrijas ieskatā ir jābūt nepārprotami skaidram, kādas summas veido izmaksas, vai izmaksās ir arī PVN summa un kādēļ tiek pieņemts, ka 16% ir neatgūstamā PVN daļa. Līdz ar to </w:t>
            </w:r>
            <w:r w:rsidRPr="00694E3D">
              <w:rPr>
                <w:b/>
                <w:sz w:val="20"/>
                <w:szCs w:val="20"/>
              </w:rPr>
              <w:t>lūdzam izvērtēt, kāda informācija par PVN piemērošanu ir norādāma minētajos pielikumos sniegtajā izdevumu aprēķinā, un nepieciešamības gadījumā precizēt informatīvajā ziņojuma pielikumos norādītos aprēķinus.</w:t>
            </w:r>
            <w:r w:rsidRPr="00BD72F8">
              <w:rPr>
                <w:sz w:val="20"/>
                <w:szCs w:val="20"/>
              </w:rPr>
              <w:t xml:space="preserve"> </w:t>
            </w:r>
          </w:p>
          <w:p w14:paraId="01A685C9" w14:textId="77777777" w:rsidR="001F041A" w:rsidRPr="006F03C9" w:rsidRDefault="001F041A" w:rsidP="001F041A">
            <w:pPr>
              <w:jc w:val="both"/>
              <w:rPr>
                <w:b/>
                <w:sz w:val="20"/>
                <w:szCs w:val="20"/>
              </w:rPr>
            </w:pPr>
          </w:p>
        </w:tc>
        <w:tc>
          <w:tcPr>
            <w:tcW w:w="3402" w:type="dxa"/>
            <w:tcBorders>
              <w:top w:val="single" w:sz="4" w:space="0" w:color="auto"/>
              <w:left w:val="single" w:sz="4" w:space="0" w:color="auto"/>
              <w:right w:val="single" w:sz="4" w:space="0" w:color="auto"/>
            </w:tcBorders>
            <w:shd w:val="clear" w:color="auto" w:fill="auto"/>
          </w:tcPr>
          <w:p w14:paraId="6C6718A1"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4A28C390"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18E3400F"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t>Iebildums ņemts vērā.</w:t>
            </w:r>
          </w:p>
          <w:p w14:paraId="611D43A2"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p>
          <w:p w14:paraId="3AB882EE" w14:textId="5773F085" w:rsidR="001F041A" w:rsidRPr="00753E41" w:rsidRDefault="001F041A" w:rsidP="001F041A">
            <w:pPr>
              <w:jc w:val="both"/>
              <w:rPr>
                <w:b/>
                <w:sz w:val="20"/>
                <w:szCs w:val="20"/>
              </w:rPr>
            </w:pPr>
          </w:p>
          <w:p w14:paraId="5383BF93"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00593F73" w14:textId="77777777" w:rsidR="001F041A" w:rsidRPr="00753E41" w:rsidRDefault="001F041A" w:rsidP="001F041A">
            <w:pPr>
              <w:pStyle w:val="NormalWeb"/>
              <w:spacing w:before="0" w:after="120"/>
              <w:ind w:firstLine="720"/>
              <w:jc w:val="both"/>
              <w:rPr>
                <w:rFonts w:ascii="Times New Roman" w:hAnsi="Times New Roman"/>
                <w:b/>
                <w:sz w:val="20"/>
                <w:szCs w:val="20"/>
              </w:rPr>
            </w:pPr>
          </w:p>
        </w:tc>
        <w:tc>
          <w:tcPr>
            <w:tcW w:w="2410" w:type="dxa"/>
            <w:tcBorders>
              <w:top w:val="single" w:sz="4" w:space="0" w:color="auto"/>
              <w:left w:val="single" w:sz="4" w:space="0" w:color="auto"/>
              <w:right w:val="single" w:sz="4" w:space="0" w:color="auto"/>
            </w:tcBorders>
            <w:shd w:val="clear" w:color="auto" w:fill="auto"/>
          </w:tcPr>
          <w:p w14:paraId="7AE3D878" w14:textId="77777777" w:rsidR="001F041A" w:rsidRPr="00725DEF" w:rsidRDefault="001F041A" w:rsidP="001F041A">
            <w:pPr>
              <w:jc w:val="both"/>
              <w:rPr>
                <w:sz w:val="20"/>
                <w:szCs w:val="20"/>
              </w:rPr>
            </w:pPr>
          </w:p>
          <w:p w14:paraId="11F46E8E" w14:textId="77777777" w:rsidR="001F041A" w:rsidRPr="00F506D3" w:rsidRDefault="001F041A" w:rsidP="001F041A">
            <w:pPr>
              <w:jc w:val="both"/>
              <w:rPr>
                <w:sz w:val="20"/>
                <w:szCs w:val="20"/>
              </w:rPr>
            </w:pPr>
            <w:r w:rsidRPr="00725DEF">
              <w:rPr>
                <w:sz w:val="20"/>
                <w:szCs w:val="20"/>
              </w:rPr>
              <w:t>.</w:t>
            </w:r>
            <w:r>
              <w:rPr>
                <w:sz w:val="20"/>
                <w:szCs w:val="20"/>
              </w:rPr>
              <w:t>√ I</w:t>
            </w:r>
            <w:r w:rsidRPr="00F506D3">
              <w:rPr>
                <w:sz w:val="20"/>
                <w:szCs w:val="20"/>
              </w:rPr>
              <w:t>nformatīvā ziņojuma 3.1.sadaļa</w:t>
            </w:r>
            <w:r>
              <w:rPr>
                <w:sz w:val="20"/>
                <w:szCs w:val="20"/>
              </w:rPr>
              <w:t xml:space="preserve"> papildināta ar skaidrojošu atsauci </w:t>
            </w:r>
          </w:p>
          <w:p w14:paraId="6942024B" w14:textId="77777777" w:rsidR="001F041A" w:rsidRPr="00725DEF" w:rsidRDefault="001F041A" w:rsidP="001F041A">
            <w:pPr>
              <w:jc w:val="both"/>
              <w:rPr>
                <w:sz w:val="20"/>
                <w:szCs w:val="20"/>
              </w:rPr>
            </w:pPr>
            <w:r>
              <w:rPr>
                <w:sz w:val="20"/>
                <w:szCs w:val="20"/>
              </w:rPr>
              <w:t xml:space="preserve">√ Precizēti </w:t>
            </w:r>
            <w:r w:rsidRPr="00725DEF">
              <w:rPr>
                <w:sz w:val="20"/>
                <w:szCs w:val="20"/>
              </w:rPr>
              <w:t xml:space="preserve">skaidrojumi attiecīgajos </w:t>
            </w:r>
            <w:r>
              <w:rPr>
                <w:sz w:val="20"/>
                <w:szCs w:val="20"/>
              </w:rPr>
              <w:t>i</w:t>
            </w:r>
            <w:r w:rsidRPr="00F506D3">
              <w:rPr>
                <w:sz w:val="20"/>
                <w:szCs w:val="20"/>
              </w:rPr>
              <w:t xml:space="preserve">nformatīvā ziņojuma </w:t>
            </w:r>
            <w:r w:rsidRPr="00725DEF">
              <w:rPr>
                <w:sz w:val="20"/>
                <w:szCs w:val="20"/>
              </w:rPr>
              <w:t>pielikum</w:t>
            </w:r>
            <w:r>
              <w:rPr>
                <w:sz w:val="20"/>
                <w:szCs w:val="20"/>
              </w:rPr>
              <w:t>os.</w:t>
            </w:r>
          </w:p>
        </w:tc>
      </w:tr>
      <w:tr w:rsidR="001F041A" w:rsidRPr="00A26DDD" w14:paraId="3B09812B"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7C6C549" w14:textId="4E81FB46" w:rsidR="001F041A" w:rsidRDefault="00A04F54" w:rsidP="001F041A">
            <w:pPr>
              <w:jc w:val="center"/>
              <w:rPr>
                <w:sz w:val="20"/>
                <w:szCs w:val="20"/>
              </w:rPr>
            </w:pPr>
            <w:r>
              <w:rPr>
                <w:sz w:val="20"/>
                <w:szCs w:val="20"/>
              </w:rPr>
              <w:t>11</w:t>
            </w:r>
            <w:r w:rsidR="001F041A">
              <w:rPr>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8B7F8C" w14:textId="77777777" w:rsidR="001F041A" w:rsidRPr="00D75A8B" w:rsidRDefault="001F041A" w:rsidP="001F041A">
            <w:pPr>
              <w:pStyle w:val="NormalWeb"/>
              <w:spacing w:before="0" w:beforeAutospacing="0" w:after="0" w:afterAutospacing="0"/>
              <w:jc w:val="both"/>
              <w:rPr>
                <w:rFonts w:ascii="Times New Roman" w:hAnsi="Times New Roman"/>
                <w:sz w:val="20"/>
                <w:szCs w:val="20"/>
              </w:rPr>
            </w:pPr>
            <w:r w:rsidRPr="00D75A8B">
              <w:rPr>
                <w:rStyle w:val="spelle"/>
                <w:rFonts w:ascii="Times New Roman" w:hAnsi="Times New Roman"/>
                <w:sz w:val="20"/>
                <w:szCs w:val="20"/>
              </w:rPr>
              <w:t>√</w:t>
            </w:r>
            <w:r>
              <w:rPr>
                <w:rStyle w:val="spelle"/>
                <w:rFonts w:ascii="Times New Roman" w:hAnsi="Times New Roman"/>
                <w:sz w:val="28"/>
                <w:szCs w:val="28"/>
              </w:rPr>
              <w:t xml:space="preserve"> </w:t>
            </w:r>
            <w:r w:rsidRPr="00D75A8B">
              <w:rPr>
                <w:rStyle w:val="spelle"/>
                <w:rFonts w:ascii="Times New Roman" w:hAnsi="Times New Roman"/>
                <w:sz w:val="20"/>
                <w:szCs w:val="20"/>
              </w:rPr>
              <w:t>P</w:t>
            </w:r>
            <w:r w:rsidRPr="00D75A8B">
              <w:rPr>
                <w:rFonts w:ascii="Times New Roman" w:hAnsi="Times New Roman"/>
                <w:sz w:val="20"/>
                <w:szCs w:val="20"/>
              </w:rPr>
              <w:t>rotokollēmuma projekts:</w:t>
            </w:r>
          </w:p>
          <w:p w14:paraId="35A90BA1" w14:textId="77777777" w:rsidR="001F041A" w:rsidRPr="00E64DFE" w:rsidRDefault="001F041A" w:rsidP="001F041A">
            <w:pPr>
              <w:pStyle w:val="NormalWeb"/>
              <w:spacing w:before="0" w:beforeAutospacing="0" w:after="0" w:afterAutospacing="0"/>
              <w:jc w:val="both"/>
              <w:rPr>
                <w:rFonts w:ascii="Times New Roman" w:hAnsi="Times New Roman"/>
                <w:sz w:val="20"/>
                <w:szCs w:val="20"/>
              </w:rPr>
            </w:pPr>
            <w:r w:rsidRPr="00E64DFE">
              <w:rPr>
                <w:rFonts w:ascii="Times New Roman" w:hAnsi="Times New Roman"/>
                <w:sz w:val="20"/>
                <w:szCs w:val="20"/>
              </w:rPr>
              <w:t xml:space="preserve">  5. Lai īstenotu II posmā uzstādāmo fotoradaru un citu tehnisko līdzekļu iegādes un uzstādīšanas finansēšanas 2.modeli, Iekšlietu ministrijai līdz 2019.gada 1.jūlijam sagatavot un iekšlietu ministram normatīvajos aktos noteiktā kārtībā iesniegt Ministru kabinetā nepieciešamo </w:t>
            </w:r>
            <w:r w:rsidRPr="00E64DFE">
              <w:rPr>
                <w:rFonts w:ascii="Times New Roman" w:hAnsi="Times New Roman"/>
                <w:sz w:val="20"/>
                <w:szCs w:val="20"/>
              </w:rPr>
              <w:lastRenderedPageBreak/>
              <w:t xml:space="preserve">grozījumu projektus tiesību aktos. </w:t>
            </w:r>
          </w:p>
          <w:p w14:paraId="312FFD4D" w14:textId="77777777" w:rsidR="001F041A" w:rsidRPr="00A26DDD" w:rsidRDefault="001F041A" w:rsidP="001F041A">
            <w:pPr>
              <w:jc w:val="center"/>
              <w:rPr>
                <w:sz w:val="20"/>
                <w:szCs w:val="20"/>
              </w:rPr>
            </w:pPr>
            <w:r>
              <w:rPr>
                <w:sz w:val="20"/>
                <w:szCs w:val="20"/>
              </w:rPr>
              <w:t>√ I</w:t>
            </w:r>
            <w:r w:rsidRPr="00CA1170">
              <w:rPr>
                <w:sz w:val="20"/>
                <w:szCs w:val="20"/>
              </w:rPr>
              <w:t>nformatīvā ziņojuma 3.2.sadaļa.</w:t>
            </w:r>
            <w:r>
              <w:rPr>
                <w:sz w:val="20"/>
                <w:szCs w:val="20"/>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153656" w14:textId="77777777" w:rsidR="001F041A" w:rsidRPr="00BD72F8" w:rsidRDefault="001F041A" w:rsidP="001F041A">
            <w:pPr>
              <w:jc w:val="center"/>
              <w:rPr>
                <w:b/>
                <w:sz w:val="20"/>
                <w:szCs w:val="20"/>
              </w:rPr>
            </w:pPr>
            <w:r w:rsidRPr="00BD72F8">
              <w:rPr>
                <w:b/>
                <w:sz w:val="20"/>
                <w:szCs w:val="20"/>
              </w:rPr>
              <w:lastRenderedPageBreak/>
              <w:t>Finanšu ministrija</w:t>
            </w:r>
          </w:p>
          <w:p w14:paraId="5DD24008"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65EF54FC" w14:textId="77777777" w:rsidR="001F041A" w:rsidRPr="00BD72F8" w:rsidRDefault="001F041A" w:rsidP="001F041A">
            <w:pPr>
              <w:jc w:val="both"/>
              <w:rPr>
                <w:sz w:val="20"/>
                <w:szCs w:val="20"/>
              </w:rPr>
            </w:pPr>
            <w:r w:rsidRPr="00BD72F8">
              <w:rPr>
                <w:sz w:val="20"/>
                <w:szCs w:val="20"/>
              </w:rPr>
              <w:t>Neatbalstām informatīvā ziņojuma 3.2.apakšsadaļā “</w:t>
            </w:r>
            <w:r w:rsidRPr="00BD72F8">
              <w:rPr>
                <w:i/>
                <w:sz w:val="20"/>
                <w:szCs w:val="20"/>
              </w:rPr>
              <w:t>Iespējamie II posmā uzstādāmo fotoradaru iegādes un uzstādīšanas finansēšanas modeļi un avoti</w:t>
            </w:r>
            <w:r w:rsidRPr="00BD72F8">
              <w:rPr>
                <w:sz w:val="20"/>
                <w:szCs w:val="20"/>
              </w:rPr>
              <w:t xml:space="preserve">” pie 2.modeļa (38.lpp.) norādīto, ka nepieciešami grozījumi Likumā par budžetu un finanšu vadību, nosakot, ka “valstij pienākošie dividenžu maksājumi, kas ar īpašu Ministru kabineta lēmumu atstāti kapitālsabiedrības rīcībā konkrētiem pasākumiem (mērķiem), kas saistīti ar valsts pārvaldes uzdevumu deleģēšanu, uzskatāmi par kapitālsabiedrībai piešķirtu valsts finansējumu (dotāciju)”. Saskaņā ar Likuma par budžetu un finanšu vadību  5.panta otro daļu valsts budžeta līdzekļi ir arī maksājumi par valsts kapitāla izmantošanu, kurus katru gadu veic valsts uzņēmumi, kā arī uzņēmējsabiedrības, kurās ir valsts kapitāla daļa. Savukārt apmēru un kārtību, kādā maksājumi par valsts kapitāla izmantošanu tiek veikti un ieskaitīti valsts budžetā, nosaka Ministru kabineta 2015.gada 22.decembra  noteikumi Nr.806 “Kārtība, kādā valsts kapitālsabiedrības un publiski privātās kapitālsabiedrības, kurās valsts ir </w:t>
            </w:r>
            <w:r w:rsidRPr="00BD72F8">
              <w:rPr>
                <w:sz w:val="20"/>
                <w:szCs w:val="20"/>
              </w:rPr>
              <w:lastRenderedPageBreak/>
              <w:t xml:space="preserve">dalībnieks (akcionārs), prognozē un nosaka dividendēs izmaksājamo peļņas daļu un veic maksājumus valsts budžetā par valsts kapitāla izmantošanu”.  Iepriekš minētā kārtība paredz, ka Ministru kabinets pēc kapitāla daļu turētāja pamatota priekšlikuma var noteikt atšķirīgu dividendēs izmaksājamo minimālo peļņas daļu par attiecīgo pārskata gadu. Tādējādi </w:t>
            </w:r>
            <w:r w:rsidRPr="00ED742C">
              <w:rPr>
                <w:b/>
                <w:sz w:val="20"/>
                <w:szCs w:val="20"/>
              </w:rPr>
              <w:t>Likuma par budžetu un finanšu vadību izpratnē un minēto noteikumu kontekstā, novirzot daļu no valstij piekritīgajām dividendēm CSDD valsts pārvaldes deleģētā uzdevuma izpildei (fotoradaru iegādei un uzstādīšanai), tās ir uzskatāmas par valsts budžeta finansējumu, kas piešķirts valsts kapitālsabiedrībai</w:t>
            </w:r>
            <w:r w:rsidRPr="00BD72F8">
              <w:rPr>
                <w:sz w:val="20"/>
                <w:szCs w:val="20"/>
              </w:rPr>
              <w:t xml:space="preserve">. Pamatojoties uz iepriekš minēto, uzskatām, ka nekādi papildu grozījumi Likumā par budžetu un finanšu vadību nav nepieciešami. </w:t>
            </w:r>
          </w:p>
          <w:p w14:paraId="299C3ED6" w14:textId="77777777" w:rsidR="001F041A" w:rsidRPr="00E64DFE" w:rsidRDefault="001F041A" w:rsidP="001F041A">
            <w:pPr>
              <w:ind w:firstLine="720"/>
              <w:jc w:val="both"/>
              <w:rPr>
                <w:b/>
                <w:sz w:val="20"/>
                <w:szCs w:val="20"/>
              </w:rPr>
            </w:pPr>
            <w:r w:rsidRPr="00E64DFE">
              <w:rPr>
                <w:b/>
                <w:sz w:val="20"/>
                <w:szCs w:val="20"/>
              </w:rPr>
              <w:t>Ņemot vērā minēto, lūdzam precizēt:</w:t>
            </w:r>
          </w:p>
          <w:p w14:paraId="6A2351CF" w14:textId="77777777" w:rsidR="001F041A" w:rsidRPr="00E64DFE" w:rsidRDefault="001F041A" w:rsidP="001F041A">
            <w:pPr>
              <w:ind w:firstLine="720"/>
              <w:jc w:val="both"/>
              <w:rPr>
                <w:b/>
                <w:sz w:val="20"/>
                <w:szCs w:val="20"/>
              </w:rPr>
            </w:pPr>
            <w:r w:rsidRPr="00E64DFE">
              <w:rPr>
                <w:b/>
                <w:sz w:val="20"/>
                <w:szCs w:val="20"/>
              </w:rPr>
              <w:t>- informatīvo ziņojumu vietās, kur minēts, ka nepieciešami grozījumi Likumā par budžetu un finanšu vadību;</w:t>
            </w:r>
          </w:p>
          <w:p w14:paraId="680669A2" w14:textId="77777777" w:rsidR="001F041A" w:rsidRDefault="001F041A" w:rsidP="001F041A">
            <w:pPr>
              <w:ind w:firstLine="720"/>
              <w:jc w:val="both"/>
              <w:rPr>
                <w:sz w:val="26"/>
                <w:szCs w:val="26"/>
              </w:rPr>
            </w:pPr>
            <w:r w:rsidRPr="00E64DFE">
              <w:rPr>
                <w:b/>
                <w:sz w:val="20"/>
                <w:szCs w:val="20"/>
              </w:rPr>
              <w:t>- Ministru kabineta sēdes protokollēmuma projekta 5.punktu, norādot konkrēti, kādā normatīvajā aktā Iekšlietu ministrijai ir nepieciešams sagatavot grozījumus, izņemot Likumu par budžetu un finanšu vadību.</w:t>
            </w:r>
            <w:r w:rsidRPr="00BD72F8">
              <w:rPr>
                <w:sz w:val="26"/>
                <w:szCs w:val="26"/>
              </w:rPr>
              <w:t xml:space="preserve"> </w:t>
            </w:r>
          </w:p>
          <w:p w14:paraId="590F5A38" w14:textId="77777777" w:rsidR="001F041A" w:rsidRDefault="001F041A" w:rsidP="001F041A">
            <w:pPr>
              <w:ind w:firstLine="720"/>
              <w:jc w:val="both"/>
              <w:rPr>
                <w:sz w:val="26"/>
                <w:szCs w:val="26"/>
              </w:rPr>
            </w:pPr>
          </w:p>
          <w:p w14:paraId="3D05058A" w14:textId="77777777" w:rsidR="001F041A" w:rsidRPr="00B471AB" w:rsidRDefault="001F041A" w:rsidP="001F041A">
            <w:pPr>
              <w:jc w:val="center"/>
              <w:rPr>
                <w:b/>
                <w:sz w:val="20"/>
                <w:szCs w:val="20"/>
              </w:rPr>
            </w:pPr>
            <w:r w:rsidRPr="00B471AB">
              <w:rPr>
                <w:b/>
                <w:sz w:val="20"/>
                <w:szCs w:val="20"/>
              </w:rPr>
              <w:t>Satiksmes ministrija</w:t>
            </w:r>
          </w:p>
          <w:p w14:paraId="04B247E4" w14:textId="77777777" w:rsidR="001F041A" w:rsidRPr="00B471AB" w:rsidRDefault="001F041A" w:rsidP="001F041A">
            <w:pPr>
              <w:jc w:val="center"/>
              <w:rPr>
                <w:sz w:val="20"/>
                <w:szCs w:val="20"/>
              </w:rPr>
            </w:pPr>
            <w:r w:rsidRPr="00B471AB">
              <w:rPr>
                <w:sz w:val="20"/>
                <w:szCs w:val="20"/>
              </w:rPr>
              <w:t>(14.02.2019. atzinums Nr.03-03/23)</w:t>
            </w:r>
          </w:p>
          <w:p w14:paraId="467CB79D" w14:textId="77777777" w:rsidR="001F041A" w:rsidRPr="00B471AB" w:rsidRDefault="001F041A" w:rsidP="001F041A">
            <w:pPr>
              <w:tabs>
                <w:tab w:val="left" w:pos="993"/>
              </w:tabs>
              <w:ind w:firstLine="720"/>
              <w:jc w:val="both"/>
              <w:rPr>
                <w:sz w:val="20"/>
                <w:szCs w:val="20"/>
              </w:rPr>
            </w:pPr>
            <w:r w:rsidRPr="00B471AB">
              <w:rPr>
                <w:sz w:val="20"/>
                <w:szCs w:val="20"/>
              </w:rPr>
              <w:t>Informatīvā ziņojuma 3.1.sadaļā “Pašreizējās situācijas raksturojums, identificētās problēmas un risinājumi” (23.lpp. 5.rindkopa) norādīts, ka Finanšu ministrija noteikumu Nr.170 projekta saskaņošanas gaitā sniedza šādu viedokli: “Saskaņā ar Likuma par budžetu un finanšu vadību 5.panta otro daļu valsts budžeta līdzekļi ir arī maksājumi par valsts kapitāla izmantošanu, kurus katru gadu veic valsts uzņēmumi, kā arī uzņēmējsabiedrības, kurās ir valsts kapitāla daļas. Apmēru un kārtību, kādā maksājumi par valsts kapitāla izmantošanu tiek veikti un ieskaitīti valsts budžetā, nosaka Ministru kabineta 2015.gada 22.decembra noteikumi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Noteikumu Nr.806 5.punkts paredz, ka Ministru kabinets pēc kapitāla daļu turētāja pamatota priekšlikuma var noteikt atšķirīgu dividendēs izmaksājamo minimālo peļņas daļu par attiecīgo pārskata gadu.”.</w:t>
            </w:r>
          </w:p>
          <w:p w14:paraId="399CEE4F" w14:textId="77777777" w:rsidR="001F041A" w:rsidRPr="00B471AB" w:rsidRDefault="001F041A" w:rsidP="001F041A">
            <w:pPr>
              <w:tabs>
                <w:tab w:val="left" w:pos="993"/>
              </w:tabs>
              <w:ind w:firstLine="709"/>
              <w:jc w:val="both"/>
              <w:rPr>
                <w:sz w:val="20"/>
                <w:szCs w:val="20"/>
              </w:rPr>
            </w:pPr>
            <w:r w:rsidRPr="00B471AB">
              <w:rPr>
                <w:sz w:val="20"/>
                <w:szCs w:val="20"/>
              </w:rPr>
              <w:t xml:space="preserve">Satiksmes ministrija papildus norāda, ka Tieslietu ministrija, izskatot Satiksmes ministrijas sagatavoto Ministru kabineta rīkojuma projektu “Par valstij dividendēs izmaksājamo valsts akciju sabiedrības “Ceļu satiksmes drošības direkcija” peļņas daļu par 2017. gadu”, norādīja ka Finanšu ministrijas </w:t>
            </w:r>
            <w:r w:rsidRPr="00B471AB">
              <w:rPr>
                <w:sz w:val="20"/>
                <w:szCs w:val="20"/>
              </w:rPr>
              <w:lastRenderedPageBreak/>
              <w:t>ierosinājums par šāda veida līdzekļu piešķiršanu valsts pārvaldes uzdevuma veikšanai ir neskaidrs un rada tiesisko nenoteiktību un nav iespējams saskaņā ar noteikumu Nr.806 5.punktu. Ņemot vērā minēto, lūdzam Informatīvā ziņojuma 3.1.sadaļā “Pašreizējās situācijas raksturojums, identificētās problēmas un risinājumi” norādīt un ņemt vērā visu iesaistīto pušu viedokļus konkrētajā jautājumā.</w:t>
            </w:r>
          </w:p>
          <w:p w14:paraId="546F123B" w14:textId="77777777" w:rsidR="001F041A" w:rsidRPr="00BD72F8" w:rsidRDefault="001F041A" w:rsidP="001F041A">
            <w:pPr>
              <w:ind w:firstLine="720"/>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1B50DA"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lastRenderedPageBreak/>
              <w:t>Panākta vienošanās 19.03.2019. starpministriju (starpinstitūciju) sanāksmē.</w:t>
            </w:r>
          </w:p>
          <w:p w14:paraId="66F998DB"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1069E559" w14:textId="77777777" w:rsidR="001F041A" w:rsidRDefault="001F041A" w:rsidP="001F041A">
            <w:pPr>
              <w:spacing w:after="120"/>
              <w:jc w:val="both"/>
              <w:rPr>
                <w:sz w:val="20"/>
                <w:szCs w:val="20"/>
              </w:rPr>
            </w:pPr>
            <w:r>
              <w:rPr>
                <w:sz w:val="20"/>
                <w:szCs w:val="20"/>
              </w:rPr>
              <w:t xml:space="preserve">Jābūt viennozīmīgai izpratnei visām iesaistītajām institūcijām par kapitālsabiedrības rīcībā ar atsevišķu MK lēmumu atstāto dividenžu, kuru izlietojuma mērķis ir valsts pārvaldes deleģēta uzdevuma, nevis kapitālsabiedrības pamatdarbības, izpildes nodrošināšana, statusu. Ja šie  naudas līdzekļi netiek ieskaitīti valsts pamatbudžeta ieņēmumos, vai to var uzskatīt par </w:t>
            </w:r>
            <w:r w:rsidRPr="00C665BF">
              <w:rPr>
                <w:i/>
                <w:sz w:val="20"/>
                <w:szCs w:val="20"/>
              </w:rPr>
              <w:t>valsts budžeta</w:t>
            </w:r>
            <w:r>
              <w:rPr>
                <w:sz w:val="20"/>
                <w:szCs w:val="20"/>
              </w:rPr>
              <w:t xml:space="preserve"> finansējumu? </w:t>
            </w:r>
            <w:r>
              <w:rPr>
                <w:sz w:val="20"/>
                <w:szCs w:val="20"/>
              </w:rPr>
              <w:lastRenderedPageBreak/>
              <w:t>Tomēr tie ir valstij pienākošies maksājumi.</w:t>
            </w:r>
          </w:p>
          <w:p w14:paraId="49904E5D" w14:textId="77777777" w:rsidR="001F041A" w:rsidRDefault="001F041A" w:rsidP="001F041A">
            <w:pPr>
              <w:spacing w:after="120"/>
              <w:jc w:val="both"/>
              <w:rPr>
                <w:sz w:val="20"/>
                <w:szCs w:val="20"/>
              </w:rPr>
            </w:pPr>
          </w:p>
          <w:p w14:paraId="401B271E" w14:textId="551C07D7" w:rsidR="001F041A" w:rsidRPr="006C1BC5" w:rsidRDefault="001F041A" w:rsidP="002D5A8A">
            <w:pPr>
              <w:spacing w:after="120"/>
              <w:jc w:val="both"/>
              <w:rPr>
                <w:sz w:val="20"/>
                <w:szCs w:val="20"/>
              </w:rPr>
            </w:pPr>
            <w:r>
              <w:rPr>
                <w:sz w:val="20"/>
                <w:szCs w:val="20"/>
              </w:rPr>
              <w:t>Ievērojot, ka konkrētās tiesiskā</w:t>
            </w:r>
            <w:proofErr w:type="gramStart"/>
            <w:r>
              <w:rPr>
                <w:sz w:val="20"/>
                <w:szCs w:val="20"/>
              </w:rPr>
              <w:t xml:space="preserve">  </w:t>
            </w:r>
            <w:proofErr w:type="gramEnd"/>
            <w:r>
              <w:rPr>
                <w:sz w:val="20"/>
                <w:szCs w:val="20"/>
              </w:rPr>
              <w:t>regulējuma pilnveidošanas jomas nav Iekšlietu ministrijas kompetence un līdzīgās situācijās attieksies uz visu valsts pārvaldi un kapitālsabiedrībām, at</w:t>
            </w:r>
            <w:r w:rsidR="002D5A8A">
              <w:rPr>
                <w:sz w:val="20"/>
                <w:szCs w:val="20"/>
              </w:rPr>
              <w:t>tiecīgi precizēts protokollēmums</w:t>
            </w:r>
            <w:r>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B881DD" w14:textId="77777777" w:rsidR="001F041A" w:rsidRPr="00E64DFE" w:rsidRDefault="001F041A" w:rsidP="001F041A">
            <w:pPr>
              <w:pStyle w:val="NormalWeb"/>
              <w:spacing w:before="0" w:beforeAutospacing="0" w:after="0" w:afterAutospacing="0"/>
              <w:jc w:val="both"/>
              <w:rPr>
                <w:rFonts w:ascii="Times New Roman" w:hAnsi="Times New Roman"/>
                <w:sz w:val="20"/>
                <w:szCs w:val="20"/>
              </w:rPr>
            </w:pPr>
            <w:r>
              <w:rPr>
                <w:rFonts w:ascii="Times New Roman" w:hAnsi="Times New Roman"/>
                <w:sz w:val="20"/>
                <w:szCs w:val="20"/>
              </w:rPr>
              <w:lastRenderedPageBreak/>
              <w:t>√ Precizēts p</w:t>
            </w:r>
            <w:r w:rsidRPr="00E64DFE">
              <w:rPr>
                <w:rFonts w:ascii="Times New Roman" w:hAnsi="Times New Roman"/>
                <w:sz w:val="20"/>
                <w:szCs w:val="20"/>
              </w:rPr>
              <w:t>rotokollēmuma projekts:</w:t>
            </w:r>
          </w:p>
          <w:p w14:paraId="04498629" w14:textId="2F65A15E" w:rsidR="002D5A8A" w:rsidRPr="002D5A8A" w:rsidRDefault="002D5A8A" w:rsidP="002D5A8A">
            <w:pPr>
              <w:jc w:val="both"/>
              <w:rPr>
                <w:rStyle w:val="spelle"/>
                <w:sz w:val="20"/>
                <w:szCs w:val="20"/>
              </w:rPr>
            </w:pPr>
            <w:r>
              <w:rPr>
                <w:rStyle w:val="spelle"/>
                <w:sz w:val="20"/>
                <w:szCs w:val="20"/>
              </w:rPr>
              <w:t>“</w:t>
            </w:r>
            <w:r w:rsidRPr="002D5A8A">
              <w:rPr>
                <w:rStyle w:val="spelle"/>
                <w:sz w:val="20"/>
                <w:szCs w:val="20"/>
              </w:rPr>
              <w:t xml:space="preserve">4. Tieslietu ministrijai kopīgi ar Finanšu ministriju un Pārresoru koordinācijas centru izvērtēt normatīvo regulējumu attiecībā uz valstij pienākošiem dividenžu maksājumiem, kas ar īpašu Ministru kabineta lēmumu atstāti kapitālsabiedrības rīcībā kā finansējums valsts pārvaldes deleģēta uzdevuma izpildei, un, ja nepieciešams, Tieslietu </w:t>
            </w:r>
            <w:r w:rsidRPr="002D5A8A">
              <w:rPr>
                <w:rStyle w:val="spelle"/>
                <w:sz w:val="20"/>
                <w:szCs w:val="20"/>
              </w:rPr>
              <w:lastRenderedPageBreak/>
              <w:t xml:space="preserve">ministrijai līdz </w:t>
            </w:r>
            <w:proofErr w:type="gramStart"/>
            <w:r w:rsidRPr="002D5A8A">
              <w:rPr>
                <w:rStyle w:val="spelle"/>
                <w:sz w:val="20"/>
                <w:szCs w:val="20"/>
              </w:rPr>
              <w:t>2019.gada</w:t>
            </w:r>
            <w:proofErr w:type="gramEnd"/>
            <w:r w:rsidRPr="002D5A8A">
              <w:rPr>
                <w:rStyle w:val="spelle"/>
                <w:sz w:val="20"/>
                <w:szCs w:val="20"/>
              </w:rPr>
              <w:t xml:space="preserve"> 1.novembrim sagatavot un tieslietu ministram iesniegt izskatīšanai Ministru kabinetā attiecīgus tiesību aktu projektus, paredzot, ka šis finansējums uzskatāms par kapitālsabiedrībai piešķirtu valsts finansējumu, ka, realizējot pamatlīdzekļus, kas iegādāti no šī  finansējuma, iegūtie naudas līdzekļi ieskaitāmi valsts pamatbudžeta ieņēmumos un ka šo pamatlīdzekļu atjaunošanai neveido nolietojuma uzkrājumu.</w:t>
            </w:r>
            <w:r>
              <w:rPr>
                <w:rStyle w:val="spelle"/>
                <w:sz w:val="20"/>
                <w:szCs w:val="20"/>
              </w:rPr>
              <w:t xml:space="preserve"> </w:t>
            </w:r>
            <w:r w:rsidRPr="002D5A8A">
              <w:rPr>
                <w:rStyle w:val="spelle"/>
                <w:sz w:val="20"/>
                <w:szCs w:val="20"/>
              </w:rPr>
              <w:t>Ja izvērtējuma rezultātā tiek konstatēts, ka grozījumi tiesību aktos nav nepieciešami, sagatavot un iesniegt Ministru kabinetā attiecīgu informatīvo ziņojumu.</w:t>
            </w:r>
            <w:r>
              <w:rPr>
                <w:rStyle w:val="spelle"/>
                <w:sz w:val="20"/>
                <w:szCs w:val="20"/>
              </w:rPr>
              <w:t>”.</w:t>
            </w:r>
          </w:p>
          <w:p w14:paraId="6B9199E6" w14:textId="77777777" w:rsidR="00A04F54" w:rsidRDefault="00A04F54" w:rsidP="001F041A">
            <w:pPr>
              <w:jc w:val="both"/>
              <w:rPr>
                <w:sz w:val="20"/>
                <w:szCs w:val="20"/>
              </w:rPr>
            </w:pPr>
          </w:p>
          <w:p w14:paraId="67E3D812" w14:textId="77777777" w:rsidR="00A04F54" w:rsidRDefault="00A04F54" w:rsidP="001F041A">
            <w:pPr>
              <w:jc w:val="both"/>
              <w:rPr>
                <w:sz w:val="20"/>
                <w:szCs w:val="20"/>
              </w:rPr>
            </w:pPr>
          </w:p>
          <w:p w14:paraId="2AE51AB5" w14:textId="77777777" w:rsidR="00A04F54" w:rsidRDefault="00A04F54" w:rsidP="001F041A">
            <w:pPr>
              <w:jc w:val="both"/>
              <w:rPr>
                <w:sz w:val="20"/>
                <w:szCs w:val="20"/>
              </w:rPr>
            </w:pPr>
          </w:p>
          <w:p w14:paraId="22192E14" w14:textId="1DC34968" w:rsidR="001F041A" w:rsidRPr="00A26DDD" w:rsidRDefault="001F041A" w:rsidP="00A04F54">
            <w:pPr>
              <w:jc w:val="both"/>
              <w:rPr>
                <w:sz w:val="20"/>
                <w:szCs w:val="20"/>
                <w:highlight w:val="yellow"/>
              </w:rPr>
            </w:pPr>
            <w:r>
              <w:rPr>
                <w:sz w:val="20"/>
                <w:szCs w:val="20"/>
              </w:rPr>
              <w:t xml:space="preserve">√ </w:t>
            </w:r>
            <w:r w:rsidRPr="00CA1170">
              <w:rPr>
                <w:sz w:val="20"/>
                <w:szCs w:val="20"/>
              </w:rPr>
              <w:t>Precizēta informatīvā ziņojuma 3.2.sadaļa.</w:t>
            </w:r>
            <w:r>
              <w:rPr>
                <w:sz w:val="20"/>
                <w:szCs w:val="20"/>
              </w:rPr>
              <w:t xml:space="preserve"> </w:t>
            </w:r>
          </w:p>
        </w:tc>
      </w:tr>
      <w:tr w:rsidR="001F041A" w:rsidRPr="00A26DDD" w14:paraId="1D80C89B"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6AD2888" w14:textId="1E6116E7" w:rsidR="001F041A" w:rsidRDefault="007320D3" w:rsidP="001F041A">
            <w:pPr>
              <w:jc w:val="center"/>
              <w:rPr>
                <w:sz w:val="20"/>
                <w:szCs w:val="20"/>
              </w:rPr>
            </w:pPr>
            <w:r>
              <w:rPr>
                <w:sz w:val="20"/>
                <w:szCs w:val="20"/>
              </w:rPr>
              <w:lastRenderedPageBreak/>
              <w:t>12</w:t>
            </w:r>
            <w:r w:rsidR="001F041A">
              <w:rPr>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8E868" w14:textId="77777777" w:rsidR="001F041A" w:rsidRDefault="001F041A" w:rsidP="001F041A">
            <w:pPr>
              <w:ind w:firstLine="720"/>
              <w:jc w:val="both"/>
              <w:rPr>
                <w:sz w:val="20"/>
                <w:szCs w:val="20"/>
              </w:rPr>
            </w:pPr>
            <w:r>
              <w:rPr>
                <w:sz w:val="20"/>
                <w:szCs w:val="20"/>
              </w:rPr>
              <w:t>Informatīvā ziņojuma 3.2.2.sadaļa:</w:t>
            </w:r>
          </w:p>
          <w:p w14:paraId="46F8D97D" w14:textId="77777777" w:rsidR="001F041A" w:rsidRPr="004E2E23" w:rsidRDefault="001F041A" w:rsidP="001F041A">
            <w:pPr>
              <w:ind w:firstLine="720"/>
              <w:jc w:val="both"/>
              <w:rPr>
                <w:sz w:val="20"/>
                <w:szCs w:val="20"/>
              </w:rPr>
            </w:pPr>
            <w:r w:rsidRPr="004E2E23">
              <w:rPr>
                <w:sz w:val="20"/>
                <w:szCs w:val="20"/>
              </w:rPr>
              <w:t>Lai  risinātu 3.1. sadaļā minētās problēmas, nepieciešami  grozījumi noteikumos Nr.170, nosakot:</w:t>
            </w:r>
          </w:p>
          <w:p w14:paraId="53BC660D" w14:textId="77777777" w:rsidR="001F041A" w:rsidRPr="004E2E23" w:rsidRDefault="001F041A" w:rsidP="001F041A">
            <w:pPr>
              <w:ind w:firstLine="720"/>
              <w:jc w:val="both"/>
              <w:rPr>
                <w:sz w:val="20"/>
                <w:szCs w:val="20"/>
              </w:rPr>
            </w:pPr>
            <w:r w:rsidRPr="004E2E23">
              <w:rPr>
                <w:sz w:val="20"/>
                <w:szCs w:val="20"/>
              </w:rPr>
              <w:t xml:space="preserve">- ka pārskatam pievienojams zvērināta revidenta parakstīts apliecinājums, ka pārskatā </w:t>
            </w:r>
          </w:p>
          <w:p w14:paraId="7DA3F229" w14:textId="77777777" w:rsidR="001F041A" w:rsidRPr="004E2E23" w:rsidRDefault="001F041A" w:rsidP="001F041A">
            <w:pPr>
              <w:ind w:firstLine="720"/>
              <w:jc w:val="both"/>
              <w:rPr>
                <w:sz w:val="20"/>
                <w:szCs w:val="20"/>
              </w:rPr>
            </w:pPr>
            <w:r w:rsidRPr="004E2E23">
              <w:rPr>
                <w:sz w:val="20"/>
                <w:szCs w:val="20"/>
              </w:rPr>
              <w:t xml:space="preserve">sniegtā informācija ir patiesa un pilnīga, un CSDD ir nodrošinājusi atsevišķu grāmatvedības uzskaiti par saņemto dotāciju un veiktajiem izdevumiem. Ievērojot minēto, ir svītrojams noteikumu Nr.170 6.punkts </w:t>
            </w:r>
            <w:bookmarkStart w:id="0" w:name="p6"/>
            <w:bookmarkStart w:id="1" w:name="p-651579"/>
            <w:bookmarkEnd w:id="0"/>
            <w:bookmarkEnd w:id="1"/>
            <w:r w:rsidRPr="004E2E23">
              <w:rPr>
                <w:sz w:val="20"/>
                <w:szCs w:val="20"/>
              </w:rPr>
              <w:t xml:space="preserve"> (6. Iekšlietu ministrija katru gadu līdz 1. martam pārbauda Ceļu satiksmes drošības direkcijas iepriekšējā saimnieciskajā gadā apmaksāto izdevumu atbilstību šo noteikumu prasībām, ilgtermiņa </w:t>
            </w:r>
            <w:r w:rsidRPr="004E2E23">
              <w:rPr>
                <w:sz w:val="20"/>
                <w:szCs w:val="20"/>
              </w:rPr>
              <w:lastRenderedPageBreak/>
              <w:t>saistībām ceļu satiksmes pārkāpumu fiksēšanas tehnisko līdzekļu darbības nodrošināšanai, kā arī noslēgtā deleģēšanas līguma noteikumiem.), tādējādi samazinot ar  kontroles procedūru veikšanu saistīto administratīvo slogu.</w:t>
            </w:r>
          </w:p>
          <w:p w14:paraId="158E0F40" w14:textId="77777777" w:rsidR="001F041A" w:rsidRPr="00844AE7" w:rsidRDefault="001F041A" w:rsidP="001F041A">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EBC393" w14:textId="77777777" w:rsidR="001F041A" w:rsidRPr="00BD72F8" w:rsidRDefault="001F041A" w:rsidP="001F041A">
            <w:pPr>
              <w:jc w:val="center"/>
              <w:rPr>
                <w:b/>
                <w:sz w:val="20"/>
                <w:szCs w:val="20"/>
              </w:rPr>
            </w:pPr>
            <w:r w:rsidRPr="00BD72F8">
              <w:rPr>
                <w:b/>
                <w:sz w:val="20"/>
                <w:szCs w:val="20"/>
              </w:rPr>
              <w:lastRenderedPageBreak/>
              <w:t>Finanšu ministrija</w:t>
            </w:r>
          </w:p>
          <w:p w14:paraId="40BA9028"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50391962" w14:textId="77777777" w:rsidR="001F041A" w:rsidRPr="00BD72F8" w:rsidRDefault="001F041A" w:rsidP="001F041A">
            <w:pPr>
              <w:jc w:val="both"/>
              <w:rPr>
                <w:sz w:val="20"/>
                <w:szCs w:val="20"/>
              </w:rPr>
            </w:pPr>
            <w:r w:rsidRPr="00BD72F8">
              <w:rPr>
                <w:sz w:val="20"/>
                <w:szCs w:val="20"/>
              </w:rPr>
              <w:t xml:space="preserve">Vēršam uzmanību, ka apliecinājuma līmenis nav (tradicionālā) vēsturiskās finanšu informācijas revīzija vai pārbaude. Apliecinājuma uzdevuma laikā </w:t>
            </w:r>
            <w:r w:rsidRPr="00473AFE">
              <w:rPr>
                <w:b/>
                <w:sz w:val="20"/>
                <w:szCs w:val="20"/>
              </w:rPr>
              <w:t>zvērināts revidents</w:t>
            </w:r>
            <w:r w:rsidRPr="00BD72F8">
              <w:rPr>
                <w:sz w:val="20"/>
                <w:szCs w:val="20"/>
              </w:rPr>
              <w:t xml:space="preserve"> iepazīstas ar savu darba uzdevuma priekšmetu (piemēram, sniegt pārliecību par klienta konkrētiem datiem, procesiem, sistēmām, kontrolēm, nākotnes prognozēm, ieņēmumiem </w:t>
            </w:r>
            <w:proofErr w:type="spellStart"/>
            <w:r w:rsidRPr="00BD72F8">
              <w:rPr>
                <w:sz w:val="20"/>
                <w:szCs w:val="20"/>
              </w:rPr>
              <w:t>utml</w:t>
            </w:r>
            <w:proofErr w:type="spellEnd"/>
            <w:r w:rsidRPr="00BD72F8">
              <w:rPr>
                <w:sz w:val="20"/>
                <w:szCs w:val="20"/>
              </w:rPr>
              <w:t>.), nosaka uzdevumā pārbaudāmos kritērijus, kā arī veic pārbaudi par konkrēto datu, procesu, sistēmu vai cita apliecinājuma priekšmeta atbilstību izvirzītiem kritērijiem. Darba rezultātā tiek sagatavots apliecinājuma ziņojums, ko paraksta atbildīgais zvērināts revidents. Šādi uzdevumi tiek veikti saskaņā ar Starptautisko apliecinājuma uzdevuma standartiem. Līdz ar to lūdzam izteikt informatīvā ziņojuma 3.2.2.apakšsadaļas “</w:t>
            </w:r>
            <w:r w:rsidRPr="00BD72F8">
              <w:rPr>
                <w:i/>
                <w:sz w:val="20"/>
                <w:szCs w:val="20"/>
              </w:rPr>
              <w:t>Fotoradaru uzturēšana un darbības nodrošināšana</w:t>
            </w:r>
            <w:r w:rsidRPr="00BD72F8">
              <w:rPr>
                <w:sz w:val="20"/>
                <w:szCs w:val="20"/>
              </w:rPr>
              <w:t>” ceturtās atkāpes pirmo teikumu šādā redakcijā:</w:t>
            </w:r>
          </w:p>
          <w:p w14:paraId="398FB00D" w14:textId="77777777" w:rsidR="001F041A" w:rsidRPr="00BD72F8" w:rsidRDefault="001F041A" w:rsidP="001F041A">
            <w:pPr>
              <w:ind w:firstLine="720"/>
              <w:jc w:val="both"/>
              <w:rPr>
                <w:sz w:val="20"/>
                <w:szCs w:val="20"/>
              </w:rPr>
            </w:pPr>
            <w:r w:rsidRPr="00BD72F8">
              <w:rPr>
                <w:sz w:val="20"/>
                <w:szCs w:val="20"/>
              </w:rPr>
              <w:t xml:space="preserve">“- ka pārskatam pievienojams zvērināta revidenta vai zvērinātu revidentu komercsabiedrības parakstīts apliecinājuma ziņojums, ka pārskatā sniegtā informācija ir patiesa un pilnīga, un CSDD ir nodrošinājusi atsevišķu grāmatvedības uzskaiti par saņemto dotāciju un veiktajiem izdevumiem.” </w:t>
            </w:r>
          </w:p>
          <w:p w14:paraId="5861A854" w14:textId="77777777" w:rsidR="001F041A" w:rsidRPr="00BD72F8" w:rsidRDefault="001F041A" w:rsidP="001F041A">
            <w:pPr>
              <w:ind w:firstLine="720"/>
              <w:jc w:val="both"/>
              <w:rPr>
                <w:sz w:val="20"/>
                <w:szCs w:val="20"/>
              </w:rPr>
            </w:pPr>
            <w:r w:rsidRPr="00BD72F8">
              <w:rPr>
                <w:sz w:val="20"/>
                <w:szCs w:val="20"/>
              </w:rPr>
              <w:t>Vienlaikus ierosinām informatīvo ziņojumu nosūtīt viedokļa sniegšanai arī Latvijas Zvērinātu revidentu asociācijai kā biedrībai, kurā pēc profesionālās darbības principa ir apvienoti visi Latvijas zvērināti revidenti un zvērinātu revidentu komercsabiedrības.</w:t>
            </w:r>
          </w:p>
          <w:p w14:paraId="358394E7" w14:textId="77777777" w:rsidR="001F041A" w:rsidRPr="00BD72F8" w:rsidRDefault="001F041A" w:rsidP="001F041A">
            <w:pPr>
              <w:ind w:firstLine="720"/>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F43B76"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r>
              <w:rPr>
                <w:rFonts w:ascii="Times New Roman" w:hAnsi="Times New Roman"/>
                <w:b/>
                <w:sz w:val="20"/>
                <w:szCs w:val="20"/>
              </w:rPr>
              <w:t>Panākta vienošanās 19.03.2019.starpministriju (starpinstitūciju) sanāksmē.</w:t>
            </w:r>
          </w:p>
          <w:p w14:paraId="1B99D3AB"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775A0AA1" w14:textId="77777777" w:rsidR="001F041A" w:rsidRPr="006C1BC5" w:rsidRDefault="001F041A" w:rsidP="001F041A">
            <w:pPr>
              <w:pStyle w:val="NormalWeb"/>
              <w:spacing w:before="0" w:beforeAutospacing="0" w:after="0" w:afterAutospacing="0"/>
              <w:ind w:firstLine="176"/>
              <w:jc w:val="both"/>
              <w:rPr>
                <w:rFonts w:ascii="Times New Roman" w:hAnsi="Times New Roman"/>
                <w:sz w:val="20"/>
                <w:szCs w:val="20"/>
              </w:rPr>
            </w:pPr>
            <w:r>
              <w:rPr>
                <w:rFonts w:ascii="Times New Roman" w:hAnsi="Times New Roman"/>
                <w:sz w:val="20"/>
                <w:szCs w:val="20"/>
              </w:rPr>
              <w:t>Ievērojot, ka par zvērināta revidenta pakalpojumu radīsies papildu izmaksas CSDD, ko tā ierosina atlīdzināt no valsts budžeta līdzekļiem, zvērināts revidents netiks piesaistīts un noteikumi Nr.170 netiks attiecīgi grozīti.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56B594" w14:textId="77777777" w:rsidR="001F041A" w:rsidRDefault="001F041A" w:rsidP="001F041A">
            <w:pPr>
              <w:jc w:val="both"/>
              <w:rPr>
                <w:sz w:val="20"/>
                <w:szCs w:val="20"/>
              </w:rPr>
            </w:pPr>
            <w:r>
              <w:rPr>
                <w:sz w:val="20"/>
                <w:szCs w:val="20"/>
              </w:rPr>
              <w:t>Precizēta informatīvā ziņojuma 3.2.2.sadaļa.</w:t>
            </w:r>
          </w:p>
        </w:tc>
      </w:tr>
      <w:tr w:rsidR="001F041A" w:rsidRPr="00A26DDD" w14:paraId="195C6CFC" w14:textId="77777777" w:rsidTr="006E668A">
        <w:tc>
          <w:tcPr>
            <w:tcW w:w="534" w:type="dxa"/>
            <w:tcBorders>
              <w:top w:val="single" w:sz="4" w:space="0" w:color="auto"/>
              <w:left w:val="single" w:sz="4" w:space="0" w:color="auto"/>
              <w:right w:val="single" w:sz="4" w:space="0" w:color="auto"/>
            </w:tcBorders>
            <w:shd w:val="clear" w:color="auto" w:fill="auto"/>
          </w:tcPr>
          <w:p w14:paraId="709CB3FA" w14:textId="74F84E45" w:rsidR="001F041A" w:rsidRDefault="007320D3" w:rsidP="001F041A">
            <w:pPr>
              <w:jc w:val="center"/>
              <w:rPr>
                <w:sz w:val="20"/>
                <w:szCs w:val="20"/>
              </w:rPr>
            </w:pPr>
            <w:r>
              <w:rPr>
                <w:sz w:val="20"/>
                <w:szCs w:val="20"/>
              </w:rPr>
              <w:t>13</w:t>
            </w:r>
            <w:r w:rsidR="001F041A">
              <w:rPr>
                <w:sz w:val="20"/>
                <w:szCs w:val="20"/>
              </w:rPr>
              <w:t>.</w:t>
            </w:r>
          </w:p>
        </w:tc>
        <w:tc>
          <w:tcPr>
            <w:tcW w:w="2126" w:type="dxa"/>
            <w:tcBorders>
              <w:top w:val="single" w:sz="4" w:space="0" w:color="auto"/>
              <w:left w:val="single" w:sz="4" w:space="0" w:color="auto"/>
              <w:right w:val="single" w:sz="4" w:space="0" w:color="auto"/>
            </w:tcBorders>
            <w:shd w:val="clear" w:color="auto" w:fill="auto"/>
          </w:tcPr>
          <w:p w14:paraId="46B17D93" w14:textId="77777777" w:rsidR="001F041A" w:rsidRDefault="001F041A" w:rsidP="001F041A">
            <w:pPr>
              <w:ind w:firstLine="33"/>
              <w:jc w:val="both"/>
              <w:rPr>
                <w:sz w:val="20"/>
                <w:szCs w:val="20"/>
              </w:rPr>
            </w:pPr>
            <w:r>
              <w:rPr>
                <w:sz w:val="20"/>
                <w:szCs w:val="20"/>
              </w:rPr>
              <w:t xml:space="preserve">√ </w:t>
            </w:r>
            <w:r w:rsidRPr="000C6D3E">
              <w:rPr>
                <w:sz w:val="20"/>
                <w:szCs w:val="20"/>
              </w:rPr>
              <w:t>Informatīvā ziņojuma 4.pielikums.</w:t>
            </w:r>
          </w:p>
          <w:p w14:paraId="222B3EB4" w14:textId="77777777" w:rsidR="001F041A" w:rsidRDefault="001F041A" w:rsidP="001F041A">
            <w:pPr>
              <w:ind w:firstLine="33"/>
              <w:jc w:val="both"/>
              <w:rPr>
                <w:sz w:val="20"/>
                <w:szCs w:val="20"/>
              </w:rPr>
            </w:pPr>
            <w:r>
              <w:rPr>
                <w:sz w:val="20"/>
                <w:szCs w:val="20"/>
              </w:rPr>
              <w:t xml:space="preserve">√ </w:t>
            </w:r>
            <w:r w:rsidRPr="00BD72F8">
              <w:rPr>
                <w:sz w:val="20"/>
                <w:szCs w:val="20"/>
              </w:rPr>
              <w:t>Informatīvajā ziņojumā ietvert</w:t>
            </w:r>
            <w:r>
              <w:rPr>
                <w:sz w:val="20"/>
                <w:szCs w:val="20"/>
              </w:rPr>
              <w:t>ais</w:t>
            </w:r>
            <w:r w:rsidRPr="00BD72F8">
              <w:rPr>
                <w:sz w:val="20"/>
                <w:szCs w:val="20"/>
              </w:rPr>
              <w:t xml:space="preserve"> 2.</w:t>
            </w:r>
            <w:r>
              <w:rPr>
                <w:sz w:val="20"/>
                <w:szCs w:val="20"/>
              </w:rPr>
              <w:t xml:space="preserve"> un 3.finansēšanas.</w:t>
            </w:r>
            <w:r w:rsidRPr="00BD72F8">
              <w:rPr>
                <w:sz w:val="20"/>
                <w:szCs w:val="20"/>
              </w:rPr>
              <w:t>modeli</w:t>
            </w:r>
            <w:r>
              <w:rPr>
                <w:sz w:val="20"/>
                <w:szCs w:val="20"/>
              </w:rPr>
              <w:t>s.</w:t>
            </w:r>
          </w:p>
          <w:p w14:paraId="7011521C" w14:textId="77777777" w:rsidR="001F041A" w:rsidRPr="00844AE7" w:rsidRDefault="001F041A" w:rsidP="001F041A">
            <w:pPr>
              <w:ind w:firstLine="33"/>
              <w:jc w:val="both"/>
              <w:rPr>
                <w:sz w:val="22"/>
                <w:szCs w:val="22"/>
              </w:rPr>
            </w:pPr>
            <w:r>
              <w:rPr>
                <w:sz w:val="20"/>
                <w:szCs w:val="20"/>
              </w:rPr>
              <w:t>√ Protokollēmuma  projekta 2.4.apakšpunkts, 6. un 8.punkts.</w:t>
            </w:r>
          </w:p>
        </w:tc>
        <w:tc>
          <w:tcPr>
            <w:tcW w:w="6662" w:type="dxa"/>
            <w:tcBorders>
              <w:top w:val="single" w:sz="4" w:space="0" w:color="auto"/>
              <w:left w:val="single" w:sz="4" w:space="0" w:color="auto"/>
              <w:right w:val="single" w:sz="4" w:space="0" w:color="auto"/>
            </w:tcBorders>
            <w:shd w:val="clear" w:color="auto" w:fill="auto"/>
          </w:tcPr>
          <w:p w14:paraId="6387EA64" w14:textId="77777777" w:rsidR="001F041A" w:rsidRPr="00BD72F8" w:rsidRDefault="001F041A" w:rsidP="001F041A">
            <w:pPr>
              <w:jc w:val="center"/>
              <w:rPr>
                <w:b/>
                <w:sz w:val="20"/>
                <w:szCs w:val="20"/>
              </w:rPr>
            </w:pPr>
            <w:r w:rsidRPr="00BD72F8">
              <w:rPr>
                <w:b/>
                <w:sz w:val="20"/>
                <w:szCs w:val="20"/>
              </w:rPr>
              <w:t>Finanšu ministrija</w:t>
            </w:r>
          </w:p>
          <w:p w14:paraId="7037DFA8"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2A8C2E5D" w14:textId="77777777" w:rsidR="001F041A" w:rsidRPr="00BD72F8" w:rsidRDefault="001F041A" w:rsidP="001F041A">
            <w:pPr>
              <w:ind w:firstLine="720"/>
              <w:jc w:val="both"/>
              <w:rPr>
                <w:sz w:val="20"/>
                <w:szCs w:val="20"/>
              </w:rPr>
            </w:pPr>
            <w:r w:rsidRPr="00BD72F8">
              <w:rPr>
                <w:sz w:val="20"/>
                <w:szCs w:val="20"/>
              </w:rPr>
              <w:t xml:space="preserve">Tāpat informējam, ka, ņemot vērā to, ka fotoradaru iegāde un uzstādīšana </w:t>
            </w:r>
            <w:r w:rsidRPr="00BD72F8">
              <w:rPr>
                <w:sz w:val="20"/>
                <w:szCs w:val="20"/>
                <w:u w:val="single"/>
              </w:rPr>
              <w:t>tiek finansēta no valstij piekritīgajām dividendēm, kas ir valsts budžeta finansējums</w:t>
            </w:r>
            <w:r w:rsidRPr="00BD72F8">
              <w:rPr>
                <w:sz w:val="20"/>
                <w:szCs w:val="20"/>
              </w:rPr>
              <w:t xml:space="preserve">, tad uzskatām, ka par valsts budžeta finansējumu iegādātajiem fotoradariem aprēķināto </w:t>
            </w:r>
            <w:r w:rsidRPr="00D61657">
              <w:rPr>
                <w:b/>
                <w:sz w:val="20"/>
                <w:szCs w:val="20"/>
                <w:u w:val="single"/>
              </w:rPr>
              <w:t>nolietojuma uzkrājumu</w:t>
            </w:r>
            <w:r w:rsidRPr="00BD72F8">
              <w:rPr>
                <w:sz w:val="20"/>
                <w:szCs w:val="20"/>
                <w:u w:val="single"/>
              </w:rPr>
              <w:t xml:space="preserve"> nav nepieciešams otrreiz atmaksāt no valsts budžeta</w:t>
            </w:r>
            <w:r w:rsidRPr="00BD72F8">
              <w:rPr>
                <w:sz w:val="20"/>
                <w:szCs w:val="20"/>
              </w:rPr>
              <w:t xml:space="preserve">. Līdz ar to, attiecībā uz fotoradaru nolietojuma izmaksām -  uzskatām, ka nav pamata izdevumos, kurus Valsts policija par valsts pārvaldes uzdevumu izpildi sedz CSDD, papildus vēl paredzēt fotoradaru ikgadējā nolietojuma izdevumus. Norādām, ja piešķirtais valsts budžeta finansējums sākotnēji tiktu uzskaitīts bilances postenī “Nākamo periodu ieņēmumi”, tad  tas pēc tam sistemātiski tiktu iekļauts ieņēmumos iegādāto fotoradaru atlikušajā lietderīgās lietošanas laikā, un tādējādi par nolietojumu summu  netiktu samazināts kārtējā gada peļņas rezultāts, jo  peļņas vai zaudējumu aprēķinā būtu  ieņēmumu un izdevumu līdzsvars. </w:t>
            </w:r>
          </w:p>
          <w:p w14:paraId="5EDB62DA" w14:textId="77777777" w:rsidR="001F041A" w:rsidRDefault="001F041A" w:rsidP="001F041A">
            <w:pPr>
              <w:jc w:val="center"/>
              <w:rPr>
                <w:b/>
                <w:sz w:val="20"/>
                <w:szCs w:val="20"/>
              </w:rPr>
            </w:pPr>
          </w:p>
          <w:p w14:paraId="216C2076" w14:textId="77777777" w:rsidR="001F041A" w:rsidRPr="00B471AB" w:rsidRDefault="001F041A" w:rsidP="001F041A">
            <w:pPr>
              <w:jc w:val="center"/>
              <w:rPr>
                <w:b/>
                <w:sz w:val="20"/>
                <w:szCs w:val="20"/>
              </w:rPr>
            </w:pPr>
            <w:r w:rsidRPr="00B471AB">
              <w:rPr>
                <w:b/>
                <w:sz w:val="20"/>
                <w:szCs w:val="20"/>
              </w:rPr>
              <w:t>Satiksmes ministrija</w:t>
            </w:r>
          </w:p>
          <w:p w14:paraId="4C260B7C" w14:textId="77777777" w:rsidR="001F041A" w:rsidRPr="00B471AB" w:rsidRDefault="001F041A" w:rsidP="001F041A">
            <w:pPr>
              <w:jc w:val="center"/>
              <w:rPr>
                <w:sz w:val="20"/>
                <w:szCs w:val="20"/>
              </w:rPr>
            </w:pPr>
            <w:r w:rsidRPr="00B471AB">
              <w:rPr>
                <w:sz w:val="20"/>
                <w:szCs w:val="20"/>
              </w:rPr>
              <w:t>(14.02.2019. atzinums Nr.03-03/23)</w:t>
            </w:r>
          </w:p>
          <w:p w14:paraId="564BA0DB" w14:textId="77777777" w:rsidR="001F041A" w:rsidRDefault="001F041A" w:rsidP="001F041A">
            <w:pPr>
              <w:tabs>
                <w:tab w:val="left" w:pos="1134"/>
              </w:tabs>
              <w:ind w:firstLine="720"/>
              <w:jc w:val="both"/>
              <w:rPr>
                <w:sz w:val="20"/>
                <w:szCs w:val="20"/>
              </w:rPr>
            </w:pPr>
            <w:r w:rsidRPr="00B471AB">
              <w:rPr>
                <w:sz w:val="20"/>
                <w:szCs w:val="20"/>
              </w:rPr>
              <w:t xml:space="preserve">Satiksmes ministrija neatbalsta Iekšlietu ministrijas atbalstīto Informatīvajā ziņojumā ietverto 2.modeli fotoradaru iegādei un uzstādīšanai, un norāda, ka atbalstāms ir Informatīvajā ziņojumā ietvertais 3.modelis fotoradaru iegādei un uzstādīšanai, vienlaikus </w:t>
            </w:r>
            <w:r w:rsidRPr="00B471AB">
              <w:rPr>
                <w:b/>
                <w:sz w:val="20"/>
                <w:szCs w:val="20"/>
              </w:rPr>
              <w:t>paredzot fotoradaru nolietojumu uzkrājumu</w:t>
            </w:r>
            <w:r w:rsidRPr="00B471AB">
              <w:rPr>
                <w:sz w:val="20"/>
                <w:szCs w:val="20"/>
              </w:rPr>
              <w:t xml:space="preserve"> un CSDD papildu izmaksu faktisku kompensēšanu, kas CSDD radušies, realizējot deleģēto uzdevumu attiecība uz fotoradariem laikposmā no 2015.-2017.gadam. Informatīvajā ziņojumā nav ietverta informācija, ka, beidzoties I posma fotoradaru darbības laikam, nav ieplānoti līdzekļi to atjaunošanai, proti, tā kā </w:t>
            </w:r>
            <w:r w:rsidRPr="00B471AB">
              <w:rPr>
                <w:b/>
                <w:sz w:val="20"/>
                <w:szCs w:val="20"/>
              </w:rPr>
              <w:t>Valsts policija kopš 2017.gada ir pārtraukusi nolietojuma kompensēšanu</w:t>
            </w:r>
            <w:r w:rsidRPr="00B471AB">
              <w:rPr>
                <w:sz w:val="20"/>
                <w:szCs w:val="20"/>
              </w:rPr>
              <w:t xml:space="preserve">, </w:t>
            </w:r>
            <w:r w:rsidRPr="00B471AB">
              <w:rPr>
                <w:b/>
                <w:sz w:val="20"/>
                <w:szCs w:val="20"/>
              </w:rPr>
              <w:t xml:space="preserve">CSDD nav izveidots pietiekams nolietojuma </w:t>
            </w:r>
            <w:r w:rsidRPr="00B471AB">
              <w:rPr>
                <w:b/>
                <w:sz w:val="20"/>
                <w:szCs w:val="20"/>
              </w:rPr>
              <w:lastRenderedPageBreak/>
              <w:t>uzkrājums I posma fotoradaru aizvietošanai</w:t>
            </w:r>
            <w:r w:rsidRPr="00B471AB">
              <w:rPr>
                <w:sz w:val="20"/>
                <w:szCs w:val="20"/>
              </w:rPr>
              <w:t xml:space="preserve">, kas jāsāk veikt 2022. vai 2023.gadā. Pastāv risks, ka vienlaikus finansēt I posma fotoradaru aizvietošanu un II posma fotoradaru vietu izbūvi un mulāžu/fotoradaru iegādi nebūs iespējams, jo finansējums no CSDD dividendēm nebūs pietiekams. Papildus nepieciešams izvērtēt iespēju, ka I posmā uzstādīto fotoradaru uzturēšanai, par fotoradaru un to pamatņu nolietojuma līdzekļiem, ir jāiegādājas attiecīgs skaits fotoradaru “mulāžu”, kuras būtu iespējams izmatot fotoradaru aizvietošanas, verificēšanas, remonta un nolietošanās gadījumos. Ņemot vērā minēto, lūdzam </w:t>
            </w:r>
            <w:r w:rsidRPr="00B471AB">
              <w:rPr>
                <w:b/>
                <w:sz w:val="20"/>
                <w:szCs w:val="20"/>
              </w:rPr>
              <w:t xml:space="preserve">precizēt </w:t>
            </w:r>
            <w:r w:rsidRPr="004C5DCD">
              <w:rPr>
                <w:b/>
                <w:sz w:val="20"/>
                <w:szCs w:val="20"/>
              </w:rPr>
              <w:t>Ministru kabineta sēdes protokollēmuma 6.punktu, nosakot, ka nolietojums ir jāiekļauj Valsts policijas izdevumos par fotoradaru darbības nodrošināšanu, attiecīgi precizējot Ministru kabineta sēdes protokollēmuma 8.punktu. Pastāv iespēja precizēt Ministru kabineta sēdes protokollēmuma 2.4.apakšpunktu, izvēloties citu finansēšanas modeli.</w:t>
            </w:r>
            <w:r w:rsidRPr="00BD72F8">
              <w:rPr>
                <w:sz w:val="20"/>
                <w:szCs w:val="20"/>
              </w:rPr>
              <w:t xml:space="preserve"> Papildus vēršam uzmanību, ka saskaņā ar CSDD vidēja termiņa darbības stratēģiju 2018.-2020. gadam stratēģijas periodā nav paredzēta CSDD dividenžu novirzīšana II posma fotoradaru iegādei (t.i. plānota CSDD dividenžu ieskaitīšana valsts budžetā), jo stratēģijas izstrādes brīdī fotoradaru uzstādīšanas II posms vēl netika plānots.</w:t>
            </w:r>
          </w:p>
          <w:p w14:paraId="6A936BDC" w14:textId="77777777" w:rsidR="001F041A" w:rsidRPr="00BD72F8" w:rsidRDefault="001F041A" w:rsidP="001F041A">
            <w:pPr>
              <w:tabs>
                <w:tab w:val="left" w:pos="1134"/>
              </w:tabs>
              <w:ind w:firstLine="720"/>
              <w:jc w:val="both"/>
              <w:rPr>
                <w:b/>
                <w:sz w:val="20"/>
                <w:szCs w:val="20"/>
              </w:rPr>
            </w:pPr>
          </w:p>
        </w:tc>
        <w:tc>
          <w:tcPr>
            <w:tcW w:w="3402" w:type="dxa"/>
            <w:tcBorders>
              <w:top w:val="single" w:sz="4" w:space="0" w:color="auto"/>
              <w:left w:val="single" w:sz="4" w:space="0" w:color="auto"/>
              <w:right w:val="single" w:sz="4" w:space="0" w:color="auto"/>
            </w:tcBorders>
            <w:shd w:val="clear" w:color="auto" w:fill="auto"/>
          </w:tcPr>
          <w:p w14:paraId="1B18F9AA" w14:textId="12A3CC95" w:rsidR="001F041A" w:rsidRDefault="001F041A" w:rsidP="001F041A">
            <w:pPr>
              <w:pStyle w:val="NormalWeb"/>
              <w:spacing w:before="0" w:beforeAutospacing="0" w:after="0" w:afterAutospacing="0"/>
              <w:ind w:firstLine="176"/>
              <w:jc w:val="both"/>
              <w:rPr>
                <w:rFonts w:ascii="Times New Roman" w:hAnsi="Times New Roman"/>
                <w:b/>
                <w:sz w:val="20"/>
                <w:szCs w:val="20"/>
              </w:rPr>
            </w:pPr>
            <w:r w:rsidRPr="00AF5285">
              <w:rPr>
                <w:rFonts w:ascii="Times New Roman" w:hAnsi="Times New Roman"/>
                <w:b/>
                <w:sz w:val="20"/>
                <w:szCs w:val="20"/>
              </w:rPr>
              <w:lastRenderedPageBreak/>
              <w:t>Panākta vienošanās 19.03.2019. starpministriju (starpinstitūciju) sanāksmē</w:t>
            </w:r>
            <w:r w:rsidRPr="00AF5285">
              <w:rPr>
                <w:rFonts w:ascii="Times New Roman" w:hAnsi="Times New Roman"/>
                <w:sz w:val="20"/>
                <w:szCs w:val="20"/>
              </w:rPr>
              <w:t>, ka no valsts budžeta līdzekļiem turpmāk netiks finansēts fotoradaru uzkrātais nolietojums.</w:t>
            </w:r>
          </w:p>
          <w:p w14:paraId="25A6400F" w14:textId="77777777" w:rsidR="001F041A" w:rsidRDefault="001F041A" w:rsidP="001F041A">
            <w:pPr>
              <w:ind w:firstLine="720"/>
              <w:jc w:val="both"/>
              <w:rPr>
                <w:sz w:val="20"/>
                <w:szCs w:val="20"/>
              </w:rPr>
            </w:pPr>
            <w:r w:rsidRPr="00F8295B">
              <w:rPr>
                <w:sz w:val="20"/>
                <w:szCs w:val="20"/>
              </w:rPr>
              <w:t>Aprēķini, iekļaujot nolietojuma uzkrājuma veidošanu no valsts budžeta līdzekļiem, informatīvos nolūkos</w:t>
            </w:r>
            <w:r>
              <w:rPr>
                <w:sz w:val="20"/>
                <w:szCs w:val="20"/>
              </w:rPr>
              <w:t xml:space="preserve"> (izdevumu apjoma salīdzinājumam) tiek atspoguļoti </w:t>
            </w:r>
            <w:r w:rsidRPr="00F8295B">
              <w:rPr>
                <w:sz w:val="20"/>
                <w:szCs w:val="20"/>
              </w:rPr>
              <w:t>informatīvā ziņojuma</w:t>
            </w:r>
            <w:r>
              <w:rPr>
                <w:sz w:val="20"/>
                <w:szCs w:val="20"/>
              </w:rPr>
              <w:t xml:space="preserve"> 6.pielikumā.</w:t>
            </w:r>
          </w:p>
          <w:p w14:paraId="75F4438E" w14:textId="77777777" w:rsidR="001F041A" w:rsidRDefault="001F041A" w:rsidP="001F041A">
            <w:pPr>
              <w:ind w:firstLine="720"/>
              <w:jc w:val="both"/>
              <w:rPr>
                <w:sz w:val="20"/>
                <w:szCs w:val="20"/>
              </w:rPr>
            </w:pPr>
          </w:p>
          <w:p w14:paraId="36D0A30F" w14:textId="77777777" w:rsidR="001F041A" w:rsidRDefault="001F041A" w:rsidP="001F041A">
            <w:pPr>
              <w:ind w:firstLine="720"/>
              <w:jc w:val="both"/>
              <w:rPr>
                <w:sz w:val="20"/>
                <w:szCs w:val="20"/>
              </w:rPr>
            </w:pPr>
          </w:p>
          <w:p w14:paraId="7D0C55AE" w14:textId="77777777" w:rsidR="001F041A" w:rsidRDefault="001F041A" w:rsidP="001F041A">
            <w:pPr>
              <w:ind w:firstLine="720"/>
              <w:jc w:val="both"/>
              <w:rPr>
                <w:b/>
                <w:sz w:val="20"/>
                <w:szCs w:val="20"/>
              </w:rPr>
            </w:pPr>
            <w:r w:rsidRPr="004C5DCD">
              <w:rPr>
                <w:sz w:val="20"/>
                <w:szCs w:val="20"/>
              </w:rPr>
              <w:t>Informatīvais ziņojums neparedz rīcību pēc tam, kad 100 I posmā uzstādītie radari beigs darbību</w:t>
            </w:r>
            <w:r>
              <w:rPr>
                <w:sz w:val="20"/>
                <w:szCs w:val="20"/>
              </w:rPr>
              <w:t xml:space="preserve">, tas būtu jārisina arī jaunā Ceļu satiksmes drošības plāna 2021.-2025.gadam ietvaros, nosakot, kādi tehniskie līdzekļi būtu uzstādāmi. </w:t>
            </w:r>
          </w:p>
        </w:tc>
        <w:tc>
          <w:tcPr>
            <w:tcW w:w="2410" w:type="dxa"/>
            <w:tcBorders>
              <w:top w:val="single" w:sz="4" w:space="0" w:color="auto"/>
              <w:left w:val="single" w:sz="4" w:space="0" w:color="auto"/>
              <w:right w:val="single" w:sz="4" w:space="0" w:color="auto"/>
            </w:tcBorders>
            <w:shd w:val="clear" w:color="auto" w:fill="auto"/>
          </w:tcPr>
          <w:p w14:paraId="5D3FEF3E" w14:textId="18C4D8B0" w:rsidR="001F041A" w:rsidRPr="004C5DCD" w:rsidRDefault="001F041A" w:rsidP="001F041A">
            <w:pPr>
              <w:ind w:firstLine="33"/>
              <w:jc w:val="both"/>
              <w:rPr>
                <w:sz w:val="20"/>
                <w:szCs w:val="20"/>
              </w:rPr>
            </w:pPr>
            <w:r>
              <w:rPr>
                <w:sz w:val="20"/>
                <w:szCs w:val="20"/>
              </w:rPr>
              <w:t xml:space="preserve">√ </w:t>
            </w:r>
            <w:r w:rsidRPr="004C5DCD">
              <w:rPr>
                <w:sz w:val="20"/>
                <w:szCs w:val="20"/>
              </w:rPr>
              <w:t>Informatīvā ziņojuma 6</w:t>
            </w:r>
            <w:r w:rsidR="007320D3">
              <w:rPr>
                <w:sz w:val="20"/>
                <w:szCs w:val="20"/>
              </w:rPr>
              <w:t>.pielikums ar norādi “I</w:t>
            </w:r>
            <w:r w:rsidRPr="004C5DCD">
              <w:rPr>
                <w:sz w:val="20"/>
                <w:szCs w:val="20"/>
              </w:rPr>
              <w:t>NFORMATĪVI”.</w:t>
            </w:r>
          </w:p>
          <w:p w14:paraId="78CA0140" w14:textId="1CED1C94" w:rsidR="001F041A" w:rsidRPr="001E3440" w:rsidRDefault="001F041A" w:rsidP="001F041A">
            <w:pPr>
              <w:ind w:firstLine="33"/>
              <w:jc w:val="both"/>
              <w:rPr>
                <w:sz w:val="20"/>
                <w:szCs w:val="20"/>
              </w:rPr>
            </w:pPr>
            <w:r>
              <w:rPr>
                <w:sz w:val="20"/>
                <w:szCs w:val="20"/>
              </w:rPr>
              <w:t xml:space="preserve">√ </w:t>
            </w:r>
            <w:r w:rsidR="007320D3">
              <w:rPr>
                <w:sz w:val="20"/>
                <w:szCs w:val="20"/>
              </w:rPr>
              <w:t>Protokollēmums</w:t>
            </w:r>
            <w:r w:rsidRPr="001E3440">
              <w:rPr>
                <w:sz w:val="20"/>
                <w:szCs w:val="20"/>
              </w:rPr>
              <w:t xml:space="preserve"> papildināts ar 11.punktu:</w:t>
            </w:r>
          </w:p>
          <w:p w14:paraId="361A312B" w14:textId="57A6F6EB" w:rsidR="007320D3" w:rsidRPr="007320D3" w:rsidRDefault="007320D3" w:rsidP="007320D3">
            <w:pPr>
              <w:jc w:val="both"/>
              <w:rPr>
                <w:rStyle w:val="spelle"/>
                <w:sz w:val="20"/>
                <w:szCs w:val="20"/>
              </w:rPr>
            </w:pPr>
            <w:r w:rsidRPr="007320D3">
              <w:rPr>
                <w:rStyle w:val="spelle"/>
                <w:sz w:val="20"/>
                <w:szCs w:val="20"/>
              </w:rPr>
              <w:t>“11. Iekšlietu ministrijai kopīgi ar Satiksmes ministriju sagatavot un līdz 2021. gada 1. martam iesniegt Ministru kabinetā informatīvo ziņojumu par jaunu tehnisko līdzekļu uzstādīšanu 2015. –</w:t>
            </w:r>
            <w:proofErr w:type="gramStart"/>
            <w:r w:rsidRPr="007320D3">
              <w:rPr>
                <w:rStyle w:val="spelle"/>
                <w:sz w:val="20"/>
                <w:szCs w:val="20"/>
              </w:rPr>
              <w:t xml:space="preserve">  </w:t>
            </w:r>
            <w:proofErr w:type="gramEnd"/>
            <w:r w:rsidRPr="007320D3">
              <w:rPr>
                <w:rStyle w:val="spelle"/>
                <w:sz w:val="20"/>
                <w:szCs w:val="20"/>
              </w:rPr>
              <w:t>2018.gadā uzstādīto 100 tehnisko līdzekļu (fotoradaru) vietā pēc tam, kad tie tiks atzīti par neatbilstošiem normatīvajos aktos noteiktajām metroloģiskajām prasībām,  un to finansēšanas avotiem.”.</w:t>
            </w:r>
          </w:p>
          <w:p w14:paraId="6C65D2FF" w14:textId="77777777" w:rsidR="001F041A" w:rsidRDefault="001F041A" w:rsidP="007320D3">
            <w:pPr>
              <w:ind w:firstLine="720"/>
              <w:jc w:val="both"/>
              <w:rPr>
                <w:sz w:val="20"/>
                <w:szCs w:val="20"/>
              </w:rPr>
            </w:pPr>
          </w:p>
        </w:tc>
      </w:tr>
      <w:tr w:rsidR="001F041A" w:rsidRPr="00A26DDD" w14:paraId="62BC524D" w14:textId="77777777" w:rsidTr="006E668A">
        <w:tc>
          <w:tcPr>
            <w:tcW w:w="534" w:type="dxa"/>
            <w:tcBorders>
              <w:top w:val="single" w:sz="4" w:space="0" w:color="auto"/>
              <w:left w:val="single" w:sz="4" w:space="0" w:color="auto"/>
              <w:bottom w:val="single" w:sz="4" w:space="0" w:color="auto"/>
              <w:right w:val="single" w:sz="4" w:space="0" w:color="auto"/>
            </w:tcBorders>
            <w:shd w:val="clear" w:color="auto" w:fill="auto"/>
          </w:tcPr>
          <w:p w14:paraId="09CDCC34" w14:textId="6ED0C4F6" w:rsidR="001F041A" w:rsidRPr="007843A1" w:rsidRDefault="00550C16" w:rsidP="001F041A">
            <w:pPr>
              <w:jc w:val="center"/>
              <w:rPr>
                <w:sz w:val="22"/>
                <w:szCs w:val="22"/>
              </w:rPr>
            </w:pPr>
            <w:r>
              <w:rPr>
                <w:sz w:val="22"/>
                <w:szCs w:val="22"/>
              </w:rPr>
              <w:t>14</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1F9366" w14:textId="77777777" w:rsidR="001F041A" w:rsidRPr="007843A1" w:rsidRDefault="001F041A" w:rsidP="001F041A">
            <w:pPr>
              <w:jc w:val="both"/>
              <w:rPr>
                <w:sz w:val="22"/>
                <w:szCs w:val="22"/>
              </w:rPr>
            </w:pPr>
            <w:r w:rsidRPr="00F33597">
              <w:rPr>
                <w:sz w:val="20"/>
                <w:szCs w:val="20"/>
              </w:rPr>
              <w:t>Informatīvā ziņojuma 2.2.tabulas 2.2.3.rinda</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6685D9" w14:textId="77777777" w:rsidR="001F041A" w:rsidRPr="00BD72F8" w:rsidRDefault="001F041A" w:rsidP="001F041A">
            <w:pPr>
              <w:jc w:val="center"/>
              <w:rPr>
                <w:b/>
                <w:sz w:val="20"/>
                <w:szCs w:val="20"/>
              </w:rPr>
            </w:pPr>
            <w:r w:rsidRPr="00BD72F8">
              <w:rPr>
                <w:b/>
                <w:sz w:val="20"/>
                <w:szCs w:val="20"/>
              </w:rPr>
              <w:t>Finanšu ministrija</w:t>
            </w:r>
          </w:p>
          <w:p w14:paraId="6529AED8"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2E66D72A" w14:textId="77777777" w:rsidR="001F041A" w:rsidRDefault="001F041A" w:rsidP="001F041A">
            <w:pPr>
              <w:jc w:val="both"/>
              <w:rPr>
                <w:sz w:val="20"/>
                <w:szCs w:val="20"/>
              </w:rPr>
            </w:pPr>
            <w:r w:rsidRPr="00BD72F8">
              <w:rPr>
                <w:sz w:val="20"/>
                <w:szCs w:val="20"/>
              </w:rPr>
              <w:t xml:space="preserve">Informatīvā ziņojuma </w:t>
            </w:r>
            <w:r w:rsidRPr="006D5C57">
              <w:rPr>
                <w:b/>
                <w:sz w:val="20"/>
                <w:szCs w:val="20"/>
              </w:rPr>
              <w:t>3.pielikuma 2.2.tabulas 2.2.3.rindā</w:t>
            </w:r>
            <w:r w:rsidRPr="00BD72F8">
              <w:rPr>
                <w:sz w:val="20"/>
                <w:szCs w:val="20"/>
              </w:rPr>
              <w:t xml:space="preserve"> “Vēstuļu nosūtīšanas izmaksas atbilstoši VAS "Latvijas Pasts" noteiktajam attiecīgās vēstules nosūtīšanas pakalpojuma tarifam” ir aprēķinātas ar PVN. </w:t>
            </w:r>
            <w:r w:rsidRPr="00D61657">
              <w:rPr>
                <w:b/>
                <w:sz w:val="20"/>
                <w:szCs w:val="20"/>
              </w:rPr>
              <w:t>Lūdzam informatīvo ziņojumu papildināt ar skaidrojumu, kādiem VAS "Latvijas Pasts" izdevumiem tiek pieskaitīts PVN un kādā apmērā, jo saskaņā ar Pievienotās vērtības likumu 52.panta pirmās daļas 1.punktu pasta pakalpojumi ar PVN nav apliekami.</w:t>
            </w:r>
            <w:r w:rsidRPr="00BD72F8">
              <w:rPr>
                <w:sz w:val="20"/>
                <w:szCs w:val="20"/>
              </w:rPr>
              <w:t xml:space="preserve"> </w:t>
            </w:r>
          </w:p>
          <w:p w14:paraId="0B258C95" w14:textId="77777777" w:rsidR="001F041A" w:rsidRPr="00BD72F8" w:rsidRDefault="001F041A" w:rsidP="001F041A">
            <w:pPr>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8EEA20"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17B897BB"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w:t>
            </w:r>
          </w:p>
          <w:p w14:paraId="1FA1AD10"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18790745"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7618AE57"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2BE53C5D" w14:textId="77777777" w:rsidR="001F041A" w:rsidRPr="007843A1" w:rsidRDefault="001F041A" w:rsidP="001F041A">
            <w:pPr>
              <w:pStyle w:val="NormalWeb"/>
              <w:spacing w:before="0" w:beforeAutospacing="0" w:after="0" w:afterAutospacing="0"/>
              <w:ind w:firstLine="176"/>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497FE6" w14:textId="77777777" w:rsidR="001F041A" w:rsidRPr="00844AE7" w:rsidRDefault="001F041A" w:rsidP="001F041A">
            <w:pPr>
              <w:jc w:val="both"/>
              <w:rPr>
                <w:sz w:val="22"/>
                <w:szCs w:val="22"/>
              </w:rPr>
            </w:pPr>
            <w:r w:rsidRPr="00F33597">
              <w:rPr>
                <w:sz w:val="20"/>
                <w:szCs w:val="20"/>
                <w:shd w:val="clear" w:color="auto" w:fill="FFFFFF"/>
              </w:rPr>
              <w:t>Precizēti attiecīgie pielikumi, papildinot ar skaidrojošu informāciju</w:t>
            </w:r>
            <w:r>
              <w:rPr>
                <w:sz w:val="22"/>
                <w:szCs w:val="22"/>
              </w:rPr>
              <w:t>.</w:t>
            </w:r>
          </w:p>
        </w:tc>
      </w:tr>
      <w:tr w:rsidR="001F041A" w:rsidRPr="00A26DDD" w14:paraId="133FB216"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DAE3334" w14:textId="64847917" w:rsidR="001F041A" w:rsidRDefault="00ED49EE" w:rsidP="001F041A">
            <w:pPr>
              <w:jc w:val="center"/>
              <w:rPr>
                <w:sz w:val="22"/>
                <w:szCs w:val="22"/>
              </w:rPr>
            </w:pPr>
            <w:r>
              <w:rPr>
                <w:sz w:val="22"/>
                <w:szCs w:val="22"/>
              </w:rPr>
              <w:t>15</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EF4CEC" w14:textId="77777777" w:rsidR="001F041A" w:rsidRDefault="001F041A" w:rsidP="001F041A">
            <w:pPr>
              <w:rPr>
                <w:rStyle w:val="spelle"/>
                <w:sz w:val="28"/>
                <w:szCs w:val="28"/>
              </w:rPr>
            </w:pPr>
            <w:r>
              <w:rPr>
                <w:rStyle w:val="spelle"/>
                <w:sz w:val="28"/>
                <w:szCs w:val="28"/>
              </w:rPr>
              <w:t xml:space="preserve"> √ </w:t>
            </w:r>
            <w:r>
              <w:rPr>
                <w:sz w:val="20"/>
                <w:szCs w:val="20"/>
              </w:rPr>
              <w:t>Protokollēmuma</w:t>
            </w:r>
            <w:proofErr w:type="gramStart"/>
            <w:r>
              <w:rPr>
                <w:sz w:val="20"/>
                <w:szCs w:val="20"/>
              </w:rPr>
              <w:t xml:space="preserve">  </w:t>
            </w:r>
            <w:proofErr w:type="gramEnd"/>
            <w:r>
              <w:rPr>
                <w:sz w:val="20"/>
                <w:szCs w:val="20"/>
              </w:rPr>
              <w:t>projekts:</w:t>
            </w:r>
            <w:r>
              <w:rPr>
                <w:rStyle w:val="spelle"/>
                <w:sz w:val="28"/>
                <w:szCs w:val="28"/>
              </w:rPr>
              <w:t xml:space="preserve">  </w:t>
            </w:r>
          </w:p>
          <w:p w14:paraId="4D66DD77" w14:textId="77777777" w:rsidR="001F041A" w:rsidRPr="00910823" w:rsidRDefault="001F041A" w:rsidP="001F041A">
            <w:pPr>
              <w:rPr>
                <w:sz w:val="20"/>
                <w:szCs w:val="20"/>
              </w:rPr>
            </w:pPr>
            <w:r>
              <w:rPr>
                <w:rStyle w:val="spelle"/>
                <w:sz w:val="28"/>
                <w:szCs w:val="28"/>
              </w:rPr>
              <w:t xml:space="preserve"> </w:t>
            </w:r>
            <w:r w:rsidRPr="00910823">
              <w:rPr>
                <w:sz w:val="20"/>
                <w:szCs w:val="20"/>
              </w:rPr>
              <w:t>2. Atbalstīt priekšlikumus par:</w:t>
            </w:r>
          </w:p>
          <w:p w14:paraId="7E4AEF00" w14:textId="77777777" w:rsidR="001F041A" w:rsidRDefault="001F041A" w:rsidP="001F041A">
            <w:pPr>
              <w:rPr>
                <w:sz w:val="20"/>
                <w:szCs w:val="20"/>
              </w:rPr>
            </w:pPr>
            <w:r w:rsidRPr="00910823">
              <w:rPr>
                <w:sz w:val="20"/>
                <w:szCs w:val="20"/>
              </w:rPr>
              <w:t>2.2. papildu 50 tehnisko līdzekļu (fotoradaru)  un 50 to “mulāžu” uzstādīšanu un darbības nodrošināšanu laikposmā no 2020. līdz 2022.gadam;</w:t>
            </w:r>
          </w:p>
          <w:p w14:paraId="1BBFCBDD" w14:textId="77777777" w:rsidR="001F041A" w:rsidRPr="00910823" w:rsidRDefault="001F041A" w:rsidP="001F041A">
            <w:pPr>
              <w:jc w:val="both"/>
              <w:rPr>
                <w:sz w:val="20"/>
                <w:szCs w:val="20"/>
              </w:rPr>
            </w:pPr>
            <w:r w:rsidRPr="00910823">
              <w:rPr>
                <w:sz w:val="20"/>
                <w:szCs w:val="20"/>
              </w:rPr>
              <w:lastRenderedPageBreak/>
              <w:t>8. Noteikt, ka no valsts budžeta līdzekļiem  finansēto  tehnisko līdzekļu (fotoradaru) nolietojuma uzkrājumu 310 643,32 euro apmērā Ceļu satiksmes drošības direkcija izlieto:</w:t>
            </w:r>
          </w:p>
          <w:p w14:paraId="27FC9050" w14:textId="77777777" w:rsidR="001F041A" w:rsidRPr="00910823" w:rsidRDefault="001F041A" w:rsidP="001F041A">
            <w:pPr>
              <w:jc w:val="both"/>
              <w:rPr>
                <w:sz w:val="20"/>
                <w:szCs w:val="20"/>
              </w:rPr>
            </w:pPr>
            <w:r w:rsidRPr="00910823">
              <w:rPr>
                <w:sz w:val="20"/>
                <w:szCs w:val="20"/>
              </w:rPr>
              <w:t xml:space="preserve"> 8.2. 2020.gadā,  lai segtu izdevumus, kas saistīti ar šā protokollēmuma 2.2.apakšpunktā minēto fotoradaru iegādi un uzstādīšanu.</w:t>
            </w:r>
          </w:p>
          <w:p w14:paraId="1F391B4A" w14:textId="77777777" w:rsidR="001F041A" w:rsidRDefault="001F041A" w:rsidP="001F041A">
            <w:pPr>
              <w:rPr>
                <w:sz w:val="20"/>
                <w:szCs w:val="20"/>
              </w:rPr>
            </w:pPr>
          </w:p>
          <w:p w14:paraId="59BDADD5" w14:textId="77777777" w:rsidR="001F041A" w:rsidRDefault="001F041A" w:rsidP="001F041A">
            <w:pPr>
              <w:rPr>
                <w:sz w:val="20"/>
                <w:szCs w:val="20"/>
              </w:rPr>
            </w:pPr>
            <w:r>
              <w:rPr>
                <w:sz w:val="20"/>
                <w:szCs w:val="20"/>
              </w:rPr>
              <w:t xml:space="preserve">√ </w:t>
            </w:r>
            <w:r w:rsidRPr="00F33597">
              <w:rPr>
                <w:sz w:val="20"/>
                <w:szCs w:val="20"/>
              </w:rPr>
              <w:t>Informatīvā ziņojuma</w:t>
            </w:r>
            <w:r>
              <w:rPr>
                <w:sz w:val="20"/>
                <w:szCs w:val="20"/>
              </w:rPr>
              <w:t xml:space="preserve"> 3.2.sadaļa. </w:t>
            </w:r>
          </w:p>
          <w:p w14:paraId="6CD8B1A2"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238631" w14:textId="77777777" w:rsidR="001F041A" w:rsidRPr="00BD72F8" w:rsidRDefault="001F041A" w:rsidP="001F041A">
            <w:pPr>
              <w:jc w:val="center"/>
              <w:rPr>
                <w:b/>
                <w:sz w:val="20"/>
                <w:szCs w:val="20"/>
              </w:rPr>
            </w:pPr>
            <w:r w:rsidRPr="00BD72F8">
              <w:rPr>
                <w:b/>
                <w:sz w:val="20"/>
                <w:szCs w:val="20"/>
              </w:rPr>
              <w:lastRenderedPageBreak/>
              <w:t>Finanšu ministrija</w:t>
            </w:r>
          </w:p>
          <w:p w14:paraId="7DDFE6D4"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11A75BD6" w14:textId="77777777" w:rsidR="001F041A" w:rsidRPr="00BD72F8" w:rsidRDefault="001F041A" w:rsidP="001F041A">
            <w:pPr>
              <w:jc w:val="both"/>
              <w:rPr>
                <w:sz w:val="20"/>
                <w:szCs w:val="20"/>
              </w:rPr>
            </w:pPr>
            <w:r w:rsidRPr="00BD72F8">
              <w:rPr>
                <w:sz w:val="20"/>
                <w:szCs w:val="20"/>
                <w:shd w:val="clear" w:color="auto" w:fill="FFFFFF"/>
              </w:rPr>
              <w:t>CSDD atbilstoši Centrālās statistikas pārvaldes izveidotajam un uzturētajam institucionālo vienību klasifikācijas sarakstam ir piederīga pie vispārējās valdības institucionālā sektora, kas savukārt nozīmē, ka šī institucionālā vienība ar savu saimnieciskās darbības rezultātu (veiktajiem kapitālieguldījumiem, nekustamā īpašuma atsavināšanu,  peļņu/zaudējumiem u.c. rādītājiem) Eiropas kontu sistēmas (turpmāk – EKS) metodoloģijas izpratnē ietekmē vispārējās valdības budžeta bilanci (neto aizdevumus/neto aizņēmumus). </w:t>
            </w:r>
          </w:p>
          <w:p w14:paraId="5C7AEE4B" w14:textId="77777777" w:rsidR="001F041A" w:rsidRPr="00BD72F8" w:rsidRDefault="001F041A" w:rsidP="001F041A">
            <w:pPr>
              <w:ind w:firstLine="720"/>
              <w:jc w:val="both"/>
              <w:rPr>
                <w:sz w:val="20"/>
                <w:szCs w:val="20"/>
                <w:shd w:val="clear" w:color="auto" w:fill="FFFFFF"/>
              </w:rPr>
            </w:pPr>
            <w:r w:rsidRPr="00BD72F8">
              <w:rPr>
                <w:sz w:val="20"/>
                <w:szCs w:val="20"/>
                <w:shd w:val="clear" w:color="auto" w:fill="FFFFFF"/>
              </w:rPr>
              <w:t xml:space="preserve">Atbilstoši EKS metodoloģijai </w:t>
            </w:r>
            <w:r w:rsidRPr="00BD72F8">
              <w:rPr>
                <w:sz w:val="20"/>
                <w:szCs w:val="20"/>
              </w:rPr>
              <w:t xml:space="preserve">Ministru kabineta sēdes </w:t>
            </w:r>
            <w:r w:rsidRPr="00B85990">
              <w:rPr>
                <w:b/>
                <w:sz w:val="20"/>
                <w:szCs w:val="20"/>
              </w:rPr>
              <w:t xml:space="preserve">protokollēmuma projekta </w:t>
            </w:r>
            <w:r w:rsidRPr="00B85990">
              <w:rPr>
                <w:b/>
                <w:sz w:val="20"/>
                <w:szCs w:val="20"/>
                <w:shd w:val="clear" w:color="auto" w:fill="FFFFFF"/>
              </w:rPr>
              <w:t xml:space="preserve">2.2.apakšpunktā un 8.punktā paredzētie pasākumi tiks uzskaitīti kā vispārējās valdības budžeta izdevumi un sekojoši provizoriski pasliktinās </w:t>
            </w:r>
            <w:r w:rsidRPr="00B85990">
              <w:rPr>
                <w:b/>
                <w:sz w:val="20"/>
                <w:szCs w:val="20"/>
                <w:shd w:val="clear" w:color="auto" w:fill="FFFFFF"/>
              </w:rPr>
              <w:lastRenderedPageBreak/>
              <w:t>vispārējās valdības budžeta bilanci (fiskālo telpu)</w:t>
            </w:r>
            <w:r>
              <w:rPr>
                <w:b/>
                <w:sz w:val="20"/>
                <w:szCs w:val="20"/>
                <w:shd w:val="clear" w:color="auto" w:fill="FFFFFF"/>
              </w:rPr>
              <w:t xml:space="preserve"> (VVBB)</w:t>
            </w:r>
            <w:r w:rsidRPr="00B85990">
              <w:rPr>
                <w:b/>
                <w:sz w:val="20"/>
                <w:szCs w:val="20"/>
                <w:shd w:val="clear" w:color="auto" w:fill="FFFFFF"/>
              </w:rPr>
              <w:t xml:space="preserve"> kapitālo ieguldījumu un ar to saistīto izmaksu apmērā 2019.-2022.gadam</w:t>
            </w:r>
            <w:r w:rsidRPr="00BD72F8">
              <w:rPr>
                <w:sz w:val="20"/>
                <w:szCs w:val="20"/>
                <w:shd w:val="clear" w:color="auto" w:fill="FFFFFF"/>
              </w:rPr>
              <w:t>. Tajā pašā laikā informējam, ka atbilstoši EKS metodoloģijai iepriekšminēto pasākumu finansēšana no CSDD valsts budžetā neiemaksātajām dividendēm vai nolietojuma uzkrājuma nav atzīstami par papildu izdevumu neitralizējošiem pasākumiem (t.i. tie nav ieņēmumi un tie nesamazina plānotos izdevumus).</w:t>
            </w:r>
          </w:p>
          <w:p w14:paraId="73148D02" w14:textId="77777777" w:rsidR="001F041A" w:rsidRPr="00BD72F8" w:rsidRDefault="001F041A" w:rsidP="001F041A">
            <w:pPr>
              <w:ind w:firstLine="720"/>
              <w:jc w:val="both"/>
              <w:rPr>
                <w:b/>
                <w:sz w:val="20"/>
                <w:szCs w:val="20"/>
              </w:rPr>
            </w:pPr>
            <w:r w:rsidRPr="00BD72F8">
              <w:rPr>
                <w:sz w:val="20"/>
                <w:szCs w:val="20"/>
              </w:rPr>
              <w:t xml:space="preserve">Tādējādi lūdzam </w:t>
            </w:r>
            <w:r w:rsidRPr="00B85990">
              <w:rPr>
                <w:b/>
                <w:sz w:val="20"/>
                <w:szCs w:val="20"/>
              </w:rPr>
              <w:t>papildināt informatīvo ziņojumu ar augstāk minēto informāciju, kā arī lūdzam informatīvajā ziņojumā sniegt detalizētu informāciju par pasākumu ikgadējo ietekmi uz vispārējās valdības budžeta bilanci laika posmā no 2019.gada līdz 2022.gadam</w:t>
            </w:r>
            <w:r w:rsidRPr="00BD72F8">
              <w:rPr>
                <w:sz w:val="20"/>
                <w:szCs w:val="20"/>
              </w:rPr>
              <w:t>. Vienlaicīgi vēršam uzmanību, ka par negatīvās ietekmes mazinošu vai neitralizējošu pasākumu var uzskatīt fotoradaru darbības rezultātā gūtos papildu valsts budžeta ieņēmumus, kuri nav jau attiecināti vai rezervēti pret citām izdevumu pozīcijām. Līdz ar to lūdzam pie ikgadējās ietekmes uz vispārējās valdības budžeta bilanci norādīt arī ieņēmumu prognozes no papildu iegādātajiem fotoradariem, norādot vai un kādā apmērā šie ieņēmumi ir attiecināti vai rezervēti pret citām izdevumu pozīcijām.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7276CA"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lastRenderedPageBreak/>
              <w:t>Jautājums pārrunāts 19.03.2019. starpministriju (starpinstitūciju) sanāksmē.</w:t>
            </w:r>
          </w:p>
          <w:p w14:paraId="20442755"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 xml:space="preserve">Iebildums ņemts vērā. </w:t>
            </w:r>
          </w:p>
          <w:p w14:paraId="71A5BCC5" w14:textId="73FF3C1C" w:rsidR="001F041A" w:rsidRDefault="001F041A" w:rsidP="001F041A">
            <w:pPr>
              <w:pStyle w:val="NormalWeb"/>
              <w:ind w:left="34"/>
              <w:jc w:val="both"/>
              <w:rPr>
                <w:rFonts w:ascii="Times New Roman" w:hAnsi="Times New Roman"/>
                <w:sz w:val="20"/>
                <w:szCs w:val="20"/>
              </w:rPr>
            </w:pPr>
            <w:r w:rsidRPr="00B2402F">
              <w:rPr>
                <w:rFonts w:ascii="Times New Roman" w:hAnsi="Times New Roman"/>
                <w:sz w:val="20"/>
                <w:szCs w:val="20"/>
              </w:rPr>
              <w:t>Vienlaikus vēršam uzmanību uz to, ka</w:t>
            </w:r>
            <w:r>
              <w:rPr>
                <w:rFonts w:ascii="Times New Roman" w:hAnsi="Times New Roman"/>
                <w:b/>
                <w:sz w:val="20"/>
                <w:szCs w:val="20"/>
              </w:rPr>
              <w:t xml:space="preserve"> </w:t>
            </w:r>
            <w:r w:rsidRPr="00550C16">
              <w:rPr>
                <w:rFonts w:ascii="Times New Roman" w:hAnsi="Times New Roman"/>
                <w:sz w:val="20"/>
                <w:szCs w:val="20"/>
              </w:rPr>
              <w:t>p</w:t>
            </w:r>
            <w:r w:rsidR="00550C16">
              <w:rPr>
                <w:rFonts w:ascii="Times New Roman" w:hAnsi="Times New Roman"/>
                <w:sz w:val="20"/>
                <w:szCs w:val="20"/>
              </w:rPr>
              <w:t>rotokollēmuma projekta 7</w:t>
            </w:r>
            <w:r w:rsidRPr="00550C16">
              <w:rPr>
                <w:rFonts w:ascii="Times New Roman" w:hAnsi="Times New Roman"/>
                <w:sz w:val="20"/>
                <w:szCs w:val="20"/>
              </w:rPr>
              <w:t xml:space="preserve">.punktā </w:t>
            </w:r>
            <w:r w:rsidR="003D595C">
              <w:rPr>
                <w:rFonts w:ascii="Times New Roman" w:hAnsi="Times New Roman"/>
                <w:sz w:val="20"/>
                <w:szCs w:val="20"/>
              </w:rPr>
              <w:t xml:space="preserve">(precizēta numerācija) </w:t>
            </w:r>
            <w:r w:rsidRPr="00550C16">
              <w:rPr>
                <w:rFonts w:ascii="Times New Roman" w:hAnsi="Times New Roman"/>
                <w:sz w:val="20"/>
                <w:szCs w:val="20"/>
              </w:rPr>
              <w:t>norādītā summa jau vienreiz ir tikusi uzskaitīta kā valsts budžeta izdevumi, jo šo summu VP ir jau pārskaitījusi CSDD. Vai</w:t>
            </w:r>
            <w:r>
              <w:rPr>
                <w:rFonts w:ascii="Times New Roman" w:hAnsi="Times New Roman"/>
                <w:b/>
                <w:sz w:val="20"/>
                <w:szCs w:val="20"/>
              </w:rPr>
              <w:t xml:space="preserve"> </w:t>
            </w:r>
            <w:r w:rsidRPr="009751DC">
              <w:rPr>
                <w:rFonts w:ascii="Times New Roman" w:hAnsi="Times New Roman"/>
                <w:sz w:val="20"/>
                <w:szCs w:val="20"/>
              </w:rPr>
              <w:t xml:space="preserve">CSDD, veicot </w:t>
            </w:r>
            <w:r>
              <w:rPr>
                <w:rFonts w:ascii="Times New Roman" w:hAnsi="Times New Roman"/>
                <w:sz w:val="20"/>
                <w:szCs w:val="20"/>
              </w:rPr>
              <w:t xml:space="preserve">kapitālos </w:t>
            </w:r>
            <w:r w:rsidRPr="009751DC">
              <w:rPr>
                <w:rFonts w:ascii="Times New Roman" w:hAnsi="Times New Roman"/>
                <w:sz w:val="20"/>
                <w:szCs w:val="20"/>
              </w:rPr>
              <w:t xml:space="preserve">izdevumus no šī </w:t>
            </w:r>
            <w:r w:rsidRPr="009751DC">
              <w:rPr>
                <w:rFonts w:ascii="Times New Roman" w:hAnsi="Times New Roman"/>
                <w:sz w:val="20"/>
                <w:szCs w:val="20"/>
              </w:rPr>
              <w:lastRenderedPageBreak/>
              <w:t>uzkrājum</w:t>
            </w:r>
            <w:r>
              <w:rPr>
                <w:rFonts w:ascii="Times New Roman" w:hAnsi="Times New Roman"/>
                <w:sz w:val="20"/>
                <w:szCs w:val="20"/>
              </w:rPr>
              <w:t>a</w:t>
            </w:r>
            <w:r w:rsidRPr="009751DC">
              <w:rPr>
                <w:rFonts w:ascii="Times New Roman" w:hAnsi="Times New Roman"/>
                <w:sz w:val="20"/>
                <w:szCs w:val="20"/>
              </w:rPr>
              <w:t>, atkal veidojas ietekme uz VVBB?</w:t>
            </w:r>
          </w:p>
          <w:p w14:paraId="7E47CA0C"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231F3190" w14:textId="77777777" w:rsidR="001F041A" w:rsidRPr="007843A1" w:rsidRDefault="001F041A" w:rsidP="001F041A">
            <w:pPr>
              <w:pStyle w:val="NormalWeb"/>
              <w:ind w:left="34"/>
              <w:jc w:val="both"/>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BD16E2" w14:textId="77777777" w:rsidR="001F041A" w:rsidRDefault="001F041A" w:rsidP="001F041A">
            <w:pPr>
              <w:jc w:val="both"/>
              <w:rPr>
                <w:sz w:val="20"/>
                <w:szCs w:val="20"/>
              </w:rPr>
            </w:pPr>
            <w:r>
              <w:rPr>
                <w:sz w:val="22"/>
                <w:szCs w:val="22"/>
              </w:rPr>
              <w:lastRenderedPageBreak/>
              <w:t xml:space="preserve">√ </w:t>
            </w:r>
            <w:r w:rsidRPr="00507D0D">
              <w:rPr>
                <w:sz w:val="20"/>
                <w:szCs w:val="20"/>
              </w:rPr>
              <w:t>Precizēts protokollēmuma projekts:</w:t>
            </w:r>
          </w:p>
          <w:p w14:paraId="3723D76F" w14:textId="77777777" w:rsidR="001F041A" w:rsidRPr="008E4432" w:rsidRDefault="001F041A" w:rsidP="001F041A">
            <w:pPr>
              <w:jc w:val="both"/>
              <w:rPr>
                <w:sz w:val="20"/>
                <w:szCs w:val="20"/>
              </w:rPr>
            </w:pPr>
            <w:r w:rsidRPr="008E4432">
              <w:rPr>
                <w:sz w:val="20"/>
                <w:szCs w:val="20"/>
              </w:rPr>
              <w:t>2. Atbalstīt priekšlikumus par:</w:t>
            </w:r>
          </w:p>
          <w:p w14:paraId="750C9690" w14:textId="77777777" w:rsidR="001F041A" w:rsidRDefault="001F041A" w:rsidP="001F041A">
            <w:pPr>
              <w:jc w:val="both"/>
              <w:rPr>
                <w:sz w:val="20"/>
                <w:szCs w:val="20"/>
              </w:rPr>
            </w:pPr>
            <w:r w:rsidRPr="008E4432">
              <w:rPr>
                <w:sz w:val="20"/>
                <w:szCs w:val="20"/>
              </w:rPr>
              <w:t xml:space="preserve">      2.2. papildu 50 tehnisko līdzekļu (fotoradaru) un 50 to “mulāžu” uzstādīšanu un darbības nodrošināšanu laikposmā no 2021. līdz </w:t>
            </w:r>
            <w:proofErr w:type="gramStart"/>
            <w:r w:rsidRPr="008E4432">
              <w:rPr>
                <w:sz w:val="20"/>
                <w:szCs w:val="20"/>
              </w:rPr>
              <w:t>2023.gadam</w:t>
            </w:r>
            <w:proofErr w:type="gramEnd"/>
            <w:r w:rsidRPr="008E4432">
              <w:rPr>
                <w:sz w:val="20"/>
                <w:szCs w:val="20"/>
              </w:rPr>
              <w:t>;</w:t>
            </w:r>
          </w:p>
          <w:p w14:paraId="5C6F2BE4" w14:textId="77777777" w:rsidR="003D595C" w:rsidRPr="003D595C" w:rsidRDefault="003D595C" w:rsidP="003D595C">
            <w:pPr>
              <w:jc w:val="both"/>
              <w:rPr>
                <w:rStyle w:val="spelle"/>
                <w:sz w:val="20"/>
                <w:szCs w:val="20"/>
              </w:rPr>
            </w:pPr>
            <w:r w:rsidRPr="003D595C">
              <w:rPr>
                <w:rStyle w:val="spelle"/>
                <w:sz w:val="20"/>
                <w:szCs w:val="20"/>
              </w:rPr>
              <w:t>7. Noteikt, ka no valsts budžeta līdzekļiem</w:t>
            </w:r>
            <w:proofErr w:type="gramStart"/>
            <w:r w:rsidRPr="003D595C">
              <w:rPr>
                <w:rStyle w:val="spelle"/>
                <w:sz w:val="20"/>
                <w:szCs w:val="20"/>
              </w:rPr>
              <w:t xml:space="preserve">  </w:t>
            </w:r>
            <w:proofErr w:type="gramEnd"/>
            <w:r w:rsidRPr="003D595C">
              <w:rPr>
                <w:rStyle w:val="spelle"/>
                <w:sz w:val="20"/>
                <w:szCs w:val="20"/>
              </w:rPr>
              <w:lastRenderedPageBreak/>
              <w:t xml:space="preserve">finansēto  tehnisko līdzekļu (fotoradaru) nolietojuma uzkrājumu 310 643 </w:t>
            </w:r>
            <w:r w:rsidRPr="003D595C">
              <w:rPr>
                <w:rStyle w:val="spelle"/>
                <w:i/>
                <w:sz w:val="20"/>
                <w:szCs w:val="20"/>
              </w:rPr>
              <w:t>euro</w:t>
            </w:r>
            <w:r w:rsidRPr="003D595C">
              <w:rPr>
                <w:rStyle w:val="spelle"/>
                <w:sz w:val="20"/>
                <w:szCs w:val="20"/>
              </w:rPr>
              <w:t xml:space="preserve"> apmērā Ceļu satiksmes drošības direkcija izlieto:</w:t>
            </w:r>
          </w:p>
          <w:p w14:paraId="2FF3AED5" w14:textId="77777777" w:rsidR="003D595C" w:rsidRPr="003D595C" w:rsidRDefault="003D595C" w:rsidP="003D595C">
            <w:pPr>
              <w:ind w:firstLine="709"/>
              <w:jc w:val="both"/>
              <w:rPr>
                <w:rStyle w:val="spelle"/>
                <w:sz w:val="20"/>
                <w:szCs w:val="20"/>
              </w:rPr>
            </w:pPr>
            <w:r w:rsidRPr="003D595C">
              <w:rPr>
                <w:rStyle w:val="spelle"/>
                <w:sz w:val="20"/>
                <w:szCs w:val="20"/>
              </w:rPr>
              <w:t xml:space="preserve">7.1. </w:t>
            </w:r>
            <w:proofErr w:type="gramStart"/>
            <w:r w:rsidRPr="003D595C">
              <w:rPr>
                <w:rStyle w:val="spelle"/>
                <w:sz w:val="20"/>
                <w:szCs w:val="20"/>
              </w:rPr>
              <w:t>2019.gadā</w:t>
            </w:r>
            <w:proofErr w:type="gramEnd"/>
            <w:r w:rsidRPr="003D595C">
              <w:rPr>
                <w:rStyle w:val="spelle"/>
                <w:sz w:val="20"/>
                <w:szCs w:val="20"/>
              </w:rPr>
              <w:t>, lai segtu izdevumus, kas saistīti ar  luksoforu signālu kontroles ierīču iegādi un uzstādīšanu</w:t>
            </w:r>
            <w:r w:rsidRPr="003D595C">
              <w:rPr>
                <w:sz w:val="20"/>
                <w:szCs w:val="20"/>
              </w:rPr>
              <w:t xml:space="preserve"> </w:t>
            </w:r>
            <w:r w:rsidRPr="003D595C">
              <w:rPr>
                <w:rStyle w:val="spelle"/>
                <w:sz w:val="20"/>
                <w:szCs w:val="20"/>
              </w:rPr>
              <w:t xml:space="preserve">(papildu funkcionalitātes programmnodrošinājuma izstrādi, fotoradaru saslēgšanu ar luksoforiem, ierīces tipa apstiprināšanu un verifikāciju) ne vairāk kā 31 440 </w:t>
            </w:r>
            <w:r w:rsidRPr="003D595C">
              <w:rPr>
                <w:rStyle w:val="spelle"/>
                <w:i/>
                <w:sz w:val="20"/>
                <w:szCs w:val="20"/>
              </w:rPr>
              <w:t>euro</w:t>
            </w:r>
            <w:r w:rsidRPr="003D595C">
              <w:rPr>
                <w:rStyle w:val="spelle"/>
                <w:sz w:val="20"/>
                <w:szCs w:val="20"/>
              </w:rPr>
              <w:t xml:space="preserve"> apmērā;</w:t>
            </w:r>
          </w:p>
          <w:p w14:paraId="3286F586" w14:textId="7ADDDF51" w:rsidR="003D595C" w:rsidRPr="003D595C" w:rsidRDefault="003D595C" w:rsidP="003D595C">
            <w:pPr>
              <w:ind w:firstLine="709"/>
              <w:jc w:val="both"/>
              <w:rPr>
                <w:rStyle w:val="spelle"/>
                <w:sz w:val="20"/>
                <w:szCs w:val="20"/>
              </w:rPr>
            </w:pPr>
            <w:r w:rsidRPr="003D595C">
              <w:rPr>
                <w:rStyle w:val="spelle"/>
                <w:sz w:val="20"/>
                <w:szCs w:val="20"/>
              </w:rPr>
              <w:t xml:space="preserve">7.2. 2022. un </w:t>
            </w:r>
            <w:proofErr w:type="gramStart"/>
            <w:r w:rsidRPr="003D595C">
              <w:rPr>
                <w:rStyle w:val="spelle"/>
                <w:sz w:val="20"/>
                <w:szCs w:val="20"/>
              </w:rPr>
              <w:t>2023.gadā</w:t>
            </w:r>
            <w:proofErr w:type="gramEnd"/>
            <w:r w:rsidRPr="003D595C">
              <w:rPr>
                <w:rStyle w:val="spelle"/>
                <w:sz w:val="20"/>
                <w:szCs w:val="20"/>
              </w:rPr>
              <w:t>,  lai segtu izdevumus, kas saistīti ar šā protokollēmuma 2.2.apakšpunktā minēto fotoradaru iegādi un uzstādīšanu.”.</w:t>
            </w:r>
          </w:p>
          <w:p w14:paraId="32CEA9F1" w14:textId="77777777" w:rsidR="00550C16" w:rsidRPr="008E4432" w:rsidRDefault="00550C16" w:rsidP="001F041A">
            <w:pPr>
              <w:jc w:val="both"/>
              <w:rPr>
                <w:sz w:val="20"/>
                <w:szCs w:val="20"/>
              </w:rPr>
            </w:pPr>
          </w:p>
          <w:p w14:paraId="6AC63D9D" w14:textId="77777777" w:rsidR="001F041A" w:rsidRDefault="001F041A" w:rsidP="001F041A">
            <w:pPr>
              <w:jc w:val="both"/>
              <w:rPr>
                <w:sz w:val="22"/>
                <w:szCs w:val="22"/>
                <w:highlight w:val="yellow"/>
              </w:rPr>
            </w:pPr>
            <w:r w:rsidRPr="00822E98">
              <w:rPr>
                <w:sz w:val="22"/>
                <w:szCs w:val="22"/>
              </w:rPr>
              <w:t xml:space="preserve">√ </w:t>
            </w:r>
            <w:r w:rsidRPr="008E4432">
              <w:rPr>
                <w:sz w:val="20"/>
                <w:szCs w:val="20"/>
              </w:rPr>
              <w:t>Papildināta</w:t>
            </w:r>
            <w:r>
              <w:rPr>
                <w:sz w:val="22"/>
                <w:szCs w:val="22"/>
              </w:rPr>
              <w:t xml:space="preserve"> </w:t>
            </w:r>
            <w:r>
              <w:rPr>
                <w:sz w:val="20"/>
                <w:szCs w:val="20"/>
              </w:rPr>
              <w:t>i</w:t>
            </w:r>
            <w:r w:rsidRPr="00F33597">
              <w:rPr>
                <w:sz w:val="20"/>
                <w:szCs w:val="20"/>
              </w:rPr>
              <w:t>nformatīvā ziņojuma</w:t>
            </w:r>
            <w:r>
              <w:rPr>
                <w:sz w:val="20"/>
                <w:szCs w:val="20"/>
              </w:rPr>
              <w:t xml:space="preserve"> 3.2.sadaļa. </w:t>
            </w:r>
          </w:p>
          <w:p w14:paraId="523696B0" w14:textId="77777777" w:rsidR="001F041A" w:rsidRPr="00844AE7" w:rsidRDefault="001F041A" w:rsidP="001F041A">
            <w:pPr>
              <w:jc w:val="both"/>
              <w:rPr>
                <w:sz w:val="22"/>
                <w:szCs w:val="22"/>
              </w:rPr>
            </w:pPr>
          </w:p>
        </w:tc>
      </w:tr>
      <w:tr w:rsidR="001F041A" w:rsidRPr="00A26DDD" w14:paraId="73311F16"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B607B91" w14:textId="60B8F21F" w:rsidR="001F041A" w:rsidRDefault="00ED49EE" w:rsidP="001F041A">
            <w:pPr>
              <w:jc w:val="center"/>
              <w:rPr>
                <w:sz w:val="22"/>
                <w:szCs w:val="22"/>
                <w:highlight w:val="green"/>
              </w:rPr>
            </w:pPr>
            <w:r>
              <w:rPr>
                <w:sz w:val="22"/>
                <w:szCs w:val="22"/>
              </w:rPr>
              <w:lastRenderedPageBreak/>
              <w:t>16</w:t>
            </w:r>
            <w:r w:rsidR="001F041A" w:rsidRPr="000C567C">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AB9449" w14:textId="77777777" w:rsidR="001F041A" w:rsidRDefault="001F041A" w:rsidP="001F041A">
            <w:pPr>
              <w:jc w:val="both"/>
              <w:rPr>
                <w:sz w:val="20"/>
                <w:szCs w:val="20"/>
              </w:rPr>
            </w:pPr>
            <w:r>
              <w:rPr>
                <w:sz w:val="20"/>
                <w:szCs w:val="20"/>
              </w:rPr>
              <w:t>Protokollēmuma projekts:</w:t>
            </w:r>
          </w:p>
          <w:p w14:paraId="4B64799A" w14:textId="77777777" w:rsidR="001F041A" w:rsidRPr="0002590F" w:rsidRDefault="001F041A" w:rsidP="001F041A">
            <w:pPr>
              <w:jc w:val="both"/>
              <w:rPr>
                <w:sz w:val="20"/>
                <w:szCs w:val="20"/>
              </w:rPr>
            </w:pPr>
            <w:r w:rsidRPr="0002590F">
              <w:rPr>
                <w:sz w:val="20"/>
                <w:szCs w:val="20"/>
              </w:rPr>
              <w:t>2. Atbalstīt priekšlikumus par:</w:t>
            </w:r>
          </w:p>
          <w:p w14:paraId="6899F4EA" w14:textId="77777777" w:rsidR="001F041A" w:rsidRPr="0002590F" w:rsidRDefault="001F041A" w:rsidP="001F041A">
            <w:pPr>
              <w:jc w:val="both"/>
              <w:rPr>
                <w:sz w:val="20"/>
                <w:szCs w:val="20"/>
              </w:rPr>
            </w:pPr>
            <w:r w:rsidRPr="0002590F">
              <w:rPr>
                <w:sz w:val="20"/>
                <w:szCs w:val="20"/>
              </w:rPr>
              <w:t xml:space="preserve">     2.2. papildu 50 tehnisko līdzekļu (fotoradaru)</w:t>
            </w:r>
            <w:proofErr w:type="gramStart"/>
            <w:r w:rsidRPr="0002590F">
              <w:rPr>
                <w:sz w:val="20"/>
                <w:szCs w:val="20"/>
              </w:rPr>
              <w:t xml:space="preserve">  </w:t>
            </w:r>
            <w:proofErr w:type="gramEnd"/>
            <w:r w:rsidRPr="0002590F">
              <w:rPr>
                <w:sz w:val="20"/>
                <w:szCs w:val="20"/>
              </w:rPr>
              <w:t>un 50 to “mulāžu” uzstādīšanu un darbības nodrošināšanu laikposmā no 2020. līdz 2022.gadam;</w:t>
            </w:r>
          </w:p>
          <w:p w14:paraId="7555AB64" w14:textId="77777777" w:rsidR="001F041A" w:rsidRPr="0002590F" w:rsidRDefault="001F041A" w:rsidP="001F041A">
            <w:pPr>
              <w:jc w:val="both"/>
              <w:rPr>
                <w:sz w:val="20"/>
                <w:szCs w:val="20"/>
              </w:rPr>
            </w:pPr>
            <w:r w:rsidRPr="0002590F">
              <w:rPr>
                <w:sz w:val="20"/>
                <w:szCs w:val="20"/>
              </w:rPr>
              <w:lastRenderedPageBreak/>
              <w:t xml:space="preserve">     2.4. šā protokollēmuma 2.2. apakšpunktā minēto tehnisko līdzekļu (fotoradaru)</w:t>
            </w:r>
            <w:proofErr w:type="gramStart"/>
            <w:r w:rsidRPr="0002590F">
              <w:rPr>
                <w:sz w:val="20"/>
                <w:szCs w:val="20"/>
              </w:rPr>
              <w:t xml:space="preserve">  </w:t>
            </w:r>
            <w:proofErr w:type="gramEnd"/>
            <w:r w:rsidRPr="0002590F">
              <w:rPr>
                <w:sz w:val="20"/>
                <w:szCs w:val="20"/>
              </w:rPr>
              <w:t>un 50 to “mulāžu” iegādes un uzstādīšanas nodrošināšanu atbilstoši  informatīvajā ziņojumā ietvertajam fotoradaru iegādes un uzstādīšanas 2.modelim (turpmāk – 2.modelis), finansējot to no valstij izmaksājamām Ceļu satiksmes drošības direkcijas dividendēm, kas netiek ieskaitītas valsts pamatbudžeta ieņēmumos atbilstoši atsevišķam Ministru kabineta lēmumam.</w:t>
            </w:r>
          </w:p>
          <w:p w14:paraId="729D1B3A" w14:textId="77777777" w:rsidR="001F041A" w:rsidRPr="0002590F" w:rsidRDefault="001F041A" w:rsidP="001F041A">
            <w:pPr>
              <w:jc w:val="both"/>
              <w:rPr>
                <w:sz w:val="20"/>
                <w:szCs w:val="20"/>
              </w:rPr>
            </w:pPr>
            <w:r w:rsidRPr="0002590F">
              <w:rPr>
                <w:sz w:val="20"/>
                <w:szCs w:val="20"/>
              </w:rPr>
              <w:t xml:space="preserve">     3. Lai īstenotu šā protokollēmuma 2.1., 2.2. un 2.3. apakšpunktā (izņemot autoceļu lietošanas nodevas nomaksas kontroles tehnisko risinājumu) minētos priekšlikumus, Iekšlietu ministrijai sadarbībā ar Satiksmes ministriju līdz </w:t>
            </w:r>
            <w:proofErr w:type="gramStart"/>
            <w:r w:rsidRPr="0002590F">
              <w:rPr>
                <w:sz w:val="20"/>
                <w:szCs w:val="20"/>
              </w:rPr>
              <w:t>2019.gada</w:t>
            </w:r>
            <w:proofErr w:type="gramEnd"/>
            <w:r w:rsidRPr="0002590F">
              <w:rPr>
                <w:sz w:val="20"/>
                <w:szCs w:val="20"/>
              </w:rPr>
              <w:t xml:space="preserve"> 1.aprīlim sagatavot un iekšlietu ministram normatīvajos aktos noteiktā kārtībā iesniegt Ministru kabinetā rīkojuma projektu par </w:t>
            </w:r>
            <w:r w:rsidRPr="0002590F">
              <w:rPr>
                <w:sz w:val="20"/>
                <w:szCs w:val="20"/>
              </w:rPr>
              <w:lastRenderedPageBreak/>
              <w:t xml:space="preserve">grozījumiem Ministru kabineta 2014.gada 29.jūlija rīkojumā Nr.382  “Par Iekšlietu ministrijas ilgtermiņa saistībām ceļu satiksmes pārkāpumu fiksēšanas tehnisko līdzekļu (fotoradaru) darbības nodrošināšanai”, paredzot uzdevumu Valsts policijai noslēgt attiecīgu valsts pārvaldes uzdevumu deleģēšanas līgumu ar valsts akciju sabiedrību “Ceļu satiksmes drošības direkcija” (turpmāk – Ceļu satiksmes drošības direkcija) laikposmam no 2020. līdz 2027.gadam atbilstoši Ceļu satiksmes likuma 43.7 panta pirmajā un otrajā daļā noteiktajam un precizējot Iekšlietu ministrijas ilgtermiņa saistību un izdevumu, kā arī valsts pamatbudžeta ieņēmumu no naudas sodiem, ko uzliek valsts policija par pārkāpumiem ceļu satiksmē, kas fiksēti ar  Ceļu satiksmes drošības direkcijai piederošajiem </w:t>
            </w:r>
            <w:r w:rsidRPr="0002590F">
              <w:rPr>
                <w:sz w:val="20"/>
                <w:szCs w:val="20"/>
              </w:rPr>
              <w:lastRenderedPageBreak/>
              <w:t>tehniskajiem līdzekļiem.</w:t>
            </w:r>
          </w:p>
          <w:p w14:paraId="6F7159EA" w14:textId="102A82AC" w:rsidR="001F041A" w:rsidRDefault="001F041A" w:rsidP="001F041A">
            <w:pPr>
              <w:jc w:val="both"/>
              <w:rPr>
                <w:sz w:val="20"/>
                <w:szCs w:val="20"/>
              </w:rPr>
            </w:pPr>
            <w:r w:rsidRPr="00BD72F8">
              <w:rPr>
                <w:sz w:val="20"/>
                <w:szCs w:val="20"/>
              </w:rPr>
              <w:t>informatīvā ziņojuma 3. un 6.pielikumā</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FA4A91" w14:textId="77777777" w:rsidR="001F041A" w:rsidRPr="00BD72F8" w:rsidRDefault="001F041A" w:rsidP="001F041A">
            <w:pPr>
              <w:jc w:val="center"/>
              <w:rPr>
                <w:b/>
                <w:sz w:val="20"/>
                <w:szCs w:val="20"/>
              </w:rPr>
            </w:pPr>
            <w:r w:rsidRPr="00BD72F8">
              <w:rPr>
                <w:b/>
                <w:sz w:val="20"/>
                <w:szCs w:val="20"/>
              </w:rPr>
              <w:lastRenderedPageBreak/>
              <w:t>Finanšu ministrija</w:t>
            </w:r>
          </w:p>
          <w:p w14:paraId="380B74DE"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6A936A1B" w14:textId="2A8F3A79" w:rsidR="001F041A" w:rsidRPr="00BD72F8" w:rsidRDefault="001F041A" w:rsidP="001F041A">
            <w:pPr>
              <w:jc w:val="both"/>
              <w:rPr>
                <w:b/>
                <w:sz w:val="20"/>
                <w:szCs w:val="20"/>
              </w:rPr>
            </w:pPr>
            <w:r w:rsidRPr="00BD72F8">
              <w:rPr>
                <w:sz w:val="20"/>
                <w:szCs w:val="20"/>
              </w:rPr>
              <w:t xml:space="preserve">Ņemot vērā šā atzinuma 6.punktā minēto informāciju un no tā izrietošo </w:t>
            </w:r>
            <w:r w:rsidRPr="00DF7F99">
              <w:rPr>
                <w:b/>
                <w:sz w:val="20"/>
                <w:szCs w:val="20"/>
              </w:rPr>
              <w:t>papildu fiskālo ietekmi,</w:t>
            </w:r>
            <w:r w:rsidRPr="00BD72F8">
              <w:rPr>
                <w:sz w:val="20"/>
                <w:szCs w:val="20"/>
              </w:rPr>
              <w:t xml:space="preserve"> kā arī izvērtējot informatīvā ziņojuma pielikumos sniegtos aprēķinus, informējam, ka </w:t>
            </w:r>
            <w:r w:rsidRPr="00DF7F99">
              <w:rPr>
                <w:b/>
                <w:sz w:val="20"/>
                <w:szCs w:val="20"/>
              </w:rPr>
              <w:t>šobrīd nevaram atbalstīt priekšlikumu par Iekšlietu ministrijas izvēlētā 2.modeļa ieviešanu, kas paredz iegādāties un uzturēt jaunus fotoradarus, jo fotoradaru iegāde, kā arī saskaņā ar informāciju informatīvā ziņojuma 3. un 6.pielikumā ir paredzama ievērojama negatīva fiskālā ietekme uz valsts budžetu</w:t>
            </w:r>
            <w:r w:rsidRPr="00BD72F8">
              <w:rPr>
                <w:sz w:val="20"/>
                <w:szCs w:val="20"/>
              </w:rPr>
              <w:t xml:space="preserve">. Līdz ar to jautājums ir risināms 2020.gada valsts budžeta likumprojekta un 2020., 2021. un 2022.gada vidēja termiņa budžeta ietvara likumprojekta sagatavošanas procesā. Ņemot vērā </w:t>
            </w:r>
            <w:r w:rsidRPr="00BD72F8">
              <w:rPr>
                <w:sz w:val="20"/>
                <w:szCs w:val="20"/>
              </w:rPr>
              <w:lastRenderedPageBreak/>
              <w:t xml:space="preserve">iepriekš minēto, lūdzam </w:t>
            </w:r>
            <w:r w:rsidRPr="00DF7F99">
              <w:rPr>
                <w:b/>
                <w:sz w:val="20"/>
                <w:szCs w:val="20"/>
              </w:rPr>
              <w:t>atbilstoši precizēt Ministru kabineta sēdes protokollēmuma projektu, svītrojot tā 2.2., 2.4. apakšpunktu un 3.punktu.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CA6DDA"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lastRenderedPageBreak/>
              <w:t>Iebildums ņemts vērā.</w:t>
            </w:r>
          </w:p>
          <w:p w14:paraId="345A70A4" w14:textId="20B4ACEC"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 xml:space="preserve">Pēc 02.05.2019. tikšanās ar Finanšu ministriju papildināts protokollēmums.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DDAC07" w14:textId="77777777" w:rsidR="001F041A" w:rsidRDefault="001F041A" w:rsidP="001F041A">
            <w:pPr>
              <w:jc w:val="both"/>
              <w:rPr>
                <w:sz w:val="20"/>
                <w:szCs w:val="20"/>
              </w:rPr>
            </w:pPr>
            <w:r w:rsidRPr="00507D0D">
              <w:rPr>
                <w:sz w:val="20"/>
                <w:szCs w:val="20"/>
              </w:rPr>
              <w:t>Precizēts protokollēmuma projekts</w:t>
            </w:r>
            <w:r>
              <w:rPr>
                <w:sz w:val="20"/>
                <w:szCs w:val="20"/>
              </w:rPr>
              <w:t>, papildināts ar 12. un 13.punktu.</w:t>
            </w:r>
          </w:p>
          <w:p w14:paraId="2C1D47C9" w14:textId="77777777" w:rsidR="001F041A" w:rsidRDefault="001F041A" w:rsidP="001F041A">
            <w:pPr>
              <w:jc w:val="both"/>
              <w:rPr>
                <w:sz w:val="20"/>
                <w:szCs w:val="20"/>
              </w:rPr>
            </w:pPr>
          </w:p>
          <w:p w14:paraId="6400C2FE" w14:textId="12557ABC" w:rsidR="00134AC9" w:rsidRPr="00134AC9" w:rsidRDefault="00134AC9" w:rsidP="00134AC9">
            <w:pPr>
              <w:pStyle w:val="ListParagraph"/>
              <w:ind w:left="0"/>
              <w:jc w:val="both"/>
              <w:rPr>
                <w:rStyle w:val="spelle"/>
                <w:rFonts w:ascii="Times New Roman" w:hAnsi="Times New Roman" w:cs="Times New Roman"/>
                <w:sz w:val="20"/>
                <w:szCs w:val="20"/>
              </w:rPr>
            </w:pPr>
            <w:r>
              <w:rPr>
                <w:rStyle w:val="spelle"/>
                <w:rFonts w:ascii="Times New Roman" w:hAnsi="Times New Roman" w:cs="Times New Roman"/>
                <w:sz w:val="20"/>
                <w:szCs w:val="20"/>
              </w:rPr>
              <w:t>“</w:t>
            </w:r>
            <w:r w:rsidRPr="00134AC9">
              <w:rPr>
                <w:rStyle w:val="spelle"/>
                <w:rFonts w:ascii="Times New Roman" w:hAnsi="Times New Roman" w:cs="Times New Roman"/>
                <w:sz w:val="20"/>
                <w:szCs w:val="20"/>
              </w:rPr>
              <w:t xml:space="preserve">12. Pieņemt zināšanai, ka izmaiņu veikšana spēkā esošajā Ministru kabineta </w:t>
            </w:r>
            <w:proofErr w:type="gramStart"/>
            <w:r w:rsidRPr="00134AC9">
              <w:rPr>
                <w:rStyle w:val="spelle"/>
                <w:rFonts w:ascii="Times New Roman" w:hAnsi="Times New Roman" w:cs="Times New Roman"/>
                <w:sz w:val="20"/>
                <w:szCs w:val="20"/>
              </w:rPr>
              <w:t>2014.gada</w:t>
            </w:r>
            <w:proofErr w:type="gramEnd"/>
            <w:r w:rsidRPr="00134AC9">
              <w:rPr>
                <w:rStyle w:val="spelle"/>
                <w:rFonts w:ascii="Times New Roman" w:hAnsi="Times New Roman" w:cs="Times New Roman"/>
                <w:sz w:val="20"/>
                <w:szCs w:val="20"/>
              </w:rPr>
              <w:t xml:space="preserve"> 29.jūlija rīkojumā Nr.382 “Par Iekšlietu ministrijas ilgtermiņa saistībām ceļu satiksmes pārkāpumu </w:t>
            </w:r>
            <w:r w:rsidRPr="00134AC9">
              <w:rPr>
                <w:rStyle w:val="spelle"/>
                <w:rFonts w:ascii="Times New Roman" w:hAnsi="Times New Roman" w:cs="Times New Roman"/>
                <w:sz w:val="20"/>
                <w:szCs w:val="20"/>
              </w:rPr>
              <w:lastRenderedPageBreak/>
              <w:t xml:space="preserve">fiksēšanas tehnisko līdzekļu (fotoradaru) darbības nodrošināšanai” atbilstoši ar šo protokollēmumu pieņemtajiem lēmumiem (2.1. apakšpunkts), rada negatīvu ietekmi uz vispārējās valdības budžeta bilanci 2020. gadā 3 842 195 </w:t>
            </w:r>
            <w:r w:rsidRPr="00134AC9">
              <w:rPr>
                <w:rStyle w:val="spelle"/>
                <w:rFonts w:ascii="Times New Roman" w:hAnsi="Times New Roman" w:cs="Times New Roman"/>
                <w:i/>
                <w:sz w:val="20"/>
                <w:szCs w:val="20"/>
              </w:rPr>
              <w:t>euro</w:t>
            </w:r>
            <w:r w:rsidRPr="00134AC9">
              <w:rPr>
                <w:rStyle w:val="spelle"/>
                <w:rFonts w:ascii="Times New Roman" w:hAnsi="Times New Roman" w:cs="Times New Roman"/>
                <w:sz w:val="20"/>
                <w:szCs w:val="20"/>
              </w:rPr>
              <w:t xml:space="preserve"> apmērā un 2021. gadā 2 177 910 </w:t>
            </w:r>
            <w:r w:rsidRPr="00134AC9">
              <w:rPr>
                <w:rStyle w:val="spelle"/>
                <w:rFonts w:ascii="Times New Roman" w:hAnsi="Times New Roman" w:cs="Times New Roman"/>
                <w:i/>
                <w:sz w:val="20"/>
                <w:szCs w:val="20"/>
              </w:rPr>
              <w:t>euro</w:t>
            </w:r>
            <w:r w:rsidRPr="00134AC9">
              <w:rPr>
                <w:rStyle w:val="spelle"/>
                <w:rFonts w:ascii="Times New Roman" w:hAnsi="Times New Roman" w:cs="Times New Roman"/>
                <w:sz w:val="20"/>
                <w:szCs w:val="20"/>
              </w:rPr>
              <w:t xml:space="preserve"> apmērā.</w:t>
            </w:r>
          </w:p>
          <w:p w14:paraId="0C456D42" w14:textId="77777777" w:rsidR="00134AC9" w:rsidRPr="00134AC9" w:rsidRDefault="00134AC9" w:rsidP="00134AC9">
            <w:pPr>
              <w:pStyle w:val="ListParagraph"/>
              <w:ind w:left="0"/>
              <w:jc w:val="both"/>
              <w:rPr>
                <w:rStyle w:val="spelle"/>
                <w:rFonts w:ascii="Times New Roman" w:hAnsi="Times New Roman" w:cs="Times New Roman"/>
                <w:sz w:val="20"/>
                <w:szCs w:val="20"/>
              </w:rPr>
            </w:pPr>
          </w:p>
          <w:p w14:paraId="5E7D2E6D" w14:textId="1890D271" w:rsidR="00134AC9" w:rsidRPr="00134AC9" w:rsidRDefault="00134AC9" w:rsidP="00134AC9">
            <w:pPr>
              <w:jc w:val="both"/>
              <w:rPr>
                <w:rStyle w:val="spelle"/>
                <w:sz w:val="20"/>
                <w:szCs w:val="20"/>
              </w:rPr>
            </w:pPr>
            <w:r w:rsidRPr="00134AC9">
              <w:rPr>
                <w:rStyle w:val="spelle"/>
                <w:sz w:val="20"/>
                <w:szCs w:val="20"/>
              </w:rPr>
              <w:t>13. Pieņemt zināšanai, ka protokollēmuma 2.2. un 2.3. apakšpunktā minēto pasākumu ieviešana, kā arī 2.4. apakšpunktā un 7. punktā piedāvātais izdevumu finansēšanas modelis rada fiskālo ietekmi uz vispārējās valdības budžeta bilanci 2019. gadā</w:t>
            </w:r>
            <w:proofErr w:type="gramStart"/>
            <w:r w:rsidRPr="00134AC9">
              <w:rPr>
                <w:rStyle w:val="spelle"/>
                <w:sz w:val="20"/>
                <w:szCs w:val="20"/>
              </w:rPr>
              <w:t xml:space="preserve">  </w:t>
            </w:r>
            <w:proofErr w:type="gramEnd"/>
            <w:r w:rsidRPr="00134AC9">
              <w:rPr>
                <w:rStyle w:val="spelle"/>
                <w:sz w:val="20"/>
                <w:szCs w:val="20"/>
              </w:rPr>
              <w:t xml:space="preserve">– 31 440 </w:t>
            </w:r>
            <w:r w:rsidRPr="00134AC9">
              <w:rPr>
                <w:rStyle w:val="spelle"/>
                <w:i/>
                <w:sz w:val="20"/>
                <w:szCs w:val="20"/>
              </w:rPr>
              <w:t>euro</w:t>
            </w:r>
            <w:r w:rsidRPr="00134AC9">
              <w:rPr>
                <w:rStyle w:val="spelle"/>
                <w:sz w:val="20"/>
                <w:szCs w:val="20"/>
              </w:rPr>
              <w:t xml:space="preserve"> apmērā (saskaņā ar Ministru kabineta 2014. gada 29. jūlija rīkojuma Nr.382 “Par Iekšlietu ministrijas ilgtermiņa saistībām ceļu satiksmes pārkāpumu fiksēšanas tehnisko līdzekļu (fotoradaru) darbības nodrošināšanai” 8. punktu nolietojuma uzkrājums ir viens no tehnisko līdzekļu (fotoradaru) iegādes finansēšanas avotiem), 2021. gadā – 1 483 441 </w:t>
            </w:r>
            <w:r w:rsidRPr="00134AC9">
              <w:rPr>
                <w:rStyle w:val="spelle"/>
                <w:i/>
                <w:sz w:val="20"/>
                <w:szCs w:val="20"/>
              </w:rPr>
              <w:lastRenderedPageBreak/>
              <w:t>euro</w:t>
            </w:r>
            <w:r w:rsidRPr="00134AC9">
              <w:rPr>
                <w:rStyle w:val="spelle"/>
                <w:sz w:val="20"/>
                <w:szCs w:val="20"/>
              </w:rPr>
              <w:t xml:space="preserve"> apmērā, 2022. gadā – 1 647 759 </w:t>
            </w:r>
            <w:r w:rsidRPr="00134AC9">
              <w:rPr>
                <w:rStyle w:val="spelle"/>
                <w:i/>
                <w:sz w:val="20"/>
                <w:szCs w:val="20"/>
              </w:rPr>
              <w:t>euro</w:t>
            </w:r>
            <w:r w:rsidRPr="00134AC9">
              <w:rPr>
                <w:rStyle w:val="spelle"/>
                <w:sz w:val="20"/>
                <w:szCs w:val="20"/>
              </w:rPr>
              <w:t xml:space="preserve"> apmērā, 2023. gadā – 1 632 279 </w:t>
            </w:r>
            <w:r w:rsidRPr="00134AC9">
              <w:rPr>
                <w:rStyle w:val="spelle"/>
                <w:i/>
                <w:sz w:val="20"/>
                <w:szCs w:val="20"/>
              </w:rPr>
              <w:t>euro</w:t>
            </w:r>
            <w:r w:rsidRPr="00134AC9">
              <w:rPr>
                <w:rStyle w:val="spelle"/>
                <w:sz w:val="20"/>
                <w:szCs w:val="20"/>
              </w:rPr>
              <w:t xml:space="preserve"> apmērā, 2024. gadā + 337 784 </w:t>
            </w:r>
            <w:r w:rsidRPr="00134AC9">
              <w:rPr>
                <w:rStyle w:val="spelle"/>
                <w:i/>
                <w:sz w:val="20"/>
                <w:szCs w:val="20"/>
              </w:rPr>
              <w:t>euro</w:t>
            </w:r>
            <w:r w:rsidRPr="00134AC9">
              <w:rPr>
                <w:rStyle w:val="spelle"/>
                <w:sz w:val="20"/>
                <w:szCs w:val="20"/>
              </w:rPr>
              <w:t xml:space="preserve"> apmērā, 2025. gadā + 337 784 </w:t>
            </w:r>
            <w:r w:rsidRPr="00134AC9">
              <w:rPr>
                <w:rStyle w:val="spelle"/>
                <w:i/>
                <w:sz w:val="20"/>
                <w:szCs w:val="20"/>
              </w:rPr>
              <w:t>euro</w:t>
            </w:r>
            <w:r w:rsidRPr="00134AC9">
              <w:rPr>
                <w:rStyle w:val="spelle"/>
                <w:sz w:val="20"/>
                <w:szCs w:val="20"/>
              </w:rPr>
              <w:t xml:space="preserve"> apmērā.”.</w:t>
            </w:r>
          </w:p>
          <w:p w14:paraId="0CA00D76" w14:textId="705588CC" w:rsidR="001F041A" w:rsidRDefault="001F041A" w:rsidP="00ED49EE">
            <w:pPr>
              <w:ind w:firstLine="284"/>
              <w:jc w:val="both"/>
              <w:rPr>
                <w:sz w:val="20"/>
                <w:szCs w:val="20"/>
              </w:rPr>
            </w:pPr>
          </w:p>
        </w:tc>
      </w:tr>
      <w:tr w:rsidR="001F041A" w:rsidRPr="00A26DDD" w14:paraId="324E8A44"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D9FA8CC" w14:textId="234D0115" w:rsidR="001F041A" w:rsidRDefault="0070611B" w:rsidP="001F041A">
            <w:pPr>
              <w:jc w:val="center"/>
              <w:rPr>
                <w:sz w:val="22"/>
                <w:szCs w:val="22"/>
              </w:rPr>
            </w:pPr>
            <w:r>
              <w:rPr>
                <w:sz w:val="22"/>
                <w:szCs w:val="22"/>
              </w:rPr>
              <w:lastRenderedPageBreak/>
              <w:t>17</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1B536E" w14:textId="77777777" w:rsidR="001F041A" w:rsidRDefault="001F041A" w:rsidP="001F041A">
            <w:pPr>
              <w:jc w:val="both"/>
              <w:rPr>
                <w:rStyle w:val="spelle"/>
                <w:sz w:val="28"/>
                <w:szCs w:val="28"/>
              </w:rPr>
            </w:pPr>
            <w:r>
              <w:rPr>
                <w:sz w:val="20"/>
                <w:szCs w:val="20"/>
              </w:rPr>
              <w:t>√ P</w:t>
            </w:r>
            <w:r w:rsidRPr="00705A50">
              <w:rPr>
                <w:sz w:val="20"/>
                <w:szCs w:val="20"/>
              </w:rPr>
              <w:t>rotokollēmuma projekts</w:t>
            </w:r>
            <w:r>
              <w:rPr>
                <w:sz w:val="20"/>
                <w:szCs w:val="20"/>
              </w:rPr>
              <w:t>:</w:t>
            </w:r>
          </w:p>
          <w:p w14:paraId="505C7B13" w14:textId="77777777" w:rsidR="001F041A" w:rsidRPr="00705A50" w:rsidRDefault="001F041A" w:rsidP="001F041A">
            <w:pPr>
              <w:jc w:val="both"/>
              <w:rPr>
                <w:sz w:val="20"/>
                <w:szCs w:val="20"/>
              </w:rPr>
            </w:pPr>
            <w:r>
              <w:rPr>
                <w:rStyle w:val="spelle"/>
                <w:sz w:val="28"/>
                <w:szCs w:val="28"/>
              </w:rPr>
              <w:t xml:space="preserve"> </w:t>
            </w:r>
            <w:r w:rsidRPr="00705A50">
              <w:rPr>
                <w:sz w:val="20"/>
                <w:szCs w:val="20"/>
              </w:rPr>
              <w:t xml:space="preserve">7. Noteikt, ka no 2020.gada izdevumi, lai veiktu samaksu Ceļu satiksmes drošības direkcijai par deleģētajiem valsts pārvaldes uzdevumiem, plānojami atsevišķā Iekšlietu ministrijas budžeta apakšprogrammā 06.03.00 “Dotācija VAS “Ceļu satiksmes drošības direkcija” deleģēto valsts pārvaldes uzdevumu izpildei”. </w:t>
            </w:r>
          </w:p>
          <w:p w14:paraId="5CC29C1E" w14:textId="77777777" w:rsidR="001F041A" w:rsidRDefault="001F041A" w:rsidP="001F041A">
            <w:pPr>
              <w:rPr>
                <w:sz w:val="20"/>
                <w:szCs w:val="20"/>
              </w:rPr>
            </w:pPr>
            <w:r>
              <w:rPr>
                <w:sz w:val="20"/>
                <w:szCs w:val="20"/>
              </w:rPr>
              <w:t>√ Informatīvā ziņojuma 3.1. un 3.2. sadaļa.</w:t>
            </w:r>
          </w:p>
          <w:p w14:paraId="06EA791F"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355F58" w14:textId="77777777" w:rsidR="001F041A" w:rsidRPr="00BD72F8" w:rsidRDefault="001F041A" w:rsidP="001F041A">
            <w:pPr>
              <w:jc w:val="center"/>
              <w:rPr>
                <w:b/>
                <w:sz w:val="20"/>
                <w:szCs w:val="20"/>
              </w:rPr>
            </w:pPr>
            <w:r w:rsidRPr="00BD72F8">
              <w:rPr>
                <w:b/>
                <w:sz w:val="20"/>
                <w:szCs w:val="20"/>
              </w:rPr>
              <w:t>Finanšu ministrija</w:t>
            </w:r>
          </w:p>
          <w:p w14:paraId="56979EF0"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11B953A7" w14:textId="77777777" w:rsidR="001F041A" w:rsidRPr="00BD72F8" w:rsidRDefault="001F041A" w:rsidP="001F041A">
            <w:pPr>
              <w:jc w:val="both"/>
              <w:rPr>
                <w:color w:val="FF0000"/>
                <w:sz w:val="20"/>
                <w:szCs w:val="20"/>
              </w:rPr>
            </w:pPr>
            <w:r w:rsidRPr="00BD72F8">
              <w:rPr>
                <w:sz w:val="20"/>
                <w:szCs w:val="20"/>
              </w:rPr>
              <w:t xml:space="preserve">Vēršam uzmanību, ka nav atbalstāms Iekšlietu ministrijas priekšlikums veidot </w:t>
            </w:r>
            <w:r w:rsidRPr="00650EE5">
              <w:rPr>
                <w:b/>
                <w:sz w:val="20"/>
                <w:szCs w:val="20"/>
              </w:rPr>
              <w:t>jaunu budžeta apakšprogrammu</w:t>
            </w:r>
            <w:r w:rsidRPr="00BD72F8">
              <w:rPr>
                <w:sz w:val="20"/>
                <w:szCs w:val="20"/>
              </w:rPr>
              <w:t xml:space="preserve"> Iekšlietu ministrijas budžetā, nodalot tajā daļu ar fotoradaru uzturēšanu un darbības nodrošināšanu saistīto izdevumu. Uzskatām, ka gan tie izdevumi, kuri ir paredzēti Valsts policijai pārkāpumu izvērtēšanai un naudas sod</w:t>
            </w:r>
            <w:r w:rsidRPr="00BD72F8">
              <w:rPr>
                <w:color w:val="1F497D"/>
                <w:sz w:val="20"/>
                <w:szCs w:val="20"/>
              </w:rPr>
              <w:t>u</w:t>
            </w:r>
            <w:r w:rsidRPr="00BD72F8">
              <w:rPr>
                <w:sz w:val="20"/>
                <w:szCs w:val="20"/>
              </w:rPr>
              <w:t xml:space="preserve"> piemērošanai, gan tie izdevumi, kas ir paredzēti pārskaitīšanai CSDD par fotoradaru apkalpošanu ir saistīti un attiecināmi uz viena un tā paša procesa nodrošināšanu (vienu mērķi), līdz ar to ir saglabājama līdzšinējā kārtība – </w:t>
            </w:r>
            <w:r w:rsidRPr="00650EE5">
              <w:rPr>
                <w:b/>
                <w:sz w:val="20"/>
                <w:szCs w:val="20"/>
              </w:rPr>
              <w:t>visu ar fotoradaru darbības nodrošināšanu saistīto izdevumu plānošana ilgtermiņa saistībās</w:t>
            </w:r>
            <w:r w:rsidRPr="00BD72F8">
              <w:rPr>
                <w:sz w:val="20"/>
                <w:szCs w:val="20"/>
              </w:rPr>
              <w:t xml:space="preserve"> atbilstoši Ministru kabinetā pieņemtajam lēmumam. Ņemot vērā minēto, uzskatām, ka Ministru kabineta sēdes protokollēmuma projekta 7.punkts ir svītrojams. </w:t>
            </w:r>
          </w:p>
          <w:p w14:paraId="0DCAE7D1" w14:textId="77777777" w:rsidR="001F041A" w:rsidRPr="00BD72F8" w:rsidRDefault="001F041A" w:rsidP="001F041A">
            <w:pPr>
              <w:ind w:firstLine="720"/>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2BEE9B"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19.03.2019.starpministriju (starpinstitūciju) sanāksmē.</w:t>
            </w:r>
          </w:p>
          <w:p w14:paraId="7C6D7431"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w:t>
            </w:r>
          </w:p>
          <w:p w14:paraId="0E0F6B5F" w14:textId="77777777" w:rsidR="001F041A" w:rsidRPr="00705A50" w:rsidRDefault="001F041A" w:rsidP="001F041A">
            <w:pPr>
              <w:pStyle w:val="NormalWeb"/>
              <w:spacing w:before="0" w:beforeAutospacing="0" w:after="0" w:afterAutospacing="0"/>
              <w:ind w:firstLine="176"/>
              <w:jc w:val="both"/>
              <w:rPr>
                <w:rFonts w:ascii="Times New Roman" w:hAnsi="Times New Roman"/>
                <w:sz w:val="20"/>
                <w:szCs w:val="20"/>
              </w:rPr>
            </w:pPr>
            <w:r w:rsidRPr="00705A50">
              <w:rPr>
                <w:rFonts w:ascii="Times New Roman" w:hAnsi="Times New Roman"/>
                <w:sz w:val="20"/>
                <w:szCs w:val="20"/>
              </w:rPr>
              <w:t>Jauna budžeta apakšprogramma netiks veidota, izdevumi tiks finansēti no attiecīgajam ilgtermiņa saistību pasākumam atvērtā konta budžeta apakšprogrammas 06.01.00 “Valsts policija” ietvaros.</w:t>
            </w:r>
          </w:p>
          <w:p w14:paraId="0096E0D3" w14:textId="77777777" w:rsidR="001F041A" w:rsidRPr="007843A1" w:rsidRDefault="001F041A" w:rsidP="001F041A">
            <w:pPr>
              <w:pStyle w:val="NormalWeb"/>
              <w:spacing w:before="0" w:beforeAutospacing="0" w:after="0" w:afterAutospacing="0"/>
              <w:ind w:firstLine="176"/>
              <w:jc w:val="both"/>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3BB2CE" w14:textId="77777777" w:rsidR="001F041A" w:rsidRDefault="001F041A" w:rsidP="001F041A">
            <w:pPr>
              <w:jc w:val="both"/>
              <w:rPr>
                <w:sz w:val="20"/>
                <w:szCs w:val="20"/>
              </w:rPr>
            </w:pPr>
            <w:r>
              <w:rPr>
                <w:sz w:val="20"/>
                <w:szCs w:val="20"/>
              </w:rPr>
              <w:t xml:space="preserve">√ </w:t>
            </w:r>
            <w:r w:rsidRPr="00705A50">
              <w:rPr>
                <w:sz w:val="20"/>
                <w:szCs w:val="20"/>
              </w:rPr>
              <w:t xml:space="preserve">Precizēts protokollēmuma projekts, </w:t>
            </w:r>
            <w:r>
              <w:rPr>
                <w:sz w:val="20"/>
                <w:szCs w:val="20"/>
              </w:rPr>
              <w:t xml:space="preserve">svītrojot </w:t>
            </w:r>
            <w:r w:rsidRPr="00705A50">
              <w:rPr>
                <w:sz w:val="20"/>
                <w:szCs w:val="20"/>
              </w:rPr>
              <w:t>7.punktu.</w:t>
            </w:r>
          </w:p>
          <w:p w14:paraId="08474C80" w14:textId="77777777" w:rsidR="001F041A" w:rsidRPr="00844AE7" w:rsidRDefault="001F041A" w:rsidP="001F041A">
            <w:pPr>
              <w:jc w:val="both"/>
              <w:rPr>
                <w:sz w:val="22"/>
                <w:szCs w:val="22"/>
              </w:rPr>
            </w:pPr>
            <w:r>
              <w:rPr>
                <w:sz w:val="20"/>
                <w:szCs w:val="20"/>
              </w:rPr>
              <w:t>√ Precizēta informatīvā ziņojuma 3.1. un 3.2. sadaļa, svītrojot informāciju par jaunu budžeta apakšprogrammu.</w:t>
            </w:r>
          </w:p>
        </w:tc>
      </w:tr>
      <w:tr w:rsidR="001F041A" w:rsidRPr="00A26DDD" w14:paraId="356805D3"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A1B1C49" w14:textId="1F62E01F" w:rsidR="001F041A" w:rsidRDefault="0070611B" w:rsidP="001F041A">
            <w:pPr>
              <w:jc w:val="center"/>
              <w:rPr>
                <w:sz w:val="22"/>
                <w:szCs w:val="22"/>
              </w:rPr>
            </w:pPr>
            <w:r>
              <w:rPr>
                <w:sz w:val="22"/>
                <w:szCs w:val="22"/>
              </w:rPr>
              <w:t>18</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18DE3B" w14:textId="77777777" w:rsidR="001F041A" w:rsidRDefault="001F041A" w:rsidP="001F041A">
            <w:pPr>
              <w:jc w:val="both"/>
              <w:rPr>
                <w:sz w:val="20"/>
                <w:szCs w:val="20"/>
              </w:rPr>
            </w:pPr>
            <w:r>
              <w:rPr>
                <w:sz w:val="20"/>
                <w:szCs w:val="20"/>
              </w:rPr>
              <w:t>√ P</w:t>
            </w:r>
            <w:r w:rsidRPr="00705A50">
              <w:rPr>
                <w:sz w:val="20"/>
                <w:szCs w:val="20"/>
              </w:rPr>
              <w:t>rotokollēmuma projekts</w:t>
            </w:r>
            <w:r>
              <w:rPr>
                <w:sz w:val="20"/>
                <w:szCs w:val="20"/>
              </w:rPr>
              <w:t>:</w:t>
            </w:r>
          </w:p>
          <w:p w14:paraId="4E1262BC" w14:textId="77777777" w:rsidR="001F041A" w:rsidRPr="002712A1" w:rsidRDefault="001F041A" w:rsidP="001F041A">
            <w:pPr>
              <w:jc w:val="both"/>
              <w:rPr>
                <w:sz w:val="20"/>
                <w:szCs w:val="20"/>
              </w:rPr>
            </w:pPr>
            <w:r w:rsidRPr="002712A1">
              <w:rPr>
                <w:sz w:val="20"/>
                <w:szCs w:val="20"/>
              </w:rPr>
              <w:t>8. Noteikt, ka no valsts budžeta līdzekļiem  finansēto  tehnisko līdzekļu (fotoradaru) nolietojuma uzkrājumu 310 643,32 euro apmērā Ceļu satiksmes drošības direkcija izlieto:</w:t>
            </w:r>
          </w:p>
          <w:p w14:paraId="3262B651" w14:textId="77777777" w:rsidR="001F041A" w:rsidRPr="002712A1" w:rsidRDefault="001F041A" w:rsidP="001F041A">
            <w:pPr>
              <w:jc w:val="both"/>
              <w:rPr>
                <w:sz w:val="20"/>
                <w:szCs w:val="20"/>
              </w:rPr>
            </w:pPr>
            <w:r w:rsidRPr="002712A1">
              <w:rPr>
                <w:sz w:val="20"/>
                <w:szCs w:val="20"/>
              </w:rPr>
              <w:t xml:space="preserve">    8.1. 2019.gadā, lai segtu izdevumus, kas saistīti ar  luksoforu </w:t>
            </w:r>
            <w:r w:rsidRPr="002712A1">
              <w:rPr>
                <w:sz w:val="20"/>
                <w:szCs w:val="20"/>
              </w:rPr>
              <w:lastRenderedPageBreak/>
              <w:t>signālu kontroles  ierīču iegādi un uzstādīšanu;</w:t>
            </w:r>
          </w:p>
          <w:p w14:paraId="0FF90A1C" w14:textId="77777777" w:rsidR="001F041A" w:rsidRDefault="001F041A" w:rsidP="001F041A">
            <w:pPr>
              <w:jc w:val="both"/>
              <w:rPr>
                <w:sz w:val="20"/>
                <w:szCs w:val="20"/>
              </w:rPr>
            </w:pPr>
            <w:r w:rsidRPr="002712A1">
              <w:rPr>
                <w:sz w:val="20"/>
                <w:szCs w:val="20"/>
              </w:rPr>
              <w:t xml:space="preserve">   8.2. 2020.gadā,  lai segtu izdevumus, kas saistīti ar šā protokollēmuma 2.2.apakšpunktā minēto fotoradaru iegādi un uzstādīšanu.</w:t>
            </w:r>
          </w:p>
          <w:p w14:paraId="60058EFD" w14:textId="77777777" w:rsidR="001F041A" w:rsidRDefault="001F041A" w:rsidP="001F041A">
            <w:pPr>
              <w:jc w:val="both"/>
              <w:rPr>
                <w:sz w:val="20"/>
                <w:szCs w:val="20"/>
              </w:rPr>
            </w:pPr>
            <w:r>
              <w:rPr>
                <w:sz w:val="20"/>
                <w:szCs w:val="20"/>
              </w:rPr>
              <w:t>√ Informatīvā ziņojuma 3.2. sadaļa.</w:t>
            </w:r>
          </w:p>
          <w:p w14:paraId="504B704D" w14:textId="77777777" w:rsidR="001F041A" w:rsidRDefault="001F041A" w:rsidP="001F041A">
            <w:pPr>
              <w:jc w:val="both"/>
              <w:rPr>
                <w:sz w:val="20"/>
                <w:szCs w:val="20"/>
              </w:rPr>
            </w:pPr>
            <w:r>
              <w:rPr>
                <w:sz w:val="20"/>
                <w:szCs w:val="20"/>
              </w:rPr>
              <w:t>√ Informatīvā ziņojuma 2.pielikums.</w:t>
            </w:r>
          </w:p>
          <w:p w14:paraId="7920257E" w14:textId="77777777" w:rsidR="001F041A" w:rsidRPr="007843A1" w:rsidRDefault="001F041A" w:rsidP="001F041A">
            <w:pPr>
              <w:jc w:val="both"/>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4B45B6" w14:textId="77777777" w:rsidR="001F041A" w:rsidRPr="00BD72F8" w:rsidRDefault="001F041A" w:rsidP="001F041A">
            <w:pPr>
              <w:jc w:val="center"/>
              <w:rPr>
                <w:b/>
                <w:sz w:val="20"/>
                <w:szCs w:val="20"/>
              </w:rPr>
            </w:pPr>
            <w:r w:rsidRPr="00BD72F8">
              <w:rPr>
                <w:b/>
                <w:sz w:val="20"/>
                <w:szCs w:val="20"/>
              </w:rPr>
              <w:lastRenderedPageBreak/>
              <w:t>Finanšu ministrija</w:t>
            </w:r>
          </w:p>
          <w:p w14:paraId="1FBE4989"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6217CE41" w14:textId="77777777" w:rsidR="001F041A" w:rsidRPr="00BD72F8" w:rsidRDefault="001F041A" w:rsidP="001F041A">
            <w:pPr>
              <w:jc w:val="both"/>
              <w:rPr>
                <w:color w:val="FF0000"/>
                <w:sz w:val="20"/>
                <w:szCs w:val="20"/>
              </w:rPr>
            </w:pPr>
            <w:r w:rsidRPr="00BD72F8">
              <w:rPr>
                <w:sz w:val="20"/>
                <w:szCs w:val="20"/>
              </w:rPr>
              <w:t xml:space="preserve">Ministru kabineta sēdes protokollēmuma projekta 8.punkts paredz, ka CSDD rīcībā no valsts budžeta līdzekļiem finansēto tehnisko līdzekļu (fotoradaru) </w:t>
            </w:r>
            <w:r w:rsidRPr="00A336A2">
              <w:rPr>
                <w:b/>
                <w:sz w:val="20"/>
                <w:szCs w:val="20"/>
              </w:rPr>
              <w:t>nolietojuma uzkrājumu</w:t>
            </w:r>
            <w:r w:rsidRPr="00BD72F8">
              <w:rPr>
                <w:sz w:val="20"/>
                <w:szCs w:val="20"/>
              </w:rPr>
              <w:t xml:space="preserve"> 310 643,32 </w:t>
            </w:r>
            <w:r w:rsidRPr="00BD72F8">
              <w:rPr>
                <w:i/>
                <w:iCs/>
                <w:sz w:val="20"/>
                <w:szCs w:val="20"/>
              </w:rPr>
              <w:t>euro</w:t>
            </w:r>
            <w:r w:rsidRPr="00BD72F8">
              <w:rPr>
                <w:sz w:val="20"/>
                <w:szCs w:val="20"/>
              </w:rPr>
              <w:t xml:space="preserve"> apmērā plānots izlietot izdevumu segšanai 2019. un 2020.gadā. Vienlaikus informatīvā ziņojuma 1.tabulā “Kopsavilkums” un 2.pielikumā norādīta informācija tikai 2019.gadam par 31 440 </w:t>
            </w:r>
            <w:r w:rsidRPr="00BD72F8">
              <w:rPr>
                <w:i/>
                <w:iCs/>
                <w:sz w:val="20"/>
                <w:szCs w:val="20"/>
              </w:rPr>
              <w:t>euro</w:t>
            </w:r>
            <w:r w:rsidRPr="00BD72F8">
              <w:rPr>
                <w:sz w:val="20"/>
                <w:szCs w:val="20"/>
              </w:rPr>
              <w:t xml:space="preserve">. Līdz ar to lūdzam </w:t>
            </w:r>
            <w:r w:rsidRPr="00B22E26">
              <w:rPr>
                <w:b/>
                <w:sz w:val="20"/>
                <w:szCs w:val="20"/>
              </w:rPr>
              <w:t>precizēt gan informatīvo ziņojumu, gan 2.pielikumu, gan Ministru kabineta sēdes protokollēmuma projekta 8.punktu</w:t>
            </w:r>
            <w:r w:rsidRPr="00BD72F8">
              <w:rPr>
                <w:sz w:val="20"/>
                <w:szCs w:val="20"/>
              </w:rPr>
              <w:t xml:space="preserve">, norādot kā tiks izlietots nolietojuma uzkrājums 310 643, 32 </w:t>
            </w:r>
            <w:r w:rsidRPr="00BD72F8">
              <w:rPr>
                <w:i/>
                <w:iCs/>
                <w:sz w:val="20"/>
                <w:szCs w:val="20"/>
              </w:rPr>
              <w:t>euro</w:t>
            </w:r>
            <w:r w:rsidRPr="00BD72F8">
              <w:rPr>
                <w:sz w:val="20"/>
                <w:szCs w:val="20"/>
              </w:rPr>
              <w:t xml:space="preserve"> apmērā gan 2019., gan 2020.gadā. Vienlaikus atzīmējam, ka Ministru kabineta sēdes protokollēmuma projektā līdzekļu apmērs jānorāda veselos skaitļos. </w:t>
            </w:r>
          </w:p>
          <w:p w14:paraId="46508A60" w14:textId="77777777" w:rsidR="001F041A" w:rsidRPr="00BD72F8" w:rsidRDefault="001F041A" w:rsidP="001F041A">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D95AE5"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19.03.2019.starpministriju (starpinstitūciju) sanāksmē.</w:t>
            </w:r>
          </w:p>
          <w:p w14:paraId="1F80CAC0"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w:t>
            </w:r>
          </w:p>
          <w:p w14:paraId="2AEEED23"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2B0C12D6" w14:textId="77777777" w:rsidR="001F041A" w:rsidRPr="007843A1" w:rsidRDefault="001F041A" w:rsidP="001F041A">
            <w:pPr>
              <w:pStyle w:val="NormalWeb"/>
              <w:spacing w:before="0" w:beforeAutospacing="0" w:after="0" w:afterAutospacing="0"/>
              <w:ind w:firstLine="176"/>
              <w:jc w:val="both"/>
              <w:rPr>
                <w:rFonts w:ascii="Times New Roman" w:hAnsi="Times New Roman"/>
                <w:sz w:val="22"/>
                <w:szCs w:val="22"/>
              </w:rPr>
            </w:pPr>
            <w:r w:rsidRPr="00023C03">
              <w:rPr>
                <w:rFonts w:ascii="Times New Roman" w:hAnsi="Times New Roman"/>
                <w:sz w:val="20"/>
                <w:szCs w:val="20"/>
              </w:rPr>
              <w:t>Vēršam uzmanību, ka</w:t>
            </w:r>
            <w:r>
              <w:rPr>
                <w:rFonts w:ascii="Times New Roman" w:hAnsi="Times New Roman"/>
                <w:sz w:val="20"/>
                <w:szCs w:val="20"/>
              </w:rPr>
              <w:t xml:space="preserve"> </w:t>
            </w:r>
            <w:r w:rsidRPr="00845955">
              <w:rPr>
                <w:rFonts w:ascii="Times New Roman" w:hAnsi="Times New Roman"/>
                <w:sz w:val="20"/>
                <w:szCs w:val="20"/>
              </w:rPr>
              <w:t xml:space="preserve">310 643, 32 </w:t>
            </w:r>
            <w:r w:rsidRPr="00845955">
              <w:rPr>
                <w:rFonts w:ascii="Times New Roman" w:hAnsi="Times New Roman"/>
                <w:i/>
                <w:sz w:val="20"/>
                <w:szCs w:val="20"/>
              </w:rPr>
              <w:t>euro</w:t>
            </w:r>
            <w:r>
              <w:rPr>
                <w:rFonts w:ascii="Times New Roman" w:hAnsi="Times New Roman"/>
                <w:i/>
                <w:sz w:val="20"/>
                <w:szCs w:val="20"/>
              </w:rPr>
              <w:t xml:space="preserve"> </w:t>
            </w:r>
            <w:r w:rsidRPr="00845955">
              <w:rPr>
                <w:rFonts w:ascii="Times New Roman" w:hAnsi="Times New Roman"/>
                <w:sz w:val="20"/>
                <w:szCs w:val="20"/>
              </w:rPr>
              <w:t>ir konkrēts naudas līdzekļu uzkrājums</w:t>
            </w:r>
            <w:r>
              <w:rPr>
                <w:rFonts w:ascii="Times New Roman"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3B5B49" w14:textId="77777777" w:rsidR="001F041A" w:rsidRDefault="001F041A" w:rsidP="001F041A">
            <w:pPr>
              <w:jc w:val="both"/>
              <w:rPr>
                <w:sz w:val="20"/>
                <w:szCs w:val="20"/>
              </w:rPr>
            </w:pPr>
            <w:r>
              <w:rPr>
                <w:sz w:val="20"/>
                <w:szCs w:val="20"/>
              </w:rPr>
              <w:t xml:space="preserve">√ </w:t>
            </w:r>
            <w:r w:rsidRPr="00705A50">
              <w:rPr>
                <w:sz w:val="20"/>
                <w:szCs w:val="20"/>
              </w:rPr>
              <w:t>Precizēts protokollēmuma projekt</w:t>
            </w:r>
            <w:r>
              <w:rPr>
                <w:sz w:val="20"/>
                <w:szCs w:val="20"/>
              </w:rPr>
              <w:t>s:</w:t>
            </w:r>
          </w:p>
          <w:p w14:paraId="4BB4C087" w14:textId="4D8F8F2B" w:rsidR="00D477C2" w:rsidRPr="00D477C2" w:rsidRDefault="00D477C2" w:rsidP="00D477C2">
            <w:pPr>
              <w:jc w:val="both"/>
              <w:rPr>
                <w:rStyle w:val="spelle"/>
                <w:sz w:val="20"/>
                <w:szCs w:val="20"/>
              </w:rPr>
            </w:pPr>
            <w:r>
              <w:rPr>
                <w:rStyle w:val="spelle"/>
                <w:sz w:val="20"/>
                <w:szCs w:val="20"/>
              </w:rPr>
              <w:t>“</w:t>
            </w:r>
            <w:r w:rsidRPr="00D477C2">
              <w:rPr>
                <w:rStyle w:val="spelle"/>
                <w:sz w:val="20"/>
                <w:szCs w:val="20"/>
              </w:rPr>
              <w:t>7. Noteikt, ka no valsts budžeta līdzekļiem</w:t>
            </w:r>
            <w:proofErr w:type="gramStart"/>
            <w:r w:rsidRPr="00D477C2">
              <w:rPr>
                <w:rStyle w:val="spelle"/>
                <w:sz w:val="20"/>
                <w:szCs w:val="20"/>
              </w:rPr>
              <w:t xml:space="preserve">  </w:t>
            </w:r>
            <w:proofErr w:type="gramEnd"/>
            <w:r w:rsidRPr="00D477C2">
              <w:rPr>
                <w:rStyle w:val="spelle"/>
                <w:sz w:val="20"/>
                <w:szCs w:val="20"/>
              </w:rPr>
              <w:t xml:space="preserve">finansēto  tehnisko līdzekļu (fotoradaru) nolietojuma uzkrājumu 310 643 </w:t>
            </w:r>
            <w:r w:rsidRPr="00D477C2">
              <w:rPr>
                <w:rStyle w:val="spelle"/>
                <w:i/>
                <w:sz w:val="20"/>
                <w:szCs w:val="20"/>
              </w:rPr>
              <w:t>euro</w:t>
            </w:r>
            <w:r w:rsidRPr="00D477C2">
              <w:rPr>
                <w:rStyle w:val="spelle"/>
                <w:sz w:val="20"/>
                <w:szCs w:val="20"/>
              </w:rPr>
              <w:t xml:space="preserve"> apmērā Ceļu satiksmes drošības direkcija izlieto:</w:t>
            </w:r>
          </w:p>
          <w:p w14:paraId="704ACD16" w14:textId="77777777" w:rsidR="00D477C2" w:rsidRPr="00D477C2" w:rsidRDefault="00D477C2" w:rsidP="00D477C2">
            <w:pPr>
              <w:ind w:firstLine="709"/>
              <w:jc w:val="both"/>
              <w:rPr>
                <w:rStyle w:val="spelle"/>
                <w:sz w:val="20"/>
                <w:szCs w:val="20"/>
              </w:rPr>
            </w:pPr>
            <w:r w:rsidRPr="00D477C2">
              <w:rPr>
                <w:rStyle w:val="spelle"/>
                <w:sz w:val="20"/>
                <w:szCs w:val="20"/>
              </w:rPr>
              <w:t xml:space="preserve">7.1. </w:t>
            </w:r>
            <w:proofErr w:type="gramStart"/>
            <w:r w:rsidRPr="00D477C2">
              <w:rPr>
                <w:rStyle w:val="spelle"/>
                <w:sz w:val="20"/>
                <w:szCs w:val="20"/>
              </w:rPr>
              <w:t>2019.gadā</w:t>
            </w:r>
            <w:proofErr w:type="gramEnd"/>
            <w:r w:rsidRPr="00D477C2">
              <w:rPr>
                <w:rStyle w:val="spelle"/>
                <w:sz w:val="20"/>
                <w:szCs w:val="20"/>
              </w:rPr>
              <w:t>, lai segtu izdevumus, kas saistīti ar  luksoforu signālu kontroles ierīču iegādi un uzstādīšanu</w:t>
            </w:r>
            <w:r w:rsidRPr="00D477C2">
              <w:rPr>
                <w:sz w:val="20"/>
                <w:szCs w:val="20"/>
              </w:rPr>
              <w:t xml:space="preserve"> </w:t>
            </w:r>
            <w:r w:rsidRPr="00D477C2">
              <w:rPr>
                <w:rStyle w:val="spelle"/>
                <w:sz w:val="20"/>
                <w:szCs w:val="20"/>
              </w:rPr>
              <w:t xml:space="preserve">(papildu </w:t>
            </w:r>
            <w:r w:rsidRPr="00D477C2">
              <w:rPr>
                <w:rStyle w:val="spelle"/>
                <w:sz w:val="20"/>
                <w:szCs w:val="20"/>
              </w:rPr>
              <w:lastRenderedPageBreak/>
              <w:t xml:space="preserve">funkcionalitātes programmnodrošinājuma izstrādi, fotoradaru saslēgšanu ar luksoforiem, ierīces tipa apstiprināšanu un verifikāciju) ne vairāk kā 31 440 </w:t>
            </w:r>
            <w:r w:rsidRPr="00D477C2">
              <w:rPr>
                <w:rStyle w:val="spelle"/>
                <w:i/>
                <w:sz w:val="20"/>
                <w:szCs w:val="20"/>
              </w:rPr>
              <w:t>euro</w:t>
            </w:r>
            <w:r w:rsidRPr="00D477C2">
              <w:rPr>
                <w:rStyle w:val="spelle"/>
                <w:sz w:val="20"/>
                <w:szCs w:val="20"/>
              </w:rPr>
              <w:t xml:space="preserve"> apmērā;</w:t>
            </w:r>
          </w:p>
          <w:p w14:paraId="00AAC13A" w14:textId="75159083" w:rsidR="00D477C2" w:rsidRPr="00D477C2" w:rsidRDefault="00D477C2" w:rsidP="00D477C2">
            <w:pPr>
              <w:ind w:firstLine="709"/>
              <w:jc w:val="both"/>
              <w:rPr>
                <w:rStyle w:val="spelle"/>
                <w:sz w:val="20"/>
                <w:szCs w:val="20"/>
              </w:rPr>
            </w:pPr>
            <w:r w:rsidRPr="00D477C2">
              <w:rPr>
                <w:rStyle w:val="spelle"/>
                <w:sz w:val="20"/>
                <w:szCs w:val="20"/>
              </w:rPr>
              <w:t xml:space="preserve">7.2. 2022. un </w:t>
            </w:r>
            <w:proofErr w:type="gramStart"/>
            <w:r w:rsidRPr="00D477C2">
              <w:rPr>
                <w:rStyle w:val="spelle"/>
                <w:sz w:val="20"/>
                <w:szCs w:val="20"/>
              </w:rPr>
              <w:t>2023.gadā</w:t>
            </w:r>
            <w:proofErr w:type="gramEnd"/>
            <w:r w:rsidRPr="00D477C2">
              <w:rPr>
                <w:rStyle w:val="spelle"/>
                <w:sz w:val="20"/>
                <w:szCs w:val="20"/>
              </w:rPr>
              <w:t>,  lai segtu izdevumus, kas saistīti ar šā protokollēmuma 2.2.apakšpunktā minēto fotoradaru iegādi un uzstādīšanu.</w:t>
            </w:r>
            <w:r>
              <w:rPr>
                <w:rStyle w:val="spelle"/>
                <w:sz w:val="20"/>
                <w:szCs w:val="20"/>
              </w:rPr>
              <w:t>”.</w:t>
            </w:r>
          </w:p>
          <w:p w14:paraId="4F9EE3EC" w14:textId="77777777" w:rsidR="00D477C2" w:rsidRDefault="00D477C2" w:rsidP="001F041A">
            <w:pPr>
              <w:jc w:val="both"/>
              <w:rPr>
                <w:sz w:val="20"/>
                <w:szCs w:val="20"/>
              </w:rPr>
            </w:pPr>
          </w:p>
          <w:p w14:paraId="74C6F5E6" w14:textId="77777777" w:rsidR="001F041A" w:rsidRDefault="001F041A" w:rsidP="001F041A">
            <w:pPr>
              <w:jc w:val="both"/>
              <w:rPr>
                <w:sz w:val="20"/>
                <w:szCs w:val="20"/>
              </w:rPr>
            </w:pPr>
            <w:r>
              <w:rPr>
                <w:sz w:val="20"/>
                <w:szCs w:val="20"/>
              </w:rPr>
              <w:t>√ Precizēta informatīvā ziņojuma 3.2. sadaļa.</w:t>
            </w:r>
          </w:p>
          <w:p w14:paraId="0FD45FA9" w14:textId="77777777" w:rsidR="001F041A" w:rsidRDefault="001F041A" w:rsidP="001F041A">
            <w:pPr>
              <w:jc w:val="both"/>
              <w:rPr>
                <w:sz w:val="20"/>
                <w:szCs w:val="20"/>
              </w:rPr>
            </w:pPr>
            <w:r>
              <w:rPr>
                <w:sz w:val="20"/>
                <w:szCs w:val="20"/>
              </w:rPr>
              <w:t>√ Precizēts informatīvā ziņojuma 2.pielikums.</w:t>
            </w:r>
          </w:p>
          <w:p w14:paraId="61668779" w14:textId="77777777" w:rsidR="001F041A" w:rsidRPr="00844AE7" w:rsidRDefault="001F041A" w:rsidP="001F041A">
            <w:pPr>
              <w:jc w:val="both"/>
              <w:rPr>
                <w:sz w:val="22"/>
                <w:szCs w:val="22"/>
              </w:rPr>
            </w:pPr>
          </w:p>
        </w:tc>
      </w:tr>
      <w:tr w:rsidR="001F041A" w:rsidRPr="00A26DDD" w14:paraId="27093CA3"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2B43376" w14:textId="7AC0129F" w:rsidR="001F041A" w:rsidRDefault="00D47EC9" w:rsidP="001F041A">
            <w:pPr>
              <w:jc w:val="center"/>
              <w:rPr>
                <w:sz w:val="22"/>
                <w:szCs w:val="22"/>
              </w:rPr>
            </w:pPr>
            <w:r>
              <w:rPr>
                <w:sz w:val="22"/>
                <w:szCs w:val="22"/>
              </w:rPr>
              <w:lastRenderedPageBreak/>
              <w:t>19</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271E79" w14:textId="77777777" w:rsidR="001F041A" w:rsidRPr="007843A1" w:rsidRDefault="001F041A" w:rsidP="001F041A">
            <w:pPr>
              <w:rPr>
                <w:sz w:val="22"/>
                <w:szCs w:val="22"/>
              </w:rPr>
            </w:pPr>
            <w:r w:rsidRPr="00126FA5">
              <w:rPr>
                <w:sz w:val="20"/>
                <w:szCs w:val="20"/>
              </w:rPr>
              <w:t>Informatīvā ziņojuma 2.pielikums</w:t>
            </w:r>
            <w:r>
              <w:rPr>
                <w:sz w:val="22"/>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C8AAF3" w14:textId="77777777" w:rsidR="001F041A" w:rsidRPr="00BD72F8" w:rsidRDefault="001F041A" w:rsidP="001F041A">
            <w:pPr>
              <w:jc w:val="center"/>
              <w:rPr>
                <w:b/>
                <w:sz w:val="20"/>
                <w:szCs w:val="20"/>
              </w:rPr>
            </w:pPr>
            <w:r w:rsidRPr="00BD72F8">
              <w:rPr>
                <w:b/>
                <w:sz w:val="20"/>
                <w:szCs w:val="20"/>
              </w:rPr>
              <w:t>Finanšu ministrija</w:t>
            </w:r>
          </w:p>
          <w:p w14:paraId="1E52FF73"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711EAA14" w14:textId="77777777" w:rsidR="001F041A" w:rsidRPr="00BD72F8" w:rsidRDefault="001F041A" w:rsidP="001F041A">
            <w:pPr>
              <w:jc w:val="both"/>
              <w:rPr>
                <w:b/>
                <w:sz w:val="20"/>
                <w:szCs w:val="20"/>
              </w:rPr>
            </w:pPr>
            <w:r w:rsidRPr="00BD72F8">
              <w:rPr>
                <w:sz w:val="20"/>
                <w:szCs w:val="20"/>
              </w:rPr>
              <w:t xml:space="preserve">Lūdzam papildināt Ministru kabineta sēdes protokollēmuma projekta 8.1.apakšpunktu (vai pārstrukturēt 8.punktu), norādot, ka papildu izdevumi, kas radīsies Iekšlietu ministrijai (Valsts policijai) saistībā ar </w:t>
            </w:r>
            <w:r w:rsidRPr="00650EE5">
              <w:rPr>
                <w:b/>
                <w:sz w:val="20"/>
                <w:szCs w:val="20"/>
              </w:rPr>
              <w:t>jaunu tehnisko</w:t>
            </w:r>
            <w:r w:rsidRPr="00BD72F8">
              <w:rPr>
                <w:sz w:val="20"/>
                <w:szCs w:val="20"/>
              </w:rPr>
              <w:t xml:space="preserve"> </w:t>
            </w:r>
            <w:r w:rsidRPr="00650EE5">
              <w:rPr>
                <w:b/>
                <w:sz w:val="20"/>
                <w:szCs w:val="20"/>
              </w:rPr>
              <w:t>risinājumu</w:t>
            </w:r>
            <w:r w:rsidRPr="00BD72F8">
              <w:rPr>
                <w:sz w:val="20"/>
                <w:szCs w:val="20"/>
              </w:rPr>
              <w:t xml:space="preserve"> ieviešanu esošajos fotoradaros (atbilstoši informatīvā ziņojuma 2.pielikumā sniegtajai informācijai), 2019.gadā un turpmāk tiks nodrošināti Iekšlietu ministrijai piešķirto valsts budžeta līdzekļu ietvaros.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6FB029"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17C5E825"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w:t>
            </w:r>
          </w:p>
          <w:p w14:paraId="1E677F5A"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038D641C" w14:textId="77777777" w:rsidR="001F041A" w:rsidRPr="000709EF" w:rsidRDefault="001F041A" w:rsidP="001F041A"/>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46336D" w14:textId="77777777" w:rsidR="001F041A" w:rsidRDefault="001F041A" w:rsidP="001F041A">
            <w:pPr>
              <w:jc w:val="both"/>
              <w:rPr>
                <w:sz w:val="20"/>
                <w:szCs w:val="20"/>
              </w:rPr>
            </w:pPr>
            <w:r>
              <w:rPr>
                <w:sz w:val="20"/>
                <w:szCs w:val="20"/>
              </w:rPr>
              <w:t xml:space="preserve">√ </w:t>
            </w:r>
            <w:r w:rsidRPr="00DF7783">
              <w:rPr>
                <w:sz w:val="20"/>
                <w:szCs w:val="20"/>
              </w:rPr>
              <w:t>Protokollēmuma projekts papildināts ar jaunu punktu:</w:t>
            </w:r>
          </w:p>
          <w:p w14:paraId="03695BF7" w14:textId="47667012" w:rsidR="00D6453B" w:rsidRPr="00D6453B" w:rsidRDefault="00D6453B" w:rsidP="00D6453B">
            <w:pPr>
              <w:jc w:val="both"/>
              <w:rPr>
                <w:rStyle w:val="spelle"/>
                <w:sz w:val="20"/>
                <w:szCs w:val="20"/>
              </w:rPr>
            </w:pPr>
            <w:r>
              <w:rPr>
                <w:rStyle w:val="spelle"/>
                <w:sz w:val="20"/>
                <w:szCs w:val="20"/>
              </w:rPr>
              <w:t>“</w:t>
            </w:r>
            <w:r w:rsidRPr="00D6453B">
              <w:rPr>
                <w:rStyle w:val="spelle"/>
                <w:sz w:val="20"/>
                <w:szCs w:val="20"/>
              </w:rPr>
              <w:t>8. Papildus šā protokollēmuma 7.1.apakšpunktā minētajam noteikt, ka izdevumu, kas saistīti jaunu tehnisko risinājumu ieviešanu, finansēšanas avoti ir:</w:t>
            </w:r>
          </w:p>
          <w:p w14:paraId="7BF9B93E" w14:textId="77777777" w:rsidR="00D6453B" w:rsidRPr="00D6453B" w:rsidRDefault="00D6453B" w:rsidP="00D6453B">
            <w:pPr>
              <w:ind w:firstLine="709"/>
              <w:jc w:val="both"/>
              <w:rPr>
                <w:rStyle w:val="spelle"/>
                <w:sz w:val="20"/>
                <w:szCs w:val="20"/>
              </w:rPr>
            </w:pPr>
            <w:r w:rsidRPr="00D6453B">
              <w:rPr>
                <w:rStyle w:val="spelle"/>
                <w:sz w:val="20"/>
                <w:szCs w:val="20"/>
              </w:rPr>
              <w:t xml:space="preserve">8.1. luksoforu signālu kontroles ierīču licences iegādei – Ceļu satiksmes drošības direkcijas finanšu līdzekļi 13 068 </w:t>
            </w:r>
            <w:r w:rsidRPr="00D6453B">
              <w:rPr>
                <w:rStyle w:val="spelle"/>
                <w:i/>
                <w:sz w:val="20"/>
                <w:szCs w:val="20"/>
              </w:rPr>
              <w:t>euro</w:t>
            </w:r>
            <w:r w:rsidRPr="00D6453B">
              <w:rPr>
                <w:rStyle w:val="spelle"/>
                <w:sz w:val="20"/>
                <w:szCs w:val="20"/>
              </w:rPr>
              <w:t xml:space="preserve"> apmērā;</w:t>
            </w:r>
          </w:p>
          <w:p w14:paraId="3644674D" w14:textId="7A5BA575" w:rsidR="00D6453B" w:rsidRPr="00D6453B" w:rsidRDefault="00D6453B" w:rsidP="00D6453B">
            <w:pPr>
              <w:ind w:firstLine="709"/>
              <w:jc w:val="both"/>
              <w:rPr>
                <w:rStyle w:val="spelle"/>
                <w:sz w:val="20"/>
                <w:szCs w:val="20"/>
              </w:rPr>
            </w:pPr>
            <w:r w:rsidRPr="00D6453B">
              <w:rPr>
                <w:rStyle w:val="spelle"/>
                <w:sz w:val="20"/>
                <w:szCs w:val="20"/>
              </w:rPr>
              <w:t xml:space="preserve">8.2. luksoforu signālu kontroles ierīču, ierīču pārkāpumu fiksēšanai, automātiski </w:t>
            </w:r>
            <w:r w:rsidRPr="00D6453B">
              <w:rPr>
                <w:rStyle w:val="spelle"/>
                <w:sz w:val="20"/>
                <w:szCs w:val="20"/>
              </w:rPr>
              <w:lastRenderedPageBreak/>
              <w:t>nolasot transportlīdzekļu reģistrācijas numura zīmes, kā arī transportlīdzekļu vidējā braukšanas ātruma noteikšanai: samaksai Ceļu satiksmes drošības direkcijai</w:t>
            </w:r>
            <w:r w:rsidRPr="00D6453B">
              <w:rPr>
                <w:b/>
                <w:sz w:val="20"/>
                <w:szCs w:val="20"/>
              </w:rPr>
              <w:t xml:space="preserve"> </w:t>
            </w:r>
            <w:r w:rsidRPr="00D6453B">
              <w:rPr>
                <w:rStyle w:val="spelle"/>
                <w:sz w:val="20"/>
                <w:szCs w:val="20"/>
              </w:rPr>
              <w:t>par informācijas apstrādi, protokolu-lēmumu nosūtīšanu un paziņojumu (atgādinājumu) sagatavošanu un nosūtīšanu un citiem pakalpojumiem – budžeta apakšprogrammā 06.01.00 “Valsts policija” 2019.gadam un turpmākajiem gadiem ilgtermiņa saistību pasākumam “Ceļu satiksmes pārkāpumu fiksēšanas tehnisko līdzekļu (fotoradaru) darbības nodrošināšana” piešķirtais finansējums.</w:t>
            </w:r>
            <w:r>
              <w:rPr>
                <w:rStyle w:val="spelle"/>
                <w:sz w:val="20"/>
                <w:szCs w:val="20"/>
              </w:rPr>
              <w:t>”.</w:t>
            </w:r>
          </w:p>
          <w:p w14:paraId="5CA00EEC" w14:textId="77777777" w:rsidR="00D6453B" w:rsidRPr="00DF7783" w:rsidRDefault="00D6453B" w:rsidP="001F041A">
            <w:pPr>
              <w:jc w:val="both"/>
              <w:rPr>
                <w:sz w:val="20"/>
                <w:szCs w:val="20"/>
              </w:rPr>
            </w:pPr>
          </w:p>
          <w:p w14:paraId="0E755599" w14:textId="77777777" w:rsidR="001F041A" w:rsidRDefault="001F041A" w:rsidP="001F041A">
            <w:pPr>
              <w:jc w:val="both"/>
              <w:rPr>
                <w:sz w:val="20"/>
                <w:szCs w:val="20"/>
              </w:rPr>
            </w:pPr>
            <w:r>
              <w:rPr>
                <w:sz w:val="22"/>
                <w:szCs w:val="22"/>
              </w:rPr>
              <w:t xml:space="preserve">√ </w:t>
            </w:r>
            <w:r w:rsidRPr="005C3709">
              <w:rPr>
                <w:sz w:val="20"/>
                <w:szCs w:val="20"/>
              </w:rPr>
              <w:t>Precizēts informatīvā ziņojuma 2.pielikums.</w:t>
            </w:r>
          </w:p>
          <w:p w14:paraId="46618A73" w14:textId="77777777" w:rsidR="001F041A" w:rsidRPr="00844AE7" w:rsidRDefault="001F041A" w:rsidP="001F041A">
            <w:pPr>
              <w:jc w:val="both"/>
              <w:rPr>
                <w:sz w:val="22"/>
                <w:szCs w:val="22"/>
              </w:rPr>
            </w:pPr>
          </w:p>
        </w:tc>
      </w:tr>
      <w:tr w:rsidR="001F041A" w:rsidRPr="00A26DDD" w14:paraId="47542C69"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8681168" w14:textId="7AA42C44" w:rsidR="001F041A" w:rsidRDefault="000473A6" w:rsidP="001F041A">
            <w:pPr>
              <w:jc w:val="center"/>
              <w:rPr>
                <w:sz w:val="22"/>
                <w:szCs w:val="22"/>
              </w:rPr>
            </w:pPr>
            <w:r>
              <w:rPr>
                <w:sz w:val="22"/>
                <w:szCs w:val="22"/>
              </w:rPr>
              <w:lastRenderedPageBreak/>
              <w:t>20</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70949B"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01BF45" w14:textId="77777777" w:rsidR="001F041A" w:rsidRPr="00BD72F8" w:rsidRDefault="001F041A" w:rsidP="001F041A">
            <w:pPr>
              <w:jc w:val="center"/>
              <w:rPr>
                <w:b/>
                <w:sz w:val="20"/>
                <w:szCs w:val="20"/>
              </w:rPr>
            </w:pPr>
            <w:r w:rsidRPr="00BD72F8">
              <w:rPr>
                <w:b/>
                <w:sz w:val="20"/>
                <w:szCs w:val="20"/>
              </w:rPr>
              <w:t>Finanšu ministrija</w:t>
            </w:r>
          </w:p>
          <w:p w14:paraId="0313A66B"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23E3FD03" w14:textId="77777777" w:rsidR="001F041A" w:rsidRDefault="001F041A" w:rsidP="001F041A">
            <w:pPr>
              <w:jc w:val="both"/>
              <w:rPr>
                <w:sz w:val="20"/>
                <w:szCs w:val="20"/>
              </w:rPr>
            </w:pPr>
            <w:r w:rsidRPr="00BD72F8">
              <w:rPr>
                <w:sz w:val="20"/>
                <w:szCs w:val="20"/>
              </w:rPr>
              <w:t xml:space="preserve">Vēršam uzmanību, ka Finanšu ministrija ar 2018.gada 1.marta vēstuli Nr.4.1-34/27/1053 “Par preču aprites elektroniskās kontroles sistēmas izveidi” informēja par Ēnu ekonomikas apkarošanas padomes 2018.gada 28.februāra sēdē izskatīto Finanšu ministrijas priekšlikumu par iespējamu </w:t>
            </w:r>
            <w:r w:rsidRPr="00CB4822">
              <w:rPr>
                <w:b/>
                <w:sz w:val="20"/>
                <w:szCs w:val="20"/>
              </w:rPr>
              <w:t>preču aprites elektroniskās kontroles sistēmas izveidi</w:t>
            </w:r>
            <w:r w:rsidRPr="00BD72F8">
              <w:rPr>
                <w:sz w:val="20"/>
                <w:szCs w:val="20"/>
              </w:rPr>
              <w:t xml:space="preserve"> un lūdza Iekšlietu ministrijai izvērtēt tehniskās iespējas elektroniskās preču aprites kontrolē izmantot uz autoceļiem izvietotos fotoradarus. Līdz ar to </w:t>
            </w:r>
            <w:r w:rsidRPr="00CB4822">
              <w:rPr>
                <w:b/>
                <w:sz w:val="20"/>
                <w:szCs w:val="20"/>
              </w:rPr>
              <w:t>informatīvajā ziņojamā būtu iekļaujama informācija, vai minētie tehniskie līdzekļi (fotoradari) nepieciešamības gadījumā būs pielāgojami šo funkciju veikšanai.</w:t>
            </w:r>
            <w:r w:rsidRPr="00BD72F8">
              <w:rPr>
                <w:sz w:val="20"/>
                <w:szCs w:val="20"/>
              </w:rPr>
              <w:t xml:space="preserve"> </w:t>
            </w:r>
          </w:p>
          <w:p w14:paraId="7C6E2106" w14:textId="77777777" w:rsidR="001F041A" w:rsidRPr="00BD72F8" w:rsidRDefault="001F041A" w:rsidP="001F041A">
            <w:pPr>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F5D838"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p>
          <w:p w14:paraId="1D74ABB2"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Panākta vienošanās 19.03.2019. starpministriju (starpinstitūciju) sanāksmē.</w:t>
            </w:r>
          </w:p>
          <w:p w14:paraId="1FEB8CDB" w14:textId="77777777" w:rsidR="001F041A" w:rsidRPr="009F5653" w:rsidRDefault="001F041A" w:rsidP="001F041A">
            <w:pPr>
              <w:pStyle w:val="NormalWeb"/>
              <w:spacing w:before="0" w:beforeAutospacing="0" w:after="0" w:afterAutospacing="0"/>
              <w:ind w:firstLine="176"/>
              <w:jc w:val="both"/>
              <w:rPr>
                <w:rFonts w:ascii="Times New Roman" w:hAnsi="Times New Roman"/>
                <w:sz w:val="20"/>
                <w:szCs w:val="20"/>
              </w:rPr>
            </w:pPr>
            <w:r w:rsidRPr="009F5653">
              <w:rPr>
                <w:rFonts w:ascii="Times New Roman" w:hAnsi="Times New Roman"/>
                <w:sz w:val="20"/>
                <w:szCs w:val="20"/>
              </w:rPr>
              <w:t xml:space="preserve">IeM 26.03.2018. atbilde FM </w:t>
            </w:r>
            <w:r>
              <w:rPr>
                <w:rFonts w:ascii="Times New Roman" w:hAnsi="Times New Roman"/>
                <w:sz w:val="20"/>
                <w:szCs w:val="20"/>
              </w:rPr>
              <w:t xml:space="preserve">–izziņas </w:t>
            </w:r>
            <w:r w:rsidRPr="009F5653">
              <w:rPr>
                <w:rFonts w:ascii="Times New Roman" w:hAnsi="Times New Roman"/>
                <w:sz w:val="20"/>
                <w:szCs w:val="20"/>
              </w:rPr>
              <w:t xml:space="preserve">pielikumā. </w:t>
            </w:r>
          </w:p>
          <w:p w14:paraId="2A876216" w14:textId="77777777" w:rsidR="001F041A" w:rsidRPr="007843A1" w:rsidRDefault="001F041A" w:rsidP="001F041A">
            <w:pPr>
              <w:pStyle w:val="NormalWeb"/>
              <w:spacing w:before="0" w:beforeAutospacing="0" w:after="0" w:afterAutospacing="0"/>
              <w:ind w:firstLine="176"/>
              <w:jc w:val="both"/>
              <w:rPr>
                <w:rFonts w:ascii="Times New Roman" w:hAnsi="Times New Roman"/>
                <w:sz w:val="22"/>
                <w:szCs w:val="22"/>
              </w:rPr>
            </w:pPr>
            <w:r w:rsidRPr="009F5653">
              <w:rPr>
                <w:rFonts w:ascii="Times New Roman" w:hAnsi="Times New Roman"/>
                <w:sz w:val="20"/>
                <w:szCs w:val="20"/>
              </w:rPr>
              <w:t>FM gatavos atsevišķi informatīvo ziņojumu.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CAA622" w14:textId="77777777" w:rsidR="001F041A" w:rsidRPr="00844AE7" w:rsidRDefault="001F041A" w:rsidP="001F041A">
            <w:pPr>
              <w:jc w:val="both"/>
              <w:rPr>
                <w:sz w:val="22"/>
                <w:szCs w:val="22"/>
              </w:rPr>
            </w:pPr>
          </w:p>
        </w:tc>
      </w:tr>
      <w:tr w:rsidR="001F041A" w:rsidRPr="00A26DDD" w14:paraId="2262E9DF"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3388B9E" w14:textId="2947AD5F" w:rsidR="001F041A" w:rsidRDefault="0040498C" w:rsidP="001F041A">
            <w:pPr>
              <w:jc w:val="center"/>
              <w:rPr>
                <w:sz w:val="22"/>
                <w:szCs w:val="22"/>
              </w:rPr>
            </w:pPr>
            <w:r>
              <w:rPr>
                <w:sz w:val="22"/>
                <w:szCs w:val="22"/>
              </w:rPr>
              <w:t>21</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50ED37" w14:textId="77777777" w:rsidR="001F041A" w:rsidRPr="007843A1" w:rsidRDefault="001F041A" w:rsidP="001F041A">
            <w:pPr>
              <w:rPr>
                <w:sz w:val="22"/>
                <w:szCs w:val="22"/>
              </w:rPr>
            </w:pPr>
            <w:r w:rsidRPr="00BD72F8">
              <w:rPr>
                <w:sz w:val="20"/>
                <w:szCs w:val="20"/>
              </w:rPr>
              <w:t>Informatīvā ziņojuma 2.pielikum</w:t>
            </w:r>
            <w:r>
              <w:rPr>
                <w:sz w:val="20"/>
                <w:szCs w:val="20"/>
              </w:rPr>
              <w: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A90F07" w14:textId="77777777" w:rsidR="001F041A" w:rsidRPr="00BD72F8" w:rsidRDefault="001F041A" w:rsidP="001F041A">
            <w:pPr>
              <w:jc w:val="center"/>
              <w:rPr>
                <w:b/>
                <w:sz w:val="20"/>
                <w:szCs w:val="20"/>
              </w:rPr>
            </w:pPr>
            <w:r w:rsidRPr="00BD72F8">
              <w:rPr>
                <w:b/>
                <w:sz w:val="20"/>
                <w:szCs w:val="20"/>
              </w:rPr>
              <w:t>Finanšu ministrija</w:t>
            </w:r>
          </w:p>
          <w:p w14:paraId="22B26B4B" w14:textId="77777777" w:rsidR="001F041A" w:rsidRPr="00BD72F8" w:rsidRDefault="001F041A" w:rsidP="001F041A">
            <w:pPr>
              <w:pStyle w:val="NormalWeb"/>
              <w:spacing w:before="0" w:beforeAutospacing="0" w:after="0" w:afterAutospacing="0"/>
              <w:jc w:val="center"/>
              <w:rPr>
                <w:rFonts w:ascii="Times New Roman" w:hAnsi="Times New Roman"/>
                <w:sz w:val="20"/>
                <w:szCs w:val="20"/>
              </w:rPr>
            </w:pPr>
            <w:r w:rsidRPr="00BD72F8">
              <w:rPr>
                <w:rFonts w:ascii="Times New Roman" w:hAnsi="Times New Roman"/>
                <w:sz w:val="20"/>
                <w:szCs w:val="20"/>
              </w:rPr>
              <w:t>(12.02.2019. atzinums Nr.12/A-7/742)</w:t>
            </w:r>
          </w:p>
          <w:p w14:paraId="31CAD75E" w14:textId="77777777" w:rsidR="001F041A" w:rsidRPr="00BD72F8" w:rsidRDefault="001F041A" w:rsidP="001F041A">
            <w:pPr>
              <w:jc w:val="center"/>
              <w:rPr>
                <w:b/>
                <w:sz w:val="20"/>
                <w:szCs w:val="20"/>
              </w:rPr>
            </w:pPr>
            <w:r w:rsidRPr="00BD72F8">
              <w:rPr>
                <w:b/>
                <w:sz w:val="20"/>
                <w:szCs w:val="20"/>
              </w:rPr>
              <w:t>(priekšlikums)</w:t>
            </w:r>
          </w:p>
          <w:p w14:paraId="4DB4F0B0" w14:textId="77777777" w:rsidR="001F041A" w:rsidRPr="00BD72F8" w:rsidRDefault="001F041A" w:rsidP="001F041A">
            <w:pPr>
              <w:ind w:firstLine="720"/>
              <w:jc w:val="both"/>
              <w:rPr>
                <w:sz w:val="20"/>
                <w:szCs w:val="20"/>
              </w:rPr>
            </w:pPr>
            <w:r w:rsidRPr="00BD72F8">
              <w:rPr>
                <w:sz w:val="20"/>
                <w:szCs w:val="20"/>
              </w:rPr>
              <w:t>Informatīvā ziņojuma 2.pielikuma 2.3.1.apakšpunktā norādīti izdevumi, kurus ir ierosināts segt no valsts budžeta līdzekļiem. Informatīvā ziņojuma 2.pielikuma 1.punktā norādīti izdevumi kopsummā 35 508 </w:t>
            </w:r>
            <w:r w:rsidRPr="00BD72F8">
              <w:rPr>
                <w:i/>
                <w:iCs/>
                <w:sz w:val="20"/>
                <w:szCs w:val="20"/>
              </w:rPr>
              <w:t>euro</w:t>
            </w:r>
            <w:r w:rsidRPr="00BD72F8">
              <w:rPr>
                <w:sz w:val="20"/>
                <w:szCs w:val="20"/>
              </w:rPr>
              <w:t xml:space="preserve"> apmērā (ar PVN), ko veido izdevumi par papildus funkcionalitātes programmnodrošinājuma izstrādi 17 545 </w:t>
            </w:r>
            <w:r w:rsidRPr="00BD72F8">
              <w:rPr>
                <w:i/>
                <w:iCs/>
                <w:sz w:val="20"/>
                <w:szCs w:val="20"/>
              </w:rPr>
              <w:t>euro (</w:t>
            </w:r>
            <w:r w:rsidRPr="00BD72F8">
              <w:rPr>
                <w:sz w:val="20"/>
                <w:szCs w:val="20"/>
              </w:rPr>
              <w:t>no fotoradaru nolietojuma uzkrājuma), licences iegādi 13 068 </w:t>
            </w:r>
            <w:r w:rsidRPr="00BD72F8">
              <w:rPr>
                <w:i/>
                <w:iCs/>
                <w:sz w:val="20"/>
                <w:szCs w:val="20"/>
              </w:rPr>
              <w:t>euro</w:t>
            </w:r>
            <w:r w:rsidRPr="00BD72F8">
              <w:rPr>
                <w:sz w:val="20"/>
                <w:szCs w:val="20"/>
              </w:rPr>
              <w:t xml:space="preserve"> (no CSDD dividendēm) un fotoradaru saslēgšanu ar luksoforiem 4 895 </w:t>
            </w:r>
            <w:r w:rsidRPr="00BD72F8">
              <w:rPr>
                <w:i/>
                <w:iCs/>
                <w:sz w:val="20"/>
                <w:szCs w:val="20"/>
              </w:rPr>
              <w:t>euro</w:t>
            </w:r>
            <w:r w:rsidRPr="00BD72F8">
              <w:rPr>
                <w:sz w:val="20"/>
                <w:szCs w:val="20"/>
              </w:rPr>
              <w:t xml:space="preserve"> (no fotoradaru nolietojuma uzkrājuma)</w:t>
            </w:r>
            <w:r w:rsidRPr="00BD72F8">
              <w:rPr>
                <w:color w:val="1F497D"/>
                <w:sz w:val="20"/>
                <w:szCs w:val="20"/>
              </w:rPr>
              <w:t xml:space="preserve"> </w:t>
            </w:r>
            <w:r w:rsidRPr="00BD72F8">
              <w:rPr>
                <w:sz w:val="20"/>
                <w:szCs w:val="20"/>
              </w:rPr>
              <w:t>apmērā. Tāpat arī 2.punktā norādīti izdevumi kopsummā 9 000 </w:t>
            </w:r>
            <w:r w:rsidRPr="00BD72F8">
              <w:rPr>
                <w:i/>
                <w:iCs/>
                <w:sz w:val="20"/>
                <w:szCs w:val="20"/>
              </w:rPr>
              <w:t>euro</w:t>
            </w:r>
            <w:r w:rsidRPr="00BD72F8">
              <w:rPr>
                <w:sz w:val="20"/>
                <w:szCs w:val="20"/>
              </w:rPr>
              <w:t xml:space="preserve"> (ar PVN) par ierīces tipa apstiprināšanu un verifikāciju (indikatīvi) no fotoradaru nolietojuma uzkrājuma.</w:t>
            </w:r>
          </w:p>
          <w:p w14:paraId="31826AFA" w14:textId="77777777" w:rsidR="001F041A" w:rsidRPr="00BD72F8" w:rsidRDefault="001F041A" w:rsidP="001F041A">
            <w:pPr>
              <w:ind w:firstLine="720"/>
              <w:jc w:val="both"/>
              <w:rPr>
                <w:sz w:val="20"/>
                <w:szCs w:val="20"/>
              </w:rPr>
            </w:pPr>
            <w:r w:rsidRPr="00BD72F8">
              <w:rPr>
                <w:sz w:val="20"/>
                <w:szCs w:val="20"/>
              </w:rPr>
              <w:t xml:space="preserve">Lūdzam </w:t>
            </w:r>
            <w:r w:rsidRPr="00746F2D">
              <w:rPr>
                <w:b/>
                <w:sz w:val="20"/>
                <w:szCs w:val="20"/>
              </w:rPr>
              <w:t>precizēt norādīto informāciju, īpaši neatzīmējot, ka izdevumu sadaļā ir arī aprēķinātās PVN summas par saņemtajiem pakalpojumiem, kas veido izdevumu kopsummu.</w:t>
            </w:r>
            <w:r w:rsidRPr="00BD72F8">
              <w:rPr>
                <w:sz w:val="20"/>
                <w:szCs w:val="20"/>
              </w:rPr>
              <w:t xml:space="preserve"> Kā arī lūdzam izvērtēt, vai ir nepieciešams atsaukties uz to, ka izdevumos ir arī PVN summas.</w:t>
            </w:r>
          </w:p>
          <w:p w14:paraId="734EC6E5" w14:textId="77777777" w:rsidR="001F041A" w:rsidRPr="00BD72F8" w:rsidRDefault="001F041A" w:rsidP="001F041A">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31235F"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6826C7CE" w14:textId="31742F52"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Priekšlikums ņemts vērā.</w:t>
            </w:r>
          </w:p>
          <w:p w14:paraId="32CC10F0"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59B29EA1" w14:textId="77777777" w:rsidR="001F041A" w:rsidRPr="007843A1" w:rsidRDefault="001F041A" w:rsidP="001F041A">
            <w:pPr>
              <w:pStyle w:val="NormalWeb"/>
              <w:spacing w:before="0" w:beforeAutospacing="0" w:after="0" w:afterAutospacing="0"/>
              <w:ind w:firstLine="176"/>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7C5F5B" w14:textId="77777777" w:rsidR="001F041A" w:rsidRPr="00844AE7" w:rsidRDefault="001F041A" w:rsidP="001F041A">
            <w:pPr>
              <w:jc w:val="both"/>
              <w:rPr>
                <w:sz w:val="22"/>
                <w:szCs w:val="22"/>
              </w:rPr>
            </w:pPr>
            <w:r>
              <w:rPr>
                <w:sz w:val="20"/>
                <w:szCs w:val="20"/>
              </w:rPr>
              <w:t>Precizēts i</w:t>
            </w:r>
            <w:r w:rsidRPr="00BD72F8">
              <w:rPr>
                <w:sz w:val="20"/>
                <w:szCs w:val="20"/>
              </w:rPr>
              <w:t>nformatīvā ziņojuma 2.pielikum</w:t>
            </w:r>
            <w:r>
              <w:rPr>
                <w:sz w:val="20"/>
                <w:szCs w:val="20"/>
              </w:rPr>
              <w:t>s.</w:t>
            </w:r>
          </w:p>
        </w:tc>
      </w:tr>
      <w:tr w:rsidR="001F041A" w:rsidRPr="00A26DDD" w14:paraId="278AE9D0"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7B2D240" w14:textId="7D011EB6" w:rsidR="001F041A" w:rsidRPr="000C567C" w:rsidRDefault="00EA2CAC" w:rsidP="001F041A">
            <w:pPr>
              <w:jc w:val="center"/>
              <w:rPr>
                <w:sz w:val="22"/>
                <w:szCs w:val="22"/>
                <w:highlight w:val="green"/>
              </w:rPr>
            </w:pPr>
            <w:r w:rsidRPr="00EA2CAC">
              <w:rPr>
                <w:sz w:val="22"/>
                <w:szCs w:val="22"/>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38AA9B" w14:textId="77777777" w:rsidR="001F041A" w:rsidRDefault="001F041A" w:rsidP="001F041A">
            <w:pPr>
              <w:rPr>
                <w:sz w:val="20"/>
                <w:szCs w:val="20"/>
              </w:rPr>
            </w:pPr>
            <w:r>
              <w:rPr>
                <w:sz w:val="20"/>
                <w:szCs w:val="20"/>
              </w:rPr>
              <w:t xml:space="preserve">√ Informatīvais ziņojums </w:t>
            </w:r>
          </w:p>
          <w:p w14:paraId="42F5CF7B" w14:textId="77777777" w:rsidR="001F041A" w:rsidRDefault="001F041A" w:rsidP="001F041A">
            <w:pPr>
              <w:rPr>
                <w:sz w:val="20"/>
                <w:szCs w:val="20"/>
              </w:rPr>
            </w:pPr>
            <w:r>
              <w:rPr>
                <w:sz w:val="20"/>
                <w:szCs w:val="20"/>
              </w:rPr>
              <w:t>√ P</w:t>
            </w:r>
            <w:r w:rsidRPr="00B855A3">
              <w:rPr>
                <w:sz w:val="20"/>
                <w:szCs w:val="20"/>
              </w:rPr>
              <w:t xml:space="preserve">rotokollēmuma </w:t>
            </w:r>
            <w:r>
              <w:rPr>
                <w:sz w:val="20"/>
                <w:szCs w:val="20"/>
              </w:rPr>
              <w:t xml:space="preserve">projekta </w:t>
            </w:r>
            <w:r w:rsidRPr="00B855A3">
              <w:rPr>
                <w:sz w:val="20"/>
                <w:szCs w:val="20"/>
              </w:rPr>
              <w:t>2.1.apakšpunkts</w:t>
            </w:r>
            <w:r>
              <w:rPr>
                <w:sz w:val="20"/>
                <w:szCs w:val="20"/>
              </w:rPr>
              <w:t>:</w:t>
            </w:r>
          </w:p>
          <w:p w14:paraId="6B256CFC" w14:textId="77777777" w:rsidR="001F041A" w:rsidRPr="00F662B0" w:rsidRDefault="001F041A" w:rsidP="001F041A">
            <w:pPr>
              <w:rPr>
                <w:sz w:val="20"/>
                <w:szCs w:val="20"/>
              </w:rPr>
            </w:pPr>
            <w:r w:rsidRPr="00F662B0">
              <w:rPr>
                <w:sz w:val="20"/>
                <w:szCs w:val="20"/>
              </w:rPr>
              <w:t>2.1. laikposmā no 2015. līdz 2018.gadam uzstādīto 100 tehnisko līdzekļu (fotoradaru) darbības nodrošināšanu līdz laikam, kamēr tiks atzīta to atbilstība normatīvajos aktos noteiktajām metroloģiskajām prasībām</w:t>
            </w:r>
          </w:p>
          <w:p w14:paraId="15D2EE72"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12384C" w14:textId="77777777" w:rsidR="001F041A" w:rsidRPr="00BD72F8" w:rsidRDefault="001F041A" w:rsidP="001F041A">
            <w:pPr>
              <w:jc w:val="center"/>
              <w:rPr>
                <w:b/>
                <w:sz w:val="20"/>
                <w:szCs w:val="20"/>
              </w:rPr>
            </w:pPr>
            <w:r w:rsidRPr="00BD72F8">
              <w:rPr>
                <w:b/>
                <w:sz w:val="20"/>
                <w:szCs w:val="20"/>
              </w:rPr>
              <w:t>Ekonomikas ministrija</w:t>
            </w:r>
          </w:p>
          <w:p w14:paraId="4E068DE1" w14:textId="77777777" w:rsidR="001F041A" w:rsidRPr="00BD72F8" w:rsidRDefault="001F041A" w:rsidP="001F041A">
            <w:pPr>
              <w:jc w:val="center"/>
              <w:rPr>
                <w:sz w:val="20"/>
                <w:szCs w:val="20"/>
              </w:rPr>
            </w:pPr>
            <w:r w:rsidRPr="00BD72F8">
              <w:rPr>
                <w:sz w:val="20"/>
                <w:szCs w:val="20"/>
              </w:rPr>
              <w:t>(07.02.2019. atzinums Nr.3.1-20/2019/25)</w:t>
            </w:r>
          </w:p>
          <w:p w14:paraId="6C7DDB82" w14:textId="77777777" w:rsidR="001F041A" w:rsidRPr="00BD72F8" w:rsidRDefault="001F041A" w:rsidP="001F041A">
            <w:pPr>
              <w:jc w:val="both"/>
              <w:rPr>
                <w:b/>
                <w:sz w:val="20"/>
                <w:szCs w:val="20"/>
              </w:rPr>
            </w:pPr>
            <w:r w:rsidRPr="00BD72F8">
              <w:rPr>
                <w:sz w:val="20"/>
                <w:szCs w:val="20"/>
              </w:rPr>
              <w:t xml:space="preserve">Atbilstoši Ziņojumam pievienotā Ministru kabineta sēdes protokollēmuma 2.1.apakšpunktā noteiktajam, tiek paredzēts atbalstīt  laikposmā no 2015. līdz 2018.gadam uzstādīto 100 tehnisko līdzekļu (fotoradaru) darbības nodrošināšanu līdz laikam, kamēr tiks atzīta to atbilstība normatīvajos aktos noteiktajām </w:t>
            </w:r>
            <w:bookmarkStart w:id="2" w:name="_Hlk439034"/>
            <w:r w:rsidRPr="00BD72F8">
              <w:rPr>
                <w:sz w:val="20"/>
                <w:szCs w:val="20"/>
              </w:rPr>
              <w:t>metroloģiskajām prasībām</w:t>
            </w:r>
            <w:bookmarkEnd w:id="2"/>
            <w:r w:rsidRPr="00BD72F8">
              <w:rPr>
                <w:sz w:val="20"/>
                <w:szCs w:val="20"/>
              </w:rPr>
              <w:t>. Norādām, ka šobrīd no minētā protokollēmuma punkta redakcijas izriet, ka 100 tehnisko līdzekļu (fotoradaru)  darbība nenotiek atbilstoši normatīvajiem aktiem par metroloģiskajām prasībām mērīšanas līdzekļiem. Ņemot vērā minēto, lūdzam skaidrot Ziņojumam pievienotā Ministru kabineta sēdes protokollēmuma 2.1.apakšpunktā noteiktā būtību, kā arī atbilstoši precizēt Ministru kabineta sēdes protokollēmumu.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5B0436"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p>
          <w:p w14:paraId="45BD5A5E" w14:textId="77777777" w:rsidR="001F041A" w:rsidRPr="007843A1" w:rsidRDefault="001F041A" w:rsidP="001F041A">
            <w:pPr>
              <w:pStyle w:val="NormalWeb"/>
              <w:spacing w:before="0" w:beforeAutospacing="0" w:after="0" w:afterAutospacing="0"/>
              <w:ind w:firstLine="176"/>
              <w:rPr>
                <w:rFonts w:ascii="Times New Roman" w:hAnsi="Times New Roman"/>
                <w:sz w:val="22"/>
                <w:szCs w:val="22"/>
              </w:rPr>
            </w:pPr>
            <w:r>
              <w:rPr>
                <w:rFonts w:ascii="Times New Roman" w:hAnsi="Times New Roman"/>
                <w:b/>
                <w:sz w:val="20"/>
                <w:szCs w:val="20"/>
              </w:rPr>
              <w:t>Iebildums ņemts vērā.</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409E52" w14:textId="77777777" w:rsidR="001F041A" w:rsidRDefault="001F041A" w:rsidP="001F041A">
            <w:pPr>
              <w:jc w:val="both"/>
              <w:rPr>
                <w:sz w:val="22"/>
                <w:szCs w:val="22"/>
              </w:rPr>
            </w:pPr>
          </w:p>
          <w:p w14:paraId="26065EEC" w14:textId="77777777" w:rsidR="001F041A" w:rsidRDefault="001F041A" w:rsidP="001F041A">
            <w:pPr>
              <w:jc w:val="both"/>
              <w:rPr>
                <w:sz w:val="20"/>
                <w:szCs w:val="20"/>
              </w:rPr>
            </w:pPr>
            <w:r>
              <w:rPr>
                <w:sz w:val="20"/>
                <w:szCs w:val="20"/>
              </w:rPr>
              <w:t xml:space="preserve">√ </w:t>
            </w:r>
            <w:r w:rsidRPr="00B855A3">
              <w:rPr>
                <w:sz w:val="20"/>
                <w:szCs w:val="20"/>
              </w:rPr>
              <w:t xml:space="preserve">Precizēts </w:t>
            </w:r>
            <w:r>
              <w:rPr>
                <w:sz w:val="20"/>
                <w:szCs w:val="20"/>
              </w:rPr>
              <w:t xml:space="preserve">informatīvais ziņojums </w:t>
            </w:r>
          </w:p>
          <w:p w14:paraId="5D7440E0" w14:textId="10C19E15" w:rsidR="001F041A" w:rsidRDefault="001F041A" w:rsidP="001F041A">
            <w:pPr>
              <w:jc w:val="both"/>
              <w:rPr>
                <w:sz w:val="20"/>
                <w:szCs w:val="20"/>
              </w:rPr>
            </w:pPr>
            <w:r>
              <w:rPr>
                <w:sz w:val="20"/>
                <w:szCs w:val="20"/>
              </w:rPr>
              <w:t xml:space="preserve">√ </w:t>
            </w:r>
            <w:r w:rsidRPr="00B855A3">
              <w:rPr>
                <w:sz w:val="20"/>
                <w:szCs w:val="20"/>
              </w:rPr>
              <w:t xml:space="preserve">Precizēts </w:t>
            </w:r>
            <w:r>
              <w:rPr>
                <w:sz w:val="20"/>
                <w:szCs w:val="20"/>
              </w:rPr>
              <w:t>p</w:t>
            </w:r>
            <w:r w:rsidR="00EA2CAC">
              <w:rPr>
                <w:sz w:val="20"/>
                <w:szCs w:val="20"/>
              </w:rPr>
              <w:t>rotokollēmuma</w:t>
            </w:r>
            <w:proofErr w:type="gramStart"/>
            <w:r w:rsidR="00EA2CAC">
              <w:rPr>
                <w:sz w:val="20"/>
                <w:szCs w:val="20"/>
              </w:rPr>
              <w:t xml:space="preserve"> </w:t>
            </w:r>
            <w:r>
              <w:rPr>
                <w:sz w:val="20"/>
                <w:szCs w:val="20"/>
              </w:rPr>
              <w:t xml:space="preserve"> </w:t>
            </w:r>
            <w:proofErr w:type="gramEnd"/>
            <w:r w:rsidRPr="00B855A3">
              <w:rPr>
                <w:sz w:val="20"/>
                <w:szCs w:val="20"/>
              </w:rPr>
              <w:t>2.1.apakšpunkts</w:t>
            </w:r>
            <w:r>
              <w:rPr>
                <w:sz w:val="20"/>
                <w:szCs w:val="20"/>
              </w:rPr>
              <w:t>:</w:t>
            </w:r>
          </w:p>
          <w:p w14:paraId="5594B46B" w14:textId="4D3A12E3" w:rsidR="00222098" w:rsidRPr="00222098" w:rsidRDefault="00222098" w:rsidP="00222098">
            <w:pPr>
              <w:pStyle w:val="ListParagraph"/>
              <w:ind w:left="0"/>
              <w:jc w:val="both"/>
              <w:rPr>
                <w:rStyle w:val="spelle"/>
                <w:rFonts w:ascii="Times New Roman" w:hAnsi="Times New Roman" w:cs="Times New Roman"/>
                <w:sz w:val="20"/>
                <w:szCs w:val="20"/>
              </w:rPr>
            </w:pPr>
            <w:r>
              <w:rPr>
                <w:rStyle w:val="spelle"/>
                <w:rFonts w:ascii="Times New Roman" w:hAnsi="Times New Roman" w:cs="Times New Roman"/>
                <w:sz w:val="20"/>
                <w:szCs w:val="20"/>
              </w:rPr>
              <w:t>“</w:t>
            </w:r>
            <w:r w:rsidRPr="00222098">
              <w:rPr>
                <w:rStyle w:val="spelle"/>
                <w:rFonts w:ascii="Times New Roman" w:hAnsi="Times New Roman" w:cs="Times New Roman"/>
                <w:sz w:val="20"/>
                <w:szCs w:val="20"/>
              </w:rPr>
              <w:t>2. Atbalstīt priekšlikumus par:</w:t>
            </w:r>
          </w:p>
          <w:p w14:paraId="44DA6116" w14:textId="07E3652D" w:rsidR="00222098" w:rsidRDefault="00222098" w:rsidP="00222098">
            <w:pPr>
              <w:pStyle w:val="ListParagraph"/>
              <w:ind w:left="0" w:firstLine="709"/>
              <w:jc w:val="both"/>
              <w:rPr>
                <w:rStyle w:val="spelle"/>
                <w:rFonts w:ascii="Times New Roman" w:hAnsi="Times New Roman" w:cs="Times New Roman"/>
                <w:sz w:val="28"/>
                <w:szCs w:val="28"/>
              </w:rPr>
            </w:pPr>
            <w:r w:rsidRPr="00222098">
              <w:rPr>
                <w:rStyle w:val="spelle"/>
                <w:rFonts w:ascii="Times New Roman" w:hAnsi="Times New Roman" w:cs="Times New Roman"/>
                <w:sz w:val="20"/>
                <w:szCs w:val="20"/>
              </w:rPr>
              <w:t xml:space="preserve">2.1. laikposmā no </w:t>
            </w:r>
            <w:proofErr w:type="gramStart"/>
            <w:r w:rsidRPr="00222098">
              <w:rPr>
                <w:rStyle w:val="spelle"/>
                <w:rFonts w:ascii="Times New Roman" w:hAnsi="Times New Roman" w:cs="Times New Roman"/>
                <w:sz w:val="20"/>
                <w:szCs w:val="20"/>
              </w:rPr>
              <w:t>2015.gada</w:t>
            </w:r>
            <w:proofErr w:type="gramEnd"/>
            <w:r w:rsidRPr="00222098">
              <w:rPr>
                <w:rStyle w:val="spelle"/>
                <w:rFonts w:ascii="Times New Roman" w:hAnsi="Times New Roman" w:cs="Times New Roman"/>
                <w:sz w:val="20"/>
                <w:szCs w:val="20"/>
              </w:rPr>
              <w:t xml:space="preserve">  līdz 2018.gadam uzstādīto 100 tehnisko līdzekļu (fotoradaru) darbības nodrošināšanu līdz laikam</w:t>
            </w:r>
            <w:r w:rsidRPr="00222098">
              <w:rPr>
                <w:sz w:val="20"/>
                <w:szCs w:val="20"/>
              </w:rPr>
              <w:t xml:space="preserve">, </w:t>
            </w:r>
            <w:r w:rsidRPr="00222098">
              <w:rPr>
                <w:rStyle w:val="spelle"/>
                <w:rFonts w:ascii="Times New Roman" w:hAnsi="Times New Roman" w:cs="Times New Roman"/>
                <w:sz w:val="20"/>
                <w:szCs w:val="20"/>
              </w:rPr>
              <w:t>kamēr tie tiks atzīti par derīgiem (atkārtoti verificēti) atbilstoši  normatīvajos aktos noteiktajām metroloģiskajām</w:t>
            </w:r>
            <w:r w:rsidRPr="0075702D">
              <w:rPr>
                <w:rStyle w:val="spelle"/>
                <w:rFonts w:ascii="Times New Roman" w:hAnsi="Times New Roman" w:cs="Times New Roman"/>
                <w:sz w:val="28"/>
                <w:szCs w:val="28"/>
              </w:rPr>
              <w:t xml:space="preserve"> </w:t>
            </w:r>
            <w:r w:rsidRPr="00222098">
              <w:rPr>
                <w:rStyle w:val="spelle"/>
                <w:rFonts w:ascii="Times New Roman" w:hAnsi="Times New Roman" w:cs="Times New Roman"/>
                <w:sz w:val="20"/>
                <w:szCs w:val="20"/>
              </w:rPr>
              <w:t>prasībām;”.</w:t>
            </w:r>
          </w:p>
          <w:p w14:paraId="0E8DA34A" w14:textId="77777777" w:rsidR="00222098" w:rsidRDefault="00222098" w:rsidP="001F041A">
            <w:pPr>
              <w:jc w:val="both"/>
              <w:rPr>
                <w:sz w:val="20"/>
                <w:szCs w:val="20"/>
              </w:rPr>
            </w:pPr>
          </w:p>
          <w:p w14:paraId="539C202B" w14:textId="77777777" w:rsidR="001F041A" w:rsidRPr="00844AE7" w:rsidRDefault="001F041A" w:rsidP="00222098">
            <w:pPr>
              <w:jc w:val="both"/>
              <w:rPr>
                <w:sz w:val="22"/>
                <w:szCs w:val="22"/>
              </w:rPr>
            </w:pPr>
          </w:p>
        </w:tc>
      </w:tr>
      <w:tr w:rsidR="001F041A" w:rsidRPr="00A26DDD" w14:paraId="62F5A1E0"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738A263" w14:textId="3DE36DDB" w:rsidR="001F041A" w:rsidRPr="008E1DF4" w:rsidRDefault="008E1DF4" w:rsidP="001F041A">
            <w:pPr>
              <w:jc w:val="center"/>
              <w:rPr>
                <w:sz w:val="22"/>
                <w:szCs w:val="22"/>
              </w:rPr>
            </w:pPr>
            <w:r w:rsidRPr="008E1DF4">
              <w:rPr>
                <w:sz w:val="22"/>
                <w:szCs w:val="22"/>
              </w:rPr>
              <w:lastRenderedPageBreak/>
              <w:t>23</w:t>
            </w:r>
            <w:r w:rsidR="001F041A" w:rsidRPr="008E1DF4">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BA70ED" w14:textId="77777777" w:rsidR="001F041A" w:rsidRPr="000F3CE5" w:rsidRDefault="001F041A" w:rsidP="001F041A">
            <w:pPr>
              <w:rPr>
                <w:sz w:val="22"/>
                <w:szCs w:val="22"/>
                <w:highlight w:val="yello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8B2071" w14:textId="77777777" w:rsidR="001F041A" w:rsidRPr="000C567C" w:rsidRDefault="001F041A" w:rsidP="001F041A">
            <w:pPr>
              <w:jc w:val="center"/>
              <w:rPr>
                <w:b/>
                <w:sz w:val="20"/>
                <w:szCs w:val="20"/>
              </w:rPr>
            </w:pPr>
            <w:r w:rsidRPr="000C567C">
              <w:rPr>
                <w:b/>
                <w:sz w:val="20"/>
                <w:szCs w:val="20"/>
              </w:rPr>
              <w:t>Ekonomikas ministrija</w:t>
            </w:r>
          </w:p>
          <w:p w14:paraId="75688210" w14:textId="77777777" w:rsidR="001F041A" w:rsidRPr="000C567C" w:rsidRDefault="001F041A" w:rsidP="001F041A">
            <w:pPr>
              <w:jc w:val="center"/>
              <w:rPr>
                <w:sz w:val="20"/>
                <w:szCs w:val="20"/>
              </w:rPr>
            </w:pPr>
            <w:r w:rsidRPr="000C567C">
              <w:rPr>
                <w:sz w:val="20"/>
                <w:szCs w:val="20"/>
              </w:rPr>
              <w:t>(07.02.2019. atzinums Nr.3.1-20/2019/25)</w:t>
            </w:r>
          </w:p>
          <w:p w14:paraId="4552991F" w14:textId="77777777" w:rsidR="001F041A" w:rsidRPr="000C567C" w:rsidRDefault="001F041A" w:rsidP="001F041A">
            <w:pPr>
              <w:jc w:val="both"/>
              <w:rPr>
                <w:sz w:val="20"/>
                <w:szCs w:val="20"/>
              </w:rPr>
            </w:pPr>
            <w:r w:rsidRPr="000C567C">
              <w:rPr>
                <w:sz w:val="20"/>
                <w:szCs w:val="20"/>
              </w:rPr>
              <w:t xml:space="preserve">Norādām, ka saistībā ar Ziņojuma 2.3.1.apakšpunktā minēto fotoradaru </w:t>
            </w:r>
            <w:proofErr w:type="spellStart"/>
            <w:r w:rsidRPr="000C567C">
              <w:rPr>
                <w:sz w:val="20"/>
                <w:szCs w:val="20"/>
              </w:rPr>
              <w:t>Gatso</w:t>
            </w:r>
            <w:proofErr w:type="spellEnd"/>
            <w:r w:rsidRPr="000C567C">
              <w:rPr>
                <w:sz w:val="20"/>
                <w:szCs w:val="20"/>
              </w:rPr>
              <w:t xml:space="preserve"> RT4 izmantošana luksoforu signālu pārkāpumu kontrolē ir saņemta informācija gan no Valsts policijas (2018.gada 10.septembra vēstule Nr.20/30430), gan no Ceļu satiksmes un drošības direkcijas (turpmāk – CSDD). Atbilstoši Valsts policijas vēstulē minētajam, no Ekonomikas ministrijas puses tika secināts, ka </w:t>
            </w:r>
            <w:bookmarkStart w:id="3" w:name="_Hlk440312"/>
            <w:r w:rsidRPr="000C567C">
              <w:rPr>
                <w:sz w:val="20"/>
                <w:szCs w:val="20"/>
              </w:rPr>
              <w:t xml:space="preserve">fotoradaru </w:t>
            </w:r>
            <w:proofErr w:type="spellStart"/>
            <w:r w:rsidRPr="000C567C">
              <w:rPr>
                <w:sz w:val="20"/>
                <w:szCs w:val="20"/>
              </w:rPr>
              <w:t>Gatso</w:t>
            </w:r>
            <w:proofErr w:type="spellEnd"/>
            <w:r w:rsidRPr="000C567C">
              <w:rPr>
                <w:sz w:val="20"/>
                <w:szCs w:val="20"/>
              </w:rPr>
              <w:t xml:space="preserve"> RT4</w:t>
            </w:r>
            <w:bookmarkEnd w:id="3"/>
            <w:r w:rsidRPr="000C567C">
              <w:rPr>
                <w:sz w:val="20"/>
                <w:szCs w:val="20"/>
              </w:rPr>
              <w:t xml:space="preserve"> tiks papildus aprīkoti ar </w:t>
            </w:r>
            <w:bookmarkStart w:id="4" w:name="_Hlk440391"/>
            <w:r w:rsidRPr="000C567C">
              <w:rPr>
                <w:sz w:val="20"/>
                <w:szCs w:val="20"/>
              </w:rPr>
              <w:t>luksoforu signālu pārkāpumu kontroles funkciju</w:t>
            </w:r>
            <w:bookmarkEnd w:id="4"/>
            <w:r w:rsidRPr="000C567C">
              <w:rPr>
                <w:sz w:val="20"/>
                <w:szCs w:val="20"/>
              </w:rPr>
              <w:t xml:space="preserve">. Savukārt no CSDD tika saņemta informācija, ka fotoradariem </w:t>
            </w:r>
            <w:proofErr w:type="spellStart"/>
            <w:r w:rsidRPr="000C567C">
              <w:rPr>
                <w:sz w:val="20"/>
                <w:szCs w:val="20"/>
              </w:rPr>
              <w:t>Gatso</w:t>
            </w:r>
            <w:proofErr w:type="spellEnd"/>
            <w:r w:rsidRPr="000C567C">
              <w:rPr>
                <w:sz w:val="20"/>
                <w:szCs w:val="20"/>
              </w:rPr>
              <w:t xml:space="preserve"> RT4 no ražošanas brīža ir iestrādāta luksoforu signālu pārkāpumu kontroles funkcija, kas tiks aktivizēta un  izmantota luksoforu signālu pārkāpumu fiksācijai. Vēršam uzmanību, ka iekārtas aprīkošana ar papildus aprīkojumu un iekārtas iestrādātās funkcijas aktivizēšana ir divas dažādas lietas un no tām ir atkarīga arī metroloģijas jomas normatīvo aktu piemērošana. Līdz ar to lūdzam skaidrot no tehniskā viedokļa fotoradaru </w:t>
            </w:r>
            <w:proofErr w:type="spellStart"/>
            <w:r w:rsidRPr="000C567C">
              <w:rPr>
                <w:sz w:val="20"/>
                <w:szCs w:val="20"/>
              </w:rPr>
              <w:t>Gatso</w:t>
            </w:r>
            <w:proofErr w:type="spellEnd"/>
            <w:r w:rsidRPr="000C567C">
              <w:rPr>
                <w:sz w:val="20"/>
                <w:szCs w:val="20"/>
              </w:rPr>
              <w:t xml:space="preserve"> RT4 izmantošanu luksoforu signālu pārkāpumu kontrolē, kā arī lūdzam izteikt Ziņojumam pievienotā Ministru kabineta sēdes protokollēmuma 4.punktu šādā redakcijā:</w:t>
            </w:r>
          </w:p>
          <w:p w14:paraId="0CC9171A" w14:textId="77777777" w:rsidR="001F041A" w:rsidRPr="000C567C" w:rsidRDefault="001F041A" w:rsidP="001F041A">
            <w:pPr>
              <w:jc w:val="both"/>
              <w:rPr>
                <w:sz w:val="20"/>
                <w:szCs w:val="20"/>
              </w:rPr>
            </w:pPr>
            <w:r w:rsidRPr="000C567C">
              <w:rPr>
                <w:sz w:val="20"/>
                <w:szCs w:val="20"/>
              </w:rPr>
              <w:t>“</w:t>
            </w:r>
            <w:r w:rsidRPr="000C567C">
              <w:rPr>
                <w:i/>
                <w:sz w:val="20"/>
                <w:szCs w:val="20"/>
              </w:rPr>
              <w:t>4. Lai īstenotu šā protokollēmuma 2.3. apakšpunktā minētos priekšlikumus attiecībā uz tehnisko līdzekļu, kas fiksē aizliedzošo luksofora signālu neievērošanu, ieviešanu ceļu satiksmes uzraudzībā, Ekonomikas ministrijai līdz 2019.gada 1.jūlijam izvērtēt attiecīgo jomas normatīvo regulējumu un ja nepieciešams līdz 2019.gada 31.decembrim sagatavot un ekonomikas ministram noteiktā kārtībā iesniegt Ministru kabinetā grozījumus normatīvajos aktos, kas reglamentē mērīšanas līdzekļu metroloģiskās kontroles kārtību, tostarp prasības transportlīdzekļu braukšanas ātruma kontroles mērierīcēm, lai nodrošinātu luksoforu signālu pārkāpumu kontroli.</w:t>
            </w:r>
            <w:r w:rsidRPr="000C567C">
              <w:rPr>
                <w:sz w:val="20"/>
                <w:szCs w:val="20"/>
              </w:rPr>
              <w:t>”</w:t>
            </w:r>
          </w:p>
          <w:p w14:paraId="1987F5F2" w14:textId="77777777" w:rsidR="001F041A" w:rsidRPr="000C567C" w:rsidRDefault="001F041A" w:rsidP="001F041A">
            <w:pPr>
              <w:ind w:firstLine="720"/>
              <w:jc w:val="both"/>
              <w:rPr>
                <w:sz w:val="20"/>
                <w:szCs w:val="20"/>
              </w:rPr>
            </w:pPr>
            <w:r w:rsidRPr="000C567C">
              <w:rPr>
                <w:sz w:val="20"/>
                <w:szCs w:val="20"/>
              </w:rPr>
              <w:t xml:space="preserve">Vienlaikus vēršam uzmanību, ka Ministru kabineta 2017.gada 28.novembra noteikumi Nr.704 “Prasības transportlīdzekļu braukšanas ātruma kontroles mērierīcēm” (turpmāk – Noteikumi) ir tehniskie noteikumi un tie ir saskaņoti ar Eiropas Komisiju (turpmāk – EK) un citām Eiropas Savienības (turpmāk – ES) dalībvalstīm atbilstoši Ministru kabineta 2010.gada 23.februāra instrukcijā Nr.1 “Kārtība, kādā valsts pārvaldes iestādes sniedz informāciju par tehnisko noteikumu projektiem” (turpmāk – instrukcija) noteiktajā kārtībā. Līdz ar to, veicot grozījumus Noteikumos, atbilstoši Instrukcijai būs jāveic saskaņošanas process ar EK un citām ES dalībvalstīm un minimālais saskaņošanas laiks ir 3 mēneši (apturēšanas periods), savukārt, ja tiek saņemti iebildumi no EK vai citām ES dalībvalstīm, tas var tikt pagarināts līdz 6 </w:t>
            </w:r>
            <w:r w:rsidRPr="000C567C">
              <w:rPr>
                <w:sz w:val="20"/>
                <w:szCs w:val="20"/>
              </w:rPr>
              <w:lastRenderedPageBreak/>
              <w:t>mēnešiem. Ņemot vērā minēto, norādām, ka Ziņojumam pievienotā Ministru kabineta sēdes protokollēmuma 4.punkta noteiktas termiņš nav īstenojams.</w:t>
            </w:r>
          </w:p>
          <w:p w14:paraId="0FF312EB" w14:textId="77777777" w:rsidR="001F041A" w:rsidRPr="000C567C" w:rsidRDefault="001F041A" w:rsidP="001F041A">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ED1D68" w14:textId="77777777" w:rsidR="001F041A" w:rsidRPr="000C567C" w:rsidRDefault="001F041A" w:rsidP="001F041A">
            <w:pPr>
              <w:pStyle w:val="NormalWeb"/>
              <w:spacing w:before="0" w:beforeAutospacing="0" w:after="0" w:afterAutospacing="0"/>
              <w:ind w:firstLine="176"/>
              <w:jc w:val="both"/>
              <w:rPr>
                <w:rFonts w:ascii="Times New Roman" w:hAnsi="Times New Roman"/>
                <w:b/>
                <w:sz w:val="20"/>
                <w:szCs w:val="20"/>
              </w:rPr>
            </w:pPr>
          </w:p>
          <w:p w14:paraId="10616FC0"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0508D84B" w14:textId="6DB2F960"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 daļēji.</w:t>
            </w:r>
          </w:p>
          <w:p w14:paraId="308E04D6" w14:textId="77777777" w:rsidR="001F041A" w:rsidRPr="000C567C" w:rsidRDefault="001F041A" w:rsidP="001F041A">
            <w:pPr>
              <w:pStyle w:val="NormalWeb"/>
              <w:spacing w:before="0" w:beforeAutospacing="0" w:after="0" w:afterAutospacing="0"/>
              <w:ind w:firstLine="176"/>
              <w:jc w:val="both"/>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5C53E4" w14:textId="77777777" w:rsidR="001F041A" w:rsidRPr="000C567C" w:rsidRDefault="001F041A" w:rsidP="001F041A">
            <w:pPr>
              <w:jc w:val="both"/>
              <w:rPr>
                <w:sz w:val="20"/>
                <w:szCs w:val="20"/>
              </w:rPr>
            </w:pPr>
          </w:p>
          <w:p w14:paraId="180B3CFA" w14:textId="77777777" w:rsidR="001F041A" w:rsidRPr="000C567C" w:rsidRDefault="001F041A" w:rsidP="001F041A">
            <w:pPr>
              <w:jc w:val="both"/>
              <w:rPr>
                <w:sz w:val="20"/>
                <w:szCs w:val="20"/>
              </w:rPr>
            </w:pPr>
            <w:r w:rsidRPr="000C567C">
              <w:rPr>
                <w:sz w:val="20"/>
                <w:szCs w:val="20"/>
              </w:rPr>
              <w:t>Protokollēmuma 4.punkts svītrots.</w:t>
            </w:r>
          </w:p>
          <w:p w14:paraId="022F12EC" w14:textId="04D4687F" w:rsidR="001F041A" w:rsidRPr="000C567C" w:rsidRDefault="001F041A" w:rsidP="001F041A">
            <w:pPr>
              <w:rPr>
                <w:sz w:val="22"/>
                <w:szCs w:val="22"/>
              </w:rPr>
            </w:pPr>
            <w:r w:rsidRPr="000C567C">
              <w:rPr>
                <w:sz w:val="20"/>
                <w:szCs w:val="20"/>
              </w:rPr>
              <w:t>Precizēt</w:t>
            </w:r>
            <w:r w:rsidRPr="00D115E2">
              <w:rPr>
                <w:sz w:val="20"/>
                <w:szCs w:val="20"/>
              </w:rPr>
              <w:t>a</w:t>
            </w:r>
            <w:r w:rsidRPr="000C567C">
              <w:rPr>
                <w:sz w:val="20"/>
                <w:szCs w:val="20"/>
              </w:rPr>
              <w:t xml:space="preserve"> informatīvā ziņojuma 2.3.1.</w:t>
            </w:r>
            <w:r w:rsidRPr="00D115E2">
              <w:rPr>
                <w:sz w:val="20"/>
                <w:szCs w:val="20"/>
              </w:rPr>
              <w:t>sadaļa</w:t>
            </w:r>
          </w:p>
        </w:tc>
      </w:tr>
      <w:tr w:rsidR="001F041A" w:rsidRPr="006107D8" w14:paraId="6981821B"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4500CC9" w14:textId="6E210796" w:rsidR="001F041A" w:rsidRPr="008E1DF4" w:rsidRDefault="008E1DF4" w:rsidP="001F041A">
            <w:pPr>
              <w:jc w:val="center"/>
              <w:rPr>
                <w:sz w:val="22"/>
                <w:szCs w:val="22"/>
              </w:rPr>
            </w:pPr>
            <w:r w:rsidRPr="008E1DF4">
              <w:rPr>
                <w:sz w:val="22"/>
                <w:szCs w:val="22"/>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072F8C" w14:textId="77777777" w:rsidR="001F041A" w:rsidRPr="000F3CE5" w:rsidRDefault="001F041A" w:rsidP="001F041A">
            <w:pPr>
              <w:rPr>
                <w:sz w:val="22"/>
                <w:szCs w:val="22"/>
                <w:highlight w:val="yellow"/>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B7CDFF" w14:textId="77777777" w:rsidR="001F041A" w:rsidRPr="000C567C" w:rsidRDefault="001F041A" w:rsidP="001F041A">
            <w:pPr>
              <w:jc w:val="center"/>
              <w:rPr>
                <w:b/>
                <w:sz w:val="20"/>
                <w:szCs w:val="20"/>
              </w:rPr>
            </w:pPr>
            <w:r w:rsidRPr="000C567C">
              <w:rPr>
                <w:b/>
                <w:sz w:val="20"/>
                <w:szCs w:val="20"/>
              </w:rPr>
              <w:t>Ekonomikas ministrija</w:t>
            </w:r>
          </w:p>
          <w:p w14:paraId="5A669C0F" w14:textId="77777777" w:rsidR="001F041A" w:rsidRPr="000C567C" w:rsidRDefault="001F041A" w:rsidP="001F041A">
            <w:pPr>
              <w:jc w:val="center"/>
              <w:rPr>
                <w:sz w:val="20"/>
                <w:szCs w:val="20"/>
              </w:rPr>
            </w:pPr>
            <w:r w:rsidRPr="000C567C">
              <w:rPr>
                <w:sz w:val="20"/>
                <w:szCs w:val="20"/>
              </w:rPr>
              <w:t>(07.02.2019. atzinums Nr.3.1-20/2019/25)</w:t>
            </w:r>
          </w:p>
          <w:p w14:paraId="4C12248C" w14:textId="09CEC32B" w:rsidR="001F041A" w:rsidRPr="000C567C" w:rsidRDefault="001F041A" w:rsidP="001F041A">
            <w:pPr>
              <w:jc w:val="both"/>
              <w:rPr>
                <w:b/>
                <w:sz w:val="20"/>
                <w:szCs w:val="20"/>
              </w:rPr>
            </w:pPr>
            <w:r w:rsidRPr="000C567C">
              <w:rPr>
                <w:sz w:val="20"/>
                <w:szCs w:val="20"/>
              </w:rPr>
              <w:t xml:space="preserve">Lūdzam sniegt skaidrojumu par Ziņojuma 2.3.3.apakšpunktā minēto, proti - Pilotprojekta ietvaros sistēmu plānots uzsākt testēt ar 2019.gada 1.martu ceļa posmā Tīnūži – Koknese. Šajā ceļa posmā ir uzstādītas </w:t>
            </w:r>
            <w:r w:rsidRPr="000C567C">
              <w:rPr>
                <w:sz w:val="20"/>
                <w:szCs w:val="20"/>
                <w:u w:val="single"/>
              </w:rPr>
              <w:t>stacionāro fotoradaru sistēmas, starp kurām darbosies vidējā ātruma mērīšanas sistēma</w:t>
            </w:r>
            <w:r w:rsidRPr="000C567C">
              <w:rPr>
                <w:sz w:val="20"/>
                <w:szCs w:val="20"/>
              </w:rPr>
              <w:t xml:space="preserve">. No minēta nav skaidrs, kas ir stacionāro fotoradaru sistēma un vai Ziņojuma 2.3.3.apakšpunktā </w:t>
            </w:r>
            <w:proofErr w:type="gramStart"/>
            <w:r w:rsidRPr="000C567C">
              <w:rPr>
                <w:sz w:val="20"/>
                <w:szCs w:val="20"/>
              </w:rPr>
              <w:t>runa iet</w:t>
            </w:r>
            <w:proofErr w:type="gramEnd"/>
            <w:r w:rsidRPr="000C567C">
              <w:rPr>
                <w:sz w:val="20"/>
                <w:szCs w:val="20"/>
              </w:rPr>
              <w:t xml:space="preserve"> par stacionārajiem fotoradariem, kas veiks minēto kontroli.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080F77" w14:textId="1CF5FE4A"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30089B69" w14:textId="358D6A1C" w:rsidR="001F041A" w:rsidRPr="000C567C" w:rsidRDefault="001F041A" w:rsidP="001F041A">
            <w:pPr>
              <w:pStyle w:val="NormalWeb"/>
              <w:spacing w:before="0" w:beforeAutospacing="0" w:after="0" w:afterAutospacing="0"/>
              <w:ind w:firstLine="176"/>
              <w:jc w:val="center"/>
              <w:rPr>
                <w:rFonts w:ascii="Times New Roman" w:hAnsi="Times New Roman"/>
                <w:sz w:val="22"/>
                <w:szCs w:val="22"/>
              </w:rPr>
            </w:pPr>
            <w:r>
              <w:rPr>
                <w:rFonts w:ascii="Times New Roman" w:hAnsi="Times New Roman"/>
                <w:b/>
                <w:sz w:val="20"/>
                <w:szCs w:val="20"/>
              </w:rPr>
              <w:t>Iebildums ņemts vērā.</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3EE91B" w14:textId="165E3F03" w:rsidR="001F041A" w:rsidRPr="000C567C" w:rsidRDefault="001F041A" w:rsidP="001F041A">
            <w:pPr>
              <w:jc w:val="both"/>
              <w:rPr>
                <w:sz w:val="20"/>
                <w:szCs w:val="20"/>
              </w:rPr>
            </w:pPr>
            <w:r w:rsidRPr="000C567C">
              <w:rPr>
                <w:sz w:val="20"/>
                <w:szCs w:val="20"/>
              </w:rPr>
              <w:t>Precizēt</w:t>
            </w:r>
            <w:r w:rsidRPr="00D115E2">
              <w:rPr>
                <w:sz w:val="20"/>
                <w:szCs w:val="20"/>
              </w:rPr>
              <w:t>a</w:t>
            </w:r>
            <w:r w:rsidRPr="000C567C">
              <w:rPr>
                <w:sz w:val="20"/>
                <w:szCs w:val="20"/>
              </w:rPr>
              <w:t xml:space="preserve"> informatīvā ziņojuma 2.3.3.</w:t>
            </w:r>
            <w:r w:rsidRPr="00D115E2">
              <w:rPr>
                <w:sz w:val="20"/>
                <w:szCs w:val="20"/>
              </w:rPr>
              <w:t>sadaļa</w:t>
            </w:r>
          </w:p>
        </w:tc>
      </w:tr>
      <w:tr w:rsidR="001F041A" w:rsidRPr="00A26DDD" w14:paraId="1870FF7E"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86922B9" w14:textId="4590C236" w:rsidR="001F041A" w:rsidRDefault="008E1DF4" w:rsidP="001F041A">
            <w:pPr>
              <w:jc w:val="center"/>
              <w:rPr>
                <w:sz w:val="22"/>
                <w:szCs w:val="22"/>
              </w:rPr>
            </w:pPr>
            <w:r w:rsidRPr="008E1DF4">
              <w:rPr>
                <w:sz w:val="22"/>
                <w:szCs w:val="22"/>
              </w:rPr>
              <w:t>25</w:t>
            </w:r>
            <w:r w:rsidR="001F041A" w:rsidRPr="008E1DF4">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5CFAC" w14:textId="77777777" w:rsidR="001F041A" w:rsidRDefault="001F041A" w:rsidP="001F041A">
            <w:pPr>
              <w:rPr>
                <w:sz w:val="20"/>
                <w:szCs w:val="20"/>
              </w:rPr>
            </w:pPr>
            <w:r>
              <w:rPr>
                <w:sz w:val="20"/>
                <w:szCs w:val="20"/>
              </w:rPr>
              <w:t xml:space="preserve">√ Protokollēmuma projekts. </w:t>
            </w:r>
          </w:p>
          <w:p w14:paraId="30DCE9BA" w14:textId="77777777" w:rsidR="001F041A" w:rsidRPr="007843A1" w:rsidRDefault="001F041A" w:rsidP="001F041A">
            <w:pPr>
              <w:rPr>
                <w:sz w:val="22"/>
                <w:szCs w:val="22"/>
              </w:rPr>
            </w:pPr>
            <w:r>
              <w:rPr>
                <w:sz w:val="20"/>
                <w:szCs w:val="20"/>
              </w:rPr>
              <w:t>√ Informatīvā ziņojuma 2., 3.pielikums.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FF6228" w14:textId="77777777" w:rsidR="001F041A" w:rsidRPr="00BD72F8" w:rsidRDefault="001F041A" w:rsidP="001F041A">
            <w:pPr>
              <w:jc w:val="center"/>
              <w:rPr>
                <w:b/>
                <w:sz w:val="20"/>
                <w:szCs w:val="20"/>
              </w:rPr>
            </w:pPr>
            <w:r w:rsidRPr="00BD72F8">
              <w:rPr>
                <w:b/>
                <w:sz w:val="20"/>
                <w:szCs w:val="20"/>
              </w:rPr>
              <w:t>Pārresoru koordinācijas centrs</w:t>
            </w:r>
          </w:p>
          <w:p w14:paraId="51656D59" w14:textId="77777777" w:rsidR="001F041A" w:rsidRPr="00BD72F8" w:rsidRDefault="001F041A" w:rsidP="001F041A">
            <w:pPr>
              <w:jc w:val="center"/>
              <w:rPr>
                <w:sz w:val="20"/>
                <w:szCs w:val="20"/>
              </w:rPr>
            </w:pPr>
            <w:r w:rsidRPr="00BD72F8">
              <w:rPr>
                <w:sz w:val="20"/>
                <w:szCs w:val="20"/>
              </w:rPr>
              <w:t>(11.02.2019. atzinums Nr.1.2-7/14)</w:t>
            </w:r>
          </w:p>
          <w:p w14:paraId="3B20E0D9" w14:textId="77777777" w:rsidR="001F041A" w:rsidRPr="00BD72F8" w:rsidRDefault="001F041A" w:rsidP="001F041A">
            <w:pPr>
              <w:pStyle w:val="ListParagraph"/>
              <w:numPr>
                <w:ilvl w:val="0"/>
                <w:numId w:val="8"/>
              </w:numPr>
              <w:ind w:left="0" w:firstLine="0"/>
              <w:contextualSpacing/>
              <w:jc w:val="both"/>
              <w:rPr>
                <w:rFonts w:ascii="Times New Roman" w:hAnsi="Times New Roman"/>
                <w:iCs/>
                <w:sz w:val="20"/>
                <w:szCs w:val="20"/>
              </w:rPr>
            </w:pPr>
            <w:r w:rsidRPr="00BD72F8">
              <w:rPr>
                <w:rFonts w:ascii="Times New Roman" w:hAnsi="Times New Roman"/>
                <w:iCs/>
                <w:sz w:val="20"/>
                <w:szCs w:val="20"/>
              </w:rPr>
              <w:t xml:space="preserve">Attiecībā uz protokollēmuma projektu un Informatīvo ziņojumu lūdzam </w:t>
            </w:r>
            <w:r w:rsidRPr="00B8126E">
              <w:rPr>
                <w:rFonts w:ascii="Times New Roman" w:hAnsi="Times New Roman"/>
                <w:b/>
                <w:iCs/>
                <w:sz w:val="20"/>
                <w:szCs w:val="20"/>
              </w:rPr>
              <w:t>precizēt finansējuma avotus un summas katram no tehnisko līdzekļu (fotoradaru) ieviešanas posmiem</w:t>
            </w:r>
            <w:r w:rsidRPr="00BD72F8">
              <w:rPr>
                <w:rFonts w:ascii="Times New Roman" w:hAnsi="Times New Roman"/>
                <w:iCs/>
                <w:sz w:val="20"/>
                <w:szCs w:val="20"/>
              </w:rPr>
              <w:t>, t.i.:</w:t>
            </w:r>
          </w:p>
          <w:p w14:paraId="775EC5C9" w14:textId="77777777" w:rsidR="001F041A" w:rsidRPr="00BD72F8" w:rsidRDefault="001F041A" w:rsidP="001F041A">
            <w:pPr>
              <w:pStyle w:val="ListParagraph"/>
              <w:ind w:left="0"/>
              <w:jc w:val="both"/>
              <w:rPr>
                <w:rFonts w:ascii="Times New Roman" w:hAnsi="Times New Roman"/>
                <w:iCs/>
                <w:sz w:val="20"/>
                <w:szCs w:val="20"/>
              </w:rPr>
            </w:pPr>
          </w:p>
          <w:p w14:paraId="09D6B1E0" w14:textId="77777777" w:rsidR="001F041A" w:rsidRPr="003E6760" w:rsidRDefault="001F041A" w:rsidP="001F041A">
            <w:pPr>
              <w:pStyle w:val="ListParagraph"/>
              <w:numPr>
                <w:ilvl w:val="1"/>
                <w:numId w:val="8"/>
              </w:numPr>
              <w:ind w:left="0" w:firstLine="0"/>
              <w:contextualSpacing/>
              <w:jc w:val="both"/>
              <w:rPr>
                <w:rFonts w:ascii="Times New Roman" w:hAnsi="Times New Roman"/>
                <w:iCs/>
                <w:sz w:val="20"/>
                <w:szCs w:val="20"/>
              </w:rPr>
            </w:pPr>
            <w:r w:rsidRPr="003E6760">
              <w:rPr>
                <w:rFonts w:ascii="Times New Roman" w:hAnsi="Times New Roman"/>
                <w:iCs/>
                <w:sz w:val="20"/>
                <w:szCs w:val="20"/>
              </w:rPr>
              <w:t>laikposmā no 2015. līdz 2018.gadam uzstādīto 100 tehnisko līdzekļu (fotoradaru) darbības nodrošināšanai paredzētos finansējuma avotus un kopējās izmaksas, norādot nodrošināšanas (līguma) periodu;</w:t>
            </w:r>
          </w:p>
          <w:p w14:paraId="0C72899D" w14:textId="77777777" w:rsidR="001F041A" w:rsidRPr="003E6760" w:rsidRDefault="001F041A" w:rsidP="001F041A">
            <w:pPr>
              <w:pStyle w:val="ListParagraph"/>
              <w:ind w:left="0"/>
              <w:jc w:val="both"/>
              <w:rPr>
                <w:rFonts w:ascii="Times New Roman" w:hAnsi="Times New Roman"/>
                <w:iCs/>
                <w:sz w:val="20"/>
                <w:szCs w:val="20"/>
              </w:rPr>
            </w:pPr>
          </w:p>
          <w:p w14:paraId="2115F818" w14:textId="77777777" w:rsidR="001F041A" w:rsidRPr="003E6760" w:rsidRDefault="001F041A" w:rsidP="001F041A">
            <w:pPr>
              <w:pStyle w:val="ListParagraph"/>
              <w:numPr>
                <w:ilvl w:val="1"/>
                <w:numId w:val="8"/>
              </w:numPr>
              <w:ind w:left="0" w:firstLine="0"/>
              <w:contextualSpacing/>
              <w:jc w:val="both"/>
              <w:rPr>
                <w:rFonts w:ascii="Times New Roman" w:hAnsi="Times New Roman"/>
                <w:iCs/>
                <w:sz w:val="20"/>
                <w:szCs w:val="20"/>
              </w:rPr>
            </w:pPr>
            <w:r w:rsidRPr="003E6760">
              <w:rPr>
                <w:rFonts w:ascii="Times New Roman" w:hAnsi="Times New Roman"/>
                <w:iCs/>
                <w:sz w:val="20"/>
                <w:szCs w:val="20"/>
              </w:rPr>
              <w:t>papildu 50 tehnisko līdzekļu (fotoradaru) un 50 to “mulāžu” uzstādīšanai un darbības nodrošināšanai paredzēto finansējuma avotu un kopējās izmaksas, precizējot nodrošināšanas (līguma) periodu;</w:t>
            </w:r>
          </w:p>
          <w:p w14:paraId="62DB8310" w14:textId="77777777" w:rsidR="001F041A" w:rsidRPr="00BD72F8" w:rsidRDefault="001F041A" w:rsidP="001F041A">
            <w:pPr>
              <w:pStyle w:val="ListParagraph"/>
              <w:ind w:left="0"/>
              <w:jc w:val="both"/>
              <w:rPr>
                <w:rFonts w:ascii="Times New Roman" w:hAnsi="Times New Roman"/>
                <w:iCs/>
                <w:sz w:val="20"/>
                <w:szCs w:val="20"/>
              </w:rPr>
            </w:pPr>
          </w:p>
          <w:p w14:paraId="1A3FEE8E" w14:textId="77777777" w:rsidR="001F041A" w:rsidRPr="00BD72F8" w:rsidRDefault="001F041A" w:rsidP="001F041A">
            <w:pPr>
              <w:pStyle w:val="ListParagraph"/>
              <w:numPr>
                <w:ilvl w:val="1"/>
                <w:numId w:val="8"/>
              </w:numPr>
              <w:ind w:left="0" w:firstLine="0"/>
              <w:contextualSpacing/>
              <w:jc w:val="both"/>
              <w:rPr>
                <w:rFonts w:ascii="Times New Roman" w:hAnsi="Times New Roman"/>
                <w:iCs/>
                <w:sz w:val="20"/>
                <w:szCs w:val="20"/>
              </w:rPr>
            </w:pPr>
            <w:r w:rsidRPr="00BD72F8">
              <w:rPr>
                <w:rFonts w:ascii="Times New Roman" w:hAnsi="Times New Roman"/>
                <w:iCs/>
                <w:sz w:val="20"/>
                <w:szCs w:val="20"/>
              </w:rPr>
              <w:t>jaunu tehnisko risinājumu ieviešanai paredzēto finansējuma avotus un kopējās izmaksas, kā arī nodrošināšanas (līguma) periodu.</w:t>
            </w:r>
          </w:p>
          <w:p w14:paraId="21AF8D16" w14:textId="77777777" w:rsidR="001F041A" w:rsidRPr="00BD72F8" w:rsidRDefault="001F041A" w:rsidP="001F041A">
            <w:pPr>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C4541D"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14DBD58C"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 daļēji.</w:t>
            </w:r>
          </w:p>
          <w:p w14:paraId="509C1CBF"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1007B0C5" w14:textId="77777777" w:rsidR="001F041A" w:rsidRPr="007843A1" w:rsidRDefault="001F041A" w:rsidP="00713885">
            <w:pPr>
              <w:pStyle w:val="ListParagraph"/>
              <w:ind w:left="0" w:firstLine="63"/>
              <w:contextualSpacing/>
              <w:jc w:val="both"/>
              <w:rPr>
                <w:rFonts w:ascii="Times New Roman" w:hAnsi="Times New Roman"/>
              </w:rPr>
            </w:pPr>
            <w:r w:rsidRPr="00ED79C5">
              <w:rPr>
                <w:rFonts w:ascii="Times New Roman" w:hAnsi="Times New Roman"/>
                <w:iCs/>
                <w:sz w:val="20"/>
                <w:szCs w:val="20"/>
              </w:rPr>
              <w:t xml:space="preserve">Protokollēmuma </w:t>
            </w:r>
            <w:r>
              <w:rPr>
                <w:rFonts w:ascii="Times New Roman" w:hAnsi="Times New Roman"/>
                <w:iCs/>
                <w:sz w:val="20"/>
                <w:szCs w:val="20"/>
              </w:rPr>
              <w:t xml:space="preserve">projektā nav norādītas summas un periodi, jo tas ir MK rīkojuma Nr.382 grozījumu jautājums. Precizējot 2. un 3.pielikumu un izveidojot jaunu 4.pielikumu, </w:t>
            </w:r>
            <w:r w:rsidRPr="003E6760">
              <w:rPr>
                <w:rFonts w:ascii="Times New Roman" w:hAnsi="Times New Roman"/>
                <w:iCs/>
                <w:sz w:val="20"/>
                <w:szCs w:val="20"/>
              </w:rPr>
              <w:t>ieņēmumi, izdevumi un laika periodi ir skaidri saprotami.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151FD4" w14:textId="77777777" w:rsidR="001F041A" w:rsidRDefault="001F041A" w:rsidP="001F041A">
            <w:pPr>
              <w:jc w:val="both"/>
              <w:rPr>
                <w:sz w:val="20"/>
                <w:szCs w:val="20"/>
              </w:rPr>
            </w:pPr>
            <w:r>
              <w:rPr>
                <w:sz w:val="20"/>
                <w:szCs w:val="20"/>
              </w:rPr>
              <w:t>√ Precizēts informatīvā ziņojuma 2., 3.pielikums, izveidots jauns 4.pielikums, attiecīgi mainot tālāko pielikumu numerāciju.</w:t>
            </w:r>
          </w:p>
          <w:p w14:paraId="4F72CC93" w14:textId="2E843E98" w:rsidR="001F041A" w:rsidRDefault="001F041A" w:rsidP="001F041A">
            <w:pPr>
              <w:jc w:val="both"/>
              <w:rPr>
                <w:sz w:val="20"/>
                <w:szCs w:val="20"/>
              </w:rPr>
            </w:pPr>
            <w:r>
              <w:rPr>
                <w:sz w:val="20"/>
                <w:szCs w:val="20"/>
              </w:rPr>
              <w:t xml:space="preserve">√ Papildināts </w:t>
            </w:r>
            <w:r w:rsidR="008E1DF4">
              <w:rPr>
                <w:sz w:val="20"/>
                <w:szCs w:val="20"/>
              </w:rPr>
              <w:t>protokollēmums</w:t>
            </w:r>
            <w:r>
              <w:rPr>
                <w:sz w:val="20"/>
                <w:szCs w:val="20"/>
              </w:rPr>
              <w:t>:</w:t>
            </w:r>
          </w:p>
          <w:p w14:paraId="22621F6B" w14:textId="77777777" w:rsidR="008E1DF4" w:rsidRDefault="008E1DF4" w:rsidP="001F041A">
            <w:pPr>
              <w:jc w:val="both"/>
              <w:rPr>
                <w:sz w:val="20"/>
                <w:szCs w:val="20"/>
              </w:rPr>
            </w:pPr>
          </w:p>
          <w:p w14:paraId="7C4C1C7A" w14:textId="56E18199" w:rsidR="008E1DF4" w:rsidRPr="008E1DF4" w:rsidRDefault="008E1DF4" w:rsidP="008E1DF4">
            <w:pPr>
              <w:jc w:val="both"/>
              <w:rPr>
                <w:rStyle w:val="spelle"/>
                <w:sz w:val="20"/>
                <w:szCs w:val="20"/>
              </w:rPr>
            </w:pPr>
            <w:r>
              <w:rPr>
                <w:rStyle w:val="spelle"/>
                <w:sz w:val="20"/>
                <w:szCs w:val="20"/>
              </w:rPr>
              <w:t>“</w:t>
            </w:r>
            <w:r w:rsidRPr="008E1DF4">
              <w:rPr>
                <w:rStyle w:val="spelle"/>
                <w:sz w:val="20"/>
                <w:szCs w:val="20"/>
              </w:rPr>
              <w:t>8. Papildus šā protokollēmuma 7.1.apakšpunktā minētajam noteikt, ka izdevumu, kas saistīti jaunu tehnisko risinājumu ieviešanu, finansēšanas avoti ir:</w:t>
            </w:r>
          </w:p>
          <w:p w14:paraId="0EED6DA2" w14:textId="77777777" w:rsidR="008E1DF4" w:rsidRPr="008E1DF4" w:rsidRDefault="008E1DF4" w:rsidP="008E1DF4">
            <w:pPr>
              <w:ind w:firstLine="709"/>
              <w:jc w:val="both"/>
              <w:rPr>
                <w:rStyle w:val="spelle"/>
                <w:sz w:val="20"/>
                <w:szCs w:val="20"/>
              </w:rPr>
            </w:pPr>
            <w:r w:rsidRPr="008E1DF4">
              <w:rPr>
                <w:rStyle w:val="spelle"/>
                <w:sz w:val="20"/>
                <w:szCs w:val="20"/>
              </w:rPr>
              <w:t xml:space="preserve">8.1. luksoforu signālu kontroles ierīču licences iegādei – Ceļu satiksmes drošības direkcijas finanšu līdzekļi 13 068 </w:t>
            </w:r>
            <w:r w:rsidRPr="008E1DF4">
              <w:rPr>
                <w:rStyle w:val="spelle"/>
                <w:i/>
                <w:sz w:val="20"/>
                <w:szCs w:val="20"/>
              </w:rPr>
              <w:t>euro</w:t>
            </w:r>
            <w:r w:rsidRPr="008E1DF4">
              <w:rPr>
                <w:rStyle w:val="spelle"/>
                <w:sz w:val="20"/>
                <w:szCs w:val="20"/>
              </w:rPr>
              <w:t xml:space="preserve"> apmērā;</w:t>
            </w:r>
          </w:p>
          <w:p w14:paraId="45939653" w14:textId="4BB80909" w:rsidR="008E1DF4" w:rsidRPr="008E1DF4" w:rsidRDefault="008E1DF4" w:rsidP="008E1DF4">
            <w:pPr>
              <w:ind w:firstLine="709"/>
              <w:jc w:val="both"/>
              <w:rPr>
                <w:rStyle w:val="spelle"/>
                <w:sz w:val="20"/>
                <w:szCs w:val="20"/>
              </w:rPr>
            </w:pPr>
            <w:r w:rsidRPr="008E1DF4">
              <w:rPr>
                <w:rStyle w:val="spelle"/>
                <w:sz w:val="20"/>
                <w:szCs w:val="20"/>
              </w:rPr>
              <w:t xml:space="preserve">8.2. luksoforu signālu kontroles ierīču, ierīču pārkāpumu fiksēšanai, automātiski nolasot transportlīdzekļu reģistrācijas numura zīmes, kā arī transportlīdzekļu </w:t>
            </w:r>
            <w:r w:rsidRPr="008E1DF4">
              <w:rPr>
                <w:rStyle w:val="spelle"/>
                <w:sz w:val="20"/>
                <w:szCs w:val="20"/>
              </w:rPr>
              <w:lastRenderedPageBreak/>
              <w:t>vidējā braukšanas ātruma noteikšanai: samaksai Ceļu satiksmes drošības direkcijai</w:t>
            </w:r>
            <w:r w:rsidRPr="008E1DF4">
              <w:rPr>
                <w:b/>
                <w:sz w:val="20"/>
                <w:szCs w:val="20"/>
              </w:rPr>
              <w:t xml:space="preserve"> </w:t>
            </w:r>
            <w:r w:rsidRPr="008E1DF4">
              <w:rPr>
                <w:rStyle w:val="spelle"/>
                <w:sz w:val="20"/>
                <w:szCs w:val="20"/>
              </w:rPr>
              <w:t>par informācijas apstrādi, protokolu-lēmumu nosūtīšanu un paziņojumu (atgādinājumu) sagatavošanu un nosūtīšanu un citiem pakalpojumiem – budžeta apakšprogrammā 06.01.00 “Valsts policija” 2019.gadam un turpmākajiem gadiem ilgtermiņa saistību pasākumam “Ceļu satiksmes pārkāpumu fiksēšanas tehnisko līdzekļu (fotoradaru) darbības nodrošināšana” piešķirtais finansējums.”.</w:t>
            </w:r>
          </w:p>
          <w:p w14:paraId="0C6EF9C7" w14:textId="2435ACBD" w:rsidR="001F041A" w:rsidRPr="00844AE7" w:rsidRDefault="001F041A" w:rsidP="001F041A">
            <w:pPr>
              <w:jc w:val="both"/>
              <w:rPr>
                <w:sz w:val="22"/>
                <w:szCs w:val="22"/>
              </w:rPr>
            </w:pPr>
          </w:p>
        </w:tc>
      </w:tr>
      <w:tr w:rsidR="001F041A" w:rsidRPr="00A26DDD" w14:paraId="3A33224D"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2064117" w14:textId="4EC5D640" w:rsidR="001F041A" w:rsidRPr="00063AEB" w:rsidRDefault="00390AEF" w:rsidP="001F041A">
            <w:pPr>
              <w:jc w:val="center"/>
              <w:rPr>
                <w:sz w:val="22"/>
                <w:szCs w:val="22"/>
                <w:highlight w:val="green"/>
              </w:rPr>
            </w:pPr>
            <w:r w:rsidRPr="00390AEF">
              <w:rPr>
                <w:sz w:val="22"/>
                <w:szCs w:val="22"/>
              </w:rPr>
              <w:lastRenderedPageBreak/>
              <w:t>26</w:t>
            </w:r>
            <w:r w:rsidR="001F041A" w:rsidRPr="00390AEF">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FBF1AA"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2C639" w14:textId="77777777" w:rsidR="001F041A" w:rsidRPr="00BD72F8" w:rsidRDefault="001F041A" w:rsidP="001F041A">
            <w:pPr>
              <w:jc w:val="center"/>
              <w:rPr>
                <w:b/>
                <w:sz w:val="20"/>
                <w:szCs w:val="20"/>
              </w:rPr>
            </w:pPr>
            <w:r w:rsidRPr="00063AEB">
              <w:rPr>
                <w:b/>
                <w:sz w:val="20"/>
                <w:szCs w:val="20"/>
              </w:rPr>
              <w:t>Pār</w:t>
            </w:r>
            <w:r w:rsidRPr="00BD72F8">
              <w:rPr>
                <w:b/>
                <w:sz w:val="20"/>
                <w:szCs w:val="20"/>
              </w:rPr>
              <w:t>resoru koordinācijas centrs</w:t>
            </w:r>
          </w:p>
          <w:p w14:paraId="5E2B4CC6" w14:textId="77777777" w:rsidR="001F041A" w:rsidRPr="00BD72F8" w:rsidRDefault="001F041A" w:rsidP="001F041A">
            <w:pPr>
              <w:jc w:val="center"/>
              <w:rPr>
                <w:sz w:val="20"/>
                <w:szCs w:val="20"/>
              </w:rPr>
            </w:pPr>
            <w:r w:rsidRPr="00BD72F8">
              <w:rPr>
                <w:sz w:val="20"/>
                <w:szCs w:val="20"/>
              </w:rPr>
              <w:t>(11.02.2019. atzinums Nr.1.2-7/14)</w:t>
            </w:r>
          </w:p>
          <w:p w14:paraId="3A59256C" w14:textId="77777777" w:rsidR="001F041A" w:rsidRDefault="001F041A" w:rsidP="001F041A">
            <w:pPr>
              <w:pStyle w:val="ListParagraph"/>
              <w:ind w:left="0"/>
              <w:contextualSpacing/>
              <w:jc w:val="both"/>
              <w:rPr>
                <w:rFonts w:ascii="Times New Roman" w:hAnsi="Times New Roman"/>
                <w:b/>
                <w:iCs/>
                <w:sz w:val="20"/>
                <w:szCs w:val="20"/>
              </w:rPr>
            </w:pPr>
            <w:r w:rsidRPr="00BD72F8">
              <w:rPr>
                <w:rFonts w:ascii="Times New Roman" w:hAnsi="Times New Roman"/>
                <w:iCs/>
                <w:sz w:val="20"/>
                <w:szCs w:val="20"/>
              </w:rPr>
              <w:t xml:space="preserve">No ziņojuma kopumā – visos piedāvātajos finansējuma modeļos - izriet, ka fotoradaru ieviešana (iegāde un uzturēšana) tieši vai netieši tiek nodrošināta no valsts akciju sabiedrības “Ceļu satiksmes un drošības direkcija” (turpmāk – CSDD) ikgadējām valstij izmaksājamām dividendēm, taču </w:t>
            </w:r>
            <w:r w:rsidRPr="000A766D">
              <w:rPr>
                <w:rFonts w:ascii="Times New Roman" w:hAnsi="Times New Roman"/>
                <w:b/>
                <w:iCs/>
                <w:sz w:val="20"/>
                <w:szCs w:val="20"/>
              </w:rPr>
              <w:t>nevienā no piedāvātajiem modeļiem netiek izvērtēta ietekme uz CSDD kā kapitālsabiedrības saimniecisko darbību un tās plānošanas dokumentos noteiktajiem finanšu un nefinanšu mērķiem vidējā plānošanas termiņā</w:t>
            </w:r>
            <w:r w:rsidRPr="00BD72F8">
              <w:rPr>
                <w:rFonts w:ascii="Times New Roman" w:hAnsi="Times New Roman"/>
                <w:iCs/>
                <w:sz w:val="20"/>
                <w:szCs w:val="20"/>
              </w:rPr>
              <w:t>, kuru īstenošanai varētu būt nepieciešams atstāt peļņas daļu CSDD rīcībā, nevis izmaksāt dividendēs. Vēršam uzmanību, ka CSDD vidēja termiņa stratēģija, t.sk. investīciju plāni un dividenžu politika ir apstiprināta līdz 2020.gadam, un atbalstot informatīvo ziņojumu pašreizējā redakcijā, CSDD stratēģija vajadzības gadījumā būtu atbilstoši precizējama. Ievērojot minēto</w:t>
            </w:r>
            <w:r w:rsidRPr="00772EA5">
              <w:rPr>
                <w:rFonts w:ascii="Times New Roman" w:hAnsi="Times New Roman"/>
                <w:b/>
                <w:iCs/>
                <w:sz w:val="20"/>
                <w:szCs w:val="20"/>
              </w:rPr>
              <w:t xml:space="preserve">, lūdzam papildināt Ziņojumu ar tehnisko līdzekļu (fotoradaru) turpmākās darbības nodrošināšanas finansiālo ietekmi uz CSDD finanšu situāciju tam periodam, </w:t>
            </w:r>
            <w:r w:rsidRPr="00772EA5">
              <w:rPr>
                <w:rFonts w:ascii="Times New Roman" w:hAnsi="Times New Roman"/>
                <w:b/>
                <w:iCs/>
                <w:sz w:val="20"/>
                <w:szCs w:val="20"/>
              </w:rPr>
              <w:lastRenderedPageBreak/>
              <w:t>kurā CSDD plānots fotoradarus un citus tehniskos līdzekļus uzstādīt un nodrošināt to darbību.</w:t>
            </w:r>
          </w:p>
          <w:p w14:paraId="3E2D407D" w14:textId="77777777" w:rsidR="001F041A" w:rsidRPr="00BD72F8" w:rsidRDefault="001F041A" w:rsidP="001F041A">
            <w:pPr>
              <w:pStyle w:val="ListParagraph"/>
              <w:ind w:left="0"/>
              <w:contextualSpacing/>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0FDF36" w14:textId="77777777" w:rsidR="001F041A" w:rsidRPr="000A766D" w:rsidRDefault="001F041A" w:rsidP="001F041A">
            <w:pPr>
              <w:pStyle w:val="ListParagraph"/>
              <w:ind w:left="0"/>
              <w:contextualSpacing/>
              <w:jc w:val="both"/>
              <w:rPr>
                <w:rFonts w:ascii="Times New Roman" w:hAnsi="Times New Roman"/>
                <w:b/>
                <w:iCs/>
                <w:sz w:val="20"/>
                <w:szCs w:val="20"/>
              </w:rPr>
            </w:pPr>
            <w:r w:rsidRPr="000A766D">
              <w:rPr>
                <w:rFonts w:ascii="Times New Roman" w:hAnsi="Times New Roman"/>
                <w:b/>
                <w:iCs/>
                <w:sz w:val="20"/>
                <w:szCs w:val="20"/>
              </w:rPr>
              <w:lastRenderedPageBreak/>
              <w:t xml:space="preserve">Jautājums pārrunāts </w:t>
            </w:r>
            <w:r>
              <w:rPr>
                <w:rFonts w:ascii="Times New Roman" w:hAnsi="Times New Roman"/>
                <w:b/>
                <w:sz w:val="20"/>
                <w:szCs w:val="20"/>
              </w:rPr>
              <w:t xml:space="preserve">19.03.2019. </w:t>
            </w:r>
            <w:r w:rsidRPr="000A766D">
              <w:rPr>
                <w:rFonts w:ascii="Times New Roman" w:hAnsi="Times New Roman"/>
                <w:b/>
                <w:iCs/>
                <w:sz w:val="20"/>
                <w:szCs w:val="20"/>
              </w:rPr>
              <w:t>starpministriju (starpinstitūciju) sanāksmē.</w:t>
            </w:r>
          </w:p>
          <w:p w14:paraId="20F318B9" w14:textId="77777777" w:rsidR="001F041A" w:rsidRDefault="001F041A" w:rsidP="001F041A">
            <w:pPr>
              <w:pStyle w:val="ListParagraph"/>
              <w:ind w:left="0"/>
              <w:contextualSpacing/>
              <w:jc w:val="both"/>
              <w:rPr>
                <w:rFonts w:ascii="Times New Roman" w:hAnsi="Times New Roman"/>
                <w:b/>
                <w:iCs/>
                <w:sz w:val="20"/>
                <w:szCs w:val="20"/>
              </w:rPr>
            </w:pPr>
            <w:r w:rsidRPr="000A766D">
              <w:rPr>
                <w:rFonts w:ascii="Times New Roman" w:hAnsi="Times New Roman"/>
                <w:b/>
                <w:iCs/>
                <w:sz w:val="20"/>
                <w:szCs w:val="20"/>
              </w:rPr>
              <w:t>Iebildums ņemts vērā.</w:t>
            </w:r>
          </w:p>
          <w:p w14:paraId="29083F95" w14:textId="77777777" w:rsidR="001F041A" w:rsidRPr="000A766D" w:rsidRDefault="001F041A" w:rsidP="001F041A">
            <w:pPr>
              <w:pStyle w:val="ListParagraph"/>
              <w:ind w:left="0"/>
              <w:contextualSpacing/>
              <w:jc w:val="both"/>
              <w:rPr>
                <w:rFonts w:ascii="Times New Roman" w:hAnsi="Times New Roman"/>
                <w:b/>
                <w:iCs/>
                <w:sz w:val="20"/>
                <w:szCs w:val="20"/>
              </w:rPr>
            </w:pPr>
          </w:p>
          <w:p w14:paraId="3C7C10D2" w14:textId="77777777" w:rsidR="001F041A" w:rsidRPr="000A766D" w:rsidRDefault="001F041A" w:rsidP="001F041A">
            <w:pPr>
              <w:pStyle w:val="ListParagraph"/>
              <w:ind w:left="0"/>
              <w:contextualSpacing/>
              <w:jc w:val="both"/>
              <w:rPr>
                <w:rFonts w:ascii="Times New Roman" w:hAnsi="Times New Roman"/>
                <w:iCs/>
                <w:sz w:val="20"/>
                <w:szCs w:val="20"/>
              </w:rPr>
            </w:pPr>
            <w:r>
              <w:rPr>
                <w:rFonts w:ascii="Times New Roman" w:hAnsi="Times New Roman"/>
                <w:iCs/>
                <w:sz w:val="20"/>
                <w:szCs w:val="20"/>
              </w:rPr>
              <w:t>V</w:t>
            </w:r>
            <w:r w:rsidRPr="000A766D">
              <w:rPr>
                <w:rFonts w:ascii="Times New Roman" w:hAnsi="Times New Roman"/>
                <w:iCs/>
                <w:sz w:val="20"/>
                <w:szCs w:val="20"/>
              </w:rPr>
              <w:t>ēršam uzmanību, ka no dividendēm tiek segti iegādes un uzstādīšanas izdevumi, bet no Valsts policijai piešķirtajiem līdzekļiem-uzturēšanas izdevumi.</w:t>
            </w:r>
          </w:p>
          <w:p w14:paraId="7E9E0C05" w14:textId="77777777" w:rsidR="001F041A" w:rsidRPr="000A766D" w:rsidRDefault="001F041A" w:rsidP="001F041A">
            <w:pPr>
              <w:pStyle w:val="ListParagraph"/>
              <w:ind w:left="0"/>
              <w:contextualSpacing/>
              <w:jc w:val="both"/>
              <w:rPr>
                <w:rFonts w:ascii="Times New Roman" w:hAnsi="Times New Roman"/>
                <w:iCs/>
                <w:sz w:val="20"/>
                <w:szCs w:val="20"/>
              </w:rPr>
            </w:pPr>
          </w:p>
          <w:p w14:paraId="104023D1" w14:textId="77777777" w:rsidR="001F041A" w:rsidRPr="000A766D" w:rsidRDefault="001F041A" w:rsidP="001F041A">
            <w:pPr>
              <w:pStyle w:val="ListParagraph"/>
              <w:ind w:left="0"/>
              <w:contextualSpacing/>
              <w:jc w:val="both"/>
              <w:rPr>
                <w:rFonts w:ascii="Times New Roman" w:hAnsi="Times New Roman"/>
                <w:i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AAB01E" w14:textId="77777777" w:rsidR="001F041A" w:rsidRPr="00844AE7" w:rsidRDefault="001F041A" w:rsidP="001F041A">
            <w:pPr>
              <w:pStyle w:val="ListParagraph"/>
              <w:ind w:left="0"/>
              <w:contextualSpacing/>
              <w:jc w:val="both"/>
            </w:pPr>
            <w:r w:rsidRPr="000A766D">
              <w:rPr>
                <w:rFonts w:ascii="Times New Roman" w:hAnsi="Times New Roman"/>
                <w:iCs/>
                <w:sz w:val="20"/>
                <w:szCs w:val="20"/>
              </w:rPr>
              <w:t>Papildināta informatīvā ziņojuma 3.2.apakšnodaļa</w:t>
            </w:r>
            <w:r>
              <w:rPr>
                <w:rFonts w:ascii="Times New Roman" w:hAnsi="Times New Roman"/>
                <w:iCs/>
                <w:sz w:val="20"/>
                <w:szCs w:val="20"/>
              </w:rPr>
              <w:t xml:space="preserve"> (2.modeļa apraksts)</w:t>
            </w:r>
            <w:r w:rsidRPr="000A766D">
              <w:rPr>
                <w:rFonts w:ascii="Times New Roman" w:hAnsi="Times New Roman"/>
                <w:iCs/>
                <w:sz w:val="20"/>
                <w:szCs w:val="20"/>
              </w:rPr>
              <w:t>.</w:t>
            </w:r>
          </w:p>
        </w:tc>
      </w:tr>
      <w:tr w:rsidR="001F041A" w:rsidRPr="00A26DDD" w14:paraId="270A2B35"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6B7AEAD" w14:textId="5A810951" w:rsidR="001F041A" w:rsidRDefault="00390AEF" w:rsidP="001F041A">
            <w:pPr>
              <w:jc w:val="center"/>
              <w:rPr>
                <w:sz w:val="22"/>
                <w:szCs w:val="22"/>
              </w:rPr>
            </w:pPr>
            <w:r>
              <w:rPr>
                <w:sz w:val="22"/>
                <w:szCs w:val="22"/>
              </w:rPr>
              <w:t>27</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B5005B" w14:textId="77777777" w:rsidR="001F041A" w:rsidRPr="007843A1" w:rsidRDefault="001F041A" w:rsidP="001F041A">
            <w:pPr>
              <w:rPr>
                <w:sz w:val="22"/>
                <w:szCs w:val="22"/>
              </w:rPr>
            </w:pPr>
            <w:r>
              <w:rPr>
                <w:sz w:val="20"/>
                <w:szCs w:val="20"/>
              </w:rPr>
              <w:t>√ Informatīvā ziņojuma 3.2.sadaļa (2.modelis)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DB9746" w14:textId="77777777" w:rsidR="001F041A" w:rsidRPr="00BD72F8" w:rsidRDefault="001F041A" w:rsidP="001F041A">
            <w:pPr>
              <w:jc w:val="center"/>
              <w:rPr>
                <w:b/>
                <w:sz w:val="20"/>
                <w:szCs w:val="20"/>
              </w:rPr>
            </w:pPr>
            <w:r w:rsidRPr="00BD72F8">
              <w:rPr>
                <w:b/>
                <w:sz w:val="20"/>
                <w:szCs w:val="20"/>
              </w:rPr>
              <w:t>Pārresoru koordinācijas centrs</w:t>
            </w:r>
          </w:p>
          <w:p w14:paraId="2C4727B5" w14:textId="77777777" w:rsidR="001F041A" w:rsidRPr="00BD72F8" w:rsidRDefault="001F041A" w:rsidP="001F041A">
            <w:pPr>
              <w:jc w:val="center"/>
              <w:rPr>
                <w:sz w:val="20"/>
                <w:szCs w:val="20"/>
              </w:rPr>
            </w:pPr>
            <w:r w:rsidRPr="00BD72F8">
              <w:rPr>
                <w:sz w:val="20"/>
                <w:szCs w:val="20"/>
              </w:rPr>
              <w:t>(11.02.2019. atzinums Nr.1.2-7/14)</w:t>
            </w:r>
          </w:p>
          <w:p w14:paraId="08FD7ECC" w14:textId="77777777" w:rsidR="001F041A" w:rsidRDefault="001F041A" w:rsidP="001F041A">
            <w:pPr>
              <w:pStyle w:val="ListParagraph"/>
              <w:ind w:left="0"/>
              <w:contextualSpacing/>
              <w:jc w:val="both"/>
              <w:rPr>
                <w:rFonts w:ascii="Times New Roman" w:hAnsi="Times New Roman"/>
                <w:iCs/>
                <w:sz w:val="20"/>
                <w:szCs w:val="20"/>
              </w:rPr>
            </w:pPr>
            <w:r w:rsidRPr="00BD72F8">
              <w:rPr>
                <w:rFonts w:ascii="Times New Roman" w:hAnsi="Times New Roman"/>
                <w:iCs/>
                <w:sz w:val="20"/>
                <w:szCs w:val="20"/>
              </w:rPr>
              <w:t xml:space="preserve">Kopumā, PKC ieskatā, Ziņojumā nepieciešama izvērstāka finansēšanas modeļu priekšrocību un vājo pušu analīze, kas pamatotu 2.modeļa pārākumu salīdzinājumā ar citiem Ziņojumā vērtētajiem modeļiem.  Piemēram, 2.modelim ir vairāk draudu kā citiem modeļiem, piemēram, 1.B vai 1.C finansēšanas modelim.  1.B modeļa vienīgais trūkums, kas atšķiras no 2.modeļa, ir “Nauda “atgriežas” CSDD “pa garāku ceļu””, tomēr nepieciešamo tiesību aktu projektu skaits ir ievērojami mazāks. Būtu vērtējams papildus arī tāds alternatīvs modelis, kurā fotoradaru iegādes un uzstādīšanas finansējuma avots ir ikgadēja valsts budžeta dotācija noteiktā apmērā, bet CSDD peļņas daļa izmaksājama valstij dividendēs, atbilstoši CSDD stratēģijai un normatīvajiem aktiem. Izvēlētajam finansēšanas modelim Nr.2 kā vājā puse minēts “Valsts budžetā netiek atspoguļoti visi ieņēmumi, kas valstij pienākas, un visi izdevumi, ko tai jāveic, lai nodrošinātu valsts pārvaldes deleģēta uzdevuma izpildi”. Piedāvātajā risinājumā un kopumā Ziņojumā secināts, ka valstij pienākošie dividenžu maksājumi Likuma par budžetu un finanšu vadību izpratnē un noteikumu Nr.806 kontekstā, novirzot daļu no valstij piekritīgajām dividendēm CSDD valsts pārvaldes deleģētā uzdevuma izpildei (fotoradaru iegādei un uzstādīšanai), ir uzskatāmi par valsts budžeta finansējumu, un tās jāiekļauj bilances postenī “Nākamo periodu ieņēmumi”. Ievērojot minēto, lūdzam skaidrot kāpēc šajā gadījumā šis valsts budžeta finansējums netiks atspoguļots kā izdevumi valsts budžetā vai arī svītrot šos secinājumus.  </w:t>
            </w:r>
          </w:p>
          <w:p w14:paraId="40CB04F9" w14:textId="77777777" w:rsidR="001F041A" w:rsidRPr="00BD72F8" w:rsidRDefault="001F041A" w:rsidP="001F041A">
            <w:pPr>
              <w:pStyle w:val="ListParagraph"/>
              <w:ind w:left="0"/>
              <w:contextualSpacing/>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8AA377"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Panākta vienošanās 19.03.2019.  starpministriju (starpinstitūciju) sanāksmē par 2.modeli.</w:t>
            </w:r>
          </w:p>
          <w:p w14:paraId="2CADF25C"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28377D01" w14:textId="77777777" w:rsidR="001F041A" w:rsidRPr="007843A1" w:rsidRDefault="001F041A" w:rsidP="001F041A">
            <w:pPr>
              <w:pStyle w:val="NormalWeb"/>
              <w:spacing w:before="0" w:beforeAutospacing="0" w:after="0" w:afterAutospacing="0"/>
              <w:ind w:firstLine="176"/>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C35113" w14:textId="77777777" w:rsidR="001F041A" w:rsidRPr="00844AE7" w:rsidRDefault="001F041A" w:rsidP="001F041A">
            <w:pPr>
              <w:jc w:val="both"/>
              <w:rPr>
                <w:sz w:val="22"/>
                <w:szCs w:val="22"/>
              </w:rPr>
            </w:pPr>
            <w:r>
              <w:rPr>
                <w:sz w:val="20"/>
                <w:szCs w:val="20"/>
              </w:rPr>
              <w:t>√ Precizēta un papildināta informatīvā ziņojuma 3.2.sadaļa (2.modelis)</w:t>
            </w:r>
          </w:p>
        </w:tc>
      </w:tr>
      <w:tr w:rsidR="001F041A" w:rsidRPr="00A26DDD" w14:paraId="744DD449"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C2859E8" w14:textId="385B2562" w:rsidR="001F041A" w:rsidRDefault="00390AEF" w:rsidP="001F041A">
            <w:pPr>
              <w:jc w:val="center"/>
              <w:rPr>
                <w:sz w:val="22"/>
                <w:szCs w:val="22"/>
              </w:rPr>
            </w:pPr>
            <w:r w:rsidRPr="00390AEF">
              <w:rPr>
                <w:sz w:val="22"/>
                <w:szCs w:val="22"/>
              </w:rPr>
              <w:t>28</w:t>
            </w:r>
            <w:r w:rsidR="001F041A" w:rsidRPr="00390AEF">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0E0853" w14:textId="77777777" w:rsidR="001F041A" w:rsidRPr="007843A1" w:rsidRDefault="001F041A" w:rsidP="001F041A">
            <w:pPr>
              <w:pStyle w:val="ListParagraph"/>
              <w:ind w:left="0"/>
              <w:contextualSpacing/>
              <w:jc w:val="both"/>
            </w:pPr>
            <w:r w:rsidRPr="00C53F37">
              <w:rPr>
                <w:rFonts w:ascii="Times New Roman" w:hAnsi="Times New Roman"/>
                <w:iCs/>
                <w:sz w:val="20"/>
                <w:szCs w:val="20"/>
              </w:rPr>
              <w:t>Informatīvā ziņojuma 3.2.sadaļa</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623956" w14:textId="77777777" w:rsidR="001F041A" w:rsidRPr="00BD72F8" w:rsidRDefault="001F041A" w:rsidP="001F041A">
            <w:pPr>
              <w:jc w:val="center"/>
              <w:rPr>
                <w:b/>
                <w:sz w:val="20"/>
                <w:szCs w:val="20"/>
              </w:rPr>
            </w:pPr>
            <w:r w:rsidRPr="00BD72F8">
              <w:rPr>
                <w:b/>
                <w:sz w:val="20"/>
                <w:szCs w:val="20"/>
              </w:rPr>
              <w:t>Pārresoru koordinācijas centrs</w:t>
            </w:r>
          </w:p>
          <w:p w14:paraId="2F3E6246" w14:textId="77777777" w:rsidR="001F041A" w:rsidRPr="00BD72F8" w:rsidRDefault="001F041A" w:rsidP="001F041A">
            <w:pPr>
              <w:jc w:val="center"/>
              <w:rPr>
                <w:sz w:val="20"/>
                <w:szCs w:val="20"/>
              </w:rPr>
            </w:pPr>
            <w:r w:rsidRPr="00BD72F8">
              <w:rPr>
                <w:sz w:val="20"/>
                <w:szCs w:val="20"/>
              </w:rPr>
              <w:t>(11.02.2019. atzinums Nr.1.2-7/14)</w:t>
            </w:r>
          </w:p>
          <w:p w14:paraId="074CDC98" w14:textId="77777777" w:rsidR="001F041A" w:rsidRDefault="001F041A" w:rsidP="001F041A">
            <w:pPr>
              <w:pStyle w:val="ListParagraph"/>
              <w:ind w:left="0"/>
              <w:contextualSpacing/>
              <w:jc w:val="both"/>
              <w:rPr>
                <w:rFonts w:ascii="Times New Roman" w:hAnsi="Times New Roman"/>
                <w:iCs/>
                <w:sz w:val="20"/>
                <w:szCs w:val="20"/>
              </w:rPr>
            </w:pPr>
            <w:r w:rsidRPr="00BD72F8">
              <w:rPr>
                <w:rFonts w:ascii="Times New Roman" w:hAnsi="Times New Roman"/>
                <w:iCs/>
                <w:sz w:val="20"/>
                <w:szCs w:val="20"/>
              </w:rPr>
              <w:t>PKC ieskatā Ministru kabineta 2015.gada noteikumi Nr. 806 “Kārtība, kādā valsts kapitālsabiedrības un publiski privātās kapitālsabiedrības, kurās valsts ir dalībnieks (akcionārs), prognozē un nosaka dividendēs izmaksājamo peļņas daļu un veic maksājumus valsts budžetā par valsts kapitāla izmantošanu” piemērošanas mērķis nav regulēt valsts budžeta līdzekļu piešķiršanas procesu, kādā tiek segti kapitālsabiedrībai radušies izdevumi par valsts pārvaldes uzdevumu veikšanu. Noteikumos uzskaitīti gadījumi, kuros valstij piekrītošās dividendes no peļņas var tikt atstātas kapitālsabiedrības rīcībā.</w:t>
            </w:r>
          </w:p>
          <w:p w14:paraId="2AB7596F" w14:textId="77777777" w:rsidR="001F041A" w:rsidRPr="00BD72F8" w:rsidRDefault="001F041A" w:rsidP="001F041A">
            <w:pPr>
              <w:pStyle w:val="ListParagraph"/>
              <w:ind w:left="0"/>
              <w:contextualSpacing/>
              <w:jc w:val="both"/>
              <w:rPr>
                <w:b/>
                <w:sz w:val="20"/>
                <w:szCs w:val="20"/>
              </w:rPr>
            </w:pPr>
            <w:r w:rsidRPr="00BD72F8">
              <w:rPr>
                <w:rFonts w:ascii="Times New Roman" w:hAnsi="Times New Roman"/>
                <w:i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EEC33A"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20C461FD"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w:t>
            </w:r>
          </w:p>
          <w:p w14:paraId="28EFD930"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146BDBB5" w14:textId="77777777" w:rsidR="001F041A" w:rsidRPr="007843A1" w:rsidRDefault="001F041A" w:rsidP="001F041A">
            <w:pPr>
              <w:pStyle w:val="NormalWeb"/>
              <w:spacing w:before="0" w:beforeAutospacing="0" w:after="0" w:afterAutospacing="0"/>
              <w:ind w:firstLine="176"/>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D87D5B" w14:textId="77777777" w:rsidR="001F041A" w:rsidRPr="00844AE7" w:rsidRDefault="001F041A" w:rsidP="001F041A">
            <w:pPr>
              <w:pStyle w:val="ListParagraph"/>
              <w:ind w:left="0"/>
              <w:contextualSpacing/>
              <w:jc w:val="both"/>
            </w:pPr>
            <w:r w:rsidRPr="00C53F37">
              <w:rPr>
                <w:rFonts w:ascii="Times New Roman" w:hAnsi="Times New Roman"/>
                <w:iCs/>
                <w:sz w:val="20"/>
                <w:szCs w:val="20"/>
              </w:rPr>
              <w:t>Precizēta informatīvā ziņojuma 3.2.sadaļa, aizstājot vārdus “Tiesiskais pamatojums ”ar vārdiem “Tiesiskais regulējums”, tādējādi norādot tos tiesību aktus, kas saistīti ar attiecīgo jomu.</w:t>
            </w:r>
          </w:p>
        </w:tc>
      </w:tr>
      <w:tr w:rsidR="001F041A" w:rsidRPr="00A26DDD" w14:paraId="0ADD209E"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8D5F89E" w14:textId="4F88124E" w:rsidR="001F041A" w:rsidRDefault="00390AEF" w:rsidP="001F041A">
            <w:pPr>
              <w:jc w:val="center"/>
              <w:rPr>
                <w:sz w:val="22"/>
                <w:szCs w:val="22"/>
              </w:rPr>
            </w:pPr>
            <w:r>
              <w:rPr>
                <w:sz w:val="22"/>
                <w:szCs w:val="22"/>
              </w:rPr>
              <w:lastRenderedPageBreak/>
              <w:t>29</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FA83A"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D5A950" w14:textId="77777777" w:rsidR="001F041A" w:rsidRPr="00BD72F8" w:rsidRDefault="001F041A" w:rsidP="001F041A">
            <w:pPr>
              <w:jc w:val="center"/>
              <w:rPr>
                <w:b/>
                <w:sz w:val="20"/>
                <w:szCs w:val="20"/>
              </w:rPr>
            </w:pPr>
            <w:r w:rsidRPr="00BD72F8">
              <w:rPr>
                <w:b/>
                <w:sz w:val="20"/>
                <w:szCs w:val="20"/>
              </w:rPr>
              <w:t>Pārresoru koordinācijas centrs</w:t>
            </w:r>
          </w:p>
          <w:p w14:paraId="03CD3FCD" w14:textId="77777777" w:rsidR="001F041A" w:rsidRPr="00BD72F8" w:rsidRDefault="001F041A" w:rsidP="001F041A">
            <w:pPr>
              <w:jc w:val="center"/>
              <w:rPr>
                <w:sz w:val="20"/>
                <w:szCs w:val="20"/>
              </w:rPr>
            </w:pPr>
            <w:r w:rsidRPr="00BD72F8">
              <w:rPr>
                <w:sz w:val="20"/>
                <w:szCs w:val="20"/>
              </w:rPr>
              <w:t>(11.02.2019. atzinums Nr.1.2-7/14)</w:t>
            </w:r>
          </w:p>
          <w:p w14:paraId="7FF6146C" w14:textId="77777777" w:rsidR="001F041A" w:rsidRDefault="001F041A" w:rsidP="001F041A">
            <w:pPr>
              <w:pStyle w:val="ListParagraph"/>
              <w:ind w:left="0"/>
              <w:contextualSpacing/>
              <w:jc w:val="both"/>
              <w:rPr>
                <w:rFonts w:ascii="Times New Roman" w:hAnsi="Times New Roman"/>
                <w:iCs/>
                <w:sz w:val="20"/>
                <w:szCs w:val="20"/>
              </w:rPr>
            </w:pPr>
            <w:r w:rsidRPr="00BD72F8">
              <w:rPr>
                <w:rFonts w:ascii="Times New Roman" w:hAnsi="Times New Roman"/>
                <w:iCs/>
                <w:sz w:val="20"/>
                <w:szCs w:val="20"/>
              </w:rPr>
              <w:t xml:space="preserve">Lai mazinātu 2.modeļa ieviešanas trūkuma “Valsts budžetā netiek atspoguļoti visi ieņēmumi, kas valstij pienākas, un visi izdevumi, ko tai jāveic, lai nodrošinātu valsts pārvaldes deleģēta uzdevuma izpildi “, lūdzam </w:t>
            </w:r>
            <w:r w:rsidRPr="009D6475">
              <w:rPr>
                <w:rFonts w:ascii="Times New Roman" w:hAnsi="Times New Roman"/>
                <w:b/>
                <w:iCs/>
                <w:sz w:val="20"/>
                <w:szCs w:val="20"/>
              </w:rPr>
              <w:t>papildināt Ziņojuma 38.lpp (sadaļā Nepieciešamie tiesību aktu projekti” ar tekstu, ka informācija par saņemto finansējumu šādu deleģēto uzdevumu izpildei tiek publicēta attiecīgās ministrijas (kapitāla daļu turētājas) un valsts kapitālsabiedrības interneta mājaslapā.</w:t>
            </w:r>
            <w:r w:rsidRPr="00BD72F8">
              <w:rPr>
                <w:rFonts w:ascii="Times New Roman" w:hAnsi="Times New Roman"/>
                <w:iCs/>
                <w:sz w:val="20"/>
                <w:szCs w:val="20"/>
              </w:rPr>
              <w:t xml:space="preserve"> </w:t>
            </w:r>
          </w:p>
          <w:p w14:paraId="741557DD" w14:textId="77777777" w:rsidR="001F041A" w:rsidRPr="00BD72F8" w:rsidRDefault="001F041A" w:rsidP="001F041A">
            <w:pPr>
              <w:pStyle w:val="ListParagraph"/>
              <w:ind w:left="0"/>
              <w:contextualSpacing/>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D8A28F"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Panākta vienošanās 19.03.2019. starpministriju (starpinstitūciju) sanāksmē.</w:t>
            </w:r>
          </w:p>
          <w:p w14:paraId="1EE129BC"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netiek uzturēts.</w:t>
            </w:r>
          </w:p>
          <w:p w14:paraId="3F0AC66C"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1B6AEEC2"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705653ED" w14:textId="77777777" w:rsidR="001F041A" w:rsidRPr="007843A1" w:rsidRDefault="001F041A" w:rsidP="001F041A">
            <w:pPr>
              <w:pStyle w:val="NormalWeb"/>
              <w:spacing w:before="0" w:beforeAutospacing="0" w:after="0" w:afterAutospacing="0"/>
              <w:ind w:firstLine="176"/>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DEA7EE" w14:textId="77777777" w:rsidR="001F041A" w:rsidRPr="00844AE7" w:rsidRDefault="001F041A" w:rsidP="001F041A">
            <w:pPr>
              <w:jc w:val="both"/>
              <w:rPr>
                <w:sz w:val="22"/>
                <w:szCs w:val="22"/>
              </w:rPr>
            </w:pPr>
          </w:p>
        </w:tc>
      </w:tr>
      <w:tr w:rsidR="001F041A" w:rsidRPr="00A26DDD" w14:paraId="30E8D837"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EB75513" w14:textId="0369392A" w:rsidR="001F041A" w:rsidRPr="00390AEF" w:rsidRDefault="0020480B" w:rsidP="001F041A">
            <w:pPr>
              <w:jc w:val="center"/>
              <w:rPr>
                <w:sz w:val="22"/>
                <w:szCs w:val="22"/>
                <w:highlight w:val="yellow"/>
              </w:rPr>
            </w:pPr>
            <w:r w:rsidRPr="0020480B">
              <w:rPr>
                <w:sz w:val="22"/>
                <w:szCs w:val="22"/>
              </w:rPr>
              <w:t>30</w:t>
            </w:r>
            <w:r w:rsidR="001F041A" w:rsidRPr="0020480B">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478A14" w14:textId="7EB86E70" w:rsidR="001F041A" w:rsidRPr="007843A1" w:rsidRDefault="001F041A" w:rsidP="001F041A">
            <w:pPr>
              <w:rPr>
                <w:sz w:val="22"/>
                <w:szCs w:val="22"/>
              </w:rPr>
            </w:pPr>
            <w:r>
              <w:rPr>
                <w:rFonts w:cs="Calibri"/>
                <w:iCs/>
                <w:sz w:val="20"/>
                <w:szCs w:val="20"/>
              </w:rPr>
              <w:t>I</w:t>
            </w:r>
            <w:r w:rsidRPr="006E668A">
              <w:rPr>
                <w:rFonts w:cs="Calibri"/>
                <w:iCs/>
                <w:sz w:val="20"/>
                <w:szCs w:val="20"/>
              </w:rPr>
              <w:t>nformatīvā ziņojuma teikums (38.lpp. zem tabulas Nr.9.)</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61CC58" w14:textId="06D99BE7" w:rsidR="001F041A" w:rsidRDefault="001F041A" w:rsidP="001F041A">
            <w:pPr>
              <w:jc w:val="center"/>
              <w:rPr>
                <w:b/>
                <w:sz w:val="20"/>
                <w:szCs w:val="20"/>
              </w:rPr>
            </w:pPr>
            <w:r w:rsidRPr="0020480B">
              <w:rPr>
                <w:b/>
                <w:sz w:val="20"/>
                <w:szCs w:val="20"/>
              </w:rPr>
              <w:t>Pārr</w:t>
            </w:r>
            <w:r w:rsidRPr="006E668A">
              <w:rPr>
                <w:b/>
                <w:sz w:val="20"/>
                <w:szCs w:val="20"/>
              </w:rPr>
              <w:t>esor</w:t>
            </w:r>
            <w:r w:rsidR="0020480B">
              <w:rPr>
                <w:b/>
                <w:sz w:val="20"/>
                <w:szCs w:val="20"/>
              </w:rPr>
              <w:t>u koordinā</w:t>
            </w:r>
            <w:r w:rsidRPr="006E668A">
              <w:rPr>
                <w:b/>
                <w:sz w:val="20"/>
                <w:szCs w:val="20"/>
              </w:rPr>
              <w:t>cijas centrs</w:t>
            </w:r>
          </w:p>
          <w:p w14:paraId="3CB51120" w14:textId="17551E8A" w:rsidR="001F041A" w:rsidRPr="006E668A" w:rsidRDefault="001F041A" w:rsidP="001F041A">
            <w:pPr>
              <w:jc w:val="center"/>
              <w:rPr>
                <w:sz w:val="20"/>
                <w:szCs w:val="20"/>
              </w:rPr>
            </w:pPr>
            <w:r w:rsidRPr="006E668A">
              <w:rPr>
                <w:rFonts w:eastAsia="Calibri" w:cs="Calibri"/>
                <w:iCs/>
                <w:sz w:val="20"/>
                <w:szCs w:val="20"/>
                <w:lang w:eastAsia="en-US"/>
              </w:rPr>
              <w:t>(</w:t>
            </w:r>
            <w:r w:rsidRPr="0020480B">
              <w:rPr>
                <w:rFonts w:eastAsia="Calibri" w:cs="Calibri"/>
                <w:iCs/>
                <w:sz w:val="20"/>
                <w:szCs w:val="20"/>
                <w:lang w:eastAsia="en-US"/>
              </w:rPr>
              <w:t>26.04</w:t>
            </w:r>
            <w:r w:rsidRPr="0020480B">
              <w:rPr>
                <w:sz w:val="20"/>
                <w:szCs w:val="20"/>
              </w:rPr>
              <w:t>.</w:t>
            </w:r>
            <w:r w:rsidRPr="006E668A">
              <w:rPr>
                <w:sz w:val="20"/>
                <w:szCs w:val="20"/>
              </w:rPr>
              <w:t>2019.atzinums par precizēto projektu)</w:t>
            </w:r>
          </w:p>
          <w:p w14:paraId="4588E261" w14:textId="26E91FD1" w:rsidR="001F041A" w:rsidRPr="00BD72F8" w:rsidRDefault="001F041A" w:rsidP="001F041A">
            <w:pPr>
              <w:pStyle w:val="ListParagraph"/>
              <w:ind w:left="0"/>
              <w:contextualSpacing/>
              <w:jc w:val="both"/>
              <w:rPr>
                <w:b/>
                <w:sz w:val="20"/>
                <w:szCs w:val="20"/>
              </w:rPr>
            </w:pPr>
            <w:r w:rsidRPr="006E668A">
              <w:rPr>
                <w:rFonts w:ascii="Times New Roman" w:hAnsi="Times New Roman"/>
                <w:iCs/>
                <w:sz w:val="20"/>
                <w:szCs w:val="20"/>
              </w:rPr>
              <w:t xml:space="preserve"> ir izskatījis precizēto informatīvo ziņojumu par tehnisko līdzekļu (fotoradaru) turpmākās darbības nodrošināšanu (atjaunošanu) un tās finansēšanas avotiem (VSS- 67), tam pievienoto protokollēmumu un saskaņo projektus, ja informatīvā ziņojuma teikums (38.lpp. zem tabulas Nr.9.) tiek </w:t>
            </w:r>
            <w:proofErr w:type="gramStart"/>
            <w:r w:rsidRPr="006E668A">
              <w:rPr>
                <w:rFonts w:ascii="Times New Roman" w:hAnsi="Times New Roman"/>
                <w:iCs/>
                <w:sz w:val="20"/>
                <w:szCs w:val="20"/>
              </w:rPr>
              <w:t>izteikts šādā redakcija</w:t>
            </w:r>
            <w:proofErr w:type="gramEnd"/>
            <w:r w:rsidRPr="006E668A">
              <w:rPr>
                <w:rFonts w:ascii="Times New Roman" w:hAnsi="Times New Roman"/>
                <w:iCs/>
                <w:sz w:val="20"/>
                <w:szCs w:val="20"/>
              </w:rPr>
              <w:t>: “Ievērojot, ka dividendēs sadalāmā peļņa var neatbilst plānotajai, kā arī vēl nav apstiprināta CSDD stratēģija periodam 2021. – 2023.gads, var mainīties fotoradaru iegādei novirzāmā finansējuma apmērs (ievērojot arī iepirkuma rezultātus un citus ar CSDD darbību saistītus apstākļus), un var mainīties arī piesaistāmā fotoradaru nolietojuma uzkrājuma summa, konkrēta summa, kas novirzāma fotoradaru iegādei un uzstādīšanai tiks noteikta atsevišķā Ministru kabineta rīkojumā.”.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A16C93" w14:textId="52E87F3C"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Ņemts vērā daļēji.</w:t>
            </w:r>
          </w:p>
          <w:p w14:paraId="3C661277"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2F617729" w14:textId="0E975F8B"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iCs/>
                <w:sz w:val="20"/>
                <w:szCs w:val="20"/>
              </w:rPr>
              <w:t>P</w:t>
            </w:r>
            <w:r w:rsidRPr="006E668A">
              <w:rPr>
                <w:rFonts w:ascii="Times New Roman" w:hAnsi="Times New Roman"/>
                <w:iCs/>
                <w:sz w:val="20"/>
                <w:szCs w:val="20"/>
              </w:rPr>
              <w:t>iesaistāmā fotoradaru nolietojuma uzkrājuma summa</w:t>
            </w:r>
            <w:r>
              <w:rPr>
                <w:rFonts w:ascii="Times New Roman" w:hAnsi="Times New Roman"/>
                <w:iCs/>
                <w:sz w:val="20"/>
                <w:szCs w:val="20"/>
              </w:rPr>
              <w:t xml:space="preserve"> nevar mainīties, jo tas ir fiksēts naudas līdzekļu apjoms.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252427" w14:textId="71398FC2" w:rsidR="001F041A" w:rsidRPr="00844AE7" w:rsidRDefault="001F041A" w:rsidP="001F041A">
            <w:pPr>
              <w:jc w:val="both"/>
              <w:rPr>
                <w:sz w:val="22"/>
                <w:szCs w:val="22"/>
              </w:rPr>
            </w:pPr>
            <w:r>
              <w:rPr>
                <w:rFonts w:cs="Calibri"/>
                <w:iCs/>
                <w:sz w:val="20"/>
                <w:szCs w:val="20"/>
              </w:rPr>
              <w:t>Precizēts i</w:t>
            </w:r>
            <w:r w:rsidRPr="006E668A">
              <w:rPr>
                <w:rFonts w:cs="Calibri"/>
                <w:iCs/>
                <w:sz w:val="20"/>
                <w:szCs w:val="20"/>
              </w:rPr>
              <w:t>nformatīvā ziņojuma teikums (38.lpp. zem tabulas Nr.9.)</w:t>
            </w:r>
          </w:p>
        </w:tc>
      </w:tr>
      <w:tr w:rsidR="001F041A" w:rsidRPr="00A26DDD" w14:paraId="6DC07A51"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03907FE" w14:textId="36432FC4" w:rsidR="001F041A" w:rsidRDefault="00B471AB" w:rsidP="001F041A">
            <w:pPr>
              <w:jc w:val="center"/>
              <w:rPr>
                <w:sz w:val="22"/>
                <w:szCs w:val="22"/>
              </w:rPr>
            </w:pPr>
            <w:r>
              <w:rPr>
                <w:sz w:val="22"/>
                <w:szCs w:val="22"/>
              </w:rPr>
              <w:t>31</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476C4"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7CE85C" w14:textId="77777777" w:rsidR="001F041A" w:rsidRPr="00BD72F8" w:rsidRDefault="001F041A" w:rsidP="001F041A">
            <w:pPr>
              <w:jc w:val="center"/>
              <w:rPr>
                <w:b/>
                <w:sz w:val="20"/>
                <w:szCs w:val="20"/>
              </w:rPr>
            </w:pPr>
            <w:r w:rsidRPr="00BD72F8">
              <w:rPr>
                <w:b/>
                <w:sz w:val="20"/>
                <w:szCs w:val="20"/>
              </w:rPr>
              <w:t>Valsts kancelejas Valsts pārvaldes politikas departaments</w:t>
            </w:r>
          </w:p>
          <w:p w14:paraId="31EB033D" w14:textId="77777777" w:rsidR="001F041A" w:rsidRPr="00BD72F8" w:rsidRDefault="001F041A" w:rsidP="001F041A">
            <w:pPr>
              <w:jc w:val="center"/>
              <w:rPr>
                <w:sz w:val="20"/>
                <w:szCs w:val="20"/>
              </w:rPr>
            </w:pPr>
            <w:r w:rsidRPr="00BD72F8">
              <w:rPr>
                <w:sz w:val="20"/>
                <w:szCs w:val="20"/>
              </w:rPr>
              <w:t>(05.02.2019 atzinums)</w:t>
            </w:r>
          </w:p>
          <w:p w14:paraId="1FE811B4" w14:textId="77777777" w:rsidR="001F041A" w:rsidRPr="00BD72F8" w:rsidRDefault="001F041A" w:rsidP="001F041A">
            <w:pPr>
              <w:jc w:val="center"/>
              <w:rPr>
                <w:b/>
                <w:sz w:val="20"/>
                <w:szCs w:val="20"/>
              </w:rPr>
            </w:pPr>
            <w:r w:rsidRPr="00BD72F8">
              <w:rPr>
                <w:b/>
                <w:sz w:val="20"/>
                <w:szCs w:val="20"/>
              </w:rPr>
              <w:t>(priekšlikums)</w:t>
            </w:r>
          </w:p>
          <w:p w14:paraId="1E7A7BE8" w14:textId="77777777" w:rsidR="001F041A" w:rsidRDefault="001F041A" w:rsidP="001F041A">
            <w:pPr>
              <w:jc w:val="both"/>
              <w:rPr>
                <w:sz w:val="20"/>
                <w:szCs w:val="20"/>
              </w:rPr>
            </w:pPr>
            <w:r w:rsidRPr="00BD72F8">
              <w:rPr>
                <w:sz w:val="20"/>
                <w:szCs w:val="20"/>
              </w:rPr>
              <w:t>Valsts kanceleja atbalsta dokumentu virzību, vienlaikus izsaka šādu priekšlikumu. Lūdzam izskatīt iespēju papildināt informatīvā ziņojuma 2.3.1.apašnodaļu ar risinājumu, ka fotoradari tiek izvietoti pilsētu krustojumos un fiksē tās automašīnas, kuras iebrauc krustojumā pie dzeltenā vai sarkanā aizliedzošā signāla.</w:t>
            </w:r>
          </w:p>
          <w:p w14:paraId="24FBF85D" w14:textId="77777777" w:rsidR="001F041A" w:rsidRPr="00BD72F8" w:rsidRDefault="001F041A" w:rsidP="001F041A">
            <w:pPr>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73D6AF"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Priekšlikums nav ņemts vērā.</w:t>
            </w:r>
          </w:p>
          <w:p w14:paraId="03FFDBAF"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Uzskatāms par atsauktu.</w:t>
            </w:r>
          </w:p>
          <w:p w14:paraId="099B6F77" w14:textId="77777777" w:rsidR="001F041A" w:rsidRPr="005C27B3" w:rsidRDefault="001F041A" w:rsidP="001F041A">
            <w:pPr>
              <w:ind w:firstLine="720"/>
              <w:jc w:val="both"/>
              <w:rPr>
                <w:b/>
                <w:sz w:val="20"/>
                <w:szCs w:val="20"/>
              </w:rPr>
            </w:pPr>
            <w:r>
              <w:rPr>
                <w:b/>
                <w:sz w:val="20"/>
                <w:szCs w:val="20"/>
              </w:rPr>
              <w:t xml:space="preserve">Skatīt informatīvā ziņojuma </w:t>
            </w:r>
            <w:r w:rsidRPr="005C27B3">
              <w:rPr>
                <w:b/>
                <w:sz w:val="20"/>
                <w:szCs w:val="20"/>
              </w:rPr>
              <w:t>2.3.1. Luksoforu signālu, kas aizliedz braukšanu, pārkāpumu fiksēšana ar fotoradaru</w:t>
            </w:r>
          </w:p>
          <w:p w14:paraId="2B0FE61F"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1BFC0E74" w14:textId="77777777" w:rsidR="001F041A" w:rsidRPr="007843A1" w:rsidRDefault="001F041A" w:rsidP="001F041A">
            <w:pPr>
              <w:pStyle w:val="NormalWeb"/>
              <w:spacing w:before="0" w:beforeAutospacing="0" w:after="0" w:afterAutospacing="0"/>
              <w:ind w:firstLine="176"/>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C32DCA" w14:textId="77777777" w:rsidR="001F041A" w:rsidRPr="00844AE7" w:rsidRDefault="001F041A" w:rsidP="001F041A">
            <w:pPr>
              <w:jc w:val="both"/>
              <w:rPr>
                <w:sz w:val="22"/>
                <w:szCs w:val="22"/>
              </w:rPr>
            </w:pPr>
          </w:p>
        </w:tc>
      </w:tr>
      <w:tr w:rsidR="001F041A" w:rsidRPr="00A26DDD" w14:paraId="46E4A404"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C2170C3" w14:textId="7C021B3C" w:rsidR="001F041A" w:rsidRDefault="00B471AB" w:rsidP="001F041A">
            <w:pPr>
              <w:jc w:val="center"/>
              <w:rPr>
                <w:sz w:val="22"/>
                <w:szCs w:val="22"/>
              </w:rPr>
            </w:pPr>
            <w:r w:rsidRPr="00B471AB">
              <w:rPr>
                <w:sz w:val="22"/>
                <w:szCs w:val="22"/>
              </w:rPr>
              <w:t>32</w:t>
            </w:r>
            <w:r w:rsidR="001F041A" w:rsidRPr="00B471AB">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EF9BB7" w14:textId="77777777" w:rsidR="001F041A" w:rsidRDefault="001F041A" w:rsidP="001F041A">
            <w:pPr>
              <w:jc w:val="both"/>
              <w:rPr>
                <w:sz w:val="20"/>
                <w:szCs w:val="20"/>
              </w:rPr>
            </w:pPr>
            <w:r>
              <w:rPr>
                <w:sz w:val="20"/>
                <w:szCs w:val="20"/>
              </w:rPr>
              <w:t xml:space="preserve">√ </w:t>
            </w:r>
            <w:r w:rsidRPr="006C27FD">
              <w:rPr>
                <w:sz w:val="20"/>
                <w:szCs w:val="20"/>
              </w:rPr>
              <w:t>Informatīvā ziņojuma 2.2.sadaļ</w:t>
            </w:r>
            <w:r>
              <w:rPr>
                <w:sz w:val="20"/>
                <w:szCs w:val="20"/>
              </w:rPr>
              <w:t>a</w:t>
            </w:r>
            <w:r w:rsidRPr="006C27FD">
              <w:rPr>
                <w:sz w:val="20"/>
                <w:szCs w:val="20"/>
              </w:rPr>
              <w:t xml:space="preserve"> (14.lpp. 6.rindkopa)</w:t>
            </w:r>
            <w:r>
              <w:rPr>
                <w:sz w:val="20"/>
                <w:szCs w:val="20"/>
              </w:rPr>
              <w:t xml:space="preserve"> un 3.2.sadaļa.</w:t>
            </w:r>
          </w:p>
          <w:p w14:paraId="7835A221" w14:textId="77777777" w:rsidR="001F041A" w:rsidRPr="007843A1" w:rsidRDefault="001F041A" w:rsidP="001F041A">
            <w:pPr>
              <w:jc w:val="both"/>
              <w:rPr>
                <w:sz w:val="22"/>
                <w:szCs w:val="22"/>
              </w:rPr>
            </w:pPr>
            <w:r>
              <w:rPr>
                <w:sz w:val="20"/>
                <w:szCs w:val="20"/>
              </w:rPr>
              <w:t xml:space="preserve"> √ </w:t>
            </w:r>
            <w:r w:rsidRPr="006C27FD">
              <w:rPr>
                <w:sz w:val="20"/>
                <w:szCs w:val="20"/>
              </w:rPr>
              <w:t>Informatīvā ziņojuma</w:t>
            </w:r>
            <w:r>
              <w:rPr>
                <w:sz w:val="20"/>
                <w:szCs w:val="20"/>
              </w:rPr>
              <w:t xml:space="preserve"> 3.pielikums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99C67F" w14:textId="77777777" w:rsidR="001F041A" w:rsidRPr="00BD72F8" w:rsidRDefault="001F041A" w:rsidP="001F041A">
            <w:pPr>
              <w:jc w:val="center"/>
              <w:rPr>
                <w:b/>
                <w:sz w:val="20"/>
                <w:szCs w:val="20"/>
              </w:rPr>
            </w:pPr>
            <w:r w:rsidRPr="00BD72F8">
              <w:rPr>
                <w:b/>
                <w:sz w:val="20"/>
                <w:szCs w:val="20"/>
              </w:rPr>
              <w:t>Satiksmes ministrija</w:t>
            </w:r>
          </w:p>
          <w:p w14:paraId="7260CF60" w14:textId="77777777" w:rsidR="001F041A" w:rsidRPr="00BD72F8" w:rsidRDefault="001F041A" w:rsidP="001F041A">
            <w:pPr>
              <w:jc w:val="center"/>
              <w:rPr>
                <w:sz w:val="20"/>
                <w:szCs w:val="20"/>
              </w:rPr>
            </w:pPr>
            <w:r w:rsidRPr="00BD72F8">
              <w:rPr>
                <w:sz w:val="20"/>
                <w:szCs w:val="20"/>
              </w:rPr>
              <w:t>(14.02.2019. atzinums Nr.03-03/23)</w:t>
            </w:r>
          </w:p>
          <w:p w14:paraId="07007C88" w14:textId="77777777" w:rsidR="001F041A" w:rsidRPr="00BD72F8" w:rsidRDefault="001F041A" w:rsidP="001F041A">
            <w:pPr>
              <w:tabs>
                <w:tab w:val="left" w:pos="993"/>
              </w:tabs>
              <w:jc w:val="both"/>
              <w:rPr>
                <w:sz w:val="20"/>
                <w:szCs w:val="20"/>
              </w:rPr>
            </w:pPr>
            <w:r w:rsidRPr="00BD72F8">
              <w:rPr>
                <w:sz w:val="20"/>
                <w:szCs w:val="20"/>
              </w:rPr>
              <w:t xml:space="preserve">Informatīvā ziņojuma 2.2.sadaļā “Fotoradaru skaita palielināšana un fotoradaru mulāžu ieviešana 2020.-2022.gadā (II posms)” (14.lpp. 6.rindkopa) norādīts, ka CSDD ierosina laika periodā no 2020.gada (maijs) līdz 2022.gadam (oktobris), katru gadu izbūvēt 30-36 fotoradaru vietas, uzstādīt 15-18 fotoradarus un 15-18 fotoradaru “mulāžas” (kopā - 100/50/50)”. </w:t>
            </w:r>
          </w:p>
          <w:p w14:paraId="38B61B30" w14:textId="77777777" w:rsidR="001F041A" w:rsidRPr="00A67F9F" w:rsidRDefault="001F041A" w:rsidP="001F041A">
            <w:pPr>
              <w:tabs>
                <w:tab w:val="left" w:pos="993"/>
              </w:tabs>
              <w:ind w:firstLine="720"/>
              <w:jc w:val="both"/>
              <w:rPr>
                <w:b/>
                <w:sz w:val="20"/>
                <w:szCs w:val="20"/>
              </w:rPr>
            </w:pPr>
            <w:r w:rsidRPr="00BD72F8">
              <w:rPr>
                <w:sz w:val="20"/>
                <w:szCs w:val="20"/>
              </w:rPr>
              <w:lastRenderedPageBreak/>
              <w:t xml:space="preserve">Vēršam uzmanību, ka no pozitīva lēmuma pieņemšanas Ministru kabinetā līdz pirmā radara uzstādīšanai II posmā ir nepieciešami vismaz 19 mēneši, proti, Ministru kabinetam pieņemot pozitīvu lēmumu 2019.gada februārī, pirmais radars var tikt uzstādīts ne ātrāk kā 2020.gada oktobrī. Ņemot vērā minēto, lūdzam </w:t>
            </w:r>
            <w:r w:rsidRPr="00A67F9F">
              <w:rPr>
                <w:b/>
                <w:sz w:val="20"/>
                <w:szCs w:val="20"/>
              </w:rPr>
              <w:t>precizēt Informatīvā ziņojuma 2.2.sadaļā (14.lpp. 6.rindkopa) ietverto informāciju, nenorādot precīzus jaunā posma radara uzstādīšanas mēnešus.</w:t>
            </w:r>
          </w:p>
          <w:p w14:paraId="3D3DD99A" w14:textId="77777777" w:rsidR="001F041A" w:rsidRPr="00BD72F8" w:rsidRDefault="001F041A" w:rsidP="001F041A">
            <w:pPr>
              <w:tabs>
                <w:tab w:val="left" w:pos="993"/>
              </w:tabs>
              <w:ind w:firstLine="720"/>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D1C8A2" w14:textId="77777777" w:rsidR="001F041A" w:rsidRPr="00A67F9F" w:rsidRDefault="001F041A" w:rsidP="001F041A">
            <w:pPr>
              <w:tabs>
                <w:tab w:val="left" w:pos="993"/>
              </w:tabs>
              <w:ind w:firstLine="720"/>
              <w:jc w:val="both"/>
              <w:rPr>
                <w:b/>
                <w:sz w:val="20"/>
                <w:szCs w:val="20"/>
              </w:rPr>
            </w:pPr>
            <w:r w:rsidRPr="00A67F9F">
              <w:rPr>
                <w:b/>
                <w:sz w:val="20"/>
                <w:szCs w:val="20"/>
              </w:rPr>
              <w:lastRenderedPageBreak/>
              <w:t xml:space="preserve">Jautājums pārrunāts </w:t>
            </w:r>
            <w:r>
              <w:rPr>
                <w:b/>
                <w:sz w:val="20"/>
                <w:szCs w:val="20"/>
              </w:rPr>
              <w:t xml:space="preserve">19.03.2019. </w:t>
            </w:r>
            <w:r w:rsidRPr="00A67F9F">
              <w:rPr>
                <w:b/>
                <w:sz w:val="20"/>
                <w:szCs w:val="20"/>
              </w:rPr>
              <w:t>starpministriju (starpinstitūciju) sanāksmē.</w:t>
            </w:r>
          </w:p>
          <w:p w14:paraId="730AA09A" w14:textId="77777777" w:rsidR="001F041A" w:rsidRDefault="001F041A" w:rsidP="001F041A">
            <w:pPr>
              <w:pStyle w:val="ListParagraph"/>
              <w:ind w:left="0"/>
              <w:contextualSpacing/>
              <w:jc w:val="both"/>
              <w:rPr>
                <w:b/>
                <w:sz w:val="20"/>
                <w:szCs w:val="20"/>
              </w:rPr>
            </w:pPr>
            <w:r w:rsidRPr="00A67F9F">
              <w:rPr>
                <w:rFonts w:ascii="Times New Roman" w:hAnsi="Times New Roman"/>
                <w:b/>
                <w:sz w:val="20"/>
                <w:szCs w:val="20"/>
              </w:rPr>
              <w:t>Iebildums ņemts vērā daļēji</w:t>
            </w:r>
            <w:r>
              <w:rPr>
                <w:b/>
                <w:sz w:val="20"/>
                <w:szCs w:val="20"/>
              </w:rPr>
              <w:t>.</w:t>
            </w:r>
          </w:p>
          <w:p w14:paraId="5BF032BE" w14:textId="77777777" w:rsidR="001F041A" w:rsidRDefault="001F041A" w:rsidP="001F041A">
            <w:pPr>
              <w:pStyle w:val="ListParagraph"/>
              <w:ind w:left="0"/>
              <w:contextualSpacing/>
              <w:jc w:val="both"/>
              <w:rPr>
                <w:rFonts w:ascii="Times New Roman" w:eastAsia="Times New Roman" w:hAnsi="Times New Roman" w:cs="Times New Roman"/>
                <w:sz w:val="20"/>
                <w:szCs w:val="20"/>
                <w:lang w:eastAsia="lv-LV"/>
              </w:rPr>
            </w:pPr>
            <w:r w:rsidRPr="00A67F9F">
              <w:rPr>
                <w:rFonts w:ascii="Times New Roman" w:hAnsi="Times New Roman"/>
                <w:sz w:val="20"/>
                <w:szCs w:val="20"/>
              </w:rPr>
              <w:t xml:space="preserve"> </w:t>
            </w:r>
            <w:r>
              <w:rPr>
                <w:sz w:val="20"/>
                <w:szCs w:val="20"/>
              </w:rPr>
              <w:t xml:space="preserve"> </w:t>
            </w:r>
            <w:r w:rsidRPr="006C27FD">
              <w:rPr>
                <w:rFonts w:ascii="Times New Roman" w:eastAsia="Times New Roman" w:hAnsi="Times New Roman" w:cs="Times New Roman"/>
                <w:sz w:val="20"/>
                <w:szCs w:val="20"/>
                <w:lang w:eastAsia="lv-LV"/>
              </w:rPr>
              <w:t xml:space="preserve">Vēršam uzmanību, ka, nenorādot uzstādīšanas mēnešus, nevar veikt uz pieņēmumiem balstītus izdevumu un ieņēmumu aprēķinus un iesniegt </w:t>
            </w:r>
            <w:r w:rsidRPr="006C27FD">
              <w:rPr>
                <w:rFonts w:ascii="Times New Roman" w:eastAsia="Times New Roman" w:hAnsi="Times New Roman" w:cs="Times New Roman"/>
                <w:sz w:val="20"/>
                <w:szCs w:val="20"/>
                <w:lang w:eastAsia="lv-LV"/>
              </w:rPr>
              <w:lastRenderedPageBreak/>
              <w:t>pieteikumu pasākuma finansēšanai. Precizēti aprēķini atbilstoši CSDD iesniegtajam prognozētajam laika grafikam, ievērojot, ka jautājums atbilstoši Finanšu ministrijas izteiktajam iebildumam, izskatāms likumprojekta “Par valsts budžetu 2020.gadam” un likumprojekta “Par vidēja termiņa budžeta ietvaru 2020., 2021. un 2022.gadam”sagatavošanas procesā, pamatojoties uz pieņēmumu, ka Ministru kabinets lēmumu par II  posmu pieņem 2019.gada augusta mēnesī (MK 20.03.2019.rīkojuma Nr.116 pielikuma 9.punkts).</w:t>
            </w:r>
          </w:p>
          <w:p w14:paraId="79C02529" w14:textId="77777777" w:rsidR="001F041A" w:rsidRPr="00A67F9F" w:rsidRDefault="001F041A" w:rsidP="001F041A">
            <w:pPr>
              <w:pStyle w:val="ListParagraph"/>
              <w:ind w:left="0"/>
              <w:contextualSpacing/>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5E816A" w14:textId="77777777" w:rsidR="001F041A" w:rsidRDefault="001F041A" w:rsidP="001F041A">
            <w:pPr>
              <w:jc w:val="both"/>
              <w:rPr>
                <w:sz w:val="20"/>
                <w:szCs w:val="20"/>
              </w:rPr>
            </w:pPr>
          </w:p>
          <w:p w14:paraId="5397B286" w14:textId="77777777" w:rsidR="001F041A" w:rsidRDefault="001F041A" w:rsidP="001F041A">
            <w:pPr>
              <w:jc w:val="both"/>
              <w:rPr>
                <w:sz w:val="20"/>
                <w:szCs w:val="20"/>
              </w:rPr>
            </w:pPr>
            <w:r>
              <w:rPr>
                <w:sz w:val="20"/>
                <w:szCs w:val="20"/>
              </w:rPr>
              <w:t>√ Precizēta i</w:t>
            </w:r>
            <w:r w:rsidRPr="006C27FD">
              <w:rPr>
                <w:sz w:val="20"/>
                <w:szCs w:val="20"/>
              </w:rPr>
              <w:t>nformatīvā ziņojuma 2.2.sadaļ</w:t>
            </w:r>
            <w:r>
              <w:rPr>
                <w:sz w:val="20"/>
                <w:szCs w:val="20"/>
              </w:rPr>
              <w:t>a</w:t>
            </w:r>
            <w:r w:rsidRPr="006C27FD">
              <w:rPr>
                <w:sz w:val="20"/>
                <w:szCs w:val="20"/>
              </w:rPr>
              <w:t xml:space="preserve"> (14.lpp. 6.rindkopa)</w:t>
            </w:r>
            <w:r>
              <w:rPr>
                <w:sz w:val="20"/>
                <w:szCs w:val="20"/>
              </w:rPr>
              <w:t xml:space="preserve"> un 3.2.sadaļa.</w:t>
            </w:r>
          </w:p>
          <w:p w14:paraId="7DA8918C" w14:textId="77777777" w:rsidR="001F041A" w:rsidRPr="007843A1" w:rsidRDefault="001F041A" w:rsidP="001F041A">
            <w:pPr>
              <w:jc w:val="both"/>
              <w:rPr>
                <w:sz w:val="22"/>
                <w:szCs w:val="22"/>
              </w:rPr>
            </w:pPr>
            <w:r>
              <w:rPr>
                <w:sz w:val="20"/>
                <w:szCs w:val="20"/>
              </w:rPr>
              <w:t xml:space="preserve"> √ Precizēts i</w:t>
            </w:r>
            <w:r w:rsidRPr="006C27FD">
              <w:rPr>
                <w:sz w:val="20"/>
                <w:szCs w:val="20"/>
              </w:rPr>
              <w:t>nformatīvā ziņojuma</w:t>
            </w:r>
            <w:r>
              <w:rPr>
                <w:sz w:val="20"/>
                <w:szCs w:val="20"/>
              </w:rPr>
              <w:t xml:space="preserve"> 4.pielikums (jauns).</w:t>
            </w:r>
          </w:p>
        </w:tc>
      </w:tr>
      <w:tr w:rsidR="001F041A" w:rsidRPr="00A26DDD" w14:paraId="0D1A9ACD"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C75068B" w14:textId="58165C73" w:rsidR="001F041A" w:rsidRDefault="00B471AB" w:rsidP="001F041A">
            <w:pPr>
              <w:jc w:val="center"/>
              <w:rPr>
                <w:sz w:val="22"/>
                <w:szCs w:val="22"/>
              </w:rPr>
            </w:pPr>
            <w:r>
              <w:rPr>
                <w:sz w:val="22"/>
                <w:szCs w:val="22"/>
              </w:rPr>
              <w:t>33</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88DB36" w14:textId="77777777" w:rsidR="001F041A" w:rsidRPr="007843A1" w:rsidRDefault="001F041A" w:rsidP="001F041A">
            <w:pPr>
              <w:rPr>
                <w:sz w:val="22"/>
                <w:szCs w:val="22"/>
              </w:rPr>
            </w:pPr>
            <w:r w:rsidRPr="00BD72F8">
              <w:rPr>
                <w:sz w:val="20"/>
                <w:szCs w:val="20"/>
              </w:rPr>
              <w:t>Informatīvā ziņojuma 2.3.4.sadaļā</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4E82DA" w14:textId="77777777" w:rsidR="001F041A" w:rsidRPr="00BD72F8" w:rsidRDefault="001F041A" w:rsidP="001F041A">
            <w:pPr>
              <w:jc w:val="center"/>
              <w:rPr>
                <w:b/>
                <w:sz w:val="20"/>
                <w:szCs w:val="20"/>
              </w:rPr>
            </w:pPr>
            <w:r w:rsidRPr="00BD72F8">
              <w:rPr>
                <w:b/>
                <w:sz w:val="20"/>
                <w:szCs w:val="20"/>
              </w:rPr>
              <w:t>Satiksmes ministrija</w:t>
            </w:r>
          </w:p>
          <w:p w14:paraId="27FED60A" w14:textId="77777777" w:rsidR="001F041A" w:rsidRPr="00BD72F8" w:rsidRDefault="001F041A" w:rsidP="001F041A">
            <w:pPr>
              <w:jc w:val="center"/>
              <w:rPr>
                <w:sz w:val="20"/>
                <w:szCs w:val="20"/>
              </w:rPr>
            </w:pPr>
            <w:r w:rsidRPr="00BD72F8">
              <w:rPr>
                <w:sz w:val="20"/>
                <w:szCs w:val="20"/>
              </w:rPr>
              <w:t>(14.02.2019. atzinums Nr.03-03/23)</w:t>
            </w:r>
          </w:p>
          <w:p w14:paraId="7666063C" w14:textId="77777777" w:rsidR="001F041A" w:rsidRPr="00BD72F8" w:rsidRDefault="001F041A" w:rsidP="001F041A">
            <w:pPr>
              <w:tabs>
                <w:tab w:val="left" w:pos="993"/>
              </w:tabs>
              <w:jc w:val="both"/>
              <w:rPr>
                <w:sz w:val="20"/>
                <w:szCs w:val="20"/>
              </w:rPr>
            </w:pPr>
            <w:r w:rsidRPr="00BD72F8">
              <w:rPr>
                <w:sz w:val="20"/>
                <w:szCs w:val="20"/>
              </w:rPr>
              <w:t xml:space="preserve">Lūdzam precizēt Informatīvā ziņojuma 2.3.4.sadaļā “Autoceļu lietošanas nodevas samaksas kontrole ” (19.lpp.) noteikto </w:t>
            </w:r>
            <w:r w:rsidRPr="00121B41">
              <w:rPr>
                <w:sz w:val="20"/>
                <w:szCs w:val="20"/>
              </w:rPr>
              <w:t>pilotprojekta</w:t>
            </w:r>
            <w:r w:rsidRPr="00BD72F8">
              <w:rPr>
                <w:sz w:val="20"/>
                <w:szCs w:val="20"/>
              </w:rPr>
              <w:t xml:space="preserve"> mērķi un izteikt to šādā redakcijā:</w:t>
            </w:r>
          </w:p>
          <w:p w14:paraId="430A2C60" w14:textId="77777777" w:rsidR="001F041A" w:rsidRPr="00121B41" w:rsidRDefault="001F041A" w:rsidP="001F041A">
            <w:pPr>
              <w:tabs>
                <w:tab w:val="left" w:pos="993"/>
              </w:tabs>
              <w:ind w:firstLine="720"/>
              <w:jc w:val="both"/>
              <w:rPr>
                <w:b/>
                <w:sz w:val="20"/>
                <w:szCs w:val="20"/>
              </w:rPr>
            </w:pPr>
            <w:r w:rsidRPr="00BD72F8">
              <w:rPr>
                <w:sz w:val="20"/>
                <w:szCs w:val="20"/>
              </w:rPr>
              <w:t xml:space="preserve">„- stimulēt Latvijas valsts budžeta papildus ieņēmumus un potenciāli iekasējamās soda naudas, ieviešot </w:t>
            </w:r>
            <w:r w:rsidRPr="00121B41">
              <w:rPr>
                <w:b/>
                <w:sz w:val="20"/>
                <w:szCs w:val="20"/>
              </w:rPr>
              <w:t>autoceļu nodevas samaksas kontroles risinājumu.”.</w:t>
            </w:r>
          </w:p>
          <w:p w14:paraId="78552D06" w14:textId="77777777" w:rsidR="001F041A" w:rsidRDefault="001F041A" w:rsidP="001F041A">
            <w:pPr>
              <w:tabs>
                <w:tab w:val="left" w:pos="993"/>
              </w:tabs>
              <w:ind w:firstLine="720"/>
              <w:jc w:val="both"/>
              <w:rPr>
                <w:sz w:val="20"/>
                <w:szCs w:val="20"/>
              </w:rPr>
            </w:pPr>
            <w:r w:rsidRPr="00BD72F8">
              <w:rPr>
                <w:sz w:val="20"/>
                <w:szCs w:val="20"/>
              </w:rPr>
              <w:t>Lūdzam kā neatbilstošu informāciju no Informatīvā ziņojuma 2.3.4. sadaļas “Autoceļu lietošanas nodevas samaksas kontrole” svītrot 19.lapā priekšpēdējo rindkopu: „Papildus pilotprojektā piedāvāts risinājums tam, lai tiktu nodrošināti pilnīgi autoceļu lietošanas nodevas kontroles pasākumi visā Latvijas autoceļu tīklā. Tiek piedāvāts risinājums izvietot uz valsts autoceļiem 18 tehniskās ierīces autoceļu lietošanas nodevas samaksas kontrolei. Veicot šo ierīču izvietošanu, veikts iespējamo budžeta papildus ieņēmumu aprēķins, kurā secināts, ka šādā veidā iespējams no autoceļu lietošanas nodevu iegādes papildus iekasēt aptuveni 28 miljonus eiro.”.</w:t>
            </w:r>
          </w:p>
          <w:p w14:paraId="76AD2A53" w14:textId="77777777" w:rsidR="001F041A" w:rsidRPr="00BD72F8" w:rsidRDefault="001F041A" w:rsidP="001F041A">
            <w:pPr>
              <w:tabs>
                <w:tab w:val="left" w:pos="993"/>
              </w:tabs>
              <w:jc w:val="both"/>
              <w:rPr>
                <w:sz w:val="20"/>
                <w:szCs w:val="20"/>
              </w:rPr>
            </w:pPr>
            <w:r>
              <w:rPr>
                <w:sz w:val="20"/>
                <w:szCs w:val="20"/>
              </w:rPr>
              <w:t xml:space="preserve">       </w:t>
            </w:r>
            <w:r w:rsidRPr="00BD72F8">
              <w:rPr>
                <w:sz w:val="20"/>
                <w:szCs w:val="20"/>
              </w:rPr>
              <w:t xml:space="preserve">Lūdzam precizēt Informatīvā ziņojuma 2.3.4.sadaļas „Autoceļu lietošanas nodevas samaksas kontrole” 19. lapā priekšpēdējā rindkopā prognozēto finansiālo ietekmi un izteikt to šādā redakcijā: </w:t>
            </w:r>
          </w:p>
          <w:p w14:paraId="6C3DA8C3" w14:textId="77777777" w:rsidR="001F041A" w:rsidRPr="00BD72F8" w:rsidRDefault="001F041A" w:rsidP="001F041A">
            <w:pPr>
              <w:tabs>
                <w:tab w:val="left" w:pos="993"/>
              </w:tabs>
              <w:ind w:firstLine="720"/>
              <w:jc w:val="both"/>
              <w:rPr>
                <w:sz w:val="20"/>
                <w:szCs w:val="20"/>
              </w:rPr>
            </w:pPr>
            <w:r w:rsidRPr="00BD72F8">
              <w:rPr>
                <w:sz w:val="20"/>
                <w:szCs w:val="20"/>
              </w:rPr>
              <w:t>“Autoceļu lietošanas nodevas samaksas kontroles tehniskā risinājuma ieviešanas finansiālā ietekme prognozēta 4 miljonu eiro apmērā.”.</w:t>
            </w:r>
          </w:p>
          <w:p w14:paraId="14802F5D" w14:textId="77777777" w:rsidR="001F041A" w:rsidRPr="00BD72F8" w:rsidRDefault="001F041A" w:rsidP="001F041A">
            <w:pPr>
              <w:tabs>
                <w:tab w:val="left" w:pos="993"/>
              </w:tabs>
              <w:ind w:firstLine="720"/>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A5B344" w14:textId="77777777" w:rsidR="001F041A" w:rsidRDefault="001F041A" w:rsidP="001F041A">
            <w:pPr>
              <w:pStyle w:val="NormalWeb"/>
              <w:spacing w:before="0" w:beforeAutospacing="0" w:after="0" w:afterAutospacing="0"/>
              <w:ind w:firstLine="176"/>
              <w:jc w:val="center"/>
              <w:rPr>
                <w:rFonts w:ascii="Times New Roman" w:hAnsi="Times New Roman"/>
                <w:b/>
                <w:sz w:val="20"/>
                <w:szCs w:val="20"/>
              </w:rPr>
            </w:pPr>
          </w:p>
          <w:p w14:paraId="33DAFF30" w14:textId="77777777" w:rsidR="001F041A" w:rsidRPr="007843A1" w:rsidRDefault="001F041A" w:rsidP="001F041A">
            <w:pPr>
              <w:pStyle w:val="NormalWeb"/>
              <w:spacing w:before="0" w:beforeAutospacing="0" w:after="0" w:afterAutospacing="0"/>
              <w:ind w:firstLine="176"/>
              <w:rPr>
                <w:rFonts w:ascii="Times New Roman" w:hAnsi="Times New Roman"/>
                <w:sz w:val="22"/>
                <w:szCs w:val="22"/>
              </w:rPr>
            </w:pPr>
            <w:r>
              <w:rPr>
                <w:rFonts w:ascii="Times New Roman" w:hAnsi="Times New Roman"/>
                <w:b/>
                <w:sz w:val="20"/>
                <w:szCs w:val="20"/>
              </w:rPr>
              <w:t>Iebildumi ņemti vērā.</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7C92DA" w14:textId="77777777" w:rsidR="001F041A" w:rsidRPr="00350583" w:rsidRDefault="001F041A" w:rsidP="001F041A">
            <w:pPr>
              <w:tabs>
                <w:tab w:val="left" w:pos="993"/>
              </w:tabs>
              <w:jc w:val="both"/>
              <w:rPr>
                <w:sz w:val="20"/>
                <w:szCs w:val="20"/>
              </w:rPr>
            </w:pPr>
            <w:r w:rsidRPr="00350583">
              <w:rPr>
                <w:sz w:val="20"/>
                <w:szCs w:val="20"/>
              </w:rPr>
              <w:t xml:space="preserve">Precizēta </w:t>
            </w:r>
            <w:r>
              <w:rPr>
                <w:sz w:val="20"/>
                <w:szCs w:val="20"/>
              </w:rPr>
              <w:t>i</w:t>
            </w:r>
            <w:r w:rsidRPr="00BD72F8">
              <w:rPr>
                <w:sz w:val="20"/>
                <w:szCs w:val="20"/>
              </w:rPr>
              <w:t xml:space="preserve">nformatīvā ziņojuma </w:t>
            </w:r>
            <w:r w:rsidRPr="00350583">
              <w:rPr>
                <w:sz w:val="20"/>
                <w:szCs w:val="20"/>
              </w:rPr>
              <w:t>2.3.4. sadaļa</w:t>
            </w:r>
          </w:p>
        </w:tc>
      </w:tr>
      <w:tr w:rsidR="001F041A" w:rsidRPr="00A26DDD" w14:paraId="7FD2A555" w14:textId="77777777" w:rsidTr="006E668A">
        <w:tc>
          <w:tcPr>
            <w:tcW w:w="534" w:type="dxa"/>
            <w:tcBorders>
              <w:top w:val="single" w:sz="4" w:space="0" w:color="auto"/>
              <w:left w:val="single" w:sz="4" w:space="0" w:color="auto"/>
              <w:bottom w:val="single" w:sz="4" w:space="0" w:color="auto"/>
              <w:right w:val="single" w:sz="4" w:space="0" w:color="auto"/>
            </w:tcBorders>
            <w:shd w:val="clear" w:color="auto" w:fill="auto"/>
          </w:tcPr>
          <w:p w14:paraId="50B169A3" w14:textId="40226899" w:rsidR="001F041A" w:rsidRDefault="00B471AB" w:rsidP="001F041A">
            <w:pPr>
              <w:jc w:val="center"/>
              <w:rPr>
                <w:sz w:val="22"/>
                <w:szCs w:val="22"/>
              </w:rPr>
            </w:pPr>
            <w:r>
              <w:rPr>
                <w:sz w:val="22"/>
                <w:szCs w:val="22"/>
              </w:rPr>
              <w:lastRenderedPageBreak/>
              <w:t>34</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2E70C6" w14:textId="77777777" w:rsidR="001F041A" w:rsidRPr="007843A1" w:rsidRDefault="001F041A" w:rsidP="001F041A">
            <w:pPr>
              <w:rPr>
                <w:sz w:val="22"/>
                <w:szCs w:val="22"/>
              </w:rPr>
            </w:pPr>
            <w:r w:rsidRPr="00BD72F8">
              <w:rPr>
                <w:sz w:val="20"/>
                <w:szCs w:val="20"/>
              </w:rPr>
              <w:t>Informatīvajā ziņojum</w:t>
            </w:r>
            <w:r>
              <w:rPr>
                <w:sz w:val="20"/>
                <w:szCs w:val="20"/>
              </w:rPr>
              <w:t xml:space="preserve">a </w:t>
            </w:r>
            <w:r w:rsidRPr="00BD72F8">
              <w:rPr>
                <w:sz w:val="20"/>
                <w:szCs w:val="20"/>
              </w:rPr>
              <w:t>3.1.</w:t>
            </w:r>
            <w:r>
              <w:rPr>
                <w:sz w:val="20"/>
                <w:szCs w:val="20"/>
              </w:rPr>
              <w:t>un 3.2.</w:t>
            </w:r>
            <w:r w:rsidRPr="00BD72F8">
              <w:rPr>
                <w:sz w:val="20"/>
                <w:szCs w:val="20"/>
              </w:rPr>
              <w:t>sadaļ</w:t>
            </w:r>
            <w:r>
              <w:rPr>
                <w:sz w:val="20"/>
                <w:szCs w:val="20"/>
              </w:rPr>
              <w:t>a</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A93E9D" w14:textId="77777777" w:rsidR="001F041A" w:rsidRPr="00BD72F8" w:rsidRDefault="001F041A" w:rsidP="001F041A">
            <w:pPr>
              <w:jc w:val="center"/>
              <w:rPr>
                <w:b/>
                <w:sz w:val="20"/>
                <w:szCs w:val="20"/>
              </w:rPr>
            </w:pPr>
            <w:r w:rsidRPr="00BD72F8">
              <w:rPr>
                <w:b/>
                <w:sz w:val="20"/>
                <w:szCs w:val="20"/>
              </w:rPr>
              <w:t>Satiksmes ministrija</w:t>
            </w:r>
          </w:p>
          <w:p w14:paraId="50D3C8FA" w14:textId="77777777" w:rsidR="001F041A" w:rsidRPr="00BD72F8" w:rsidRDefault="001F041A" w:rsidP="001F041A">
            <w:pPr>
              <w:jc w:val="center"/>
              <w:rPr>
                <w:sz w:val="20"/>
                <w:szCs w:val="20"/>
              </w:rPr>
            </w:pPr>
            <w:r w:rsidRPr="00BD72F8">
              <w:rPr>
                <w:sz w:val="20"/>
                <w:szCs w:val="20"/>
              </w:rPr>
              <w:t>(14.02.2019. atzinums Nr.03-03/23)</w:t>
            </w:r>
          </w:p>
          <w:p w14:paraId="67D204A5" w14:textId="77777777" w:rsidR="001F041A" w:rsidRPr="00BD72F8" w:rsidRDefault="001F041A" w:rsidP="001F041A">
            <w:pPr>
              <w:tabs>
                <w:tab w:val="left" w:pos="709"/>
              </w:tabs>
              <w:jc w:val="both"/>
              <w:rPr>
                <w:sz w:val="20"/>
                <w:szCs w:val="20"/>
              </w:rPr>
            </w:pPr>
            <w:r w:rsidRPr="00BD72F8">
              <w:rPr>
                <w:sz w:val="20"/>
                <w:szCs w:val="20"/>
              </w:rPr>
              <w:t xml:space="preserve">Informatīvajā ziņojumā norādīts atšķirīgs </w:t>
            </w:r>
            <w:r w:rsidRPr="00B76447">
              <w:rPr>
                <w:b/>
                <w:sz w:val="20"/>
                <w:szCs w:val="20"/>
              </w:rPr>
              <w:t>fotoradaru darbības termiņš</w:t>
            </w:r>
            <w:r w:rsidRPr="00BD72F8">
              <w:rPr>
                <w:sz w:val="20"/>
                <w:szCs w:val="20"/>
              </w:rPr>
              <w:t xml:space="preserve">, proti, 3.1.sadaļā “Pašreizējās situācijas raksturojums, identificētās problēmas un risinājumi” (22.lpp. 3.rindkopa) tiek minēts 5 līdz 7 gadu darbības termiņš, savukārt Informatīvā ziņojuma 3.2.sadaļā “Iespējamie II posmā uzstādāmo fotoradaru iegādes un uzstādīšanas finansēšanas modeļi un avoti” (29.lpp. 1.rindkopa) tiek minēts 5 līdz 8 gadu darbības termiņš. </w:t>
            </w:r>
          </w:p>
          <w:p w14:paraId="72C063B3" w14:textId="77777777" w:rsidR="001F041A" w:rsidRDefault="001F041A" w:rsidP="001F041A">
            <w:pPr>
              <w:tabs>
                <w:tab w:val="left" w:pos="709"/>
              </w:tabs>
              <w:ind w:firstLine="720"/>
              <w:jc w:val="both"/>
              <w:rPr>
                <w:color w:val="000000"/>
                <w:sz w:val="20"/>
                <w:szCs w:val="20"/>
              </w:rPr>
            </w:pPr>
            <w:r w:rsidRPr="00BD72F8">
              <w:rPr>
                <w:sz w:val="20"/>
                <w:szCs w:val="20"/>
              </w:rPr>
              <w:t xml:space="preserve">Satiksmes ministrija vērš uzmanību, ka Informatīvajā ziņojumā nav korekti norādīt iespēju pagarināt fotoradaru darbības termiņu. Ņemot vērā, ka fotoradaru darbību nodrošina komersanti uz publisko iepirkumu līgumu pamata, savukārt publisko iepirkumu līgumu pagarināšanā ir stingri reglamentēta, frāze “CSDD fotoradaru darbības termiņš varētu tikt pagarināts” var tikt interpretēta, ka ir iespējams publisko iepirkumu līgumu pagarinājums. </w:t>
            </w:r>
            <w:r w:rsidRPr="00BD72F8">
              <w:rPr>
                <w:color w:val="000000"/>
                <w:sz w:val="20"/>
                <w:szCs w:val="20"/>
              </w:rPr>
              <w:t xml:space="preserve">Ņemot vērā minēto, lūdzam </w:t>
            </w:r>
            <w:r w:rsidRPr="00B76447">
              <w:rPr>
                <w:b/>
                <w:color w:val="000000"/>
                <w:sz w:val="20"/>
                <w:szCs w:val="20"/>
              </w:rPr>
              <w:t>precizēt Informatīvo ziņojumu, norādot, ka var tikt izskatīta iespēja turpināt fotoradaru darbību ilgākā periodā kā šobrīd noteiktais 5 gadu termiņš</w:t>
            </w:r>
            <w:r w:rsidRPr="00BD72F8">
              <w:rPr>
                <w:color w:val="000000"/>
                <w:sz w:val="20"/>
                <w:szCs w:val="20"/>
              </w:rPr>
              <w:t>.</w:t>
            </w:r>
          </w:p>
          <w:p w14:paraId="1D5EBD13" w14:textId="28D79D75" w:rsidR="001F041A" w:rsidRPr="00BD72F8" w:rsidRDefault="001F041A" w:rsidP="001F041A">
            <w:pPr>
              <w:tabs>
                <w:tab w:val="left" w:pos="709"/>
              </w:tabs>
              <w:ind w:firstLine="720"/>
              <w:jc w:val="both"/>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883F6B"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Panākta vienošanās 19.03.2019.  starpministriju (starpinstitūciju) sanāksmē.</w:t>
            </w:r>
          </w:p>
          <w:p w14:paraId="43F5CA95"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47698062" w14:textId="77777777" w:rsidR="001F041A" w:rsidRPr="007843A1" w:rsidRDefault="001F041A" w:rsidP="001F041A">
            <w:pPr>
              <w:pStyle w:val="NormalWeb"/>
              <w:spacing w:before="0" w:beforeAutospacing="0" w:after="0" w:afterAutospacing="0"/>
              <w:ind w:firstLine="176"/>
              <w:jc w:val="both"/>
              <w:rPr>
                <w:rFonts w:ascii="Times New Roman" w:hAnsi="Times New Roman"/>
                <w:sz w:val="22"/>
                <w:szCs w:val="22"/>
              </w:rPr>
            </w:pPr>
            <w:r w:rsidRPr="00466626">
              <w:rPr>
                <w:rFonts w:ascii="Times New Roman" w:hAnsi="Times New Roman"/>
                <w:sz w:val="20"/>
                <w:szCs w:val="20"/>
              </w:rPr>
              <w:t xml:space="preserve">Vēršam uzmanību, ka 3.1.sadaļā “Pašreizējās situācijas raksturojums, identificētās problēmas un risinājumi” (22.lpp. 3.rindkopa) ir citāts no ar </w:t>
            </w:r>
            <w:hyperlink r:id="rId8" w:tgtFrame="_blank" w:history="1">
              <w:r w:rsidRPr="00466626">
                <w:rPr>
                  <w:rFonts w:ascii="Times New Roman" w:hAnsi="Times New Roman"/>
                  <w:sz w:val="20"/>
                  <w:szCs w:val="20"/>
                </w:rPr>
                <w:t>MK rīkojumu Nr.678</w:t>
              </w:r>
            </w:hyperlink>
            <w:r w:rsidRPr="00466626">
              <w:rPr>
                <w:rFonts w:ascii="Times New Roman" w:hAnsi="Times New Roman"/>
                <w:sz w:val="20"/>
                <w:szCs w:val="20"/>
              </w:rPr>
              <w:t> atbalstītās koncepcijas teksta. Jau izstrādājot koncepciju, tika prognozēts ka I posma radaru darbība varētu pārsniegt 5 gadus</w:t>
            </w:r>
            <w: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6F09AB" w14:textId="77777777" w:rsidR="001F041A" w:rsidRPr="00844AE7" w:rsidRDefault="001F041A" w:rsidP="001F041A">
            <w:pPr>
              <w:jc w:val="both"/>
              <w:rPr>
                <w:sz w:val="22"/>
                <w:szCs w:val="22"/>
              </w:rPr>
            </w:pPr>
          </w:p>
        </w:tc>
      </w:tr>
      <w:tr w:rsidR="001F041A" w:rsidRPr="00A26DDD" w14:paraId="1224735A"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F1DA145" w14:textId="21CAE464" w:rsidR="001F041A" w:rsidRDefault="00B471AB" w:rsidP="001F041A">
            <w:pPr>
              <w:jc w:val="center"/>
              <w:rPr>
                <w:sz w:val="22"/>
                <w:szCs w:val="22"/>
              </w:rPr>
            </w:pPr>
            <w:r>
              <w:rPr>
                <w:sz w:val="22"/>
                <w:szCs w:val="22"/>
              </w:rPr>
              <w:t>35</w:t>
            </w:r>
            <w:r w:rsidR="001F041A">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C0A36A" w14:textId="77777777" w:rsidR="001F041A" w:rsidRDefault="001F041A" w:rsidP="001F041A">
            <w:pPr>
              <w:rPr>
                <w:sz w:val="20"/>
                <w:szCs w:val="20"/>
              </w:rPr>
            </w:pPr>
            <w:r>
              <w:rPr>
                <w:sz w:val="20"/>
                <w:szCs w:val="20"/>
              </w:rPr>
              <w:t xml:space="preserve">√ </w:t>
            </w:r>
            <w:r w:rsidRPr="00BD72F8">
              <w:rPr>
                <w:sz w:val="20"/>
                <w:szCs w:val="20"/>
              </w:rPr>
              <w:t>Informatīvā ziņojuma 3.1. sadaļ</w:t>
            </w:r>
            <w:r>
              <w:rPr>
                <w:sz w:val="20"/>
                <w:szCs w:val="20"/>
              </w:rPr>
              <w:t>a.</w:t>
            </w:r>
          </w:p>
          <w:p w14:paraId="7F4A010E" w14:textId="677036CE" w:rsidR="001F041A" w:rsidRPr="007843A1" w:rsidRDefault="001F041A" w:rsidP="001F041A">
            <w:pPr>
              <w:rPr>
                <w:sz w:val="22"/>
                <w:szCs w:val="22"/>
              </w:rPr>
            </w:pPr>
            <w:r>
              <w:rPr>
                <w:sz w:val="20"/>
                <w:szCs w:val="20"/>
              </w:rPr>
              <w:t xml:space="preserve">√ </w:t>
            </w:r>
            <w:r w:rsidR="00901A10">
              <w:rPr>
                <w:sz w:val="20"/>
                <w:szCs w:val="20"/>
              </w:rPr>
              <w:t>Protokollēmuma</w:t>
            </w:r>
            <w:r>
              <w:rPr>
                <w:sz w:val="20"/>
                <w:szCs w:val="20"/>
              </w:rPr>
              <w:t xml:space="preserve"> projekts.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177756" w14:textId="77777777" w:rsidR="001F041A" w:rsidRPr="00BD72F8" w:rsidRDefault="001F041A" w:rsidP="001F041A">
            <w:pPr>
              <w:jc w:val="center"/>
              <w:rPr>
                <w:b/>
                <w:sz w:val="20"/>
                <w:szCs w:val="20"/>
              </w:rPr>
            </w:pPr>
            <w:r w:rsidRPr="00BD72F8">
              <w:rPr>
                <w:b/>
                <w:sz w:val="20"/>
                <w:szCs w:val="20"/>
              </w:rPr>
              <w:t>Satiksmes ministrija</w:t>
            </w:r>
          </w:p>
          <w:p w14:paraId="004A04D3" w14:textId="77777777" w:rsidR="001F041A" w:rsidRPr="00BD72F8" w:rsidRDefault="001F041A" w:rsidP="001F041A">
            <w:pPr>
              <w:jc w:val="center"/>
              <w:rPr>
                <w:sz w:val="20"/>
                <w:szCs w:val="20"/>
              </w:rPr>
            </w:pPr>
            <w:r w:rsidRPr="00BD72F8">
              <w:rPr>
                <w:sz w:val="20"/>
                <w:szCs w:val="20"/>
              </w:rPr>
              <w:t>(14.02.2019. atzinums Nr.03-03/23)</w:t>
            </w:r>
          </w:p>
          <w:p w14:paraId="32A7B951" w14:textId="77777777" w:rsidR="001F041A" w:rsidRPr="00BD72F8" w:rsidRDefault="001F041A" w:rsidP="001F041A">
            <w:pPr>
              <w:tabs>
                <w:tab w:val="left" w:pos="993"/>
                <w:tab w:val="left" w:pos="1134"/>
              </w:tabs>
              <w:ind w:firstLine="720"/>
              <w:jc w:val="both"/>
              <w:rPr>
                <w:b/>
                <w:sz w:val="20"/>
                <w:szCs w:val="20"/>
              </w:rPr>
            </w:pPr>
            <w:r w:rsidRPr="00BD72F8">
              <w:rPr>
                <w:sz w:val="20"/>
                <w:szCs w:val="20"/>
              </w:rPr>
              <w:t xml:space="preserve">Informatīvā ziņojuma 3.1. sadaļā “Pašreizējās situācijas raksturojums, identificētās problēmas un risinājumi” (piemēram, 26.lpp 3.rindkopa, 27.lpp. pēdējā rindkopa un 28.lpp. 1.rindkopa) konstatēts, ka, realizējot deleģēto uzdevumu attiecība uz fotoradariem, </w:t>
            </w:r>
            <w:r w:rsidRPr="003C3BEA">
              <w:rPr>
                <w:b/>
                <w:sz w:val="20"/>
                <w:szCs w:val="20"/>
              </w:rPr>
              <w:t>atsevišķi izdevumi bija lielāki par prognozētajiem, kas laikposmā no 2015.-2017.gadam ir radījusi CSDD būtiskas papildu izmaksas</w:t>
            </w:r>
            <w:r w:rsidRPr="00BD72F8">
              <w:rPr>
                <w:sz w:val="20"/>
                <w:szCs w:val="20"/>
              </w:rPr>
              <w:t xml:space="preserve">. Vienlaikus Ministru kabineta sēdes protokollēmumā, Informatīvajā ziņojumā un tā risinājumu modeļos nav ietverti risinājumi minēto CSDD zaudējumu segšanai vai kompensēšanai. </w:t>
            </w:r>
            <w:r w:rsidRPr="00BD72F8">
              <w:rPr>
                <w:color w:val="000000"/>
                <w:sz w:val="20"/>
                <w:szCs w:val="20"/>
              </w:rPr>
              <w:t xml:space="preserve">Ievērojot minēto, lūdzam </w:t>
            </w:r>
            <w:r w:rsidRPr="003C3BEA">
              <w:rPr>
                <w:b/>
                <w:color w:val="000000"/>
                <w:sz w:val="20"/>
                <w:szCs w:val="20"/>
              </w:rPr>
              <w:t>papildināt Ministru kabineta sēdes protokollēmumu un Informatīvo ziņojumu ar risinājumiem CSDD papildu izmaksu faktiskai kompensēšanai.</w:t>
            </w:r>
            <w:r w:rsidRPr="00BD72F8">
              <w:rPr>
                <w:color w:val="000000"/>
                <w:sz w:val="20"/>
                <w:szCs w:val="20"/>
              </w:rPr>
              <w:t xml:space="preserve"> Papildus lūdzam papildināt Ministru kabineta </w:t>
            </w:r>
            <w:r w:rsidRPr="003C3BEA">
              <w:rPr>
                <w:b/>
                <w:color w:val="000000"/>
                <w:sz w:val="20"/>
                <w:szCs w:val="20"/>
              </w:rPr>
              <w:t>sēdes protokollēmumu ar priekšlikumu mainīt deleģētā valsts pārvaldes uzdevuma samaksas kārtību no “vienības cenas” uz “izmaksu atlīdzības” modeli</w:t>
            </w:r>
            <w:r w:rsidRPr="00BD72F8">
              <w:rPr>
                <w:color w:val="000000"/>
                <w:sz w:val="20"/>
                <w:szCs w:val="20"/>
              </w:rPr>
              <w:t xml:space="preserve"> (skat. Informatīvā ziņojuma 3.1. sadaļas  “Pašreizējās situācijas raksturojums, identificētās problēmas un risinājumi” 26.lpp 1. un 2. rindkopu).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7D27C6"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476BCCDE"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Iebildums ņemts vērā.</w:t>
            </w:r>
          </w:p>
          <w:p w14:paraId="0D9F36BF"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3003E58D" w14:textId="77777777" w:rsidR="001F041A" w:rsidRPr="007843A1" w:rsidRDefault="001F041A" w:rsidP="001F041A">
            <w:pPr>
              <w:jc w:val="both"/>
              <w:rPr>
                <w:sz w:val="22"/>
                <w:szCs w:val="22"/>
              </w:rPr>
            </w:pPr>
            <w:r>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8A137D" w14:textId="77777777" w:rsidR="001F041A" w:rsidRDefault="001F041A" w:rsidP="001F041A">
            <w:pPr>
              <w:jc w:val="both"/>
              <w:rPr>
                <w:sz w:val="20"/>
                <w:szCs w:val="20"/>
              </w:rPr>
            </w:pPr>
            <w:r>
              <w:rPr>
                <w:sz w:val="20"/>
                <w:szCs w:val="20"/>
              </w:rPr>
              <w:t xml:space="preserve">√ </w:t>
            </w:r>
            <w:r w:rsidRPr="005E5912">
              <w:rPr>
                <w:sz w:val="20"/>
                <w:szCs w:val="20"/>
              </w:rPr>
              <w:t>Precizēta</w:t>
            </w:r>
            <w:r>
              <w:rPr>
                <w:sz w:val="20"/>
                <w:szCs w:val="20"/>
              </w:rPr>
              <w:t xml:space="preserve"> i</w:t>
            </w:r>
            <w:r w:rsidRPr="00BD72F8">
              <w:rPr>
                <w:sz w:val="20"/>
                <w:szCs w:val="20"/>
              </w:rPr>
              <w:t>nformatīvā ziņojuma 3.1. sadaļ</w:t>
            </w:r>
            <w:r>
              <w:rPr>
                <w:sz w:val="20"/>
                <w:szCs w:val="20"/>
              </w:rPr>
              <w:t xml:space="preserve">a </w:t>
            </w:r>
          </w:p>
          <w:p w14:paraId="6C1A5DE7" w14:textId="76A45653" w:rsidR="001F041A" w:rsidRDefault="00901A10" w:rsidP="001F041A">
            <w:pPr>
              <w:jc w:val="both"/>
              <w:rPr>
                <w:sz w:val="20"/>
                <w:szCs w:val="20"/>
              </w:rPr>
            </w:pPr>
            <w:r>
              <w:rPr>
                <w:sz w:val="20"/>
                <w:szCs w:val="20"/>
              </w:rPr>
              <w:t>√ Protokollēmums</w:t>
            </w:r>
            <w:proofErr w:type="gramStart"/>
            <w:r w:rsidR="001F041A">
              <w:rPr>
                <w:sz w:val="20"/>
                <w:szCs w:val="20"/>
              </w:rPr>
              <w:t xml:space="preserve">  </w:t>
            </w:r>
            <w:proofErr w:type="gramEnd"/>
            <w:r w:rsidR="001F041A">
              <w:rPr>
                <w:sz w:val="20"/>
                <w:szCs w:val="20"/>
              </w:rPr>
              <w:t>papildināts ar jaunu punktu:</w:t>
            </w:r>
          </w:p>
          <w:p w14:paraId="61C58DD4" w14:textId="6F058157" w:rsidR="00901A10" w:rsidRPr="00901A10" w:rsidRDefault="00901A10" w:rsidP="00901A10">
            <w:pPr>
              <w:jc w:val="both"/>
              <w:rPr>
                <w:rStyle w:val="spelle"/>
                <w:sz w:val="20"/>
                <w:szCs w:val="20"/>
              </w:rPr>
            </w:pPr>
            <w:r w:rsidRPr="00901A10">
              <w:rPr>
                <w:rStyle w:val="spelle"/>
                <w:sz w:val="20"/>
                <w:szCs w:val="20"/>
              </w:rPr>
              <w:t>“5. Noteikt, ka Ceļu satiksmes drošības direkcijas</w:t>
            </w:r>
            <w:r w:rsidR="008F0F88">
              <w:rPr>
                <w:rStyle w:val="spelle"/>
                <w:sz w:val="20"/>
                <w:szCs w:val="20"/>
              </w:rPr>
              <w:t xml:space="preserve"> faktiskās</w:t>
            </w:r>
            <w:r w:rsidRPr="00901A10">
              <w:rPr>
                <w:rStyle w:val="spelle"/>
                <w:sz w:val="20"/>
                <w:szCs w:val="20"/>
              </w:rPr>
              <w:t xml:space="preserve"> izmaksas</w:t>
            </w:r>
            <w:r w:rsidR="008F0F88">
              <w:rPr>
                <w:rStyle w:val="spelle"/>
                <w:sz w:val="20"/>
                <w:szCs w:val="20"/>
              </w:rPr>
              <w:t>, kas radušās valsts pārvaldes deleģētā uzdevuma izpildes procesā,</w:t>
            </w:r>
            <w:proofErr w:type="gramStart"/>
            <w:r w:rsidRPr="00901A10">
              <w:rPr>
                <w:rStyle w:val="spelle"/>
                <w:sz w:val="20"/>
                <w:szCs w:val="20"/>
              </w:rPr>
              <w:t xml:space="preserve">  </w:t>
            </w:r>
            <w:proofErr w:type="gramEnd"/>
            <w:r w:rsidRPr="00901A10">
              <w:rPr>
                <w:rStyle w:val="spelle"/>
                <w:sz w:val="20"/>
                <w:szCs w:val="20"/>
              </w:rPr>
              <w:t xml:space="preserve">165 340 </w:t>
            </w:r>
            <w:r w:rsidRPr="00901A10">
              <w:rPr>
                <w:rStyle w:val="spelle"/>
                <w:i/>
                <w:sz w:val="20"/>
                <w:szCs w:val="20"/>
              </w:rPr>
              <w:t xml:space="preserve">euro </w:t>
            </w:r>
            <w:r w:rsidRPr="00901A10">
              <w:rPr>
                <w:rStyle w:val="spelle"/>
                <w:sz w:val="20"/>
                <w:szCs w:val="20"/>
              </w:rPr>
              <w:t xml:space="preserve">apmērā par laikposmu no 2015. gada līdz 2017.gadam, kas pārsniedz no budžeta apakšprogrammas 06.01.00 “Valsts policija” piešķirtā valsts budžeta finansējuma apmēru minētajā laikposmā, kompensējamas  no </w:t>
            </w:r>
            <w:r w:rsidR="008F0F88">
              <w:rPr>
                <w:rStyle w:val="spelle"/>
                <w:sz w:val="20"/>
                <w:szCs w:val="20"/>
              </w:rPr>
              <w:t xml:space="preserve">Ceļu satiksmes drošības direkcijai </w:t>
            </w:r>
            <w:r w:rsidRPr="00901A10">
              <w:rPr>
                <w:rStyle w:val="spelle"/>
                <w:sz w:val="20"/>
                <w:szCs w:val="20"/>
              </w:rPr>
              <w:t xml:space="preserve">2018.gadā </w:t>
            </w:r>
            <w:r w:rsidRPr="00901A10">
              <w:rPr>
                <w:rStyle w:val="spelle"/>
                <w:sz w:val="20"/>
                <w:szCs w:val="20"/>
              </w:rPr>
              <w:lastRenderedPageBreak/>
              <w:t>piešķirtā valsts budžeta finansējuma, kas pārsniedz 2018.gada faktiskos izdevumus (</w:t>
            </w:r>
            <w:r w:rsidRPr="00901A10">
              <w:rPr>
                <w:sz w:val="20"/>
                <w:szCs w:val="20"/>
              </w:rPr>
              <w:t xml:space="preserve">159 747 </w:t>
            </w:r>
            <w:r w:rsidRPr="00901A10">
              <w:rPr>
                <w:i/>
                <w:sz w:val="20"/>
                <w:szCs w:val="20"/>
              </w:rPr>
              <w:t>euro</w:t>
            </w:r>
            <w:r w:rsidRPr="00901A10">
              <w:rPr>
                <w:sz w:val="20"/>
                <w:szCs w:val="20"/>
              </w:rPr>
              <w:t xml:space="preserve">) un 2019.gada  valsts budžeta finansējuma (5593 </w:t>
            </w:r>
            <w:r w:rsidRPr="00901A10">
              <w:rPr>
                <w:i/>
                <w:sz w:val="20"/>
                <w:szCs w:val="20"/>
              </w:rPr>
              <w:t>euro</w:t>
            </w:r>
            <w:r w:rsidRPr="00901A10">
              <w:rPr>
                <w:sz w:val="20"/>
                <w:szCs w:val="20"/>
              </w:rPr>
              <w:t>).</w:t>
            </w:r>
            <w:r w:rsidRPr="00901A10">
              <w:rPr>
                <w:rStyle w:val="spelle"/>
                <w:sz w:val="20"/>
                <w:szCs w:val="20"/>
              </w:rPr>
              <w:t xml:space="preserve"> </w:t>
            </w:r>
          </w:p>
          <w:p w14:paraId="5A94EE3D" w14:textId="77777777" w:rsidR="008469BB" w:rsidRDefault="008469BB" w:rsidP="001F041A">
            <w:pPr>
              <w:jc w:val="both"/>
              <w:rPr>
                <w:sz w:val="20"/>
                <w:szCs w:val="20"/>
              </w:rPr>
            </w:pPr>
          </w:p>
          <w:p w14:paraId="1E848F6D" w14:textId="77777777" w:rsidR="008469BB" w:rsidRDefault="008469BB" w:rsidP="001F041A">
            <w:pPr>
              <w:jc w:val="both"/>
              <w:rPr>
                <w:sz w:val="20"/>
                <w:szCs w:val="20"/>
              </w:rPr>
            </w:pPr>
          </w:p>
          <w:p w14:paraId="42B5D57B" w14:textId="0429F144" w:rsidR="001F041A" w:rsidRPr="009C6E98" w:rsidRDefault="001F041A" w:rsidP="001F041A">
            <w:pPr>
              <w:jc w:val="both"/>
              <w:rPr>
                <w:sz w:val="20"/>
                <w:szCs w:val="20"/>
              </w:rPr>
            </w:pPr>
            <w:r w:rsidRPr="00047F93">
              <w:rPr>
                <w:sz w:val="20"/>
                <w:szCs w:val="20"/>
              </w:rPr>
              <w:t>√ Precizēts</w:t>
            </w:r>
            <w:r>
              <w:rPr>
                <w:rStyle w:val="spelle"/>
                <w:rFonts w:eastAsia="Calibri"/>
                <w:sz w:val="28"/>
                <w:szCs w:val="22"/>
                <w:lang w:eastAsia="en-US"/>
              </w:rPr>
              <w:t xml:space="preserve"> </w:t>
            </w:r>
            <w:r w:rsidRPr="00047F93">
              <w:rPr>
                <w:sz w:val="20"/>
                <w:szCs w:val="20"/>
              </w:rPr>
              <w:t>protokollēmum</w:t>
            </w:r>
            <w:r w:rsidR="00901A10">
              <w:rPr>
                <w:sz w:val="20"/>
                <w:szCs w:val="20"/>
              </w:rPr>
              <w:t>a</w:t>
            </w:r>
            <w:proofErr w:type="gramStart"/>
            <w:r w:rsidR="00901A10">
              <w:rPr>
                <w:sz w:val="20"/>
                <w:szCs w:val="20"/>
              </w:rPr>
              <w:t xml:space="preserve">  </w:t>
            </w:r>
            <w:proofErr w:type="gramEnd"/>
            <w:r w:rsidR="00901A10">
              <w:rPr>
                <w:sz w:val="20"/>
                <w:szCs w:val="20"/>
              </w:rPr>
              <w:t>6</w:t>
            </w:r>
            <w:r>
              <w:rPr>
                <w:sz w:val="20"/>
                <w:szCs w:val="20"/>
              </w:rPr>
              <w:t>.punkts:</w:t>
            </w:r>
            <w:r w:rsidRPr="00047F93">
              <w:rPr>
                <w:sz w:val="20"/>
                <w:szCs w:val="20"/>
              </w:rPr>
              <w:t xml:space="preserve"> </w:t>
            </w:r>
          </w:p>
          <w:p w14:paraId="42EFA952" w14:textId="5F481CA9" w:rsidR="00901A10" w:rsidRPr="00901A10" w:rsidRDefault="001F041A" w:rsidP="00901A10">
            <w:pPr>
              <w:jc w:val="both"/>
              <w:rPr>
                <w:rStyle w:val="spelle"/>
                <w:sz w:val="20"/>
                <w:szCs w:val="20"/>
              </w:rPr>
            </w:pPr>
            <w:r w:rsidRPr="00901A10">
              <w:rPr>
                <w:sz w:val="20"/>
                <w:szCs w:val="20"/>
              </w:rPr>
              <w:t xml:space="preserve"> </w:t>
            </w:r>
            <w:r w:rsidRPr="00901A10">
              <w:rPr>
                <w:rStyle w:val="spelle"/>
                <w:sz w:val="20"/>
                <w:szCs w:val="20"/>
              </w:rPr>
              <w:t xml:space="preserve">    </w:t>
            </w:r>
            <w:r w:rsidR="00901A10">
              <w:rPr>
                <w:rStyle w:val="spelle"/>
                <w:sz w:val="20"/>
                <w:szCs w:val="20"/>
              </w:rPr>
              <w:t>“</w:t>
            </w:r>
            <w:r w:rsidR="00901A10" w:rsidRPr="00901A10">
              <w:rPr>
                <w:rStyle w:val="spelle"/>
                <w:sz w:val="20"/>
                <w:szCs w:val="20"/>
              </w:rPr>
              <w:t>6. Lai pilnveidotu samaksas kārtību</w:t>
            </w:r>
            <w:r w:rsidR="00043D41">
              <w:rPr>
                <w:rStyle w:val="spelle"/>
                <w:sz w:val="20"/>
                <w:szCs w:val="20"/>
              </w:rPr>
              <w:t xml:space="preserve"> par šī valsts pārvaldes deleģētā uzdevuma izpildi</w:t>
            </w:r>
            <w:r w:rsidR="00901A10" w:rsidRPr="00901A10">
              <w:rPr>
                <w:rStyle w:val="spelle"/>
                <w:sz w:val="20"/>
                <w:szCs w:val="20"/>
              </w:rPr>
              <w:t xml:space="preserve">, Iekšlietu ministrijai līdz </w:t>
            </w:r>
            <w:proofErr w:type="gramStart"/>
            <w:r w:rsidR="00901A10" w:rsidRPr="00901A10">
              <w:rPr>
                <w:rStyle w:val="spelle"/>
                <w:sz w:val="20"/>
                <w:szCs w:val="20"/>
              </w:rPr>
              <w:t>2019.gada</w:t>
            </w:r>
            <w:proofErr w:type="gramEnd"/>
            <w:r w:rsidR="00901A10" w:rsidRPr="00901A10">
              <w:rPr>
                <w:rStyle w:val="spelle"/>
                <w:sz w:val="20"/>
                <w:szCs w:val="20"/>
              </w:rPr>
              <w:t xml:space="preserve"> 1.oktobrim sagatavot un iekšlietu ministram normatīvajos aktos noteiktā kārtībā iesniegt Ministru kabinetā noteikumu projektu par grozījumiem Ministru kabineta 2018. gada 20. marta noteikumos Nr. 170 “Samaksas noteikumi valsts akciju sabiedrībai “Ceļu satiksmes drošības direkcija” par deleģēto valsts pārvaldes uzdevumu izpildi”, nosakot, ka no Valsts policijai piešķirtajiem valsts budžeta līdzekļiem </w:t>
            </w:r>
            <w:r w:rsidR="00043D41" w:rsidRPr="00901A10">
              <w:rPr>
                <w:rStyle w:val="spelle"/>
                <w:sz w:val="20"/>
                <w:szCs w:val="20"/>
              </w:rPr>
              <w:t xml:space="preserve"> Ceļu satiksmes drošības direkcijai </w:t>
            </w:r>
            <w:r w:rsidR="00901A10" w:rsidRPr="00901A10">
              <w:rPr>
                <w:rStyle w:val="spelle"/>
                <w:sz w:val="20"/>
                <w:szCs w:val="20"/>
              </w:rPr>
              <w:t xml:space="preserve"> tiek segtas ar fotoradaru uzturēšanu un darbības nodrošināšanu saistītās faktiskās izmaksas attiecīgajam </w:t>
            </w:r>
            <w:r w:rsidR="00901A10" w:rsidRPr="00901A10">
              <w:rPr>
                <w:rStyle w:val="spelle"/>
                <w:sz w:val="20"/>
                <w:szCs w:val="20"/>
              </w:rPr>
              <w:lastRenderedPageBreak/>
              <w:t xml:space="preserve">saimnieciskajam gadam šim mērķim piešķirto valsts budžeta līdzekļu ietvaros.”. </w:t>
            </w:r>
          </w:p>
          <w:p w14:paraId="23C33066" w14:textId="77777777" w:rsidR="001F041A" w:rsidRPr="00844AE7" w:rsidRDefault="001F041A" w:rsidP="001F041A">
            <w:pPr>
              <w:jc w:val="both"/>
              <w:rPr>
                <w:sz w:val="22"/>
                <w:szCs w:val="22"/>
              </w:rPr>
            </w:pPr>
          </w:p>
        </w:tc>
      </w:tr>
      <w:tr w:rsidR="001F041A" w:rsidRPr="00A26DDD" w14:paraId="13667816" w14:textId="77777777" w:rsidTr="006E668A">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B6A0350" w14:textId="02B75AEA" w:rsidR="001F041A" w:rsidRDefault="00A7766F" w:rsidP="00A7766F">
            <w:pPr>
              <w:jc w:val="center"/>
              <w:rPr>
                <w:sz w:val="22"/>
                <w:szCs w:val="22"/>
              </w:rPr>
            </w:pPr>
            <w:r>
              <w:rPr>
                <w:sz w:val="22"/>
                <w:szCs w:val="22"/>
              </w:rPr>
              <w:lastRenderedPageBreak/>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DCFB4" w14:textId="77777777" w:rsidR="001F041A" w:rsidRPr="007843A1" w:rsidRDefault="001F041A" w:rsidP="001F041A">
            <w:pPr>
              <w:rPr>
                <w:sz w:val="22"/>
                <w:szCs w:val="22"/>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E61CB6" w14:textId="77777777" w:rsidR="001F041A" w:rsidRPr="00BD72F8" w:rsidRDefault="001F041A" w:rsidP="001F041A">
            <w:pPr>
              <w:jc w:val="center"/>
              <w:rPr>
                <w:b/>
                <w:sz w:val="20"/>
                <w:szCs w:val="20"/>
              </w:rPr>
            </w:pPr>
            <w:r w:rsidRPr="00BD72F8">
              <w:rPr>
                <w:b/>
                <w:sz w:val="20"/>
                <w:szCs w:val="20"/>
              </w:rPr>
              <w:t>Satiksmes ministrija</w:t>
            </w:r>
          </w:p>
          <w:p w14:paraId="07E83050" w14:textId="77777777" w:rsidR="001F041A" w:rsidRPr="00BD72F8" w:rsidRDefault="001F041A" w:rsidP="001F041A">
            <w:pPr>
              <w:jc w:val="center"/>
              <w:rPr>
                <w:sz w:val="20"/>
                <w:szCs w:val="20"/>
              </w:rPr>
            </w:pPr>
            <w:r w:rsidRPr="00BD72F8">
              <w:rPr>
                <w:sz w:val="20"/>
                <w:szCs w:val="20"/>
              </w:rPr>
              <w:t>(14.02.2019. atzinums Nr.03-03/23)</w:t>
            </w:r>
          </w:p>
          <w:p w14:paraId="71921765" w14:textId="77777777" w:rsidR="001F041A" w:rsidRPr="00BD72F8" w:rsidRDefault="001F041A" w:rsidP="001F041A">
            <w:pPr>
              <w:tabs>
                <w:tab w:val="left" w:pos="1134"/>
              </w:tabs>
              <w:ind w:firstLine="720"/>
              <w:jc w:val="both"/>
              <w:rPr>
                <w:sz w:val="20"/>
                <w:szCs w:val="20"/>
              </w:rPr>
            </w:pPr>
            <w:r w:rsidRPr="00BD72F8">
              <w:rPr>
                <w:sz w:val="20"/>
                <w:szCs w:val="20"/>
              </w:rPr>
              <w:t>Lūdzam papildināt Ministru kabineta sēdes protokollēmuma projektu ar jaunu punktu šādā redakcijā:</w:t>
            </w:r>
          </w:p>
          <w:p w14:paraId="0C986F96" w14:textId="77777777" w:rsidR="001F041A" w:rsidRPr="00BD72F8" w:rsidRDefault="001F041A" w:rsidP="001F041A">
            <w:pPr>
              <w:ind w:firstLine="720"/>
              <w:jc w:val="both"/>
              <w:rPr>
                <w:sz w:val="20"/>
                <w:szCs w:val="20"/>
              </w:rPr>
            </w:pPr>
            <w:r w:rsidRPr="00BD72F8">
              <w:rPr>
                <w:sz w:val="20"/>
                <w:szCs w:val="20"/>
              </w:rPr>
              <w:t>„Lai īstenotu informatīvā ziņojuma par tehnisko līdzekļu (fotoradaru) turpmākās darbības nodrošināšanu (atjaunošanu) un tās finansēšanas avotiem 2.3.4. sadaļā „Autoceļu lietošanas nodevas samaksas kontrole” minētos priekšlikumus par autoceļu lietošanas nodevas samaksas kontroli, Satiksmes ministrijai sagatavot un normatīvajos aktos noteiktā kārtībā iesniegt nepieciešamos tiesību aktu projektus, pievienojot tos likumprojektam “Par valsts budžetu 2019. gadam””.</w:t>
            </w:r>
          </w:p>
          <w:p w14:paraId="4EFD8490" w14:textId="77777777" w:rsidR="001F041A" w:rsidRPr="00BD72F8" w:rsidRDefault="001F041A" w:rsidP="001F041A">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D3758E"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pārrunāts 19.03.2019. starpministriju (starpinstitūciju) sanāksmē.</w:t>
            </w:r>
          </w:p>
          <w:p w14:paraId="4151C258"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r>
              <w:rPr>
                <w:rFonts w:ascii="Times New Roman" w:hAnsi="Times New Roman"/>
                <w:b/>
                <w:sz w:val="20"/>
                <w:szCs w:val="20"/>
              </w:rPr>
              <w:t>Jautājums zaudējis aktualitāti.</w:t>
            </w:r>
          </w:p>
          <w:p w14:paraId="78998A40" w14:textId="77777777" w:rsidR="001F041A" w:rsidRDefault="001F041A" w:rsidP="001F041A">
            <w:pPr>
              <w:pStyle w:val="NormalWeb"/>
              <w:spacing w:before="0" w:beforeAutospacing="0" w:after="0" w:afterAutospacing="0"/>
              <w:ind w:firstLine="176"/>
              <w:jc w:val="both"/>
              <w:rPr>
                <w:rFonts w:ascii="Times New Roman" w:hAnsi="Times New Roman"/>
                <w:b/>
                <w:sz w:val="20"/>
                <w:szCs w:val="20"/>
              </w:rPr>
            </w:pPr>
          </w:p>
          <w:p w14:paraId="3559A2C0" w14:textId="41BDB221" w:rsidR="001F041A" w:rsidRPr="007A3FC4" w:rsidRDefault="001F041A" w:rsidP="001F041A">
            <w:pPr>
              <w:pStyle w:val="NormalWeb"/>
              <w:spacing w:before="0" w:beforeAutospacing="0" w:after="0" w:afterAutospacing="0"/>
              <w:ind w:firstLine="176"/>
              <w:jc w:val="both"/>
              <w:rPr>
                <w:rFonts w:ascii="Times New Roman" w:hAnsi="Times New Roman"/>
                <w:color w:val="FF0000"/>
                <w:sz w:val="22"/>
                <w:szCs w:val="22"/>
              </w:rPr>
            </w:pPr>
            <w:r w:rsidRPr="004848E3">
              <w:rPr>
                <w:rFonts w:ascii="Times New Roman" w:hAnsi="Times New Roman"/>
              </w:rPr>
              <w:t>Likumprojekts “Grozījumi Autoce</w:t>
            </w:r>
            <w:r>
              <w:rPr>
                <w:rFonts w:ascii="Times New Roman" w:hAnsi="Times New Roman"/>
              </w:rPr>
              <w:t>ļ</w:t>
            </w:r>
            <w:r w:rsidRPr="004848E3">
              <w:rPr>
                <w:rFonts w:ascii="Times New Roman" w:hAnsi="Times New Roman"/>
              </w:rPr>
              <w:t>u lieto</w:t>
            </w:r>
            <w:r>
              <w:rPr>
                <w:rFonts w:ascii="Times New Roman" w:hAnsi="Times New Roman"/>
              </w:rPr>
              <w:t>š</w:t>
            </w:r>
            <w:r w:rsidRPr="004848E3">
              <w:rPr>
                <w:rFonts w:ascii="Times New Roman" w:hAnsi="Times New Roman"/>
              </w:rPr>
              <w:t xml:space="preserve">anas nodevas </w:t>
            </w:r>
            <w:r>
              <w:rPr>
                <w:rFonts w:ascii="Times New Roman" w:hAnsi="Times New Roman"/>
              </w:rPr>
              <w:t>l</w:t>
            </w:r>
            <w:r w:rsidRPr="004848E3">
              <w:rPr>
                <w:rFonts w:ascii="Times New Roman" w:hAnsi="Times New Roman"/>
              </w:rPr>
              <w:t>ikumā”</w:t>
            </w:r>
            <w:r>
              <w:rPr>
                <w:rFonts w:ascii="Times New Roman" w:hAnsi="Times New Roman"/>
              </w:rPr>
              <w:t xml:space="preserve"> </w:t>
            </w:r>
            <w:r w:rsidRPr="004848E3">
              <w:rPr>
                <w:rFonts w:ascii="Times New Roman" w:hAnsi="Times New Roman"/>
              </w:rPr>
              <w:t>(Nr.258/Lp13)</w:t>
            </w:r>
            <w:r>
              <w:rPr>
                <w:rFonts w:ascii="Times New Roman" w:hAnsi="Times New Roman"/>
              </w:rPr>
              <w:t xml:space="preserve"> </w:t>
            </w:r>
            <w:proofErr w:type="gramStart"/>
            <w:r w:rsidRPr="004848E3">
              <w:rPr>
                <w:rFonts w:ascii="Times New Roman" w:hAnsi="Times New Roman"/>
              </w:rPr>
              <w:t>iesniegts Saeimā likumprojektu</w:t>
            </w:r>
            <w:proofErr w:type="gramEnd"/>
            <w:r w:rsidRPr="004848E3">
              <w:rPr>
                <w:rFonts w:ascii="Times New Roman" w:hAnsi="Times New Roman"/>
              </w:rPr>
              <w:t xml:space="preserve"> “Par valsts budžetu 2019.</w:t>
            </w:r>
            <w:r w:rsidR="00A447BC">
              <w:rPr>
                <w:rFonts w:ascii="Times New Roman" w:hAnsi="Times New Roman"/>
              </w:rPr>
              <w:t xml:space="preserve"> </w:t>
            </w:r>
            <w:r w:rsidRPr="004848E3">
              <w:rPr>
                <w:rFonts w:ascii="Times New Roman" w:hAnsi="Times New Roman"/>
              </w:rPr>
              <w:t>gadam”</w:t>
            </w:r>
            <w:r>
              <w:rPr>
                <w:rFonts w:ascii="Times New Roman" w:hAnsi="Times New Roman"/>
              </w:rPr>
              <w:t xml:space="preserve"> </w:t>
            </w:r>
            <w:r w:rsidRPr="004848E3">
              <w:rPr>
                <w:rFonts w:ascii="Times New Roman" w:hAnsi="Times New Roman"/>
              </w:rPr>
              <w:t>pavadošo likumprojektu paketē</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C56FFF" w14:textId="77777777" w:rsidR="001F041A" w:rsidRPr="00844AE7" w:rsidRDefault="001F041A" w:rsidP="001F041A">
            <w:pPr>
              <w:jc w:val="both"/>
              <w:rPr>
                <w:sz w:val="22"/>
                <w:szCs w:val="22"/>
              </w:rPr>
            </w:pPr>
          </w:p>
        </w:tc>
      </w:tr>
    </w:tbl>
    <w:p w14:paraId="1A451C69" w14:textId="77777777" w:rsidR="00DE7D9E" w:rsidRDefault="00DE7D9E" w:rsidP="00FE259C">
      <w:pPr>
        <w:jc w:val="both"/>
      </w:pPr>
    </w:p>
    <w:p w14:paraId="685FBADD" w14:textId="77777777" w:rsidR="00DE7D9E" w:rsidRDefault="00DE7D9E" w:rsidP="00FE259C">
      <w:pPr>
        <w:jc w:val="both"/>
      </w:pPr>
    </w:p>
    <w:p w14:paraId="16026B2F" w14:textId="77777777" w:rsidR="00DE7D9E" w:rsidRDefault="00DE7D9E" w:rsidP="00FE259C">
      <w:pPr>
        <w:jc w:val="both"/>
      </w:pPr>
    </w:p>
    <w:p w14:paraId="60F9845F" w14:textId="77777777" w:rsidR="00FE259C" w:rsidRPr="005D45D1" w:rsidRDefault="00FE259C" w:rsidP="00FE259C">
      <w:pPr>
        <w:jc w:val="both"/>
      </w:pPr>
      <w:r w:rsidRPr="005D45D1">
        <w:t xml:space="preserve">Atbildīgā amatpersona </w:t>
      </w:r>
      <w:r w:rsidRPr="005D45D1">
        <w:tab/>
      </w:r>
      <w:r w:rsidRPr="005D45D1">
        <w:tab/>
      </w:r>
      <w:r w:rsidRPr="005D45D1">
        <w:tab/>
      </w:r>
      <w:r w:rsidRPr="005D45D1">
        <w:tab/>
      </w:r>
      <w:r w:rsidRPr="005D45D1">
        <w:tab/>
        <w:t xml:space="preserve">___________________________ </w:t>
      </w:r>
    </w:p>
    <w:p w14:paraId="252A1FAE" w14:textId="77777777" w:rsidR="0089642C" w:rsidRDefault="0089642C" w:rsidP="00FE259C">
      <w:pPr>
        <w:jc w:val="both"/>
      </w:pPr>
      <w:bookmarkStart w:id="5" w:name="_GoBack"/>
      <w:bookmarkEnd w:id="5"/>
    </w:p>
    <w:p w14:paraId="5F580960" w14:textId="77777777" w:rsidR="00FE259C" w:rsidRPr="005D45D1" w:rsidRDefault="00FE259C" w:rsidP="00FE259C">
      <w:pPr>
        <w:jc w:val="both"/>
      </w:pPr>
      <w:r w:rsidRPr="005D45D1">
        <w:tab/>
      </w:r>
      <w:r w:rsidRPr="005D45D1">
        <w:tab/>
      </w:r>
      <w:r w:rsidRPr="005D45D1">
        <w:tab/>
      </w:r>
      <w:r w:rsidRPr="005D45D1">
        <w:tab/>
      </w:r>
      <w:r w:rsidRPr="005D45D1">
        <w:tab/>
      </w:r>
      <w:r w:rsidRPr="005D45D1">
        <w:tab/>
      </w:r>
      <w:r w:rsidR="008E272C" w:rsidRPr="005D45D1">
        <w:t xml:space="preserve">            </w:t>
      </w:r>
      <w:r w:rsidRPr="005D45D1">
        <w:tab/>
      </w:r>
      <w:r w:rsidR="00EF03E3">
        <w:tab/>
      </w:r>
      <w:r w:rsidR="00EF03E3">
        <w:tab/>
      </w:r>
      <w:r w:rsidRPr="005D45D1">
        <w:t xml:space="preserve">(paraksts)* </w:t>
      </w:r>
    </w:p>
    <w:p w14:paraId="4F277ECD" w14:textId="14DAD10B" w:rsidR="00A7766F" w:rsidRDefault="00062E59" w:rsidP="00BD72F8">
      <w:pPr>
        <w:pStyle w:val="naisf"/>
        <w:spacing w:before="0" w:after="0"/>
        <w:ind w:firstLine="0"/>
        <w:rPr>
          <w:sz w:val="20"/>
          <w:szCs w:val="20"/>
        </w:rPr>
      </w:pPr>
      <w:r w:rsidRPr="00D212C8">
        <w:rPr>
          <w:sz w:val="20"/>
          <w:szCs w:val="20"/>
        </w:rPr>
        <w:fldChar w:fldCharType="begin"/>
      </w:r>
      <w:r w:rsidRPr="00D212C8">
        <w:rPr>
          <w:sz w:val="20"/>
          <w:szCs w:val="20"/>
          <w:lang w:val="ru-RU"/>
        </w:rPr>
        <w:instrText xml:space="preserve"> TIME \@ "dd.MM.yyyy H:mm" </w:instrText>
      </w:r>
      <w:r w:rsidRPr="00D212C8">
        <w:rPr>
          <w:sz w:val="20"/>
          <w:szCs w:val="20"/>
        </w:rPr>
        <w:fldChar w:fldCharType="separate"/>
      </w:r>
      <w:r w:rsidR="001F141C">
        <w:rPr>
          <w:noProof/>
          <w:sz w:val="20"/>
          <w:szCs w:val="20"/>
          <w:lang w:val="ru-RU"/>
        </w:rPr>
        <w:t>14.05.2019 12</w:t>
      </w:r>
      <w:r w:rsidR="00294F6F">
        <w:rPr>
          <w:noProof/>
          <w:sz w:val="20"/>
          <w:szCs w:val="20"/>
          <w:lang w:val="ru-RU"/>
        </w:rPr>
        <w:t>:41</w:t>
      </w:r>
      <w:r w:rsidRPr="00D212C8">
        <w:rPr>
          <w:sz w:val="20"/>
          <w:szCs w:val="20"/>
        </w:rPr>
        <w:fldChar w:fldCharType="end"/>
      </w:r>
    </w:p>
    <w:p w14:paraId="75740860" w14:textId="3938565E" w:rsidR="00FE259C" w:rsidRPr="00D212C8" w:rsidRDefault="00FE259C" w:rsidP="00BD72F8">
      <w:pPr>
        <w:pStyle w:val="naisf"/>
        <w:spacing w:before="0" w:after="0"/>
        <w:ind w:firstLine="0"/>
        <w:rPr>
          <w:sz w:val="20"/>
          <w:szCs w:val="20"/>
        </w:rPr>
      </w:pPr>
      <w:r w:rsidRPr="00D212C8">
        <w:rPr>
          <w:sz w:val="20"/>
          <w:szCs w:val="20"/>
        </w:rPr>
        <w:fldChar w:fldCharType="begin"/>
      </w:r>
      <w:r w:rsidRPr="00D212C8">
        <w:rPr>
          <w:sz w:val="20"/>
          <w:szCs w:val="20"/>
        </w:rPr>
        <w:instrText xml:space="preserve"> NUMWORDS   \* MERGEFORMAT </w:instrText>
      </w:r>
      <w:r w:rsidRPr="00D212C8">
        <w:rPr>
          <w:sz w:val="20"/>
          <w:szCs w:val="20"/>
        </w:rPr>
        <w:fldChar w:fldCharType="separate"/>
      </w:r>
      <w:r w:rsidR="001F141C">
        <w:rPr>
          <w:noProof/>
          <w:sz w:val="20"/>
          <w:szCs w:val="20"/>
        </w:rPr>
        <w:t>10545</w:t>
      </w:r>
      <w:r w:rsidRPr="00D212C8">
        <w:rPr>
          <w:sz w:val="20"/>
          <w:szCs w:val="20"/>
        </w:rPr>
        <w:fldChar w:fldCharType="end"/>
      </w:r>
    </w:p>
    <w:p w14:paraId="7F723C8A" w14:textId="77777777" w:rsidR="00A2069F" w:rsidRPr="00D212C8" w:rsidRDefault="00FE259C">
      <w:pPr>
        <w:rPr>
          <w:sz w:val="20"/>
          <w:szCs w:val="20"/>
        </w:rPr>
      </w:pPr>
      <w:r w:rsidRPr="00D212C8">
        <w:rPr>
          <w:sz w:val="20"/>
          <w:szCs w:val="20"/>
        </w:rPr>
        <w:t xml:space="preserve"> </w:t>
      </w:r>
    </w:p>
    <w:sectPr w:rsidR="00A2069F" w:rsidRPr="00D212C8" w:rsidSect="00180567">
      <w:headerReference w:type="even" r:id="rId9"/>
      <w:headerReference w:type="default" r:id="rId10"/>
      <w:footerReference w:type="default" r:id="rId11"/>
      <w:headerReference w:type="first" r:id="rId12"/>
      <w:footerReference w:type="first" r:id="rId13"/>
      <w:pgSz w:w="16838" w:h="11906" w:orient="landscape"/>
      <w:pgMar w:top="1134" w:right="851" w:bottom="1418" w:left="851" w:header="709"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7F21" w14:textId="77777777" w:rsidR="00557294" w:rsidRDefault="00557294">
      <w:r>
        <w:separator/>
      </w:r>
    </w:p>
  </w:endnote>
  <w:endnote w:type="continuationSeparator" w:id="0">
    <w:p w14:paraId="274081B7" w14:textId="77777777" w:rsidR="00557294" w:rsidRDefault="0055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657A" w14:textId="50FA0F13" w:rsidR="00043D41" w:rsidRPr="00421912" w:rsidRDefault="00043D41" w:rsidP="00B47F7C">
    <w:pPr>
      <w:pStyle w:val="Heading3"/>
      <w:spacing w:before="0" w:beforeAutospacing="0" w:after="0" w:afterAutospacing="0"/>
      <w:rPr>
        <w:b w:val="0"/>
        <w:sz w:val="20"/>
        <w:szCs w:val="20"/>
      </w:rPr>
    </w:pPr>
    <w:r w:rsidRPr="00421912">
      <w:rPr>
        <w:b w:val="0"/>
        <w:sz w:val="20"/>
        <w:szCs w:val="20"/>
      </w:rPr>
      <w:fldChar w:fldCharType="begin"/>
    </w:r>
    <w:r w:rsidRPr="00421912">
      <w:rPr>
        <w:b w:val="0"/>
        <w:sz w:val="20"/>
        <w:szCs w:val="20"/>
      </w:rPr>
      <w:instrText xml:space="preserve"> FILENAME </w:instrText>
    </w:r>
    <w:r w:rsidRPr="00421912">
      <w:rPr>
        <w:b w:val="0"/>
        <w:sz w:val="20"/>
        <w:szCs w:val="20"/>
      </w:rPr>
      <w:fldChar w:fldCharType="separate"/>
    </w:r>
    <w:r>
      <w:rPr>
        <w:b w:val="0"/>
        <w:noProof/>
        <w:sz w:val="20"/>
        <w:szCs w:val="20"/>
      </w:rPr>
      <w:t>IEMIzz_140519_radari</w:t>
    </w:r>
    <w:r w:rsidRPr="00421912">
      <w:rPr>
        <w:b w:val="0"/>
        <w:sz w:val="20"/>
        <w:szCs w:val="20"/>
      </w:rPr>
      <w:fldChar w:fldCharType="end"/>
    </w:r>
  </w:p>
  <w:p w14:paraId="4C2BE3AF" w14:textId="1F68770F" w:rsidR="00043D41" w:rsidRPr="00421912" w:rsidRDefault="00043D41" w:rsidP="002071A4">
    <w:pPr>
      <w:pStyle w:val="Heading3"/>
      <w:spacing w:before="0" w:beforeAutospacing="0" w:after="0" w:afterAutospacing="0"/>
      <w:rPr>
        <w:b w:val="0"/>
        <w:sz w:val="20"/>
        <w:szCs w:val="20"/>
      </w:rPr>
    </w:pPr>
  </w:p>
  <w:p w14:paraId="4ACA89AA" w14:textId="77777777" w:rsidR="00043D41" w:rsidRDefault="00043D41" w:rsidP="00421912">
    <w:pPr>
      <w:pStyle w:val="Heading3"/>
      <w:spacing w:before="0" w:beforeAutospacing="0" w:after="0" w:afterAutospacing="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5427" w14:textId="4C99CE20" w:rsidR="00043D41" w:rsidRPr="00421912" w:rsidRDefault="00043D41" w:rsidP="00421912">
    <w:pPr>
      <w:pStyle w:val="Heading3"/>
      <w:spacing w:before="0" w:beforeAutospacing="0" w:after="0" w:afterAutospacing="0"/>
      <w:rPr>
        <w:b w:val="0"/>
        <w:sz w:val="20"/>
        <w:szCs w:val="20"/>
      </w:rPr>
    </w:pPr>
    <w:r w:rsidRPr="00421912">
      <w:rPr>
        <w:b w:val="0"/>
        <w:sz w:val="20"/>
        <w:szCs w:val="20"/>
      </w:rPr>
      <w:fldChar w:fldCharType="begin"/>
    </w:r>
    <w:r w:rsidRPr="00421912">
      <w:rPr>
        <w:b w:val="0"/>
        <w:sz w:val="20"/>
        <w:szCs w:val="20"/>
      </w:rPr>
      <w:instrText xml:space="preserve"> FILENAME </w:instrText>
    </w:r>
    <w:r w:rsidRPr="00421912">
      <w:rPr>
        <w:b w:val="0"/>
        <w:sz w:val="20"/>
        <w:szCs w:val="20"/>
      </w:rPr>
      <w:fldChar w:fldCharType="separate"/>
    </w:r>
    <w:r>
      <w:rPr>
        <w:b w:val="0"/>
        <w:noProof/>
        <w:sz w:val="20"/>
        <w:szCs w:val="20"/>
      </w:rPr>
      <w:t>IEMIzz_140519_radari</w:t>
    </w:r>
    <w:r w:rsidRPr="00421912">
      <w:rPr>
        <w:b w:val="0"/>
        <w:sz w:val="20"/>
        <w:szCs w:val="20"/>
      </w:rPr>
      <w:fldChar w:fldCharType="end"/>
    </w:r>
  </w:p>
  <w:p w14:paraId="1C560AED" w14:textId="77777777" w:rsidR="00043D41" w:rsidRPr="002253EF" w:rsidRDefault="00043D41" w:rsidP="002253EF">
    <w:pPr>
      <w:pStyle w:val="NormalWeb"/>
      <w:spacing w:before="0" w:beforeAutospacing="0" w:after="0" w:afterAutospacing="0"/>
      <w:rPr>
        <w:rFonts w:ascii="Times New Roman" w:hAnsi="Times New Roman"/>
        <w:bC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1DDF" w14:textId="77777777" w:rsidR="00557294" w:rsidRDefault="00557294">
      <w:r>
        <w:separator/>
      </w:r>
    </w:p>
  </w:footnote>
  <w:footnote w:type="continuationSeparator" w:id="0">
    <w:p w14:paraId="5C4883F2" w14:textId="77777777" w:rsidR="00557294" w:rsidRDefault="0055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8256" w14:textId="77777777" w:rsidR="00043D41" w:rsidRDefault="00043D41" w:rsidP="00FE25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FD0DE" w14:textId="77777777" w:rsidR="00043D41" w:rsidRDefault="00043D41" w:rsidP="00FE25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1920" w14:textId="77777777" w:rsidR="00043D41" w:rsidRPr="00A447BC" w:rsidRDefault="00043D41" w:rsidP="00FE259C">
    <w:pPr>
      <w:pStyle w:val="Header"/>
      <w:framePr w:wrap="around" w:vAnchor="text" w:hAnchor="margin" w:xAlign="center" w:y="1"/>
      <w:rPr>
        <w:rStyle w:val="PageNumber"/>
        <w:sz w:val="20"/>
        <w:szCs w:val="20"/>
      </w:rPr>
    </w:pPr>
    <w:r w:rsidRPr="00A447BC">
      <w:rPr>
        <w:rStyle w:val="PageNumber"/>
        <w:sz w:val="20"/>
        <w:szCs w:val="20"/>
      </w:rPr>
      <w:fldChar w:fldCharType="begin"/>
    </w:r>
    <w:r w:rsidRPr="00A447BC">
      <w:rPr>
        <w:rStyle w:val="PageNumber"/>
        <w:sz w:val="20"/>
        <w:szCs w:val="20"/>
      </w:rPr>
      <w:instrText xml:space="preserve">PAGE  </w:instrText>
    </w:r>
    <w:r w:rsidRPr="00A447BC">
      <w:rPr>
        <w:rStyle w:val="PageNumber"/>
        <w:sz w:val="20"/>
        <w:szCs w:val="20"/>
      </w:rPr>
      <w:fldChar w:fldCharType="separate"/>
    </w:r>
    <w:r w:rsidR="001F141C">
      <w:rPr>
        <w:rStyle w:val="PageNumber"/>
        <w:noProof/>
        <w:sz w:val="20"/>
        <w:szCs w:val="20"/>
      </w:rPr>
      <w:t>32</w:t>
    </w:r>
    <w:r w:rsidRPr="00A447BC">
      <w:rPr>
        <w:rStyle w:val="PageNumber"/>
        <w:sz w:val="20"/>
        <w:szCs w:val="20"/>
      </w:rPr>
      <w:fldChar w:fldCharType="end"/>
    </w:r>
  </w:p>
  <w:p w14:paraId="695CAF99" w14:textId="77777777" w:rsidR="00043D41" w:rsidRDefault="00043D41" w:rsidP="00FE259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5932" w14:textId="77777777" w:rsidR="00043D41" w:rsidRPr="00A447BC" w:rsidRDefault="00043D41">
    <w:pPr>
      <w:pStyle w:val="Header"/>
      <w:jc w:val="center"/>
      <w:rPr>
        <w:sz w:val="20"/>
        <w:szCs w:val="20"/>
      </w:rPr>
    </w:pPr>
    <w:r w:rsidRPr="00A447BC">
      <w:rPr>
        <w:sz w:val="20"/>
        <w:szCs w:val="20"/>
      </w:rPr>
      <w:fldChar w:fldCharType="begin"/>
    </w:r>
    <w:r w:rsidRPr="00A447BC">
      <w:rPr>
        <w:sz w:val="20"/>
        <w:szCs w:val="20"/>
      </w:rPr>
      <w:instrText xml:space="preserve"> PAGE   \* MERGEFORMAT </w:instrText>
    </w:r>
    <w:r w:rsidRPr="00A447BC">
      <w:rPr>
        <w:sz w:val="20"/>
        <w:szCs w:val="20"/>
      </w:rPr>
      <w:fldChar w:fldCharType="separate"/>
    </w:r>
    <w:r w:rsidR="007F157B">
      <w:rPr>
        <w:noProof/>
        <w:sz w:val="20"/>
        <w:szCs w:val="20"/>
      </w:rPr>
      <w:t>1</w:t>
    </w:r>
    <w:r w:rsidRPr="00A447BC">
      <w:rPr>
        <w:noProof/>
        <w:sz w:val="20"/>
        <w:szCs w:val="20"/>
      </w:rPr>
      <w:fldChar w:fldCharType="end"/>
    </w:r>
  </w:p>
  <w:p w14:paraId="74A79DA4" w14:textId="77777777" w:rsidR="00043D41" w:rsidRDefault="00043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B1F"/>
    <w:multiLevelType w:val="multilevel"/>
    <w:tmpl w:val="23C6A79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C848EA"/>
    <w:multiLevelType w:val="hybridMultilevel"/>
    <w:tmpl w:val="A36A84E0"/>
    <w:lvl w:ilvl="0" w:tplc="F64EBBBC">
      <w:start w:val="1"/>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3C6AA1"/>
    <w:multiLevelType w:val="hybridMultilevel"/>
    <w:tmpl w:val="545E35B4"/>
    <w:lvl w:ilvl="0" w:tplc="2D78D8F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B956CC8"/>
    <w:multiLevelType w:val="hybridMultilevel"/>
    <w:tmpl w:val="F94ED0CE"/>
    <w:lvl w:ilvl="0" w:tplc="86527F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C243C9C"/>
    <w:multiLevelType w:val="hybridMultilevel"/>
    <w:tmpl w:val="6C64D72C"/>
    <w:lvl w:ilvl="0" w:tplc="91D05C9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1244C4"/>
    <w:multiLevelType w:val="multilevel"/>
    <w:tmpl w:val="5352CAC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D001923"/>
    <w:multiLevelType w:val="hybridMultilevel"/>
    <w:tmpl w:val="ED580ECA"/>
    <w:lvl w:ilvl="0" w:tplc="2FF2A8D8">
      <w:start w:val="1"/>
      <w:numFmt w:val="bullet"/>
      <w:lvlText w:val=""/>
      <w:lvlJc w:val="left"/>
      <w:pPr>
        <w:ind w:left="1039" w:hanging="360"/>
      </w:pPr>
      <w:rPr>
        <w:rFonts w:ascii="Symbol" w:hAnsi="Symbol" w:hint="default"/>
      </w:rPr>
    </w:lvl>
    <w:lvl w:ilvl="1" w:tplc="04260003">
      <w:start w:val="1"/>
      <w:numFmt w:val="bullet"/>
      <w:lvlText w:val="o"/>
      <w:lvlJc w:val="left"/>
      <w:pPr>
        <w:ind w:left="1759" w:hanging="360"/>
      </w:pPr>
      <w:rPr>
        <w:rFonts w:ascii="Courier New" w:hAnsi="Courier New" w:cs="Courier New" w:hint="default"/>
      </w:rPr>
    </w:lvl>
    <w:lvl w:ilvl="2" w:tplc="04260005">
      <w:start w:val="1"/>
      <w:numFmt w:val="bullet"/>
      <w:lvlText w:val=""/>
      <w:lvlJc w:val="left"/>
      <w:pPr>
        <w:ind w:left="2479" w:hanging="360"/>
      </w:pPr>
      <w:rPr>
        <w:rFonts w:ascii="Wingdings" w:hAnsi="Wingdings" w:hint="default"/>
      </w:rPr>
    </w:lvl>
    <w:lvl w:ilvl="3" w:tplc="04260001">
      <w:start w:val="1"/>
      <w:numFmt w:val="bullet"/>
      <w:lvlText w:val=""/>
      <w:lvlJc w:val="left"/>
      <w:pPr>
        <w:ind w:left="3199" w:hanging="360"/>
      </w:pPr>
      <w:rPr>
        <w:rFonts w:ascii="Symbol" w:hAnsi="Symbol" w:hint="default"/>
      </w:rPr>
    </w:lvl>
    <w:lvl w:ilvl="4" w:tplc="04260003">
      <w:start w:val="1"/>
      <w:numFmt w:val="bullet"/>
      <w:lvlText w:val="o"/>
      <w:lvlJc w:val="left"/>
      <w:pPr>
        <w:ind w:left="3919" w:hanging="360"/>
      </w:pPr>
      <w:rPr>
        <w:rFonts w:ascii="Courier New" w:hAnsi="Courier New" w:cs="Courier New" w:hint="default"/>
      </w:rPr>
    </w:lvl>
    <w:lvl w:ilvl="5" w:tplc="04260005">
      <w:start w:val="1"/>
      <w:numFmt w:val="bullet"/>
      <w:lvlText w:val=""/>
      <w:lvlJc w:val="left"/>
      <w:pPr>
        <w:ind w:left="4639" w:hanging="360"/>
      </w:pPr>
      <w:rPr>
        <w:rFonts w:ascii="Wingdings" w:hAnsi="Wingdings" w:hint="default"/>
      </w:rPr>
    </w:lvl>
    <w:lvl w:ilvl="6" w:tplc="04260001">
      <w:start w:val="1"/>
      <w:numFmt w:val="bullet"/>
      <w:lvlText w:val=""/>
      <w:lvlJc w:val="left"/>
      <w:pPr>
        <w:ind w:left="5359" w:hanging="360"/>
      </w:pPr>
      <w:rPr>
        <w:rFonts w:ascii="Symbol" w:hAnsi="Symbol" w:hint="default"/>
      </w:rPr>
    </w:lvl>
    <w:lvl w:ilvl="7" w:tplc="04260003">
      <w:start w:val="1"/>
      <w:numFmt w:val="bullet"/>
      <w:lvlText w:val="o"/>
      <w:lvlJc w:val="left"/>
      <w:pPr>
        <w:ind w:left="6079" w:hanging="360"/>
      </w:pPr>
      <w:rPr>
        <w:rFonts w:ascii="Courier New" w:hAnsi="Courier New" w:cs="Courier New" w:hint="default"/>
      </w:rPr>
    </w:lvl>
    <w:lvl w:ilvl="8" w:tplc="04260005">
      <w:start w:val="1"/>
      <w:numFmt w:val="bullet"/>
      <w:lvlText w:val=""/>
      <w:lvlJc w:val="left"/>
      <w:pPr>
        <w:ind w:left="6799" w:hanging="360"/>
      </w:pPr>
      <w:rPr>
        <w:rFonts w:ascii="Wingdings" w:hAnsi="Wingdings" w:hint="default"/>
      </w:rPr>
    </w:lvl>
  </w:abstractNum>
  <w:abstractNum w:abstractNumId="7" w15:restartNumberingAfterBreak="0">
    <w:nsid w:val="6B6854A4"/>
    <w:multiLevelType w:val="multilevel"/>
    <w:tmpl w:val="C402093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757064C"/>
    <w:multiLevelType w:val="hybridMultilevel"/>
    <w:tmpl w:val="45A8BB74"/>
    <w:lvl w:ilvl="0" w:tplc="CD78112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7B8D3424"/>
    <w:multiLevelType w:val="hybridMultilevel"/>
    <w:tmpl w:val="11CE5A74"/>
    <w:lvl w:ilvl="0" w:tplc="E1424A2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002E6D"/>
    <w:multiLevelType w:val="hybridMultilevel"/>
    <w:tmpl w:val="6EF413B2"/>
    <w:lvl w:ilvl="0" w:tplc="F0F69BB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6"/>
  </w:num>
  <w:num w:numId="6">
    <w:abstractNumId w:val="4"/>
  </w:num>
  <w:num w:numId="7">
    <w:abstractNumId w:val="9"/>
  </w:num>
  <w:num w:numId="8">
    <w:abstractNumId w:val="5"/>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C"/>
    <w:rsid w:val="0000133A"/>
    <w:rsid w:val="0000162E"/>
    <w:rsid w:val="000018B0"/>
    <w:rsid w:val="000018B9"/>
    <w:rsid w:val="00003449"/>
    <w:rsid w:val="00003A8A"/>
    <w:rsid w:val="00004014"/>
    <w:rsid w:val="000063C1"/>
    <w:rsid w:val="00006F0E"/>
    <w:rsid w:val="00010475"/>
    <w:rsid w:val="000104FC"/>
    <w:rsid w:val="00011211"/>
    <w:rsid w:val="00011C0C"/>
    <w:rsid w:val="00013782"/>
    <w:rsid w:val="00013AE0"/>
    <w:rsid w:val="00013BEC"/>
    <w:rsid w:val="00013E82"/>
    <w:rsid w:val="0001501B"/>
    <w:rsid w:val="000153ED"/>
    <w:rsid w:val="00016359"/>
    <w:rsid w:val="00016CD0"/>
    <w:rsid w:val="00020D4B"/>
    <w:rsid w:val="0002115A"/>
    <w:rsid w:val="000212FB"/>
    <w:rsid w:val="000215FC"/>
    <w:rsid w:val="00022262"/>
    <w:rsid w:val="000235D4"/>
    <w:rsid w:val="000236CA"/>
    <w:rsid w:val="00023C03"/>
    <w:rsid w:val="000244AA"/>
    <w:rsid w:val="0002486A"/>
    <w:rsid w:val="0002590F"/>
    <w:rsid w:val="00025F37"/>
    <w:rsid w:val="00027DBE"/>
    <w:rsid w:val="00030173"/>
    <w:rsid w:val="00030745"/>
    <w:rsid w:val="000316BA"/>
    <w:rsid w:val="000327DB"/>
    <w:rsid w:val="000328A7"/>
    <w:rsid w:val="00034EA6"/>
    <w:rsid w:val="00037120"/>
    <w:rsid w:val="00041793"/>
    <w:rsid w:val="000434A0"/>
    <w:rsid w:val="00043D41"/>
    <w:rsid w:val="00043E5B"/>
    <w:rsid w:val="0004402E"/>
    <w:rsid w:val="00044041"/>
    <w:rsid w:val="00044C01"/>
    <w:rsid w:val="00044C6D"/>
    <w:rsid w:val="000473A6"/>
    <w:rsid w:val="0004796E"/>
    <w:rsid w:val="00047F93"/>
    <w:rsid w:val="00050178"/>
    <w:rsid w:val="0005142D"/>
    <w:rsid w:val="00051CEF"/>
    <w:rsid w:val="00051DF0"/>
    <w:rsid w:val="000526E9"/>
    <w:rsid w:val="000532DE"/>
    <w:rsid w:val="000533C0"/>
    <w:rsid w:val="000536E1"/>
    <w:rsid w:val="00053F11"/>
    <w:rsid w:val="00056592"/>
    <w:rsid w:val="00057574"/>
    <w:rsid w:val="00057704"/>
    <w:rsid w:val="000579A6"/>
    <w:rsid w:val="0006146E"/>
    <w:rsid w:val="00061A31"/>
    <w:rsid w:val="00062E59"/>
    <w:rsid w:val="000630B4"/>
    <w:rsid w:val="000632DA"/>
    <w:rsid w:val="00063AEB"/>
    <w:rsid w:val="0006497B"/>
    <w:rsid w:val="00065044"/>
    <w:rsid w:val="00065BFE"/>
    <w:rsid w:val="000665A3"/>
    <w:rsid w:val="00067070"/>
    <w:rsid w:val="000708CE"/>
    <w:rsid w:val="000709EF"/>
    <w:rsid w:val="00074A0A"/>
    <w:rsid w:val="00074EDA"/>
    <w:rsid w:val="00075104"/>
    <w:rsid w:val="00076013"/>
    <w:rsid w:val="00076081"/>
    <w:rsid w:val="00077B06"/>
    <w:rsid w:val="000829B7"/>
    <w:rsid w:val="0008361F"/>
    <w:rsid w:val="00086FAF"/>
    <w:rsid w:val="00090183"/>
    <w:rsid w:val="00090D3F"/>
    <w:rsid w:val="00091FFF"/>
    <w:rsid w:val="00095B6F"/>
    <w:rsid w:val="0009767D"/>
    <w:rsid w:val="000A105F"/>
    <w:rsid w:val="000A1548"/>
    <w:rsid w:val="000A1E67"/>
    <w:rsid w:val="000A1FD5"/>
    <w:rsid w:val="000A2E4C"/>
    <w:rsid w:val="000A6AB8"/>
    <w:rsid w:val="000A766D"/>
    <w:rsid w:val="000A7905"/>
    <w:rsid w:val="000B1096"/>
    <w:rsid w:val="000B25C5"/>
    <w:rsid w:val="000B5B12"/>
    <w:rsid w:val="000B63B1"/>
    <w:rsid w:val="000C0FFA"/>
    <w:rsid w:val="000C10B6"/>
    <w:rsid w:val="000C13E4"/>
    <w:rsid w:val="000C2457"/>
    <w:rsid w:val="000C3395"/>
    <w:rsid w:val="000C47E0"/>
    <w:rsid w:val="000C53C3"/>
    <w:rsid w:val="000C5613"/>
    <w:rsid w:val="000C567C"/>
    <w:rsid w:val="000C6563"/>
    <w:rsid w:val="000C6D3E"/>
    <w:rsid w:val="000C7219"/>
    <w:rsid w:val="000D0E03"/>
    <w:rsid w:val="000D2CF8"/>
    <w:rsid w:val="000D3B8A"/>
    <w:rsid w:val="000D3F6A"/>
    <w:rsid w:val="000D43F6"/>
    <w:rsid w:val="000D54AA"/>
    <w:rsid w:val="000D61DC"/>
    <w:rsid w:val="000D69A1"/>
    <w:rsid w:val="000D6AEA"/>
    <w:rsid w:val="000D76A4"/>
    <w:rsid w:val="000E2FDC"/>
    <w:rsid w:val="000E5622"/>
    <w:rsid w:val="000E7149"/>
    <w:rsid w:val="000F0F4F"/>
    <w:rsid w:val="000F2CE7"/>
    <w:rsid w:val="000F39B0"/>
    <w:rsid w:val="000F3CE5"/>
    <w:rsid w:val="000F5122"/>
    <w:rsid w:val="000F6261"/>
    <w:rsid w:val="000F6333"/>
    <w:rsid w:val="000F7A71"/>
    <w:rsid w:val="0010016B"/>
    <w:rsid w:val="0010130E"/>
    <w:rsid w:val="001018E5"/>
    <w:rsid w:val="00102085"/>
    <w:rsid w:val="00102D7D"/>
    <w:rsid w:val="00103111"/>
    <w:rsid w:val="00103546"/>
    <w:rsid w:val="00103BD3"/>
    <w:rsid w:val="0010547A"/>
    <w:rsid w:val="00105EC0"/>
    <w:rsid w:val="00106A90"/>
    <w:rsid w:val="00107238"/>
    <w:rsid w:val="0010774E"/>
    <w:rsid w:val="00110474"/>
    <w:rsid w:val="00110CCA"/>
    <w:rsid w:val="001118FB"/>
    <w:rsid w:val="0011245B"/>
    <w:rsid w:val="001129AE"/>
    <w:rsid w:val="001134BA"/>
    <w:rsid w:val="00113929"/>
    <w:rsid w:val="00113E01"/>
    <w:rsid w:val="001148D4"/>
    <w:rsid w:val="00114B5F"/>
    <w:rsid w:val="00115361"/>
    <w:rsid w:val="00115EFE"/>
    <w:rsid w:val="00120BF6"/>
    <w:rsid w:val="00121AF1"/>
    <w:rsid w:val="00121B41"/>
    <w:rsid w:val="001238B9"/>
    <w:rsid w:val="00124B18"/>
    <w:rsid w:val="001259E7"/>
    <w:rsid w:val="00125BD8"/>
    <w:rsid w:val="00126F41"/>
    <w:rsid w:val="00126FA5"/>
    <w:rsid w:val="001275B9"/>
    <w:rsid w:val="001312CB"/>
    <w:rsid w:val="00131580"/>
    <w:rsid w:val="001315E5"/>
    <w:rsid w:val="00131BB0"/>
    <w:rsid w:val="001340A3"/>
    <w:rsid w:val="00134AC9"/>
    <w:rsid w:val="00134D02"/>
    <w:rsid w:val="001353D6"/>
    <w:rsid w:val="00135897"/>
    <w:rsid w:val="001358F1"/>
    <w:rsid w:val="00135AAC"/>
    <w:rsid w:val="001361A2"/>
    <w:rsid w:val="00137E25"/>
    <w:rsid w:val="00137F28"/>
    <w:rsid w:val="00140036"/>
    <w:rsid w:val="00140806"/>
    <w:rsid w:val="00143214"/>
    <w:rsid w:val="00143A62"/>
    <w:rsid w:val="00143BF9"/>
    <w:rsid w:val="00146ED2"/>
    <w:rsid w:val="0015139E"/>
    <w:rsid w:val="00153D68"/>
    <w:rsid w:val="00155098"/>
    <w:rsid w:val="00155A57"/>
    <w:rsid w:val="00156086"/>
    <w:rsid w:val="00160854"/>
    <w:rsid w:val="00160BAF"/>
    <w:rsid w:val="00160EBA"/>
    <w:rsid w:val="00161616"/>
    <w:rsid w:val="00162FF0"/>
    <w:rsid w:val="001655FC"/>
    <w:rsid w:val="001656A0"/>
    <w:rsid w:val="00166539"/>
    <w:rsid w:val="00167821"/>
    <w:rsid w:val="001703C1"/>
    <w:rsid w:val="001707C8"/>
    <w:rsid w:val="00170DC4"/>
    <w:rsid w:val="001716FB"/>
    <w:rsid w:val="00175FBA"/>
    <w:rsid w:val="00175FE1"/>
    <w:rsid w:val="00180567"/>
    <w:rsid w:val="0018128C"/>
    <w:rsid w:val="0018156A"/>
    <w:rsid w:val="001823FB"/>
    <w:rsid w:val="00183EA4"/>
    <w:rsid w:val="0018448A"/>
    <w:rsid w:val="00184D3E"/>
    <w:rsid w:val="001850EE"/>
    <w:rsid w:val="00185171"/>
    <w:rsid w:val="001861B5"/>
    <w:rsid w:val="0018763E"/>
    <w:rsid w:val="00187F67"/>
    <w:rsid w:val="00190DC2"/>
    <w:rsid w:val="001912A7"/>
    <w:rsid w:val="00191468"/>
    <w:rsid w:val="00191BA2"/>
    <w:rsid w:val="001941A9"/>
    <w:rsid w:val="001943D2"/>
    <w:rsid w:val="0019671A"/>
    <w:rsid w:val="00196F81"/>
    <w:rsid w:val="001A0382"/>
    <w:rsid w:val="001A2F2A"/>
    <w:rsid w:val="001A3F1E"/>
    <w:rsid w:val="001A4169"/>
    <w:rsid w:val="001A4D12"/>
    <w:rsid w:val="001A750F"/>
    <w:rsid w:val="001B039D"/>
    <w:rsid w:val="001B2485"/>
    <w:rsid w:val="001B4E12"/>
    <w:rsid w:val="001B5014"/>
    <w:rsid w:val="001B531A"/>
    <w:rsid w:val="001B6B8A"/>
    <w:rsid w:val="001C12B1"/>
    <w:rsid w:val="001C1F70"/>
    <w:rsid w:val="001C24A9"/>
    <w:rsid w:val="001C349F"/>
    <w:rsid w:val="001C3B3C"/>
    <w:rsid w:val="001C406B"/>
    <w:rsid w:val="001C4CC3"/>
    <w:rsid w:val="001C4D0B"/>
    <w:rsid w:val="001C69FB"/>
    <w:rsid w:val="001C6AD4"/>
    <w:rsid w:val="001D095A"/>
    <w:rsid w:val="001D36FE"/>
    <w:rsid w:val="001D4A47"/>
    <w:rsid w:val="001D4B36"/>
    <w:rsid w:val="001D53A6"/>
    <w:rsid w:val="001D5745"/>
    <w:rsid w:val="001D5AE4"/>
    <w:rsid w:val="001E1B4F"/>
    <w:rsid w:val="001E3440"/>
    <w:rsid w:val="001E4EEA"/>
    <w:rsid w:val="001E5B3A"/>
    <w:rsid w:val="001E5E23"/>
    <w:rsid w:val="001E75C6"/>
    <w:rsid w:val="001F041A"/>
    <w:rsid w:val="001F08F2"/>
    <w:rsid w:val="001F0C30"/>
    <w:rsid w:val="001F0CF7"/>
    <w:rsid w:val="001F0FE8"/>
    <w:rsid w:val="001F141C"/>
    <w:rsid w:val="001F1469"/>
    <w:rsid w:val="001F2E54"/>
    <w:rsid w:val="001F4AD6"/>
    <w:rsid w:val="001F6FEB"/>
    <w:rsid w:val="001F73DB"/>
    <w:rsid w:val="00200749"/>
    <w:rsid w:val="00200C2C"/>
    <w:rsid w:val="00201CAD"/>
    <w:rsid w:val="0020480B"/>
    <w:rsid w:val="00206B78"/>
    <w:rsid w:val="002071A4"/>
    <w:rsid w:val="00207266"/>
    <w:rsid w:val="002106C3"/>
    <w:rsid w:val="002109B2"/>
    <w:rsid w:val="00211A18"/>
    <w:rsid w:val="0021262A"/>
    <w:rsid w:val="00214E0C"/>
    <w:rsid w:val="0021633B"/>
    <w:rsid w:val="00217533"/>
    <w:rsid w:val="0021791D"/>
    <w:rsid w:val="00221B37"/>
    <w:rsid w:val="00221E52"/>
    <w:rsid w:val="00222030"/>
    <w:rsid w:val="00222098"/>
    <w:rsid w:val="002221AD"/>
    <w:rsid w:val="00223904"/>
    <w:rsid w:val="00223F72"/>
    <w:rsid w:val="002241CC"/>
    <w:rsid w:val="0022444E"/>
    <w:rsid w:val="00224995"/>
    <w:rsid w:val="002253EF"/>
    <w:rsid w:val="002301D4"/>
    <w:rsid w:val="00231253"/>
    <w:rsid w:val="00232B4A"/>
    <w:rsid w:val="00232E11"/>
    <w:rsid w:val="002330D2"/>
    <w:rsid w:val="00236124"/>
    <w:rsid w:val="0023731A"/>
    <w:rsid w:val="00237EA3"/>
    <w:rsid w:val="002404F3"/>
    <w:rsid w:val="002409D4"/>
    <w:rsid w:val="00241F5E"/>
    <w:rsid w:val="002422F2"/>
    <w:rsid w:val="00243E0A"/>
    <w:rsid w:val="002448D0"/>
    <w:rsid w:val="002452D0"/>
    <w:rsid w:val="00246936"/>
    <w:rsid w:val="00247A39"/>
    <w:rsid w:val="002506B4"/>
    <w:rsid w:val="00250ED8"/>
    <w:rsid w:val="00251318"/>
    <w:rsid w:val="00251C59"/>
    <w:rsid w:val="00252DCF"/>
    <w:rsid w:val="00252EC1"/>
    <w:rsid w:val="00252FFC"/>
    <w:rsid w:val="0025335C"/>
    <w:rsid w:val="00253791"/>
    <w:rsid w:val="00253FA2"/>
    <w:rsid w:val="00254134"/>
    <w:rsid w:val="002541FE"/>
    <w:rsid w:val="002560F2"/>
    <w:rsid w:val="00257401"/>
    <w:rsid w:val="00260079"/>
    <w:rsid w:val="00260F7F"/>
    <w:rsid w:val="002615DC"/>
    <w:rsid w:val="002629FF"/>
    <w:rsid w:val="0026372C"/>
    <w:rsid w:val="002639F4"/>
    <w:rsid w:val="00263A63"/>
    <w:rsid w:val="00264056"/>
    <w:rsid w:val="00265BD5"/>
    <w:rsid w:val="00270028"/>
    <w:rsid w:val="002712A1"/>
    <w:rsid w:val="00271459"/>
    <w:rsid w:val="00272572"/>
    <w:rsid w:val="00275922"/>
    <w:rsid w:val="002759D2"/>
    <w:rsid w:val="002766AA"/>
    <w:rsid w:val="00276A2E"/>
    <w:rsid w:val="00276FFD"/>
    <w:rsid w:val="00277010"/>
    <w:rsid w:val="00281174"/>
    <w:rsid w:val="00281496"/>
    <w:rsid w:val="002828EC"/>
    <w:rsid w:val="0028347C"/>
    <w:rsid w:val="00285D6E"/>
    <w:rsid w:val="00286D08"/>
    <w:rsid w:val="00286FAA"/>
    <w:rsid w:val="002901D8"/>
    <w:rsid w:val="002907F4"/>
    <w:rsid w:val="00290C68"/>
    <w:rsid w:val="00290F16"/>
    <w:rsid w:val="002926BF"/>
    <w:rsid w:val="00292C0D"/>
    <w:rsid w:val="00294A48"/>
    <w:rsid w:val="00294F6F"/>
    <w:rsid w:val="00294FD0"/>
    <w:rsid w:val="00295503"/>
    <w:rsid w:val="0029733B"/>
    <w:rsid w:val="00297732"/>
    <w:rsid w:val="00297936"/>
    <w:rsid w:val="002A1FDA"/>
    <w:rsid w:val="002A24DF"/>
    <w:rsid w:val="002A3A09"/>
    <w:rsid w:val="002A3F83"/>
    <w:rsid w:val="002A47C3"/>
    <w:rsid w:val="002A7921"/>
    <w:rsid w:val="002B2B7B"/>
    <w:rsid w:val="002B333F"/>
    <w:rsid w:val="002B4ADE"/>
    <w:rsid w:val="002B4B86"/>
    <w:rsid w:val="002B50C1"/>
    <w:rsid w:val="002B596A"/>
    <w:rsid w:val="002B5F3A"/>
    <w:rsid w:val="002C0171"/>
    <w:rsid w:val="002C16BD"/>
    <w:rsid w:val="002C2DBE"/>
    <w:rsid w:val="002C2F7C"/>
    <w:rsid w:val="002C49DA"/>
    <w:rsid w:val="002C4C75"/>
    <w:rsid w:val="002C5440"/>
    <w:rsid w:val="002C584E"/>
    <w:rsid w:val="002C6745"/>
    <w:rsid w:val="002D0648"/>
    <w:rsid w:val="002D0EED"/>
    <w:rsid w:val="002D1430"/>
    <w:rsid w:val="002D1C31"/>
    <w:rsid w:val="002D2086"/>
    <w:rsid w:val="002D2409"/>
    <w:rsid w:val="002D2A5D"/>
    <w:rsid w:val="002D31BB"/>
    <w:rsid w:val="002D3207"/>
    <w:rsid w:val="002D380F"/>
    <w:rsid w:val="002D46FC"/>
    <w:rsid w:val="002D5A8A"/>
    <w:rsid w:val="002D63C3"/>
    <w:rsid w:val="002D68BC"/>
    <w:rsid w:val="002D6F75"/>
    <w:rsid w:val="002D78A8"/>
    <w:rsid w:val="002D79B6"/>
    <w:rsid w:val="002E0355"/>
    <w:rsid w:val="002E0BBB"/>
    <w:rsid w:val="002E2391"/>
    <w:rsid w:val="002E3C87"/>
    <w:rsid w:val="002E4CDD"/>
    <w:rsid w:val="002E514F"/>
    <w:rsid w:val="002E5A32"/>
    <w:rsid w:val="002E6C58"/>
    <w:rsid w:val="002E6E0C"/>
    <w:rsid w:val="002E72DE"/>
    <w:rsid w:val="002E79D6"/>
    <w:rsid w:val="002F0505"/>
    <w:rsid w:val="002F4695"/>
    <w:rsid w:val="002F5A89"/>
    <w:rsid w:val="002F77AC"/>
    <w:rsid w:val="002F79B0"/>
    <w:rsid w:val="00300733"/>
    <w:rsid w:val="00307BFF"/>
    <w:rsid w:val="00311482"/>
    <w:rsid w:val="00311933"/>
    <w:rsid w:val="00311A39"/>
    <w:rsid w:val="003121AD"/>
    <w:rsid w:val="0031233E"/>
    <w:rsid w:val="003133DA"/>
    <w:rsid w:val="00313FDF"/>
    <w:rsid w:val="003143B9"/>
    <w:rsid w:val="00315658"/>
    <w:rsid w:val="003159A9"/>
    <w:rsid w:val="003166CC"/>
    <w:rsid w:val="00317689"/>
    <w:rsid w:val="003201B2"/>
    <w:rsid w:val="00320875"/>
    <w:rsid w:val="003218A6"/>
    <w:rsid w:val="003222F2"/>
    <w:rsid w:val="00322A62"/>
    <w:rsid w:val="003233C7"/>
    <w:rsid w:val="00323B8A"/>
    <w:rsid w:val="00323D0C"/>
    <w:rsid w:val="00324311"/>
    <w:rsid w:val="0032497E"/>
    <w:rsid w:val="00324D70"/>
    <w:rsid w:val="00324DA7"/>
    <w:rsid w:val="00325C4D"/>
    <w:rsid w:val="00330503"/>
    <w:rsid w:val="00331317"/>
    <w:rsid w:val="00331319"/>
    <w:rsid w:val="00331494"/>
    <w:rsid w:val="003317B1"/>
    <w:rsid w:val="003325A5"/>
    <w:rsid w:val="00332B5F"/>
    <w:rsid w:val="00332D8A"/>
    <w:rsid w:val="00334BCA"/>
    <w:rsid w:val="003359B6"/>
    <w:rsid w:val="003359C2"/>
    <w:rsid w:val="00340EAD"/>
    <w:rsid w:val="00341C24"/>
    <w:rsid w:val="0034230F"/>
    <w:rsid w:val="00342ED4"/>
    <w:rsid w:val="00343E67"/>
    <w:rsid w:val="0034417D"/>
    <w:rsid w:val="003444C2"/>
    <w:rsid w:val="0034489C"/>
    <w:rsid w:val="00344C39"/>
    <w:rsid w:val="00345D48"/>
    <w:rsid w:val="00346092"/>
    <w:rsid w:val="00347503"/>
    <w:rsid w:val="00350262"/>
    <w:rsid w:val="003504CB"/>
    <w:rsid w:val="00350583"/>
    <w:rsid w:val="00351896"/>
    <w:rsid w:val="00353D6E"/>
    <w:rsid w:val="0035495A"/>
    <w:rsid w:val="00354FDD"/>
    <w:rsid w:val="003556D1"/>
    <w:rsid w:val="00356A97"/>
    <w:rsid w:val="0036159E"/>
    <w:rsid w:val="003624D7"/>
    <w:rsid w:val="00362A82"/>
    <w:rsid w:val="003642D7"/>
    <w:rsid w:val="00364458"/>
    <w:rsid w:val="00364CBF"/>
    <w:rsid w:val="003654BB"/>
    <w:rsid w:val="00365DD0"/>
    <w:rsid w:val="0036695C"/>
    <w:rsid w:val="003702A2"/>
    <w:rsid w:val="00370351"/>
    <w:rsid w:val="00371ED3"/>
    <w:rsid w:val="00372437"/>
    <w:rsid w:val="00372A0D"/>
    <w:rsid w:val="00372BD2"/>
    <w:rsid w:val="003731BF"/>
    <w:rsid w:val="00373303"/>
    <w:rsid w:val="00373880"/>
    <w:rsid w:val="0037548A"/>
    <w:rsid w:val="0037601D"/>
    <w:rsid w:val="00376603"/>
    <w:rsid w:val="00376BE9"/>
    <w:rsid w:val="0037749C"/>
    <w:rsid w:val="00381C3C"/>
    <w:rsid w:val="00382B03"/>
    <w:rsid w:val="0038393E"/>
    <w:rsid w:val="003839AC"/>
    <w:rsid w:val="00383C15"/>
    <w:rsid w:val="00384F55"/>
    <w:rsid w:val="00385528"/>
    <w:rsid w:val="00385666"/>
    <w:rsid w:val="00385AD2"/>
    <w:rsid w:val="00386452"/>
    <w:rsid w:val="00386B55"/>
    <w:rsid w:val="00386D87"/>
    <w:rsid w:val="00390AEF"/>
    <w:rsid w:val="00390D65"/>
    <w:rsid w:val="00391554"/>
    <w:rsid w:val="00392A84"/>
    <w:rsid w:val="00392BF6"/>
    <w:rsid w:val="0039326F"/>
    <w:rsid w:val="003934D7"/>
    <w:rsid w:val="00393B7E"/>
    <w:rsid w:val="00396A1D"/>
    <w:rsid w:val="00397752"/>
    <w:rsid w:val="003A06E0"/>
    <w:rsid w:val="003A3235"/>
    <w:rsid w:val="003A3A19"/>
    <w:rsid w:val="003A573B"/>
    <w:rsid w:val="003A5D93"/>
    <w:rsid w:val="003A6124"/>
    <w:rsid w:val="003A7A8A"/>
    <w:rsid w:val="003B0755"/>
    <w:rsid w:val="003B1AA8"/>
    <w:rsid w:val="003B2281"/>
    <w:rsid w:val="003B3751"/>
    <w:rsid w:val="003B3C30"/>
    <w:rsid w:val="003B5521"/>
    <w:rsid w:val="003B56BE"/>
    <w:rsid w:val="003B6D23"/>
    <w:rsid w:val="003C0EBC"/>
    <w:rsid w:val="003C1893"/>
    <w:rsid w:val="003C1DD9"/>
    <w:rsid w:val="003C3A08"/>
    <w:rsid w:val="003C3BEA"/>
    <w:rsid w:val="003C42CA"/>
    <w:rsid w:val="003C576E"/>
    <w:rsid w:val="003C5899"/>
    <w:rsid w:val="003D00AC"/>
    <w:rsid w:val="003D015A"/>
    <w:rsid w:val="003D096A"/>
    <w:rsid w:val="003D149F"/>
    <w:rsid w:val="003D1B1F"/>
    <w:rsid w:val="003D2BA4"/>
    <w:rsid w:val="003D2BD0"/>
    <w:rsid w:val="003D3F5A"/>
    <w:rsid w:val="003D4C49"/>
    <w:rsid w:val="003D5356"/>
    <w:rsid w:val="003D595C"/>
    <w:rsid w:val="003D619F"/>
    <w:rsid w:val="003D6C8D"/>
    <w:rsid w:val="003D6D0F"/>
    <w:rsid w:val="003D7BB2"/>
    <w:rsid w:val="003D7FB9"/>
    <w:rsid w:val="003E056B"/>
    <w:rsid w:val="003E0B67"/>
    <w:rsid w:val="003E1F68"/>
    <w:rsid w:val="003E23D9"/>
    <w:rsid w:val="003E2513"/>
    <w:rsid w:val="003E2B1C"/>
    <w:rsid w:val="003E3A01"/>
    <w:rsid w:val="003E5810"/>
    <w:rsid w:val="003E6760"/>
    <w:rsid w:val="003E72F2"/>
    <w:rsid w:val="003E77EA"/>
    <w:rsid w:val="003E79D7"/>
    <w:rsid w:val="003F16E7"/>
    <w:rsid w:val="003F280C"/>
    <w:rsid w:val="003F2822"/>
    <w:rsid w:val="003F3217"/>
    <w:rsid w:val="003F388D"/>
    <w:rsid w:val="003F4169"/>
    <w:rsid w:val="003F4B60"/>
    <w:rsid w:val="003F6D5B"/>
    <w:rsid w:val="00401226"/>
    <w:rsid w:val="00401865"/>
    <w:rsid w:val="00401BF9"/>
    <w:rsid w:val="00402223"/>
    <w:rsid w:val="0040255B"/>
    <w:rsid w:val="0040498C"/>
    <w:rsid w:val="004058C1"/>
    <w:rsid w:val="0040600A"/>
    <w:rsid w:val="004078F0"/>
    <w:rsid w:val="00407AEE"/>
    <w:rsid w:val="00412636"/>
    <w:rsid w:val="00412641"/>
    <w:rsid w:val="0041267F"/>
    <w:rsid w:val="004150FA"/>
    <w:rsid w:val="00415D18"/>
    <w:rsid w:val="00416235"/>
    <w:rsid w:val="00416D5A"/>
    <w:rsid w:val="004177EF"/>
    <w:rsid w:val="004206D9"/>
    <w:rsid w:val="00420CC6"/>
    <w:rsid w:val="004211C6"/>
    <w:rsid w:val="004216A0"/>
    <w:rsid w:val="00421912"/>
    <w:rsid w:val="00422985"/>
    <w:rsid w:val="00422C46"/>
    <w:rsid w:val="0042302A"/>
    <w:rsid w:val="00425470"/>
    <w:rsid w:val="00425A27"/>
    <w:rsid w:val="004264F4"/>
    <w:rsid w:val="0042724E"/>
    <w:rsid w:val="00427401"/>
    <w:rsid w:val="004277B4"/>
    <w:rsid w:val="004324DA"/>
    <w:rsid w:val="0043375A"/>
    <w:rsid w:val="00433EFF"/>
    <w:rsid w:val="0043521B"/>
    <w:rsid w:val="00437506"/>
    <w:rsid w:val="00437C5F"/>
    <w:rsid w:val="00440058"/>
    <w:rsid w:val="00440CBC"/>
    <w:rsid w:val="004411A0"/>
    <w:rsid w:val="004414FC"/>
    <w:rsid w:val="00441AB2"/>
    <w:rsid w:val="00443197"/>
    <w:rsid w:val="004456B1"/>
    <w:rsid w:val="00445CCA"/>
    <w:rsid w:val="0044630A"/>
    <w:rsid w:val="004469C5"/>
    <w:rsid w:val="004476B5"/>
    <w:rsid w:val="004502D2"/>
    <w:rsid w:val="00452543"/>
    <w:rsid w:val="004534D0"/>
    <w:rsid w:val="0045604A"/>
    <w:rsid w:val="00457641"/>
    <w:rsid w:val="004608D9"/>
    <w:rsid w:val="004620E8"/>
    <w:rsid w:val="004625A5"/>
    <w:rsid w:val="00462950"/>
    <w:rsid w:val="0046352D"/>
    <w:rsid w:val="00463CE9"/>
    <w:rsid w:val="00464C31"/>
    <w:rsid w:val="00464CEB"/>
    <w:rsid w:val="00465A1A"/>
    <w:rsid w:val="00465EDA"/>
    <w:rsid w:val="00466408"/>
    <w:rsid w:val="00466626"/>
    <w:rsid w:val="004722A5"/>
    <w:rsid w:val="004722B5"/>
    <w:rsid w:val="00473AFE"/>
    <w:rsid w:val="004752B1"/>
    <w:rsid w:val="00475711"/>
    <w:rsid w:val="00475AD6"/>
    <w:rsid w:val="00476B5D"/>
    <w:rsid w:val="00476B8A"/>
    <w:rsid w:val="00476D15"/>
    <w:rsid w:val="004773FE"/>
    <w:rsid w:val="0047745A"/>
    <w:rsid w:val="0048196C"/>
    <w:rsid w:val="00482179"/>
    <w:rsid w:val="00482BAE"/>
    <w:rsid w:val="0048357F"/>
    <w:rsid w:val="00485F80"/>
    <w:rsid w:val="004876F5"/>
    <w:rsid w:val="00491117"/>
    <w:rsid w:val="0049232C"/>
    <w:rsid w:val="0049237C"/>
    <w:rsid w:val="00492587"/>
    <w:rsid w:val="004927AB"/>
    <w:rsid w:val="004930FB"/>
    <w:rsid w:val="00493EF9"/>
    <w:rsid w:val="004979FF"/>
    <w:rsid w:val="004A0F0C"/>
    <w:rsid w:val="004A1CDF"/>
    <w:rsid w:val="004A240C"/>
    <w:rsid w:val="004A25B2"/>
    <w:rsid w:val="004A31E3"/>
    <w:rsid w:val="004A336E"/>
    <w:rsid w:val="004A47FE"/>
    <w:rsid w:val="004A4A2F"/>
    <w:rsid w:val="004A6035"/>
    <w:rsid w:val="004B1B9F"/>
    <w:rsid w:val="004B2404"/>
    <w:rsid w:val="004B3707"/>
    <w:rsid w:val="004B3ACD"/>
    <w:rsid w:val="004B3F50"/>
    <w:rsid w:val="004B4B37"/>
    <w:rsid w:val="004B5A2E"/>
    <w:rsid w:val="004B626B"/>
    <w:rsid w:val="004B640E"/>
    <w:rsid w:val="004C0362"/>
    <w:rsid w:val="004C1B6C"/>
    <w:rsid w:val="004C5056"/>
    <w:rsid w:val="004C5DCD"/>
    <w:rsid w:val="004C5F4B"/>
    <w:rsid w:val="004C5F63"/>
    <w:rsid w:val="004C743E"/>
    <w:rsid w:val="004D11C8"/>
    <w:rsid w:val="004D1982"/>
    <w:rsid w:val="004D1D28"/>
    <w:rsid w:val="004D247C"/>
    <w:rsid w:val="004D28FE"/>
    <w:rsid w:val="004D416B"/>
    <w:rsid w:val="004D4343"/>
    <w:rsid w:val="004D4565"/>
    <w:rsid w:val="004D5A1B"/>
    <w:rsid w:val="004E1049"/>
    <w:rsid w:val="004E1788"/>
    <w:rsid w:val="004E2E23"/>
    <w:rsid w:val="004E3C7A"/>
    <w:rsid w:val="004E4D63"/>
    <w:rsid w:val="004E6EC0"/>
    <w:rsid w:val="004E7561"/>
    <w:rsid w:val="004E774C"/>
    <w:rsid w:val="004F056A"/>
    <w:rsid w:val="004F13EB"/>
    <w:rsid w:val="004F32D7"/>
    <w:rsid w:val="004F406E"/>
    <w:rsid w:val="004F6614"/>
    <w:rsid w:val="004F6636"/>
    <w:rsid w:val="004F6CEF"/>
    <w:rsid w:val="005009FD"/>
    <w:rsid w:val="00500F6D"/>
    <w:rsid w:val="00500FD5"/>
    <w:rsid w:val="0050197C"/>
    <w:rsid w:val="00503040"/>
    <w:rsid w:val="0050624B"/>
    <w:rsid w:val="005064B1"/>
    <w:rsid w:val="00507235"/>
    <w:rsid w:val="00507D0D"/>
    <w:rsid w:val="00510C1A"/>
    <w:rsid w:val="00513C4A"/>
    <w:rsid w:val="00514B76"/>
    <w:rsid w:val="00516985"/>
    <w:rsid w:val="00517821"/>
    <w:rsid w:val="00517F48"/>
    <w:rsid w:val="00521BEA"/>
    <w:rsid w:val="0052359B"/>
    <w:rsid w:val="005238F5"/>
    <w:rsid w:val="005249DF"/>
    <w:rsid w:val="00524DE9"/>
    <w:rsid w:val="00525734"/>
    <w:rsid w:val="005269D1"/>
    <w:rsid w:val="005276A1"/>
    <w:rsid w:val="00531F8C"/>
    <w:rsid w:val="005327AC"/>
    <w:rsid w:val="00534AD3"/>
    <w:rsid w:val="00536268"/>
    <w:rsid w:val="0053751F"/>
    <w:rsid w:val="005430D0"/>
    <w:rsid w:val="005450B8"/>
    <w:rsid w:val="00550C16"/>
    <w:rsid w:val="00552B07"/>
    <w:rsid w:val="005539E4"/>
    <w:rsid w:val="00555919"/>
    <w:rsid w:val="00555BF4"/>
    <w:rsid w:val="00557294"/>
    <w:rsid w:val="00560752"/>
    <w:rsid w:val="005614DB"/>
    <w:rsid w:val="00561DFA"/>
    <w:rsid w:val="00561F7D"/>
    <w:rsid w:val="00562381"/>
    <w:rsid w:val="00562755"/>
    <w:rsid w:val="00565406"/>
    <w:rsid w:val="00565966"/>
    <w:rsid w:val="005669E8"/>
    <w:rsid w:val="00566A22"/>
    <w:rsid w:val="005676E8"/>
    <w:rsid w:val="00567808"/>
    <w:rsid w:val="0057002C"/>
    <w:rsid w:val="00571420"/>
    <w:rsid w:val="0057433E"/>
    <w:rsid w:val="005744CC"/>
    <w:rsid w:val="00575598"/>
    <w:rsid w:val="0057594D"/>
    <w:rsid w:val="00575DAD"/>
    <w:rsid w:val="00576874"/>
    <w:rsid w:val="005778A4"/>
    <w:rsid w:val="00577F9F"/>
    <w:rsid w:val="00580C41"/>
    <w:rsid w:val="00581D0A"/>
    <w:rsid w:val="00583B4A"/>
    <w:rsid w:val="00585907"/>
    <w:rsid w:val="00586553"/>
    <w:rsid w:val="00591A04"/>
    <w:rsid w:val="00592349"/>
    <w:rsid w:val="005926A0"/>
    <w:rsid w:val="00593B47"/>
    <w:rsid w:val="00594FAC"/>
    <w:rsid w:val="00595E28"/>
    <w:rsid w:val="005961AC"/>
    <w:rsid w:val="005964FD"/>
    <w:rsid w:val="005965F4"/>
    <w:rsid w:val="00596B4F"/>
    <w:rsid w:val="00596BB9"/>
    <w:rsid w:val="00597F71"/>
    <w:rsid w:val="005A0878"/>
    <w:rsid w:val="005A1509"/>
    <w:rsid w:val="005A288D"/>
    <w:rsid w:val="005A2E7D"/>
    <w:rsid w:val="005A3949"/>
    <w:rsid w:val="005A3FB4"/>
    <w:rsid w:val="005A6B04"/>
    <w:rsid w:val="005A6DD4"/>
    <w:rsid w:val="005A7A17"/>
    <w:rsid w:val="005A7E07"/>
    <w:rsid w:val="005A7E72"/>
    <w:rsid w:val="005B090A"/>
    <w:rsid w:val="005B2FFD"/>
    <w:rsid w:val="005B4123"/>
    <w:rsid w:val="005B41FC"/>
    <w:rsid w:val="005B717C"/>
    <w:rsid w:val="005B7A77"/>
    <w:rsid w:val="005C0F3A"/>
    <w:rsid w:val="005C1100"/>
    <w:rsid w:val="005C1B1F"/>
    <w:rsid w:val="005C27B3"/>
    <w:rsid w:val="005C3489"/>
    <w:rsid w:val="005C3709"/>
    <w:rsid w:val="005C5C38"/>
    <w:rsid w:val="005C6901"/>
    <w:rsid w:val="005C6D60"/>
    <w:rsid w:val="005C6F9D"/>
    <w:rsid w:val="005C756D"/>
    <w:rsid w:val="005C7B4E"/>
    <w:rsid w:val="005D17F4"/>
    <w:rsid w:val="005D1BA6"/>
    <w:rsid w:val="005D3046"/>
    <w:rsid w:val="005D45D1"/>
    <w:rsid w:val="005D6063"/>
    <w:rsid w:val="005D618A"/>
    <w:rsid w:val="005D6478"/>
    <w:rsid w:val="005D69EB"/>
    <w:rsid w:val="005D78E8"/>
    <w:rsid w:val="005E3408"/>
    <w:rsid w:val="005E35CD"/>
    <w:rsid w:val="005E3EA7"/>
    <w:rsid w:val="005E401B"/>
    <w:rsid w:val="005E4D96"/>
    <w:rsid w:val="005E4F8F"/>
    <w:rsid w:val="005E5912"/>
    <w:rsid w:val="005E639B"/>
    <w:rsid w:val="005F0109"/>
    <w:rsid w:val="005F18BB"/>
    <w:rsid w:val="005F1916"/>
    <w:rsid w:val="005F2559"/>
    <w:rsid w:val="005F307F"/>
    <w:rsid w:val="005F38FE"/>
    <w:rsid w:val="005F3EE4"/>
    <w:rsid w:val="005F40F4"/>
    <w:rsid w:val="005F4378"/>
    <w:rsid w:val="005F4A40"/>
    <w:rsid w:val="005F4AB9"/>
    <w:rsid w:val="005F4EEC"/>
    <w:rsid w:val="005F57BF"/>
    <w:rsid w:val="005F6E84"/>
    <w:rsid w:val="005F7D3E"/>
    <w:rsid w:val="006018F8"/>
    <w:rsid w:val="006022F1"/>
    <w:rsid w:val="00602E51"/>
    <w:rsid w:val="00603D24"/>
    <w:rsid w:val="00605F57"/>
    <w:rsid w:val="006062E8"/>
    <w:rsid w:val="006064F1"/>
    <w:rsid w:val="006079A4"/>
    <w:rsid w:val="00607DFD"/>
    <w:rsid w:val="00610692"/>
    <w:rsid w:val="006107D8"/>
    <w:rsid w:val="00611B59"/>
    <w:rsid w:val="00611C38"/>
    <w:rsid w:val="0061241D"/>
    <w:rsid w:val="006127FF"/>
    <w:rsid w:val="0061288D"/>
    <w:rsid w:val="00613D4B"/>
    <w:rsid w:val="00615D25"/>
    <w:rsid w:val="00617A2A"/>
    <w:rsid w:val="00623663"/>
    <w:rsid w:val="00623BCE"/>
    <w:rsid w:val="006245D9"/>
    <w:rsid w:val="006267E9"/>
    <w:rsid w:val="00627394"/>
    <w:rsid w:val="00627EF3"/>
    <w:rsid w:val="0063005C"/>
    <w:rsid w:val="00632FD3"/>
    <w:rsid w:val="00634156"/>
    <w:rsid w:val="006347BE"/>
    <w:rsid w:val="006348A3"/>
    <w:rsid w:val="006377B8"/>
    <w:rsid w:val="00640115"/>
    <w:rsid w:val="00641158"/>
    <w:rsid w:val="0064181A"/>
    <w:rsid w:val="00641B6C"/>
    <w:rsid w:val="0064518B"/>
    <w:rsid w:val="00645CBA"/>
    <w:rsid w:val="00645EF5"/>
    <w:rsid w:val="006476CF"/>
    <w:rsid w:val="006500F1"/>
    <w:rsid w:val="006503F2"/>
    <w:rsid w:val="00650EE5"/>
    <w:rsid w:val="00651815"/>
    <w:rsid w:val="00661711"/>
    <w:rsid w:val="00662625"/>
    <w:rsid w:val="006627D8"/>
    <w:rsid w:val="006648A1"/>
    <w:rsid w:val="00665537"/>
    <w:rsid w:val="0066553C"/>
    <w:rsid w:val="00665542"/>
    <w:rsid w:val="00667055"/>
    <w:rsid w:val="0066753D"/>
    <w:rsid w:val="00667836"/>
    <w:rsid w:val="00670923"/>
    <w:rsid w:val="00671328"/>
    <w:rsid w:val="0067151D"/>
    <w:rsid w:val="00671586"/>
    <w:rsid w:val="006724A5"/>
    <w:rsid w:val="00673D27"/>
    <w:rsid w:val="00673FD0"/>
    <w:rsid w:val="006744C0"/>
    <w:rsid w:val="006759C5"/>
    <w:rsid w:val="00675CCF"/>
    <w:rsid w:val="00675D28"/>
    <w:rsid w:val="0067654E"/>
    <w:rsid w:val="0067682D"/>
    <w:rsid w:val="00677C86"/>
    <w:rsid w:val="00682E88"/>
    <w:rsid w:val="00683D90"/>
    <w:rsid w:val="00683E6C"/>
    <w:rsid w:val="00683F3A"/>
    <w:rsid w:val="006844B7"/>
    <w:rsid w:val="00685046"/>
    <w:rsid w:val="006857F0"/>
    <w:rsid w:val="00687414"/>
    <w:rsid w:val="0069413D"/>
    <w:rsid w:val="00694E3D"/>
    <w:rsid w:val="00696081"/>
    <w:rsid w:val="00697119"/>
    <w:rsid w:val="00697343"/>
    <w:rsid w:val="006974A8"/>
    <w:rsid w:val="006A1515"/>
    <w:rsid w:val="006A17B0"/>
    <w:rsid w:val="006A1808"/>
    <w:rsid w:val="006A1957"/>
    <w:rsid w:val="006A261F"/>
    <w:rsid w:val="006A2857"/>
    <w:rsid w:val="006A2A3A"/>
    <w:rsid w:val="006A3A69"/>
    <w:rsid w:val="006A5F1E"/>
    <w:rsid w:val="006A61DD"/>
    <w:rsid w:val="006A71FF"/>
    <w:rsid w:val="006A7F42"/>
    <w:rsid w:val="006B0CC4"/>
    <w:rsid w:val="006B116D"/>
    <w:rsid w:val="006B2498"/>
    <w:rsid w:val="006B26BF"/>
    <w:rsid w:val="006B294F"/>
    <w:rsid w:val="006B2CAB"/>
    <w:rsid w:val="006B2DA2"/>
    <w:rsid w:val="006B3E65"/>
    <w:rsid w:val="006B46FF"/>
    <w:rsid w:val="006B6CBA"/>
    <w:rsid w:val="006B72C4"/>
    <w:rsid w:val="006C1BC5"/>
    <w:rsid w:val="006C27FD"/>
    <w:rsid w:val="006C407C"/>
    <w:rsid w:val="006C4642"/>
    <w:rsid w:val="006C4AC9"/>
    <w:rsid w:val="006C63DB"/>
    <w:rsid w:val="006C7F95"/>
    <w:rsid w:val="006D0045"/>
    <w:rsid w:val="006D0646"/>
    <w:rsid w:val="006D09D7"/>
    <w:rsid w:val="006D1089"/>
    <w:rsid w:val="006D26EC"/>
    <w:rsid w:val="006D3968"/>
    <w:rsid w:val="006D3D9E"/>
    <w:rsid w:val="006D5169"/>
    <w:rsid w:val="006D5B21"/>
    <w:rsid w:val="006D5C57"/>
    <w:rsid w:val="006D624E"/>
    <w:rsid w:val="006D6A0C"/>
    <w:rsid w:val="006D6C41"/>
    <w:rsid w:val="006D6F83"/>
    <w:rsid w:val="006E0111"/>
    <w:rsid w:val="006E159E"/>
    <w:rsid w:val="006E2706"/>
    <w:rsid w:val="006E2D18"/>
    <w:rsid w:val="006E5162"/>
    <w:rsid w:val="006E63DE"/>
    <w:rsid w:val="006E6452"/>
    <w:rsid w:val="006E668A"/>
    <w:rsid w:val="006E6A59"/>
    <w:rsid w:val="006E6F15"/>
    <w:rsid w:val="006E77B4"/>
    <w:rsid w:val="006E7D6D"/>
    <w:rsid w:val="006F0063"/>
    <w:rsid w:val="006F03C9"/>
    <w:rsid w:val="006F05BD"/>
    <w:rsid w:val="006F1918"/>
    <w:rsid w:val="006F19BD"/>
    <w:rsid w:val="006F66D7"/>
    <w:rsid w:val="006F6786"/>
    <w:rsid w:val="006F7D92"/>
    <w:rsid w:val="00701957"/>
    <w:rsid w:val="00701D42"/>
    <w:rsid w:val="007020DF"/>
    <w:rsid w:val="007029E2"/>
    <w:rsid w:val="007038BE"/>
    <w:rsid w:val="00703AEE"/>
    <w:rsid w:val="00703F57"/>
    <w:rsid w:val="007042ED"/>
    <w:rsid w:val="0070450E"/>
    <w:rsid w:val="00705A50"/>
    <w:rsid w:val="0070611B"/>
    <w:rsid w:val="007063D8"/>
    <w:rsid w:val="00706479"/>
    <w:rsid w:val="00706C51"/>
    <w:rsid w:val="00711572"/>
    <w:rsid w:val="00711F36"/>
    <w:rsid w:val="00713414"/>
    <w:rsid w:val="007135BB"/>
    <w:rsid w:val="00713885"/>
    <w:rsid w:val="00713C89"/>
    <w:rsid w:val="00714B89"/>
    <w:rsid w:val="0071559D"/>
    <w:rsid w:val="00715717"/>
    <w:rsid w:val="00716172"/>
    <w:rsid w:val="007177F6"/>
    <w:rsid w:val="00720535"/>
    <w:rsid w:val="007208BF"/>
    <w:rsid w:val="007224D1"/>
    <w:rsid w:val="00722B23"/>
    <w:rsid w:val="007244C2"/>
    <w:rsid w:val="007257C7"/>
    <w:rsid w:val="00725DEF"/>
    <w:rsid w:val="007270FB"/>
    <w:rsid w:val="0072784E"/>
    <w:rsid w:val="00730F5B"/>
    <w:rsid w:val="00731FCE"/>
    <w:rsid w:val="007320D3"/>
    <w:rsid w:val="0073248F"/>
    <w:rsid w:val="0073253E"/>
    <w:rsid w:val="00734C75"/>
    <w:rsid w:val="00735FB8"/>
    <w:rsid w:val="00737B67"/>
    <w:rsid w:val="00737BA6"/>
    <w:rsid w:val="007424D1"/>
    <w:rsid w:val="00743289"/>
    <w:rsid w:val="00743591"/>
    <w:rsid w:val="00743888"/>
    <w:rsid w:val="0074392D"/>
    <w:rsid w:val="00745B00"/>
    <w:rsid w:val="00745F41"/>
    <w:rsid w:val="00746039"/>
    <w:rsid w:val="00746D74"/>
    <w:rsid w:val="00746F2D"/>
    <w:rsid w:val="0075008B"/>
    <w:rsid w:val="00750189"/>
    <w:rsid w:val="00751BB5"/>
    <w:rsid w:val="00752E7E"/>
    <w:rsid w:val="00753E41"/>
    <w:rsid w:val="00755E26"/>
    <w:rsid w:val="007560CA"/>
    <w:rsid w:val="00757E7E"/>
    <w:rsid w:val="0076080F"/>
    <w:rsid w:val="007613A1"/>
    <w:rsid w:val="007627EB"/>
    <w:rsid w:val="0076297B"/>
    <w:rsid w:val="0076342F"/>
    <w:rsid w:val="00764F8D"/>
    <w:rsid w:val="00765787"/>
    <w:rsid w:val="00765995"/>
    <w:rsid w:val="007662D1"/>
    <w:rsid w:val="00766724"/>
    <w:rsid w:val="00766910"/>
    <w:rsid w:val="007676F3"/>
    <w:rsid w:val="00767837"/>
    <w:rsid w:val="00770EE5"/>
    <w:rsid w:val="00772EA5"/>
    <w:rsid w:val="00773C79"/>
    <w:rsid w:val="00773E72"/>
    <w:rsid w:val="00774A2B"/>
    <w:rsid w:val="00774F06"/>
    <w:rsid w:val="0077608E"/>
    <w:rsid w:val="007762D7"/>
    <w:rsid w:val="00776AD6"/>
    <w:rsid w:val="00776F9C"/>
    <w:rsid w:val="0077721D"/>
    <w:rsid w:val="00780228"/>
    <w:rsid w:val="00780540"/>
    <w:rsid w:val="00780701"/>
    <w:rsid w:val="00780A05"/>
    <w:rsid w:val="00780A48"/>
    <w:rsid w:val="00780F1B"/>
    <w:rsid w:val="00781DDE"/>
    <w:rsid w:val="007830CB"/>
    <w:rsid w:val="0078334C"/>
    <w:rsid w:val="007843A1"/>
    <w:rsid w:val="007855D9"/>
    <w:rsid w:val="007875A5"/>
    <w:rsid w:val="00787762"/>
    <w:rsid w:val="00791028"/>
    <w:rsid w:val="007916AD"/>
    <w:rsid w:val="00793EBC"/>
    <w:rsid w:val="00793FBC"/>
    <w:rsid w:val="00795FB6"/>
    <w:rsid w:val="00796438"/>
    <w:rsid w:val="00797A3B"/>
    <w:rsid w:val="00797A9C"/>
    <w:rsid w:val="00797C14"/>
    <w:rsid w:val="00797D5E"/>
    <w:rsid w:val="007A215D"/>
    <w:rsid w:val="007A2BB1"/>
    <w:rsid w:val="007A3FC4"/>
    <w:rsid w:val="007A5B11"/>
    <w:rsid w:val="007A5FB4"/>
    <w:rsid w:val="007A6CC9"/>
    <w:rsid w:val="007A74D1"/>
    <w:rsid w:val="007A7794"/>
    <w:rsid w:val="007A7B9D"/>
    <w:rsid w:val="007A7D39"/>
    <w:rsid w:val="007B0FE4"/>
    <w:rsid w:val="007B36B9"/>
    <w:rsid w:val="007B3CA6"/>
    <w:rsid w:val="007B44BE"/>
    <w:rsid w:val="007B5B2B"/>
    <w:rsid w:val="007C06EC"/>
    <w:rsid w:val="007C0BFE"/>
    <w:rsid w:val="007C15ED"/>
    <w:rsid w:val="007C2A08"/>
    <w:rsid w:val="007C43E1"/>
    <w:rsid w:val="007C4524"/>
    <w:rsid w:val="007C4703"/>
    <w:rsid w:val="007C585C"/>
    <w:rsid w:val="007C6D65"/>
    <w:rsid w:val="007C70B5"/>
    <w:rsid w:val="007C7D24"/>
    <w:rsid w:val="007D3747"/>
    <w:rsid w:val="007D4493"/>
    <w:rsid w:val="007D5C8E"/>
    <w:rsid w:val="007D727D"/>
    <w:rsid w:val="007E026B"/>
    <w:rsid w:val="007E0E65"/>
    <w:rsid w:val="007E1BB0"/>
    <w:rsid w:val="007E247B"/>
    <w:rsid w:val="007E2A92"/>
    <w:rsid w:val="007E2B35"/>
    <w:rsid w:val="007E487D"/>
    <w:rsid w:val="007E495C"/>
    <w:rsid w:val="007E506A"/>
    <w:rsid w:val="007E66A4"/>
    <w:rsid w:val="007E67BE"/>
    <w:rsid w:val="007E7F80"/>
    <w:rsid w:val="007F0764"/>
    <w:rsid w:val="007F0F6E"/>
    <w:rsid w:val="007F10D2"/>
    <w:rsid w:val="007F157B"/>
    <w:rsid w:val="007F31F5"/>
    <w:rsid w:val="007F42A1"/>
    <w:rsid w:val="00800198"/>
    <w:rsid w:val="008006E6"/>
    <w:rsid w:val="008014C2"/>
    <w:rsid w:val="00802AF0"/>
    <w:rsid w:val="008032FB"/>
    <w:rsid w:val="00804186"/>
    <w:rsid w:val="0080577B"/>
    <w:rsid w:val="00806B03"/>
    <w:rsid w:val="00812679"/>
    <w:rsid w:val="00813F69"/>
    <w:rsid w:val="00814B88"/>
    <w:rsid w:val="00814C94"/>
    <w:rsid w:val="00814E4D"/>
    <w:rsid w:val="008169A5"/>
    <w:rsid w:val="0081704B"/>
    <w:rsid w:val="0082080F"/>
    <w:rsid w:val="00820D9F"/>
    <w:rsid w:val="00821C74"/>
    <w:rsid w:val="00821D9E"/>
    <w:rsid w:val="00822044"/>
    <w:rsid w:val="00822E98"/>
    <w:rsid w:val="00822EFD"/>
    <w:rsid w:val="008233DF"/>
    <w:rsid w:val="0082387F"/>
    <w:rsid w:val="00824D80"/>
    <w:rsid w:val="00825DBE"/>
    <w:rsid w:val="00827911"/>
    <w:rsid w:val="00830FC5"/>
    <w:rsid w:val="008312B4"/>
    <w:rsid w:val="008313A5"/>
    <w:rsid w:val="00832070"/>
    <w:rsid w:val="00832BE5"/>
    <w:rsid w:val="00833164"/>
    <w:rsid w:val="00833461"/>
    <w:rsid w:val="00834311"/>
    <w:rsid w:val="00834A7F"/>
    <w:rsid w:val="00835339"/>
    <w:rsid w:val="008363B7"/>
    <w:rsid w:val="00837AFA"/>
    <w:rsid w:val="00837F13"/>
    <w:rsid w:val="008414DC"/>
    <w:rsid w:val="00841B24"/>
    <w:rsid w:val="008434B5"/>
    <w:rsid w:val="008434CB"/>
    <w:rsid w:val="00843E82"/>
    <w:rsid w:val="00844AE7"/>
    <w:rsid w:val="00845955"/>
    <w:rsid w:val="00845D19"/>
    <w:rsid w:val="00845E2D"/>
    <w:rsid w:val="008469BB"/>
    <w:rsid w:val="00846D04"/>
    <w:rsid w:val="00850FEF"/>
    <w:rsid w:val="00851FDB"/>
    <w:rsid w:val="008525CE"/>
    <w:rsid w:val="00854B43"/>
    <w:rsid w:val="00855BB1"/>
    <w:rsid w:val="00855C19"/>
    <w:rsid w:val="00860596"/>
    <w:rsid w:val="00863EA9"/>
    <w:rsid w:val="008640DC"/>
    <w:rsid w:val="00865F93"/>
    <w:rsid w:val="0086796E"/>
    <w:rsid w:val="00871381"/>
    <w:rsid w:val="008725A2"/>
    <w:rsid w:val="00873113"/>
    <w:rsid w:val="008759EA"/>
    <w:rsid w:val="00876B31"/>
    <w:rsid w:val="00876D88"/>
    <w:rsid w:val="008802B9"/>
    <w:rsid w:val="0088089C"/>
    <w:rsid w:val="00880AD1"/>
    <w:rsid w:val="00880DA6"/>
    <w:rsid w:val="0088138E"/>
    <w:rsid w:val="00881759"/>
    <w:rsid w:val="00881AB6"/>
    <w:rsid w:val="00881E0C"/>
    <w:rsid w:val="008823B5"/>
    <w:rsid w:val="00882F18"/>
    <w:rsid w:val="00883DDA"/>
    <w:rsid w:val="0088459F"/>
    <w:rsid w:val="008874CE"/>
    <w:rsid w:val="00887608"/>
    <w:rsid w:val="00890491"/>
    <w:rsid w:val="008904B9"/>
    <w:rsid w:val="0089128B"/>
    <w:rsid w:val="0089178B"/>
    <w:rsid w:val="00891E6B"/>
    <w:rsid w:val="0089304E"/>
    <w:rsid w:val="00894F0B"/>
    <w:rsid w:val="00895773"/>
    <w:rsid w:val="008959AA"/>
    <w:rsid w:val="008963CF"/>
    <w:rsid w:val="0089642C"/>
    <w:rsid w:val="008A4D2C"/>
    <w:rsid w:val="008A5C55"/>
    <w:rsid w:val="008A5DDA"/>
    <w:rsid w:val="008A652E"/>
    <w:rsid w:val="008A7991"/>
    <w:rsid w:val="008B24B2"/>
    <w:rsid w:val="008B2D57"/>
    <w:rsid w:val="008B38D2"/>
    <w:rsid w:val="008B5C7B"/>
    <w:rsid w:val="008C0347"/>
    <w:rsid w:val="008C0F38"/>
    <w:rsid w:val="008C107C"/>
    <w:rsid w:val="008C1CCC"/>
    <w:rsid w:val="008C1E98"/>
    <w:rsid w:val="008C24D9"/>
    <w:rsid w:val="008C4601"/>
    <w:rsid w:val="008C4632"/>
    <w:rsid w:val="008C4914"/>
    <w:rsid w:val="008C4E49"/>
    <w:rsid w:val="008C55B0"/>
    <w:rsid w:val="008C5781"/>
    <w:rsid w:val="008C7D13"/>
    <w:rsid w:val="008D1738"/>
    <w:rsid w:val="008D1785"/>
    <w:rsid w:val="008D21A1"/>
    <w:rsid w:val="008D579A"/>
    <w:rsid w:val="008D79DC"/>
    <w:rsid w:val="008E020A"/>
    <w:rsid w:val="008E076C"/>
    <w:rsid w:val="008E0BCF"/>
    <w:rsid w:val="008E1DF4"/>
    <w:rsid w:val="008E272C"/>
    <w:rsid w:val="008E2A24"/>
    <w:rsid w:val="008E34AF"/>
    <w:rsid w:val="008E4432"/>
    <w:rsid w:val="008E4528"/>
    <w:rsid w:val="008E4998"/>
    <w:rsid w:val="008F0F88"/>
    <w:rsid w:val="008F1145"/>
    <w:rsid w:val="008F1375"/>
    <w:rsid w:val="008F2136"/>
    <w:rsid w:val="008F22C7"/>
    <w:rsid w:val="008F23DC"/>
    <w:rsid w:val="008F2A17"/>
    <w:rsid w:val="008F4C5E"/>
    <w:rsid w:val="008F5AA2"/>
    <w:rsid w:val="008F7969"/>
    <w:rsid w:val="008F7993"/>
    <w:rsid w:val="009007E9"/>
    <w:rsid w:val="00901A10"/>
    <w:rsid w:val="00902486"/>
    <w:rsid w:val="00902B3C"/>
    <w:rsid w:val="00902BBD"/>
    <w:rsid w:val="00902BC0"/>
    <w:rsid w:val="009037D7"/>
    <w:rsid w:val="00903ABB"/>
    <w:rsid w:val="00904A2D"/>
    <w:rsid w:val="00904A61"/>
    <w:rsid w:val="00904D77"/>
    <w:rsid w:val="00905E99"/>
    <w:rsid w:val="00910823"/>
    <w:rsid w:val="0091139F"/>
    <w:rsid w:val="00911665"/>
    <w:rsid w:val="00911FC4"/>
    <w:rsid w:val="009122D3"/>
    <w:rsid w:val="00913C27"/>
    <w:rsid w:val="00914876"/>
    <w:rsid w:val="00914F07"/>
    <w:rsid w:val="00916FA0"/>
    <w:rsid w:val="009175E3"/>
    <w:rsid w:val="00917B89"/>
    <w:rsid w:val="00920553"/>
    <w:rsid w:val="009221D3"/>
    <w:rsid w:val="00922346"/>
    <w:rsid w:val="00924D6D"/>
    <w:rsid w:val="00925119"/>
    <w:rsid w:val="009255D7"/>
    <w:rsid w:val="00925CB4"/>
    <w:rsid w:val="00926E71"/>
    <w:rsid w:val="009277CE"/>
    <w:rsid w:val="009277D0"/>
    <w:rsid w:val="00927937"/>
    <w:rsid w:val="0093012E"/>
    <w:rsid w:val="00931C17"/>
    <w:rsid w:val="00932458"/>
    <w:rsid w:val="00933616"/>
    <w:rsid w:val="00933B57"/>
    <w:rsid w:val="00933CF8"/>
    <w:rsid w:val="00933D21"/>
    <w:rsid w:val="009360AC"/>
    <w:rsid w:val="00936517"/>
    <w:rsid w:val="00936704"/>
    <w:rsid w:val="009407D0"/>
    <w:rsid w:val="00940E48"/>
    <w:rsid w:val="00940ED0"/>
    <w:rsid w:val="009411F5"/>
    <w:rsid w:val="00944DEC"/>
    <w:rsid w:val="009452D4"/>
    <w:rsid w:val="00946010"/>
    <w:rsid w:val="00947A1C"/>
    <w:rsid w:val="00950778"/>
    <w:rsid w:val="0095157B"/>
    <w:rsid w:val="00951FE3"/>
    <w:rsid w:val="009520FE"/>
    <w:rsid w:val="00954E98"/>
    <w:rsid w:val="00954F1F"/>
    <w:rsid w:val="0095500F"/>
    <w:rsid w:val="009556C6"/>
    <w:rsid w:val="00957A14"/>
    <w:rsid w:val="0096030D"/>
    <w:rsid w:val="00960B96"/>
    <w:rsid w:val="00960D22"/>
    <w:rsid w:val="00962251"/>
    <w:rsid w:val="009640A3"/>
    <w:rsid w:val="0096455F"/>
    <w:rsid w:val="00965AD4"/>
    <w:rsid w:val="00965F1A"/>
    <w:rsid w:val="00970B97"/>
    <w:rsid w:val="0097131C"/>
    <w:rsid w:val="0097405B"/>
    <w:rsid w:val="009751DC"/>
    <w:rsid w:val="00975316"/>
    <w:rsid w:val="00975CCE"/>
    <w:rsid w:val="00977AFE"/>
    <w:rsid w:val="00977B94"/>
    <w:rsid w:val="00983D37"/>
    <w:rsid w:val="00985710"/>
    <w:rsid w:val="00985CAC"/>
    <w:rsid w:val="00986D60"/>
    <w:rsid w:val="00987B2F"/>
    <w:rsid w:val="00990202"/>
    <w:rsid w:val="00990A10"/>
    <w:rsid w:val="00991B2C"/>
    <w:rsid w:val="00991E34"/>
    <w:rsid w:val="00992003"/>
    <w:rsid w:val="00992C78"/>
    <w:rsid w:val="00993BCE"/>
    <w:rsid w:val="00994657"/>
    <w:rsid w:val="00994668"/>
    <w:rsid w:val="00995116"/>
    <w:rsid w:val="00995241"/>
    <w:rsid w:val="0099562C"/>
    <w:rsid w:val="00997A46"/>
    <w:rsid w:val="00997D37"/>
    <w:rsid w:val="009A0381"/>
    <w:rsid w:val="009A0E1C"/>
    <w:rsid w:val="009A32FA"/>
    <w:rsid w:val="009A3834"/>
    <w:rsid w:val="009A43CC"/>
    <w:rsid w:val="009A44ED"/>
    <w:rsid w:val="009A4529"/>
    <w:rsid w:val="009A59F8"/>
    <w:rsid w:val="009A676D"/>
    <w:rsid w:val="009A6899"/>
    <w:rsid w:val="009A7243"/>
    <w:rsid w:val="009A7422"/>
    <w:rsid w:val="009B11C4"/>
    <w:rsid w:val="009B2E7A"/>
    <w:rsid w:val="009B3412"/>
    <w:rsid w:val="009B346E"/>
    <w:rsid w:val="009B4C50"/>
    <w:rsid w:val="009B5186"/>
    <w:rsid w:val="009B51BB"/>
    <w:rsid w:val="009B56DF"/>
    <w:rsid w:val="009B72C7"/>
    <w:rsid w:val="009B7F0B"/>
    <w:rsid w:val="009C2DB9"/>
    <w:rsid w:val="009C548A"/>
    <w:rsid w:val="009C5EDD"/>
    <w:rsid w:val="009C6E98"/>
    <w:rsid w:val="009C74F6"/>
    <w:rsid w:val="009D0639"/>
    <w:rsid w:val="009D263B"/>
    <w:rsid w:val="009D2A95"/>
    <w:rsid w:val="009D356B"/>
    <w:rsid w:val="009D6391"/>
    <w:rsid w:val="009D6475"/>
    <w:rsid w:val="009D6C2C"/>
    <w:rsid w:val="009D6C77"/>
    <w:rsid w:val="009E019B"/>
    <w:rsid w:val="009E0DB2"/>
    <w:rsid w:val="009E1255"/>
    <w:rsid w:val="009E1936"/>
    <w:rsid w:val="009E312A"/>
    <w:rsid w:val="009E6019"/>
    <w:rsid w:val="009E65D2"/>
    <w:rsid w:val="009E7BA7"/>
    <w:rsid w:val="009F001B"/>
    <w:rsid w:val="009F1526"/>
    <w:rsid w:val="009F1F29"/>
    <w:rsid w:val="009F23BE"/>
    <w:rsid w:val="009F25D1"/>
    <w:rsid w:val="009F361D"/>
    <w:rsid w:val="009F42E5"/>
    <w:rsid w:val="009F483A"/>
    <w:rsid w:val="009F5653"/>
    <w:rsid w:val="009F5CEF"/>
    <w:rsid w:val="009F5D5F"/>
    <w:rsid w:val="009F6719"/>
    <w:rsid w:val="009F685B"/>
    <w:rsid w:val="009F68FC"/>
    <w:rsid w:val="009F71BD"/>
    <w:rsid w:val="00A0083C"/>
    <w:rsid w:val="00A021CB"/>
    <w:rsid w:val="00A041EC"/>
    <w:rsid w:val="00A043DC"/>
    <w:rsid w:val="00A04618"/>
    <w:rsid w:val="00A04F54"/>
    <w:rsid w:val="00A0777A"/>
    <w:rsid w:val="00A10375"/>
    <w:rsid w:val="00A10ED9"/>
    <w:rsid w:val="00A11818"/>
    <w:rsid w:val="00A1273A"/>
    <w:rsid w:val="00A1399D"/>
    <w:rsid w:val="00A14E6B"/>
    <w:rsid w:val="00A16CE1"/>
    <w:rsid w:val="00A17133"/>
    <w:rsid w:val="00A1749A"/>
    <w:rsid w:val="00A177CA"/>
    <w:rsid w:val="00A2069F"/>
    <w:rsid w:val="00A21039"/>
    <w:rsid w:val="00A21760"/>
    <w:rsid w:val="00A21BD9"/>
    <w:rsid w:val="00A220B2"/>
    <w:rsid w:val="00A23A14"/>
    <w:rsid w:val="00A23B58"/>
    <w:rsid w:val="00A24358"/>
    <w:rsid w:val="00A243B5"/>
    <w:rsid w:val="00A24A8E"/>
    <w:rsid w:val="00A24E6B"/>
    <w:rsid w:val="00A25C39"/>
    <w:rsid w:val="00A26A47"/>
    <w:rsid w:val="00A26AB4"/>
    <w:rsid w:val="00A26D01"/>
    <w:rsid w:val="00A26DDD"/>
    <w:rsid w:val="00A2760C"/>
    <w:rsid w:val="00A311F9"/>
    <w:rsid w:val="00A313EA"/>
    <w:rsid w:val="00A336A2"/>
    <w:rsid w:val="00A337F4"/>
    <w:rsid w:val="00A3486D"/>
    <w:rsid w:val="00A34EFD"/>
    <w:rsid w:val="00A35454"/>
    <w:rsid w:val="00A35FDA"/>
    <w:rsid w:val="00A36F0B"/>
    <w:rsid w:val="00A37526"/>
    <w:rsid w:val="00A37F22"/>
    <w:rsid w:val="00A4225F"/>
    <w:rsid w:val="00A427C0"/>
    <w:rsid w:val="00A428A8"/>
    <w:rsid w:val="00A4314A"/>
    <w:rsid w:val="00A43B6E"/>
    <w:rsid w:val="00A43C9B"/>
    <w:rsid w:val="00A447BC"/>
    <w:rsid w:val="00A44852"/>
    <w:rsid w:val="00A47587"/>
    <w:rsid w:val="00A50DA9"/>
    <w:rsid w:val="00A51186"/>
    <w:rsid w:val="00A518E6"/>
    <w:rsid w:val="00A51B39"/>
    <w:rsid w:val="00A51DA2"/>
    <w:rsid w:val="00A51E18"/>
    <w:rsid w:val="00A53D78"/>
    <w:rsid w:val="00A54256"/>
    <w:rsid w:val="00A542A3"/>
    <w:rsid w:val="00A55930"/>
    <w:rsid w:val="00A6001C"/>
    <w:rsid w:val="00A6324E"/>
    <w:rsid w:val="00A63C33"/>
    <w:rsid w:val="00A64DFB"/>
    <w:rsid w:val="00A64F0A"/>
    <w:rsid w:val="00A678FC"/>
    <w:rsid w:val="00A67BC0"/>
    <w:rsid w:val="00A67F9F"/>
    <w:rsid w:val="00A710D4"/>
    <w:rsid w:val="00A71DAB"/>
    <w:rsid w:val="00A71EEB"/>
    <w:rsid w:val="00A720E1"/>
    <w:rsid w:val="00A721B1"/>
    <w:rsid w:val="00A724F4"/>
    <w:rsid w:val="00A7456A"/>
    <w:rsid w:val="00A74771"/>
    <w:rsid w:val="00A74F6A"/>
    <w:rsid w:val="00A756FA"/>
    <w:rsid w:val="00A75809"/>
    <w:rsid w:val="00A75E85"/>
    <w:rsid w:val="00A76171"/>
    <w:rsid w:val="00A76C4B"/>
    <w:rsid w:val="00A7766F"/>
    <w:rsid w:val="00A77E5C"/>
    <w:rsid w:val="00A804D1"/>
    <w:rsid w:val="00A8069E"/>
    <w:rsid w:val="00A8196A"/>
    <w:rsid w:val="00A82787"/>
    <w:rsid w:val="00A82E94"/>
    <w:rsid w:val="00A83024"/>
    <w:rsid w:val="00A83BF3"/>
    <w:rsid w:val="00A84DF5"/>
    <w:rsid w:val="00A85557"/>
    <w:rsid w:val="00A85C4B"/>
    <w:rsid w:val="00A85F5C"/>
    <w:rsid w:val="00A86693"/>
    <w:rsid w:val="00A86703"/>
    <w:rsid w:val="00A873F8"/>
    <w:rsid w:val="00A876A8"/>
    <w:rsid w:val="00A87AB8"/>
    <w:rsid w:val="00A87E8A"/>
    <w:rsid w:val="00A916C0"/>
    <w:rsid w:val="00A928BF"/>
    <w:rsid w:val="00A93D00"/>
    <w:rsid w:val="00A93D9F"/>
    <w:rsid w:val="00A9632D"/>
    <w:rsid w:val="00A96A6E"/>
    <w:rsid w:val="00A97596"/>
    <w:rsid w:val="00AA0E06"/>
    <w:rsid w:val="00AA287B"/>
    <w:rsid w:val="00AA28C8"/>
    <w:rsid w:val="00AA3693"/>
    <w:rsid w:val="00AA3868"/>
    <w:rsid w:val="00AA46DE"/>
    <w:rsid w:val="00AA5D2B"/>
    <w:rsid w:val="00AA750C"/>
    <w:rsid w:val="00AB0719"/>
    <w:rsid w:val="00AB0F89"/>
    <w:rsid w:val="00AB160C"/>
    <w:rsid w:val="00AB260B"/>
    <w:rsid w:val="00AB33FD"/>
    <w:rsid w:val="00AB4739"/>
    <w:rsid w:val="00AB5012"/>
    <w:rsid w:val="00AB5B6B"/>
    <w:rsid w:val="00AB6568"/>
    <w:rsid w:val="00AB6E90"/>
    <w:rsid w:val="00AB7001"/>
    <w:rsid w:val="00AB75FC"/>
    <w:rsid w:val="00AC3E99"/>
    <w:rsid w:val="00AC4CC9"/>
    <w:rsid w:val="00AC548B"/>
    <w:rsid w:val="00AC7B24"/>
    <w:rsid w:val="00AD038F"/>
    <w:rsid w:val="00AD0C98"/>
    <w:rsid w:val="00AD1797"/>
    <w:rsid w:val="00AD1974"/>
    <w:rsid w:val="00AD4040"/>
    <w:rsid w:val="00AD42B6"/>
    <w:rsid w:val="00AD5B73"/>
    <w:rsid w:val="00AD697D"/>
    <w:rsid w:val="00AD7345"/>
    <w:rsid w:val="00AD7F07"/>
    <w:rsid w:val="00AE0C74"/>
    <w:rsid w:val="00AE0E5D"/>
    <w:rsid w:val="00AE0FBF"/>
    <w:rsid w:val="00AE1C11"/>
    <w:rsid w:val="00AE2751"/>
    <w:rsid w:val="00AE2A59"/>
    <w:rsid w:val="00AE33F8"/>
    <w:rsid w:val="00AE4C10"/>
    <w:rsid w:val="00AE61C2"/>
    <w:rsid w:val="00AE6C0C"/>
    <w:rsid w:val="00AE7094"/>
    <w:rsid w:val="00AE723D"/>
    <w:rsid w:val="00AE7416"/>
    <w:rsid w:val="00AE7D1B"/>
    <w:rsid w:val="00AF0D0F"/>
    <w:rsid w:val="00AF0DD8"/>
    <w:rsid w:val="00AF1E66"/>
    <w:rsid w:val="00AF437B"/>
    <w:rsid w:val="00AF5285"/>
    <w:rsid w:val="00AF6EBC"/>
    <w:rsid w:val="00AF75C8"/>
    <w:rsid w:val="00B00CAB"/>
    <w:rsid w:val="00B01266"/>
    <w:rsid w:val="00B02F74"/>
    <w:rsid w:val="00B03B2E"/>
    <w:rsid w:val="00B044FB"/>
    <w:rsid w:val="00B060E3"/>
    <w:rsid w:val="00B069A9"/>
    <w:rsid w:val="00B07DB7"/>
    <w:rsid w:val="00B111BF"/>
    <w:rsid w:val="00B1142C"/>
    <w:rsid w:val="00B11AC7"/>
    <w:rsid w:val="00B12066"/>
    <w:rsid w:val="00B122F5"/>
    <w:rsid w:val="00B132CC"/>
    <w:rsid w:val="00B1346B"/>
    <w:rsid w:val="00B13B11"/>
    <w:rsid w:val="00B1442D"/>
    <w:rsid w:val="00B15A99"/>
    <w:rsid w:val="00B15E80"/>
    <w:rsid w:val="00B17218"/>
    <w:rsid w:val="00B17698"/>
    <w:rsid w:val="00B17917"/>
    <w:rsid w:val="00B17D9B"/>
    <w:rsid w:val="00B20DF7"/>
    <w:rsid w:val="00B2157A"/>
    <w:rsid w:val="00B219EE"/>
    <w:rsid w:val="00B22A26"/>
    <w:rsid w:val="00B22E26"/>
    <w:rsid w:val="00B23173"/>
    <w:rsid w:val="00B2402F"/>
    <w:rsid w:val="00B249D2"/>
    <w:rsid w:val="00B26C52"/>
    <w:rsid w:val="00B30C61"/>
    <w:rsid w:val="00B30D02"/>
    <w:rsid w:val="00B313C3"/>
    <w:rsid w:val="00B327B1"/>
    <w:rsid w:val="00B3331E"/>
    <w:rsid w:val="00B349FE"/>
    <w:rsid w:val="00B355AB"/>
    <w:rsid w:val="00B3658B"/>
    <w:rsid w:val="00B36BA6"/>
    <w:rsid w:val="00B37C9A"/>
    <w:rsid w:val="00B40A4B"/>
    <w:rsid w:val="00B41CAE"/>
    <w:rsid w:val="00B426A0"/>
    <w:rsid w:val="00B44B67"/>
    <w:rsid w:val="00B44F76"/>
    <w:rsid w:val="00B471AB"/>
    <w:rsid w:val="00B47F7C"/>
    <w:rsid w:val="00B50B51"/>
    <w:rsid w:val="00B534A5"/>
    <w:rsid w:val="00B534D3"/>
    <w:rsid w:val="00B53D88"/>
    <w:rsid w:val="00B560F5"/>
    <w:rsid w:val="00B57697"/>
    <w:rsid w:val="00B60694"/>
    <w:rsid w:val="00B60AA9"/>
    <w:rsid w:val="00B6106D"/>
    <w:rsid w:val="00B621DD"/>
    <w:rsid w:val="00B665E0"/>
    <w:rsid w:val="00B7172B"/>
    <w:rsid w:val="00B71E40"/>
    <w:rsid w:val="00B72A75"/>
    <w:rsid w:val="00B73711"/>
    <w:rsid w:val="00B73ACC"/>
    <w:rsid w:val="00B73AF3"/>
    <w:rsid w:val="00B74A0D"/>
    <w:rsid w:val="00B74C11"/>
    <w:rsid w:val="00B76447"/>
    <w:rsid w:val="00B76946"/>
    <w:rsid w:val="00B775EC"/>
    <w:rsid w:val="00B77958"/>
    <w:rsid w:val="00B8126E"/>
    <w:rsid w:val="00B81275"/>
    <w:rsid w:val="00B81737"/>
    <w:rsid w:val="00B81EBB"/>
    <w:rsid w:val="00B82943"/>
    <w:rsid w:val="00B83AB9"/>
    <w:rsid w:val="00B855A3"/>
    <w:rsid w:val="00B85990"/>
    <w:rsid w:val="00B8718F"/>
    <w:rsid w:val="00B87F55"/>
    <w:rsid w:val="00B902E7"/>
    <w:rsid w:val="00B90693"/>
    <w:rsid w:val="00B90CD3"/>
    <w:rsid w:val="00B90DE4"/>
    <w:rsid w:val="00B9124A"/>
    <w:rsid w:val="00B91A18"/>
    <w:rsid w:val="00B9427C"/>
    <w:rsid w:val="00B968B5"/>
    <w:rsid w:val="00B96C0D"/>
    <w:rsid w:val="00B96EF3"/>
    <w:rsid w:val="00B9795F"/>
    <w:rsid w:val="00B97980"/>
    <w:rsid w:val="00B97AFB"/>
    <w:rsid w:val="00BA0A9A"/>
    <w:rsid w:val="00BA0D8D"/>
    <w:rsid w:val="00BA13CD"/>
    <w:rsid w:val="00BA2AF9"/>
    <w:rsid w:val="00BA42B6"/>
    <w:rsid w:val="00BA468B"/>
    <w:rsid w:val="00BA53A7"/>
    <w:rsid w:val="00BA67E0"/>
    <w:rsid w:val="00BA73F2"/>
    <w:rsid w:val="00BA7B75"/>
    <w:rsid w:val="00BB021D"/>
    <w:rsid w:val="00BB07A7"/>
    <w:rsid w:val="00BB1006"/>
    <w:rsid w:val="00BB1238"/>
    <w:rsid w:val="00BB162D"/>
    <w:rsid w:val="00BB2D84"/>
    <w:rsid w:val="00BB37A4"/>
    <w:rsid w:val="00BB3DFA"/>
    <w:rsid w:val="00BB5625"/>
    <w:rsid w:val="00BB591F"/>
    <w:rsid w:val="00BB6256"/>
    <w:rsid w:val="00BC3E66"/>
    <w:rsid w:val="00BC5BA2"/>
    <w:rsid w:val="00BC5CC0"/>
    <w:rsid w:val="00BC62FD"/>
    <w:rsid w:val="00BC7959"/>
    <w:rsid w:val="00BC7E99"/>
    <w:rsid w:val="00BC7F76"/>
    <w:rsid w:val="00BD10BB"/>
    <w:rsid w:val="00BD115A"/>
    <w:rsid w:val="00BD17E2"/>
    <w:rsid w:val="00BD1C82"/>
    <w:rsid w:val="00BD1DD6"/>
    <w:rsid w:val="00BD233F"/>
    <w:rsid w:val="00BD5A5E"/>
    <w:rsid w:val="00BD679B"/>
    <w:rsid w:val="00BD6806"/>
    <w:rsid w:val="00BD72F8"/>
    <w:rsid w:val="00BD7FC5"/>
    <w:rsid w:val="00BE0FA7"/>
    <w:rsid w:val="00BE15B0"/>
    <w:rsid w:val="00BE1B84"/>
    <w:rsid w:val="00BE2C11"/>
    <w:rsid w:val="00BE3001"/>
    <w:rsid w:val="00BE31F7"/>
    <w:rsid w:val="00BE376D"/>
    <w:rsid w:val="00BE3A82"/>
    <w:rsid w:val="00BE46D8"/>
    <w:rsid w:val="00BE53B3"/>
    <w:rsid w:val="00BE66AF"/>
    <w:rsid w:val="00BE6932"/>
    <w:rsid w:val="00BE6A8E"/>
    <w:rsid w:val="00BE710B"/>
    <w:rsid w:val="00BF1B83"/>
    <w:rsid w:val="00BF5B70"/>
    <w:rsid w:val="00BF6489"/>
    <w:rsid w:val="00BF699E"/>
    <w:rsid w:val="00BF720C"/>
    <w:rsid w:val="00C00057"/>
    <w:rsid w:val="00C00F8A"/>
    <w:rsid w:val="00C01041"/>
    <w:rsid w:val="00C01CF0"/>
    <w:rsid w:val="00C027D7"/>
    <w:rsid w:val="00C04754"/>
    <w:rsid w:val="00C055EC"/>
    <w:rsid w:val="00C07D5A"/>
    <w:rsid w:val="00C07E46"/>
    <w:rsid w:val="00C112FB"/>
    <w:rsid w:val="00C13318"/>
    <w:rsid w:val="00C137BB"/>
    <w:rsid w:val="00C15196"/>
    <w:rsid w:val="00C17278"/>
    <w:rsid w:val="00C174E6"/>
    <w:rsid w:val="00C1777C"/>
    <w:rsid w:val="00C21F0A"/>
    <w:rsid w:val="00C2230C"/>
    <w:rsid w:val="00C22B24"/>
    <w:rsid w:val="00C24558"/>
    <w:rsid w:val="00C24D24"/>
    <w:rsid w:val="00C2516A"/>
    <w:rsid w:val="00C260BE"/>
    <w:rsid w:val="00C26113"/>
    <w:rsid w:val="00C2651A"/>
    <w:rsid w:val="00C2694C"/>
    <w:rsid w:val="00C26FDE"/>
    <w:rsid w:val="00C30FDE"/>
    <w:rsid w:val="00C33280"/>
    <w:rsid w:val="00C33295"/>
    <w:rsid w:val="00C33483"/>
    <w:rsid w:val="00C349DF"/>
    <w:rsid w:val="00C349ED"/>
    <w:rsid w:val="00C34C92"/>
    <w:rsid w:val="00C35E7F"/>
    <w:rsid w:val="00C40C70"/>
    <w:rsid w:val="00C41B7E"/>
    <w:rsid w:val="00C41D4A"/>
    <w:rsid w:val="00C42FB6"/>
    <w:rsid w:val="00C4416F"/>
    <w:rsid w:val="00C4521E"/>
    <w:rsid w:val="00C458EA"/>
    <w:rsid w:val="00C46618"/>
    <w:rsid w:val="00C46A8B"/>
    <w:rsid w:val="00C46AC9"/>
    <w:rsid w:val="00C479E8"/>
    <w:rsid w:val="00C50F58"/>
    <w:rsid w:val="00C51499"/>
    <w:rsid w:val="00C51B17"/>
    <w:rsid w:val="00C520FB"/>
    <w:rsid w:val="00C53F37"/>
    <w:rsid w:val="00C55BCA"/>
    <w:rsid w:val="00C56582"/>
    <w:rsid w:val="00C573AD"/>
    <w:rsid w:val="00C61845"/>
    <w:rsid w:val="00C61A3F"/>
    <w:rsid w:val="00C62A59"/>
    <w:rsid w:val="00C62AD5"/>
    <w:rsid w:val="00C62F3D"/>
    <w:rsid w:val="00C63CB4"/>
    <w:rsid w:val="00C6477A"/>
    <w:rsid w:val="00C665BF"/>
    <w:rsid w:val="00C666DE"/>
    <w:rsid w:val="00C670C1"/>
    <w:rsid w:val="00C67793"/>
    <w:rsid w:val="00C67C94"/>
    <w:rsid w:val="00C713E0"/>
    <w:rsid w:val="00C724B1"/>
    <w:rsid w:val="00C73281"/>
    <w:rsid w:val="00C74053"/>
    <w:rsid w:val="00C74ABB"/>
    <w:rsid w:val="00C74BAF"/>
    <w:rsid w:val="00C75503"/>
    <w:rsid w:val="00C7558F"/>
    <w:rsid w:val="00C75B57"/>
    <w:rsid w:val="00C7659E"/>
    <w:rsid w:val="00C76E29"/>
    <w:rsid w:val="00C76F26"/>
    <w:rsid w:val="00C77D8B"/>
    <w:rsid w:val="00C8026D"/>
    <w:rsid w:val="00C80B5E"/>
    <w:rsid w:val="00C815D9"/>
    <w:rsid w:val="00C8412E"/>
    <w:rsid w:val="00C84E47"/>
    <w:rsid w:val="00C864A2"/>
    <w:rsid w:val="00C86561"/>
    <w:rsid w:val="00C86C47"/>
    <w:rsid w:val="00C86E7D"/>
    <w:rsid w:val="00C86F71"/>
    <w:rsid w:val="00C87971"/>
    <w:rsid w:val="00C87A81"/>
    <w:rsid w:val="00C87D0F"/>
    <w:rsid w:val="00C9048C"/>
    <w:rsid w:val="00C911E9"/>
    <w:rsid w:val="00C9198A"/>
    <w:rsid w:val="00C91A94"/>
    <w:rsid w:val="00C92FF4"/>
    <w:rsid w:val="00C93BC4"/>
    <w:rsid w:val="00C93D11"/>
    <w:rsid w:val="00C94498"/>
    <w:rsid w:val="00C95B8D"/>
    <w:rsid w:val="00C96B50"/>
    <w:rsid w:val="00C96E56"/>
    <w:rsid w:val="00CA0C24"/>
    <w:rsid w:val="00CA1170"/>
    <w:rsid w:val="00CA4579"/>
    <w:rsid w:val="00CA6864"/>
    <w:rsid w:val="00CA6980"/>
    <w:rsid w:val="00CA7102"/>
    <w:rsid w:val="00CA78D6"/>
    <w:rsid w:val="00CB07B3"/>
    <w:rsid w:val="00CB133A"/>
    <w:rsid w:val="00CB1AD4"/>
    <w:rsid w:val="00CB2171"/>
    <w:rsid w:val="00CB3313"/>
    <w:rsid w:val="00CB3653"/>
    <w:rsid w:val="00CB3A82"/>
    <w:rsid w:val="00CB4648"/>
    <w:rsid w:val="00CB4822"/>
    <w:rsid w:val="00CB542D"/>
    <w:rsid w:val="00CB68F0"/>
    <w:rsid w:val="00CB6975"/>
    <w:rsid w:val="00CB7E37"/>
    <w:rsid w:val="00CC179C"/>
    <w:rsid w:val="00CC19A8"/>
    <w:rsid w:val="00CC3068"/>
    <w:rsid w:val="00CC3C27"/>
    <w:rsid w:val="00CC4C44"/>
    <w:rsid w:val="00CC67B5"/>
    <w:rsid w:val="00CC74AD"/>
    <w:rsid w:val="00CC7B0E"/>
    <w:rsid w:val="00CD0AFA"/>
    <w:rsid w:val="00CD120C"/>
    <w:rsid w:val="00CD1EAB"/>
    <w:rsid w:val="00CD210F"/>
    <w:rsid w:val="00CD257D"/>
    <w:rsid w:val="00CD2F89"/>
    <w:rsid w:val="00CD46EB"/>
    <w:rsid w:val="00CD550D"/>
    <w:rsid w:val="00CD565D"/>
    <w:rsid w:val="00CD5AEC"/>
    <w:rsid w:val="00CD67D4"/>
    <w:rsid w:val="00CD6F73"/>
    <w:rsid w:val="00CD76FA"/>
    <w:rsid w:val="00CE0515"/>
    <w:rsid w:val="00CE0964"/>
    <w:rsid w:val="00CE0F22"/>
    <w:rsid w:val="00CE1D25"/>
    <w:rsid w:val="00CE2ABA"/>
    <w:rsid w:val="00CE31A1"/>
    <w:rsid w:val="00CE37FB"/>
    <w:rsid w:val="00CE7AD5"/>
    <w:rsid w:val="00CE7C37"/>
    <w:rsid w:val="00CF0586"/>
    <w:rsid w:val="00CF07EC"/>
    <w:rsid w:val="00CF1084"/>
    <w:rsid w:val="00CF406F"/>
    <w:rsid w:val="00CF4665"/>
    <w:rsid w:val="00CF52BC"/>
    <w:rsid w:val="00CF630F"/>
    <w:rsid w:val="00CF68B5"/>
    <w:rsid w:val="00D004FA"/>
    <w:rsid w:val="00D02EFD"/>
    <w:rsid w:val="00D0332C"/>
    <w:rsid w:val="00D03CC3"/>
    <w:rsid w:val="00D054D1"/>
    <w:rsid w:val="00D06A1E"/>
    <w:rsid w:val="00D115E2"/>
    <w:rsid w:val="00D1196E"/>
    <w:rsid w:val="00D11D03"/>
    <w:rsid w:val="00D1241D"/>
    <w:rsid w:val="00D13159"/>
    <w:rsid w:val="00D131CF"/>
    <w:rsid w:val="00D13F9B"/>
    <w:rsid w:val="00D16907"/>
    <w:rsid w:val="00D170B6"/>
    <w:rsid w:val="00D17561"/>
    <w:rsid w:val="00D212C8"/>
    <w:rsid w:val="00D21872"/>
    <w:rsid w:val="00D21997"/>
    <w:rsid w:val="00D2305A"/>
    <w:rsid w:val="00D2336A"/>
    <w:rsid w:val="00D23D78"/>
    <w:rsid w:val="00D26275"/>
    <w:rsid w:val="00D27453"/>
    <w:rsid w:val="00D30ADF"/>
    <w:rsid w:val="00D30FDB"/>
    <w:rsid w:val="00D31060"/>
    <w:rsid w:val="00D310B1"/>
    <w:rsid w:val="00D31511"/>
    <w:rsid w:val="00D31A8B"/>
    <w:rsid w:val="00D32CC7"/>
    <w:rsid w:val="00D3357B"/>
    <w:rsid w:val="00D338C1"/>
    <w:rsid w:val="00D33A5C"/>
    <w:rsid w:val="00D33EB0"/>
    <w:rsid w:val="00D35CB7"/>
    <w:rsid w:val="00D36424"/>
    <w:rsid w:val="00D3660C"/>
    <w:rsid w:val="00D3775E"/>
    <w:rsid w:val="00D37B8E"/>
    <w:rsid w:val="00D41D82"/>
    <w:rsid w:val="00D43513"/>
    <w:rsid w:val="00D441F0"/>
    <w:rsid w:val="00D449F8"/>
    <w:rsid w:val="00D477C2"/>
    <w:rsid w:val="00D477CC"/>
    <w:rsid w:val="00D478DC"/>
    <w:rsid w:val="00D47E02"/>
    <w:rsid w:val="00D47EC9"/>
    <w:rsid w:val="00D527E5"/>
    <w:rsid w:val="00D53B1B"/>
    <w:rsid w:val="00D53E1B"/>
    <w:rsid w:val="00D55329"/>
    <w:rsid w:val="00D56362"/>
    <w:rsid w:val="00D5752D"/>
    <w:rsid w:val="00D576A5"/>
    <w:rsid w:val="00D57B01"/>
    <w:rsid w:val="00D600F0"/>
    <w:rsid w:val="00D602AD"/>
    <w:rsid w:val="00D60557"/>
    <w:rsid w:val="00D61657"/>
    <w:rsid w:val="00D6206A"/>
    <w:rsid w:val="00D62F1C"/>
    <w:rsid w:val="00D636F6"/>
    <w:rsid w:val="00D6453B"/>
    <w:rsid w:val="00D655F6"/>
    <w:rsid w:val="00D6605F"/>
    <w:rsid w:val="00D66939"/>
    <w:rsid w:val="00D7056F"/>
    <w:rsid w:val="00D72086"/>
    <w:rsid w:val="00D723F5"/>
    <w:rsid w:val="00D75A8B"/>
    <w:rsid w:val="00D764A4"/>
    <w:rsid w:val="00D768B2"/>
    <w:rsid w:val="00D771F8"/>
    <w:rsid w:val="00D80689"/>
    <w:rsid w:val="00D81718"/>
    <w:rsid w:val="00D819AA"/>
    <w:rsid w:val="00D82858"/>
    <w:rsid w:val="00D82ECD"/>
    <w:rsid w:val="00D83602"/>
    <w:rsid w:val="00D85CB5"/>
    <w:rsid w:val="00D86883"/>
    <w:rsid w:val="00D86972"/>
    <w:rsid w:val="00D86CC0"/>
    <w:rsid w:val="00D877F2"/>
    <w:rsid w:val="00D907DF"/>
    <w:rsid w:val="00D91105"/>
    <w:rsid w:val="00D91178"/>
    <w:rsid w:val="00D93D0B"/>
    <w:rsid w:val="00D955D6"/>
    <w:rsid w:val="00D9776A"/>
    <w:rsid w:val="00DA0EF4"/>
    <w:rsid w:val="00DA0FB7"/>
    <w:rsid w:val="00DA1F00"/>
    <w:rsid w:val="00DA20B0"/>
    <w:rsid w:val="00DA235E"/>
    <w:rsid w:val="00DA2AE2"/>
    <w:rsid w:val="00DA2D12"/>
    <w:rsid w:val="00DA2ED0"/>
    <w:rsid w:val="00DA3A01"/>
    <w:rsid w:val="00DA3BD8"/>
    <w:rsid w:val="00DA566D"/>
    <w:rsid w:val="00DA6159"/>
    <w:rsid w:val="00DA6818"/>
    <w:rsid w:val="00DA68E7"/>
    <w:rsid w:val="00DA6BD6"/>
    <w:rsid w:val="00DA6DB5"/>
    <w:rsid w:val="00DA7251"/>
    <w:rsid w:val="00DB0375"/>
    <w:rsid w:val="00DB4580"/>
    <w:rsid w:val="00DB65BB"/>
    <w:rsid w:val="00DC034B"/>
    <w:rsid w:val="00DC0437"/>
    <w:rsid w:val="00DC22C0"/>
    <w:rsid w:val="00DC24B5"/>
    <w:rsid w:val="00DC2AA0"/>
    <w:rsid w:val="00DC4CA5"/>
    <w:rsid w:val="00DC6E65"/>
    <w:rsid w:val="00DD0121"/>
    <w:rsid w:val="00DD0230"/>
    <w:rsid w:val="00DD11C7"/>
    <w:rsid w:val="00DD12DA"/>
    <w:rsid w:val="00DD13BF"/>
    <w:rsid w:val="00DD1AE4"/>
    <w:rsid w:val="00DD281B"/>
    <w:rsid w:val="00DD2D89"/>
    <w:rsid w:val="00DD3C1F"/>
    <w:rsid w:val="00DD4723"/>
    <w:rsid w:val="00DD4B1C"/>
    <w:rsid w:val="00DD6C64"/>
    <w:rsid w:val="00DD6E01"/>
    <w:rsid w:val="00DD7B35"/>
    <w:rsid w:val="00DD7CFA"/>
    <w:rsid w:val="00DE09C3"/>
    <w:rsid w:val="00DE0C12"/>
    <w:rsid w:val="00DE31A0"/>
    <w:rsid w:val="00DE4B86"/>
    <w:rsid w:val="00DE5183"/>
    <w:rsid w:val="00DE615E"/>
    <w:rsid w:val="00DE7D9E"/>
    <w:rsid w:val="00DF01E4"/>
    <w:rsid w:val="00DF0F33"/>
    <w:rsid w:val="00DF1630"/>
    <w:rsid w:val="00DF2092"/>
    <w:rsid w:val="00DF2E0F"/>
    <w:rsid w:val="00DF2EC3"/>
    <w:rsid w:val="00DF385F"/>
    <w:rsid w:val="00DF3D3E"/>
    <w:rsid w:val="00DF455C"/>
    <w:rsid w:val="00DF4632"/>
    <w:rsid w:val="00DF4889"/>
    <w:rsid w:val="00DF499D"/>
    <w:rsid w:val="00DF5D21"/>
    <w:rsid w:val="00DF6276"/>
    <w:rsid w:val="00DF6358"/>
    <w:rsid w:val="00DF6D01"/>
    <w:rsid w:val="00DF6EA1"/>
    <w:rsid w:val="00DF7783"/>
    <w:rsid w:val="00DF7D9F"/>
    <w:rsid w:val="00DF7F99"/>
    <w:rsid w:val="00E00051"/>
    <w:rsid w:val="00E0277C"/>
    <w:rsid w:val="00E02CBC"/>
    <w:rsid w:val="00E04880"/>
    <w:rsid w:val="00E05060"/>
    <w:rsid w:val="00E05412"/>
    <w:rsid w:val="00E05F56"/>
    <w:rsid w:val="00E06961"/>
    <w:rsid w:val="00E07CC7"/>
    <w:rsid w:val="00E102CD"/>
    <w:rsid w:val="00E108AD"/>
    <w:rsid w:val="00E110B2"/>
    <w:rsid w:val="00E115C0"/>
    <w:rsid w:val="00E12588"/>
    <w:rsid w:val="00E12590"/>
    <w:rsid w:val="00E1296B"/>
    <w:rsid w:val="00E12ABF"/>
    <w:rsid w:val="00E1303F"/>
    <w:rsid w:val="00E13492"/>
    <w:rsid w:val="00E167F5"/>
    <w:rsid w:val="00E2017C"/>
    <w:rsid w:val="00E20741"/>
    <w:rsid w:val="00E209C4"/>
    <w:rsid w:val="00E20C7C"/>
    <w:rsid w:val="00E215BF"/>
    <w:rsid w:val="00E21A80"/>
    <w:rsid w:val="00E228A1"/>
    <w:rsid w:val="00E238B1"/>
    <w:rsid w:val="00E25817"/>
    <w:rsid w:val="00E25ADF"/>
    <w:rsid w:val="00E3108C"/>
    <w:rsid w:val="00E332A4"/>
    <w:rsid w:val="00E34553"/>
    <w:rsid w:val="00E35DF8"/>
    <w:rsid w:val="00E3648B"/>
    <w:rsid w:val="00E367EA"/>
    <w:rsid w:val="00E36CF4"/>
    <w:rsid w:val="00E36D1F"/>
    <w:rsid w:val="00E37AF8"/>
    <w:rsid w:val="00E4051A"/>
    <w:rsid w:val="00E414DF"/>
    <w:rsid w:val="00E419CD"/>
    <w:rsid w:val="00E41EA2"/>
    <w:rsid w:val="00E4381E"/>
    <w:rsid w:val="00E44986"/>
    <w:rsid w:val="00E44E84"/>
    <w:rsid w:val="00E46A20"/>
    <w:rsid w:val="00E47ACB"/>
    <w:rsid w:val="00E47B23"/>
    <w:rsid w:val="00E5127A"/>
    <w:rsid w:val="00E51C6A"/>
    <w:rsid w:val="00E5290B"/>
    <w:rsid w:val="00E52D56"/>
    <w:rsid w:val="00E52E93"/>
    <w:rsid w:val="00E546CE"/>
    <w:rsid w:val="00E561BD"/>
    <w:rsid w:val="00E56A90"/>
    <w:rsid w:val="00E5706E"/>
    <w:rsid w:val="00E574E7"/>
    <w:rsid w:val="00E623A8"/>
    <w:rsid w:val="00E63A10"/>
    <w:rsid w:val="00E644A4"/>
    <w:rsid w:val="00E64DFE"/>
    <w:rsid w:val="00E65499"/>
    <w:rsid w:val="00E65CF7"/>
    <w:rsid w:val="00E67EF8"/>
    <w:rsid w:val="00E71610"/>
    <w:rsid w:val="00E71B80"/>
    <w:rsid w:val="00E721BD"/>
    <w:rsid w:val="00E727F5"/>
    <w:rsid w:val="00E728FF"/>
    <w:rsid w:val="00E7292E"/>
    <w:rsid w:val="00E735B9"/>
    <w:rsid w:val="00E74229"/>
    <w:rsid w:val="00E7428E"/>
    <w:rsid w:val="00E747A8"/>
    <w:rsid w:val="00E825BA"/>
    <w:rsid w:val="00E82F4C"/>
    <w:rsid w:val="00E857F3"/>
    <w:rsid w:val="00E85EF3"/>
    <w:rsid w:val="00E863AB"/>
    <w:rsid w:val="00E865F0"/>
    <w:rsid w:val="00E8688F"/>
    <w:rsid w:val="00E87658"/>
    <w:rsid w:val="00E87DC4"/>
    <w:rsid w:val="00E87EA2"/>
    <w:rsid w:val="00E90816"/>
    <w:rsid w:val="00E913D2"/>
    <w:rsid w:val="00E922F8"/>
    <w:rsid w:val="00E92B6B"/>
    <w:rsid w:val="00E95771"/>
    <w:rsid w:val="00E96160"/>
    <w:rsid w:val="00E976D7"/>
    <w:rsid w:val="00E97FAD"/>
    <w:rsid w:val="00EA0070"/>
    <w:rsid w:val="00EA2ADF"/>
    <w:rsid w:val="00EA2CAC"/>
    <w:rsid w:val="00EA59DC"/>
    <w:rsid w:val="00EA5E90"/>
    <w:rsid w:val="00EA70CE"/>
    <w:rsid w:val="00EA79E0"/>
    <w:rsid w:val="00EB07D6"/>
    <w:rsid w:val="00EB0ADC"/>
    <w:rsid w:val="00EB1544"/>
    <w:rsid w:val="00EB1BC6"/>
    <w:rsid w:val="00EB1DC6"/>
    <w:rsid w:val="00EB1F88"/>
    <w:rsid w:val="00EB2407"/>
    <w:rsid w:val="00EB2795"/>
    <w:rsid w:val="00EB42E5"/>
    <w:rsid w:val="00EB6106"/>
    <w:rsid w:val="00EB69A4"/>
    <w:rsid w:val="00EB75EC"/>
    <w:rsid w:val="00EC3909"/>
    <w:rsid w:val="00EC3AAA"/>
    <w:rsid w:val="00EC58F1"/>
    <w:rsid w:val="00EC61E5"/>
    <w:rsid w:val="00EC68B3"/>
    <w:rsid w:val="00EC6991"/>
    <w:rsid w:val="00EC6D7D"/>
    <w:rsid w:val="00EC7C00"/>
    <w:rsid w:val="00EC7CE9"/>
    <w:rsid w:val="00ED0EF8"/>
    <w:rsid w:val="00ED0FC2"/>
    <w:rsid w:val="00ED24AD"/>
    <w:rsid w:val="00ED38B3"/>
    <w:rsid w:val="00ED4921"/>
    <w:rsid w:val="00ED49EE"/>
    <w:rsid w:val="00ED515F"/>
    <w:rsid w:val="00ED6303"/>
    <w:rsid w:val="00ED742C"/>
    <w:rsid w:val="00ED79C5"/>
    <w:rsid w:val="00ED7A51"/>
    <w:rsid w:val="00EE03CD"/>
    <w:rsid w:val="00EE0B9C"/>
    <w:rsid w:val="00EE10E1"/>
    <w:rsid w:val="00EE1578"/>
    <w:rsid w:val="00EE234E"/>
    <w:rsid w:val="00EE2F2F"/>
    <w:rsid w:val="00EE3669"/>
    <w:rsid w:val="00EE6CEB"/>
    <w:rsid w:val="00EE70FF"/>
    <w:rsid w:val="00EE7C82"/>
    <w:rsid w:val="00EF03E3"/>
    <w:rsid w:val="00EF0405"/>
    <w:rsid w:val="00EF0714"/>
    <w:rsid w:val="00EF1819"/>
    <w:rsid w:val="00EF3214"/>
    <w:rsid w:val="00EF3B95"/>
    <w:rsid w:val="00EF55FE"/>
    <w:rsid w:val="00EF57E8"/>
    <w:rsid w:val="00EF6C0D"/>
    <w:rsid w:val="00EF78CE"/>
    <w:rsid w:val="00EF792A"/>
    <w:rsid w:val="00EF7B6C"/>
    <w:rsid w:val="00F00658"/>
    <w:rsid w:val="00F00879"/>
    <w:rsid w:val="00F00E59"/>
    <w:rsid w:val="00F00E86"/>
    <w:rsid w:val="00F00EED"/>
    <w:rsid w:val="00F02578"/>
    <w:rsid w:val="00F043DD"/>
    <w:rsid w:val="00F05133"/>
    <w:rsid w:val="00F05909"/>
    <w:rsid w:val="00F06528"/>
    <w:rsid w:val="00F06D51"/>
    <w:rsid w:val="00F075EE"/>
    <w:rsid w:val="00F107CC"/>
    <w:rsid w:val="00F10D13"/>
    <w:rsid w:val="00F11453"/>
    <w:rsid w:val="00F1193C"/>
    <w:rsid w:val="00F13D48"/>
    <w:rsid w:val="00F14262"/>
    <w:rsid w:val="00F14316"/>
    <w:rsid w:val="00F14FC3"/>
    <w:rsid w:val="00F16F0E"/>
    <w:rsid w:val="00F171EB"/>
    <w:rsid w:val="00F17546"/>
    <w:rsid w:val="00F216DB"/>
    <w:rsid w:val="00F2227B"/>
    <w:rsid w:val="00F23028"/>
    <w:rsid w:val="00F23B95"/>
    <w:rsid w:val="00F23D55"/>
    <w:rsid w:val="00F24B7C"/>
    <w:rsid w:val="00F24C4F"/>
    <w:rsid w:val="00F24F21"/>
    <w:rsid w:val="00F26296"/>
    <w:rsid w:val="00F3134D"/>
    <w:rsid w:val="00F33597"/>
    <w:rsid w:val="00F354C6"/>
    <w:rsid w:val="00F3582F"/>
    <w:rsid w:val="00F3693E"/>
    <w:rsid w:val="00F36C6C"/>
    <w:rsid w:val="00F37C36"/>
    <w:rsid w:val="00F4174B"/>
    <w:rsid w:val="00F42E8F"/>
    <w:rsid w:val="00F431E7"/>
    <w:rsid w:val="00F43960"/>
    <w:rsid w:val="00F43B0B"/>
    <w:rsid w:val="00F45780"/>
    <w:rsid w:val="00F457B3"/>
    <w:rsid w:val="00F45C3E"/>
    <w:rsid w:val="00F45E56"/>
    <w:rsid w:val="00F46412"/>
    <w:rsid w:val="00F4692B"/>
    <w:rsid w:val="00F47598"/>
    <w:rsid w:val="00F506D3"/>
    <w:rsid w:val="00F519D5"/>
    <w:rsid w:val="00F51C3E"/>
    <w:rsid w:val="00F51EDB"/>
    <w:rsid w:val="00F5382A"/>
    <w:rsid w:val="00F53A6C"/>
    <w:rsid w:val="00F540E4"/>
    <w:rsid w:val="00F551FB"/>
    <w:rsid w:val="00F5526F"/>
    <w:rsid w:val="00F566FD"/>
    <w:rsid w:val="00F5739F"/>
    <w:rsid w:val="00F60629"/>
    <w:rsid w:val="00F61B2A"/>
    <w:rsid w:val="00F62878"/>
    <w:rsid w:val="00F630E9"/>
    <w:rsid w:val="00F63B99"/>
    <w:rsid w:val="00F65436"/>
    <w:rsid w:val="00F658B7"/>
    <w:rsid w:val="00F662B0"/>
    <w:rsid w:val="00F669B8"/>
    <w:rsid w:val="00F66A36"/>
    <w:rsid w:val="00F66BE2"/>
    <w:rsid w:val="00F66D7D"/>
    <w:rsid w:val="00F709BC"/>
    <w:rsid w:val="00F7142B"/>
    <w:rsid w:val="00F7164B"/>
    <w:rsid w:val="00F71973"/>
    <w:rsid w:val="00F719A8"/>
    <w:rsid w:val="00F723E2"/>
    <w:rsid w:val="00F739B4"/>
    <w:rsid w:val="00F742BF"/>
    <w:rsid w:val="00F75F45"/>
    <w:rsid w:val="00F76AF6"/>
    <w:rsid w:val="00F771DA"/>
    <w:rsid w:val="00F81422"/>
    <w:rsid w:val="00F8295B"/>
    <w:rsid w:val="00F83A66"/>
    <w:rsid w:val="00F84C1F"/>
    <w:rsid w:val="00F8565D"/>
    <w:rsid w:val="00F86133"/>
    <w:rsid w:val="00F87186"/>
    <w:rsid w:val="00F90938"/>
    <w:rsid w:val="00F90CFE"/>
    <w:rsid w:val="00F90DB8"/>
    <w:rsid w:val="00F90F05"/>
    <w:rsid w:val="00F91D8E"/>
    <w:rsid w:val="00F92C49"/>
    <w:rsid w:val="00F93943"/>
    <w:rsid w:val="00F9566F"/>
    <w:rsid w:val="00F968D0"/>
    <w:rsid w:val="00FA0551"/>
    <w:rsid w:val="00FA0853"/>
    <w:rsid w:val="00FA2097"/>
    <w:rsid w:val="00FA2C01"/>
    <w:rsid w:val="00FA6EA4"/>
    <w:rsid w:val="00FB01A2"/>
    <w:rsid w:val="00FB022D"/>
    <w:rsid w:val="00FB0A2E"/>
    <w:rsid w:val="00FB0B7E"/>
    <w:rsid w:val="00FB30E8"/>
    <w:rsid w:val="00FB359A"/>
    <w:rsid w:val="00FB375F"/>
    <w:rsid w:val="00FB50FE"/>
    <w:rsid w:val="00FB57E0"/>
    <w:rsid w:val="00FB5B45"/>
    <w:rsid w:val="00FC1851"/>
    <w:rsid w:val="00FC195F"/>
    <w:rsid w:val="00FC318B"/>
    <w:rsid w:val="00FC364A"/>
    <w:rsid w:val="00FC3DDE"/>
    <w:rsid w:val="00FC605D"/>
    <w:rsid w:val="00FC6176"/>
    <w:rsid w:val="00FC627E"/>
    <w:rsid w:val="00FC6B5C"/>
    <w:rsid w:val="00FC6C9C"/>
    <w:rsid w:val="00FD0C53"/>
    <w:rsid w:val="00FD0CF8"/>
    <w:rsid w:val="00FD123B"/>
    <w:rsid w:val="00FD2BF3"/>
    <w:rsid w:val="00FD31F9"/>
    <w:rsid w:val="00FD4C44"/>
    <w:rsid w:val="00FD4E0D"/>
    <w:rsid w:val="00FD6318"/>
    <w:rsid w:val="00FD67BE"/>
    <w:rsid w:val="00FE259C"/>
    <w:rsid w:val="00FE3AE8"/>
    <w:rsid w:val="00FE4F22"/>
    <w:rsid w:val="00FE5133"/>
    <w:rsid w:val="00FE6A46"/>
    <w:rsid w:val="00FF0356"/>
    <w:rsid w:val="00FF0607"/>
    <w:rsid w:val="00FF0AB9"/>
    <w:rsid w:val="00FF0BD5"/>
    <w:rsid w:val="00FF2071"/>
    <w:rsid w:val="00FF5495"/>
    <w:rsid w:val="00FF6783"/>
    <w:rsid w:val="00FF6C8E"/>
    <w:rsid w:val="00FF7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EDE7398"/>
  <w15:chartTrackingRefBased/>
  <w15:docId w15:val="{3F7183F0-6085-4F2F-89D3-450A3A16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9C"/>
    <w:rPr>
      <w:sz w:val="24"/>
      <w:szCs w:val="24"/>
    </w:rPr>
  </w:style>
  <w:style w:type="paragraph" w:styleId="Heading3">
    <w:name w:val="heading 3"/>
    <w:basedOn w:val="Normal"/>
    <w:link w:val="Heading3Char"/>
    <w:uiPriority w:val="9"/>
    <w:qFormat/>
    <w:rsid w:val="00253F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25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59C"/>
    <w:pPr>
      <w:tabs>
        <w:tab w:val="center" w:pos="4153"/>
        <w:tab w:val="right" w:pos="8306"/>
      </w:tabs>
    </w:pPr>
  </w:style>
  <w:style w:type="character" w:styleId="PageNumber">
    <w:name w:val="page number"/>
    <w:basedOn w:val="DefaultParagraphFont"/>
    <w:rsid w:val="00FE259C"/>
  </w:style>
  <w:style w:type="character" w:styleId="Hyperlink">
    <w:name w:val="Hyperlink"/>
    <w:rsid w:val="00FE259C"/>
    <w:rPr>
      <w:color w:val="0000FF"/>
      <w:u w:val="single"/>
    </w:rPr>
  </w:style>
  <w:style w:type="paragraph" w:styleId="Footer">
    <w:name w:val="footer"/>
    <w:basedOn w:val="Normal"/>
    <w:rsid w:val="00FE259C"/>
    <w:pPr>
      <w:tabs>
        <w:tab w:val="center" w:pos="4153"/>
        <w:tab w:val="right" w:pos="8306"/>
      </w:tabs>
    </w:pPr>
  </w:style>
  <w:style w:type="paragraph" w:customStyle="1" w:styleId="naisf">
    <w:name w:val="naisf"/>
    <w:basedOn w:val="Normal"/>
    <w:rsid w:val="00FE259C"/>
    <w:pPr>
      <w:spacing w:before="75" w:after="75"/>
      <w:ind w:firstLine="375"/>
      <w:jc w:val="both"/>
    </w:pPr>
  </w:style>
  <w:style w:type="paragraph" w:styleId="BalloonText">
    <w:name w:val="Balloon Text"/>
    <w:basedOn w:val="Normal"/>
    <w:semiHidden/>
    <w:rsid w:val="00665542"/>
    <w:rPr>
      <w:rFonts w:ascii="Tahoma" w:hAnsi="Tahoma" w:cs="Tahoma"/>
      <w:sz w:val="16"/>
      <w:szCs w:val="16"/>
    </w:rPr>
  </w:style>
  <w:style w:type="paragraph" w:styleId="NormalWeb">
    <w:name w:val="Normal (Web)"/>
    <w:basedOn w:val="Normal"/>
    <w:uiPriority w:val="99"/>
    <w:rsid w:val="00FD31F9"/>
    <w:pPr>
      <w:spacing w:before="100" w:beforeAutospacing="1" w:after="100" w:afterAutospacing="1"/>
    </w:pPr>
    <w:rPr>
      <w:rFonts w:ascii="Verdana" w:hAnsi="Verdana"/>
      <w:sz w:val="18"/>
      <w:szCs w:val="18"/>
    </w:rPr>
  </w:style>
  <w:style w:type="character" w:styleId="CommentReference">
    <w:name w:val="annotation reference"/>
    <w:semiHidden/>
    <w:rsid w:val="00FD31F9"/>
    <w:rPr>
      <w:rFonts w:cs="Times New Roman"/>
      <w:sz w:val="16"/>
      <w:szCs w:val="16"/>
    </w:rPr>
  </w:style>
  <w:style w:type="paragraph" w:styleId="BodyTextIndent">
    <w:name w:val="Body Text Indent"/>
    <w:basedOn w:val="Normal"/>
    <w:link w:val="BodyTextIndentChar"/>
    <w:rsid w:val="00DD7B35"/>
    <w:pPr>
      <w:ind w:firstLine="720"/>
      <w:jc w:val="both"/>
    </w:pPr>
    <w:rPr>
      <w:rFonts w:eastAsia="Calibri"/>
      <w:lang w:eastAsia="en-US"/>
    </w:rPr>
  </w:style>
  <w:style w:type="character" w:customStyle="1" w:styleId="BodyTextIndentChar">
    <w:name w:val="Body Text Indent Char"/>
    <w:link w:val="BodyTextIndent"/>
    <w:locked/>
    <w:rsid w:val="00DD7B35"/>
    <w:rPr>
      <w:rFonts w:eastAsia="Calibri"/>
      <w:sz w:val="24"/>
      <w:szCs w:val="24"/>
      <w:lang w:val="lv-LV" w:eastAsia="en-US" w:bidi="ar-SA"/>
    </w:rPr>
  </w:style>
  <w:style w:type="paragraph" w:customStyle="1" w:styleId="tv2071">
    <w:name w:val="tv2071"/>
    <w:basedOn w:val="Normal"/>
    <w:rsid w:val="0002115A"/>
    <w:pPr>
      <w:spacing w:after="567" w:line="360" w:lineRule="auto"/>
      <w:jc w:val="center"/>
    </w:pPr>
    <w:rPr>
      <w:rFonts w:ascii="Verdana" w:hAnsi="Verdana"/>
      <w:b/>
      <w:bCs/>
      <w:sz w:val="27"/>
      <w:szCs w:val="27"/>
    </w:rPr>
  </w:style>
  <w:style w:type="paragraph" w:styleId="ListParagraph">
    <w:name w:val="List Paragraph"/>
    <w:aliases w:val="2,Strip,H&amp;P List Paragraph,リスト段,Numbered Para 1,Dot pt,No Spacing1,List Paragraph Char Char Char,Indicator Text,List Paragraph1,Bullet 1,Bullet Points,MAIN CONTENT,IFCL - List Paragraph,List Paragraph12,OBC Bullet,F5 List Paragraph"/>
    <w:basedOn w:val="Normal"/>
    <w:link w:val="ListParagraphChar"/>
    <w:uiPriority w:val="34"/>
    <w:qFormat/>
    <w:rsid w:val="00914F07"/>
    <w:pPr>
      <w:ind w:left="720"/>
    </w:pPr>
    <w:rPr>
      <w:rFonts w:ascii="Calibri" w:eastAsia="Calibri" w:hAnsi="Calibri" w:cs="Calibri"/>
      <w:sz w:val="22"/>
      <w:szCs w:val="22"/>
      <w:lang w:eastAsia="en-US"/>
    </w:rPr>
  </w:style>
  <w:style w:type="paragraph" w:customStyle="1" w:styleId="tv2131">
    <w:name w:val="tv2131"/>
    <w:basedOn w:val="Normal"/>
    <w:rsid w:val="00977AFE"/>
    <w:pPr>
      <w:spacing w:before="240" w:line="360" w:lineRule="auto"/>
      <w:ind w:firstLine="300"/>
      <w:jc w:val="both"/>
    </w:pPr>
    <w:rPr>
      <w:rFonts w:ascii="Verdana" w:hAnsi="Verdana"/>
      <w:sz w:val="18"/>
      <w:szCs w:val="18"/>
    </w:rPr>
  </w:style>
  <w:style w:type="paragraph" w:styleId="BodyText">
    <w:name w:val="Body Text"/>
    <w:basedOn w:val="Normal"/>
    <w:link w:val="BodyTextChar"/>
    <w:rsid w:val="006500F1"/>
    <w:pPr>
      <w:spacing w:after="120"/>
    </w:pPr>
  </w:style>
  <w:style w:type="character" w:customStyle="1" w:styleId="BodyTextChar">
    <w:name w:val="Body Text Char"/>
    <w:link w:val="BodyText"/>
    <w:rsid w:val="006500F1"/>
    <w:rPr>
      <w:sz w:val="24"/>
      <w:szCs w:val="24"/>
    </w:rPr>
  </w:style>
  <w:style w:type="paragraph" w:customStyle="1" w:styleId="RakstzCharChar">
    <w:name w:val="Rakstz. Char Char"/>
    <w:basedOn w:val="Normal"/>
    <w:rsid w:val="000A1FD5"/>
    <w:pPr>
      <w:spacing w:before="40"/>
    </w:pPr>
    <w:rPr>
      <w:lang w:val="pl-PL" w:eastAsia="pl-PL"/>
    </w:rPr>
  </w:style>
  <w:style w:type="paragraph" w:customStyle="1" w:styleId="tv213">
    <w:name w:val="tv213"/>
    <w:basedOn w:val="Normal"/>
    <w:rsid w:val="00CA78D6"/>
    <w:pPr>
      <w:spacing w:before="100" w:beforeAutospacing="1" w:after="100" w:afterAutospacing="1"/>
    </w:pPr>
  </w:style>
  <w:style w:type="paragraph" w:customStyle="1" w:styleId="naiskr">
    <w:name w:val="naiskr"/>
    <w:basedOn w:val="Normal"/>
    <w:rsid w:val="0032497E"/>
    <w:pPr>
      <w:spacing w:before="75" w:after="75"/>
    </w:pPr>
  </w:style>
  <w:style w:type="paragraph" w:styleId="HTMLPreformatted">
    <w:name w:val="HTML Preformatted"/>
    <w:basedOn w:val="Normal"/>
    <w:link w:val="HTMLPreformattedChar"/>
    <w:uiPriority w:val="99"/>
    <w:unhideWhenUsed/>
    <w:rsid w:val="004A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A25B2"/>
    <w:rPr>
      <w:rFonts w:ascii="Courier New" w:hAnsi="Courier New" w:cs="Courier New"/>
    </w:rPr>
  </w:style>
  <w:style w:type="character" w:customStyle="1" w:styleId="Heading3Char">
    <w:name w:val="Heading 3 Char"/>
    <w:link w:val="Heading3"/>
    <w:uiPriority w:val="9"/>
    <w:rsid w:val="00253FA2"/>
    <w:rPr>
      <w:b/>
      <w:bCs/>
      <w:sz w:val="27"/>
      <w:szCs w:val="27"/>
    </w:rPr>
  </w:style>
  <w:style w:type="paragraph" w:styleId="NoSpacing">
    <w:name w:val="No Spacing"/>
    <w:uiPriority w:val="1"/>
    <w:qFormat/>
    <w:rsid w:val="00667055"/>
    <w:pPr>
      <w:widowControl w:val="0"/>
    </w:pPr>
    <w:rPr>
      <w:rFonts w:ascii="Calibri" w:eastAsia="Calibri" w:hAnsi="Calibri"/>
      <w:sz w:val="22"/>
      <w:szCs w:val="22"/>
      <w:lang w:val="en-US" w:eastAsia="en-US"/>
    </w:rPr>
  </w:style>
  <w:style w:type="character" w:customStyle="1" w:styleId="ListParagraphChar">
    <w:name w:val="List Paragraph Char"/>
    <w:aliases w:val="2 Char,Strip Char,H&amp;P List Paragraph Char,リスト段 Char,Numbered Para 1 Char,Dot pt Char,No Spacing1 Char,List Paragraph Char Char Char Char,Indicator Text Char,List Paragraph1 Char,Bullet 1 Char,Bullet Points Char,MAIN CONTENT Char"/>
    <w:link w:val="ListParagraph"/>
    <w:uiPriority w:val="34"/>
    <w:qFormat/>
    <w:rsid w:val="00C01041"/>
    <w:rPr>
      <w:rFonts w:ascii="Calibri" w:eastAsia="Calibri" w:hAnsi="Calibri" w:cs="Calibri"/>
      <w:sz w:val="22"/>
      <w:szCs w:val="22"/>
      <w:lang w:eastAsia="en-US"/>
    </w:rPr>
  </w:style>
  <w:style w:type="character" w:customStyle="1" w:styleId="spelle">
    <w:name w:val="spelle"/>
    <w:rsid w:val="00E64DFE"/>
  </w:style>
  <w:style w:type="character" w:customStyle="1" w:styleId="HeaderChar">
    <w:name w:val="Header Char"/>
    <w:link w:val="Header"/>
    <w:uiPriority w:val="99"/>
    <w:rsid w:val="003143B9"/>
    <w:rPr>
      <w:sz w:val="24"/>
      <w:szCs w:val="24"/>
    </w:rPr>
  </w:style>
  <w:style w:type="paragraph" w:customStyle="1" w:styleId="likdat">
    <w:name w:val="lik_dat"/>
    <w:basedOn w:val="Normal"/>
    <w:rsid w:val="003C3BEA"/>
    <w:pPr>
      <w:spacing w:before="100" w:beforeAutospacing="1" w:after="100" w:afterAutospacing="1"/>
    </w:pPr>
  </w:style>
  <w:style w:type="paragraph" w:styleId="CommentText">
    <w:name w:val="annotation text"/>
    <w:basedOn w:val="Normal"/>
    <w:link w:val="CommentTextChar"/>
    <w:rsid w:val="007063D8"/>
    <w:rPr>
      <w:sz w:val="20"/>
      <w:szCs w:val="20"/>
    </w:rPr>
  </w:style>
  <w:style w:type="character" w:customStyle="1" w:styleId="CommentTextChar">
    <w:name w:val="Comment Text Char"/>
    <w:basedOn w:val="DefaultParagraphFont"/>
    <w:link w:val="CommentText"/>
    <w:rsid w:val="007063D8"/>
  </w:style>
  <w:style w:type="paragraph" w:styleId="CommentSubject">
    <w:name w:val="annotation subject"/>
    <w:basedOn w:val="CommentText"/>
    <w:next w:val="CommentText"/>
    <w:link w:val="CommentSubjectChar"/>
    <w:rsid w:val="007063D8"/>
    <w:rPr>
      <w:b/>
      <w:bCs/>
    </w:rPr>
  </w:style>
  <w:style w:type="character" w:customStyle="1" w:styleId="CommentSubjectChar">
    <w:name w:val="Comment Subject Char"/>
    <w:basedOn w:val="CommentTextChar"/>
    <w:link w:val="CommentSubject"/>
    <w:rsid w:val="007063D8"/>
    <w:rPr>
      <w:b/>
      <w:bCs/>
    </w:rPr>
  </w:style>
  <w:style w:type="paragraph" w:customStyle="1" w:styleId="liknoteik">
    <w:name w:val="lik_noteik"/>
    <w:basedOn w:val="Normal"/>
    <w:rsid w:val="005744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393">
      <w:bodyDiv w:val="1"/>
      <w:marLeft w:val="0"/>
      <w:marRight w:val="0"/>
      <w:marTop w:val="0"/>
      <w:marBottom w:val="0"/>
      <w:divBdr>
        <w:top w:val="none" w:sz="0" w:space="0" w:color="auto"/>
        <w:left w:val="none" w:sz="0" w:space="0" w:color="auto"/>
        <w:bottom w:val="none" w:sz="0" w:space="0" w:color="auto"/>
        <w:right w:val="none" w:sz="0" w:space="0" w:color="auto"/>
      </w:divBdr>
      <w:divsChild>
        <w:div w:id="299581690">
          <w:marLeft w:val="0"/>
          <w:marRight w:val="0"/>
          <w:marTop w:val="0"/>
          <w:marBottom w:val="0"/>
          <w:divBdr>
            <w:top w:val="none" w:sz="0" w:space="0" w:color="auto"/>
            <w:left w:val="none" w:sz="0" w:space="0" w:color="auto"/>
            <w:bottom w:val="none" w:sz="0" w:space="0" w:color="auto"/>
            <w:right w:val="none" w:sz="0" w:space="0" w:color="auto"/>
          </w:divBdr>
        </w:div>
        <w:div w:id="1644239847">
          <w:marLeft w:val="0"/>
          <w:marRight w:val="0"/>
          <w:marTop w:val="0"/>
          <w:marBottom w:val="0"/>
          <w:divBdr>
            <w:top w:val="none" w:sz="0" w:space="0" w:color="auto"/>
            <w:left w:val="none" w:sz="0" w:space="0" w:color="auto"/>
            <w:bottom w:val="none" w:sz="0" w:space="0" w:color="auto"/>
            <w:right w:val="none" w:sz="0" w:space="0" w:color="auto"/>
          </w:divBdr>
        </w:div>
      </w:divsChild>
    </w:div>
    <w:div w:id="62291038">
      <w:bodyDiv w:val="1"/>
      <w:marLeft w:val="0"/>
      <w:marRight w:val="0"/>
      <w:marTop w:val="0"/>
      <w:marBottom w:val="0"/>
      <w:divBdr>
        <w:top w:val="none" w:sz="0" w:space="0" w:color="auto"/>
        <w:left w:val="none" w:sz="0" w:space="0" w:color="auto"/>
        <w:bottom w:val="none" w:sz="0" w:space="0" w:color="auto"/>
        <w:right w:val="none" w:sz="0" w:space="0" w:color="auto"/>
      </w:divBdr>
    </w:div>
    <w:div w:id="869981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4991">
          <w:marLeft w:val="0"/>
          <w:marRight w:val="0"/>
          <w:marTop w:val="240"/>
          <w:marBottom w:val="0"/>
          <w:divBdr>
            <w:top w:val="none" w:sz="0" w:space="0" w:color="auto"/>
            <w:left w:val="none" w:sz="0" w:space="0" w:color="auto"/>
            <w:bottom w:val="none" w:sz="0" w:space="0" w:color="auto"/>
            <w:right w:val="none" w:sz="0" w:space="0" w:color="auto"/>
          </w:divBdr>
        </w:div>
      </w:divsChild>
    </w:div>
    <w:div w:id="103113870">
      <w:bodyDiv w:val="1"/>
      <w:marLeft w:val="45"/>
      <w:marRight w:val="45"/>
      <w:marTop w:val="90"/>
      <w:marBottom w:val="90"/>
      <w:divBdr>
        <w:top w:val="none" w:sz="0" w:space="0" w:color="auto"/>
        <w:left w:val="none" w:sz="0" w:space="0" w:color="auto"/>
        <w:bottom w:val="none" w:sz="0" w:space="0" w:color="auto"/>
        <w:right w:val="none" w:sz="0" w:space="0" w:color="auto"/>
      </w:divBdr>
      <w:divsChild>
        <w:div w:id="1583175990">
          <w:marLeft w:val="0"/>
          <w:marRight w:val="0"/>
          <w:marTop w:val="240"/>
          <w:marBottom w:val="0"/>
          <w:divBdr>
            <w:top w:val="none" w:sz="0" w:space="0" w:color="auto"/>
            <w:left w:val="none" w:sz="0" w:space="0" w:color="auto"/>
            <w:bottom w:val="none" w:sz="0" w:space="0" w:color="auto"/>
            <w:right w:val="none" w:sz="0" w:space="0" w:color="auto"/>
          </w:divBdr>
        </w:div>
      </w:divsChild>
    </w:div>
    <w:div w:id="199320047">
      <w:bodyDiv w:val="1"/>
      <w:marLeft w:val="0"/>
      <w:marRight w:val="0"/>
      <w:marTop w:val="0"/>
      <w:marBottom w:val="0"/>
      <w:divBdr>
        <w:top w:val="none" w:sz="0" w:space="0" w:color="auto"/>
        <w:left w:val="none" w:sz="0" w:space="0" w:color="auto"/>
        <w:bottom w:val="none" w:sz="0" w:space="0" w:color="auto"/>
        <w:right w:val="none" w:sz="0" w:space="0" w:color="auto"/>
      </w:divBdr>
    </w:div>
    <w:div w:id="250700324">
      <w:bodyDiv w:val="1"/>
      <w:marLeft w:val="0"/>
      <w:marRight w:val="0"/>
      <w:marTop w:val="0"/>
      <w:marBottom w:val="0"/>
      <w:divBdr>
        <w:top w:val="none" w:sz="0" w:space="0" w:color="auto"/>
        <w:left w:val="none" w:sz="0" w:space="0" w:color="auto"/>
        <w:bottom w:val="none" w:sz="0" w:space="0" w:color="auto"/>
        <w:right w:val="none" w:sz="0" w:space="0" w:color="auto"/>
      </w:divBdr>
    </w:div>
    <w:div w:id="358750106">
      <w:bodyDiv w:val="1"/>
      <w:marLeft w:val="0"/>
      <w:marRight w:val="0"/>
      <w:marTop w:val="0"/>
      <w:marBottom w:val="0"/>
      <w:divBdr>
        <w:top w:val="none" w:sz="0" w:space="0" w:color="auto"/>
        <w:left w:val="none" w:sz="0" w:space="0" w:color="auto"/>
        <w:bottom w:val="none" w:sz="0" w:space="0" w:color="auto"/>
        <w:right w:val="none" w:sz="0" w:space="0" w:color="auto"/>
      </w:divBdr>
      <w:divsChild>
        <w:div w:id="36853277">
          <w:marLeft w:val="0"/>
          <w:marRight w:val="0"/>
          <w:marTop w:val="0"/>
          <w:marBottom w:val="0"/>
          <w:divBdr>
            <w:top w:val="none" w:sz="0" w:space="0" w:color="auto"/>
            <w:left w:val="none" w:sz="0" w:space="0" w:color="auto"/>
            <w:bottom w:val="none" w:sz="0" w:space="0" w:color="auto"/>
            <w:right w:val="none" w:sz="0" w:space="0" w:color="auto"/>
          </w:divBdr>
        </w:div>
        <w:div w:id="441145371">
          <w:marLeft w:val="0"/>
          <w:marRight w:val="0"/>
          <w:marTop w:val="0"/>
          <w:marBottom w:val="0"/>
          <w:divBdr>
            <w:top w:val="none" w:sz="0" w:space="0" w:color="auto"/>
            <w:left w:val="none" w:sz="0" w:space="0" w:color="auto"/>
            <w:bottom w:val="none" w:sz="0" w:space="0" w:color="auto"/>
            <w:right w:val="none" w:sz="0" w:space="0" w:color="auto"/>
          </w:divBdr>
        </w:div>
        <w:div w:id="605621488">
          <w:marLeft w:val="0"/>
          <w:marRight w:val="0"/>
          <w:marTop w:val="0"/>
          <w:marBottom w:val="0"/>
          <w:divBdr>
            <w:top w:val="none" w:sz="0" w:space="0" w:color="auto"/>
            <w:left w:val="none" w:sz="0" w:space="0" w:color="auto"/>
            <w:bottom w:val="none" w:sz="0" w:space="0" w:color="auto"/>
            <w:right w:val="none" w:sz="0" w:space="0" w:color="auto"/>
          </w:divBdr>
        </w:div>
        <w:div w:id="763113613">
          <w:marLeft w:val="0"/>
          <w:marRight w:val="0"/>
          <w:marTop w:val="0"/>
          <w:marBottom w:val="0"/>
          <w:divBdr>
            <w:top w:val="none" w:sz="0" w:space="0" w:color="auto"/>
            <w:left w:val="none" w:sz="0" w:space="0" w:color="auto"/>
            <w:bottom w:val="none" w:sz="0" w:space="0" w:color="auto"/>
            <w:right w:val="none" w:sz="0" w:space="0" w:color="auto"/>
          </w:divBdr>
        </w:div>
        <w:div w:id="779909027">
          <w:marLeft w:val="0"/>
          <w:marRight w:val="0"/>
          <w:marTop w:val="0"/>
          <w:marBottom w:val="0"/>
          <w:divBdr>
            <w:top w:val="none" w:sz="0" w:space="0" w:color="auto"/>
            <w:left w:val="none" w:sz="0" w:space="0" w:color="auto"/>
            <w:bottom w:val="none" w:sz="0" w:space="0" w:color="auto"/>
            <w:right w:val="none" w:sz="0" w:space="0" w:color="auto"/>
          </w:divBdr>
        </w:div>
        <w:div w:id="828135965">
          <w:marLeft w:val="0"/>
          <w:marRight w:val="0"/>
          <w:marTop w:val="0"/>
          <w:marBottom w:val="0"/>
          <w:divBdr>
            <w:top w:val="none" w:sz="0" w:space="0" w:color="auto"/>
            <w:left w:val="none" w:sz="0" w:space="0" w:color="auto"/>
            <w:bottom w:val="none" w:sz="0" w:space="0" w:color="auto"/>
            <w:right w:val="none" w:sz="0" w:space="0" w:color="auto"/>
          </w:divBdr>
        </w:div>
        <w:div w:id="862087620">
          <w:marLeft w:val="0"/>
          <w:marRight w:val="0"/>
          <w:marTop w:val="0"/>
          <w:marBottom w:val="0"/>
          <w:divBdr>
            <w:top w:val="none" w:sz="0" w:space="0" w:color="auto"/>
            <w:left w:val="none" w:sz="0" w:space="0" w:color="auto"/>
            <w:bottom w:val="none" w:sz="0" w:space="0" w:color="auto"/>
            <w:right w:val="none" w:sz="0" w:space="0" w:color="auto"/>
          </w:divBdr>
        </w:div>
        <w:div w:id="1006396701">
          <w:marLeft w:val="0"/>
          <w:marRight w:val="0"/>
          <w:marTop w:val="0"/>
          <w:marBottom w:val="0"/>
          <w:divBdr>
            <w:top w:val="none" w:sz="0" w:space="0" w:color="auto"/>
            <w:left w:val="none" w:sz="0" w:space="0" w:color="auto"/>
            <w:bottom w:val="none" w:sz="0" w:space="0" w:color="auto"/>
            <w:right w:val="none" w:sz="0" w:space="0" w:color="auto"/>
          </w:divBdr>
        </w:div>
        <w:div w:id="1117794686">
          <w:marLeft w:val="0"/>
          <w:marRight w:val="0"/>
          <w:marTop w:val="0"/>
          <w:marBottom w:val="0"/>
          <w:divBdr>
            <w:top w:val="none" w:sz="0" w:space="0" w:color="auto"/>
            <w:left w:val="none" w:sz="0" w:space="0" w:color="auto"/>
            <w:bottom w:val="none" w:sz="0" w:space="0" w:color="auto"/>
            <w:right w:val="none" w:sz="0" w:space="0" w:color="auto"/>
          </w:divBdr>
        </w:div>
        <w:div w:id="1213077138">
          <w:marLeft w:val="0"/>
          <w:marRight w:val="0"/>
          <w:marTop w:val="0"/>
          <w:marBottom w:val="0"/>
          <w:divBdr>
            <w:top w:val="none" w:sz="0" w:space="0" w:color="auto"/>
            <w:left w:val="none" w:sz="0" w:space="0" w:color="auto"/>
            <w:bottom w:val="none" w:sz="0" w:space="0" w:color="auto"/>
            <w:right w:val="none" w:sz="0" w:space="0" w:color="auto"/>
          </w:divBdr>
        </w:div>
        <w:div w:id="1357267852">
          <w:marLeft w:val="0"/>
          <w:marRight w:val="0"/>
          <w:marTop w:val="0"/>
          <w:marBottom w:val="0"/>
          <w:divBdr>
            <w:top w:val="none" w:sz="0" w:space="0" w:color="auto"/>
            <w:left w:val="none" w:sz="0" w:space="0" w:color="auto"/>
            <w:bottom w:val="none" w:sz="0" w:space="0" w:color="auto"/>
            <w:right w:val="none" w:sz="0" w:space="0" w:color="auto"/>
          </w:divBdr>
        </w:div>
        <w:div w:id="1381172326">
          <w:marLeft w:val="0"/>
          <w:marRight w:val="0"/>
          <w:marTop w:val="0"/>
          <w:marBottom w:val="0"/>
          <w:divBdr>
            <w:top w:val="none" w:sz="0" w:space="0" w:color="auto"/>
            <w:left w:val="none" w:sz="0" w:space="0" w:color="auto"/>
            <w:bottom w:val="none" w:sz="0" w:space="0" w:color="auto"/>
            <w:right w:val="none" w:sz="0" w:space="0" w:color="auto"/>
          </w:divBdr>
        </w:div>
        <w:div w:id="1405833852">
          <w:marLeft w:val="0"/>
          <w:marRight w:val="0"/>
          <w:marTop w:val="0"/>
          <w:marBottom w:val="0"/>
          <w:divBdr>
            <w:top w:val="none" w:sz="0" w:space="0" w:color="auto"/>
            <w:left w:val="none" w:sz="0" w:space="0" w:color="auto"/>
            <w:bottom w:val="none" w:sz="0" w:space="0" w:color="auto"/>
            <w:right w:val="none" w:sz="0" w:space="0" w:color="auto"/>
          </w:divBdr>
        </w:div>
        <w:div w:id="1643466414">
          <w:marLeft w:val="0"/>
          <w:marRight w:val="0"/>
          <w:marTop w:val="0"/>
          <w:marBottom w:val="0"/>
          <w:divBdr>
            <w:top w:val="none" w:sz="0" w:space="0" w:color="auto"/>
            <w:left w:val="none" w:sz="0" w:space="0" w:color="auto"/>
            <w:bottom w:val="none" w:sz="0" w:space="0" w:color="auto"/>
            <w:right w:val="none" w:sz="0" w:space="0" w:color="auto"/>
          </w:divBdr>
        </w:div>
        <w:div w:id="1905023605">
          <w:marLeft w:val="0"/>
          <w:marRight w:val="0"/>
          <w:marTop w:val="0"/>
          <w:marBottom w:val="0"/>
          <w:divBdr>
            <w:top w:val="none" w:sz="0" w:space="0" w:color="auto"/>
            <w:left w:val="none" w:sz="0" w:space="0" w:color="auto"/>
            <w:bottom w:val="none" w:sz="0" w:space="0" w:color="auto"/>
            <w:right w:val="none" w:sz="0" w:space="0" w:color="auto"/>
          </w:divBdr>
        </w:div>
        <w:div w:id="2040547186">
          <w:marLeft w:val="0"/>
          <w:marRight w:val="0"/>
          <w:marTop w:val="0"/>
          <w:marBottom w:val="0"/>
          <w:divBdr>
            <w:top w:val="none" w:sz="0" w:space="0" w:color="auto"/>
            <w:left w:val="none" w:sz="0" w:space="0" w:color="auto"/>
            <w:bottom w:val="none" w:sz="0" w:space="0" w:color="auto"/>
            <w:right w:val="none" w:sz="0" w:space="0" w:color="auto"/>
          </w:divBdr>
        </w:div>
      </w:divsChild>
    </w:div>
    <w:div w:id="479271803">
      <w:bodyDiv w:val="1"/>
      <w:marLeft w:val="0"/>
      <w:marRight w:val="0"/>
      <w:marTop w:val="0"/>
      <w:marBottom w:val="0"/>
      <w:divBdr>
        <w:top w:val="none" w:sz="0" w:space="0" w:color="auto"/>
        <w:left w:val="none" w:sz="0" w:space="0" w:color="auto"/>
        <w:bottom w:val="none" w:sz="0" w:space="0" w:color="auto"/>
        <w:right w:val="none" w:sz="0" w:space="0" w:color="auto"/>
      </w:divBdr>
      <w:divsChild>
        <w:div w:id="397217036">
          <w:marLeft w:val="0"/>
          <w:marRight w:val="0"/>
          <w:marTop w:val="0"/>
          <w:marBottom w:val="0"/>
          <w:divBdr>
            <w:top w:val="none" w:sz="0" w:space="0" w:color="auto"/>
            <w:left w:val="none" w:sz="0" w:space="0" w:color="auto"/>
            <w:bottom w:val="none" w:sz="0" w:space="0" w:color="auto"/>
            <w:right w:val="none" w:sz="0" w:space="0" w:color="auto"/>
          </w:divBdr>
        </w:div>
        <w:div w:id="1056389818">
          <w:marLeft w:val="0"/>
          <w:marRight w:val="0"/>
          <w:marTop w:val="0"/>
          <w:marBottom w:val="0"/>
          <w:divBdr>
            <w:top w:val="none" w:sz="0" w:space="0" w:color="auto"/>
            <w:left w:val="none" w:sz="0" w:space="0" w:color="auto"/>
            <w:bottom w:val="none" w:sz="0" w:space="0" w:color="auto"/>
            <w:right w:val="none" w:sz="0" w:space="0" w:color="auto"/>
          </w:divBdr>
        </w:div>
      </w:divsChild>
    </w:div>
    <w:div w:id="550074296">
      <w:bodyDiv w:val="1"/>
      <w:marLeft w:val="0"/>
      <w:marRight w:val="0"/>
      <w:marTop w:val="0"/>
      <w:marBottom w:val="0"/>
      <w:divBdr>
        <w:top w:val="none" w:sz="0" w:space="0" w:color="auto"/>
        <w:left w:val="none" w:sz="0" w:space="0" w:color="auto"/>
        <w:bottom w:val="none" w:sz="0" w:space="0" w:color="auto"/>
        <w:right w:val="none" w:sz="0" w:space="0" w:color="auto"/>
      </w:divBdr>
    </w:div>
    <w:div w:id="554439624">
      <w:bodyDiv w:val="1"/>
      <w:marLeft w:val="0"/>
      <w:marRight w:val="0"/>
      <w:marTop w:val="0"/>
      <w:marBottom w:val="0"/>
      <w:divBdr>
        <w:top w:val="none" w:sz="0" w:space="0" w:color="auto"/>
        <w:left w:val="none" w:sz="0" w:space="0" w:color="auto"/>
        <w:bottom w:val="none" w:sz="0" w:space="0" w:color="auto"/>
        <w:right w:val="none" w:sz="0" w:space="0" w:color="auto"/>
      </w:divBdr>
    </w:div>
    <w:div w:id="931282560">
      <w:bodyDiv w:val="1"/>
      <w:marLeft w:val="0"/>
      <w:marRight w:val="0"/>
      <w:marTop w:val="0"/>
      <w:marBottom w:val="0"/>
      <w:divBdr>
        <w:top w:val="none" w:sz="0" w:space="0" w:color="auto"/>
        <w:left w:val="none" w:sz="0" w:space="0" w:color="auto"/>
        <w:bottom w:val="none" w:sz="0" w:space="0" w:color="auto"/>
        <w:right w:val="none" w:sz="0" w:space="0" w:color="auto"/>
      </w:divBdr>
    </w:div>
    <w:div w:id="959647884">
      <w:bodyDiv w:val="1"/>
      <w:marLeft w:val="0"/>
      <w:marRight w:val="0"/>
      <w:marTop w:val="0"/>
      <w:marBottom w:val="0"/>
      <w:divBdr>
        <w:top w:val="none" w:sz="0" w:space="0" w:color="auto"/>
        <w:left w:val="none" w:sz="0" w:space="0" w:color="auto"/>
        <w:bottom w:val="none" w:sz="0" w:space="0" w:color="auto"/>
        <w:right w:val="none" w:sz="0" w:space="0" w:color="auto"/>
      </w:divBdr>
      <w:divsChild>
        <w:div w:id="590353664">
          <w:marLeft w:val="0"/>
          <w:marRight w:val="0"/>
          <w:marTop w:val="0"/>
          <w:marBottom w:val="0"/>
          <w:divBdr>
            <w:top w:val="none" w:sz="0" w:space="0" w:color="auto"/>
            <w:left w:val="none" w:sz="0" w:space="0" w:color="auto"/>
            <w:bottom w:val="none" w:sz="0" w:space="0" w:color="auto"/>
            <w:right w:val="none" w:sz="0" w:space="0" w:color="auto"/>
          </w:divBdr>
        </w:div>
      </w:divsChild>
    </w:div>
    <w:div w:id="996419668">
      <w:bodyDiv w:val="1"/>
      <w:marLeft w:val="0"/>
      <w:marRight w:val="0"/>
      <w:marTop w:val="0"/>
      <w:marBottom w:val="0"/>
      <w:divBdr>
        <w:top w:val="none" w:sz="0" w:space="0" w:color="auto"/>
        <w:left w:val="none" w:sz="0" w:space="0" w:color="auto"/>
        <w:bottom w:val="none" w:sz="0" w:space="0" w:color="auto"/>
        <w:right w:val="none" w:sz="0" w:space="0" w:color="auto"/>
      </w:divBdr>
    </w:div>
    <w:div w:id="1023938768">
      <w:bodyDiv w:val="1"/>
      <w:marLeft w:val="0"/>
      <w:marRight w:val="0"/>
      <w:marTop w:val="0"/>
      <w:marBottom w:val="0"/>
      <w:divBdr>
        <w:top w:val="none" w:sz="0" w:space="0" w:color="auto"/>
        <w:left w:val="none" w:sz="0" w:space="0" w:color="auto"/>
        <w:bottom w:val="none" w:sz="0" w:space="0" w:color="auto"/>
        <w:right w:val="none" w:sz="0" w:space="0" w:color="auto"/>
      </w:divBdr>
    </w:div>
    <w:div w:id="1103696030">
      <w:bodyDiv w:val="1"/>
      <w:marLeft w:val="45"/>
      <w:marRight w:val="45"/>
      <w:marTop w:val="90"/>
      <w:marBottom w:val="90"/>
      <w:divBdr>
        <w:top w:val="none" w:sz="0" w:space="0" w:color="auto"/>
        <w:left w:val="none" w:sz="0" w:space="0" w:color="auto"/>
        <w:bottom w:val="none" w:sz="0" w:space="0" w:color="auto"/>
        <w:right w:val="none" w:sz="0" w:space="0" w:color="auto"/>
      </w:divBdr>
      <w:divsChild>
        <w:div w:id="292643037">
          <w:marLeft w:val="0"/>
          <w:marRight w:val="0"/>
          <w:marTop w:val="480"/>
          <w:marBottom w:val="240"/>
          <w:divBdr>
            <w:top w:val="none" w:sz="0" w:space="0" w:color="auto"/>
            <w:left w:val="none" w:sz="0" w:space="0" w:color="auto"/>
            <w:bottom w:val="none" w:sz="0" w:space="0" w:color="auto"/>
            <w:right w:val="none" w:sz="0" w:space="0" w:color="auto"/>
          </w:divBdr>
        </w:div>
        <w:div w:id="615018185">
          <w:marLeft w:val="0"/>
          <w:marRight w:val="0"/>
          <w:marTop w:val="0"/>
          <w:marBottom w:val="567"/>
          <w:divBdr>
            <w:top w:val="none" w:sz="0" w:space="0" w:color="auto"/>
            <w:left w:val="none" w:sz="0" w:space="0" w:color="auto"/>
            <w:bottom w:val="none" w:sz="0" w:space="0" w:color="auto"/>
            <w:right w:val="none" w:sz="0" w:space="0" w:color="auto"/>
          </w:divBdr>
        </w:div>
      </w:divsChild>
    </w:div>
    <w:div w:id="1342774744">
      <w:bodyDiv w:val="1"/>
      <w:marLeft w:val="0"/>
      <w:marRight w:val="0"/>
      <w:marTop w:val="0"/>
      <w:marBottom w:val="0"/>
      <w:divBdr>
        <w:top w:val="none" w:sz="0" w:space="0" w:color="auto"/>
        <w:left w:val="none" w:sz="0" w:space="0" w:color="auto"/>
        <w:bottom w:val="none" w:sz="0" w:space="0" w:color="auto"/>
        <w:right w:val="none" w:sz="0" w:space="0" w:color="auto"/>
      </w:divBdr>
      <w:divsChild>
        <w:div w:id="1021279920">
          <w:marLeft w:val="0"/>
          <w:marRight w:val="0"/>
          <w:marTop w:val="0"/>
          <w:marBottom w:val="0"/>
          <w:divBdr>
            <w:top w:val="none" w:sz="0" w:space="0" w:color="auto"/>
            <w:left w:val="none" w:sz="0" w:space="0" w:color="auto"/>
            <w:bottom w:val="none" w:sz="0" w:space="0" w:color="auto"/>
            <w:right w:val="none" w:sz="0" w:space="0" w:color="auto"/>
          </w:divBdr>
        </w:div>
        <w:div w:id="1451241483">
          <w:marLeft w:val="0"/>
          <w:marRight w:val="0"/>
          <w:marTop w:val="0"/>
          <w:marBottom w:val="0"/>
          <w:divBdr>
            <w:top w:val="none" w:sz="0" w:space="0" w:color="auto"/>
            <w:left w:val="none" w:sz="0" w:space="0" w:color="auto"/>
            <w:bottom w:val="none" w:sz="0" w:space="0" w:color="auto"/>
            <w:right w:val="none" w:sz="0" w:space="0" w:color="auto"/>
          </w:divBdr>
        </w:div>
      </w:divsChild>
    </w:div>
    <w:div w:id="1455714005">
      <w:bodyDiv w:val="1"/>
      <w:marLeft w:val="0"/>
      <w:marRight w:val="0"/>
      <w:marTop w:val="0"/>
      <w:marBottom w:val="0"/>
      <w:divBdr>
        <w:top w:val="none" w:sz="0" w:space="0" w:color="auto"/>
        <w:left w:val="none" w:sz="0" w:space="0" w:color="auto"/>
        <w:bottom w:val="none" w:sz="0" w:space="0" w:color="auto"/>
        <w:right w:val="none" w:sz="0" w:space="0" w:color="auto"/>
      </w:divBdr>
    </w:div>
    <w:div w:id="1544905303">
      <w:bodyDiv w:val="1"/>
      <w:marLeft w:val="0"/>
      <w:marRight w:val="0"/>
      <w:marTop w:val="0"/>
      <w:marBottom w:val="0"/>
      <w:divBdr>
        <w:top w:val="none" w:sz="0" w:space="0" w:color="auto"/>
        <w:left w:val="none" w:sz="0" w:space="0" w:color="auto"/>
        <w:bottom w:val="none" w:sz="0" w:space="0" w:color="auto"/>
        <w:right w:val="none" w:sz="0" w:space="0" w:color="auto"/>
      </w:divBdr>
    </w:div>
    <w:div w:id="1597590694">
      <w:bodyDiv w:val="1"/>
      <w:marLeft w:val="0"/>
      <w:marRight w:val="0"/>
      <w:marTop w:val="0"/>
      <w:marBottom w:val="0"/>
      <w:divBdr>
        <w:top w:val="none" w:sz="0" w:space="0" w:color="auto"/>
        <w:left w:val="none" w:sz="0" w:space="0" w:color="auto"/>
        <w:bottom w:val="none" w:sz="0" w:space="0" w:color="auto"/>
        <w:right w:val="none" w:sz="0" w:space="0" w:color="auto"/>
      </w:divBdr>
      <w:divsChild>
        <w:div w:id="252208311">
          <w:marLeft w:val="0"/>
          <w:marRight w:val="0"/>
          <w:marTop w:val="0"/>
          <w:marBottom w:val="0"/>
          <w:divBdr>
            <w:top w:val="none" w:sz="0" w:space="0" w:color="auto"/>
            <w:left w:val="none" w:sz="0" w:space="0" w:color="auto"/>
            <w:bottom w:val="none" w:sz="0" w:space="0" w:color="auto"/>
            <w:right w:val="none" w:sz="0" w:space="0" w:color="auto"/>
          </w:divBdr>
        </w:div>
        <w:div w:id="365176041">
          <w:marLeft w:val="0"/>
          <w:marRight w:val="0"/>
          <w:marTop w:val="0"/>
          <w:marBottom w:val="0"/>
          <w:divBdr>
            <w:top w:val="none" w:sz="0" w:space="0" w:color="auto"/>
            <w:left w:val="none" w:sz="0" w:space="0" w:color="auto"/>
            <w:bottom w:val="none" w:sz="0" w:space="0" w:color="auto"/>
            <w:right w:val="none" w:sz="0" w:space="0" w:color="auto"/>
          </w:divBdr>
        </w:div>
      </w:divsChild>
    </w:div>
    <w:div w:id="1603418342">
      <w:bodyDiv w:val="1"/>
      <w:marLeft w:val="0"/>
      <w:marRight w:val="0"/>
      <w:marTop w:val="0"/>
      <w:marBottom w:val="0"/>
      <w:divBdr>
        <w:top w:val="none" w:sz="0" w:space="0" w:color="auto"/>
        <w:left w:val="none" w:sz="0" w:space="0" w:color="auto"/>
        <w:bottom w:val="none" w:sz="0" w:space="0" w:color="auto"/>
        <w:right w:val="none" w:sz="0" w:space="0" w:color="auto"/>
      </w:divBdr>
    </w:div>
    <w:div w:id="1683627501">
      <w:bodyDiv w:val="1"/>
      <w:marLeft w:val="0"/>
      <w:marRight w:val="0"/>
      <w:marTop w:val="0"/>
      <w:marBottom w:val="0"/>
      <w:divBdr>
        <w:top w:val="none" w:sz="0" w:space="0" w:color="auto"/>
        <w:left w:val="none" w:sz="0" w:space="0" w:color="auto"/>
        <w:bottom w:val="none" w:sz="0" w:space="0" w:color="auto"/>
        <w:right w:val="none" w:sz="0" w:space="0" w:color="auto"/>
      </w:divBdr>
    </w:div>
    <w:div w:id="1817792023">
      <w:bodyDiv w:val="1"/>
      <w:marLeft w:val="0"/>
      <w:marRight w:val="0"/>
      <w:marTop w:val="0"/>
      <w:marBottom w:val="0"/>
      <w:divBdr>
        <w:top w:val="none" w:sz="0" w:space="0" w:color="auto"/>
        <w:left w:val="none" w:sz="0" w:space="0" w:color="auto"/>
        <w:bottom w:val="none" w:sz="0" w:space="0" w:color="auto"/>
        <w:right w:val="none" w:sz="0" w:space="0" w:color="auto"/>
      </w:divBdr>
    </w:div>
    <w:div w:id="1830906534">
      <w:bodyDiv w:val="1"/>
      <w:marLeft w:val="0"/>
      <w:marRight w:val="0"/>
      <w:marTop w:val="0"/>
      <w:marBottom w:val="0"/>
      <w:divBdr>
        <w:top w:val="none" w:sz="0" w:space="0" w:color="auto"/>
        <w:left w:val="none" w:sz="0" w:space="0" w:color="auto"/>
        <w:bottom w:val="none" w:sz="0" w:space="0" w:color="auto"/>
        <w:right w:val="none" w:sz="0" w:space="0" w:color="auto"/>
      </w:divBdr>
    </w:div>
    <w:div w:id="18647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67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BA2C-DEA7-48BC-B533-FE3AF95C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34</Pages>
  <Words>10641</Words>
  <Characters>78111</Characters>
  <Application>Microsoft Office Word</Application>
  <DocSecurity>0</DocSecurity>
  <Lines>2693</Lines>
  <Paragraphs>531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Iekšlietu ministtija</Company>
  <LinksUpToDate>false</LinksUpToDate>
  <CharactersWithSpaces>88221</CharactersWithSpaces>
  <SharedDoc>false</SharedDoc>
  <HLinks>
    <vt:vector size="6" baseType="variant">
      <vt:variant>
        <vt:i4>6291502</vt:i4>
      </vt:variant>
      <vt:variant>
        <vt:i4>0</vt:i4>
      </vt:variant>
      <vt:variant>
        <vt:i4>0</vt:i4>
      </vt:variant>
      <vt:variant>
        <vt:i4>5</vt:i4>
      </vt:variant>
      <vt:variant>
        <vt:lpwstr>https://likumi.lv/doc.php?id=286714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Alda Strode</dc:creator>
  <cp:keywords/>
  <dc:description>alda.strode@iem.gov.lv; 67219603</dc:description>
  <cp:lastModifiedBy>Ieva Potjomkina</cp:lastModifiedBy>
  <cp:revision>112</cp:revision>
  <cp:lastPrinted>2019-04-18T07:47:00Z</cp:lastPrinted>
  <dcterms:created xsi:type="dcterms:W3CDTF">2019-05-13T09:02:00Z</dcterms:created>
  <dcterms:modified xsi:type="dcterms:W3CDTF">2019-05-15T05:51:00Z</dcterms:modified>
</cp:coreProperties>
</file>